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38" w:rsidRDefault="006010DD">
      <w:pPr>
        <w:rPr>
          <w:rFonts w:ascii="Arial" w:hAnsi="Arial"/>
        </w:rPr>
      </w:pPr>
      <w:r>
        <w:rPr>
          <w:rFonts w:ascii="Arial" w:hAnsi="Arial"/>
        </w:rPr>
        <w:t>Purification and Visualization of Influenza A Viral Ribonucleoprotein Complexes</w:t>
      </w:r>
    </w:p>
    <w:p w:rsidR="00F83038" w:rsidRDefault="006010DD">
      <w:pPr>
        <w:rPr>
          <w:rFonts w:ascii="Arial" w:hAnsi="Arial"/>
        </w:rPr>
      </w:pPr>
    </w:p>
    <w:p w:rsidR="00F83038" w:rsidRDefault="006010DD">
      <w:pPr>
        <w:rPr>
          <w:rFonts w:ascii="Arial" w:hAnsi="Arial"/>
        </w:rPr>
      </w:pPr>
      <w:r>
        <w:rPr>
          <w:rFonts w:ascii="Arial" w:hAnsi="Arial"/>
        </w:rPr>
        <w:t>Winco W.H. Wu, Lindsay L. Weaver, and Nelly Panté</w:t>
      </w:r>
    </w:p>
    <w:p w:rsidR="00F83038" w:rsidRDefault="006010DD">
      <w:pPr>
        <w:rPr>
          <w:rFonts w:ascii="Arial" w:hAnsi="Arial"/>
        </w:rPr>
      </w:pPr>
    </w:p>
    <w:p w:rsidR="00F83038" w:rsidRDefault="006010DD">
      <w:pPr>
        <w:pStyle w:val="ColorfulList-Accent1"/>
        <w:ind w:left="0"/>
        <w:rPr>
          <w:rFonts w:ascii="Arial" w:hAnsi="Arial"/>
        </w:rPr>
      </w:pPr>
      <w:r>
        <w:rPr>
          <w:rFonts w:ascii="Arial" w:hAnsi="Arial"/>
        </w:rPr>
        <w:t>Winco W.H. Wu</w:t>
      </w:r>
    </w:p>
    <w:p w:rsidR="00F83038" w:rsidRDefault="006010DD">
      <w:pPr>
        <w:pStyle w:val="ColorfulList-Accent1"/>
        <w:ind w:left="0"/>
        <w:rPr>
          <w:rFonts w:ascii="Arial" w:hAnsi="Arial"/>
        </w:rPr>
      </w:pPr>
      <w:r>
        <w:rPr>
          <w:rFonts w:ascii="Arial" w:hAnsi="Arial"/>
        </w:rPr>
        <w:t>Department of Zoology</w:t>
      </w:r>
    </w:p>
    <w:p w:rsidR="00F83038" w:rsidRDefault="006010DD">
      <w:pPr>
        <w:pStyle w:val="ColorfulList-Accent1"/>
        <w:ind w:left="0"/>
        <w:rPr>
          <w:rFonts w:ascii="Arial" w:hAnsi="Arial"/>
        </w:rPr>
      </w:pPr>
      <w:r>
        <w:rPr>
          <w:rFonts w:ascii="Arial" w:hAnsi="Arial"/>
        </w:rPr>
        <w:t>University of British Columbia</w:t>
      </w:r>
    </w:p>
    <w:p w:rsidR="00F83038" w:rsidRDefault="006010DD">
      <w:pPr>
        <w:pStyle w:val="ColorfulList-Accent1"/>
        <w:ind w:left="0"/>
        <w:rPr>
          <w:rFonts w:ascii="Arial" w:hAnsi="Arial"/>
        </w:rPr>
      </w:pPr>
      <w:hyperlink r:id="rId7" w:history="1">
        <w:r>
          <w:rPr>
            <w:rStyle w:val="Hyperlink"/>
            <w:rFonts w:ascii="Arial" w:hAnsi="Arial"/>
          </w:rPr>
          <w:t>winco@zoology</w:t>
        </w:r>
        <w:r>
          <w:rPr>
            <w:rStyle w:val="Hyperlink"/>
            <w:rFonts w:ascii="Arial" w:hAnsi="Arial"/>
          </w:rPr>
          <w:t>.ubc.ca</w:t>
        </w:r>
      </w:hyperlink>
    </w:p>
    <w:p w:rsidR="00F83038" w:rsidRDefault="006010DD">
      <w:pPr>
        <w:pStyle w:val="ColorfulList-Accent1"/>
        <w:ind w:left="0"/>
        <w:rPr>
          <w:rFonts w:ascii="Arial" w:hAnsi="Arial"/>
        </w:rPr>
      </w:pPr>
    </w:p>
    <w:p w:rsidR="00F83038" w:rsidRDefault="006010DD">
      <w:pPr>
        <w:pStyle w:val="ColorfulList-Accent1"/>
        <w:ind w:left="0"/>
        <w:rPr>
          <w:rFonts w:ascii="Arial" w:hAnsi="Arial"/>
        </w:rPr>
      </w:pPr>
      <w:r>
        <w:rPr>
          <w:rFonts w:ascii="Arial" w:hAnsi="Arial"/>
        </w:rPr>
        <w:t>Lindsay L. Weaver</w:t>
      </w:r>
    </w:p>
    <w:p w:rsidR="00F83038" w:rsidRDefault="006010DD">
      <w:pPr>
        <w:pStyle w:val="ColorfulList-Accent1"/>
        <w:ind w:left="0"/>
        <w:rPr>
          <w:rFonts w:ascii="Arial" w:hAnsi="Arial"/>
        </w:rPr>
      </w:pPr>
      <w:r>
        <w:rPr>
          <w:rFonts w:ascii="Arial" w:hAnsi="Arial"/>
        </w:rPr>
        <w:t>Department of Zoology</w:t>
      </w:r>
    </w:p>
    <w:p w:rsidR="00F83038" w:rsidRDefault="006010DD">
      <w:pPr>
        <w:pStyle w:val="ColorfulList-Accent1"/>
        <w:ind w:left="0"/>
        <w:rPr>
          <w:rFonts w:ascii="Arial" w:hAnsi="Arial"/>
        </w:rPr>
      </w:pPr>
      <w:r>
        <w:rPr>
          <w:rFonts w:ascii="Arial" w:hAnsi="Arial"/>
        </w:rPr>
        <w:t>University of British Columbia</w:t>
      </w:r>
    </w:p>
    <w:p w:rsidR="00F83038" w:rsidRDefault="006010DD" w:rsidP="00907124">
      <w:pPr>
        <w:pStyle w:val="ColorfulList-Accent1"/>
        <w:ind w:hanging="720"/>
        <w:rPr>
          <w:rFonts w:ascii="Arial" w:hAnsi="Arial"/>
        </w:rPr>
      </w:pPr>
      <w:hyperlink r:id="rId8" w:history="1">
        <w:r>
          <w:rPr>
            <w:rStyle w:val="Hyperlink"/>
            <w:rFonts w:ascii="Arial" w:hAnsi="Arial"/>
          </w:rPr>
          <w:t>lweaver@cdrd.ca</w:t>
        </w:r>
      </w:hyperlink>
      <w:r>
        <w:rPr>
          <w:rFonts w:ascii="Arial" w:hAnsi="Arial"/>
        </w:rPr>
        <w:t xml:space="preserve"> </w:t>
      </w:r>
    </w:p>
    <w:p w:rsidR="00F83038" w:rsidRDefault="006010DD">
      <w:pPr>
        <w:pStyle w:val="ColorfulList-Accent1"/>
        <w:ind w:left="0"/>
        <w:rPr>
          <w:rFonts w:ascii="Arial" w:hAnsi="Arial"/>
        </w:rPr>
      </w:pPr>
    </w:p>
    <w:p w:rsidR="00F83038" w:rsidRDefault="006010DD">
      <w:pPr>
        <w:pStyle w:val="ColorfulList-Accent1"/>
        <w:ind w:left="0"/>
        <w:rPr>
          <w:rFonts w:ascii="Arial" w:hAnsi="Arial"/>
        </w:rPr>
      </w:pPr>
      <w:r>
        <w:rPr>
          <w:rFonts w:ascii="Arial" w:hAnsi="Arial"/>
        </w:rPr>
        <w:t>Nelly Panté</w:t>
      </w:r>
    </w:p>
    <w:p w:rsidR="00F83038" w:rsidRDefault="006010DD">
      <w:pPr>
        <w:pStyle w:val="ColorfulList-Accent1"/>
        <w:ind w:left="0"/>
        <w:rPr>
          <w:rFonts w:ascii="Arial" w:hAnsi="Arial"/>
        </w:rPr>
      </w:pPr>
      <w:r>
        <w:rPr>
          <w:rFonts w:ascii="Arial" w:hAnsi="Arial"/>
        </w:rPr>
        <w:t>Department of Zoology</w:t>
      </w:r>
    </w:p>
    <w:p w:rsidR="00F83038" w:rsidRDefault="006010DD">
      <w:pPr>
        <w:pStyle w:val="ColorfulList-Accent1"/>
        <w:ind w:left="0"/>
        <w:rPr>
          <w:rFonts w:ascii="Arial" w:hAnsi="Arial"/>
        </w:rPr>
      </w:pPr>
      <w:r>
        <w:rPr>
          <w:rFonts w:ascii="Arial" w:hAnsi="Arial"/>
        </w:rPr>
        <w:t>University of British Columbia</w:t>
      </w:r>
    </w:p>
    <w:p w:rsidR="00F83038" w:rsidRDefault="006010DD">
      <w:pPr>
        <w:pStyle w:val="ColorfulList-Accent1"/>
        <w:ind w:left="0"/>
        <w:rPr>
          <w:rFonts w:ascii="Arial" w:hAnsi="Arial"/>
        </w:rPr>
      </w:pPr>
      <w:hyperlink r:id="rId9" w:history="1">
        <w:r>
          <w:rPr>
            <w:rStyle w:val="Hyperlink"/>
            <w:rFonts w:ascii="Arial" w:hAnsi="Arial"/>
          </w:rPr>
          <w:t>pante@zo</w:t>
        </w:r>
        <w:r>
          <w:rPr>
            <w:rStyle w:val="Hyperlink"/>
            <w:rFonts w:ascii="Arial" w:hAnsi="Arial"/>
          </w:rPr>
          <w:t>ology.ubc.ca</w:t>
        </w:r>
      </w:hyperlink>
      <w:r>
        <w:rPr>
          <w:rFonts w:ascii="Arial" w:hAnsi="Arial"/>
        </w:rPr>
        <w:t xml:space="preserve"> </w:t>
      </w:r>
    </w:p>
    <w:p w:rsidR="00F83038" w:rsidRDefault="006010DD">
      <w:pPr>
        <w:rPr>
          <w:rFonts w:ascii="Arial" w:hAnsi="Arial"/>
          <w:b/>
        </w:rPr>
      </w:pPr>
    </w:p>
    <w:p w:rsidR="00F83038" w:rsidRDefault="006010DD">
      <w:pPr>
        <w:rPr>
          <w:rFonts w:ascii="Arial" w:hAnsi="Arial"/>
        </w:rPr>
      </w:pPr>
      <w:r>
        <w:rPr>
          <w:rFonts w:ascii="Arial" w:hAnsi="Arial"/>
          <w:b/>
        </w:rPr>
        <w:t>Corresponding author:</w:t>
      </w:r>
      <w:r>
        <w:rPr>
          <w:rFonts w:ascii="Arial" w:hAnsi="Arial"/>
        </w:rPr>
        <w:t xml:space="preserve"> Nelly Panté</w:t>
      </w:r>
    </w:p>
    <w:p w:rsidR="00F83038" w:rsidRDefault="006010DD">
      <w:pPr>
        <w:rPr>
          <w:rFonts w:ascii="Arial" w:hAnsi="Arial"/>
          <w:b/>
        </w:rPr>
      </w:pPr>
    </w:p>
    <w:p w:rsidR="00F83038" w:rsidRDefault="006010DD">
      <w:pPr>
        <w:rPr>
          <w:rFonts w:ascii="Arial" w:hAnsi="Arial"/>
        </w:rPr>
      </w:pPr>
      <w:r>
        <w:rPr>
          <w:rFonts w:ascii="Arial" w:hAnsi="Arial"/>
          <w:b/>
        </w:rPr>
        <w:t>Keywords:</w:t>
      </w:r>
      <w:r>
        <w:rPr>
          <w:rFonts w:ascii="Arial" w:hAnsi="Arial"/>
        </w:rPr>
        <w:t xml:space="preserve"> influenza A virus, viral ribonucleoprotein, vRNP, glycerol gradient, negative staining, transmission electron microscopy</w:t>
      </w:r>
    </w:p>
    <w:p w:rsidR="00F83038" w:rsidRDefault="006010DD">
      <w:pPr>
        <w:rPr>
          <w:rFonts w:ascii="Arial" w:hAnsi="Arial"/>
          <w:b/>
        </w:rPr>
      </w:pPr>
    </w:p>
    <w:p w:rsidR="00F83038" w:rsidRDefault="006010DD">
      <w:pPr>
        <w:rPr>
          <w:rFonts w:ascii="Arial" w:hAnsi="Arial"/>
        </w:rPr>
      </w:pPr>
      <w:r>
        <w:rPr>
          <w:rFonts w:ascii="Arial" w:hAnsi="Arial"/>
          <w:b/>
        </w:rPr>
        <w:t>Short Abstract:</w:t>
      </w:r>
      <w:r>
        <w:rPr>
          <w:rFonts w:ascii="Arial" w:hAnsi="Arial"/>
        </w:rPr>
        <w:t xml:space="preserve"> </w:t>
      </w:r>
    </w:p>
    <w:p w:rsidR="00F83038" w:rsidRDefault="006010DD">
      <w:pPr>
        <w:rPr>
          <w:rFonts w:ascii="Arial" w:hAnsi="Arial"/>
        </w:rPr>
      </w:pPr>
      <w:r>
        <w:rPr>
          <w:rFonts w:ascii="Arial" w:hAnsi="Arial"/>
        </w:rPr>
        <w:t>The genome of the influenza A virus consists of eight se</w:t>
      </w:r>
      <w:r>
        <w:rPr>
          <w:rFonts w:ascii="Arial" w:hAnsi="Arial"/>
        </w:rPr>
        <w:t>parate complexes of RNA and proteins, termed viral ribonucleoprotein complexes (vRNPs). This paper describes the glycerol gradient purification and transmission electron microscopy visualization of influenza A vRNPs.</w:t>
      </w:r>
    </w:p>
    <w:p w:rsidR="00F83038" w:rsidRDefault="006010DD">
      <w:pPr>
        <w:rPr>
          <w:rFonts w:ascii="Arial" w:hAnsi="Arial"/>
          <w:b/>
        </w:rPr>
      </w:pPr>
    </w:p>
    <w:p w:rsidR="00F83038" w:rsidRDefault="006010DD">
      <w:pPr>
        <w:rPr>
          <w:rFonts w:ascii="Arial" w:hAnsi="Arial"/>
        </w:rPr>
      </w:pPr>
      <w:r>
        <w:rPr>
          <w:rFonts w:ascii="Arial" w:hAnsi="Arial"/>
          <w:b/>
        </w:rPr>
        <w:t>Long Abstract:</w:t>
      </w:r>
      <w:r>
        <w:rPr>
          <w:rFonts w:ascii="Arial" w:hAnsi="Arial"/>
        </w:rPr>
        <w:t xml:space="preserve"> </w:t>
      </w:r>
    </w:p>
    <w:p w:rsidR="00F83038" w:rsidRDefault="006010DD">
      <w:pPr>
        <w:rPr>
          <w:rFonts w:ascii="Arial" w:hAnsi="Arial"/>
        </w:rPr>
      </w:pPr>
      <w:r>
        <w:rPr>
          <w:rFonts w:ascii="Arial" w:hAnsi="Arial"/>
        </w:rPr>
        <w:t xml:space="preserve">The influenza A viral </w:t>
      </w:r>
      <w:r>
        <w:rPr>
          <w:rFonts w:ascii="Arial" w:hAnsi="Arial"/>
        </w:rPr>
        <w:t>genome consists of eight negative-sense, single stranded RNA molecules, individually packed with multiple copies of the influenza A nucleoprotein (NP) into viral ribonulceoprotein particles (vRNPs). The influenza vRNPs are enclosed within the viral envelop</w:t>
      </w:r>
      <w:r>
        <w:rPr>
          <w:rFonts w:ascii="Arial" w:hAnsi="Arial"/>
        </w:rPr>
        <w:t xml:space="preserve">e. During cell entry, however, these vRNP complexes are released into the cytoplasm, where they gain access to the host nuclear transport machinery. In order to study the nuclear </w:t>
      </w:r>
      <w:r>
        <w:rPr>
          <w:rFonts w:ascii="Arial" w:hAnsi="Arial"/>
        </w:rPr>
        <w:lastRenderedPageBreak/>
        <w:t xml:space="preserve">import of influenza vRNPs and the replication of the influenza genome, it is </w:t>
      </w:r>
      <w:r>
        <w:rPr>
          <w:rFonts w:ascii="Arial" w:hAnsi="Arial"/>
        </w:rPr>
        <w:t>useful to work with isolated vRNPs so that other components of the virus do not interfere with these processes. Here, we describe a procedure to purify these vRNPs from the influenza A virus. The procedure starts with the disruption of the influenza A viri</w:t>
      </w:r>
      <w:r>
        <w:rPr>
          <w:rFonts w:ascii="Arial" w:hAnsi="Arial"/>
        </w:rPr>
        <w:t>on with detergents in order to release the vRNP complexes from the enveloped virion. The vRNPs are then separated from the other components of the influenza A virion on a 33-70% discontinuous glycerol gradient by velocity sedimentation. The fractions obtai</w:t>
      </w:r>
      <w:r>
        <w:rPr>
          <w:rFonts w:ascii="Arial" w:hAnsi="Arial"/>
        </w:rPr>
        <w:t>ned from the glycerol gradient are then analyzed on via SDS-PAGE after staining with Coomassie blue. The peak fractions containing NP are then pooled together and concentrated by centrifugation. After concentration, the integrity of the vRNPs is verified b</w:t>
      </w:r>
      <w:r>
        <w:rPr>
          <w:rFonts w:ascii="Arial" w:hAnsi="Arial"/>
        </w:rPr>
        <w:t xml:space="preserve">y visualization of the vRNPs by transmission electron microscopy after negative staining. The glycerol gradient purification is a modification of that from Kemler </w:t>
      </w:r>
      <w:r>
        <w:rPr>
          <w:rFonts w:ascii="Arial" w:hAnsi="Arial"/>
          <w:i/>
          <w:iCs/>
        </w:rPr>
        <w:t xml:space="preserve">et al. </w:t>
      </w:r>
      <w:r>
        <w:rPr>
          <w:rFonts w:ascii="Arial" w:hAnsi="Arial"/>
          <w:iCs/>
        </w:rPr>
        <w:t>(1994)</w:t>
      </w:r>
      <w:r>
        <w:rPr>
          <w:rFonts w:ascii="Arial" w:hAnsi="Arial"/>
          <w:iCs/>
        </w:rPr>
        <w:fldChar w:fldCharType="begin"/>
      </w:r>
      <w:r>
        <w:rPr>
          <w:rFonts w:ascii="Arial" w:hAnsi="Arial"/>
          <w:iCs/>
        </w:rPr>
        <w:instrText xml:space="preserve"> ADDIN EN.CITE &lt;EndNote&gt;&lt;Cite&gt;&lt;Author&gt;Kemler&lt;/Author&gt;&lt;Year&gt;1994&lt;/Year&gt;&lt;RecNum&gt;5</w:instrText>
      </w:r>
      <w:r>
        <w:rPr>
          <w:rFonts w:ascii="Arial" w:hAnsi="Arial"/>
          <w:iCs/>
        </w:rPr>
        <w:instrText>&lt;/RecNum&gt;&lt;MDL&gt;&lt;REFERENCE_TYPE&gt;0&lt;/REFERENCE_TYPE&gt;&lt;ACCESSION_NUMBER&gt;8030204&lt;/ACCESSION_NUMBER&gt;&lt;VOLUME&gt;202&lt;/VOLUME&gt;&lt;NUMBER&gt;2&lt;/NUMBER&gt;&lt;YEAR&gt;1994&lt;/YEAR&gt;&lt;DATE&gt;Aug 1&lt;/DATE&gt;&lt;TITLE&gt;Nuclear import of microinjected influenza virus ribonucleoproteins&lt;/TITLE&gt;&lt;PAGES&gt;102</w:instrText>
      </w:r>
      <w:r>
        <w:rPr>
          <w:rFonts w:ascii="Arial" w:hAnsi="Arial"/>
          <w:iCs/>
        </w:rPr>
        <w:instrText>8-33&lt;/PAGES&gt;&lt;AUTHOR_ADDRESS&gt;Department of Cell Biology, Yale University School of Medicine, New Haven, Connecticut 06510.&lt;/AUTHOR_ADDRESS&gt;&lt;AUTHORS&gt;&lt;AUTHOR&gt;Kemler, I.&lt;/AUTHOR&gt;&lt;AUTHOR&gt;Whittaker, G.&lt;/AUTHOR&gt;&lt;AUTHOR&gt;Helenius, A.&lt;/AUTHOR&gt;&lt;/AUTHORS&gt;&lt;SECONDARY_TI</w:instrText>
      </w:r>
      <w:r>
        <w:rPr>
          <w:rFonts w:ascii="Arial" w:hAnsi="Arial"/>
          <w:iCs/>
        </w:rPr>
        <w:instrText>TLE&gt;Virology&lt;/SECONDARY_TITLE&gt;&lt;KEYWORDS&gt;&lt;KEYWORD&gt;Amantadine/pharmacology&lt;/KEYWORD&gt;&lt;KEYWORD&gt;Animals&lt;/KEYWORD&gt;&lt;KEYWORD&gt;Biological Transport, Active/drug effects&lt;/KEYWORD&gt;&lt;KEYWORD&gt;CHO Cells&lt;/KEYWORD&gt;&lt;KEYWORD&gt;Cell Line&lt;/KEYWORD&gt;&lt;KEYWORD&gt;Cell Nucleus/metabolism</w:instrText>
      </w:r>
      <w:r>
        <w:rPr>
          <w:rFonts w:ascii="Arial" w:hAnsi="Arial"/>
          <w:iCs/>
        </w:rPr>
        <w:instrText>&lt;/KEYWORD&gt;&lt;KEYWORD&gt;Cricetinae&lt;/KEYWORD&gt;&lt;KEYWORD&gt;Dogs&lt;/KEYWORD&gt;&lt;KEYWORD&gt;Gene Expression&lt;/KEYWORD&gt;&lt;KEYWORD&gt;Microinjections&lt;/KEYWORD&gt;&lt;KEYWORD&gt;Orthomyxoviridae/*metabolism&lt;/KEYWORD&gt;&lt;KEYWORD&gt;RNA, Messenger/genetics&lt;/KEYWORD&gt;&lt;KEYWORD&gt;RNA, Viral/genetics&lt;/KEYWORD</w:instrText>
      </w:r>
      <w:r>
        <w:rPr>
          <w:rFonts w:ascii="Arial" w:hAnsi="Arial"/>
          <w:iCs/>
        </w:rPr>
        <w:instrText>&gt;&lt;KEYWORD&gt;Research Support, Non-U.S. Gov&amp;apos;t&lt;/KEYWORD&gt;&lt;KEYWORD&gt;Research Support, U.S. Gov&amp;apos;t, P.H.S.&lt;/KEYWORD&gt;&lt;KEYWORD&gt;Ribonucleoproteins/*metabolism&lt;/KEYWORD&gt;&lt;KEYWORD&gt;Viral Proteins/*metabolism&lt;/KEYWORD&gt;&lt;/KEYWORDS&gt;&lt;URL&gt;http://www.ncbi.nlm.nih.gov/e</w:instrText>
      </w:r>
      <w:r>
        <w:rPr>
          <w:rFonts w:ascii="Arial" w:hAnsi="Arial"/>
          <w:iCs/>
        </w:rPr>
        <w:instrText>ntrez/query.fcgi?cmd=Retrieve&amp;amp;db=PubMed&amp;amp;dopt=Citation&amp;amp;list_uids=8030204&lt;/URL&gt;&lt;/MDL&gt;&lt;/Cite&gt;&lt;/EndNote&gt;</w:instrText>
      </w:r>
      <w:r>
        <w:rPr>
          <w:rFonts w:ascii="Arial" w:hAnsi="Arial"/>
          <w:iCs/>
        </w:rPr>
        <w:fldChar w:fldCharType="separate"/>
      </w:r>
      <w:r>
        <w:rPr>
          <w:rFonts w:ascii="Arial" w:hAnsi="Arial"/>
          <w:iCs/>
          <w:vertAlign w:val="superscript"/>
        </w:rPr>
        <w:t>1</w:t>
      </w:r>
      <w:r>
        <w:rPr>
          <w:rFonts w:ascii="Arial" w:hAnsi="Arial"/>
          <w:iCs/>
        </w:rPr>
        <w:fldChar w:fldCharType="end"/>
      </w:r>
      <w:r>
        <w:rPr>
          <w:rFonts w:ascii="Arial" w:hAnsi="Arial"/>
          <w:iCs/>
        </w:rPr>
        <w:t xml:space="preserve">, </w:t>
      </w:r>
      <w:r>
        <w:rPr>
          <w:rFonts w:ascii="Arial" w:hAnsi="Arial"/>
        </w:rPr>
        <w:t xml:space="preserve">and the negative staining has been performed by Wu </w:t>
      </w:r>
      <w:r>
        <w:rPr>
          <w:rFonts w:ascii="Arial" w:hAnsi="Arial"/>
          <w:i/>
          <w:iCs/>
        </w:rPr>
        <w:t>et al</w:t>
      </w:r>
      <w:r>
        <w:rPr>
          <w:rFonts w:ascii="Arial" w:hAnsi="Arial"/>
        </w:rPr>
        <w:t>. (2007).</w:t>
      </w:r>
      <w:r>
        <w:rPr>
          <w:rFonts w:ascii="Arial" w:hAnsi="Arial"/>
        </w:rPr>
        <w:fldChar w:fldCharType="begin"/>
      </w:r>
      <w:r>
        <w:rPr>
          <w:rFonts w:ascii="Arial" w:hAnsi="Arial"/>
        </w:rPr>
        <w:instrText xml:space="preserve"> ADDIN EN.CITE &lt;EndNote&gt;&lt;Cite&gt;&lt;Author&gt;Wu&lt;/Author&gt;&lt;Year&gt;2007&lt;/Year&gt;&lt;RecNum</w:instrText>
      </w:r>
      <w:r>
        <w:rPr>
          <w:rFonts w:ascii="Arial" w:hAnsi="Arial"/>
        </w:rPr>
        <w:instrText>&gt;114&lt;/RecNum&gt;&lt;MDL&gt;&lt;REFERENCE_TYPE&gt;0&lt;/REFERENCE_TYPE&gt;&lt;AUTHORS&gt;&lt;AUTHOR&gt;Wu, W. W. H.&lt;/AUTHOR&gt;&lt;AUTHOR&gt;Weaver, L. L.&lt;/AUTHOR&gt;&lt;AUTHOR&gt;Pant&amp;#xE9;, N.&lt;/AUTHOR&gt;&lt;/AUTHORS&gt;&lt;YEAR&gt;2007&lt;/YEAR&gt;&lt;TITLE&gt;Ultrastructural analysis of the nuclear localization sequences on influ</w:instrText>
      </w:r>
      <w:r>
        <w:rPr>
          <w:rFonts w:ascii="Arial" w:hAnsi="Arial"/>
        </w:rPr>
        <w:instrText>enza a ribonucleoprotein complexes&lt;/TITLE&gt;&lt;SECONDARY_TITLE&gt;J Mol Biol&lt;/SECONDARY_TITLE&gt;&lt;VOLUME&gt;374&lt;/VOLUME&gt;&lt;NUMBER&gt;4&lt;/NUMBER&gt;&lt;PAGES&gt;910-6&lt;/PAGES&gt;&lt;DATE&gt;Dec 7&lt;/DATE&gt;&lt;ACCESSION_NUMBER&gt;17976646&lt;/ACCESSION_NUMBER&gt;&lt;URL&gt;http://www.ncbi.nlm.nih.gov/entrez/query.fc</w:instrText>
      </w:r>
      <w:r>
        <w:rPr>
          <w:rFonts w:ascii="Arial" w:hAnsi="Arial"/>
        </w:rPr>
        <w:instrText>gi?cmd=Retrieve&amp;amp;db=PubMed&amp;amp;dopt=Citation&amp;amp;list_uids=17976646&lt;/URL&gt;&lt;AUTHOR_ADDRESS&gt;Department of Zoology, University of British Columbia, 6270 University Boulevard, Vancouver, BC, Canada V6T 1Z4.&lt;/AUTHOR_ADDRESS&gt;&lt;/MDL&gt;&lt;/Cite&gt;&lt;/EndNote&gt;</w:instrText>
      </w:r>
      <w:r>
        <w:rPr>
          <w:rFonts w:ascii="Arial" w:hAnsi="Arial"/>
        </w:rPr>
        <w:fldChar w:fldCharType="separate"/>
      </w:r>
      <w:r>
        <w:rPr>
          <w:rFonts w:ascii="Arial" w:hAnsi="Arial"/>
          <w:vertAlign w:val="superscript"/>
        </w:rPr>
        <w:t>2</w:t>
      </w:r>
      <w:r>
        <w:rPr>
          <w:rFonts w:ascii="Arial" w:hAnsi="Arial"/>
        </w:rPr>
        <w:fldChar w:fldCharType="end"/>
      </w:r>
    </w:p>
    <w:p w:rsidR="00F83038" w:rsidRDefault="006010DD">
      <w:pPr>
        <w:rPr>
          <w:rFonts w:ascii="Arial" w:hAnsi="Arial"/>
          <w:b/>
        </w:rPr>
      </w:pPr>
    </w:p>
    <w:p w:rsidR="00F83038" w:rsidRDefault="006010DD">
      <w:pPr>
        <w:rPr>
          <w:rFonts w:ascii="Arial" w:hAnsi="Arial"/>
          <w:b/>
        </w:rPr>
      </w:pPr>
      <w:r>
        <w:rPr>
          <w:rFonts w:ascii="Arial" w:hAnsi="Arial"/>
          <w:b/>
        </w:rPr>
        <w:t>Part 1:</w:t>
      </w:r>
      <w:r>
        <w:rPr>
          <w:rFonts w:ascii="Arial" w:hAnsi="Arial"/>
          <w:b/>
        </w:rPr>
        <w:t xml:space="preserve"> Disruption of the Influenza A Virion</w:t>
      </w:r>
    </w:p>
    <w:p w:rsidR="00F83038" w:rsidRDefault="006010DD">
      <w:pPr>
        <w:rPr>
          <w:rFonts w:ascii="Arial" w:hAnsi="Arial"/>
        </w:rPr>
      </w:pPr>
      <w:r>
        <w:rPr>
          <w:rFonts w:ascii="Arial" w:hAnsi="Arial"/>
        </w:rPr>
        <w:t xml:space="preserve">1.1) Add 750 </w:t>
      </w:r>
      <w:r>
        <w:rPr>
          <w:rFonts w:ascii="Symbol" w:hAnsi="Symbol"/>
        </w:rPr>
        <w:t></w:t>
      </w:r>
      <w:r>
        <w:rPr>
          <w:rFonts w:ascii="Arial" w:hAnsi="Arial"/>
        </w:rPr>
        <w:t>l of MNT buffer (20 mM MES, 150 mM NaCl, 30 mM Tris, pH 7.5) into one Beckman polycarbonate centrifuge tube (11 mm x 34 mm) designed to fit into a TLA-120.2 rotor for use in a Beckman Optima Max-E ultracentrifuge.</w:t>
      </w:r>
    </w:p>
    <w:p w:rsidR="00F83038" w:rsidRDefault="006010DD">
      <w:pPr>
        <w:rPr>
          <w:rFonts w:ascii="Arial" w:hAnsi="Arial"/>
        </w:rPr>
      </w:pPr>
      <w:r>
        <w:rPr>
          <w:rFonts w:ascii="Arial" w:hAnsi="Arial"/>
        </w:rPr>
        <w:t xml:space="preserve">1.2) Add 500 </w:t>
      </w:r>
      <w:r>
        <w:rPr>
          <w:rFonts w:ascii="Symbol" w:hAnsi="Symbol"/>
        </w:rPr>
        <w:t></w:t>
      </w:r>
      <w:r>
        <w:rPr>
          <w:rFonts w:ascii="Arial" w:hAnsi="Arial"/>
        </w:rPr>
        <w:t xml:space="preserve">l of the influenza A virus </w:t>
      </w:r>
      <w:r>
        <w:rPr>
          <w:rFonts w:ascii="Arial" w:hAnsi="Arial"/>
        </w:rPr>
        <w:t>(H3N2 X-31 A/AICHI/68 strain; 2 mg/ml) into that tube. Mix the virus with the MNT buffer by pipetting up and down several times.</w:t>
      </w:r>
    </w:p>
    <w:p w:rsidR="00F83038" w:rsidRDefault="006010DD">
      <w:pPr>
        <w:rPr>
          <w:rFonts w:ascii="Arial" w:hAnsi="Arial"/>
        </w:rPr>
      </w:pPr>
      <w:r>
        <w:rPr>
          <w:rFonts w:ascii="Arial" w:hAnsi="Arial"/>
        </w:rPr>
        <w:t>1.3) Centrifuge for 10 minutes at 109,000 x g, 4 °C, in a Beckman Optima Max-E centrifuge using a TLA-120.2 rotor.</w:t>
      </w:r>
    </w:p>
    <w:p w:rsidR="00F83038" w:rsidRDefault="006010DD">
      <w:pPr>
        <w:rPr>
          <w:rFonts w:ascii="Arial" w:hAnsi="Arial"/>
        </w:rPr>
      </w:pPr>
      <w:r>
        <w:rPr>
          <w:rFonts w:ascii="Arial" w:hAnsi="Arial"/>
        </w:rPr>
        <w:t xml:space="preserve">1.4) Remove </w:t>
      </w:r>
      <w:r>
        <w:rPr>
          <w:rFonts w:ascii="Arial" w:hAnsi="Arial"/>
        </w:rPr>
        <w:t xml:space="preserve">the supernatant, and resuspend the pellet in 500 </w:t>
      </w:r>
      <w:r>
        <w:rPr>
          <w:rFonts w:ascii="Symbol" w:hAnsi="Symbol"/>
        </w:rPr>
        <w:t></w:t>
      </w:r>
      <w:r>
        <w:rPr>
          <w:rFonts w:ascii="Arial" w:hAnsi="Arial"/>
        </w:rPr>
        <w:t>l disruption buffer (100 mM KCl, 5 mM MgCl</w:t>
      </w:r>
      <w:r>
        <w:rPr>
          <w:rFonts w:ascii="Arial" w:hAnsi="Arial"/>
          <w:vertAlign w:val="subscript"/>
        </w:rPr>
        <w:t>2</w:t>
      </w:r>
      <w:r>
        <w:rPr>
          <w:rFonts w:ascii="Arial" w:hAnsi="Arial"/>
        </w:rPr>
        <w:t>, 5% (w/v) glycerol, 50 mM octylglucoside, 10 mg/ml lysolecithin, 1.5 mM dithiothreitol, 100 mM MES, pH 5.5).</w:t>
      </w:r>
    </w:p>
    <w:p w:rsidR="00F83038" w:rsidRDefault="006010DD">
      <w:pPr>
        <w:rPr>
          <w:rFonts w:ascii="Arial" w:hAnsi="Arial"/>
        </w:rPr>
      </w:pPr>
      <w:r>
        <w:rPr>
          <w:rFonts w:ascii="Arial" w:hAnsi="Arial"/>
        </w:rPr>
        <w:t>1.5) Vortex vigorously, and then shake at 31 °C for 20 minutes in an eppendorf thermomixer.</w:t>
      </w:r>
    </w:p>
    <w:p w:rsidR="00F83038" w:rsidRDefault="006010DD">
      <w:pPr>
        <w:rPr>
          <w:rFonts w:ascii="Arial" w:hAnsi="Arial"/>
        </w:rPr>
      </w:pPr>
    </w:p>
    <w:p w:rsidR="00F83038" w:rsidRDefault="006010DD">
      <w:pPr>
        <w:rPr>
          <w:rFonts w:ascii="Arial" w:hAnsi="Arial"/>
          <w:b/>
        </w:rPr>
      </w:pPr>
      <w:r>
        <w:rPr>
          <w:rFonts w:ascii="Arial" w:hAnsi="Arial"/>
          <w:b/>
        </w:rPr>
        <w:t>Part 2: G</w:t>
      </w:r>
      <w:r>
        <w:rPr>
          <w:rFonts w:ascii="Arial" w:hAnsi="Arial"/>
          <w:b/>
        </w:rPr>
        <w:t>lycerol Gradient Sediment Velocity Centrifugation</w:t>
      </w:r>
    </w:p>
    <w:p w:rsidR="00F83038" w:rsidRDefault="006010DD">
      <w:pPr>
        <w:rPr>
          <w:rFonts w:ascii="Arial" w:hAnsi="Arial"/>
        </w:rPr>
      </w:pPr>
      <w:r>
        <w:rPr>
          <w:rFonts w:ascii="Arial" w:hAnsi="Arial"/>
        </w:rPr>
        <w:t>2.1) Prepare a glycerol gradient by placing the following amounts of glycerol into a Beckman ultraclear centrifuge tube (13 mm x 51 mm): 1 ml 70% (v/v) glycerol, 0.75 ml 50% glycerol, 0.375 ml 40% glycerol,</w:t>
      </w:r>
      <w:r>
        <w:rPr>
          <w:rFonts w:ascii="Arial" w:hAnsi="Arial"/>
        </w:rPr>
        <w:t xml:space="preserve"> and 1.8 ml 33% glycerol. Glycerol solutions are made by mixing pure glycerol with NM buffer (150 mM NaCl, 50 mM MES, pH 5.5). Also prepare a balance tube containing both glycerol and buffer.</w:t>
      </w:r>
    </w:p>
    <w:p w:rsidR="00F83038" w:rsidRDefault="006010DD">
      <w:pPr>
        <w:rPr>
          <w:rFonts w:ascii="Arial" w:hAnsi="Arial"/>
        </w:rPr>
      </w:pPr>
      <w:r>
        <w:rPr>
          <w:rFonts w:ascii="Arial" w:hAnsi="Arial"/>
        </w:rPr>
        <w:t>2.2) Vortex the disrupted viral sample again, and load it onto t</w:t>
      </w:r>
      <w:r>
        <w:rPr>
          <w:rFonts w:ascii="Arial" w:hAnsi="Arial"/>
        </w:rPr>
        <w:t>he glycerol gradient.</w:t>
      </w:r>
    </w:p>
    <w:p w:rsidR="00F83038" w:rsidRDefault="006010DD">
      <w:pPr>
        <w:rPr>
          <w:rFonts w:ascii="Arial" w:hAnsi="Arial"/>
        </w:rPr>
      </w:pPr>
      <w:r>
        <w:rPr>
          <w:rFonts w:ascii="Arial" w:hAnsi="Arial"/>
        </w:rPr>
        <w:t>2.3) Centrifuge the gradient for 3.75 hours at 217,000 x g, 4 °C, in a Beckman MLS-50 swinging-bucket rotor.</w:t>
      </w:r>
    </w:p>
    <w:p w:rsidR="00F83038" w:rsidRDefault="006010DD">
      <w:pPr>
        <w:rPr>
          <w:rFonts w:ascii="Arial" w:hAnsi="Arial"/>
        </w:rPr>
      </w:pPr>
      <w:r>
        <w:rPr>
          <w:rFonts w:ascii="Arial" w:hAnsi="Arial"/>
        </w:rPr>
        <w:lastRenderedPageBreak/>
        <w:t>2.4) After the centrifugation is complete, manually collect 250 µl aliquots of the gradient starting from the top of the tube</w:t>
      </w:r>
      <w:r>
        <w:rPr>
          <w:rFonts w:ascii="Arial" w:hAnsi="Arial"/>
        </w:rPr>
        <w:t>. Keep fractions on ice or at 4 °C.</w:t>
      </w:r>
    </w:p>
    <w:p w:rsidR="00F83038" w:rsidRDefault="006010DD">
      <w:pPr>
        <w:rPr>
          <w:rFonts w:ascii="Arial" w:hAnsi="Arial"/>
        </w:rPr>
      </w:pPr>
    </w:p>
    <w:p w:rsidR="00F83038" w:rsidRDefault="006010DD">
      <w:pPr>
        <w:rPr>
          <w:rFonts w:ascii="Arial" w:hAnsi="Arial"/>
          <w:b/>
        </w:rPr>
      </w:pPr>
      <w:r>
        <w:rPr>
          <w:rFonts w:ascii="Arial" w:hAnsi="Arial"/>
          <w:b/>
        </w:rPr>
        <w:t>Part 3: Analysis of the Glycerol Gradient Fractions by SDS Polyacrylamide Gel Electrophoresis</w:t>
      </w:r>
    </w:p>
    <w:p w:rsidR="00F83038" w:rsidRDefault="006010DD">
      <w:pPr>
        <w:rPr>
          <w:rFonts w:ascii="Arial" w:hAnsi="Arial"/>
        </w:rPr>
      </w:pPr>
      <w:r>
        <w:rPr>
          <w:rFonts w:ascii="Arial" w:hAnsi="Arial"/>
        </w:rPr>
        <w:t>3.1) Remove 20 µl from each fraction to a fresh tube.</w:t>
      </w:r>
    </w:p>
    <w:p w:rsidR="00F83038" w:rsidRDefault="006010DD">
      <w:pPr>
        <w:rPr>
          <w:rFonts w:ascii="Arial" w:hAnsi="Arial"/>
        </w:rPr>
      </w:pPr>
      <w:r>
        <w:rPr>
          <w:rFonts w:ascii="Arial" w:hAnsi="Arial"/>
        </w:rPr>
        <w:t xml:space="preserve">3.2) Add 5 </w:t>
      </w:r>
      <w:r>
        <w:rPr>
          <w:rFonts w:ascii="Symbol" w:hAnsi="Symbol"/>
        </w:rPr>
        <w:t></w:t>
      </w:r>
      <w:r>
        <w:rPr>
          <w:rFonts w:ascii="Arial" w:hAnsi="Arial"/>
        </w:rPr>
        <w:t>l of 5x SDS-PAGE sample buffer.</w:t>
      </w:r>
    </w:p>
    <w:p w:rsidR="00F83038" w:rsidRDefault="006010DD">
      <w:pPr>
        <w:rPr>
          <w:rFonts w:ascii="Arial" w:hAnsi="Arial"/>
        </w:rPr>
      </w:pPr>
      <w:r>
        <w:rPr>
          <w:rFonts w:ascii="Arial" w:hAnsi="Arial"/>
        </w:rPr>
        <w:t>3.3) Heat to 95 °C for 5 minutes.</w:t>
      </w:r>
    </w:p>
    <w:p w:rsidR="00F83038" w:rsidRDefault="006010DD">
      <w:pPr>
        <w:rPr>
          <w:rFonts w:ascii="Arial" w:hAnsi="Arial"/>
        </w:rPr>
      </w:pPr>
      <w:r>
        <w:rPr>
          <w:rFonts w:ascii="Arial" w:hAnsi="Arial"/>
        </w:rPr>
        <w:t>3.4) Spin down the samples briefly and load them onto a 10% polyacrylamide gel, and include  molecular weight markers in one of the wells.</w:t>
      </w:r>
    </w:p>
    <w:p w:rsidR="00F83038" w:rsidRDefault="006010DD">
      <w:pPr>
        <w:rPr>
          <w:rFonts w:ascii="Arial" w:hAnsi="Arial"/>
        </w:rPr>
      </w:pPr>
      <w:r>
        <w:rPr>
          <w:rFonts w:ascii="Arial" w:hAnsi="Arial"/>
        </w:rPr>
        <w:t>3.5) Run the samples on the gel until the bromphen</w:t>
      </w:r>
      <w:r>
        <w:rPr>
          <w:rFonts w:ascii="Arial" w:hAnsi="Arial"/>
        </w:rPr>
        <w:t>ol blue loading dye reaches close to the bottom of the gel.</w:t>
      </w:r>
    </w:p>
    <w:p w:rsidR="00F83038" w:rsidRDefault="006010DD">
      <w:pPr>
        <w:rPr>
          <w:rFonts w:ascii="Arial" w:hAnsi="Arial"/>
        </w:rPr>
      </w:pPr>
      <w:r>
        <w:rPr>
          <w:rFonts w:ascii="Arial" w:hAnsi="Arial"/>
        </w:rPr>
        <w:t>3.6) Stain the gel with Coomassie blue.</w:t>
      </w:r>
    </w:p>
    <w:p w:rsidR="00F83038" w:rsidRDefault="006010DD">
      <w:pPr>
        <w:rPr>
          <w:rFonts w:ascii="Arial" w:hAnsi="Arial"/>
        </w:rPr>
      </w:pPr>
    </w:p>
    <w:p w:rsidR="00F83038" w:rsidRDefault="006010DD">
      <w:pPr>
        <w:rPr>
          <w:rFonts w:ascii="Arial" w:hAnsi="Arial"/>
          <w:b/>
        </w:rPr>
      </w:pPr>
      <w:r>
        <w:rPr>
          <w:rFonts w:ascii="Arial" w:hAnsi="Arial"/>
          <w:b/>
        </w:rPr>
        <w:t>Part 4: Concentration of the vRNP Fractions</w:t>
      </w:r>
    </w:p>
    <w:p w:rsidR="00F83038" w:rsidRDefault="006010DD">
      <w:pPr>
        <w:rPr>
          <w:rFonts w:ascii="Arial" w:hAnsi="Arial"/>
        </w:rPr>
      </w:pPr>
      <w:r>
        <w:rPr>
          <w:rFonts w:ascii="Arial" w:hAnsi="Arial"/>
        </w:rPr>
        <w:t>4.1) Choose the glycerol fractions containing mainly NP, combine them, and distribute them into two Beckman pol</w:t>
      </w:r>
      <w:r>
        <w:rPr>
          <w:rFonts w:ascii="Arial" w:hAnsi="Arial"/>
        </w:rPr>
        <w:t>ycarbonate centrifuge tubes (11 mm x 34 mm).</w:t>
      </w:r>
    </w:p>
    <w:p w:rsidR="00F83038" w:rsidRDefault="006010DD">
      <w:pPr>
        <w:rPr>
          <w:rFonts w:ascii="Arial" w:hAnsi="Arial"/>
        </w:rPr>
      </w:pPr>
      <w:r>
        <w:rPr>
          <w:rFonts w:ascii="Arial" w:hAnsi="Arial"/>
        </w:rPr>
        <w:t>4.2) Fill each tube with diethyl pyrocarbonate (DEPC)-treated Ultrapure water, and pipet up and down several times to mix.</w:t>
      </w:r>
    </w:p>
    <w:p w:rsidR="00F83038" w:rsidRDefault="006010DD">
      <w:pPr>
        <w:rPr>
          <w:rFonts w:ascii="Arial" w:hAnsi="Arial"/>
        </w:rPr>
      </w:pPr>
      <w:r>
        <w:rPr>
          <w:rFonts w:ascii="Arial" w:hAnsi="Arial"/>
        </w:rPr>
        <w:t>4.3) Centrifuge for 4.5 hours at 157,000 x g, 4°C, in a Beckman TLA-120.2 rotor.</w:t>
      </w:r>
    </w:p>
    <w:p w:rsidR="00F83038" w:rsidRDefault="006010DD">
      <w:pPr>
        <w:rPr>
          <w:rFonts w:ascii="Arial" w:hAnsi="Arial"/>
        </w:rPr>
      </w:pPr>
      <w:r>
        <w:rPr>
          <w:rFonts w:ascii="Arial" w:hAnsi="Arial"/>
        </w:rPr>
        <w:t>4.4) Re</w:t>
      </w:r>
      <w:r>
        <w:rPr>
          <w:rFonts w:ascii="Arial" w:hAnsi="Arial"/>
        </w:rPr>
        <w:t xml:space="preserve">move the supernatant, and resuspend the pellet in 50 </w:t>
      </w:r>
      <w:r>
        <w:rPr>
          <w:rFonts w:ascii="Symbol" w:hAnsi="Symbol"/>
        </w:rPr>
        <w:t></w:t>
      </w:r>
      <w:r>
        <w:rPr>
          <w:rFonts w:ascii="Arial" w:hAnsi="Arial"/>
        </w:rPr>
        <w:t>l of DEPC-treated water.</w:t>
      </w:r>
    </w:p>
    <w:p w:rsidR="00F83038" w:rsidRDefault="006010DD">
      <w:pPr>
        <w:rPr>
          <w:rFonts w:ascii="Arial" w:hAnsi="Arial"/>
        </w:rPr>
      </w:pPr>
      <w:r>
        <w:rPr>
          <w:rFonts w:ascii="Arial" w:hAnsi="Arial"/>
        </w:rPr>
        <w:t>4.5) If desired, the A</w:t>
      </w:r>
      <w:r>
        <w:rPr>
          <w:rFonts w:ascii="Arial" w:hAnsi="Arial"/>
          <w:vertAlign w:val="subscript"/>
        </w:rPr>
        <w:t>280</w:t>
      </w:r>
      <w:r>
        <w:rPr>
          <w:rFonts w:ascii="Arial" w:hAnsi="Arial"/>
        </w:rPr>
        <w:t xml:space="preserve"> of the concentrated vRNPs can be measured. As NP is the major component present in the pooled fractions, an estimate of the molarity of NP can be calcu</w:t>
      </w:r>
      <w:r>
        <w:rPr>
          <w:rFonts w:ascii="Arial" w:hAnsi="Arial"/>
        </w:rPr>
        <w:t>lated using its extinction coefficient of 55,350 M</w:t>
      </w:r>
      <w:r>
        <w:rPr>
          <w:rFonts w:ascii="Arial" w:hAnsi="Arial"/>
          <w:vertAlign w:val="superscript"/>
        </w:rPr>
        <w:t>-1</w:t>
      </w:r>
      <w:r>
        <w:rPr>
          <w:rFonts w:ascii="Arial" w:hAnsi="Arial"/>
        </w:rPr>
        <w:t xml:space="preserve"> cm</w:t>
      </w:r>
      <w:r>
        <w:rPr>
          <w:rFonts w:ascii="Arial" w:hAnsi="Arial"/>
          <w:vertAlign w:val="superscript"/>
        </w:rPr>
        <w:t>-1</w:t>
      </w:r>
      <w:r>
        <w:rPr>
          <w:rFonts w:ascii="Arial" w:hAnsi="Arial"/>
        </w:rPr>
        <w:t xml:space="preserve"> (as determined via ProtParam</w:t>
      </w:r>
      <w:r>
        <w:rPr>
          <w:rFonts w:ascii="Arial" w:hAnsi="Arial"/>
        </w:rPr>
        <w:fldChar w:fldCharType="begin"/>
      </w:r>
      <w:r>
        <w:rPr>
          <w:rFonts w:ascii="Arial" w:hAnsi="Arial"/>
        </w:rPr>
        <w:instrText xml:space="preserve"> ADDIN EN.CITE &lt;EndNote&gt;&lt;Cite&gt;&lt;Author&gt;Gasteiger&lt;/Author&gt;&lt;Year&gt;2005&lt;/Year&gt;&lt;RecNum&gt;53&lt;/RecNum&gt;&lt;MDL&gt;&lt;REFERENCE_TYPE&gt;7&lt;/REFERENCE_TYPE&gt;&lt;AUTHORS&gt;&lt;AUTHOR&gt;Gasteiger, E.&lt;/AUTHOR</w:instrText>
      </w:r>
      <w:r>
        <w:rPr>
          <w:rFonts w:ascii="Arial" w:hAnsi="Arial"/>
        </w:rPr>
        <w:instrText>&gt;&lt;AUTHOR&gt;Hoogland, C.&lt;/AUTHOR&gt;&lt;AUTHOR&gt;Gattiker, A.&lt;/AUTHOR&gt;&lt;AUTHOR&gt;Duvaud, S.&lt;/AUTHOR&gt;&lt;AUTHOR&gt;Wilkins, M.R.&lt;/AUTHOR&gt;&lt;AUTHOR&gt;Appel, R.D.&lt;/AUTHOR&gt;&lt;AUTHOR&gt;Bairoch, A.&lt;/AUTHOR&gt;&lt;/AUTHORS&gt;&lt;YEAR&gt;2005&lt;/YEAR&gt;&lt;TITLE&gt;Protein Identification and Analysis Tools on the E</w:instrText>
      </w:r>
      <w:r>
        <w:rPr>
          <w:rFonts w:ascii="Arial" w:hAnsi="Arial"/>
        </w:rPr>
        <w:instrText>xPASy Server&lt;/TITLE&gt;&lt;SECONDARY_AUTHORS&gt;&lt;SECONDARY_AUTHOR&gt;Walker, J. M.&lt;/SECONDARY_AUTHOR&gt;&lt;/SECONDARY_AUTHORS&gt;&lt;SECONDARY_TITLE&gt;The Proteomics Protocols Handbook&lt;/SECONDARY_TITLE&gt;&lt;PUBLISHER&gt;Humana Press&lt;/PUBLISHER&gt;&lt;PAGES&gt;571-607&lt;/PAGES&gt;&lt;/MDL&gt;&lt;/Cite&gt;&lt;/EndNote</w:instrText>
      </w:r>
      <w:r>
        <w:rPr>
          <w:rFonts w:ascii="Arial" w:hAnsi="Arial"/>
        </w:rPr>
        <w:instrText>&gt;</w:instrText>
      </w:r>
      <w:r>
        <w:rPr>
          <w:rFonts w:ascii="Arial" w:hAnsi="Arial"/>
        </w:rPr>
        <w:fldChar w:fldCharType="separate"/>
      </w:r>
      <w:r>
        <w:rPr>
          <w:rFonts w:ascii="Arial" w:hAnsi="Arial"/>
          <w:vertAlign w:val="superscript"/>
        </w:rPr>
        <w:t>3</w:t>
      </w:r>
      <w:r>
        <w:rPr>
          <w:rFonts w:ascii="Arial" w:hAnsi="Arial"/>
        </w:rPr>
        <w:fldChar w:fldCharType="end"/>
      </w:r>
      <w:r>
        <w:rPr>
          <w:rFonts w:ascii="Arial" w:hAnsi="Arial"/>
        </w:rPr>
        <w:t>).</w:t>
      </w:r>
    </w:p>
    <w:p w:rsidR="00F83038" w:rsidRDefault="006010DD">
      <w:pPr>
        <w:rPr>
          <w:rFonts w:ascii="Arial" w:hAnsi="Arial"/>
        </w:rPr>
      </w:pPr>
      <w:r>
        <w:rPr>
          <w:rFonts w:ascii="Arial" w:hAnsi="Arial"/>
        </w:rPr>
        <w:t>4.6) Aliquot the purified vRNPs, and store them frozen at -80 °C for later use.</w:t>
      </w:r>
    </w:p>
    <w:p w:rsidR="00F83038" w:rsidRDefault="006010DD">
      <w:pPr>
        <w:rPr>
          <w:rFonts w:ascii="Arial" w:hAnsi="Arial"/>
        </w:rPr>
      </w:pPr>
    </w:p>
    <w:p w:rsidR="00F83038" w:rsidRDefault="006010DD">
      <w:pPr>
        <w:rPr>
          <w:rFonts w:ascii="Arial" w:hAnsi="Arial"/>
          <w:b/>
        </w:rPr>
      </w:pPr>
      <w:r>
        <w:rPr>
          <w:rFonts w:ascii="Arial" w:hAnsi="Arial"/>
          <w:b/>
        </w:rPr>
        <w:t xml:space="preserve">Part 5: Negative Staining of vRNPs </w:t>
      </w:r>
    </w:p>
    <w:p w:rsidR="00F83038" w:rsidRDefault="006010DD">
      <w:pPr>
        <w:rPr>
          <w:rFonts w:ascii="Arial" w:hAnsi="Arial"/>
        </w:rPr>
      </w:pPr>
      <w:r>
        <w:rPr>
          <w:rFonts w:ascii="Arial" w:hAnsi="Arial"/>
        </w:rPr>
        <w:t>5.1) Dilute 1 µl of purified vRNP into 9 µl of freshly-made and filtered-twice MNT buffer (20 mM MES, 150 mM NaCl, 30 mM Tris, pH 7.</w:t>
      </w:r>
      <w:r>
        <w:rPr>
          <w:rFonts w:ascii="Arial" w:hAnsi="Arial"/>
        </w:rPr>
        <w:t>5). Other buffers are also OK to dilute the vRNPs and to wash the specimen grid (step 5.5), but do not use PBS if uranyl acetate is used for negative staining.</w:t>
      </w:r>
    </w:p>
    <w:p w:rsidR="00F83038" w:rsidRDefault="006010DD">
      <w:pPr>
        <w:rPr>
          <w:rFonts w:ascii="Arial" w:hAnsi="Arial"/>
        </w:rPr>
      </w:pPr>
      <w:r>
        <w:rPr>
          <w:rFonts w:ascii="Arial" w:hAnsi="Arial"/>
        </w:rPr>
        <w:lastRenderedPageBreak/>
        <w:t>5.2) Glow-discharge a specimen (copper TEM) grid previously coated with a parlodion and carbon f</w:t>
      </w:r>
      <w:r>
        <w:rPr>
          <w:rFonts w:ascii="Arial" w:hAnsi="Arial"/>
        </w:rPr>
        <w:t>ilm for 30 seconds.</w:t>
      </w:r>
    </w:p>
    <w:p w:rsidR="00F83038" w:rsidRDefault="006010DD">
      <w:pPr>
        <w:rPr>
          <w:rFonts w:ascii="Arial" w:hAnsi="Arial"/>
        </w:rPr>
      </w:pPr>
      <w:r>
        <w:rPr>
          <w:rFonts w:ascii="Arial" w:hAnsi="Arial"/>
        </w:rPr>
        <w:t>5.3) Hold the freshly glow-discharged specimen grid with tweezers, and apply a 5-µl drop of diluted vRNP onto the specimen grid.</w:t>
      </w:r>
    </w:p>
    <w:p w:rsidR="00F83038" w:rsidRDefault="006010DD">
      <w:pPr>
        <w:rPr>
          <w:rFonts w:ascii="Arial" w:hAnsi="Arial"/>
        </w:rPr>
      </w:pPr>
      <w:r>
        <w:rPr>
          <w:rFonts w:ascii="Arial" w:hAnsi="Arial"/>
        </w:rPr>
        <w:t>5.4) Leave the drop of specimen on the grid for 8 minutes.</w:t>
      </w:r>
    </w:p>
    <w:p w:rsidR="00F83038" w:rsidRDefault="006010DD">
      <w:pPr>
        <w:rPr>
          <w:rFonts w:ascii="Arial" w:hAnsi="Arial"/>
        </w:rPr>
      </w:pPr>
      <w:r>
        <w:rPr>
          <w:rFonts w:ascii="Arial" w:hAnsi="Arial"/>
        </w:rPr>
        <w:t>5.5) While waiting, place a small strip of Paraf</w:t>
      </w:r>
      <w:r>
        <w:rPr>
          <w:rFonts w:ascii="Arial" w:hAnsi="Arial"/>
        </w:rPr>
        <w:t>ilm on the bench, and dispense 2 drops containing 10 µl each of MNT buffer (to wash the grid), and a 80-µl drop of the freshly made staining solution (1% ammonium molybdate or 1% uranyl acetate) onto the Parafilm.</w:t>
      </w:r>
    </w:p>
    <w:p w:rsidR="00F83038" w:rsidRDefault="006010DD">
      <w:pPr>
        <w:rPr>
          <w:rFonts w:ascii="Arial" w:hAnsi="Arial"/>
        </w:rPr>
      </w:pPr>
      <w:r>
        <w:rPr>
          <w:rFonts w:ascii="Arial" w:hAnsi="Arial"/>
        </w:rPr>
        <w:t>5.6) After the 8-minutes of adsorption, wi</w:t>
      </w:r>
      <w:r>
        <w:rPr>
          <w:rFonts w:ascii="Arial" w:hAnsi="Arial"/>
        </w:rPr>
        <w:t>ck off part of the sample solution from the specimen grid with a piece of filter paper (cut into triangles). Do not let the specimen grid to dry.</w:t>
      </w:r>
    </w:p>
    <w:p w:rsidR="00F83038" w:rsidRDefault="006010DD">
      <w:pPr>
        <w:rPr>
          <w:rFonts w:ascii="Arial" w:hAnsi="Arial"/>
        </w:rPr>
      </w:pPr>
      <w:r>
        <w:rPr>
          <w:rFonts w:ascii="Arial" w:hAnsi="Arial"/>
        </w:rPr>
        <w:t>5.7) Wash specimen grid in 2 drops containing 10 µl each of MNT buffer for a total time of 1 minute. This is d</w:t>
      </w:r>
      <w:r>
        <w:rPr>
          <w:rFonts w:ascii="Arial" w:hAnsi="Arial"/>
        </w:rPr>
        <w:t>one by carefully lowering the specimen grid on the drop, and then wicking off part of the sample solution from the specimen grid with a piece of filter paper (without letting the specimen grid dry).</w:t>
      </w:r>
    </w:p>
    <w:p w:rsidR="00F83038" w:rsidRDefault="006010DD">
      <w:pPr>
        <w:rPr>
          <w:rFonts w:ascii="Arial" w:hAnsi="Arial"/>
        </w:rPr>
      </w:pPr>
      <w:r>
        <w:rPr>
          <w:rFonts w:ascii="Arial" w:hAnsi="Arial"/>
        </w:rPr>
        <w:t>5.8) Immediately after wicking off the last drop of buffe</w:t>
      </w:r>
      <w:r>
        <w:rPr>
          <w:rFonts w:ascii="Arial" w:hAnsi="Arial"/>
        </w:rPr>
        <w:t>r from specimen grid, completely submerge the specimen grid within the stain droplet and wait 1 minute.</w:t>
      </w:r>
    </w:p>
    <w:p w:rsidR="00F83038" w:rsidRDefault="006010DD">
      <w:pPr>
        <w:rPr>
          <w:rFonts w:ascii="Arial" w:hAnsi="Arial"/>
        </w:rPr>
      </w:pPr>
      <w:r>
        <w:rPr>
          <w:rFonts w:ascii="Arial" w:hAnsi="Arial"/>
        </w:rPr>
        <w:t>5.9) Completely wick off the stain solution from the specimen grid with a piece of filter paper.</w:t>
      </w:r>
    </w:p>
    <w:p w:rsidR="00F83038" w:rsidRDefault="006010DD">
      <w:pPr>
        <w:rPr>
          <w:rFonts w:ascii="Arial" w:hAnsi="Arial"/>
        </w:rPr>
      </w:pPr>
      <w:r>
        <w:rPr>
          <w:rFonts w:ascii="Arial" w:hAnsi="Arial"/>
        </w:rPr>
        <w:t>5.10) Allow the specimen grid to air-dry for several mi</w:t>
      </w:r>
      <w:r>
        <w:rPr>
          <w:rFonts w:ascii="Arial" w:hAnsi="Arial"/>
        </w:rPr>
        <w:t>nutes before observation under a transmission electron microscope.</w:t>
      </w:r>
    </w:p>
    <w:p w:rsidR="00F83038" w:rsidRDefault="006010DD">
      <w:pPr>
        <w:rPr>
          <w:rFonts w:ascii="Arial" w:hAnsi="Arial"/>
        </w:rPr>
      </w:pPr>
    </w:p>
    <w:p w:rsidR="00F83038" w:rsidRDefault="006010DD">
      <w:pPr>
        <w:rPr>
          <w:rFonts w:ascii="Arial" w:hAnsi="Arial"/>
          <w:lang w:eastAsia="zh-TW"/>
        </w:rPr>
      </w:pPr>
      <w:r>
        <w:rPr>
          <w:rFonts w:ascii="Arial" w:hAnsi="Arial"/>
          <w:b/>
        </w:rPr>
        <w:t xml:space="preserve">Part 6: Representative Results: </w:t>
      </w:r>
    </w:p>
    <w:p w:rsidR="00F83038" w:rsidRDefault="006010DD">
      <w:pPr>
        <w:rPr>
          <w:rFonts w:ascii="Arial" w:hAnsi="Arial"/>
        </w:rPr>
      </w:pPr>
      <w:r>
        <w:rPr>
          <w:rFonts w:ascii="Arial" w:hAnsi="Arial"/>
        </w:rPr>
        <w:t>A flow diagram of the procedure is outlined in Figure 1.</w:t>
      </w:r>
    </w:p>
    <w:p w:rsidR="00F83038" w:rsidRDefault="006010DD">
      <w:pPr>
        <w:rPr>
          <w:rFonts w:ascii="Arial" w:hAnsi="Arial"/>
        </w:rPr>
      </w:pPr>
      <w:r>
        <w:rPr>
          <w:rFonts w:ascii="Arial" w:hAnsi="Arial"/>
        </w:rPr>
        <w:t>As influenza A NP (~56 kDa) is the major protein found in viral ribonucleoprotein complexes, the N</w:t>
      </w:r>
      <w:r>
        <w:rPr>
          <w:rFonts w:ascii="Arial" w:hAnsi="Arial"/>
        </w:rPr>
        <w:t>P band generally is the strongest band in the fractions containing the vRNPs (Figure 2). In addition to NP, each influenza vRNP also contains a copy of a trimeric RNA polymerase (molecular weights of 82, 86 and 86.5 kDa) complex. These may or may not be vi</w:t>
      </w:r>
      <w:r>
        <w:rPr>
          <w:rFonts w:ascii="Arial" w:hAnsi="Arial"/>
        </w:rPr>
        <w:t>sible by Coomassie blue staining because their abundance is low compared to that of NP. The polymerases, however, can be detected if, instead of a Commassie blue stain, a silver stain of the gel is performed. The influenza matrix protein M1 (~ 28 kDa) shou</w:t>
      </w:r>
      <w:r>
        <w:rPr>
          <w:rFonts w:ascii="Arial" w:hAnsi="Arial"/>
        </w:rPr>
        <w:t>ld be minimally present in the fractions where the NP protein peak fractions are present.</w:t>
      </w:r>
    </w:p>
    <w:p w:rsidR="00F83038" w:rsidRDefault="006010DD">
      <w:pPr>
        <w:rPr>
          <w:rFonts w:ascii="Arial" w:hAnsi="Arial"/>
        </w:rPr>
      </w:pPr>
      <w:r>
        <w:rPr>
          <w:rFonts w:ascii="Arial" w:hAnsi="Arial"/>
        </w:rPr>
        <w:t>Negatively-stained vRNPs as visualized under a transmission electron microscopy should yield vRNPs that resemble rod-shaped particles with variable length that are ap</w:t>
      </w:r>
      <w:r>
        <w:rPr>
          <w:rFonts w:ascii="Arial" w:hAnsi="Arial"/>
        </w:rPr>
        <w:t xml:space="preserve">proximately 30 nm to 120 nm in length (Figure 3a). The oligomeric NP is organized as a chain of NP molecules that is further folded into a double helical repeat structure, so loops on either ends of these rod-shaped particles can sometimes be seen (Figure </w:t>
      </w:r>
      <w:r>
        <w:rPr>
          <w:rFonts w:ascii="Arial" w:hAnsi="Arial"/>
        </w:rPr>
        <w:t>3b).</w:t>
      </w:r>
    </w:p>
    <w:p w:rsidR="00F83038" w:rsidRDefault="006010DD">
      <w:pPr>
        <w:rPr>
          <w:rFonts w:ascii="Arial" w:hAnsi="Arial"/>
        </w:rPr>
      </w:pPr>
    </w:p>
    <w:p w:rsidR="00F83038" w:rsidRDefault="006010DD">
      <w:pPr>
        <w:rPr>
          <w:rFonts w:ascii="Arial" w:hAnsi="Arial"/>
        </w:rPr>
      </w:pPr>
      <w:r>
        <w:rPr>
          <w:rFonts w:ascii="Arial" w:hAnsi="Arial"/>
          <w:b/>
        </w:rPr>
        <w:t>Discussion:</w:t>
      </w:r>
      <w:r>
        <w:rPr>
          <w:rFonts w:ascii="Arial" w:hAnsi="Arial"/>
        </w:rPr>
        <w:t xml:space="preserve"> </w:t>
      </w:r>
    </w:p>
    <w:p w:rsidR="00F83038" w:rsidRDefault="006010DD">
      <w:pPr>
        <w:rPr>
          <w:rFonts w:ascii="Arial" w:hAnsi="Arial"/>
        </w:rPr>
      </w:pPr>
      <w:r>
        <w:rPr>
          <w:rFonts w:ascii="Arial" w:hAnsi="Arial"/>
        </w:rPr>
        <w:t xml:space="preserve">The purification of vRNPs is based on the procedure described by Kemler </w:t>
      </w:r>
      <w:r>
        <w:rPr>
          <w:rFonts w:ascii="Arial" w:hAnsi="Arial"/>
          <w:i/>
          <w:iCs/>
        </w:rPr>
        <w:t>et al</w:t>
      </w:r>
      <w:r>
        <w:rPr>
          <w:rFonts w:ascii="Arial" w:hAnsi="Arial"/>
          <w:iCs/>
        </w:rPr>
        <w:t>. (1994).</w:t>
      </w:r>
      <w:r>
        <w:rPr>
          <w:rFonts w:ascii="Arial" w:hAnsi="Arial"/>
        </w:rPr>
        <w:fldChar w:fldCharType="begin"/>
      </w:r>
      <w:r>
        <w:rPr>
          <w:rFonts w:ascii="Arial" w:hAnsi="Arial"/>
        </w:rPr>
        <w:instrText xml:space="preserve"> ADDIN EN.CITE &lt;EndNote&gt;&lt;Cite&gt;&lt;Author&gt;Kemler&lt;/Author&gt;&lt;Year&gt;1994&lt;/Year&gt;&lt;RecNum&gt;5&lt;/RecNum&gt;&lt;MDL&gt;&lt;REFERENCE_TYPE&gt;0&lt;/REFERENCE_TYPE&gt;&lt;ACCESSION_NUMBER&gt;80302</w:instrText>
      </w:r>
      <w:r>
        <w:rPr>
          <w:rFonts w:ascii="Arial" w:hAnsi="Arial"/>
        </w:rPr>
        <w:instrText>04&lt;/ACCESSION_NUMBER&gt;&lt;VOLUME&gt;202&lt;/VOLUME&gt;&lt;NUMBER&gt;2&lt;/NUMBER&gt;&lt;YEAR&gt;1994&lt;/YEAR&gt;&lt;DATE&gt;Aug 1&lt;/DATE&gt;&lt;TITLE&gt;Nuclear import of microinjected influenza virus ribonucleoproteins&lt;/TITLE&gt;&lt;PAGES&gt;1028-33&lt;/PAGES&gt;&lt;AUTHOR_ADDRESS&gt;Department of Cell Biology, Yale University</w:instrText>
      </w:r>
      <w:r>
        <w:rPr>
          <w:rFonts w:ascii="Arial" w:hAnsi="Arial"/>
        </w:rPr>
        <w:instrText xml:space="preserve"> School of Medicine, New Haven, Connecticut 06510.&lt;/AUTHOR_ADDRESS&gt;&lt;AUTHORS&gt;&lt;AUTHOR&gt;Kemler, I.&lt;/AUTHOR&gt;&lt;AUTHOR&gt;Whittaker, G.&lt;/AUTHOR&gt;&lt;AUTHOR&gt;Helenius, A.&lt;/AUTHOR&gt;&lt;/AUTHORS&gt;&lt;SECONDARY_TITLE&gt;Virology&lt;/SECONDARY_TITLE&gt;&lt;KEYWORDS&gt;&lt;KEYWORD&gt;Amantadine/pharmacolog</w:instrText>
      </w:r>
      <w:r>
        <w:rPr>
          <w:rFonts w:ascii="Arial" w:hAnsi="Arial"/>
        </w:rPr>
        <w:instrText>y&lt;/KEYWORD&gt;&lt;KEYWORD&gt;Animals&lt;/KEYWORD&gt;&lt;KEYWORD&gt;Biological Transport, Active/drug effects&lt;/KEYWORD&gt;&lt;KEYWORD&gt;CHO Cells&lt;/KEYWORD&gt;&lt;KEYWORD&gt;Cell Line&lt;/KEYWORD&gt;&lt;KEYWORD&gt;Cell Nucleus/metabolism&lt;/KEYWORD&gt;&lt;KEYWORD&gt;Cricetinae&lt;/KEYWORD&gt;&lt;KEYWORD&gt;Dogs&lt;/KEYWORD&gt;&lt;KEYWORD&gt;</w:instrText>
      </w:r>
      <w:r>
        <w:rPr>
          <w:rFonts w:ascii="Arial" w:hAnsi="Arial"/>
        </w:rPr>
        <w:instrText>Gene Expression&lt;/KEYWORD&gt;&lt;KEYWORD&gt;Microinjections&lt;/KEYWORD&gt;&lt;KEYWORD&gt;Orthomyxoviridae/*metabolism&lt;/KEYWORD&gt;&lt;KEYWORD&gt;RNA, Messenger/genetics&lt;/KEYWORD&gt;&lt;KEYWORD&gt;RNA, Viral/genetics&lt;/KEYWORD&gt;&lt;KEYWORD&gt;Research Support, Non-U.S. Gov&amp;apos;t&lt;/KEYWORD&gt;&lt;KEYWORD&gt;Resea</w:instrText>
      </w:r>
      <w:r>
        <w:rPr>
          <w:rFonts w:ascii="Arial" w:hAnsi="Arial"/>
        </w:rPr>
        <w:instrText>rch Support, U.S. Gov&amp;apos;t, P.H.S.&lt;/KEYWORD&gt;&lt;KEYWORD&gt;Ribonucleoproteins/*metabolism&lt;/KEYWORD&gt;&lt;KEYWORD&gt;Viral Proteins/*metabolism&lt;/KEYWORD&gt;&lt;/KEYWORDS&gt;&lt;URL&gt;http://www.ncbi.nlm.nih.gov/entrez/query.fcgi?cmd=Retrieve&amp;amp;db=PubMed&amp;amp;dopt=Citation&amp;amp;list_</w:instrText>
      </w:r>
      <w:r>
        <w:rPr>
          <w:rFonts w:ascii="Arial" w:hAnsi="Arial"/>
        </w:rPr>
        <w:instrText>uids=8030204&lt;/URL&gt;&lt;/MDL&gt;&lt;/Cite&gt;&lt;/EndNote&gt;</w:instrText>
      </w:r>
      <w:r>
        <w:rPr>
          <w:rFonts w:ascii="Arial" w:hAnsi="Arial"/>
        </w:rPr>
        <w:fldChar w:fldCharType="separate"/>
      </w:r>
      <w:r>
        <w:rPr>
          <w:rFonts w:ascii="Arial" w:hAnsi="Arial"/>
          <w:vertAlign w:val="superscript"/>
        </w:rPr>
        <w:t>1</w:t>
      </w:r>
      <w:r>
        <w:rPr>
          <w:rFonts w:ascii="Arial" w:hAnsi="Arial"/>
        </w:rPr>
        <w:fldChar w:fldCharType="end"/>
      </w:r>
      <w:r>
        <w:rPr>
          <w:rFonts w:ascii="Arial" w:hAnsi="Arial"/>
        </w:rPr>
        <w:t xml:space="preserve">  We and others have also used this protocol to isolate vRNPs to study their nuclear import.</w:t>
      </w:r>
      <w:r>
        <w:rPr>
          <w:rFonts w:ascii="Arial" w:hAnsi="Arial"/>
        </w:rPr>
        <w:fldChar w:fldCharType="begin"/>
      </w:r>
      <w:r>
        <w:rPr>
          <w:rFonts w:ascii="Arial" w:hAnsi="Arial"/>
        </w:rPr>
        <w:instrText xml:space="preserve"> ADDIN EN.CITE &lt;EndNote&gt;&lt;Cite&gt;&lt;Author&gt;Wu&lt;/Author&gt;&lt;Year&gt;2007&lt;/Year&gt;&lt;RecNum&gt;102&lt;/RecNum&gt;&lt;MDL&gt;&lt;REFERENCE_TYPE&gt;0&lt;/REFERENCE</w:instrText>
      </w:r>
      <w:r>
        <w:rPr>
          <w:rFonts w:ascii="Arial" w:hAnsi="Arial"/>
        </w:rPr>
        <w:instrText>_TYPE&gt;&lt;AUTHORS&gt;&lt;AUTHOR&gt;Wu, W. W.H.&lt;/AUTHOR&gt;&lt;AUTHOR&gt;Sun, Y. H.B.&lt;/AUTHOR&gt;&lt;AUTHOR&gt;Pant&amp;#xE9;, N.&lt;/AUTHOR&gt;&lt;/AUTHORS&gt;&lt;YEAR&gt;2007&lt;/YEAR&gt;&lt;TITLE&gt;Nuclear import of influenza A viral ribonucleoprotein complexes is mediated by two nuclear localization sequences on vi</w:instrText>
      </w:r>
      <w:r>
        <w:rPr>
          <w:rFonts w:ascii="Arial" w:hAnsi="Arial"/>
        </w:rPr>
        <w:instrText>ral nucleoprotein&lt;/TITLE&gt;&lt;SECONDARY_TITLE&gt;Virol J&lt;/SECONDARY_TITLE&gt;&lt;VOLUME&gt;4&lt;/VOLUME&gt;&lt;NUMBER&gt;1&lt;/NUMBER&gt;&lt;PAGES&gt;49&lt;/PAGES&gt;&lt;DATE&gt;Jun 4&lt;/DATE&gt;&lt;ACCESSION_NUMBER&gt;17547769&lt;/ACCESSION_NUMBER&gt;&lt;URL&gt;http://www.ncbi.nlm.nih.gov/entrez/query.fcgi?cmd=Retrieve&amp;amp;db=Pu</w:instrText>
      </w:r>
      <w:r>
        <w:rPr>
          <w:rFonts w:ascii="Arial" w:hAnsi="Arial"/>
        </w:rPr>
        <w:instrText>bMed&amp;amp;dopt=Citation&amp;amp;list_uids=17547769&lt;/URL&gt;&lt;/MDL&gt;&lt;/Cite&gt;&lt;Cite&gt;&lt;Author&gt;Wu&lt;/Author&gt;&lt;Year&gt;2007&lt;/Year&gt;&lt;RecNum&gt;114&lt;/RecNum&gt;&lt;MDL&gt;&lt;REFERENCE_TYPE&gt;0&lt;/REFERENCE_TYPE&gt;&lt;AUTHORS&gt;&lt;AUTHOR&gt;Wu, W. W. H.&lt;/AUTHOR&gt;&lt;AUTHOR&gt;Weaver, L. L.&lt;/AUTHOR&gt;&lt;AUTHOR&gt;Pant&amp;#xE9;, N.&lt;</w:instrText>
      </w:r>
      <w:r>
        <w:rPr>
          <w:rFonts w:ascii="Arial" w:hAnsi="Arial"/>
        </w:rPr>
        <w:instrText>/AUTHOR&gt;&lt;/AUTHORS&gt;&lt;YEAR&gt;2007&lt;/YEAR&gt;&lt;TITLE&gt;Ultrastructural analysis of the nuclear localization sequences on influenza a ribonucleoprotein complexes&lt;/TITLE&gt;&lt;SECONDARY_TITLE&gt;J Mol Biol&lt;/SECONDARY_TITLE&gt;&lt;VOLUME&gt;374&lt;/VOLUME&gt;&lt;NUMBER&gt;4&lt;/NUMBER&gt;&lt;PAGES&gt;910-6&lt;/PAGE</w:instrText>
      </w:r>
      <w:r>
        <w:rPr>
          <w:rFonts w:ascii="Arial" w:hAnsi="Arial"/>
        </w:rPr>
        <w:instrText>S&gt;&lt;DATE&gt;Dec 7&lt;/DATE&gt;&lt;ACCESSION_NUMBER&gt;17976646&lt;/ACCESSION_NUMBER&gt;&lt;URL&gt;http://www.ncbi.nlm.nih.gov/entrez/query.fcgi?cmd=Retrieve&amp;amp;db=PubMed&amp;amp;dopt=Citation&amp;amp;list_uids=17976646&lt;/URL&gt;&lt;AUTHOR_ADDRESS&gt;Department of Zoology, University of British Columb</w:instrText>
      </w:r>
      <w:r>
        <w:rPr>
          <w:rFonts w:ascii="Arial" w:hAnsi="Arial"/>
        </w:rPr>
        <w:instrText>ia, 6270 University Boulevard, Vancouver, BC, Canada V6T 1Z4.&lt;/AUTHOR_ADDRESS&gt;&lt;/MDL&gt;&lt;/Cite&gt;&lt;Cite&gt;&lt;Author&gt;Babcock&lt;/Author&gt;&lt;Year&gt;2004&lt;/Year&gt;&lt;RecNum&gt;11&lt;/RecNum&gt;&lt;MDL&gt;&lt;REFERENCE_TYPE&gt;0&lt;/REFERENCE_TYPE&gt;&lt;ACCESSION_NUMBER&gt;15454466&lt;/ACCESSION_NUMBER&gt;&lt;VOLUME&gt;87&lt;/VOL</w:instrText>
      </w:r>
      <w:r>
        <w:rPr>
          <w:rFonts w:ascii="Arial" w:hAnsi="Arial"/>
        </w:rPr>
        <w:instrText>UME&gt;&lt;NUMBER&gt;4&lt;/NUMBER&gt;&lt;YEAR&gt;2004&lt;/YEAR&gt;&lt;DATE&gt;Oct&lt;/DATE&gt;&lt;TITLE&gt;Using single-particle tracking to study nuclear trafficking of viral genes&lt;/TITLE&gt;&lt;PAGES&gt;2749-58&lt;/PAGES&gt;&lt;AUTHOR_ADDRESS&gt;Department of Chemistry and Chemical Biology, Harvard University, Cambridg</w:instrText>
      </w:r>
      <w:r>
        <w:rPr>
          <w:rFonts w:ascii="Arial" w:hAnsi="Arial"/>
        </w:rPr>
        <w:instrText>e, Massachusetts 02138, USA.&lt;/AUTHOR_ADDRESS&gt;&lt;AUTHORS&gt;&lt;AUTHOR&gt;Babcock, H. P.&lt;/AUTHOR&gt;&lt;AUTHOR&gt;Chen, C.&lt;/AUTHOR&gt;&lt;AUTHOR&gt;Zhuang, X.&lt;/AUTHOR&gt;&lt;/AUTHORS&gt;&lt;SECONDARY_TITLE&gt;Biophys J&lt;/SECONDARY_TITLE&gt;&lt;KEYWORDS&gt;&lt;KEYWORD&gt;Active Transport, Cell Nucleus/*physiology&lt;/KE</w:instrText>
      </w:r>
      <w:r>
        <w:rPr>
          <w:rFonts w:ascii="Arial" w:hAnsi="Arial"/>
        </w:rPr>
        <w:instrText>YWORD&gt;&lt;KEYWORD&gt;Cell Nucleus/*metabolism/*ultrastructure&lt;/KEYWORD&gt;&lt;KEYWORD&gt;Comparative Study&lt;/KEYWORD&gt;&lt;KEYWORD&gt;Flow Cytometry/methods&lt;/KEYWORD&gt;&lt;KEYWORD&gt;Flow Injection Analysis/*methods&lt;/KEYWORD&gt;&lt;KEYWORD&gt;Genes, Viral/*physiology&lt;/KEYWORD&gt;&lt;KEYWORD&gt;Image Inter</w:instrText>
      </w:r>
      <w:r>
        <w:rPr>
          <w:rFonts w:ascii="Arial" w:hAnsi="Arial"/>
        </w:rPr>
        <w:instrText>pretation, Computer-Assisted/methods&lt;/KEYWORD&gt;&lt;KEYWORD&gt;Microscopy, Fluorescence/*methods&lt;/KEYWORD&gt;&lt;KEYWORD&gt;Microscopy, Video&lt;/KEYWORD&gt;&lt;KEYWORD&gt;Research Support, Non-U.S. Gov&amp;apos;t&lt;/KEYWORD&gt;&lt;KEYWORD&gt;Research Support, U.S. Gov&amp;apos;t, Non-P.H.S.&lt;/KEYWORD&gt;&lt;K</w:instrText>
      </w:r>
      <w:r>
        <w:rPr>
          <w:rFonts w:ascii="Arial" w:hAnsi="Arial"/>
        </w:rPr>
        <w:instrText>EYWORD&gt;Ribonucleoproteins/*metabolism/*ultrastructure&lt;/KEYWORD&gt;&lt;/KEYWORDS&gt;&lt;URL&gt;http://www.ncbi.nlm.nih.gov/entrez/query.fcgi?cmd=Retrieve&amp;amp;db=PubMed&amp;amp;dopt=Citation&amp;amp;list_uids=15454466&lt;/URL&gt;&lt;/MDL&gt;&lt;/Cite&gt;&lt;/EndNote&gt;</w:instrText>
      </w:r>
      <w:r>
        <w:rPr>
          <w:rFonts w:ascii="Arial" w:hAnsi="Arial"/>
        </w:rPr>
        <w:fldChar w:fldCharType="separate"/>
      </w:r>
      <w:r>
        <w:rPr>
          <w:rFonts w:ascii="Arial" w:hAnsi="Arial"/>
          <w:vertAlign w:val="superscript"/>
        </w:rPr>
        <w:t>2,4,5</w:t>
      </w:r>
      <w:r>
        <w:rPr>
          <w:rFonts w:ascii="Arial" w:hAnsi="Arial"/>
        </w:rPr>
        <w:fldChar w:fldCharType="end"/>
      </w:r>
    </w:p>
    <w:p w:rsidR="00F83038" w:rsidRDefault="006010DD">
      <w:pPr>
        <w:rPr>
          <w:rFonts w:ascii="Arial" w:hAnsi="Arial"/>
        </w:rPr>
      </w:pPr>
      <w:r>
        <w:rPr>
          <w:rFonts w:ascii="Arial" w:hAnsi="Arial"/>
        </w:rPr>
        <w:t>We recommend the use of RNa</w:t>
      </w:r>
      <w:r>
        <w:rPr>
          <w:rFonts w:ascii="Arial" w:hAnsi="Arial"/>
        </w:rPr>
        <w:t>se-free tips and tubes when manipulating vRNPs because the viral genome is composed of RNA, and therefore degrades easily in the presence of RNA. In addition, all buffers should be made in water that is RNase free. The protocol described here was performed</w:t>
      </w:r>
      <w:r>
        <w:rPr>
          <w:rFonts w:ascii="Arial" w:hAnsi="Arial"/>
        </w:rPr>
        <w:t xml:space="preserve"> with an acidic extraction (e.g. the pH of the disruption buffer and the glycerol gradient is 5.5). Similarly, a basic extraction can be performed (as described by Kemler </w:t>
      </w:r>
      <w:r>
        <w:rPr>
          <w:rFonts w:ascii="Arial" w:hAnsi="Arial"/>
          <w:i/>
          <w:iCs/>
        </w:rPr>
        <w:t>et al</w:t>
      </w:r>
      <w:r>
        <w:rPr>
          <w:rFonts w:ascii="Arial" w:hAnsi="Arial"/>
          <w:iCs/>
        </w:rPr>
        <w:t>. (1994)</w:t>
      </w:r>
      <w:r>
        <w:rPr>
          <w:rFonts w:ascii="Arial" w:hAnsi="Arial"/>
        </w:rPr>
        <w:fldChar w:fldCharType="begin"/>
      </w:r>
      <w:r>
        <w:rPr>
          <w:rFonts w:ascii="Arial" w:hAnsi="Arial"/>
        </w:rPr>
        <w:instrText xml:space="preserve"> ADDIN EN.CITE &lt;EndNote&gt;&lt;Cite&gt;&lt;Author&gt;Kemler&lt;/Author&gt;&lt;Year&gt;1994&lt;/Year&gt;&lt;</w:instrText>
      </w:r>
      <w:r>
        <w:rPr>
          <w:rFonts w:ascii="Arial" w:hAnsi="Arial"/>
        </w:rPr>
        <w:instrText>RecNum&gt;5&lt;/RecNum&gt;&lt;MDL&gt;&lt;REFERENCE_TYPE&gt;0&lt;/REFERENCE_TYPE&gt;&lt;ACCESSION_NUMBER&gt;8030204&lt;/ACCESSION_NUMBER&gt;&lt;VOLUME&gt;202&lt;/VOLUME&gt;&lt;NUMBER&gt;2&lt;/NUMBER&gt;&lt;YEAR&gt;1994&lt;/YEAR&gt;&lt;DATE&gt;Aug 1&lt;/DATE&gt;&lt;TITLE&gt;Nuclear import of microinjected influenza virus ribonucleoproteins&lt;/TITLE&gt;&lt;P</w:instrText>
      </w:r>
      <w:r>
        <w:rPr>
          <w:rFonts w:ascii="Arial" w:hAnsi="Arial"/>
        </w:rPr>
        <w:instrText>AGES&gt;1028-33&lt;/PAGES&gt;&lt;AUTHOR_ADDRESS&gt;Department of Cell Biology, Yale University School of Medicine, New Haven, Connecticut 06510.&lt;/AUTHOR_ADDRESS&gt;&lt;AUTHORS&gt;&lt;AUTHOR&gt;Kemler, I.&lt;/AUTHOR&gt;&lt;AUTHOR&gt;Whittaker, G.&lt;/AUTHOR&gt;&lt;AUTHOR&gt;Helenius, A.&lt;/AUTHOR&gt;&lt;/AUTHORS&gt;&lt;SECO</w:instrText>
      </w:r>
      <w:r>
        <w:rPr>
          <w:rFonts w:ascii="Arial" w:hAnsi="Arial"/>
        </w:rPr>
        <w:instrText>NDARY_TITLE&gt;Virology&lt;/SECONDARY_TITLE&gt;&lt;KEYWORDS&gt;&lt;KEYWORD&gt;Amantadine/pharmacology&lt;/KEYWORD&gt;&lt;KEYWORD&gt;Animals&lt;/KEYWORD&gt;&lt;KEYWORD&gt;Biological Transport, Active/drug effects&lt;/KEYWORD&gt;&lt;KEYWORD&gt;CHO Cells&lt;/KEYWORD&gt;&lt;KEYWORD&gt;Cell Line&lt;/KEYWORD&gt;&lt;KEYWORD&gt;Cell Nucleus/me</w:instrText>
      </w:r>
      <w:r>
        <w:rPr>
          <w:rFonts w:ascii="Arial" w:hAnsi="Arial"/>
        </w:rPr>
        <w:instrText>tabolism&lt;/KEYWORD&gt;&lt;KEYWORD&gt;Cricetinae&lt;/KEYWORD&gt;&lt;KEYWORD&gt;Dogs&lt;/KEYWORD&gt;&lt;KEYWORD&gt;Gene Expression&lt;/KEYWORD&gt;&lt;KEYWORD&gt;Microinjections&lt;/KEYWORD&gt;&lt;KEYWORD&gt;Orthomyxoviridae/*metabolism&lt;/KEYWORD&gt;&lt;KEYWORD&gt;RNA, Messenger/genetics&lt;/KEYWORD&gt;&lt;KEYWORD&gt;RNA, Viral/genetics&lt;</w:instrText>
      </w:r>
      <w:r>
        <w:rPr>
          <w:rFonts w:ascii="Arial" w:hAnsi="Arial"/>
        </w:rPr>
        <w:instrText>/KEYWORD&gt;&lt;KEYWORD&gt;Research Support, Non-U.S. Gov&amp;apos;t&lt;/KEYWORD&gt;&lt;KEYWORD&gt;Research Support, U.S. Gov&amp;apos;t, P.H.S.&lt;/KEYWORD&gt;&lt;KEYWORD&gt;Ribonucleoproteins/*metabolism&lt;/KEYWORD&gt;&lt;KEYWORD&gt;Viral Proteins/*metabolism&lt;/KEYWORD&gt;&lt;/KEYWORDS&gt;&lt;URL&gt;http://www.ncbi.nlm.n</w:instrText>
      </w:r>
      <w:r>
        <w:rPr>
          <w:rFonts w:ascii="Arial" w:hAnsi="Arial"/>
        </w:rPr>
        <w:instrText>ih.gov/entrez/query.fcgi?cmd=Retrieve&amp;amp;db=PubMed&amp;amp;dopt=Citation&amp;amp;list_uids=8030204&lt;/URL&gt;&lt;/MDL&gt;&lt;/Cite&gt;&lt;/EndNote&gt;</w:instrText>
      </w:r>
      <w:r>
        <w:rPr>
          <w:rFonts w:ascii="Arial" w:hAnsi="Arial"/>
        </w:rPr>
        <w:fldChar w:fldCharType="separate"/>
      </w:r>
      <w:r>
        <w:rPr>
          <w:rFonts w:ascii="Arial" w:hAnsi="Arial"/>
          <w:vertAlign w:val="superscript"/>
        </w:rPr>
        <w:t>1</w:t>
      </w:r>
      <w:r>
        <w:rPr>
          <w:rFonts w:ascii="Arial" w:hAnsi="Arial"/>
        </w:rPr>
        <w:fldChar w:fldCharType="end"/>
      </w:r>
      <w:r>
        <w:rPr>
          <w:rFonts w:ascii="Arial" w:hAnsi="Arial"/>
        </w:rPr>
        <w:t xml:space="preserve">) by substituting MES, pH 5.5 with Tris, pH 7.8. </w:t>
      </w:r>
    </w:p>
    <w:p w:rsidR="00F83038" w:rsidRDefault="006010DD">
      <w:pPr>
        <w:rPr>
          <w:rFonts w:ascii="Arial" w:hAnsi="Arial"/>
        </w:rPr>
      </w:pPr>
    </w:p>
    <w:p w:rsidR="00F83038" w:rsidRDefault="006010DD">
      <w:pPr>
        <w:rPr>
          <w:rFonts w:ascii="Arial" w:hAnsi="Arial"/>
        </w:rPr>
      </w:pPr>
      <w:r>
        <w:rPr>
          <w:rFonts w:ascii="Arial" w:hAnsi="Arial"/>
          <w:b/>
        </w:rPr>
        <w:t>Acknowledgments:</w:t>
      </w:r>
      <w:r>
        <w:rPr>
          <w:rFonts w:ascii="Arial" w:hAnsi="Arial"/>
        </w:rPr>
        <w:t xml:space="preserve"> </w:t>
      </w:r>
    </w:p>
    <w:p w:rsidR="00F83038" w:rsidRDefault="006010DD">
      <w:pPr>
        <w:rPr>
          <w:rFonts w:ascii="Arial" w:hAnsi="Arial"/>
        </w:rPr>
      </w:pPr>
      <w:r>
        <w:rPr>
          <w:rFonts w:ascii="Arial" w:hAnsi="Arial"/>
        </w:rPr>
        <w:t>This work was supported by grants from the Canada Foundation for</w:t>
      </w:r>
      <w:r>
        <w:rPr>
          <w:rFonts w:ascii="Arial" w:hAnsi="Arial"/>
        </w:rPr>
        <w:t xml:space="preserve"> Innovation (CFI), the Canadian Institute of Health Research (CIHR), and the Natural Sciences and Engineering Research Council of Canada (NSERC).</w:t>
      </w:r>
    </w:p>
    <w:p w:rsidR="00F83038" w:rsidRDefault="006010DD">
      <w:pPr>
        <w:rPr>
          <w:rFonts w:ascii="Arial" w:hAnsi="Arial"/>
        </w:rPr>
      </w:pPr>
    </w:p>
    <w:p w:rsidR="00F83038" w:rsidRDefault="006010DD">
      <w:pPr>
        <w:rPr>
          <w:rFonts w:ascii="Arial" w:hAnsi="Arial"/>
        </w:rPr>
      </w:pPr>
      <w:r>
        <w:rPr>
          <w:rFonts w:ascii="Arial" w:hAnsi="Arial"/>
          <w:b/>
        </w:rPr>
        <w:t xml:space="preserve">Disclosures: </w:t>
      </w:r>
      <w:r>
        <w:rPr>
          <w:rFonts w:ascii="Arial" w:hAnsi="Arial"/>
        </w:rPr>
        <w:t>We have nothing to disclose.</w:t>
      </w:r>
    </w:p>
    <w:p w:rsidR="00F83038" w:rsidRDefault="006010DD">
      <w:pPr>
        <w:rPr>
          <w:rFonts w:ascii="Arial" w:hAnsi="Arial"/>
        </w:rPr>
      </w:pPr>
    </w:p>
    <w:p w:rsidR="00F83038" w:rsidRDefault="006010DD">
      <w:pPr>
        <w:rPr>
          <w:rFonts w:ascii="Arial" w:hAnsi="Arial"/>
          <w:b/>
        </w:rPr>
      </w:pPr>
      <w:r>
        <w:rPr>
          <w:rFonts w:ascii="Arial" w:hAnsi="Arial"/>
          <w:b/>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F83038">
        <w:tc>
          <w:tcPr>
            <w:tcW w:w="2394" w:type="dxa"/>
          </w:tcPr>
          <w:p w:rsidR="00F83038" w:rsidRDefault="006010DD">
            <w:pPr>
              <w:spacing w:after="0" w:line="240" w:lineRule="auto"/>
              <w:jc w:val="center"/>
              <w:rPr>
                <w:rFonts w:ascii="Arial" w:hAnsi="Arial"/>
                <w:b/>
                <w:bCs/>
              </w:rPr>
            </w:pPr>
            <w:r>
              <w:rPr>
                <w:rFonts w:ascii="Arial" w:hAnsi="Arial"/>
                <w:b/>
                <w:bCs/>
              </w:rPr>
              <w:t>Name of the reagent</w:t>
            </w:r>
          </w:p>
          <w:p w:rsidR="00F83038" w:rsidRDefault="006010DD">
            <w:pPr>
              <w:spacing w:after="0" w:line="240" w:lineRule="auto"/>
              <w:jc w:val="center"/>
              <w:rPr>
                <w:b/>
                <w:bCs/>
              </w:rPr>
            </w:pPr>
            <w:r>
              <w:rPr>
                <w:rFonts w:ascii="Arial" w:hAnsi="Arial"/>
                <w:b/>
                <w:bCs/>
              </w:rPr>
              <w:t xml:space="preserve">and </w:t>
            </w:r>
            <w:r>
              <w:rPr>
                <w:rFonts w:ascii="Arial" w:hAnsi="Arial"/>
                <w:b/>
                <w:bCs/>
              </w:rPr>
              <w:t>equipment</w:t>
            </w:r>
          </w:p>
        </w:tc>
        <w:tc>
          <w:tcPr>
            <w:tcW w:w="2394" w:type="dxa"/>
          </w:tcPr>
          <w:p w:rsidR="00F83038" w:rsidRDefault="006010DD">
            <w:pPr>
              <w:spacing w:after="0" w:line="240" w:lineRule="auto"/>
              <w:jc w:val="center"/>
              <w:rPr>
                <w:b/>
                <w:bCs/>
              </w:rPr>
            </w:pPr>
            <w:r>
              <w:rPr>
                <w:rFonts w:ascii="Arial" w:hAnsi="Arial"/>
                <w:b/>
                <w:bCs/>
              </w:rPr>
              <w:t>Company</w:t>
            </w:r>
          </w:p>
        </w:tc>
        <w:tc>
          <w:tcPr>
            <w:tcW w:w="2394" w:type="dxa"/>
          </w:tcPr>
          <w:p w:rsidR="00F83038" w:rsidRDefault="006010DD">
            <w:pPr>
              <w:spacing w:after="0" w:line="240" w:lineRule="auto"/>
              <w:jc w:val="center"/>
              <w:rPr>
                <w:b/>
                <w:bCs/>
              </w:rPr>
            </w:pPr>
            <w:r>
              <w:rPr>
                <w:rFonts w:ascii="Arial" w:hAnsi="Arial"/>
                <w:b/>
                <w:bCs/>
              </w:rPr>
              <w:t>Catalogue number</w:t>
            </w:r>
          </w:p>
        </w:tc>
        <w:tc>
          <w:tcPr>
            <w:tcW w:w="2394" w:type="dxa"/>
          </w:tcPr>
          <w:p w:rsidR="00F83038" w:rsidRDefault="006010DD">
            <w:pPr>
              <w:spacing w:after="0" w:line="240" w:lineRule="auto"/>
              <w:jc w:val="center"/>
              <w:rPr>
                <w:b/>
                <w:bCs/>
              </w:rPr>
            </w:pPr>
            <w:r>
              <w:rPr>
                <w:rFonts w:ascii="Arial" w:hAnsi="Arial"/>
                <w:b/>
                <w:bCs/>
              </w:rPr>
              <w:t>Comments (optional)</w:t>
            </w:r>
          </w:p>
        </w:tc>
      </w:tr>
      <w:tr w:rsidR="00F83038">
        <w:tc>
          <w:tcPr>
            <w:tcW w:w="2394" w:type="dxa"/>
          </w:tcPr>
          <w:p w:rsidR="00F83038" w:rsidRDefault="006010DD">
            <w:pPr>
              <w:spacing w:after="0" w:line="240" w:lineRule="auto"/>
              <w:jc w:val="center"/>
              <w:rPr>
                <w:lang w:val="it-IT"/>
              </w:rPr>
            </w:pPr>
            <w:r>
              <w:rPr>
                <w:rFonts w:ascii="Arial" w:hAnsi="Arial"/>
                <w:lang w:val="it-IT"/>
              </w:rPr>
              <w:t>H3N2 X-31 A/AICHI/68 influenza A</w:t>
            </w:r>
          </w:p>
        </w:tc>
        <w:tc>
          <w:tcPr>
            <w:tcW w:w="2394" w:type="dxa"/>
          </w:tcPr>
          <w:p w:rsidR="00F83038" w:rsidRDefault="006010DD">
            <w:pPr>
              <w:spacing w:after="0" w:line="240" w:lineRule="auto"/>
              <w:jc w:val="center"/>
            </w:pPr>
            <w:r>
              <w:rPr>
                <w:rFonts w:ascii="Arial" w:hAnsi="Arial"/>
              </w:rPr>
              <w:t>Charles River Laboratories</w:t>
            </w:r>
          </w:p>
        </w:tc>
        <w:tc>
          <w:tcPr>
            <w:tcW w:w="2394" w:type="dxa"/>
          </w:tcPr>
          <w:p w:rsidR="00F83038" w:rsidRDefault="006010DD">
            <w:pPr>
              <w:spacing w:after="0" w:line="240" w:lineRule="auto"/>
              <w:jc w:val="center"/>
            </w:pPr>
            <w:r>
              <w:rPr>
                <w:rFonts w:ascii="Arial" w:hAnsi="Arial"/>
              </w:rPr>
              <w:t>490715</w:t>
            </w:r>
          </w:p>
        </w:tc>
        <w:tc>
          <w:tcPr>
            <w:tcW w:w="2394" w:type="dxa"/>
          </w:tcPr>
          <w:p w:rsidR="00F83038" w:rsidRDefault="006010DD"/>
        </w:tc>
      </w:tr>
      <w:tr w:rsidR="00F83038">
        <w:tc>
          <w:tcPr>
            <w:tcW w:w="2394" w:type="dxa"/>
          </w:tcPr>
          <w:p w:rsidR="00F83038" w:rsidRDefault="006010DD">
            <w:pPr>
              <w:spacing w:after="0" w:line="240" w:lineRule="auto"/>
              <w:jc w:val="center"/>
              <w:rPr>
                <w:bCs/>
              </w:rPr>
            </w:pPr>
            <w:r>
              <w:rPr>
                <w:rFonts w:ascii="Arial" w:hAnsi="Arial"/>
                <w:bCs/>
              </w:rPr>
              <w:t>Tris</w:t>
            </w:r>
          </w:p>
        </w:tc>
        <w:tc>
          <w:tcPr>
            <w:tcW w:w="2394" w:type="dxa"/>
          </w:tcPr>
          <w:p w:rsidR="00F83038" w:rsidRDefault="006010DD">
            <w:pPr>
              <w:spacing w:after="0" w:line="240" w:lineRule="auto"/>
              <w:jc w:val="center"/>
              <w:rPr>
                <w:bCs/>
              </w:rPr>
            </w:pPr>
            <w:r>
              <w:rPr>
                <w:rFonts w:ascii="Arial" w:hAnsi="Arial"/>
                <w:bCs/>
              </w:rPr>
              <w:t>Sigma</w:t>
            </w:r>
          </w:p>
        </w:tc>
        <w:tc>
          <w:tcPr>
            <w:tcW w:w="2394" w:type="dxa"/>
          </w:tcPr>
          <w:p w:rsidR="00F83038" w:rsidRDefault="006010DD">
            <w:pPr>
              <w:spacing w:after="0" w:line="240" w:lineRule="auto"/>
              <w:jc w:val="center"/>
              <w:rPr>
                <w:bCs/>
              </w:rPr>
            </w:pPr>
            <w:r>
              <w:rPr>
                <w:rFonts w:ascii="Arial" w:hAnsi="Arial"/>
                <w:bCs/>
              </w:rPr>
              <w:t>T1503</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MES</w:t>
            </w:r>
          </w:p>
        </w:tc>
        <w:tc>
          <w:tcPr>
            <w:tcW w:w="2394" w:type="dxa"/>
          </w:tcPr>
          <w:p w:rsidR="00F83038" w:rsidRDefault="006010DD">
            <w:pPr>
              <w:spacing w:after="0" w:line="240" w:lineRule="auto"/>
              <w:jc w:val="center"/>
              <w:rPr>
                <w:bCs/>
              </w:rPr>
            </w:pPr>
            <w:r>
              <w:rPr>
                <w:rFonts w:ascii="Arial" w:hAnsi="Arial"/>
                <w:bCs/>
              </w:rPr>
              <w:t>Sigma</w:t>
            </w:r>
          </w:p>
        </w:tc>
        <w:tc>
          <w:tcPr>
            <w:tcW w:w="2394" w:type="dxa"/>
          </w:tcPr>
          <w:p w:rsidR="00F83038" w:rsidRDefault="006010DD">
            <w:pPr>
              <w:spacing w:after="0" w:line="240" w:lineRule="auto"/>
              <w:jc w:val="center"/>
              <w:rPr>
                <w:bCs/>
              </w:rPr>
            </w:pPr>
            <w:r>
              <w:rPr>
                <w:rFonts w:ascii="Arial" w:hAnsi="Arial"/>
                <w:bCs/>
              </w:rPr>
              <w:t>M-8250</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Glycerol</w:t>
            </w:r>
          </w:p>
        </w:tc>
        <w:tc>
          <w:tcPr>
            <w:tcW w:w="2394" w:type="dxa"/>
          </w:tcPr>
          <w:p w:rsidR="00F83038" w:rsidRDefault="006010DD">
            <w:pPr>
              <w:spacing w:after="0" w:line="240" w:lineRule="auto"/>
              <w:jc w:val="center"/>
              <w:rPr>
                <w:bCs/>
              </w:rPr>
            </w:pPr>
            <w:r>
              <w:rPr>
                <w:rFonts w:ascii="Arial" w:hAnsi="Arial"/>
                <w:bCs/>
              </w:rPr>
              <w:t>Fisher</w:t>
            </w:r>
          </w:p>
        </w:tc>
        <w:tc>
          <w:tcPr>
            <w:tcW w:w="2394" w:type="dxa"/>
          </w:tcPr>
          <w:p w:rsidR="00F83038" w:rsidRDefault="006010DD">
            <w:pPr>
              <w:spacing w:after="0" w:line="240" w:lineRule="auto"/>
              <w:jc w:val="center"/>
              <w:rPr>
                <w:bCs/>
              </w:rPr>
            </w:pPr>
            <w:r>
              <w:rPr>
                <w:rFonts w:ascii="Arial" w:hAnsi="Arial"/>
                <w:bCs/>
              </w:rPr>
              <w:t>G33-1</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Octylglucoside</w:t>
            </w:r>
          </w:p>
        </w:tc>
        <w:tc>
          <w:tcPr>
            <w:tcW w:w="2394" w:type="dxa"/>
          </w:tcPr>
          <w:p w:rsidR="00F83038" w:rsidRDefault="006010DD">
            <w:pPr>
              <w:spacing w:after="0" w:line="240" w:lineRule="auto"/>
              <w:jc w:val="center"/>
              <w:rPr>
                <w:bCs/>
              </w:rPr>
            </w:pPr>
            <w:r>
              <w:rPr>
                <w:rFonts w:ascii="Arial" w:hAnsi="Arial"/>
                <w:bCs/>
              </w:rPr>
              <w:t>Sigma</w:t>
            </w:r>
          </w:p>
        </w:tc>
        <w:tc>
          <w:tcPr>
            <w:tcW w:w="2394" w:type="dxa"/>
          </w:tcPr>
          <w:p w:rsidR="00F83038" w:rsidRDefault="006010DD">
            <w:pPr>
              <w:spacing w:after="0" w:line="240" w:lineRule="auto"/>
              <w:jc w:val="center"/>
              <w:rPr>
                <w:bCs/>
              </w:rPr>
            </w:pPr>
            <w:r>
              <w:rPr>
                <w:rFonts w:ascii="Arial" w:hAnsi="Arial"/>
                <w:bCs/>
              </w:rPr>
              <w:t>O-8001</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Lysolecithin</w:t>
            </w:r>
          </w:p>
        </w:tc>
        <w:tc>
          <w:tcPr>
            <w:tcW w:w="2394" w:type="dxa"/>
          </w:tcPr>
          <w:p w:rsidR="00F83038" w:rsidRDefault="006010DD">
            <w:pPr>
              <w:spacing w:after="0" w:line="240" w:lineRule="auto"/>
              <w:jc w:val="center"/>
              <w:rPr>
                <w:bCs/>
              </w:rPr>
            </w:pPr>
            <w:r>
              <w:rPr>
                <w:rFonts w:ascii="Arial" w:hAnsi="Arial"/>
                <w:bCs/>
              </w:rPr>
              <w:t>Sigma</w:t>
            </w:r>
          </w:p>
        </w:tc>
        <w:tc>
          <w:tcPr>
            <w:tcW w:w="2394" w:type="dxa"/>
          </w:tcPr>
          <w:p w:rsidR="00F83038" w:rsidRDefault="006010DD">
            <w:pPr>
              <w:spacing w:after="0" w:line="240" w:lineRule="auto"/>
              <w:jc w:val="center"/>
              <w:rPr>
                <w:bCs/>
              </w:rPr>
            </w:pPr>
            <w:r>
              <w:rPr>
                <w:rFonts w:ascii="Arial" w:hAnsi="Arial"/>
                <w:bCs/>
              </w:rPr>
              <w:t>L-4129</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Dithiothrei</w:t>
            </w:r>
            <w:r>
              <w:rPr>
                <w:rFonts w:ascii="Arial" w:hAnsi="Arial"/>
                <w:bCs/>
              </w:rPr>
              <w:t>tol</w:t>
            </w:r>
          </w:p>
        </w:tc>
        <w:tc>
          <w:tcPr>
            <w:tcW w:w="2394" w:type="dxa"/>
          </w:tcPr>
          <w:p w:rsidR="00F83038" w:rsidRDefault="006010DD">
            <w:pPr>
              <w:spacing w:after="0" w:line="240" w:lineRule="auto"/>
              <w:jc w:val="center"/>
              <w:rPr>
                <w:bCs/>
              </w:rPr>
            </w:pPr>
            <w:r>
              <w:rPr>
                <w:rFonts w:ascii="Arial" w:hAnsi="Arial"/>
                <w:bCs/>
              </w:rPr>
              <w:t>Sigma</w:t>
            </w:r>
          </w:p>
        </w:tc>
        <w:tc>
          <w:tcPr>
            <w:tcW w:w="2394" w:type="dxa"/>
          </w:tcPr>
          <w:p w:rsidR="00F83038" w:rsidRDefault="006010DD">
            <w:pPr>
              <w:spacing w:after="0" w:line="240" w:lineRule="auto"/>
              <w:jc w:val="center"/>
              <w:rPr>
                <w:bCs/>
              </w:rPr>
            </w:pPr>
            <w:r>
              <w:rPr>
                <w:rFonts w:ascii="Arial" w:hAnsi="Arial"/>
                <w:bCs/>
              </w:rPr>
              <w:t>D-9779</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Coomassie brilliant blue G-250</w:t>
            </w:r>
          </w:p>
        </w:tc>
        <w:tc>
          <w:tcPr>
            <w:tcW w:w="2394" w:type="dxa"/>
          </w:tcPr>
          <w:p w:rsidR="00F83038" w:rsidRDefault="006010DD">
            <w:pPr>
              <w:spacing w:after="0" w:line="240" w:lineRule="auto"/>
              <w:jc w:val="center"/>
              <w:rPr>
                <w:bCs/>
              </w:rPr>
            </w:pPr>
            <w:r>
              <w:rPr>
                <w:rFonts w:ascii="Arial" w:hAnsi="Arial"/>
                <w:bCs/>
              </w:rPr>
              <w:t>Kodak</w:t>
            </w:r>
          </w:p>
        </w:tc>
        <w:tc>
          <w:tcPr>
            <w:tcW w:w="2394" w:type="dxa"/>
          </w:tcPr>
          <w:p w:rsidR="00F83038" w:rsidRDefault="006010DD">
            <w:pPr>
              <w:spacing w:after="0" w:line="240" w:lineRule="auto"/>
              <w:jc w:val="center"/>
              <w:rPr>
                <w:bCs/>
              </w:rPr>
            </w:pPr>
            <w:r>
              <w:rPr>
                <w:rFonts w:ascii="Arial" w:hAnsi="Arial"/>
                <w:bCs/>
              </w:rPr>
              <w:t>1367796</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diethyl pyrocarbonate (DEPC)-treated water</w:t>
            </w:r>
          </w:p>
        </w:tc>
        <w:tc>
          <w:tcPr>
            <w:tcW w:w="2394" w:type="dxa"/>
          </w:tcPr>
          <w:p w:rsidR="00F83038" w:rsidRDefault="006010DD">
            <w:pPr>
              <w:spacing w:after="0" w:line="240" w:lineRule="auto"/>
              <w:jc w:val="center"/>
              <w:rPr>
                <w:bCs/>
              </w:rPr>
            </w:pPr>
            <w:r>
              <w:rPr>
                <w:rFonts w:ascii="Arial" w:hAnsi="Arial"/>
                <w:bCs/>
              </w:rPr>
              <w:t>Invitrogen</w:t>
            </w:r>
          </w:p>
        </w:tc>
        <w:tc>
          <w:tcPr>
            <w:tcW w:w="2394" w:type="dxa"/>
          </w:tcPr>
          <w:p w:rsidR="00F83038" w:rsidRDefault="006010DD">
            <w:pPr>
              <w:spacing w:after="0" w:line="240" w:lineRule="auto"/>
              <w:jc w:val="center"/>
              <w:rPr>
                <w:bCs/>
              </w:rPr>
            </w:pPr>
            <w:r>
              <w:rPr>
                <w:rFonts w:ascii="Arial" w:hAnsi="Arial"/>
                <w:bCs/>
              </w:rPr>
              <w:t>750024</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Uranyl Acetate</w:t>
            </w:r>
          </w:p>
        </w:tc>
        <w:tc>
          <w:tcPr>
            <w:tcW w:w="2394" w:type="dxa"/>
          </w:tcPr>
          <w:p w:rsidR="00F83038" w:rsidRDefault="006010DD">
            <w:pPr>
              <w:spacing w:after="0" w:line="240" w:lineRule="auto"/>
              <w:jc w:val="center"/>
              <w:rPr>
                <w:bCs/>
              </w:rPr>
            </w:pPr>
            <w:r>
              <w:rPr>
                <w:rFonts w:ascii="Arial" w:hAnsi="Arial"/>
                <w:bCs/>
              </w:rPr>
              <w:t>Ted Pella</w:t>
            </w:r>
          </w:p>
        </w:tc>
        <w:tc>
          <w:tcPr>
            <w:tcW w:w="2394" w:type="dxa"/>
          </w:tcPr>
          <w:p w:rsidR="00F83038" w:rsidRDefault="006010DD">
            <w:pPr>
              <w:spacing w:after="0" w:line="240" w:lineRule="auto"/>
              <w:jc w:val="center"/>
              <w:rPr>
                <w:bCs/>
              </w:rPr>
            </w:pPr>
            <w:r>
              <w:rPr>
                <w:rFonts w:ascii="Arial" w:hAnsi="Arial"/>
                <w:bCs/>
              </w:rPr>
              <w:t>19481</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bCs/>
              </w:rPr>
            </w:pPr>
            <w:r>
              <w:rPr>
                <w:rFonts w:ascii="Arial" w:hAnsi="Arial"/>
                <w:bCs/>
              </w:rPr>
              <w:t>Ammonium Molybdate</w:t>
            </w:r>
          </w:p>
        </w:tc>
        <w:tc>
          <w:tcPr>
            <w:tcW w:w="2394" w:type="dxa"/>
          </w:tcPr>
          <w:p w:rsidR="00F83038" w:rsidRDefault="006010DD">
            <w:pPr>
              <w:spacing w:after="0" w:line="240" w:lineRule="auto"/>
              <w:jc w:val="center"/>
              <w:rPr>
                <w:bCs/>
              </w:rPr>
            </w:pPr>
            <w:r>
              <w:rPr>
                <w:rFonts w:ascii="Arial" w:hAnsi="Arial"/>
                <w:bCs/>
              </w:rPr>
              <w:t>Fisher</w:t>
            </w:r>
          </w:p>
        </w:tc>
        <w:tc>
          <w:tcPr>
            <w:tcW w:w="2394" w:type="dxa"/>
          </w:tcPr>
          <w:p w:rsidR="00F83038" w:rsidRDefault="006010DD">
            <w:pPr>
              <w:spacing w:after="0" w:line="240" w:lineRule="auto"/>
              <w:jc w:val="center"/>
              <w:rPr>
                <w:bCs/>
              </w:rPr>
            </w:pPr>
            <w:r>
              <w:rPr>
                <w:rFonts w:ascii="Arial" w:hAnsi="Arial"/>
                <w:bCs/>
              </w:rPr>
              <w:t>A-674</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rFonts w:ascii="Arial" w:hAnsi="Arial" w:cs="Arial"/>
                <w:bCs/>
              </w:rPr>
            </w:pPr>
            <w:r>
              <w:rPr>
                <w:rFonts w:ascii="Arial" w:hAnsi="Arial" w:cs="Arial"/>
                <w:bCs/>
              </w:rPr>
              <w:t xml:space="preserve">Optima MAX-E </w:t>
            </w:r>
            <w:r>
              <w:rPr>
                <w:rFonts w:ascii="Arial" w:hAnsi="Arial" w:cs="Arial"/>
                <w:bCs/>
              </w:rPr>
              <w:lastRenderedPageBreak/>
              <w:t>Ultracentrifuge</w:t>
            </w:r>
          </w:p>
        </w:tc>
        <w:tc>
          <w:tcPr>
            <w:tcW w:w="2394" w:type="dxa"/>
          </w:tcPr>
          <w:p w:rsidR="00F83038" w:rsidRDefault="006010DD">
            <w:pPr>
              <w:spacing w:after="0" w:line="240" w:lineRule="auto"/>
              <w:jc w:val="center"/>
              <w:rPr>
                <w:b/>
              </w:rPr>
            </w:pPr>
            <w:r>
              <w:rPr>
                <w:rFonts w:ascii="Arial" w:hAnsi="Arial" w:cs="Arial"/>
                <w:bCs/>
              </w:rPr>
              <w:lastRenderedPageBreak/>
              <w:t>Beckman Coulter</w:t>
            </w:r>
          </w:p>
        </w:tc>
        <w:tc>
          <w:tcPr>
            <w:tcW w:w="2394" w:type="dxa"/>
          </w:tcPr>
          <w:p w:rsidR="00F83038" w:rsidRDefault="006010DD">
            <w:pPr>
              <w:spacing w:after="0" w:line="240" w:lineRule="auto"/>
              <w:jc w:val="center"/>
              <w:rPr>
                <w:bCs/>
              </w:rPr>
            </w:pPr>
            <w:r>
              <w:rPr>
                <w:bCs/>
              </w:rPr>
              <w:t>434491</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rFonts w:ascii="Arial" w:hAnsi="Arial" w:cs="Arial"/>
                <w:bCs/>
              </w:rPr>
            </w:pPr>
            <w:r>
              <w:rPr>
                <w:rFonts w:ascii="Arial" w:hAnsi="Arial" w:cs="Arial"/>
                <w:bCs/>
              </w:rPr>
              <w:lastRenderedPageBreak/>
              <w:t>MLS-50</w:t>
            </w:r>
            <w:r>
              <w:rPr>
                <w:rFonts w:ascii="Arial" w:hAnsi="Arial" w:cs="Arial"/>
                <w:bCs/>
              </w:rPr>
              <w:t xml:space="preserve"> Rotor Package, Swinging Bucket</w:t>
            </w:r>
          </w:p>
        </w:tc>
        <w:tc>
          <w:tcPr>
            <w:tcW w:w="2394" w:type="dxa"/>
          </w:tcPr>
          <w:p w:rsidR="00F83038" w:rsidRDefault="006010DD">
            <w:pPr>
              <w:spacing w:after="0" w:line="240" w:lineRule="auto"/>
              <w:jc w:val="center"/>
              <w:rPr>
                <w:rFonts w:ascii="Arial" w:hAnsi="Arial" w:cs="Arial"/>
                <w:bCs/>
              </w:rPr>
            </w:pPr>
            <w:r>
              <w:rPr>
                <w:rFonts w:ascii="Arial" w:hAnsi="Arial" w:cs="Arial"/>
                <w:bCs/>
              </w:rPr>
              <w:t>Beckman Coulter</w:t>
            </w:r>
          </w:p>
        </w:tc>
        <w:tc>
          <w:tcPr>
            <w:tcW w:w="2394" w:type="dxa"/>
          </w:tcPr>
          <w:p w:rsidR="00F83038" w:rsidRDefault="006010DD">
            <w:pPr>
              <w:spacing w:after="0" w:line="240" w:lineRule="auto"/>
              <w:jc w:val="center"/>
              <w:rPr>
                <w:rFonts w:ascii="Arial" w:hAnsi="Arial" w:cs="Arial"/>
                <w:bCs/>
              </w:rPr>
            </w:pPr>
            <w:r>
              <w:rPr>
                <w:rFonts w:ascii="Arial" w:hAnsi="Arial" w:cs="Arial"/>
                <w:bCs/>
                <w:color w:val="221700"/>
                <w:szCs w:val="17"/>
              </w:rPr>
              <w:t>367280</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rFonts w:ascii="Arial" w:hAnsi="Arial" w:cs="Arial"/>
                <w:bCs/>
              </w:rPr>
            </w:pPr>
            <w:r>
              <w:rPr>
                <w:rStyle w:val="Strong"/>
                <w:rFonts w:ascii="Arial" w:hAnsi="Arial" w:cs="Arial"/>
                <w:b w:val="0"/>
                <w:color w:val="221700"/>
                <w:szCs w:val="17"/>
              </w:rPr>
              <w:t>TLA-120.2 Rotor Assembly, Fixed-Angle, Titanium</w:t>
            </w:r>
          </w:p>
        </w:tc>
        <w:tc>
          <w:tcPr>
            <w:tcW w:w="2394" w:type="dxa"/>
          </w:tcPr>
          <w:p w:rsidR="00F83038" w:rsidRDefault="006010DD">
            <w:pPr>
              <w:spacing w:after="0" w:line="240" w:lineRule="auto"/>
              <w:jc w:val="center"/>
              <w:rPr>
                <w:rFonts w:ascii="Arial" w:hAnsi="Arial" w:cs="Arial"/>
                <w:bCs/>
              </w:rPr>
            </w:pPr>
            <w:r>
              <w:rPr>
                <w:rFonts w:ascii="Arial" w:hAnsi="Arial" w:cs="Arial"/>
                <w:bCs/>
              </w:rPr>
              <w:t>Beckman Coulter</w:t>
            </w:r>
          </w:p>
        </w:tc>
        <w:tc>
          <w:tcPr>
            <w:tcW w:w="2394" w:type="dxa"/>
          </w:tcPr>
          <w:p w:rsidR="00F83038" w:rsidRDefault="006010DD">
            <w:pPr>
              <w:spacing w:after="0" w:line="240" w:lineRule="auto"/>
              <w:jc w:val="center"/>
              <w:rPr>
                <w:rFonts w:ascii="Arial" w:hAnsi="Arial" w:cs="Arial"/>
                <w:bCs/>
              </w:rPr>
            </w:pPr>
            <w:r>
              <w:rPr>
                <w:rFonts w:ascii="Arial" w:hAnsi="Arial" w:cs="Arial"/>
                <w:bCs/>
                <w:color w:val="221700"/>
                <w:szCs w:val="17"/>
              </w:rPr>
              <w:t>362046</w:t>
            </w:r>
          </w:p>
        </w:tc>
        <w:tc>
          <w:tcPr>
            <w:tcW w:w="2394" w:type="dxa"/>
          </w:tcPr>
          <w:p w:rsidR="00F83038" w:rsidRDefault="006010DD">
            <w:pPr>
              <w:spacing w:after="0" w:line="240" w:lineRule="auto"/>
              <w:jc w:val="center"/>
              <w:rPr>
                <w:b/>
                <w:bCs/>
              </w:rPr>
            </w:pPr>
          </w:p>
        </w:tc>
      </w:tr>
      <w:tr w:rsidR="00F83038">
        <w:tc>
          <w:tcPr>
            <w:tcW w:w="2394" w:type="dxa"/>
          </w:tcPr>
          <w:p w:rsidR="00F83038" w:rsidRDefault="006010DD">
            <w:pPr>
              <w:spacing w:after="0" w:line="240" w:lineRule="auto"/>
              <w:jc w:val="center"/>
              <w:rPr>
                <w:rFonts w:ascii="Arial" w:hAnsi="Arial" w:cs="Arial"/>
                <w:bCs/>
              </w:rPr>
            </w:pPr>
            <w:r>
              <w:rPr>
                <w:rFonts w:ascii="Arial" w:hAnsi="Arial" w:cs="Arial"/>
                <w:bCs/>
              </w:rPr>
              <w:t>Eppendorf Thermomixer</w:t>
            </w:r>
          </w:p>
        </w:tc>
        <w:tc>
          <w:tcPr>
            <w:tcW w:w="2394" w:type="dxa"/>
          </w:tcPr>
          <w:p w:rsidR="00F83038" w:rsidRDefault="006010DD">
            <w:pPr>
              <w:spacing w:after="0" w:line="240" w:lineRule="auto"/>
              <w:jc w:val="center"/>
              <w:rPr>
                <w:rFonts w:ascii="Arial" w:hAnsi="Arial" w:cs="Arial"/>
                <w:bCs/>
              </w:rPr>
            </w:pPr>
            <w:r>
              <w:rPr>
                <w:rFonts w:ascii="Arial" w:hAnsi="Arial" w:cs="Arial"/>
                <w:bCs/>
              </w:rPr>
              <w:t>Brinkman</w:t>
            </w:r>
          </w:p>
        </w:tc>
        <w:tc>
          <w:tcPr>
            <w:tcW w:w="2394" w:type="dxa"/>
          </w:tcPr>
          <w:p w:rsidR="00F83038" w:rsidRDefault="006010DD">
            <w:pPr>
              <w:spacing w:after="0" w:line="240" w:lineRule="auto"/>
              <w:jc w:val="center"/>
              <w:rPr>
                <w:rFonts w:ascii="Arial" w:hAnsi="Arial" w:cs="Arial"/>
                <w:bCs/>
              </w:rPr>
            </w:pPr>
            <w:r>
              <w:rPr>
                <w:rFonts w:ascii="Arial" w:hAnsi="Arial" w:cs="Arial"/>
                <w:color w:val="000000"/>
                <w:szCs w:val="15"/>
              </w:rPr>
              <w:t>022670000</w:t>
            </w:r>
          </w:p>
        </w:tc>
        <w:tc>
          <w:tcPr>
            <w:tcW w:w="2394" w:type="dxa"/>
          </w:tcPr>
          <w:p w:rsidR="00F83038" w:rsidRDefault="006010DD">
            <w:pPr>
              <w:spacing w:after="0" w:line="240" w:lineRule="auto"/>
              <w:jc w:val="center"/>
              <w:rPr>
                <w:b/>
                <w:bCs/>
              </w:rPr>
            </w:pPr>
          </w:p>
        </w:tc>
      </w:tr>
    </w:tbl>
    <w:p w:rsidR="00F83038" w:rsidRDefault="006010DD">
      <w:pPr>
        <w:rPr>
          <w:rFonts w:ascii="Arial" w:hAnsi="Arial"/>
        </w:rPr>
      </w:pPr>
      <w:r>
        <w:rPr>
          <w:rFonts w:ascii="Arial" w:hAnsi="Arial"/>
        </w:rPr>
        <w:tab/>
      </w:r>
      <w:r>
        <w:rPr>
          <w:rFonts w:ascii="Arial" w:hAnsi="Arial"/>
        </w:rPr>
        <w:tab/>
      </w:r>
      <w:r>
        <w:br/>
      </w:r>
    </w:p>
    <w:p w:rsidR="00F83038" w:rsidRDefault="006010DD">
      <w:pPr>
        <w:rPr>
          <w:rFonts w:ascii="Arial" w:hAnsi="Arial"/>
        </w:rPr>
      </w:pPr>
      <w:r>
        <w:rPr>
          <w:rFonts w:ascii="Arial" w:hAnsi="Arial"/>
          <w:b/>
        </w:rPr>
        <w:t>References:</w:t>
      </w:r>
      <w:r>
        <w:rPr>
          <w:rFonts w:ascii="Arial" w:hAnsi="Arial"/>
        </w:rPr>
        <w:t xml:space="preserve"> </w:t>
      </w:r>
    </w:p>
    <w:p w:rsidR="00F83038" w:rsidRDefault="006010DD">
      <w:pPr>
        <w:spacing w:after="0" w:line="240" w:lineRule="auto"/>
        <w:ind w:left="720" w:hanging="720"/>
        <w:rPr>
          <w:rFonts w:ascii="Arial" w:hAnsi="Arial" w:cs="Arial"/>
        </w:rPr>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Pr>
          <w:rFonts w:ascii="Arial" w:hAnsi="Arial" w:cs="Arial"/>
        </w:rPr>
        <w:t>1.</w:t>
      </w:r>
      <w:r>
        <w:rPr>
          <w:rFonts w:ascii="Arial" w:hAnsi="Arial" w:cs="Arial"/>
        </w:rPr>
        <w:tab/>
        <w:t>Kemler, I., Whittaker, G. &amp; Helenius, A. Nu</w:t>
      </w:r>
      <w:r>
        <w:rPr>
          <w:rFonts w:ascii="Arial" w:hAnsi="Arial" w:cs="Arial"/>
        </w:rPr>
        <w:t xml:space="preserve">clear import of microinjected influenza virus ribonucleoproteins. </w:t>
      </w:r>
      <w:r>
        <w:rPr>
          <w:rFonts w:ascii="Arial" w:hAnsi="Arial" w:cs="Arial"/>
          <w:i/>
        </w:rPr>
        <w:t>Virology</w:t>
      </w:r>
      <w:r>
        <w:rPr>
          <w:rFonts w:ascii="Arial" w:hAnsi="Arial" w:cs="Arial"/>
        </w:rPr>
        <w:t xml:space="preserve"> </w:t>
      </w:r>
      <w:r>
        <w:rPr>
          <w:rFonts w:ascii="Arial" w:hAnsi="Arial" w:cs="Arial"/>
          <w:b/>
        </w:rPr>
        <w:t>202</w:t>
      </w:r>
      <w:r>
        <w:rPr>
          <w:rFonts w:ascii="Arial" w:hAnsi="Arial" w:cs="Arial"/>
        </w:rPr>
        <w:t>, 1028-33 (1994).</w:t>
      </w:r>
    </w:p>
    <w:p w:rsidR="00F83038" w:rsidRDefault="006010DD">
      <w:pPr>
        <w:spacing w:after="0" w:line="240" w:lineRule="auto"/>
        <w:ind w:left="720" w:hanging="720"/>
        <w:rPr>
          <w:rFonts w:ascii="Arial" w:hAnsi="Arial" w:cs="Arial"/>
        </w:rPr>
      </w:pPr>
      <w:r>
        <w:rPr>
          <w:rFonts w:ascii="Arial" w:hAnsi="Arial" w:cs="Arial"/>
        </w:rPr>
        <w:t>2.</w:t>
      </w:r>
      <w:r>
        <w:rPr>
          <w:rFonts w:ascii="Arial" w:hAnsi="Arial" w:cs="Arial"/>
        </w:rPr>
        <w:tab/>
        <w:t xml:space="preserve">Wu, W. W. H., Weaver, L. L. &amp; Panté, N. Ultrastructural analysis of the nuclear localization sequences on influenza a ribonucleoprotein complexes. </w:t>
      </w:r>
      <w:r>
        <w:rPr>
          <w:rFonts w:ascii="Arial" w:hAnsi="Arial" w:cs="Arial"/>
          <w:i/>
        </w:rPr>
        <w:t>J Mol Biol</w:t>
      </w:r>
      <w:r>
        <w:rPr>
          <w:rFonts w:ascii="Arial" w:hAnsi="Arial" w:cs="Arial"/>
        </w:rPr>
        <w:t xml:space="preserve"> </w:t>
      </w:r>
      <w:r>
        <w:rPr>
          <w:rFonts w:ascii="Arial" w:hAnsi="Arial" w:cs="Arial"/>
          <w:b/>
        </w:rPr>
        <w:t>374</w:t>
      </w:r>
      <w:r>
        <w:rPr>
          <w:rFonts w:ascii="Arial" w:hAnsi="Arial" w:cs="Arial"/>
        </w:rPr>
        <w:t>, 910-6 (2007).</w:t>
      </w:r>
    </w:p>
    <w:p w:rsidR="00F83038" w:rsidRDefault="006010DD">
      <w:pPr>
        <w:spacing w:after="0" w:line="240" w:lineRule="auto"/>
        <w:ind w:left="720" w:hanging="720"/>
        <w:rPr>
          <w:rFonts w:ascii="Arial" w:hAnsi="Arial" w:cs="Arial"/>
        </w:rPr>
      </w:pPr>
      <w:r>
        <w:rPr>
          <w:rFonts w:ascii="Arial" w:hAnsi="Arial" w:cs="Arial"/>
        </w:rPr>
        <w:t>3.</w:t>
      </w:r>
      <w:r>
        <w:rPr>
          <w:rFonts w:ascii="Arial" w:hAnsi="Arial" w:cs="Arial"/>
        </w:rPr>
        <w:tab/>
        <w:t xml:space="preserve">Gasteiger, E. et al. in </w:t>
      </w:r>
      <w:r>
        <w:rPr>
          <w:rFonts w:ascii="Arial" w:hAnsi="Arial" w:cs="Arial"/>
          <w:i/>
        </w:rPr>
        <w:t>The Proteomics Protocols Handbook</w:t>
      </w:r>
      <w:r>
        <w:rPr>
          <w:rFonts w:ascii="Arial" w:hAnsi="Arial" w:cs="Arial"/>
        </w:rPr>
        <w:t xml:space="preserve"> (ed. Walker, J. M.) 571-607 (Humana Press, 2005).</w:t>
      </w:r>
    </w:p>
    <w:p w:rsidR="00F83038" w:rsidRDefault="006010DD">
      <w:pPr>
        <w:spacing w:after="0" w:line="240" w:lineRule="auto"/>
        <w:ind w:left="720" w:hanging="720"/>
        <w:rPr>
          <w:rFonts w:ascii="Arial" w:hAnsi="Arial" w:cs="Arial"/>
        </w:rPr>
      </w:pPr>
      <w:r>
        <w:rPr>
          <w:rFonts w:ascii="Arial" w:hAnsi="Arial" w:cs="Arial"/>
        </w:rPr>
        <w:t>4.</w:t>
      </w:r>
      <w:r>
        <w:rPr>
          <w:rFonts w:ascii="Arial" w:hAnsi="Arial" w:cs="Arial"/>
        </w:rPr>
        <w:tab/>
        <w:t>Wu, W. W. H., Sun, Y. H. B. &amp; Panté, N. Nuclear import of influenza A viral ribonucleoprotein complexes is mediated by two</w:t>
      </w:r>
      <w:r>
        <w:rPr>
          <w:rFonts w:ascii="Arial" w:hAnsi="Arial" w:cs="Arial"/>
        </w:rPr>
        <w:t xml:space="preserve"> nuclear localization sequences on viral nucleoprotein. </w:t>
      </w:r>
      <w:r>
        <w:rPr>
          <w:rFonts w:ascii="Arial" w:hAnsi="Arial" w:cs="Arial"/>
          <w:i/>
        </w:rPr>
        <w:t>Virol J</w:t>
      </w:r>
      <w:r>
        <w:rPr>
          <w:rFonts w:ascii="Arial" w:hAnsi="Arial" w:cs="Arial"/>
        </w:rPr>
        <w:t xml:space="preserve"> </w:t>
      </w:r>
      <w:r>
        <w:rPr>
          <w:rFonts w:ascii="Arial" w:hAnsi="Arial" w:cs="Arial"/>
          <w:b/>
        </w:rPr>
        <w:t>4</w:t>
      </w:r>
      <w:r>
        <w:rPr>
          <w:rFonts w:ascii="Arial" w:hAnsi="Arial" w:cs="Arial"/>
        </w:rPr>
        <w:t>, 49 (2007).</w:t>
      </w:r>
    </w:p>
    <w:p w:rsidR="00F83038" w:rsidRDefault="006010DD">
      <w:pPr>
        <w:spacing w:after="0" w:line="240" w:lineRule="auto"/>
        <w:ind w:left="720" w:hanging="720"/>
        <w:rPr>
          <w:rFonts w:ascii="Arial" w:hAnsi="Arial" w:cs="Arial"/>
        </w:rPr>
      </w:pPr>
      <w:r>
        <w:rPr>
          <w:rFonts w:ascii="Arial" w:hAnsi="Arial" w:cs="Arial"/>
        </w:rPr>
        <w:t>5.</w:t>
      </w:r>
      <w:r>
        <w:rPr>
          <w:rFonts w:ascii="Arial" w:hAnsi="Arial" w:cs="Arial"/>
        </w:rPr>
        <w:tab/>
        <w:t xml:space="preserve">Babcock, H. P., Chen, C. &amp; Zhuang, X. Using single-particle tracking to study nuclear trafficking of viral genes. </w:t>
      </w:r>
      <w:r>
        <w:rPr>
          <w:rFonts w:ascii="Arial" w:hAnsi="Arial" w:cs="Arial"/>
          <w:i/>
        </w:rPr>
        <w:t>Biophys J</w:t>
      </w:r>
      <w:r>
        <w:rPr>
          <w:rFonts w:ascii="Arial" w:hAnsi="Arial" w:cs="Arial"/>
        </w:rPr>
        <w:t xml:space="preserve"> </w:t>
      </w:r>
      <w:r>
        <w:rPr>
          <w:rFonts w:ascii="Arial" w:hAnsi="Arial" w:cs="Arial"/>
          <w:b/>
        </w:rPr>
        <w:t>87</w:t>
      </w:r>
      <w:r>
        <w:rPr>
          <w:rFonts w:ascii="Arial" w:hAnsi="Arial" w:cs="Arial"/>
        </w:rPr>
        <w:t>, 2749-58 (2004).</w:t>
      </w:r>
    </w:p>
    <w:p w:rsidR="00F83038" w:rsidRDefault="006010DD">
      <w:pPr>
        <w:rPr>
          <w:rFonts w:ascii="Arial" w:hAnsi="Arial"/>
        </w:rPr>
      </w:pPr>
      <w:r>
        <w:rPr>
          <w:rFonts w:ascii="Arial" w:hAnsi="Arial" w:cs="Arial"/>
        </w:rPr>
        <w:fldChar w:fldCharType="end"/>
      </w:r>
    </w:p>
    <w:p w:rsidR="00F83038" w:rsidRDefault="006010DD">
      <w:pPr>
        <w:rPr>
          <w:rFonts w:ascii="Arial" w:hAnsi="Arial"/>
          <w:b/>
        </w:rPr>
      </w:pPr>
    </w:p>
    <w:p w:rsidR="00F83038" w:rsidRDefault="006010DD">
      <w:pPr>
        <w:rPr>
          <w:rFonts w:ascii="Arial" w:hAnsi="Arial"/>
          <w:b/>
        </w:rPr>
      </w:pPr>
      <w:r>
        <w:rPr>
          <w:rFonts w:ascii="Arial" w:hAnsi="Arial"/>
          <w:b/>
        </w:rPr>
        <w:t>Figure legends</w:t>
      </w:r>
    </w:p>
    <w:p w:rsidR="00F83038" w:rsidRDefault="006010DD">
      <w:pPr>
        <w:rPr>
          <w:rFonts w:ascii="Arial" w:hAnsi="Arial"/>
          <w:bCs/>
        </w:rPr>
      </w:pPr>
      <w:r>
        <w:rPr>
          <w:rFonts w:ascii="Arial" w:hAnsi="Arial"/>
          <w:b/>
        </w:rPr>
        <w:t xml:space="preserve">Figure 1. </w:t>
      </w:r>
      <w:r>
        <w:rPr>
          <w:rFonts w:ascii="Arial" w:hAnsi="Arial"/>
        </w:rPr>
        <w:t>Flo</w:t>
      </w:r>
      <w:r>
        <w:rPr>
          <w:rFonts w:ascii="Arial" w:hAnsi="Arial"/>
        </w:rPr>
        <w:t>w diagram of the protocol of purification of influenza A vRNP complexes.</w:t>
      </w:r>
    </w:p>
    <w:p w:rsidR="00F83038" w:rsidRDefault="006010DD">
      <w:pPr>
        <w:rPr>
          <w:rFonts w:ascii="Arial" w:hAnsi="Arial"/>
          <w:b/>
        </w:rPr>
      </w:pPr>
    </w:p>
    <w:p w:rsidR="00F83038" w:rsidRDefault="006010DD">
      <w:pPr>
        <w:rPr>
          <w:rFonts w:ascii="Arial" w:hAnsi="Arial"/>
        </w:rPr>
      </w:pPr>
      <w:r>
        <w:rPr>
          <w:rFonts w:ascii="Arial" w:hAnsi="Arial"/>
          <w:b/>
        </w:rPr>
        <w:t xml:space="preserve">Figure 2. </w:t>
      </w:r>
      <w:r>
        <w:rPr>
          <w:rFonts w:ascii="Arial" w:hAnsi="Arial"/>
        </w:rPr>
        <w:t>Result of the analysis of the fractions by SDS-PAGE stained with Comassie blue after glycerol gradient centrifugation of a lysate of influenza A virus. Fractions were colle</w:t>
      </w:r>
      <w:r>
        <w:rPr>
          <w:rFonts w:ascii="Arial" w:hAnsi="Arial"/>
        </w:rPr>
        <w:t>cted from the top (lane 1) to the bottom (lane 16) of the tube. Fractions 7-10 (indicated by the box) contained mainly NP were pooled together to concentrate the vRNPs. The major proteins of influenza A are shown:  the two cleaved forms of hemagglutinin (H</w:t>
      </w:r>
      <w:r>
        <w:rPr>
          <w:rFonts w:ascii="Arial" w:hAnsi="Arial"/>
        </w:rPr>
        <w:t>A1 and H2, predicted molecular weight 38 kDa and 25 kDa respectively, although they are glycosylated so they may run aberrantly); neuraminidase (NA, 52 kDa); the M1 matrix protein (M1, 28 kDa); and nucleoprotein (NP, 56 kDa).</w:t>
      </w:r>
    </w:p>
    <w:p w:rsidR="00F83038" w:rsidRDefault="006010DD">
      <w:pPr>
        <w:rPr>
          <w:rFonts w:ascii="Arial" w:hAnsi="Arial"/>
        </w:rPr>
      </w:pPr>
    </w:p>
    <w:p w:rsidR="00F83038" w:rsidRDefault="006010DD">
      <w:pPr>
        <w:rPr>
          <w:rFonts w:ascii="Arial" w:hAnsi="Arial"/>
        </w:rPr>
      </w:pPr>
      <w:r>
        <w:rPr>
          <w:rFonts w:ascii="Arial" w:hAnsi="Arial"/>
          <w:b/>
        </w:rPr>
        <w:lastRenderedPageBreak/>
        <w:t xml:space="preserve">Figure 3. </w:t>
      </w:r>
      <w:r>
        <w:rPr>
          <w:rFonts w:ascii="Arial" w:hAnsi="Arial"/>
        </w:rPr>
        <w:t>Negative staining o</w:t>
      </w:r>
      <w:r>
        <w:rPr>
          <w:rFonts w:ascii="Arial" w:hAnsi="Arial"/>
        </w:rPr>
        <w:t>f purified influenza A vRNP complexes visualized by transmission electron microscopy. (a) vRNPs were negatively stained with uranyl acetate. (b) vRNPs were negatively stained with ammonium molybdate.</w:t>
      </w:r>
    </w:p>
    <w:p w:rsidR="00F83038" w:rsidRDefault="006010DD">
      <w:pPr>
        <w:spacing w:after="0" w:line="240" w:lineRule="auto"/>
        <w:ind w:left="720" w:hanging="720"/>
        <w:rPr>
          <w:rFonts w:ascii="Arial" w:hAnsi="Arial"/>
        </w:rPr>
      </w:pPr>
    </w:p>
    <w:sectPr w:rsidR="00F8303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0DD" w:rsidRDefault="006010DD">
      <w:pPr>
        <w:spacing w:after="0" w:line="240" w:lineRule="auto"/>
      </w:pPr>
      <w:r>
        <w:separator/>
      </w:r>
    </w:p>
  </w:endnote>
  <w:endnote w:type="continuationSeparator" w:id="1">
    <w:p w:rsidR="006010DD" w:rsidRDefault="00601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38" w:rsidRDefault="00601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3038" w:rsidRDefault="006010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38" w:rsidRDefault="00601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678B">
      <w:rPr>
        <w:rStyle w:val="PageNumber"/>
        <w:noProof/>
      </w:rPr>
      <w:t>5</w:t>
    </w:r>
    <w:r>
      <w:rPr>
        <w:rStyle w:val="PageNumber"/>
      </w:rPr>
      <w:fldChar w:fldCharType="end"/>
    </w:r>
  </w:p>
  <w:p w:rsidR="00F83038" w:rsidRDefault="006010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0DD" w:rsidRDefault="006010DD">
      <w:pPr>
        <w:spacing w:after="0" w:line="240" w:lineRule="auto"/>
      </w:pPr>
      <w:r>
        <w:separator/>
      </w:r>
    </w:p>
  </w:footnote>
  <w:footnote w:type="continuationSeparator" w:id="1">
    <w:p w:rsidR="006010DD" w:rsidRDefault="006010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FC3EAE"/>
    <w:lvl w:ilvl="0">
      <w:start w:val="1"/>
      <w:numFmt w:val="decimal"/>
      <w:lvlText w:val="%1."/>
      <w:lvlJc w:val="left"/>
      <w:pPr>
        <w:tabs>
          <w:tab w:val="num" w:pos="1800"/>
        </w:tabs>
        <w:ind w:left="1800" w:hanging="360"/>
      </w:pPr>
    </w:lvl>
  </w:abstractNum>
  <w:abstractNum w:abstractNumId="1">
    <w:nsid w:val="FFFFFF7D"/>
    <w:multiLevelType w:val="singleLevel"/>
    <w:tmpl w:val="9A9603C4"/>
    <w:lvl w:ilvl="0">
      <w:start w:val="1"/>
      <w:numFmt w:val="decimal"/>
      <w:lvlText w:val="%1."/>
      <w:lvlJc w:val="left"/>
      <w:pPr>
        <w:tabs>
          <w:tab w:val="num" w:pos="1440"/>
        </w:tabs>
        <w:ind w:left="1440" w:hanging="360"/>
      </w:pPr>
    </w:lvl>
  </w:abstractNum>
  <w:abstractNum w:abstractNumId="2">
    <w:nsid w:val="FFFFFF7E"/>
    <w:multiLevelType w:val="singleLevel"/>
    <w:tmpl w:val="443C388C"/>
    <w:lvl w:ilvl="0">
      <w:start w:val="1"/>
      <w:numFmt w:val="decimal"/>
      <w:lvlText w:val="%1."/>
      <w:lvlJc w:val="left"/>
      <w:pPr>
        <w:tabs>
          <w:tab w:val="num" w:pos="1080"/>
        </w:tabs>
        <w:ind w:left="1080" w:hanging="360"/>
      </w:pPr>
    </w:lvl>
  </w:abstractNum>
  <w:abstractNum w:abstractNumId="3">
    <w:nsid w:val="FFFFFF7F"/>
    <w:multiLevelType w:val="singleLevel"/>
    <w:tmpl w:val="DBAA8974"/>
    <w:lvl w:ilvl="0">
      <w:start w:val="1"/>
      <w:numFmt w:val="decimal"/>
      <w:lvlText w:val="%1."/>
      <w:lvlJc w:val="left"/>
      <w:pPr>
        <w:tabs>
          <w:tab w:val="num" w:pos="720"/>
        </w:tabs>
        <w:ind w:left="720" w:hanging="360"/>
      </w:pPr>
    </w:lvl>
  </w:abstractNum>
  <w:abstractNum w:abstractNumId="4">
    <w:nsid w:val="FFFFFF80"/>
    <w:multiLevelType w:val="singleLevel"/>
    <w:tmpl w:val="161EE8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92CB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462E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AA3F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A6A512E"/>
    <w:lvl w:ilvl="0">
      <w:start w:val="1"/>
      <w:numFmt w:val="decimal"/>
      <w:lvlText w:val="%1."/>
      <w:lvlJc w:val="left"/>
      <w:pPr>
        <w:tabs>
          <w:tab w:val="num" w:pos="360"/>
        </w:tabs>
        <w:ind w:left="360" w:hanging="360"/>
      </w:pPr>
    </w:lvl>
  </w:abstractNum>
  <w:abstractNum w:abstractNumId="9">
    <w:nsid w:val="FFFFFF89"/>
    <w:multiLevelType w:val="singleLevel"/>
    <w:tmpl w:val="507E83B2"/>
    <w:lvl w:ilvl="0">
      <w:start w:val="1"/>
      <w:numFmt w:val="bullet"/>
      <w:lvlText w:val=""/>
      <w:lvlJc w:val="left"/>
      <w:pPr>
        <w:tabs>
          <w:tab w:val="num" w:pos="360"/>
        </w:tabs>
        <w:ind w:left="360" w:hanging="360"/>
      </w:pPr>
      <w:rPr>
        <w:rFonts w:ascii="Symbol" w:hAnsi="Symbol" w:hint="default"/>
      </w:rPr>
    </w:lvl>
  </w:abstractNum>
  <w:abstractNum w:abstractNumId="10">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A2707E"/>
    <w:multiLevelType w:val="multilevel"/>
    <w:tmpl w:val="DAAA3898"/>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0913F2E"/>
    <w:multiLevelType w:val="multilevel"/>
    <w:tmpl w:val="1B586C70"/>
    <w:lvl w:ilvl="0">
      <w:start w:val="6"/>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D47616A"/>
    <w:multiLevelType w:val="multilevel"/>
    <w:tmpl w:val="EF16D20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F0F4D1D"/>
    <w:multiLevelType w:val="multilevel"/>
    <w:tmpl w:val="446C4C9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3661E14"/>
    <w:multiLevelType w:val="multilevel"/>
    <w:tmpl w:val="347A83B0"/>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52457EB"/>
    <w:multiLevelType w:val="multilevel"/>
    <w:tmpl w:val="1A72CECE"/>
    <w:lvl w:ilvl="0">
      <w:start w:val="3"/>
      <w:numFmt w:val="decimal"/>
      <w:lvlText w:val="%1."/>
      <w:lvlJc w:val="left"/>
      <w:pPr>
        <w:tabs>
          <w:tab w:val="num" w:pos="380"/>
        </w:tabs>
        <w:ind w:left="380" w:hanging="3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85130F"/>
    <w:multiLevelType w:val="multilevel"/>
    <w:tmpl w:val="C0C844D4"/>
    <w:lvl w:ilvl="0">
      <w:start w:val="2"/>
      <w:numFmt w:val="decimal"/>
      <w:lvlText w:val="%1."/>
      <w:lvlJc w:val="left"/>
      <w:pPr>
        <w:tabs>
          <w:tab w:val="num" w:pos="380"/>
        </w:tabs>
        <w:ind w:left="380" w:hanging="3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EC53AFF"/>
    <w:multiLevelType w:val="multilevel"/>
    <w:tmpl w:val="EC9CD99A"/>
    <w:lvl w:ilvl="0">
      <w:start w:val="2"/>
      <w:numFmt w:val="decimal"/>
      <w:lvlText w:val="%1."/>
      <w:lvlJc w:val="left"/>
      <w:pPr>
        <w:tabs>
          <w:tab w:val="num" w:pos="380"/>
        </w:tabs>
        <w:ind w:left="380" w:hanging="3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FD67BEA"/>
    <w:multiLevelType w:val="hybridMultilevel"/>
    <w:tmpl w:val="3862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5A2492"/>
    <w:multiLevelType w:val="multilevel"/>
    <w:tmpl w:val="7A80179C"/>
    <w:lvl w:ilvl="0">
      <w:start w:val="2"/>
      <w:numFmt w:val="decimal"/>
      <w:lvlText w:val="%1."/>
      <w:lvlJc w:val="left"/>
      <w:pPr>
        <w:tabs>
          <w:tab w:val="num" w:pos="540"/>
        </w:tabs>
        <w:ind w:left="540" w:hanging="54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C4185C"/>
    <w:multiLevelType w:val="multilevel"/>
    <w:tmpl w:val="7F88E7D4"/>
    <w:lvl w:ilvl="0">
      <w:start w:val="2"/>
      <w:numFmt w:val="decimal"/>
      <w:lvlText w:val="%1."/>
      <w:lvlJc w:val="left"/>
      <w:pPr>
        <w:tabs>
          <w:tab w:val="num" w:pos="380"/>
        </w:tabs>
        <w:ind w:left="380" w:hanging="3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21"/>
  </w:num>
  <w:num w:numId="3">
    <w:abstractNumId w:val="10"/>
  </w:num>
  <w:num w:numId="4">
    <w:abstractNumId w:val="20"/>
  </w:num>
  <w:num w:numId="5">
    <w:abstractNumId w:val="13"/>
  </w:num>
  <w:num w:numId="6">
    <w:abstractNumId w:val="14"/>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5"/>
  </w:num>
  <w:num w:numId="20">
    <w:abstractNumId w:val="22"/>
  </w:num>
  <w:num w:numId="21">
    <w:abstractNumId w:val="17"/>
  </w:num>
  <w:num w:numId="22">
    <w:abstractNumId w:val="18"/>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oNotTrackMoves/>
  <w:defaultTabStop w:val="720"/>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0&lt;/Enabled&gt;&lt;ScanUnformatted&gt;1&lt;/ScanUnformatted&gt;&lt;ScanChanges&gt;1&lt;/ScanChanges&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aper3.enl&lt;/item&gt;&lt;/Libraries&gt;&lt;/ENLibraries&gt;"/>
  </w:docVars>
  <w:rsids>
    <w:rsidRoot w:val="00CD11D5"/>
    <w:rsid w:val="0014678B"/>
    <w:rsid w:val="006010DD"/>
    <w:rsid w:val="00907124"/>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lorfulList-Accent1">
    <w:name w:val="Colorful List Accent 1"/>
    <w:basedOn w:val="Normal"/>
    <w:qFormat/>
    <w:pPr>
      <w:ind w:left="720"/>
      <w:contextualSpacing/>
    </w:p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basedOn w:val="DefaultParagraphFont"/>
    <w:qFormat/>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weaver@cdrd.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nco@zoology.ub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nte@zoology.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20936</CharactersWithSpaces>
  <SharedDoc>false</SharedDoc>
  <HLinks>
    <vt:vector size="18" baseType="variant">
      <vt:variant>
        <vt:i4>7274616</vt:i4>
      </vt:variant>
      <vt:variant>
        <vt:i4>6</vt:i4>
      </vt:variant>
      <vt:variant>
        <vt:i4>0</vt:i4>
      </vt:variant>
      <vt:variant>
        <vt:i4>5</vt:i4>
      </vt:variant>
      <vt:variant>
        <vt:lpwstr>mailto:pante@zoology.ubc.ca</vt:lpwstr>
      </vt:variant>
      <vt:variant>
        <vt:lpwstr/>
      </vt:variant>
      <vt:variant>
        <vt:i4>3211290</vt:i4>
      </vt:variant>
      <vt:variant>
        <vt:i4>3</vt:i4>
      </vt:variant>
      <vt:variant>
        <vt:i4>0</vt:i4>
      </vt:variant>
      <vt:variant>
        <vt:i4>5</vt:i4>
      </vt:variant>
      <vt:variant>
        <vt:lpwstr>mailto:lweaver@cdrd.ca</vt:lpwstr>
      </vt:variant>
      <vt:variant>
        <vt:lpwstr/>
      </vt:variant>
      <vt:variant>
        <vt:i4>6422631</vt:i4>
      </vt:variant>
      <vt:variant>
        <vt:i4>0</vt:i4>
      </vt:variant>
      <vt:variant>
        <vt:i4>0</vt:i4>
      </vt:variant>
      <vt:variant>
        <vt:i4>5</vt:i4>
      </vt:variant>
      <vt:variant>
        <vt:lpwstr>mailto:winco@zoology.ubc.ca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 </cp:lastModifiedBy>
  <cp:revision>2</cp:revision>
  <cp:lastPrinted>2008-10-10T17:20:00Z</cp:lastPrinted>
  <dcterms:created xsi:type="dcterms:W3CDTF">2009-01-21T18:24:00Z</dcterms:created>
  <dcterms:modified xsi:type="dcterms:W3CDTF">2009-01-21T18:24:00Z</dcterms:modified>
</cp:coreProperties>
</file>