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8EB1A" w14:textId="77777777" w:rsidR="005D6D8A" w:rsidRPr="00905C20" w:rsidRDefault="009E6662" w:rsidP="00905C20">
      <w:pPr>
        <w:spacing w:line="0" w:lineRule="atLeast"/>
        <w:rPr>
          <w:b/>
          <w:bCs/>
          <w:color w:val="000000" w:themeColor="text1"/>
        </w:rPr>
      </w:pPr>
      <w:r w:rsidRPr="00905C20">
        <w:rPr>
          <w:b/>
          <w:bCs/>
          <w:color w:val="000000" w:themeColor="text1"/>
        </w:rPr>
        <w:t>TITLE:</w:t>
      </w:r>
    </w:p>
    <w:p w14:paraId="77896467" w14:textId="4D95D537" w:rsidR="005246B3" w:rsidRPr="00905C20" w:rsidRDefault="0054263D" w:rsidP="00905C20">
      <w:pPr>
        <w:spacing w:line="0" w:lineRule="atLeast"/>
        <w:rPr>
          <w:color w:val="000000" w:themeColor="text1"/>
        </w:rPr>
      </w:pPr>
      <w:r w:rsidRPr="00905C20">
        <w:rPr>
          <w:color w:val="000000" w:themeColor="text1"/>
        </w:rPr>
        <w:t>S</w:t>
      </w:r>
      <w:r w:rsidR="00654F1C" w:rsidRPr="00905C20">
        <w:rPr>
          <w:color w:val="000000" w:themeColor="text1"/>
        </w:rPr>
        <w:t xml:space="preserve">tem </w:t>
      </w:r>
      <w:r w:rsidRPr="00905C20">
        <w:rPr>
          <w:color w:val="000000" w:themeColor="text1"/>
        </w:rPr>
        <w:t>C</w:t>
      </w:r>
      <w:r w:rsidR="00654F1C" w:rsidRPr="00905C20">
        <w:rPr>
          <w:color w:val="000000" w:themeColor="text1"/>
        </w:rPr>
        <w:t xml:space="preserve">ell </w:t>
      </w:r>
      <w:r w:rsidRPr="00905C20">
        <w:rPr>
          <w:color w:val="000000" w:themeColor="text1"/>
        </w:rPr>
        <w:t>E</w:t>
      </w:r>
      <w:r w:rsidR="00654F1C" w:rsidRPr="00905C20">
        <w:rPr>
          <w:color w:val="000000" w:themeColor="text1"/>
        </w:rPr>
        <w:t>ducator</w:t>
      </w:r>
      <w:r w:rsidRPr="00905C20">
        <w:rPr>
          <w:color w:val="000000" w:themeColor="text1"/>
        </w:rPr>
        <w:t xml:space="preserve"> Therapy for Ex Vivo Immune Modulation of Peripheral Blood Mononuclear Cells in Patients with Long COVID</w:t>
      </w:r>
    </w:p>
    <w:p w14:paraId="39AAF6C6" w14:textId="77777777" w:rsidR="00E01F9C" w:rsidRPr="00905C20" w:rsidRDefault="00E01F9C" w:rsidP="00905C20">
      <w:pPr>
        <w:spacing w:line="0" w:lineRule="atLeast"/>
        <w:rPr>
          <w:color w:val="000000" w:themeColor="text1"/>
        </w:rPr>
      </w:pPr>
    </w:p>
    <w:p w14:paraId="6EC9E8F0" w14:textId="471E57EC" w:rsidR="00E01F9C" w:rsidRPr="00905C20" w:rsidRDefault="009E6662" w:rsidP="00905C20">
      <w:pPr>
        <w:spacing w:line="0" w:lineRule="atLeast"/>
        <w:rPr>
          <w:color w:val="000000" w:themeColor="text1"/>
        </w:rPr>
      </w:pPr>
      <w:r w:rsidRPr="00905C20">
        <w:rPr>
          <w:b/>
          <w:color w:val="000000" w:themeColor="text1"/>
        </w:rPr>
        <w:t>AUTHORS AND AFFILIATIONS:</w:t>
      </w:r>
    </w:p>
    <w:p w14:paraId="7DF20597" w14:textId="08677BE8" w:rsidR="008B1F95" w:rsidRPr="00905C20" w:rsidRDefault="009E6662" w:rsidP="00905C20">
      <w:pPr>
        <w:pStyle w:val="MDPI13authornames"/>
        <w:spacing w:after="0" w:line="0" w:lineRule="atLeast"/>
        <w:jc w:val="both"/>
        <w:rPr>
          <w:rFonts w:ascii="Calibri" w:eastAsiaTheme="minorEastAsia" w:hAnsi="Calibri" w:cs="Calibri"/>
          <w:b w:val="0"/>
          <w:bCs/>
          <w:color w:val="000000" w:themeColor="text1"/>
          <w:sz w:val="24"/>
          <w:szCs w:val="24"/>
        </w:rPr>
      </w:pPr>
      <w:bookmarkStart w:id="0" w:name="OLE_LINK3"/>
      <w:r w:rsidRPr="00905C20">
        <w:rPr>
          <w:rFonts w:ascii="Calibri" w:eastAsiaTheme="minorEastAsia" w:hAnsi="Calibri" w:cs="Calibri"/>
          <w:b w:val="0"/>
          <w:bCs/>
          <w:color w:val="000000" w:themeColor="text1"/>
          <w:sz w:val="24"/>
          <w:szCs w:val="24"/>
        </w:rPr>
        <w:t>Yong Zhao</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Boris Veysman</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Zhi Hua Huang</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Noelle Mendoza</w:t>
      </w:r>
      <w:r w:rsidRPr="00905C20">
        <w:rPr>
          <w:rFonts w:ascii="Calibri" w:eastAsiaTheme="minorEastAsia" w:hAnsi="Calibri" w:cs="Calibri"/>
          <w:b w:val="0"/>
          <w:bCs/>
          <w:color w:val="000000" w:themeColor="text1"/>
          <w:sz w:val="24"/>
          <w:szCs w:val="24"/>
          <w:vertAlign w:val="superscript"/>
        </w:rPr>
        <w:t>2</w:t>
      </w:r>
      <w:r w:rsidRPr="00905C20">
        <w:rPr>
          <w:rFonts w:ascii="Calibri" w:eastAsiaTheme="minorEastAsia" w:hAnsi="Calibri" w:cs="Calibri"/>
          <w:b w:val="0"/>
          <w:bCs/>
          <w:color w:val="000000" w:themeColor="text1"/>
          <w:sz w:val="24"/>
          <w:szCs w:val="24"/>
        </w:rPr>
        <w:t>, Chandler Judd</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Jennifer Anti-Ampratwum</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Rebecca Lackrajh</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w:t>
      </w:r>
      <w:r w:rsidRPr="00905C20">
        <w:rPr>
          <w:rFonts w:ascii="Calibri" w:hAnsi="Calibri" w:cs="Calibri"/>
          <w:color w:val="000000" w:themeColor="text1"/>
          <w:sz w:val="24"/>
          <w:szCs w:val="24"/>
        </w:rPr>
        <w:t xml:space="preserve"> </w:t>
      </w:r>
      <w:r w:rsidRPr="00905C20">
        <w:rPr>
          <w:rFonts w:ascii="Calibri" w:eastAsiaTheme="minorEastAsia" w:hAnsi="Calibri" w:cs="Calibri"/>
          <w:b w:val="0"/>
          <w:bCs/>
          <w:color w:val="000000" w:themeColor="text1"/>
          <w:sz w:val="24"/>
          <w:szCs w:val="24"/>
        </w:rPr>
        <w:t>Ana Villagran</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xml:space="preserve">, </w:t>
      </w:r>
      <w:proofErr w:type="spellStart"/>
      <w:r w:rsidRPr="00905C20">
        <w:rPr>
          <w:rFonts w:ascii="Calibri" w:eastAsiaTheme="minorEastAsia" w:hAnsi="Calibri" w:cs="Calibri"/>
          <w:b w:val="0"/>
          <w:bCs/>
          <w:color w:val="000000" w:themeColor="text1"/>
          <w:sz w:val="24"/>
          <w:szCs w:val="24"/>
        </w:rPr>
        <w:t>Honglan</w:t>
      </w:r>
      <w:proofErr w:type="spellEnd"/>
      <w:r w:rsidRPr="00905C20">
        <w:rPr>
          <w:rFonts w:ascii="Calibri" w:eastAsiaTheme="minorEastAsia" w:hAnsi="Calibri" w:cs="Calibri"/>
          <w:b w:val="0"/>
          <w:bCs/>
          <w:color w:val="000000" w:themeColor="text1"/>
          <w:sz w:val="24"/>
          <w:szCs w:val="24"/>
        </w:rPr>
        <w:t xml:space="preserve"> Wang</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xml:space="preserve">, </w:t>
      </w:r>
      <w:proofErr w:type="spellStart"/>
      <w:r w:rsidRPr="00905C20">
        <w:rPr>
          <w:rFonts w:ascii="Calibri" w:eastAsiaTheme="minorEastAsia" w:hAnsi="Calibri" w:cs="Calibri"/>
          <w:b w:val="0"/>
          <w:bCs/>
          <w:color w:val="000000" w:themeColor="text1"/>
          <w:sz w:val="24"/>
          <w:szCs w:val="24"/>
        </w:rPr>
        <w:t>Yelu</w:t>
      </w:r>
      <w:proofErr w:type="spellEnd"/>
      <w:r w:rsidRPr="00905C20">
        <w:rPr>
          <w:rFonts w:ascii="Calibri" w:eastAsiaTheme="minorEastAsia" w:hAnsi="Calibri" w:cs="Calibri"/>
          <w:b w:val="0"/>
          <w:bCs/>
          <w:color w:val="000000" w:themeColor="text1"/>
          <w:sz w:val="24"/>
          <w:szCs w:val="24"/>
        </w:rPr>
        <w:t xml:space="preserve"> Zhao</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Terri Tibbot</w:t>
      </w:r>
      <w:r w:rsidRPr="00905C20">
        <w:rPr>
          <w:rFonts w:ascii="Calibri" w:eastAsiaTheme="minorEastAsia" w:hAnsi="Calibri" w:cs="Calibri"/>
          <w:b w:val="0"/>
          <w:bCs/>
          <w:color w:val="000000" w:themeColor="text1"/>
          <w:sz w:val="24"/>
          <w:szCs w:val="24"/>
          <w:vertAlign w:val="superscript"/>
        </w:rPr>
        <w:t>1,3</w:t>
      </w:r>
      <w:r w:rsidRPr="00905C20">
        <w:rPr>
          <w:rFonts w:ascii="Calibri" w:eastAsiaTheme="minorEastAsia" w:hAnsi="Calibri" w:cs="Calibri"/>
          <w:b w:val="0"/>
          <w:bCs/>
          <w:color w:val="000000" w:themeColor="text1"/>
          <w:sz w:val="24"/>
          <w:szCs w:val="24"/>
        </w:rPr>
        <w:t>, Misha Votruba</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xml:space="preserve">, </w:t>
      </w:r>
      <w:proofErr w:type="spellStart"/>
      <w:r w:rsidRPr="00905C20">
        <w:rPr>
          <w:rFonts w:ascii="Calibri" w:eastAsiaTheme="minorEastAsia" w:hAnsi="Calibri" w:cs="Calibri"/>
          <w:b w:val="0"/>
          <w:bCs/>
          <w:color w:val="000000" w:themeColor="text1"/>
          <w:sz w:val="24"/>
          <w:szCs w:val="24"/>
        </w:rPr>
        <w:t>Darinka</w:t>
      </w:r>
      <w:proofErr w:type="spellEnd"/>
      <w:r w:rsidRPr="00905C20">
        <w:rPr>
          <w:rFonts w:ascii="Calibri" w:eastAsiaTheme="minorEastAsia" w:hAnsi="Calibri" w:cs="Calibri"/>
          <w:b w:val="0"/>
          <w:bCs/>
          <w:color w:val="000000" w:themeColor="text1"/>
          <w:sz w:val="24"/>
          <w:szCs w:val="24"/>
        </w:rPr>
        <w:t xml:space="preserve"> Povrzenic</w:t>
      </w:r>
      <w:r w:rsidRPr="00905C20">
        <w:rPr>
          <w:rFonts w:ascii="Calibri" w:eastAsiaTheme="minorEastAsia" w:hAnsi="Calibri" w:cs="Calibri"/>
          <w:b w:val="0"/>
          <w:bCs/>
          <w:color w:val="000000" w:themeColor="text1"/>
          <w:sz w:val="24"/>
          <w:szCs w:val="24"/>
          <w:vertAlign w:val="superscript"/>
        </w:rPr>
        <w:t>2</w:t>
      </w:r>
      <w:r w:rsidRPr="00905C20">
        <w:rPr>
          <w:rFonts w:ascii="Calibri" w:eastAsiaTheme="minorEastAsia" w:hAnsi="Calibri" w:cs="Calibri"/>
          <w:b w:val="0"/>
          <w:bCs/>
          <w:color w:val="000000" w:themeColor="text1"/>
          <w:sz w:val="24"/>
          <w:szCs w:val="24"/>
        </w:rPr>
        <w:t xml:space="preserve">, </w:t>
      </w:r>
      <w:bookmarkEnd w:id="0"/>
      <w:r w:rsidRPr="00905C20">
        <w:rPr>
          <w:rFonts w:ascii="Calibri" w:eastAsiaTheme="minorEastAsia" w:hAnsi="Calibri" w:cs="Calibri"/>
          <w:b w:val="0"/>
          <w:bCs/>
          <w:color w:val="000000" w:themeColor="text1"/>
          <w:sz w:val="24"/>
          <w:szCs w:val="24"/>
        </w:rPr>
        <w:t>Kristine Antolijao</w:t>
      </w:r>
      <w:r w:rsidRPr="00905C20">
        <w:rPr>
          <w:rFonts w:ascii="Calibri" w:eastAsiaTheme="minorEastAsia" w:hAnsi="Calibri" w:cs="Calibri"/>
          <w:b w:val="0"/>
          <w:bCs/>
          <w:color w:val="000000" w:themeColor="text1"/>
          <w:sz w:val="24"/>
          <w:szCs w:val="24"/>
          <w:vertAlign w:val="superscript"/>
        </w:rPr>
        <w:t>2</w:t>
      </w:r>
      <w:r w:rsidR="0077284C" w:rsidRPr="00905C20">
        <w:rPr>
          <w:rFonts w:ascii="Calibri" w:eastAsiaTheme="minorEastAsia" w:hAnsi="Calibri" w:cs="Calibri"/>
          <w:b w:val="0"/>
          <w:bCs/>
          <w:color w:val="000000" w:themeColor="text1"/>
          <w:sz w:val="24"/>
          <w:szCs w:val="24"/>
        </w:rPr>
        <w:t>,</w:t>
      </w:r>
      <w:r w:rsidRPr="00905C20">
        <w:rPr>
          <w:rFonts w:ascii="Calibri" w:eastAsiaTheme="minorEastAsia" w:hAnsi="Calibri" w:cs="Calibri"/>
          <w:b w:val="0"/>
          <w:bCs/>
          <w:color w:val="000000" w:themeColor="text1"/>
          <w:sz w:val="24"/>
          <w:szCs w:val="24"/>
        </w:rPr>
        <w:t xml:space="preserve"> Richard Fox</w:t>
      </w:r>
      <w:r w:rsidRPr="00905C20">
        <w:rPr>
          <w:rFonts w:ascii="Calibri" w:eastAsiaTheme="minorEastAsia" w:hAnsi="Calibri" w:cs="Calibri"/>
          <w:b w:val="0"/>
          <w:bCs/>
          <w:color w:val="000000" w:themeColor="text1"/>
          <w:sz w:val="24"/>
          <w:szCs w:val="24"/>
          <w:vertAlign w:val="superscript"/>
        </w:rPr>
        <w:t>1</w:t>
      </w:r>
    </w:p>
    <w:p w14:paraId="7EA3D5A8" w14:textId="77777777" w:rsidR="005D6D8A" w:rsidRPr="00905C20" w:rsidRDefault="005D6D8A" w:rsidP="00905C20">
      <w:pPr>
        <w:spacing w:line="0" w:lineRule="atLeast"/>
        <w:rPr>
          <w:color w:val="000000" w:themeColor="text1"/>
          <w:lang w:eastAsia="de-DE" w:bidi="en-US"/>
        </w:rPr>
      </w:pPr>
    </w:p>
    <w:p w14:paraId="48CD76DA" w14:textId="3C03C2B2" w:rsidR="008B1F95" w:rsidRPr="00905C20" w:rsidRDefault="009E6662" w:rsidP="00905C20">
      <w:pPr>
        <w:pStyle w:val="MDPI16affiliation"/>
        <w:spacing w:line="0" w:lineRule="atLeast"/>
        <w:ind w:left="180"/>
        <w:jc w:val="both"/>
        <w:rPr>
          <w:rFonts w:ascii="Calibri" w:hAnsi="Calibri" w:cs="Calibri"/>
          <w:color w:val="000000" w:themeColor="text1"/>
          <w:sz w:val="24"/>
          <w:szCs w:val="24"/>
        </w:rPr>
      </w:pPr>
      <w:bookmarkStart w:id="1" w:name="OLE_LINK4"/>
      <w:bookmarkStart w:id="2" w:name="OLE_LINK2"/>
      <w:r w:rsidRPr="00905C20">
        <w:rPr>
          <w:rFonts w:ascii="Calibri" w:hAnsi="Calibri" w:cs="Calibri"/>
          <w:color w:val="000000" w:themeColor="text1"/>
          <w:sz w:val="24"/>
          <w:szCs w:val="24"/>
          <w:vertAlign w:val="superscript"/>
        </w:rPr>
        <w:t>1</w:t>
      </w:r>
      <w:r w:rsidRPr="00905C20">
        <w:rPr>
          <w:rFonts w:ascii="Calibri" w:hAnsi="Calibri" w:cs="Calibri"/>
          <w:color w:val="000000" w:themeColor="text1"/>
          <w:sz w:val="24"/>
          <w:szCs w:val="24"/>
        </w:rPr>
        <w:t>Throne Biotechnologies, Paramus, NJ, USA</w:t>
      </w:r>
      <w:bookmarkEnd w:id="1"/>
      <w:bookmarkEnd w:id="2"/>
    </w:p>
    <w:p w14:paraId="0D5572EC" w14:textId="61D037CE" w:rsidR="008B1F95" w:rsidRPr="00905C20" w:rsidRDefault="009E6662" w:rsidP="00905C20">
      <w:pPr>
        <w:pStyle w:val="MDPI16affiliation"/>
        <w:spacing w:line="0" w:lineRule="atLeast"/>
        <w:ind w:left="180"/>
        <w:jc w:val="both"/>
        <w:rPr>
          <w:rFonts w:ascii="Calibri" w:hAnsi="Calibri" w:cs="Calibri"/>
          <w:color w:val="000000" w:themeColor="text1"/>
          <w:sz w:val="24"/>
          <w:szCs w:val="24"/>
        </w:rPr>
      </w:pPr>
      <w:r w:rsidRPr="00905C20">
        <w:rPr>
          <w:rFonts w:ascii="Calibri" w:hAnsi="Calibri" w:cs="Calibri"/>
          <w:color w:val="000000" w:themeColor="text1"/>
          <w:sz w:val="24"/>
          <w:szCs w:val="24"/>
          <w:vertAlign w:val="superscript"/>
        </w:rPr>
        <w:t>2</w:t>
      </w:r>
      <w:r w:rsidRPr="00905C20">
        <w:rPr>
          <w:rFonts w:ascii="Calibri" w:hAnsi="Calibri" w:cs="Calibri"/>
          <w:color w:val="000000" w:themeColor="text1"/>
          <w:sz w:val="24"/>
          <w:szCs w:val="24"/>
        </w:rPr>
        <w:t>Fresenius Medical Care North America, Waltham, MA, USA</w:t>
      </w:r>
    </w:p>
    <w:p w14:paraId="15D49DC4" w14:textId="473C039F" w:rsidR="008B1F95" w:rsidRPr="00905C20" w:rsidRDefault="009E6662" w:rsidP="00905C20">
      <w:pPr>
        <w:pStyle w:val="MDPI16affiliation"/>
        <w:spacing w:line="0" w:lineRule="atLeast"/>
        <w:ind w:left="180"/>
        <w:jc w:val="both"/>
        <w:rPr>
          <w:rFonts w:ascii="Calibri" w:hAnsi="Calibri" w:cs="Calibri"/>
          <w:color w:val="000000" w:themeColor="text1"/>
          <w:sz w:val="24"/>
          <w:szCs w:val="24"/>
        </w:rPr>
      </w:pPr>
      <w:r w:rsidRPr="00905C20">
        <w:rPr>
          <w:rFonts w:ascii="Calibri" w:hAnsi="Calibri" w:cs="Calibri"/>
          <w:color w:val="000000" w:themeColor="text1"/>
          <w:sz w:val="24"/>
          <w:szCs w:val="24"/>
          <w:vertAlign w:val="superscript"/>
        </w:rPr>
        <w:t>3</w:t>
      </w:r>
      <w:r w:rsidRPr="00905C20">
        <w:rPr>
          <w:rFonts w:ascii="Calibri" w:hAnsi="Calibri" w:cs="Calibri"/>
          <w:color w:val="000000" w:themeColor="text1"/>
          <w:sz w:val="24"/>
          <w:szCs w:val="24"/>
        </w:rPr>
        <w:t>Life Line Stem Cell Tissue, Cord Blood Bank, New Haven, IN, USA</w:t>
      </w:r>
    </w:p>
    <w:p w14:paraId="5CE6F4E7" w14:textId="77777777" w:rsidR="00173F59" w:rsidRPr="00905C20" w:rsidRDefault="00173F59" w:rsidP="00905C20">
      <w:pPr>
        <w:pStyle w:val="MDPI16affiliation"/>
        <w:spacing w:line="0" w:lineRule="atLeast"/>
        <w:ind w:left="180"/>
        <w:jc w:val="both"/>
        <w:rPr>
          <w:rFonts w:ascii="Calibri" w:hAnsi="Calibri" w:cs="Calibri"/>
          <w:color w:val="000000" w:themeColor="text1"/>
          <w:sz w:val="24"/>
          <w:szCs w:val="24"/>
          <w:lang w:val="pt-BR"/>
        </w:rPr>
      </w:pPr>
    </w:p>
    <w:p w14:paraId="0F7B9DD0" w14:textId="0B4BBD92" w:rsidR="005D6D8A" w:rsidRPr="00905C20" w:rsidRDefault="009E6662" w:rsidP="00905C20">
      <w:pPr>
        <w:pStyle w:val="MDPI16affiliation"/>
        <w:spacing w:line="0" w:lineRule="atLeast"/>
        <w:ind w:left="180"/>
        <w:jc w:val="both"/>
        <w:rPr>
          <w:rFonts w:ascii="Calibri" w:hAnsi="Calibri" w:cs="Calibri"/>
          <w:color w:val="000000" w:themeColor="text1"/>
          <w:sz w:val="24"/>
          <w:szCs w:val="24"/>
          <w:lang w:val="pt-BR"/>
        </w:rPr>
      </w:pPr>
      <w:r w:rsidRPr="00905C20">
        <w:rPr>
          <w:rFonts w:ascii="Calibri" w:hAnsi="Calibri" w:cs="Calibri"/>
          <w:color w:val="000000" w:themeColor="text1"/>
          <w:sz w:val="24"/>
          <w:szCs w:val="24"/>
          <w:lang w:val="pt-BR"/>
        </w:rPr>
        <w:t xml:space="preserve">E-mail </w:t>
      </w:r>
      <w:proofErr w:type="spellStart"/>
      <w:r w:rsidRPr="00905C20">
        <w:rPr>
          <w:rFonts w:ascii="Calibri" w:hAnsi="Calibri" w:cs="Calibri"/>
          <w:color w:val="000000" w:themeColor="text1"/>
          <w:sz w:val="24"/>
          <w:szCs w:val="24"/>
          <w:lang w:val="pt-BR"/>
        </w:rPr>
        <w:t>addresses</w:t>
      </w:r>
      <w:proofErr w:type="spellEnd"/>
      <w:r w:rsidRPr="00905C20">
        <w:rPr>
          <w:rFonts w:ascii="Calibri" w:hAnsi="Calibri" w:cs="Calibri"/>
          <w:color w:val="000000" w:themeColor="text1"/>
          <w:sz w:val="24"/>
          <w:szCs w:val="24"/>
          <w:lang w:val="pt-BR"/>
        </w:rPr>
        <w:t xml:space="preserve"> </w:t>
      </w:r>
      <w:proofErr w:type="spellStart"/>
      <w:r w:rsidRPr="00905C20">
        <w:rPr>
          <w:rFonts w:ascii="Calibri" w:hAnsi="Calibri" w:cs="Calibri"/>
          <w:color w:val="000000" w:themeColor="text1"/>
          <w:sz w:val="24"/>
          <w:szCs w:val="24"/>
          <w:lang w:val="pt-BR"/>
        </w:rPr>
        <w:t>of</w:t>
      </w:r>
      <w:proofErr w:type="spellEnd"/>
      <w:r w:rsidRPr="00905C20">
        <w:rPr>
          <w:rFonts w:ascii="Calibri" w:hAnsi="Calibri" w:cs="Calibri"/>
          <w:color w:val="000000" w:themeColor="text1"/>
          <w:sz w:val="24"/>
          <w:szCs w:val="24"/>
          <w:lang w:val="pt-BR"/>
        </w:rPr>
        <w:t xml:space="preserve"> </w:t>
      </w:r>
      <w:proofErr w:type="spellStart"/>
      <w:r w:rsidRPr="00905C20">
        <w:rPr>
          <w:rFonts w:ascii="Calibri" w:hAnsi="Calibri" w:cs="Calibri"/>
          <w:color w:val="000000" w:themeColor="text1"/>
          <w:sz w:val="24"/>
          <w:szCs w:val="24"/>
          <w:lang w:val="pt-BR"/>
        </w:rPr>
        <w:t>the</w:t>
      </w:r>
      <w:proofErr w:type="spellEnd"/>
      <w:r w:rsidRPr="00905C20">
        <w:rPr>
          <w:rFonts w:ascii="Calibri" w:hAnsi="Calibri" w:cs="Calibri"/>
          <w:color w:val="000000" w:themeColor="text1"/>
          <w:sz w:val="24"/>
          <w:szCs w:val="24"/>
          <w:lang w:val="pt-BR"/>
        </w:rPr>
        <w:t xml:space="preserve"> </w:t>
      </w:r>
      <w:proofErr w:type="spellStart"/>
      <w:r w:rsidRPr="00905C20">
        <w:rPr>
          <w:rFonts w:ascii="Calibri" w:hAnsi="Calibri" w:cs="Calibri"/>
          <w:color w:val="000000" w:themeColor="text1"/>
          <w:sz w:val="24"/>
          <w:szCs w:val="24"/>
          <w:lang w:val="pt-BR"/>
        </w:rPr>
        <w:t>co-authors</w:t>
      </w:r>
      <w:proofErr w:type="spellEnd"/>
      <w:r w:rsidRPr="00905C20">
        <w:rPr>
          <w:rFonts w:ascii="Calibri" w:hAnsi="Calibri" w:cs="Calibri"/>
          <w:color w:val="000000" w:themeColor="text1"/>
          <w:sz w:val="24"/>
          <w:szCs w:val="24"/>
          <w:lang w:val="pt-BR"/>
        </w:rPr>
        <w:t>:</w:t>
      </w:r>
    </w:p>
    <w:p w14:paraId="6C1F5770"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 xml:space="preserve">Boris </w:t>
      </w:r>
      <w:proofErr w:type="spellStart"/>
      <w:r w:rsidRPr="00905C20">
        <w:rPr>
          <w:rFonts w:eastAsiaTheme="minorEastAsia"/>
          <w:bCs/>
          <w:color w:val="000000" w:themeColor="text1"/>
        </w:rPr>
        <w:t>Veysman</w:t>
      </w:r>
      <w:proofErr w:type="spellEnd"/>
      <w:r w:rsidRPr="00905C20">
        <w:rPr>
          <w:rFonts w:eastAsiaTheme="minorEastAsia"/>
          <w:bCs/>
          <w:color w:val="000000" w:themeColor="text1"/>
        </w:rPr>
        <w:t xml:space="preserve"> </w:t>
      </w:r>
      <w:r w:rsidRPr="00905C20">
        <w:rPr>
          <w:rFonts w:eastAsiaTheme="minorEastAsia"/>
          <w:bCs/>
          <w:color w:val="000000" w:themeColor="text1"/>
        </w:rPr>
        <w:tab/>
      </w:r>
      <w:r w:rsidRPr="00905C20">
        <w:rPr>
          <w:rFonts w:eastAsiaTheme="minorEastAsia"/>
          <w:bCs/>
          <w:color w:val="000000" w:themeColor="text1"/>
        </w:rPr>
        <w:tab/>
        <w:t>(</w:t>
      </w:r>
      <w:hyperlink r:id="rId7" w:history="1">
        <w:r w:rsidR="00BF726F" w:rsidRPr="00905C20">
          <w:rPr>
            <w:rStyle w:val="Hyperlink"/>
            <w:rFonts w:eastAsiaTheme="minorEastAsia"/>
            <w:bCs/>
            <w:color w:val="000000" w:themeColor="text1"/>
            <w:u w:val="none"/>
          </w:rPr>
          <w:t>boris.veysman@thronebio.com</w:t>
        </w:r>
      </w:hyperlink>
      <w:r w:rsidRPr="00905C20">
        <w:rPr>
          <w:rFonts w:eastAsiaTheme="minorEastAsia"/>
          <w:bCs/>
          <w:color w:val="000000" w:themeColor="text1"/>
        </w:rPr>
        <w:t>)</w:t>
      </w:r>
    </w:p>
    <w:p w14:paraId="096A659E"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 xml:space="preserve">Zhi Hua Huang </w:t>
      </w:r>
      <w:r w:rsidRPr="00905C20">
        <w:rPr>
          <w:rFonts w:eastAsiaTheme="minorEastAsia"/>
          <w:bCs/>
          <w:color w:val="000000" w:themeColor="text1"/>
        </w:rPr>
        <w:tab/>
      </w:r>
      <w:r w:rsidRPr="00905C20">
        <w:rPr>
          <w:rFonts w:eastAsiaTheme="minorEastAsia"/>
          <w:bCs/>
          <w:color w:val="000000" w:themeColor="text1"/>
        </w:rPr>
        <w:tab/>
        <w:t>(</w:t>
      </w:r>
      <w:hyperlink r:id="rId8" w:history="1">
        <w:r w:rsidR="00BF726F" w:rsidRPr="00905C20">
          <w:rPr>
            <w:rStyle w:val="Hyperlink"/>
            <w:rFonts w:eastAsiaTheme="minorEastAsia"/>
            <w:bCs/>
            <w:color w:val="000000" w:themeColor="text1"/>
            <w:u w:val="none"/>
          </w:rPr>
          <w:t>zhihua.huang@thronebio.com</w:t>
        </w:r>
      </w:hyperlink>
      <w:r w:rsidRPr="00905C20">
        <w:rPr>
          <w:rFonts w:eastAsiaTheme="minorEastAsia"/>
          <w:bCs/>
          <w:color w:val="000000" w:themeColor="text1"/>
        </w:rPr>
        <w:t>)</w:t>
      </w:r>
    </w:p>
    <w:p w14:paraId="51C91C10"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 xml:space="preserve">Noelle Mendoza </w:t>
      </w:r>
      <w:r w:rsidRPr="00905C20">
        <w:rPr>
          <w:rFonts w:eastAsiaTheme="minorEastAsia"/>
          <w:bCs/>
          <w:color w:val="000000" w:themeColor="text1"/>
        </w:rPr>
        <w:tab/>
      </w:r>
      <w:r w:rsidRPr="00905C20">
        <w:rPr>
          <w:rFonts w:eastAsiaTheme="minorEastAsia"/>
          <w:bCs/>
          <w:color w:val="000000" w:themeColor="text1"/>
        </w:rPr>
        <w:tab/>
        <w:t>(</w:t>
      </w:r>
      <w:r w:rsidRPr="00905C20">
        <w:rPr>
          <w:color w:val="000000" w:themeColor="text1"/>
        </w:rPr>
        <w:t>Noelle.Mendoza@freseniusmedicalcare.com</w:t>
      </w:r>
      <w:r w:rsidRPr="00905C20">
        <w:rPr>
          <w:rFonts w:eastAsiaTheme="minorEastAsia"/>
          <w:bCs/>
          <w:color w:val="000000" w:themeColor="text1"/>
        </w:rPr>
        <w:t>)</w:t>
      </w:r>
    </w:p>
    <w:p w14:paraId="2B467E76"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 xml:space="preserve">Chandler Judd </w:t>
      </w:r>
      <w:r w:rsidRPr="00905C20">
        <w:rPr>
          <w:rFonts w:eastAsiaTheme="minorEastAsia"/>
          <w:bCs/>
          <w:color w:val="000000" w:themeColor="text1"/>
        </w:rPr>
        <w:tab/>
      </w:r>
      <w:r w:rsidRPr="00905C20">
        <w:rPr>
          <w:rFonts w:eastAsiaTheme="minorEastAsia"/>
          <w:bCs/>
          <w:color w:val="000000" w:themeColor="text1"/>
        </w:rPr>
        <w:tab/>
        <w:t>(</w:t>
      </w:r>
      <w:r w:rsidRPr="00905C20">
        <w:rPr>
          <w:bCs/>
          <w:color w:val="000000" w:themeColor="text1"/>
        </w:rPr>
        <w:t>c</w:t>
      </w:r>
      <w:r w:rsidRPr="00905C20">
        <w:rPr>
          <w:rFonts w:eastAsiaTheme="minorEastAsia"/>
          <w:bCs/>
          <w:color w:val="000000" w:themeColor="text1"/>
        </w:rPr>
        <w:t>handler</w:t>
      </w:r>
      <w:r w:rsidRPr="00905C20">
        <w:rPr>
          <w:bCs/>
          <w:color w:val="000000" w:themeColor="text1"/>
        </w:rPr>
        <w:t>.j</w:t>
      </w:r>
      <w:r w:rsidRPr="00905C20">
        <w:rPr>
          <w:rFonts w:eastAsiaTheme="minorEastAsia"/>
          <w:bCs/>
          <w:color w:val="000000" w:themeColor="text1"/>
        </w:rPr>
        <w:t>udd</w:t>
      </w:r>
      <w:r w:rsidRPr="00905C20">
        <w:rPr>
          <w:color w:val="000000" w:themeColor="text1"/>
        </w:rPr>
        <w:t>@thronebio.com</w:t>
      </w:r>
      <w:r w:rsidRPr="00905C20">
        <w:rPr>
          <w:rFonts w:eastAsiaTheme="minorEastAsia"/>
          <w:bCs/>
          <w:color w:val="000000" w:themeColor="text1"/>
        </w:rPr>
        <w:t>)</w:t>
      </w:r>
    </w:p>
    <w:p w14:paraId="4A6E36E1"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Jennifer Anti-</w:t>
      </w:r>
      <w:proofErr w:type="spellStart"/>
      <w:r w:rsidRPr="00905C20">
        <w:rPr>
          <w:rFonts w:eastAsiaTheme="minorEastAsia"/>
          <w:bCs/>
          <w:color w:val="000000" w:themeColor="text1"/>
        </w:rPr>
        <w:t>Ampratwum</w:t>
      </w:r>
      <w:proofErr w:type="spellEnd"/>
      <w:r w:rsidRPr="00905C20">
        <w:rPr>
          <w:rFonts w:eastAsiaTheme="minorEastAsia"/>
          <w:bCs/>
          <w:color w:val="000000" w:themeColor="text1"/>
        </w:rPr>
        <w:t xml:space="preserve"> </w:t>
      </w:r>
      <w:r w:rsidRPr="00905C20">
        <w:rPr>
          <w:rFonts w:eastAsiaTheme="minorEastAsia"/>
          <w:bCs/>
          <w:color w:val="000000" w:themeColor="text1"/>
        </w:rPr>
        <w:tab/>
        <w:t>(</w:t>
      </w:r>
      <w:r w:rsidRPr="00905C20">
        <w:rPr>
          <w:color w:val="000000" w:themeColor="text1"/>
        </w:rPr>
        <w:t>jennifer.anti@thronebio.com</w:t>
      </w:r>
      <w:r w:rsidRPr="00905C20">
        <w:rPr>
          <w:rFonts w:eastAsiaTheme="minorEastAsia"/>
          <w:bCs/>
          <w:color w:val="000000" w:themeColor="text1"/>
        </w:rPr>
        <w:t>)</w:t>
      </w:r>
    </w:p>
    <w:p w14:paraId="013C308E"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 xml:space="preserve">Rebecca </w:t>
      </w:r>
      <w:proofErr w:type="spellStart"/>
      <w:r w:rsidRPr="00905C20">
        <w:rPr>
          <w:rFonts w:eastAsiaTheme="minorEastAsia"/>
          <w:bCs/>
          <w:color w:val="000000" w:themeColor="text1"/>
        </w:rPr>
        <w:t>Lackrajh</w:t>
      </w:r>
      <w:proofErr w:type="spellEnd"/>
      <w:r w:rsidRPr="00905C20">
        <w:rPr>
          <w:rFonts w:eastAsiaTheme="minorEastAsia"/>
          <w:bCs/>
          <w:color w:val="000000" w:themeColor="text1"/>
        </w:rPr>
        <w:t xml:space="preserve"> </w:t>
      </w:r>
      <w:r w:rsidRPr="00905C20">
        <w:rPr>
          <w:rFonts w:eastAsiaTheme="minorEastAsia"/>
          <w:bCs/>
          <w:color w:val="000000" w:themeColor="text1"/>
        </w:rPr>
        <w:tab/>
      </w:r>
      <w:r w:rsidRPr="00905C20">
        <w:rPr>
          <w:rFonts w:eastAsiaTheme="minorEastAsia"/>
          <w:bCs/>
          <w:color w:val="000000" w:themeColor="text1"/>
        </w:rPr>
        <w:tab/>
        <w:t>(</w:t>
      </w:r>
      <w:r w:rsidRPr="00905C20">
        <w:rPr>
          <w:bCs/>
          <w:color w:val="000000" w:themeColor="text1"/>
        </w:rPr>
        <w:t>r</w:t>
      </w:r>
      <w:r w:rsidRPr="00905C20">
        <w:rPr>
          <w:rFonts w:eastAsiaTheme="minorEastAsia"/>
          <w:bCs/>
          <w:color w:val="000000" w:themeColor="text1"/>
        </w:rPr>
        <w:t>ebecca</w:t>
      </w:r>
      <w:r w:rsidRPr="00905C20">
        <w:rPr>
          <w:bCs/>
          <w:color w:val="000000" w:themeColor="text1"/>
        </w:rPr>
        <w:t>.l</w:t>
      </w:r>
      <w:r w:rsidRPr="00905C20">
        <w:rPr>
          <w:rFonts w:eastAsiaTheme="minorEastAsia"/>
          <w:bCs/>
          <w:color w:val="000000" w:themeColor="text1"/>
        </w:rPr>
        <w:t>ackrajh</w:t>
      </w:r>
      <w:r w:rsidRPr="00905C20">
        <w:rPr>
          <w:color w:val="000000" w:themeColor="text1"/>
        </w:rPr>
        <w:t>@thronebio.com</w:t>
      </w:r>
      <w:r w:rsidRPr="00905C20">
        <w:rPr>
          <w:rFonts w:eastAsiaTheme="minorEastAsia"/>
          <w:bCs/>
          <w:color w:val="000000" w:themeColor="text1"/>
        </w:rPr>
        <w:t>)</w:t>
      </w:r>
    </w:p>
    <w:p w14:paraId="7D1F70C1"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 xml:space="preserve">Ana Villagran </w:t>
      </w:r>
      <w:r w:rsidRPr="00905C20">
        <w:rPr>
          <w:rFonts w:eastAsiaTheme="minorEastAsia"/>
          <w:bCs/>
          <w:color w:val="000000" w:themeColor="text1"/>
        </w:rPr>
        <w:tab/>
      </w:r>
      <w:r w:rsidRPr="00905C20">
        <w:rPr>
          <w:rFonts w:eastAsiaTheme="minorEastAsia"/>
          <w:bCs/>
          <w:color w:val="000000" w:themeColor="text1"/>
        </w:rPr>
        <w:tab/>
      </w:r>
      <w:r w:rsidRPr="00905C20">
        <w:rPr>
          <w:rFonts w:eastAsiaTheme="minorEastAsia"/>
          <w:bCs/>
          <w:color w:val="000000" w:themeColor="text1"/>
        </w:rPr>
        <w:tab/>
        <w:t>(</w:t>
      </w:r>
      <w:r w:rsidRPr="00905C20">
        <w:rPr>
          <w:bCs/>
          <w:color w:val="000000" w:themeColor="text1"/>
        </w:rPr>
        <w:t>a</w:t>
      </w:r>
      <w:r w:rsidRPr="00905C20">
        <w:rPr>
          <w:rFonts w:eastAsiaTheme="minorEastAsia"/>
          <w:bCs/>
          <w:color w:val="000000" w:themeColor="text1"/>
        </w:rPr>
        <w:t>na</w:t>
      </w:r>
      <w:r w:rsidRPr="00905C20">
        <w:rPr>
          <w:bCs/>
          <w:color w:val="000000" w:themeColor="text1"/>
        </w:rPr>
        <w:t>.v</w:t>
      </w:r>
      <w:r w:rsidRPr="00905C20">
        <w:rPr>
          <w:rFonts w:eastAsiaTheme="minorEastAsia"/>
          <w:bCs/>
          <w:color w:val="000000" w:themeColor="text1"/>
        </w:rPr>
        <w:t>illagran</w:t>
      </w:r>
      <w:r w:rsidRPr="00905C20">
        <w:rPr>
          <w:color w:val="000000" w:themeColor="text1"/>
        </w:rPr>
        <w:t>@thronebio.com</w:t>
      </w:r>
      <w:r w:rsidRPr="00905C20">
        <w:rPr>
          <w:rFonts w:eastAsiaTheme="minorEastAsia"/>
          <w:bCs/>
          <w:color w:val="000000" w:themeColor="text1"/>
        </w:rPr>
        <w:t>)</w:t>
      </w:r>
    </w:p>
    <w:p w14:paraId="3A358CA8" w14:textId="77777777" w:rsidR="00BF726F" w:rsidRPr="00905C20" w:rsidRDefault="009E6662" w:rsidP="00905C20">
      <w:pPr>
        <w:spacing w:line="0" w:lineRule="atLeast"/>
        <w:rPr>
          <w:rFonts w:eastAsiaTheme="minorEastAsia"/>
          <w:bCs/>
          <w:color w:val="000000" w:themeColor="text1"/>
        </w:rPr>
      </w:pPr>
      <w:proofErr w:type="spellStart"/>
      <w:r w:rsidRPr="00905C20">
        <w:rPr>
          <w:rFonts w:eastAsiaTheme="minorEastAsia"/>
          <w:bCs/>
          <w:color w:val="000000" w:themeColor="text1"/>
        </w:rPr>
        <w:t>Honglan</w:t>
      </w:r>
      <w:proofErr w:type="spellEnd"/>
      <w:r w:rsidRPr="00905C20">
        <w:rPr>
          <w:rFonts w:eastAsiaTheme="minorEastAsia"/>
          <w:bCs/>
          <w:color w:val="000000" w:themeColor="text1"/>
        </w:rPr>
        <w:t xml:space="preserve"> Wang </w:t>
      </w:r>
      <w:r w:rsidRPr="00905C20">
        <w:rPr>
          <w:rFonts w:eastAsiaTheme="minorEastAsia"/>
          <w:bCs/>
          <w:color w:val="000000" w:themeColor="text1"/>
        </w:rPr>
        <w:tab/>
      </w:r>
      <w:r w:rsidRPr="00905C20">
        <w:rPr>
          <w:rFonts w:eastAsiaTheme="minorEastAsia"/>
          <w:bCs/>
          <w:color w:val="000000" w:themeColor="text1"/>
        </w:rPr>
        <w:tab/>
        <w:t xml:space="preserve">(honglan.wang@thronebio.com) </w:t>
      </w:r>
    </w:p>
    <w:p w14:paraId="3361E7AB" w14:textId="77777777" w:rsidR="00BF726F" w:rsidRPr="00905C20" w:rsidRDefault="009E6662" w:rsidP="00905C20">
      <w:pPr>
        <w:spacing w:line="0" w:lineRule="atLeast"/>
        <w:rPr>
          <w:rFonts w:eastAsiaTheme="minorEastAsia"/>
          <w:bCs/>
          <w:color w:val="000000" w:themeColor="text1"/>
        </w:rPr>
      </w:pPr>
      <w:proofErr w:type="spellStart"/>
      <w:r w:rsidRPr="00905C20">
        <w:rPr>
          <w:rFonts w:eastAsiaTheme="minorEastAsia"/>
          <w:bCs/>
          <w:color w:val="000000" w:themeColor="text1"/>
        </w:rPr>
        <w:t>Yelu</w:t>
      </w:r>
      <w:proofErr w:type="spellEnd"/>
      <w:r w:rsidRPr="00905C20">
        <w:rPr>
          <w:rFonts w:eastAsiaTheme="minorEastAsia"/>
          <w:bCs/>
          <w:color w:val="000000" w:themeColor="text1"/>
        </w:rPr>
        <w:t xml:space="preserve"> Zhao </w:t>
      </w:r>
      <w:r w:rsidRPr="00905C20">
        <w:rPr>
          <w:rFonts w:eastAsiaTheme="minorEastAsia"/>
          <w:bCs/>
          <w:color w:val="000000" w:themeColor="text1"/>
        </w:rPr>
        <w:tab/>
      </w:r>
      <w:r w:rsidRPr="00905C20">
        <w:rPr>
          <w:rFonts w:eastAsiaTheme="minorEastAsia"/>
          <w:bCs/>
          <w:color w:val="000000" w:themeColor="text1"/>
        </w:rPr>
        <w:tab/>
      </w:r>
      <w:r w:rsidRPr="00905C20">
        <w:rPr>
          <w:rFonts w:eastAsiaTheme="minorEastAsia"/>
          <w:bCs/>
          <w:color w:val="000000" w:themeColor="text1"/>
        </w:rPr>
        <w:tab/>
        <w:t>(</w:t>
      </w:r>
      <w:r w:rsidRPr="00905C20">
        <w:rPr>
          <w:color w:val="000000" w:themeColor="text1"/>
        </w:rPr>
        <w:t>yeluzh@gmail.com</w:t>
      </w:r>
      <w:r w:rsidRPr="00905C20">
        <w:rPr>
          <w:rFonts w:eastAsiaTheme="minorEastAsia"/>
          <w:bCs/>
          <w:color w:val="000000" w:themeColor="text1"/>
        </w:rPr>
        <w:t>)</w:t>
      </w:r>
    </w:p>
    <w:p w14:paraId="4E014E68"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 xml:space="preserve">Terri </w:t>
      </w:r>
      <w:proofErr w:type="spellStart"/>
      <w:r w:rsidRPr="00905C20">
        <w:rPr>
          <w:rFonts w:eastAsiaTheme="minorEastAsia"/>
          <w:bCs/>
          <w:color w:val="000000" w:themeColor="text1"/>
        </w:rPr>
        <w:t>Tibbot</w:t>
      </w:r>
      <w:proofErr w:type="spellEnd"/>
      <w:r w:rsidRPr="00905C20">
        <w:rPr>
          <w:rFonts w:eastAsiaTheme="minorEastAsia"/>
          <w:bCs/>
          <w:color w:val="000000" w:themeColor="text1"/>
        </w:rPr>
        <w:t xml:space="preserve"> </w:t>
      </w:r>
      <w:r w:rsidRPr="00905C20">
        <w:rPr>
          <w:rFonts w:eastAsiaTheme="minorEastAsia"/>
          <w:bCs/>
          <w:color w:val="000000" w:themeColor="text1"/>
        </w:rPr>
        <w:tab/>
      </w:r>
      <w:r w:rsidRPr="00905C20">
        <w:rPr>
          <w:rFonts w:eastAsiaTheme="minorEastAsia"/>
          <w:bCs/>
          <w:color w:val="000000" w:themeColor="text1"/>
        </w:rPr>
        <w:tab/>
      </w:r>
      <w:r w:rsidRPr="00905C20">
        <w:rPr>
          <w:rFonts w:eastAsiaTheme="minorEastAsia"/>
          <w:bCs/>
          <w:color w:val="000000" w:themeColor="text1"/>
        </w:rPr>
        <w:tab/>
        <w:t>(</w:t>
      </w:r>
      <w:r w:rsidRPr="00905C20">
        <w:rPr>
          <w:color w:val="000000" w:themeColor="text1"/>
        </w:rPr>
        <w:t>ttibbot@lifelinestemcell.org</w:t>
      </w:r>
      <w:r w:rsidRPr="00905C20">
        <w:rPr>
          <w:rFonts w:eastAsiaTheme="minorEastAsia"/>
          <w:bCs/>
          <w:color w:val="000000" w:themeColor="text1"/>
        </w:rPr>
        <w:t>)</w:t>
      </w:r>
    </w:p>
    <w:p w14:paraId="2329C9F8"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 xml:space="preserve">Misha Votruba </w:t>
      </w:r>
      <w:r w:rsidRPr="00905C20">
        <w:rPr>
          <w:rFonts w:eastAsiaTheme="minorEastAsia"/>
          <w:bCs/>
          <w:color w:val="000000" w:themeColor="text1"/>
        </w:rPr>
        <w:tab/>
      </w:r>
      <w:r w:rsidRPr="00905C20">
        <w:rPr>
          <w:rFonts w:eastAsiaTheme="minorEastAsia"/>
          <w:bCs/>
          <w:color w:val="000000" w:themeColor="text1"/>
        </w:rPr>
        <w:tab/>
        <w:t>(misha.votruba@thronebio.com)</w:t>
      </w:r>
    </w:p>
    <w:p w14:paraId="1535EEF0" w14:textId="77777777" w:rsidR="00BF726F" w:rsidRPr="00905C20" w:rsidRDefault="009E6662" w:rsidP="00905C20">
      <w:pPr>
        <w:spacing w:line="0" w:lineRule="atLeast"/>
        <w:rPr>
          <w:rFonts w:eastAsiaTheme="minorEastAsia"/>
          <w:bCs/>
          <w:color w:val="000000" w:themeColor="text1"/>
        </w:rPr>
      </w:pPr>
      <w:proofErr w:type="spellStart"/>
      <w:r w:rsidRPr="00905C20">
        <w:rPr>
          <w:rFonts w:eastAsiaTheme="minorEastAsia"/>
          <w:bCs/>
          <w:color w:val="000000" w:themeColor="text1"/>
        </w:rPr>
        <w:t>Darinka</w:t>
      </w:r>
      <w:proofErr w:type="spellEnd"/>
      <w:r w:rsidRPr="00905C20">
        <w:rPr>
          <w:rFonts w:eastAsiaTheme="minorEastAsia"/>
          <w:bCs/>
          <w:color w:val="000000" w:themeColor="text1"/>
        </w:rPr>
        <w:t xml:space="preserve"> </w:t>
      </w:r>
      <w:proofErr w:type="spellStart"/>
      <w:r w:rsidRPr="00905C20">
        <w:rPr>
          <w:rFonts w:eastAsiaTheme="minorEastAsia"/>
          <w:bCs/>
          <w:color w:val="000000" w:themeColor="text1"/>
        </w:rPr>
        <w:t>Povrzenic</w:t>
      </w:r>
      <w:proofErr w:type="spellEnd"/>
      <w:r w:rsidRPr="00905C20">
        <w:rPr>
          <w:rFonts w:eastAsiaTheme="minorEastAsia"/>
          <w:bCs/>
          <w:color w:val="000000" w:themeColor="text1"/>
        </w:rPr>
        <w:t xml:space="preserve"> </w:t>
      </w:r>
      <w:r w:rsidRPr="00905C20">
        <w:rPr>
          <w:rFonts w:eastAsiaTheme="minorEastAsia"/>
          <w:bCs/>
          <w:color w:val="000000" w:themeColor="text1"/>
        </w:rPr>
        <w:tab/>
      </w:r>
      <w:r w:rsidRPr="00905C20">
        <w:rPr>
          <w:rFonts w:eastAsiaTheme="minorEastAsia"/>
          <w:bCs/>
          <w:color w:val="000000" w:themeColor="text1"/>
        </w:rPr>
        <w:tab/>
        <w:t>(</w:t>
      </w:r>
      <w:r w:rsidRPr="00905C20">
        <w:rPr>
          <w:color w:val="000000" w:themeColor="text1"/>
        </w:rPr>
        <w:t>Darinka.Povrzenic@freseniusmedicalcare.com</w:t>
      </w:r>
      <w:r w:rsidRPr="00905C20">
        <w:rPr>
          <w:rFonts w:eastAsiaTheme="minorEastAsia"/>
          <w:bCs/>
          <w:color w:val="000000" w:themeColor="text1"/>
        </w:rPr>
        <w:t>)</w:t>
      </w:r>
    </w:p>
    <w:p w14:paraId="511C175F" w14:textId="77777777" w:rsidR="00BF726F" w:rsidRPr="00905C20" w:rsidRDefault="009E6662" w:rsidP="00905C20">
      <w:pPr>
        <w:spacing w:line="0" w:lineRule="atLeast"/>
        <w:rPr>
          <w:rFonts w:eastAsiaTheme="minorEastAsia"/>
          <w:bCs/>
          <w:color w:val="000000" w:themeColor="text1"/>
        </w:rPr>
      </w:pPr>
      <w:r w:rsidRPr="00905C20">
        <w:rPr>
          <w:rFonts w:eastAsiaTheme="minorEastAsia"/>
          <w:bCs/>
          <w:color w:val="000000" w:themeColor="text1"/>
        </w:rPr>
        <w:t xml:space="preserve">Kristine </w:t>
      </w:r>
      <w:proofErr w:type="spellStart"/>
      <w:r w:rsidRPr="00905C20">
        <w:rPr>
          <w:rFonts w:eastAsiaTheme="minorEastAsia"/>
          <w:bCs/>
          <w:color w:val="000000" w:themeColor="text1"/>
        </w:rPr>
        <w:t>Antolijao</w:t>
      </w:r>
      <w:proofErr w:type="spellEnd"/>
      <w:r w:rsidRPr="00905C20">
        <w:rPr>
          <w:rFonts w:eastAsiaTheme="minorEastAsia"/>
          <w:bCs/>
          <w:color w:val="000000" w:themeColor="text1"/>
        </w:rPr>
        <w:t xml:space="preserve"> </w:t>
      </w:r>
      <w:r w:rsidRPr="00905C20">
        <w:rPr>
          <w:rFonts w:eastAsiaTheme="minorEastAsia"/>
          <w:bCs/>
          <w:color w:val="000000" w:themeColor="text1"/>
        </w:rPr>
        <w:tab/>
      </w:r>
      <w:r w:rsidRPr="00905C20">
        <w:rPr>
          <w:rFonts w:eastAsiaTheme="minorEastAsia"/>
          <w:bCs/>
          <w:color w:val="000000" w:themeColor="text1"/>
        </w:rPr>
        <w:tab/>
        <w:t>(</w:t>
      </w:r>
      <w:r w:rsidRPr="00905C20">
        <w:rPr>
          <w:color w:val="000000" w:themeColor="text1"/>
        </w:rPr>
        <w:t>kristine.marie.halili@freseniusmedicalcare.com</w:t>
      </w:r>
      <w:r w:rsidRPr="00905C20">
        <w:rPr>
          <w:rFonts w:eastAsiaTheme="minorEastAsia"/>
          <w:bCs/>
          <w:color w:val="000000" w:themeColor="text1"/>
        </w:rPr>
        <w:t>)</w:t>
      </w:r>
    </w:p>
    <w:p w14:paraId="3DB97B77" w14:textId="77777777" w:rsidR="00BF726F" w:rsidRPr="00905C20" w:rsidRDefault="009E6662" w:rsidP="00905C20">
      <w:pPr>
        <w:spacing w:line="0" w:lineRule="atLeast"/>
        <w:rPr>
          <w:color w:val="000000" w:themeColor="text1"/>
          <w:lang w:val="pt-BR"/>
        </w:rPr>
      </w:pPr>
      <w:r w:rsidRPr="00905C20">
        <w:rPr>
          <w:rFonts w:eastAsiaTheme="minorEastAsia"/>
          <w:bCs/>
          <w:color w:val="000000" w:themeColor="text1"/>
        </w:rPr>
        <w:t xml:space="preserve">Richard Fox </w:t>
      </w:r>
      <w:r w:rsidRPr="00905C20">
        <w:rPr>
          <w:rFonts w:eastAsiaTheme="minorEastAsia"/>
          <w:bCs/>
          <w:color w:val="000000" w:themeColor="text1"/>
        </w:rPr>
        <w:tab/>
      </w:r>
      <w:r w:rsidRPr="00905C20">
        <w:rPr>
          <w:rFonts w:eastAsiaTheme="minorEastAsia"/>
          <w:bCs/>
          <w:color w:val="000000" w:themeColor="text1"/>
        </w:rPr>
        <w:tab/>
      </w:r>
      <w:r w:rsidRPr="00905C20">
        <w:rPr>
          <w:rFonts w:eastAsiaTheme="minorEastAsia"/>
          <w:bCs/>
          <w:color w:val="000000" w:themeColor="text1"/>
        </w:rPr>
        <w:tab/>
        <w:t>(</w:t>
      </w:r>
      <w:r w:rsidRPr="00905C20">
        <w:rPr>
          <w:color w:val="000000" w:themeColor="text1"/>
        </w:rPr>
        <w:t>richard.fox@thronebio.com</w:t>
      </w:r>
      <w:r w:rsidRPr="00905C20">
        <w:rPr>
          <w:rFonts w:eastAsiaTheme="minorEastAsia"/>
          <w:bCs/>
          <w:color w:val="000000" w:themeColor="text1"/>
        </w:rPr>
        <w:t>)</w:t>
      </w:r>
    </w:p>
    <w:p w14:paraId="675C20AE" w14:textId="77777777" w:rsidR="005D6D8A" w:rsidRPr="00905C20" w:rsidRDefault="005D6D8A" w:rsidP="00905C20">
      <w:pPr>
        <w:pStyle w:val="MDPI16affiliation"/>
        <w:spacing w:line="0" w:lineRule="atLeast"/>
        <w:ind w:left="180"/>
        <w:jc w:val="both"/>
        <w:rPr>
          <w:rFonts w:ascii="Calibri" w:hAnsi="Calibri" w:cs="Calibri"/>
          <w:color w:val="000000" w:themeColor="text1"/>
          <w:sz w:val="24"/>
          <w:szCs w:val="24"/>
          <w:lang w:val="pt-BR"/>
        </w:rPr>
      </w:pPr>
    </w:p>
    <w:p w14:paraId="012DB6BB" w14:textId="2D005440" w:rsidR="00173F59" w:rsidRPr="00905C20" w:rsidRDefault="009E6662" w:rsidP="00905C20">
      <w:pPr>
        <w:pStyle w:val="MDPI16affiliation"/>
        <w:spacing w:line="0" w:lineRule="atLeast"/>
        <w:ind w:left="180"/>
        <w:jc w:val="both"/>
        <w:rPr>
          <w:rFonts w:ascii="Calibri" w:hAnsi="Calibri" w:cs="Calibri"/>
          <w:color w:val="000000" w:themeColor="text1"/>
          <w:sz w:val="24"/>
          <w:szCs w:val="24"/>
          <w:lang w:val="pt-BR"/>
        </w:rPr>
      </w:pPr>
      <w:r w:rsidRPr="00905C20">
        <w:rPr>
          <w:rFonts w:ascii="Calibri" w:hAnsi="Calibri" w:cs="Calibri"/>
          <w:color w:val="000000" w:themeColor="text1"/>
          <w:sz w:val="24"/>
          <w:szCs w:val="24"/>
          <w:lang w:val="pt-BR"/>
        </w:rPr>
        <w:t>*</w:t>
      </w:r>
      <w:proofErr w:type="spellStart"/>
      <w:r w:rsidR="008B1F95" w:rsidRPr="00905C20">
        <w:rPr>
          <w:rFonts w:ascii="Calibri" w:hAnsi="Calibri" w:cs="Calibri"/>
          <w:color w:val="000000" w:themeColor="text1"/>
          <w:sz w:val="24"/>
          <w:szCs w:val="24"/>
          <w:lang w:val="pt-BR"/>
        </w:rPr>
        <w:t>Correspondence</w:t>
      </w:r>
      <w:proofErr w:type="spellEnd"/>
      <w:r w:rsidRPr="00905C20">
        <w:rPr>
          <w:rFonts w:ascii="Calibri" w:hAnsi="Calibri" w:cs="Calibri"/>
          <w:color w:val="000000" w:themeColor="text1"/>
          <w:sz w:val="24"/>
          <w:szCs w:val="24"/>
          <w:lang w:val="pt-BR"/>
        </w:rPr>
        <w:t xml:space="preserve"> </w:t>
      </w:r>
      <w:proofErr w:type="spellStart"/>
      <w:r w:rsidRPr="00905C20">
        <w:rPr>
          <w:rFonts w:ascii="Calibri" w:hAnsi="Calibri" w:cs="Calibri"/>
          <w:color w:val="000000" w:themeColor="text1"/>
          <w:sz w:val="24"/>
          <w:szCs w:val="24"/>
          <w:lang w:val="pt-BR"/>
        </w:rPr>
        <w:t>author</w:t>
      </w:r>
      <w:proofErr w:type="spellEnd"/>
      <w:r w:rsidR="008B1F95" w:rsidRPr="00905C20">
        <w:rPr>
          <w:rFonts w:ascii="Calibri" w:hAnsi="Calibri" w:cs="Calibri"/>
          <w:color w:val="000000" w:themeColor="text1"/>
          <w:sz w:val="24"/>
          <w:szCs w:val="24"/>
          <w:lang w:val="pt-BR"/>
        </w:rPr>
        <w:t>:</w:t>
      </w:r>
    </w:p>
    <w:p w14:paraId="18B52246" w14:textId="0B37585A" w:rsidR="008B1F95" w:rsidRPr="00905C20" w:rsidRDefault="009E6662" w:rsidP="00905C20">
      <w:pPr>
        <w:pStyle w:val="MDPI16affiliation"/>
        <w:spacing w:line="0" w:lineRule="atLeast"/>
        <w:ind w:left="180"/>
        <w:jc w:val="both"/>
        <w:rPr>
          <w:rFonts w:ascii="Calibri" w:hAnsi="Calibri" w:cs="Calibri"/>
          <w:color w:val="000000" w:themeColor="text1"/>
          <w:sz w:val="24"/>
          <w:szCs w:val="24"/>
          <w:lang w:val="pt-BR"/>
        </w:rPr>
      </w:pPr>
      <w:r w:rsidRPr="00905C20">
        <w:rPr>
          <w:rFonts w:ascii="Calibri" w:hAnsi="Calibri" w:cs="Calibri"/>
          <w:color w:val="000000" w:themeColor="text1"/>
          <w:sz w:val="24"/>
          <w:szCs w:val="24"/>
          <w:lang w:val="pt-BR"/>
        </w:rPr>
        <w:t>Yong Zhao</w:t>
      </w:r>
      <w:r w:rsidR="005D6D8A" w:rsidRPr="00905C20">
        <w:rPr>
          <w:rFonts w:ascii="Calibri" w:hAnsi="Calibri" w:cs="Calibri"/>
          <w:color w:val="000000" w:themeColor="text1"/>
          <w:sz w:val="24"/>
          <w:szCs w:val="24"/>
          <w:lang w:val="pt-BR"/>
        </w:rPr>
        <w:t xml:space="preserve"> </w:t>
      </w:r>
      <w:r w:rsidR="005D6D8A" w:rsidRPr="00905C20">
        <w:rPr>
          <w:rFonts w:ascii="Calibri" w:hAnsi="Calibri" w:cs="Calibri"/>
          <w:color w:val="000000" w:themeColor="text1"/>
          <w:sz w:val="24"/>
          <w:szCs w:val="24"/>
          <w:lang w:val="pt-BR"/>
        </w:rPr>
        <w:tab/>
      </w:r>
      <w:r w:rsidR="005D6D8A" w:rsidRPr="00905C20">
        <w:rPr>
          <w:rFonts w:ascii="Calibri" w:hAnsi="Calibri" w:cs="Calibri"/>
          <w:color w:val="000000" w:themeColor="text1"/>
          <w:sz w:val="24"/>
          <w:szCs w:val="24"/>
          <w:lang w:val="pt-BR"/>
        </w:rPr>
        <w:tab/>
      </w:r>
      <w:r w:rsidR="005D6D8A" w:rsidRPr="00905C20">
        <w:rPr>
          <w:rFonts w:ascii="Calibri" w:hAnsi="Calibri" w:cs="Calibri"/>
          <w:color w:val="000000" w:themeColor="text1"/>
          <w:sz w:val="24"/>
          <w:szCs w:val="24"/>
          <w:lang w:val="pt-BR"/>
        </w:rPr>
        <w:tab/>
        <w:t>(</w:t>
      </w:r>
      <w:hyperlink r:id="rId9" w:history="1">
        <w:r w:rsidR="008B1F95" w:rsidRPr="00905C20">
          <w:rPr>
            <w:rStyle w:val="Hyperlink"/>
            <w:rFonts w:ascii="Calibri" w:hAnsi="Calibri" w:cs="Calibri"/>
            <w:color w:val="000000" w:themeColor="text1"/>
            <w:sz w:val="24"/>
            <w:szCs w:val="24"/>
            <w:u w:val="none"/>
            <w:lang w:val="pt-BR"/>
          </w:rPr>
          <w:t>yong.zhao@thronebio.com</w:t>
        </w:r>
      </w:hyperlink>
      <w:r w:rsidRPr="00905C20">
        <w:rPr>
          <w:rFonts w:ascii="Calibri" w:hAnsi="Calibri" w:cs="Calibri"/>
          <w:color w:val="000000" w:themeColor="text1"/>
          <w:sz w:val="24"/>
          <w:szCs w:val="24"/>
          <w:lang w:val="pt-BR"/>
        </w:rPr>
        <w:t>)</w:t>
      </w:r>
    </w:p>
    <w:p w14:paraId="61765E14" w14:textId="77777777" w:rsidR="00E01F9C" w:rsidRPr="00905C20" w:rsidRDefault="00E01F9C" w:rsidP="00905C20">
      <w:pPr>
        <w:spacing w:line="0" w:lineRule="atLeast"/>
        <w:rPr>
          <w:b/>
          <w:color w:val="000000" w:themeColor="text1"/>
        </w:rPr>
      </w:pPr>
    </w:p>
    <w:p w14:paraId="15041450" w14:textId="0920C46E" w:rsidR="00E01F9C" w:rsidRPr="00905C20" w:rsidRDefault="009E6662" w:rsidP="00905C20">
      <w:pPr>
        <w:spacing w:line="0" w:lineRule="atLeast"/>
        <w:rPr>
          <w:color w:val="000000" w:themeColor="text1"/>
        </w:rPr>
      </w:pPr>
      <w:r w:rsidRPr="00905C20">
        <w:rPr>
          <w:b/>
          <w:color w:val="000000" w:themeColor="text1"/>
        </w:rPr>
        <w:t>SUMMARY:</w:t>
      </w:r>
      <w:r w:rsidRPr="00905C20">
        <w:rPr>
          <w:color w:val="000000" w:themeColor="text1"/>
        </w:rPr>
        <w:t xml:space="preserve"> </w:t>
      </w:r>
    </w:p>
    <w:p w14:paraId="588BFBE1" w14:textId="242A6C0F" w:rsidR="00E01F9C" w:rsidRPr="00905C20" w:rsidRDefault="009E6662" w:rsidP="00905C20">
      <w:pPr>
        <w:spacing w:line="0" w:lineRule="atLeast"/>
        <w:rPr>
          <w:color w:val="000000" w:themeColor="text1"/>
        </w:rPr>
      </w:pPr>
      <w:r w:rsidRPr="00905C20">
        <w:rPr>
          <w:color w:val="000000" w:themeColor="text1"/>
        </w:rPr>
        <w:t>This protocol describes Stem Cell Educator therapy for ex vivo immune modulation of peripheral blood mononuclear cells and its application in patients with long COVID to evaluate safety, clinical outcomes, and immunological changes.</w:t>
      </w:r>
    </w:p>
    <w:p w14:paraId="0D4AD722" w14:textId="77777777" w:rsidR="00E01F9C" w:rsidRPr="00905C20" w:rsidRDefault="00E01F9C" w:rsidP="00905C20">
      <w:pPr>
        <w:spacing w:line="0" w:lineRule="atLeast"/>
        <w:rPr>
          <w:b/>
          <w:color w:val="000000" w:themeColor="text1"/>
        </w:rPr>
      </w:pPr>
    </w:p>
    <w:p w14:paraId="0B2BF884" w14:textId="43218993" w:rsidR="00E01F9C" w:rsidRPr="00905C20" w:rsidRDefault="009E6662" w:rsidP="00905C20">
      <w:pPr>
        <w:spacing w:line="0" w:lineRule="atLeast"/>
        <w:rPr>
          <w:color w:val="000000" w:themeColor="text1"/>
        </w:rPr>
      </w:pPr>
      <w:r w:rsidRPr="00905C20">
        <w:rPr>
          <w:b/>
          <w:color w:val="000000" w:themeColor="text1"/>
        </w:rPr>
        <w:t>ABSTRACT:</w:t>
      </w:r>
      <w:r w:rsidRPr="00905C20">
        <w:rPr>
          <w:color w:val="000000" w:themeColor="text1"/>
        </w:rPr>
        <w:t xml:space="preserve"> </w:t>
      </w:r>
    </w:p>
    <w:p w14:paraId="09CCEB87" w14:textId="3F88FE8E" w:rsidR="00E01F9C" w:rsidRPr="00905C20" w:rsidRDefault="009E6662" w:rsidP="00905C20">
      <w:pPr>
        <w:pStyle w:val="ListParagraph"/>
        <w:spacing w:after="0" w:line="0" w:lineRule="atLeast"/>
        <w:ind w:left="0"/>
        <w:jc w:val="both"/>
        <w:rPr>
          <w:rFonts w:ascii="Calibri" w:hAnsi="Calibri" w:cs="Calibri"/>
          <w:color w:val="000000" w:themeColor="text1"/>
          <w:sz w:val="24"/>
          <w:szCs w:val="24"/>
        </w:rPr>
      </w:pPr>
      <w:r w:rsidRPr="00905C20">
        <w:rPr>
          <w:rFonts w:ascii="Calibri" w:hAnsi="Calibri" w:cs="Calibri"/>
          <w:color w:val="000000" w:themeColor="text1"/>
          <w:sz w:val="24"/>
          <w:szCs w:val="24"/>
          <w:shd w:val="clear" w:color="auto" w:fill="FFFFFF"/>
        </w:rPr>
        <w:t xml:space="preserve">Long COVID, generally defined as clinical symptoms persisting for 3 months or longer following severe acute respiratory syndrome coronavirus 2 (SARS-CoV-2) infection, affects multiple organs and systems. At least 400 million people globally are living with long COVID, with symptoms including persistent fatigue and brain fog. Currently, long COVID care mainly consists of symptomatic management and supportive approaches, with no validated effective treatments available that address the underlying inflammation. Stem Cell Educator (SCE) therapy is a </w:t>
      </w:r>
      <w:r w:rsidRPr="00905C20">
        <w:rPr>
          <w:rFonts w:ascii="Calibri" w:hAnsi="Calibri" w:cs="Calibri"/>
          <w:color w:val="000000" w:themeColor="text1"/>
          <w:sz w:val="24"/>
          <w:szCs w:val="24"/>
          <w:shd w:val="clear" w:color="auto" w:fill="FFFFFF"/>
        </w:rPr>
        <w:lastRenderedPageBreak/>
        <w:t xml:space="preserve">treatment developed to modulate immune responses. This protocol describes SCE therapy and its application in patients with long COVID to evaluate safety, clinical outcomes, and immunological changes. During SCE therapy, a patient’s peripheral blood mononuclear cells (PBMC) are collected by leukapheresis and co-cultured with adherent cord-blood-derived multipotent stem cells (CB-SC) </w:t>
      </w:r>
      <w:r w:rsidRPr="00905C20">
        <w:rPr>
          <w:rFonts w:ascii="Calibri" w:hAnsi="Calibri" w:cs="Calibri"/>
          <w:i/>
          <w:iCs/>
          <w:color w:val="000000" w:themeColor="text1"/>
          <w:sz w:val="24"/>
          <w:szCs w:val="24"/>
          <w:shd w:val="clear" w:color="auto" w:fill="FFFFFF"/>
        </w:rPr>
        <w:t>in vitro</w:t>
      </w:r>
      <w:r w:rsidRPr="00905C20">
        <w:rPr>
          <w:rFonts w:ascii="Calibri" w:hAnsi="Calibri" w:cs="Calibri"/>
          <w:color w:val="000000" w:themeColor="text1"/>
          <w:sz w:val="24"/>
          <w:szCs w:val="24"/>
          <w:shd w:val="clear" w:color="auto" w:fill="FFFFFF"/>
        </w:rPr>
        <w:t>, after which the “educated” PBMC are returned to the patient’s circulation via infusion. SCE therapy has previously been evaluated in clinical studies for type 1 diabetes and other autoimmune diseases. Twenty-five patients with long COVID (15 males and 10 females) received SCE therapy. Five patients experienced mild adverse effects during apheresis, and one patient reported itching during infusion. Brain fog and fatigue disappeared in 21 of 25 patients following treatment, and most participants reported feeling refreshed, energized, and mentally clear. Flow cytometry demonstrated reductions in inflammatory markers, including interleukin-1 beta (IL-1β)-positive cells and C-X-C motif chemokine ligand 16 (CXCL16)-positive cells. These findings demonstrate the application of SCE therapy in patients with long COVID and provide preliminary clinical and immunological observations supporting further evaluation of this approach.</w:t>
      </w:r>
    </w:p>
    <w:p w14:paraId="5BAC5814" w14:textId="77777777" w:rsidR="007830D2" w:rsidRPr="00905C20" w:rsidRDefault="007830D2" w:rsidP="00905C20">
      <w:pPr>
        <w:pStyle w:val="ListParagraph"/>
        <w:spacing w:after="0" w:line="0" w:lineRule="atLeast"/>
        <w:ind w:left="0"/>
        <w:jc w:val="both"/>
        <w:rPr>
          <w:rFonts w:ascii="Calibri" w:hAnsi="Calibri" w:cs="Calibri"/>
          <w:color w:val="000000" w:themeColor="text1"/>
          <w:sz w:val="24"/>
          <w:szCs w:val="24"/>
        </w:rPr>
      </w:pPr>
    </w:p>
    <w:p w14:paraId="39DF9381" w14:textId="13B3A6C3" w:rsidR="00AF7E8A" w:rsidRPr="00905C20" w:rsidRDefault="009E6662" w:rsidP="00905C20">
      <w:pPr>
        <w:spacing w:line="0" w:lineRule="atLeast"/>
        <w:rPr>
          <w:b/>
          <w:bCs/>
          <w:color w:val="000000" w:themeColor="text1"/>
          <w:lang w:val="en-IN"/>
        </w:rPr>
      </w:pPr>
      <w:r w:rsidRPr="00905C20">
        <w:rPr>
          <w:b/>
          <w:bCs/>
          <w:color w:val="000000" w:themeColor="text1"/>
          <w:lang w:val="en-IN"/>
        </w:rPr>
        <w:t>INTRODUCTION</w:t>
      </w:r>
      <w:r w:rsidR="009C2F0E" w:rsidRPr="00905C20">
        <w:rPr>
          <w:b/>
          <w:bCs/>
          <w:color w:val="000000" w:themeColor="text1"/>
          <w:lang w:val="en-IN"/>
        </w:rPr>
        <w:t>:</w:t>
      </w:r>
    </w:p>
    <w:p w14:paraId="512A843E" w14:textId="7A50343C" w:rsidR="00AF7E8A" w:rsidRPr="00905C20" w:rsidRDefault="009E6662" w:rsidP="00905C20">
      <w:pPr>
        <w:spacing w:line="0" w:lineRule="atLeast"/>
        <w:rPr>
          <w:color w:val="000000" w:themeColor="text1"/>
          <w:lang w:val="en-IN"/>
        </w:rPr>
      </w:pPr>
      <w:r w:rsidRPr="00905C20">
        <w:rPr>
          <w:color w:val="000000" w:themeColor="text1"/>
          <w:lang w:val="en-IN"/>
        </w:rPr>
        <w:t>The global outbreak of coronavirus disease 2019 (COVID-19), caused by severe acute respiratory syndrome coronavirus 2 (SARS-CoV-2), has devastated populations worldwide, with over 651 million confirmed cases. Long COVID, generally defined as clinical symptoms persisting for 3 months or longer following SARS-CoV-2 infection, affects multiple organs and systems</w:t>
      </w:r>
      <w:r w:rsidR="00C867FB" w:rsidRPr="00905C20">
        <w:rPr>
          <w:color w:val="000000" w:themeColor="text1"/>
          <w:vertAlign w:val="superscript"/>
          <w:lang w:val="en-IN"/>
        </w:rPr>
        <w:t>1–3</w:t>
      </w:r>
      <w:r w:rsidRPr="00905C20">
        <w:rPr>
          <w:color w:val="000000" w:themeColor="text1"/>
          <w:lang w:val="en-IN"/>
        </w:rPr>
        <w:t xml:space="preserve">. </w:t>
      </w:r>
      <w:r w:rsidR="00936EE8" w:rsidRPr="00905C20">
        <w:rPr>
          <w:color w:val="000000" w:themeColor="text1"/>
        </w:rPr>
        <w:t>Based on a conservative estimate that 10% of infected individuals develop the condition, at least 400 million people globally are living with long COVID</w:t>
      </w:r>
      <w:r w:rsidR="00936EE8" w:rsidRPr="00905C20">
        <w:rPr>
          <w:color w:val="000000" w:themeColor="text1"/>
          <w:vertAlign w:val="superscript"/>
        </w:rPr>
        <w:t>4,5</w:t>
      </w:r>
      <w:r w:rsidR="00936EE8" w:rsidRPr="00905C20">
        <w:rPr>
          <w:color w:val="000000" w:themeColor="text1"/>
        </w:rPr>
        <w:t>.</w:t>
      </w:r>
      <w:r w:rsidRPr="00905C20">
        <w:rPr>
          <w:color w:val="000000" w:themeColor="text1"/>
          <w:lang w:val="en-IN"/>
        </w:rPr>
        <w:t xml:space="preserve"> Many patients experience severe, multisystem symptoms, including persistent fatigue, brain fog, high sensitivity to light and sound, loss of smell and taste, and various autonomic dysfunctions, that significantly impair their quality of life. One prospective study of low-risk individuals, assessing the heart, lungs, liver, kidneys, pancreas, and spleen, noted that 70% of 201 patients exhibited damage to at least one organ and 29% had multiorgan involvement</w:t>
      </w:r>
      <w:r w:rsidR="00C867FB" w:rsidRPr="00905C20">
        <w:rPr>
          <w:color w:val="000000" w:themeColor="text1"/>
          <w:vertAlign w:val="superscript"/>
          <w:lang w:val="en-IN"/>
        </w:rPr>
        <w:t>6,7</w:t>
      </w:r>
      <w:r w:rsidRPr="00905C20">
        <w:rPr>
          <w:color w:val="000000" w:themeColor="text1"/>
          <w:lang w:val="en-IN"/>
        </w:rPr>
        <w:t>. Currently, long COVID care mainly consists of symptomatic management and supportive approaches, with no validated effective treatments available</w:t>
      </w:r>
      <w:r w:rsidR="00C867FB" w:rsidRPr="00905C20">
        <w:rPr>
          <w:color w:val="000000" w:themeColor="text1"/>
          <w:vertAlign w:val="superscript"/>
          <w:lang w:val="en-IN"/>
        </w:rPr>
        <w:t>1,2,8,9</w:t>
      </w:r>
      <w:r w:rsidRPr="00905C20">
        <w:rPr>
          <w:color w:val="000000" w:themeColor="text1"/>
          <w:lang w:val="en-IN"/>
        </w:rPr>
        <w:t>.</w:t>
      </w:r>
    </w:p>
    <w:p w14:paraId="7BF15AC4" w14:textId="77777777" w:rsidR="009C2F0E" w:rsidRPr="00905C20" w:rsidRDefault="009C2F0E" w:rsidP="00905C20">
      <w:pPr>
        <w:spacing w:line="0" w:lineRule="atLeast"/>
        <w:rPr>
          <w:color w:val="000000" w:themeColor="text1"/>
          <w:lang w:val="en-IN"/>
        </w:rPr>
      </w:pPr>
    </w:p>
    <w:p w14:paraId="67202A31" w14:textId="3B08BBAE" w:rsidR="00AF7E8A" w:rsidRPr="00905C20" w:rsidRDefault="009E6662" w:rsidP="00905C20">
      <w:pPr>
        <w:spacing w:line="0" w:lineRule="atLeast"/>
        <w:rPr>
          <w:color w:val="000000" w:themeColor="text1"/>
          <w:lang w:val="en-IN"/>
        </w:rPr>
      </w:pPr>
      <w:r w:rsidRPr="00905C20">
        <w:rPr>
          <w:color w:val="000000" w:themeColor="text1"/>
          <w:lang w:val="en-IN"/>
        </w:rPr>
        <w:t>Clinical studies have demonstrated that patients with long COVID exhibit significant increases in the number of non-conventional monocytes (CD14</w:t>
      </w:r>
      <w:r w:rsidRPr="00905C20">
        <w:rPr>
          <w:color w:val="000000" w:themeColor="text1"/>
          <w:vertAlign w:val="superscript"/>
          <w:lang w:val="en-IN"/>
        </w:rPr>
        <w:t>low</w:t>
      </w:r>
      <w:r w:rsidRPr="00905C20">
        <w:rPr>
          <w:color w:val="000000" w:themeColor="text1"/>
          <w:lang w:val="en-IN"/>
        </w:rPr>
        <w:t>CD16</w:t>
      </w:r>
      <w:r w:rsidRPr="00905C20">
        <w:rPr>
          <w:color w:val="000000" w:themeColor="text1"/>
          <w:vertAlign w:val="superscript"/>
          <w:lang w:val="en-IN"/>
        </w:rPr>
        <w:t>high</w:t>
      </w:r>
      <w:r w:rsidRPr="00905C20">
        <w:rPr>
          <w:color w:val="000000" w:themeColor="text1"/>
          <w:lang w:val="en-IN"/>
        </w:rPr>
        <w:t>)</w:t>
      </w:r>
      <w:r w:rsidR="00483854" w:rsidRPr="00905C20">
        <w:rPr>
          <w:color w:val="000000" w:themeColor="text1"/>
          <w:vertAlign w:val="superscript"/>
          <w:lang w:val="en-IN"/>
        </w:rPr>
        <w:t>10</w:t>
      </w:r>
      <w:r w:rsidRPr="00905C20">
        <w:rPr>
          <w:color w:val="000000" w:themeColor="text1"/>
          <w:lang w:val="en-IN"/>
        </w:rPr>
        <w:t>, activated B cells, and exhausted T cells</w:t>
      </w:r>
      <w:r w:rsidR="00FF3874" w:rsidRPr="00905C20">
        <w:rPr>
          <w:color w:val="000000" w:themeColor="text1"/>
          <w:vertAlign w:val="superscript"/>
          <w:lang w:val="en-IN"/>
        </w:rPr>
        <w:t>10</w:t>
      </w:r>
      <w:r w:rsidRPr="00905C20">
        <w:rPr>
          <w:color w:val="000000" w:themeColor="text1"/>
          <w:lang w:val="en-IN"/>
        </w:rPr>
        <w:t xml:space="preserve">, </w:t>
      </w:r>
      <w:r w:rsidR="00752E54" w:rsidRPr="00905C20">
        <w:rPr>
          <w:color w:val="000000" w:themeColor="text1"/>
        </w:rPr>
        <w:t>along with elevated levels of inflammatory cytokines, such as interleukin-1β (IL-1β) and IL-6</w:t>
      </w:r>
      <w:r w:rsidR="00752E54" w:rsidRPr="00905C20">
        <w:rPr>
          <w:color w:val="000000" w:themeColor="text1"/>
          <w:vertAlign w:val="superscript"/>
        </w:rPr>
        <w:t>11</w:t>
      </w:r>
      <w:r w:rsidR="00752E54" w:rsidRPr="00905C20">
        <w:rPr>
          <w:color w:val="000000" w:themeColor="text1"/>
        </w:rPr>
        <w:t>.</w:t>
      </w:r>
      <w:r w:rsidRPr="00905C20">
        <w:rPr>
          <w:color w:val="000000" w:themeColor="text1"/>
          <w:lang w:val="en-IN"/>
        </w:rPr>
        <w:t xml:space="preserve"> Further investigations have identified high levels of autoantibodies (</w:t>
      </w:r>
      <w:proofErr w:type="spellStart"/>
      <w:r w:rsidRPr="00905C20">
        <w:rPr>
          <w:color w:val="000000" w:themeColor="text1"/>
          <w:lang w:val="en-IN"/>
        </w:rPr>
        <w:t>autoAbs</w:t>
      </w:r>
      <w:proofErr w:type="spellEnd"/>
      <w:r w:rsidRPr="00905C20">
        <w:rPr>
          <w:color w:val="000000" w:themeColor="text1"/>
          <w:lang w:val="en-IN"/>
        </w:rPr>
        <w:t xml:space="preserve">) in subjects with long COVID, including </w:t>
      </w:r>
      <w:proofErr w:type="spellStart"/>
      <w:r w:rsidRPr="00905C20">
        <w:rPr>
          <w:color w:val="000000" w:themeColor="text1"/>
          <w:lang w:val="en-IN"/>
        </w:rPr>
        <w:t>autoAbs</w:t>
      </w:r>
      <w:proofErr w:type="spellEnd"/>
      <w:r w:rsidRPr="00905C20">
        <w:rPr>
          <w:color w:val="000000" w:themeColor="text1"/>
          <w:lang w:val="en-IN"/>
        </w:rPr>
        <w:t xml:space="preserve"> targeting angiotensin-converting enzyme 2 (ACE2)</w:t>
      </w:r>
      <w:r w:rsidR="00FF3874" w:rsidRPr="00905C20">
        <w:rPr>
          <w:color w:val="000000" w:themeColor="text1"/>
          <w:vertAlign w:val="superscript"/>
          <w:lang w:val="en-IN"/>
        </w:rPr>
        <w:t>12</w:t>
      </w:r>
      <w:r w:rsidRPr="00905C20">
        <w:rPr>
          <w:color w:val="000000" w:themeColor="text1"/>
          <w:lang w:val="en-IN"/>
        </w:rPr>
        <w:t xml:space="preserve">, five antinuclear </w:t>
      </w:r>
      <w:proofErr w:type="spellStart"/>
      <w:r w:rsidRPr="00905C20">
        <w:rPr>
          <w:color w:val="000000" w:themeColor="text1"/>
          <w:lang w:val="en-IN"/>
        </w:rPr>
        <w:t>autoAbs</w:t>
      </w:r>
      <w:proofErr w:type="spellEnd"/>
      <w:r w:rsidRPr="00905C20">
        <w:rPr>
          <w:color w:val="000000" w:themeColor="text1"/>
          <w:lang w:val="en-IN"/>
        </w:rPr>
        <w:t xml:space="preserve"> commonly associated with systemic lupus erythematosus (SLE)</w:t>
      </w:r>
      <w:r w:rsidR="00FF3874" w:rsidRPr="00905C20">
        <w:rPr>
          <w:color w:val="000000" w:themeColor="text1"/>
          <w:vertAlign w:val="superscript"/>
          <w:lang w:val="en-IN"/>
        </w:rPr>
        <w:t>13</w:t>
      </w:r>
      <w:r w:rsidRPr="00905C20">
        <w:rPr>
          <w:color w:val="000000" w:themeColor="text1"/>
          <w:lang w:val="en-IN"/>
        </w:rPr>
        <w:t xml:space="preserve">, and a broad range of </w:t>
      </w:r>
      <w:proofErr w:type="spellStart"/>
      <w:r w:rsidRPr="00905C20">
        <w:rPr>
          <w:color w:val="000000" w:themeColor="text1"/>
          <w:lang w:val="en-IN"/>
        </w:rPr>
        <w:t>autoAbs</w:t>
      </w:r>
      <w:proofErr w:type="spellEnd"/>
      <w:r w:rsidRPr="00905C20">
        <w:rPr>
          <w:color w:val="000000" w:themeColor="text1"/>
          <w:lang w:val="en-IN"/>
        </w:rPr>
        <w:t xml:space="preserve"> against 2,770 extracellular and secreted proteins. A particularly high prevalence of </w:t>
      </w:r>
      <w:proofErr w:type="spellStart"/>
      <w:r w:rsidRPr="00905C20">
        <w:rPr>
          <w:color w:val="000000" w:themeColor="text1"/>
          <w:lang w:val="en-IN"/>
        </w:rPr>
        <w:t>autoAbs</w:t>
      </w:r>
      <w:proofErr w:type="spellEnd"/>
      <w:r w:rsidRPr="00905C20">
        <w:rPr>
          <w:color w:val="000000" w:themeColor="text1"/>
          <w:lang w:val="en-IN"/>
        </w:rPr>
        <w:t xml:space="preserve"> against immunomodulatory proteins (e.g., cytokines, chemokines, complement components, and cell surface proteins) was also detected</w:t>
      </w:r>
      <w:r w:rsidR="00FF3874" w:rsidRPr="00905C20">
        <w:rPr>
          <w:color w:val="000000" w:themeColor="text1"/>
          <w:vertAlign w:val="superscript"/>
          <w:lang w:val="en-IN"/>
        </w:rPr>
        <w:t>14</w:t>
      </w:r>
      <w:r w:rsidRPr="00905C20">
        <w:rPr>
          <w:color w:val="000000" w:themeColor="text1"/>
          <w:lang w:val="en-IN"/>
        </w:rPr>
        <w:t>. Collectively, these findings indicate that subjects with long COVID are characterized by multiple immune dysfunctions that share key features with autoimmune diseases</w:t>
      </w:r>
      <w:r w:rsidR="00FF3874" w:rsidRPr="00905C20">
        <w:rPr>
          <w:color w:val="000000" w:themeColor="text1"/>
          <w:vertAlign w:val="superscript"/>
          <w:lang w:val="en-IN"/>
        </w:rPr>
        <w:t>15,16</w:t>
      </w:r>
      <w:r w:rsidRPr="00905C20">
        <w:rPr>
          <w:color w:val="000000" w:themeColor="text1"/>
          <w:lang w:val="en-IN"/>
        </w:rPr>
        <w:t>.</w:t>
      </w:r>
    </w:p>
    <w:p w14:paraId="2FF3B7F2" w14:textId="77777777" w:rsidR="00FF3874" w:rsidRPr="00905C20" w:rsidRDefault="00FF3874" w:rsidP="00905C20">
      <w:pPr>
        <w:spacing w:line="0" w:lineRule="atLeast"/>
        <w:rPr>
          <w:color w:val="000000" w:themeColor="text1"/>
          <w:lang w:val="en-IN"/>
        </w:rPr>
      </w:pPr>
    </w:p>
    <w:p w14:paraId="57FF9AAD" w14:textId="12499DDC" w:rsidR="00AF7E8A" w:rsidRPr="00905C20" w:rsidRDefault="009E6662" w:rsidP="00905C20">
      <w:pPr>
        <w:spacing w:line="0" w:lineRule="atLeast"/>
        <w:rPr>
          <w:color w:val="000000" w:themeColor="text1"/>
          <w:lang w:val="en-IN"/>
        </w:rPr>
      </w:pPr>
      <w:r w:rsidRPr="00905C20">
        <w:rPr>
          <w:color w:val="000000" w:themeColor="text1"/>
        </w:rPr>
        <w:t xml:space="preserve">Angiotensin-converting enzyme 2 (ACE2), a negative regulator of the renin-angiotensin system with diverse physiological functions, has been recognized as an entry receptor for SARS-CoV-2 </w:t>
      </w:r>
      <w:r w:rsidRPr="00905C20">
        <w:rPr>
          <w:color w:val="000000" w:themeColor="text1"/>
        </w:rPr>
        <w:lastRenderedPageBreak/>
        <w:t>into host cells</w:t>
      </w:r>
      <w:r w:rsidR="00B464A0" w:rsidRPr="00905C20">
        <w:rPr>
          <w:color w:val="000000" w:themeColor="text1"/>
          <w:vertAlign w:val="superscript"/>
        </w:rPr>
        <w:t>17</w:t>
      </w:r>
      <w:r w:rsidRPr="00905C20">
        <w:rPr>
          <w:color w:val="000000" w:themeColor="text1"/>
        </w:rPr>
        <w:t>, together with other host factors and potential pathways involved in viral attachment or entry, including transmembrane protease, serine 2 (TMPRSS2) and cathepsin B/L</w:t>
      </w:r>
      <w:r w:rsidRPr="00905C20">
        <w:rPr>
          <w:color w:val="000000" w:themeColor="text1"/>
          <w:vertAlign w:val="superscript"/>
        </w:rPr>
        <w:t>18</w:t>
      </w:r>
      <w:r w:rsidRPr="00905C20">
        <w:rPr>
          <w:color w:val="000000" w:themeColor="text1"/>
        </w:rPr>
        <w:t>, CD147</w:t>
      </w:r>
      <w:r w:rsidRPr="00905C20">
        <w:rPr>
          <w:color w:val="000000" w:themeColor="text1"/>
          <w:vertAlign w:val="superscript"/>
        </w:rPr>
        <w:t>19</w:t>
      </w:r>
      <w:r w:rsidRPr="00905C20">
        <w:rPr>
          <w:color w:val="000000" w:themeColor="text1"/>
        </w:rPr>
        <w:t>, O-acetylated sialic acid</w:t>
      </w:r>
      <w:r w:rsidRPr="00905C20">
        <w:rPr>
          <w:color w:val="000000" w:themeColor="text1"/>
          <w:vertAlign w:val="superscript"/>
        </w:rPr>
        <w:t>20</w:t>
      </w:r>
      <w:r w:rsidRPr="00905C20">
        <w:rPr>
          <w:color w:val="000000" w:themeColor="text1"/>
        </w:rPr>
        <w:t>, the antibody-dependent enhancement (ADE) pathway</w:t>
      </w:r>
      <w:r w:rsidRPr="00905C20">
        <w:rPr>
          <w:color w:val="000000" w:themeColor="text1"/>
          <w:vertAlign w:val="superscript"/>
        </w:rPr>
        <w:t>21</w:t>
      </w:r>
      <w:r w:rsidRPr="00905C20">
        <w:rPr>
          <w:color w:val="000000" w:themeColor="text1"/>
        </w:rPr>
        <w:t>, and CD26</w:t>
      </w:r>
      <w:r w:rsidRPr="00905C20">
        <w:rPr>
          <w:color w:val="000000" w:themeColor="text1"/>
          <w:vertAlign w:val="superscript"/>
        </w:rPr>
        <w:t>22</w:t>
      </w:r>
      <w:r w:rsidRPr="00905C20">
        <w:rPr>
          <w:color w:val="000000" w:themeColor="text1"/>
        </w:rPr>
        <w:t>.</w:t>
      </w:r>
      <w:r w:rsidRPr="00905C20">
        <w:rPr>
          <w:color w:val="000000" w:themeColor="text1"/>
          <w:lang w:val="en-IN"/>
        </w:rPr>
        <w:t xml:space="preserve"> ACE2 may act as a limiting factor for viral infection at the initial stage of infection</w:t>
      </w:r>
      <w:r w:rsidR="009E4198" w:rsidRPr="00905C20">
        <w:rPr>
          <w:color w:val="000000" w:themeColor="text1"/>
          <w:vertAlign w:val="superscript"/>
          <w:lang w:val="en-IN"/>
        </w:rPr>
        <w:t>23</w:t>
      </w:r>
      <w:r w:rsidRPr="00905C20">
        <w:rPr>
          <w:color w:val="000000" w:themeColor="text1"/>
          <w:lang w:val="en-IN"/>
        </w:rPr>
        <w:t xml:space="preserve">. </w:t>
      </w:r>
      <w:r w:rsidR="006857DF" w:rsidRPr="00905C20">
        <w:rPr>
          <w:color w:val="000000" w:themeColor="text1"/>
        </w:rPr>
        <w:t>Notably, our previous studies</w:t>
      </w:r>
      <w:r w:rsidR="006857DF" w:rsidRPr="00905C20">
        <w:rPr>
          <w:color w:val="000000" w:themeColor="text1"/>
          <w:vertAlign w:val="superscript"/>
        </w:rPr>
        <w:t>24</w:t>
      </w:r>
      <w:r w:rsidR="006857DF" w:rsidRPr="00905C20">
        <w:rPr>
          <w:color w:val="000000" w:themeColor="text1"/>
        </w:rPr>
        <w:t xml:space="preserve"> demonstrated that ACE2 expression was markedly upregulated on activated type 1 macrophages (M1) and on human tissue macrophages, such as alveolar macrophages, Kupffer cells within the liver, and microglial cells in the brain at steady state. These findings suggest that macrophages, as frontline immune defenders, may be directly targeted by SARS-CoV-2 infection, resulting in activation of the macrophage system</w:t>
      </w:r>
      <w:r w:rsidR="006857DF" w:rsidRPr="00905C20">
        <w:rPr>
          <w:color w:val="000000" w:themeColor="text1"/>
          <w:vertAlign w:val="superscript"/>
        </w:rPr>
        <w:t>24</w:t>
      </w:r>
      <w:r w:rsidR="006857DF" w:rsidRPr="00905C20">
        <w:rPr>
          <w:color w:val="000000" w:themeColor="text1"/>
        </w:rPr>
        <w:t>.</w:t>
      </w:r>
      <w:r w:rsidRPr="00905C20">
        <w:rPr>
          <w:color w:val="000000" w:themeColor="text1"/>
          <w:lang w:val="en-IN"/>
        </w:rPr>
        <w:t xml:space="preserve"> Activated macrophages, in turn, can trigger broad immune responses by releasing the inflammatory cytokine IL-1β and other cytokines and chemokines, leading to chronic, severe clinical symptoms such as brain fog, fatigue, and multiorgan dysfunction. Therefore, for the treatment of long COVID, it is critical to protect and restore the functions of the monocyte/macrophage system through immune modulation. </w:t>
      </w:r>
      <w:r w:rsidR="00D00F12" w:rsidRPr="00905C20">
        <w:rPr>
          <w:color w:val="000000" w:themeColor="text1"/>
        </w:rPr>
        <w:t>This could potentially reduce virus-induced inflammation, improve antiviral immunity, reset the immune system, improve clinical outcomes, and expedite patient recovery.</w:t>
      </w:r>
    </w:p>
    <w:p w14:paraId="532D2340" w14:textId="77777777" w:rsidR="009E4198" w:rsidRPr="00905C20" w:rsidRDefault="009E4198" w:rsidP="00905C20">
      <w:pPr>
        <w:spacing w:line="0" w:lineRule="atLeast"/>
        <w:rPr>
          <w:color w:val="000000" w:themeColor="text1"/>
          <w:lang w:val="en-IN"/>
        </w:rPr>
      </w:pPr>
    </w:p>
    <w:p w14:paraId="29D198DC" w14:textId="20C700BE" w:rsidR="00E01F9C" w:rsidRPr="00905C20" w:rsidRDefault="009E6662" w:rsidP="00905C20">
      <w:pPr>
        <w:spacing w:line="0" w:lineRule="atLeast"/>
        <w:rPr>
          <w:color w:val="000000" w:themeColor="text1"/>
          <w:lang w:val="en-IN"/>
        </w:rPr>
      </w:pPr>
      <w:r w:rsidRPr="00905C20">
        <w:rPr>
          <w:color w:val="000000" w:themeColor="text1"/>
          <w:lang w:val="en-IN"/>
        </w:rPr>
        <w:t>To treat patients with autoimmune diseases, we have developed a unique and innovative technology designated Stem Cell Educator (SCE) therapy, which is based on immune cell education by cord-blood-derived multipotent stem cells (CB-SC)</w:t>
      </w:r>
      <w:r w:rsidR="009E4198" w:rsidRPr="00905C20">
        <w:rPr>
          <w:color w:val="000000" w:themeColor="text1"/>
          <w:vertAlign w:val="superscript"/>
          <w:lang w:val="en-IN"/>
        </w:rPr>
        <w:t>25–27</w:t>
      </w:r>
      <w:r w:rsidRPr="00905C20">
        <w:rPr>
          <w:color w:val="000000" w:themeColor="text1"/>
          <w:lang w:val="en-IN"/>
        </w:rPr>
        <w:t xml:space="preserve">. Over the last 15 years, this technology has been evaluated through international </w:t>
      </w:r>
      <w:proofErr w:type="spellStart"/>
      <w:r w:rsidRPr="00905C20">
        <w:rPr>
          <w:color w:val="000000" w:themeColor="text1"/>
          <w:lang w:val="en-IN"/>
        </w:rPr>
        <w:t>multicenter</w:t>
      </w:r>
      <w:proofErr w:type="spellEnd"/>
      <w:r w:rsidRPr="00905C20">
        <w:rPr>
          <w:color w:val="000000" w:themeColor="text1"/>
          <w:lang w:val="en-IN"/>
        </w:rPr>
        <w:t xml:space="preserve"> clinical studies conducted in the United States, China, and Spain. </w:t>
      </w:r>
      <w:r w:rsidR="00205FF8" w:rsidRPr="00905C20">
        <w:rPr>
          <w:color w:val="000000" w:themeColor="text1"/>
        </w:rPr>
        <w:t>These studies have demonstrated the clinical safety and efficacy of SCE therapy in treating type 1 diabetes (T1D), alopecia areata (AA)</w:t>
      </w:r>
      <w:r w:rsidR="00205FF8" w:rsidRPr="00905C20">
        <w:rPr>
          <w:color w:val="000000" w:themeColor="text1"/>
          <w:vertAlign w:val="superscript"/>
        </w:rPr>
        <w:t>28</w:t>
      </w:r>
      <w:r w:rsidR="00205FF8" w:rsidRPr="00905C20">
        <w:rPr>
          <w:color w:val="000000" w:themeColor="text1"/>
        </w:rPr>
        <w:t>, and other autoimmune conditions, including reversal of T1D-associated autoimmunity</w:t>
      </w:r>
      <w:r w:rsidR="00205FF8" w:rsidRPr="00905C20">
        <w:rPr>
          <w:color w:val="000000" w:themeColor="text1"/>
          <w:vertAlign w:val="superscript"/>
        </w:rPr>
        <w:t>29,30</w:t>
      </w:r>
      <w:r w:rsidR="00205FF8" w:rsidRPr="00905C20">
        <w:rPr>
          <w:color w:val="000000" w:themeColor="text1"/>
        </w:rPr>
        <w:t xml:space="preserve"> and treatment of other immune dysfunction-associated diseases, such as alopecia areata</w:t>
      </w:r>
      <w:r w:rsidR="00205FF8" w:rsidRPr="00905C20">
        <w:rPr>
          <w:color w:val="000000" w:themeColor="text1"/>
          <w:vertAlign w:val="superscript"/>
        </w:rPr>
        <w:t>28</w:t>
      </w:r>
      <w:r w:rsidR="00205FF8" w:rsidRPr="00905C20">
        <w:rPr>
          <w:color w:val="000000" w:themeColor="text1"/>
        </w:rPr>
        <w:t>, type 2 diabetes (T2D)</w:t>
      </w:r>
      <w:r w:rsidR="00205FF8" w:rsidRPr="00905C20">
        <w:rPr>
          <w:color w:val="000000" w:themeColor="text1"/>
          <w:vertAlign w:val="superscript"/>
        </w:rPr>
        <w:t>31</w:t>
      </w:r>
      <w:r w:rsidR="00205FF8" w:rsidRPr="00905C20">
        <w:rPr>
          <w:color w:val="000000" w:themeColor="text1"/>
        </w:rPr>
        <w:t>, and Crohn’s disease</w:t>
      </w:r>
      <w:r w:rsidR="00205FF8" w:rsidRPr="00905C20">
        <w:rPr>
          <w:color w:val="000000" w:themeColor="text1"/>
          <w:vertAlign w:val="superscript"/>
        </w:rPr>
        <w:t>32</w:t>
      </w:r>
      <w:r w:rsidR="00205FF8" w:rsidRPr="00905C20">
        <w:rPr>
          <w:color w:val="000000" w:themeColor="text1"/>
        </w:rPr>
        <w:t>.</w:t>
      </w:r>
      <w:r w:rsidRPr="00905C20">
        <w:rPr>
          <w:color w:val="000000" w:themeColor="text1"/>
          <w:lang w:val="en-IN"/>
        </w:rPr>
        <w:t xml:space="preserve"> Mechanistic studies demonstrated that CB-SC could release exosomes</w:t>
      </w:r>
      <w:r w:rsidR="009E4198" w:rsidRPr="00905C20">
        <w:rPr>
          <w:color w:val="000000" w:themeColor="text1"/>
          <w:vertAlign w:val="superscript"/>
          <w:lang w:val="en-IN"/>
        </w:rPr>
        <w:t>33</w:t>
      </w:r>
      <w:r w:rsidRPr="00905C20">
        <w:rPr>
          <w:color w:val="000000" w:themeColor="text1"/>
          <w:lang w:val="en-IN"/>
        </w:rPr>
        <w:t>. Functional analysis revealed that CB-SC-derived exosomes inhibited the proliferation of activated peripheral blood mononuclear cells (PBMC), reduced the production of inflammatory cytokines, decreased the proportions of activated CD4</w:t>
      </w:r>
      <w:r w:rsidRPr="00905C20">
        <w:rPr>
          <w:color w:val="000000" w:themeColor="text1"/>
          <w:vertAlign w:val="superscript"/>
          <w:lang w:val="en-IN"/>
        </w:rPr>
        <w:t>+</w:t>
      </w:r>
      <w:r w:rsidRPr="00905C20">
        <w:rPr>
          <w:color w:val="000000" w:themeColor="text1"/>
          <w:lang w:val="en-IN"/>
        </w:rPr>
        <w:t xml:space="preserve"> T and CD8</w:t>
      </w:r>
      <w:r w:rsidRPr="00905C20">
        <w:rPr>
          <w:color w:val="000000" w:themeColor="text1"/>
          <w:vertAlign w:val="superscript"/>
          <w:lang w:val="en-IN"/>
        </w:rPr>
        <w:t>+</w:t>
      </w:r>
      <w:r w:rsidRPr="00905C20">
        <w:rPr>
          <w:color w:val="000000" w:themeColor="text1"/>
          <w:lang w:val="en-IN"/>
        </w:rPr>
        <w:t xml:space="preserve"> T cells, and increased the proportions of naïve CD4</w:t>
      </w:r>
      <w:r w:rsidRPr="00905C20">
        <w:rPr>
          <w:color w:val="000000" w:themeColor="text1"/>
          <w:vertAlign w:val="superscript"/>
          <w:lang w:val="en-IN"/>
        </w:rPr>
        <w:t>+</w:t>
      </w:r>
      <w:r w:rsidRPr="00905C20">
        <w:rPr>
          <w:color w:val="000000" w:themeColor="text1"/>
          <w:lang w:val="en-IN"/>
        </w:rPr>
        <w:t xml:space="preserve"> T and CD8+ T cells</w:t>
      </w:r>
      <w:r w:rsidR="009E4198" w:rsidRPr="00905C20">
        <w:rPr>
          <w:color w:val="000000" w:themeColor="text1"/>
          <w:vertAlign w:val="superscript"/>
          <w:lang w:val="en-IN"/>
        </w:rPr>
        <w:t>33</w:t>
      </w:r>
      <w:r w:rsidRPr="00905C20">
        <w:rPr>
          <w:color w:val="000000" w:themeColor="text1"/>
          <w:lang w:val="en-IN"/>
        </w:rPr>
        <w:t xml:space="preserve">. Using the fluorescent dye </w:t>
      </w:r>
      <w:proofErr w:type="spellStart"/>
      <w:r w:rsidRPr="00905C20">
        <w:rPr>
          <w:color w:val="000000" w:themeColor="text1"/>
          <w:lang w:val="en-IN"/>
        </w:rPr>
        <w:t>DiO</w:t>
      </w:r>
      <w:proofErr w:type="spellEnd"/>
      <w:r w:rsidRPr="00905C20">
        <w:rPr>
          <w:color w:val="000000" w:themeColor="text1"/>
          <w:lang w:val="en-IN"/>
        </w:rPr>
        <w:t xml:space="preserve"> to label exosomes, flow cytometry revealed that exosomes preferentially bound to monocytes in PBMC, leading to the differentiation of purified monocytes into spindle-like type 2 macrophages (M2) displaying anti-inflammatory markers</w:t>
      </w:r>
      <w:r w:rsidR="009E4198" w:rsidRPr="00905C20">
        <w:rPr>
          <w:color w:val="000000" w:themeColor="text1"/>
          <w:vertAlign w:val="superscript"/>
          <w:lang w:val="en-IN"/>
        </w:rPr>
        <w:t>33,34</w:t>
      </w:r>
      <w:r w:rsidRPr="00905C20">
        <w:rPr>
          <w:color w:val="000000" w:themeColor="text1"/>
          <w:lang w:val="en-IN"/>
        </w:rPr>
        <w:t xml:space="preserve">. Based on these findings, we hypothesized that </w:t>
      </w:r>
      <w:r w:rsidR="0054263D" w:rsidRPr="00905C20">
        <w:rPr>
          <w:color w:val="000000" w:themeColor="text1"/>
          <w:lang w:val="en-IN"/>
        </w:rPr>
        <w:t>SCE</w:t>
      </w:r>
      <w:r w:rsidRPr="00905C20">
        <w:rPr>
          <w:color w:val="000000" w:themeColor="text1"/>
          <w:lang w:val="en-IN"/>
        </w:rPr>
        <w:t xml:space="preserve"> therapy may effectively address the multiple immune cell dysfunctions underlying the pathogenesis of patients with long COVID. </w:t>
      </w:r>
      <w:r w:rsidR="00DB6C53" w:rsidRPr="00905C20">
        <w:rPr>
          <w:color w:val="000000" w:themeColor="text1"/>
        </w:rPr>
        <w:t xml:space="preserve">In this pilot open-label clinical study, we aimed to evaluate safety, clinical efficacy, and immunological changes in patients with long COVID after treatment with </w:t>
      </w:r>
      <w:r w:rsidR="0054263D" w:rsidRPr="00905C20">
        <w:rPr>
          <w:color w:val="000000" w:themeColor="text1"/>
        </w:rPr>
        <w:t>SCE</w:t>
      </w:r>
      <w:r w:rsidR="00DB6C53" w:rsidRPr="00905C20">
        <w:rPr>
          <w:color w:val="000000" w:themeColor="text1"/>
        </w:rPr>
        <w:t xml:space="preserve"> therapy. The overall goal of this method is to apply </w:t>
      </w:r>
      <w:r w:rsidR="0054263D" w:rsidRPr="00905C20">
        <w:rPr>
          <w:color w:val="000000" w:themeColor="text1"/>
        </w:rPr>
        <w:t>SCE</w:t>
      </w:r>
      <w:r w:rsidR="00DB6C53" w:rsidRPr="00905C20">
        <w:rPr>
          <w:color w:val="000000" w:themeColor="text1"/>
        </w:rPr>
        <w:t xml:space="preserve"> therapy for ex vivo immune modulation of patient PBMC and to evaluate its use in patients with long COVID.</w:t>
      </w:r>
      <w:r w:rsidR="00485349" w:rsidRPr="00905C20">
        <w:rPr>
          <w:color w:val="000000" w:themeColor="text1"/>
        </w:rPr>
        <w:t xml:space="preserve"> </w:t>
      </w:r>
    </w:p>
    <w:p w14:paraId="68E20530" w14:textId="77777777" w:rsidR="00E01F9C" w:rsidRPr="00905C20" w:rsidRDefault="00E01F9C" w:rsidP="00905C20">
      <w:pPr>
        <w:spacing w:line="0" w:lineRule="atLeast"/>
        <w:rPr>
          <w:bCs/>
          <w:color w:val="000000" w:themeColor="text1"/>
        </w:rPr>
      </w:pPr>
    </w:p>
    <w:p w14:paraId="7B26B7FE" w14:textId="77777777" w:rsidR="000E52B8" w:rsidRPr="00905C20" w:rsidRDefault="009E6662" w:rsidP="00905C20">
      <w:pPr>
        <w:spacing w:line="0" w:lineRule="atLeast"/>
        <w:rPr>
          <w:b/>
          <w:bCs/>
          <w:color w:val="000000" w:themeColor="text1"/>
        </w:rPr>
      </w:pPr>
      <w:r w:rsidRPr="00905C20">
        <w:rPr>
          <w:b/>
          <w:bCs/>
          <w:color w:val="000000" w:themeColor="text1"/>
        </w:rPr>
        <w:t>PROTOCOL:</w:t>
      </w:r>
    </w:p>
    <w:p w14:paraId="176D8329" w14:textId="77777777" w:rsidR="000E52B8" w:rsidRPr="00905C20" w:rsidRDefault="009E6662" w:rsidP="00905C20">
      <w:pPr>
        <w:spacing w:line="0" w:lineRule="atLeast"/>
        <w:rPr>
          <w:color w:val="000000" w:themeColor="text1"/>
        </w:rPr>
      </w:pPr>
      <w:r w:rsidRPr="00905C20">
        <w:rPr>
          <w:color w:val="000000" w:themeColor="text1"/>
        </w:rPr>
        <w:t xml:space="preserve">Conduct this open-label, single-site clinical study in accordance with the applicable institutional and regulatory requirements. Enroll and treat patients with long COVID (N = 25) from November 9, 2023, to June 11, 2026, at Throne’s outpatient facility through the Right-to-Try Act using the clinical protocol for type 1 diabetes under Investigational New Drug application IND 19247. Use </w:t>
      </w:r>
      <w:r w:rsidRPr="00905C20">
        <w:rPr>
          <w:color w:val="000000" w:themeColor="text1"/>
        </w:rPr>
        <w:lastRenderedPageBreak/>
        <w:t>the consent form approved by the central Institutional Review Board (IRB) at Advarra (Columbia, MD, USA; approval code CR00425169), and obtain signed informed consent from all participants before treatment.</w:t>
      </w:r>
    </w:p>
    <w:p w14:paraId="5F4D8759" w14:textId="77777777" w:rsidR="000E52B8" w:rsidRPr="00905C20" w:rsidRDefault="000E52B8" w:rsidP="00905C20">
      <w:pPr>
        <w:spacing w:line="0" w:lineRule="atLeast"/>
        <w:rPr>
          <w:color w:val="000000" w:themeColor="text1"/>
        </w:rPr>
      </w:pPr>
    </w:p>
    <w:p w14:paraId="3C4E37CD" w14:textId="77777777" w:rsidR="000E52B8" w:rsidRPr="00905C20" w:rsidRDefault="009E6662" w:rsidP="00905C20">
      <w:pPr>
        <w:spacing w:line="0" w:lineRule="atLeast"/>
        <w:rPr>
          <w:color w:val="000000" w:themeColor="text1"/>
        </w:rPr>
      </w:pPr>
      <w:r w:rsidRPr="00905C20">
        <w:rPr>
          <w:color w:val="000000" w:themeColor="text1"/>
        </w:rPr>
        <w:t xml:space="preserve">Obtain human cord blood units collected from healthy donors through Life Line Stem Cell Tissue, Cord Blood Bank (New Haven, IN). Use cord blood units collected and distributed under the bank’s required accreditations, IRB approval, and signed donor consent. Treat enrolled subjects according to IND 19247, as summarized in </w:t>
      </w:r>
      <w:r w:rsidRPr="00905C20">
        <w:rPr>
          <w:b/>
          <w:bCs/>
          <w:color w:val="000000" w:themeColor="text1"/>
        </w:rPr>
        <w:t>Figure 1</w:t>
      </w:r>
      <w:r w:rsidRPr="00905C20">
        <w:rPr>
          <w:color w:val="000000" w:themeColor="text1"/>
        </w:rPr>
        <w:t>.</w:t>
      </w:r>
    </w:p>
    <w:p w14:paraId="1FBF7E7A" w14:textId="77777777" w:rsidR="000E52B8" w:rsidRPr="00905C20" w:rsidRDefault="000E52B8" w:rsidP="00905C20">
      <w:pPr>
        <w:spacing w:line="0" w:lineRule="atLeast"/>
        <w:rPr>
          <w:color w:val="000000" w:themeColor="text1"/>
        </w:rPr>
      </w:pPr>
    </w:p>
    <w:p w14:paraId="1063E158" w14:textId="77777777" w:rsidR="000E52B8" w:rsidRPr="00905C20" w:rsidRDefault="009E6662" w:rsidP="00905C20">
      <w:pPr>
        <w:spacing w:line="0" w:lineRule="atLeast"/>
        <w:rPr>
          <w:color w:val="000000" w:themeColor="text1"/>
        </w:rPr>
      </w:pPr>
      <w:r w:rsidRPr="00905C20">
        <w:rPr>
          <w:color w:val="000000" w:themeColor="text1"/>
        </w:rPr>
        <w:t xml:space="preserve">[Place </w:t>
      </w:r>
      <w:r w:rsidRPr="00905C20">
        <w:rPr>
          <w:b/>
          <w:bCs/>
          <w:color w:val="000000" w:themeColor="text1"/>
        </w:rPr>
        <w:t>Figure 1</w:t>
      </w:r>
      <w:r w:rsidRPr="00905C20">
        <w:rPr>
          <w:color w:val="000000" w:themeColor="text1"/>
        </w:rPr>
        <w:t xml:space="preserve"> here.]</w:t>
      </w:r>
    </w:p>
    <w:p w14:paraId="62C8AA55" w14:textId="77777777" w:rsidR="000E52B8" w:rsidRPr="00905C20" w:rsidRDefault="000E52B8" w:rsidP="00905C20">
      <w:pPr>
        <w:spacing w:line="0" w:lineRule="atLeast"/>
        <w:rPr>
          <w:color w:val="000000" w:themeColor="text1"/>
        </w:rPr>
      </w:pPr>
    </w:p>
    <w:p w14:paraId="473B7604" w14:textId="77777777" w:rsidR="000E52B8" w:rsidRPr="00905C20" w:rsidRDefault="009E6662" w:rsidP="00905C20">
      <w:pPr>
        <w:spacing w:line="0" w:lineRule="atLeast"/>
        <w:rPr>
          <w:color w:val="000000" w:themeColor="text1"/>
        </w:rPr>
      </w:pPr>
      <w:r w:rsidRPr="00905C20">
        <w:rPr>
          <w:color w:val="000000" w:themeColor="text1"/>
        </w:rPr>
        <w:t>Enroll patients aged ≥18 years with a confirmed diagnosis of long COVID and clinical symptoms persisting for ≥3 months. Exclude patients with clinically significant liver, kidney, or heart disease, or pregnancy. Schedule follow-up testing at months 1, 3, 6, 9, and 12 after SCE therapy to assess the durability of immune markers.</w:t>
      </w:r>
    </w:p>
    <w:p w14:paraId="4F2B49F3" w14:textId="77777777" w:rsidR="000E52B8" w:rsidRPr="00905C20" w:rsidRDefault="000E52B8" w:rsidP="00905C20">
      <w:pPr>
        <w:spacing w:line="0" w:lineRule="atLeast"/>
        <w:rPr>
          <w:color w:val="000000" w:themeColor="text1"/>
        </w:rPr>
      </w:pPr>
    </w:p>
    <w:p w14:paraId="4AC0C897" w14:textId="0D74381E" w:rsidR="000E52B8" w:rsidRPr="00905C20" w:rsidRDefault="009E6662" w:rsidP="00905C20">
      <w:pPr>
        <w:spacing w:line="0" w:lineRule="atLeast"/>
        <w:rPr>
          <w:b/>
          <w:bCs/>
          <w:color w:val="000000" w:themeColor="text1"/>
        </w:rPr>
      </w:pPr>
      <w:r w:rsidRPr="005F5B30">
        <w:rPr>
          <w:b/>
          <w:bCs/>
          <w:color w:val="000000" w:themeColor="text1"/>
          <w:highlight w:val="yellow"/>
        </w:rPr>
        <w:t xml:space="preserve">1. Preparation of </w:t>
      </w:r>
      <w:r w:rsidR="0054263D" w:rsidRPr="005F5B30">
        <w:rPr>
          <w:b/>
          <w:bCs/>
          <w:color w:val="000000" w:themeColor="text1"/>
          <w:highlight w:val="yellow"/>
        </w:rPr>
        <w:t xml:space="preserve">SCE </w:t>
      </w:r>
      <w:r w:rsidRPr="005F5B30">
        <w:rPr>
          <w:b/>
          <w:bCs/>
          <w:color w:val="000000" w:themeColor="text1"/>
          <w:highlight w:val="yellow"/>
        </w:rPr>
        <w:t>cultures</w:t>
      </w:r>
    </w:p>
    <w:p w14:paraId="60DC3679" w14:textId="77777777" w:rsidR="000E52B8" w:rsidRPr="00905C20" w:rsidRDefault="000E52B8" w:rsidP="00905C20">
      <w:pPr>
        <w:spacing w:line="0" w:lineRule="atLeast"/>
        <w:rPr>
          <w:color w:val="000000" w:themeColor="text1"/>
        </w:rPr>
      </w:pPr>
    </w:p>
    <w:p w14:paraId="7B22B631" w14:textId="77777777" w:rsidR="000E52B8" w:rsidRPr="005F5B30" w:rsidRDefault="009E6662" w:rsidP="00905C20">
      <w:pPr>
        <w:spacing w:line="0" w:lineRule="atLeast"/>
        <w:rPr>
          <w:color w:val="000000" w:themeColor="text1"/>
          <w:highlight w:val="yellow"/>
        </w:rPr>
      </w:pPr>
      <w:r w:rsidRPr="005F5B30">
        <w:rPr>
          <w:color w:val="000000" w:themeColor="text1"/>
          <w:highlight w:val="yellow"/>
        </w:rPr>
        <w:t>1.1. Receive the cord blood unit and release it for good manufacturing practice (GMP) production.</w:t>
      </w:r>
    </w:p>
    <w:p w14:paraId="3AF5EE80" w14:textId="77777777" w:rsidR="000E52B8" w:rsidRPr="005F5B30" w:rsidRDefault="000E52B8" w:rsidP="00905C20">
      <w:pPr>
        <w:spacing w:line="0" w:lineRule="atLeast"/>
        <w:rPr>
          <w:color w:val="000000" w:themeColor="text1"/>
          <w:highlight w:val="yellow"/>
        </w:rPr>
      </w:pPr>
    </w:p>
    <w:p w14:paraId="07CB6F48" w14:textId="01EF8EE4" w:rsidR="000E52B8" w:rsidRPr="005F5B30" w:rsidRDefault="009E6662" w:rsidP="00905C20">
      <w:pPr>
        <w:spacing w:line="0" w:lineRule="atLeast"/>
        <w:rPr>
          <w:color w:val="000000" w:themeColor="text1"/>
          <w:highlight w:val="yellow"/>
        </w:rPr>
      </w:pPr>
      <w:r w:rsidRPr="005F5B30">
        <w:rPr>
          <w:color w:val="000000" w:themeColor="text1"/>
          <w:highlight w:val="yellow"/>
        </w:rPr>
        <w:t>1.</w:t>
      </w:r>
      <w:r w:rsidR="00022947" w:rsidRPr="005F5B30">
        <w:rPr>
          <w:color w:val="000000" w:themeColor="text1"/>
          <w:highlight w:val="yellow"/>
        </w:rPr>
        <w:t>2</w:t>
      </w:r>
      <w:r w:rsidRPr="005F5B30">
        <w:rPr>
          <w:color w:val="000000" w:themeColor="text1"/>
          <w:highlight w:val="yellow"/>
        </w:rPr>
        <w:t>. Transfer 30 mL of cord blood over 20 mL of density gradient medium (γ = 1.077) in a 50 mL conical tube.</w:t>
      </w:r>
    </w:p>
    <w:p w14:paraId="2278DB46" w14:textId="77777777" w:rsidR="000E52B8" w:rsidRPr="005F5B30" w:rsidRDefault="000E52B8" w:rsidP="00905C20">
      <w:pPr>
        <w:spacing w:line="0" w:lineRule="atLeast"/>
        <w:rPr>
          <w:color w:val="000000" w:themeColor="text1"/>
          <w:highlight w:val="yellow"/>
        </w:rPr>
      </w:pPr>
    </w:p>
    <w:p w14:paraId="1180D62A" w14:textId="27E05E29" w:rsidR="000E52B8" w:rsidRPr="00905C20" w:rsidRDefault="009E6662" w:rsidP="00905C20">
      <w:pPr>
        <w:spacing w:line="0" w:lineRule="atLeast"/>
        <w:rPr>
          <w:color w:val="000000" w:themeColor="text1"/>
        </w:rPr>
      </w:pPr>
      <w:r w:rsidRPr="005F5B30">
        <w:rPr>
          <w:color w:val="000000" w:themeColor="text1"/>
          <w:highlight w:val="yellow"/>
        </w:rPr>
        <w:t>1.</w:t>
      </w:r>
      <w:r w:rsidR="00022947" w:rsidRPr="005F5B30">
        <w:rPr>
          <w:color w:val="000000" w:themeColor="text1"/>
          <w:highlight w:val="yellow"/>
        </w:rPr>
        <w:t>3</w:t>
      </w:r>
      <w:r w:rsidRPr="005F5B30">
        <w:rPr>
          <w:color w:val="000000" w:themeColor="text1"/>
          <w:highlight w:val="yellow"/>
        </w:rPr>
        <w:t xml:space="preserve">. Centrifuge at 1,690 × </w:t>
      </w:r>
      <w:r w:rsidRPr="005F5B30">
        <w:rPr>
          <w:i/>
          <w:iCs/>
          <w:color w:val="000000" w:themeColor="text1"/>
          <w:highlight w:val="yellow"/>
        </w:rPr>
        <w:t>g</w:t>
      </w:r>
      <w:r w:rsidRPr="005F5B30">
        <w:rPr>
          <w:color w:val="000000" w:themeColor="text1"/>
          <w:highlight w:val="yellow"/>
        </w:rPr>
        <w:t xml:space="preserve"> for 15 min at 20°C in a swinging-bucket rotor without braking.</w:t>
      </w:r>
    </w:p>
    <w:p w14:paraId="16A4B28C" w14:textId="77777777" w:rsidR="000E52B8" w:rsidRPr="00905C20" w:rsidRDefault="000E52B8" w:rsidP="00905C20">
      <w:pPr>
        <w:spacing w:line="0" w:lineRule="atLeast"/>
        <w:rPr>
          <w:color w:val="000000" w:themeColor="text1"/>
        </w:rPr>
      </w:pPr>
    </w:p>
    <w:p w14:paraId="47625B8F" w14:textId="3473CE69" w:rsidR="000E52B8" w:rsidRPr="005F5B30" w:rsidRDefault="009E6662" w:rsidP="00905C20">
      <w:pPr>
        <w:spacing w:line="0" w:lineRule="atLeast"/>
        <w:rPr>
          <w:color w:val="000000" w:themeColor="text1"/>
          <w:highlight w:val="yellow"/>
        </w:rPr>
      </w:pPr>
      <w:r w:rsidRPr="005F5B30">
        <w:rPr>
          <w:color w:val="000000" w:themeColor="text1"/>
          <w:highlight w:val="yellow"/>
        </w:rPr>
        <w:t>1.</w:t>
      </w:r>
      <w:r w:rsidR="00022947" w:rsidRPr="005F5B30">
        <w:rPr>
          <w:color w:val="000000" w:themeColor="text1"/>
          <w:highlight w:val="yellow"/>
        </w:rPr>
        <w:t>4</w:t>
      </w:r>
      <w:r w:rsidRPr="005F5B30">
        <w:rPr>
          <w:color w:val="000000" w:themeColor="text1"/>
          <w:highlight w:val="yellow"/>
        </w:rPr>
        <w:t xml:space="preserve">. Carefully transfer the mononuclear cell layer to a new 50 mL conical tube containing 10 mL of 0.9% sodium chloride. Centrifuge at 751 × </w:t>
      </w:r>
      <w:r w:rsidRPr="005F5B30">
        <w:rPr>
          <w:i/>
          <w:iCs/>
          <w:color w:val="000000" w:themeColor="text1"/>
          <w:highlight w:val="yellow"/>
        </w:rPr>
        <w:t>g</w:t>
      </w:r>
      <w:r w:rsidRPr="005F5B30">
        <w:rPr>
          <w:color w:val="000000" w:themeColor="text1"/>
          <w:highlight w:val="yellow"/>
        </w:rPr>
        <w:t xml:space="preserve"> for 10 min at 20°C to pellet the cells.</w:t>
      </w:r>
    </w:p>
    <w:p w14:paraId="235F475B" w14:textId="77777777" w:rsidR="000E52B8" w:rsidRPr="005F5B30" w:rsidRDefault="000E52B8" w:rsidP="00905C20">
      <w:pPr>
        <w:spacing w:line="0" w:lineRule="atLeast"/>
        <w:rPr>
          <w:color w:val="000000" w:themeColor="text1"/>
          <w:highlight w:val="yellow"/>
        </w:rPr>
      </w:pPr>
    </w:p>
    <w:p w14:paraId="19412FB3" w14:textId="19177165" w:rsidR="000E52B8" w:rsidRPr="005F5B30" w:rsidRDefault="009E6662" w:rsidP="00905C20">
      <w:pPr>
        <w:spacing w:line="0" w:lineRule="atLeast"/>
        <w:rPr>
          <w:color w:val="000000" w:themeColor="text1"/>
          <w:highlight w:val="yellow"/>
        </w:rPr>
      </w:pPr>
      <w:r w:rsidRPr="005F5B30">
        <w:rPr>
          <w:color w:val="000000" w:themeColor="text1"/>
          <w:highlight w:val="yellow"/>
        </w:rPr>
        <w:t>1.</w:t>
      </w:r>
      <w:r w:rsidR="00022947" w:rsidRPr="005F5B30">
        <w:rPr>
          <w:color w:val="000000" w:themeColor="text1"/>
          <w:highlight w:val="yellow"/>
        </w:rPr>
        <w:t>5</w:t>
      </w:r>
      <w:r w:rsidRPr="005F5B30">
        <w:rPr>
          <w:color w:val="000000" w:themeColor="text1"/>
          <w:highlight w:val="yellow"/>
        </w:rPr>
        <w:t>. Discard the supernatant and add 10 mL of ACK lysis buffer to the cell pellet. Resuspend the cells by pipetting and incubate for 2–4 min at room temperature to remove red blood cells.</w:t>
      </w:r>
    </w:p>
    <w:p w14:paraId="74CF9DFF" w14:textId="77777777" w:rsidR="000E52B8" w:rsidRPr="005F5B30" w:rsidRDefault="000E52B8" w:rsidP="00905C20">
      <w:pPr>
        <w:spacing w:line="0" w:lineRule="atLeast"/>
        <w:rPr>
          <w:color w:val="000000" w:themeColor="text1"/>
          <w:highlight w:val="yellow"/>
        </w:rPr>
      </w:pPr>
    </w:p>
    <w:p w14:paraId="5BED33C6" w14:textId="078D38A1" w:rsidR="000E52B8" w:rsidRPr="00905C20" w:rsidRDefault="009E6662" w:rsidP="00905C20">
      <w:pPr>
        <w:spacing w:line="0" w:lineRule="atLeast"/>
        <w:rPr>
          <w:color w:val="000000" w:themeColor="text1"/>
        </w:rPr>
      </w:pPr>
      <w:r w:rsidRPr="005F5B30">
        <w:rPr>
          <w:color w:val="000000" w:themeColor="text1"/>
          <w:highlight w:val="yellow"/>
        </w:rPr>
        <w:t>1.</w:t>
      </w:r>
      <w:r w:rsidR="00022947" w:rsidRPr="005F5B30">
        <w:rPr>
          <w:color w:val="000000" w:themeColor="text1"/>
          <w:highlight w:val="yellow"/>
        </w:rPr>
        <w:t>6</w:t>
      </w:r>
      <w:r w:rsidRPr="005F5B30">
        <w:rPr>
          <w:color w:val="000000" w:themeColor="text1"/>
          <w:highlight w:val="yellow"/>
        </w:rPr>
        <w:t xml:space="preserve">. Fill the conical tube with 35 mL of 0.9% sodium chloride. Centrifuge at 751 × </w:t>
      </w:r>
      <w:r w:rsidRPr="005F5B30">
        <w:rPr>
          <w:i/>
          <w:iCs/>
          <w:color w:val="000000" w:themeColor="text1"/>
          <w:highlight w:val="yellow"/>
        </w:rPr>
        <w:t>g</w:t>
      </w:r>
      <w:r w:rsidRPr="005F5B30">
        <w:rPr>
          <w:color w:val="000000" w:themeColor="text1"/>
          <w:highlight w:val="yellow"/>
        </w:rPr>
        <w:t xml:space="preserve"> for 5 min and discard the supernatant to obtain pelleted mononuclear cells.</w:t>
      </w:r>
    </w:p>
    <w:p w14:paraId="35E821C0" w14:textId="77777777" w:rsidR="000E52B8" w:rsidRPr="00905C20" w:rsidRDefault="000E52B8" w:rsidP="00905C20">
      <w:pPr>
        <w:spacing w:line="0" w:lineRule="atLeast"/>
        <w:rPr>
          <w:color w:val="000000" w:themeColor="text1"/>
        </w:rPr>
      </w:pPr>
    </w:p>
    <w:p w14:paraId="25638F07" w14:textId="40138CD2" w:rsidR="000E52B8" w:rsidRPr="00905C20" w:rsidRDefault="009E6662" w:rsidP="00905C20">
      <w:pPr>
        <w:spacing w:line="0" w:lineRule="atLeast"/>
        <w:rPr>
          <w:color w:val="000000" w:themeColor="text1"/>
        </w:rPr>
      </w:pPr>
      <w:r w:rsidRPr="001E4FAA">
        <w:rPr>
          <w:color w:val="000000" w:themeColor="text1"/>
          <w:highlight w:val="yellow"/>
        </w:rPr>
        <w:t>1.</w:t>
      </w:r>
      <w:r w:rsidR="00022947" w:rsidRPr="001E4FAA">
        <w:rPr>
          <w:color w:val="000000" w:themeColor="text1"/>
          <w:highlight w:val="yellow"/>
        </w:rPr>
        <w:t>7</w:t>
      </w:r>
      <w:r w:rsidRPr="001E4FAA">
        <w:rPr>
          <w:color w:val="000000" w:themeColor="text1"/>
          <w:highlight w:val="yellow"/>
        </w:rPr>
        <w:t>. Wash the cells once with 40 mL of 0.9% sodium chloride to remove the remaining lysis buffer.</w:t>
      </w:r>
    </w:p>
    <w:p w14:paraId="7772D5EF" w14:textId="77777777" w:rsidR="000E52B8" w:rsidRPr="00905C20" w:rsidRDefault="000E52B8" w:rsidP="00905C20">
      <w:pPr>
        <w:spacing w:line="0" w:lineRule="atLeast"/>
        <w:rPr>
          <w:color w:val="000000" w:themeColor="text1"/>
        </w:rPr>
      </w:pPr>
    </w:p>
    <w:p w14:paraId="0B861C3A" w14:textId="07C94D51" w:rsidR="000E52B8" w:rsidRPr="00DA5392" w:rsidRDefault="009E6662" w:rsidP="00905C20">
      <w:pPr>
        <w:spacing w:line="0" w:lineRule="atLeast"/>
        <w:rPr>
          <w:color w:val="000000" w:themeColor="text1"/>
          <w:highlight w:val="yellow"/>
        </w:rPr>
      </w:pPr>
      <w:r w:rsidRPr="00DA5392">
        <w:rPr>
          <w:color w:val="000000" w:themeColor="text1"/>
          <w:highlight w:val="yellow"/>
        </w:rPr>
        <w:t>1.</w:t>
      </w:r>
      <w:r w:rsidR="00022947" w:rsidRPr="00DA5392">
        <w:rPr>
          <w:color w:val="000000" w:themeColor="text1"/>
          <w:highlight w:val="yellow"/>
        </w:rPr>
        <w:t>8</w:t>
      </w:r>
      <w:r w:rsidRPr="00DA5392">
        <w:rPr>
          <w:color w:val="000000" w:themeColor="text1"/>
          <w:highlight w:val="yellow"/>
        </w:rPr>
        <w:t xml:space="preserve">. Centrifuge at 751 × </w:t>
      </w:r>
      <w:r w:rsidRPr="00DA5392">
        <w:rPr>
          <w:i/>
          <w:iCs/>
          <w:color w:val="000000" w:themeColor="text1"/>
          <w:highlight w:val="yellow"/>
        </w:rPr>
        <w:t>g</w:t>
      </w:r>
      <w:r w:rsidRPr="00DA5392">
        <w:rPr>
          <w:color w:val="000000" w:themeColor="text1"/>
          <w:highlight w:val="yellow"/>
        </w:rPr>
        <w:t xml:space="preserve"> for 5 min to pellet the cells.</w:t>
      </w:r>
    </w:p>
    <w:p w14:paraId="32F58DDA" w14:textId="77777777" w:rsidR="000E52B8" w:rsidRPr="00DA5392" w:rsidRDefault="000E52B8" w:rsidP="00905C20">
      <w:pPr>
        <w:spacing w:line="0" w:lineRule="atLeast"/>
        <w:rPr>
          <w:color w:val="000000" w:themeColor="text1"/>
          <w:highlight w:val="yellow"/>
        </w:rPr>
      </w:pPr>
    </w:p>
    <w:p w14:paraId="114FA131" w14:textId="06DC0BEF" w:rsidR="000E52B8" w:rsidRPr="00DA5392" w:rsidRDefault="009E6662" w:rsidP="00905C20">
      <w:pPr>
        <w:spacing w:line="0" w:lineRule="atLeast"/>
        <w:rPr>
          <w:color w:val="000000" w:themeColor="text1"/>
          <w:highlight w:val="yellow"/>
        </w:rPr>
      </w:pPr>
      <w:r w:rsidRPr="00DA5392">
        <w:rPr>
          <w:color w:val="000000" w:themeColor="text1"/>
          <w:highlight w:val="yellow"/>
        </w:rPr>
        <w:t>1.</w:t>
      </w:r>
      <w:r w:rsidR="00022947" w:rsidRPr="00DA5392">
        <w:rPr>
          <w:color w:val="000000" w:themeColor="text1"/>
          <w:highlight w:val="yellow"/>
        </w:rPr>
        <w:t>9</w:t>
      </w:r>
      <w:r w:rsidRPr="00DA5392">
        <w:rPr>
          <w:color w:val="000000" w:themeColor="text1"/>
          <w:highlight w:val="yellow"/>
        </w:rPr>
        <w:t>. Discard the supernatant and resuspend the cord blood mononuclear cells in 10 mL of chemically defined serum-free medium per tube.</w:t>
      </w:r>
    </w:p>
    <w:p w14:paraId="36E782BC" w14:textId="77777777" w:rsidR="000E52B8" w:rsidRPr="00DA5392" w:rsidRDefault="000E52B8" w:rsidP="00905C20">
      <w:pPr>
        <w:spacing w:line="0" w:lineRule="atLeast"/>
        <w:rPr>
          <w:color w:val="000000" w:themeColor="text1"/>
          <w:highlight w:val="yellow"/>
        </w:rPr>
      </w:pPr>
    </w:p>
    <w:p w14:paraId="6A8F2708" w14:textId="182EA46F" w:rsidR="000E52B8" w:rsidRPr="00905C20" w:rsidRDefault="009E6662" w:rsidP="00905C20">
      <w:pPr>
        <w:spacing w:line="0" w:lineRule="atLeast"/>
        <w:rPr>
          <w:color w:val="000000" w:themeColor="text1"/>
        </w:rPr>
      </w:pPr>
      <w:r w:rsidRPr="00DA5392">
        <w:rPr>
          <w:color w:val="000000" w:themeColor="text1"/>
          <w:highlight w:val="yellow"/>
        </w:rPr>
        <w:t>1.1</w:t>
      </w:r>
      <w:r w:rsidR="00022947" w:rsidRPr="00DA5392">
        <w:rPr>
          <w:color w:val="000000" w:themeColor="text1"/>
          <w:highlight w:val="yellow"/>
        </w:rPr>
        <w:t>0</w:t>
      </w:r>
      <w:r w:rsidRPr="00DA5392">
        <w:rPr>
          <w:color w:val="000000" w:themeColor="text1"/>
          <w:highlight w:val="yellow"/>
        </w:rPr>
        <w:t>. Combine the cord blood mononuclear cell suspensions into a single tube.</w:t>
      </w:r>
    </w:p>
    <w:p w14:paraId="10D95BB7" w14:textId="77777777" w:rsidR="000E52B8" w:rsidRPr="00905C20" w:rsidRDefault="000E52B8" w:rsidP="00905C20">
      <w:pPr>
        <w:spacing w:line="0" w:lineRule="atLeast"/>
        <w:rPr>
          <w:color w:val="000000" w:themeColor="text1"/>
        </w:rPr>
      </w:pPr>
    </w:p>
    <w:p w14:paraId="7DA02DFB" w14:textId="29F39914" w:rsidR="000E52B8" w:rsidRPr="00DA5392" w:rsidRDefault="009E6662" w:rsidP="00905C20">
      <w:pPr>
        <w:spacing w:line="0" w:lineRule="atLeast"/>
        <w:rPr>
          <w:color w:val="000000" w:themeColor="text1"/>
          <w:highlight w:val="yellow"/>
        </w:rPr>
      </w:pPr>
      <w:r w:rsidRPr="00DA5392">
        <w:rPr>
          <w:color w:val="000000" w:themeColor="text1"/>
          <w:highlight w:val="yellow"/>
        </w:rPr>
        <w:lastRenderedPageBreak/>
        <w:t>1.1</w:t>
      </w:r>
      <w:r w:rsidR="00022947" w:rsidRPr="00DA5392">
        <w:rPr>
          <w:color w:val="000000" w:themeColor="text1"/>
          <w:highlight w:val="yellow"/>
        </w:rPr>
        <w:t>1</w:t>
      </w:r>
      <w:r w:rsidRPr="00DA5392">
        <w:rPr>
          <w:color w:val="000000" w:themeColor="text1"/>
          <w:highlight w:val="yellow"/>
        </w:rPr>
        <w:t>. Transfer 1 mL of the cell suspension into a new 50 mL conical tube and add 29 mL of chemically defined serum-free medium to prepare a 1:30 dilution.</w:t>
      </w:r>
    </w:p>
    <w:p w14:paraId="0510E05C" w14:textId="77777777" w:rsidR="000E52B8" w:rsidRPr="00DA5392" w:rsidRDefault="000E52B8" w:rsidP="00905C20">
      <w:pPr>
        <w:spacing w:line="0" w:lineRule="atLeast"/>
        <w:rPr>
          <w:color w:val="000000" w:themeColor="text1"/>
          <w:highlight w:val="yellow"/>
        </w:rPr>
      </w:pPr>
    </w:p>
    <w:p w14:paraId="737BEBBB" w14:textId="6D94AB6A" w:rsidR="000E52B8" w:rsidRPr="00DA5392" w:rsidRDefault="009E6662" w:rsidP="00905C20">
      <w:pPr>
        <w:spacing w:line="0" w:lineRule="atLeast"/>
        <w:rPr>
          <w:color w:val="000000" w:themeColor="text1"/>
          <w:highlight w:val="yellow"/>
        </w:rPr>
      </w:pPr>
      <w:r w:rsidRPr="00DA5392">
        <w:rPr>
          <w:color w:val="000000" w:themeColor="text1"/>
          <w:highlight w:val="yellow"/>
        </w:rPr>
        <w:t>1.1</w:t>
      </w:r>
      <w:r w:rsidR="00022947" w:rsidRPr="00DA5392">
        <w:rPr>
          <w:color w:val="000000" w:themeColor="text1"/>
          <w:highlight w:val="yellow"/>
        </w:rPr>
        <w:t>2</w:t>
      </w:r>
      <w:r w:rsidRPr="00DA5392">
        <w:rPr>
          <w:color w:val="000000" w:themeColor="text1"/>
          <w:highlight w:val="yellow"/>
        </w:rPr>
        <w:t>. Load 20 µL of the diluted cell suspension into the counting chamber. Quantify the cell number using an automated cell counter.</w:t>
      </w:r>
    </w:p>
    <w:p w14:paraId="740F5B9E" w14:textId="77777777" w:rsidR="000E52B8" w:rsidRPr="00DA5392" w:rsidRDefault="000E52B8" w:rsidP="00905C20">
      <w:pPr>
        <w:spacing w:line="0" w:lineRule="atLeast"/>
        <w:rPr>
          <w:color w:val="000000" w:themeColor="text1"/>
          <w:highlight w:val="yellow"/>
        </w:rPr>
      </w:pPr>
    </w:p>
    <w:p w14:paraId="26168341" w14:textId="7C1DE2F0" w:rsidR="00E16258" w:rsidRPr="00905C20" w:rsidRDefault="009E6662" w:rsidP="00905C20">
      <w:pPr>
        <w:spacing w:line="0" w:lineRule="atLeast"/>
        <w:rPr>
          <w:color w:val="000000" w:themeColor="text1"/>
        </w:rPr>
      </w:pPr>
      <w:r w:rsidRPr="00DA5392">
        <w:rPr>
          <w:color w:val="000000" w:themeColor="text1"/>
          <w:highlight w:val="yellow"/>
        </w:rPr>
        <w:t>1.1</w:t>
      </w:r>
      <w:r w:rsidR="00022947" w:rsidRPr="00DA5392">
        <w:rPr>
          <w:color w:val="000000" w:themeColor="text1"/>
          <w:highlight w:val="yellow"/>
        </w:rPr>
        <w:t>3</w:t>
      </w:r>
      <w:r w:rsidRPr="00DA5392">
        <w:rPr>
          <w:color w:val="000000" w:themeColor="text1"/>
          <w:highlight w:val="yellow"/>
        </w:rPr>
        <w:t xml:space="preserve">. </w:t>
      </w:r>
      <w:r w:rsidR="00AC6BE0" w:rsidRPr="00DA5392">
        <w:rPr>
          <w:color w:val="000000" w:themeColor="text1"/>
          <w:highlight w:val="yellow"/>
        </w:rPr>
        <w:t>Set up TC20 Automated Cell Counter</w:t>
      </w:r>
      <w:r w:rsidR="00E16258" w:rsidRPr="00DA5392">
        <w:rPr>
          <w:color w:val="000000" w:themeColor="text1"/>
          <w:highlight w:val="yellow"/>
        </w:rPr>
        <w:t>,</w:t>
      </w:r>
      <w:r w:rsidR="00AC6BE0" w:rsidRPr="00DA5392">
        <w:rPr>
          <w:color w:val="000000" w:themeColor="text1"/>
          <w:highlight w:val="yellow"/>
        </w:rPr>
        <w:t xml:space="preserve"> </w:t>
      </w:r>
      <w:r w:rsidR="00E20B1F" w:rsidRPr="00DA5392">
        <w:rPr>
          <w:color w:val="000000" w:themeColor="text1"/>
          <w:highlight w:val="yellow"/>
        </w:rPr>
        <w:t>select cell size gating from 4–12 µm</w:t>
      </w:r>
      <w:r w:rsidR="00AC6BE0" w:rsidRPr="00DA5392">
        <w:rPr>
          <w:color w:val="000000" w:themeColor="text1"/>
          <w:highlight w:val="yellow"/>
        </w:rPr>
        <w:t xml:space="preserve">, and count cell </w:t>
      </w:r>
      <w:r w:rsidR="000E3F58" w:rsidRPr="00DA5392">
        <w:rPr>
          <w:color w:val="000000" w:themeColor="text1"/>
          <w:highlight w:val="yellow"/>
        </w:rPr>
        <w:t>concentration</w:t>
      </w:r>
      <w:r w:rsidR="00AC6BE0" w:rsidRPr="00DA5392">
        <w:rPr>
          <w:color w:val="000000" w:themeColor="text1"/>
          <w:highlight w:val="yellow"/>
        </w:rPr>
        <w:t>.</w:t>
      </w:r>
      <w:r w:rsidR="00AC6BE0" w:rsidRPr="00905C20">
        <w:rPr>
          <w:color w:val="000000" w:themeColor="text1"/>
        </w:rPr>
        <w:t xml:space="preserve"> </w:t>
      </w:r>
    </w:p>
    <w:p w14:paraId="12C4057B" w14:textId="77777777" w:rsidR="00E16258" w:rsidRPr="00905C20" w:rsidRDefault="00E16258" w:rsidP="00905C20">
      <w:pPr>
        <w:spacing w:line="0" w:lineRule="atLeast"/>
        <w:rPr>
          <w:color w:val="000000" w:themeColor="text1"/>
        </w:rPr>
      </w:pPr>
    </w:p>
    <w:p w14:paraId="0C3AB1D1" w14:textId="59268E10" w:rsidR="000E52B8" w:rsidRPr="00905C20" w:rsidRDefault="00E16258" w:rsidP="00905C20">
      <w:pPr>
        <w:spacing w:line="0" w:lineRule="atLeast"/>
        <w:rPr>
          <w:color w:val="000000" w:themeColor="text1"/>
        </w:rPr>
      </w:pPr>
      <w:r w:rsidRPr="00905C20">
        <w:rPr>
          <w:color w:val="000000" w:themeColor="text1"/>
        </w:rPr>
        <w:t>N</w:t>
      </w:r>
      <w:r w:rsidR="00037639" w:rsidRPr="00905C20">
        <w:rPr>
          <w:color w:val="000000" w:themeColor="text1"/>
        </w:rPr>
        <w:t>OTE</w:t>
      </w:r>
      <w:r w:rsidRPr="00905C20">
        <w:rPr>
          <w:color w:val="000000" w:themeColor="text1"/>
        </w:rPr>
        <w:t xml:space="preserve">: </w:t>
      </w:r>
      <w:r w:rsidR="00037639" w:rsidRPr="00905C20">
        <w:rPr>
          <w:color w:val="000000" w:themeColor="text1"/>
        </w:rPr>
        <w:t>Cord blood units are freshly collected with high viability (≥95%)</w:t>
      </w:r>
      <w:r w:rsidRPr="00905C20">
        <w:rPr>
          <w:color w:val="000000" w:themeColor="text1"/>
        </w:rPr>
        <w:t xml:space="preserve">. There is no need to test cell viability. </w:t>
      </w:r>
    </w:p>
    <w:p w14:paraId="42C44451" w14:textId="77777777" w:rsidR="000E52B8" w:rsidRPr="00905C20" w:rsidRDefault="000E52B8" w:rsidP="00905C20">
      <w:pPr>
        <w:spacing w:line="0" w:lineRule="atLeast"/>
        <w:rPr>
          <w:color w:val="000000" w:themeColor="text1"/>
        </w:rPr>
      </w:pPr>
    </w:p>
    <w:p w14:paraId="7E7DA366" w14:textId="08EAA988" w:rsidR="000E52B8" w:rsidRPr="00905C20" w:rsidRDefault="009E6662" w:rsidP="00905C20">
      <w:pPr>
        <w:spacing w:line="0" w:lineRule="atLeast"/>
        <w:rPr>
          <w:color w:val="000000" w:themeColor="text1"/>
        </w:rPr>
      </w:pPr>
      <w:r w:rsidRPr="001E4FAA">
        <w:rPr>
          <w:color w:val="000000" w:themeColor="text1"/>
          <w:highlight w:val="yellow"/>
        </w:rPr>
        <w:t>1.1</w:t>
      </w:r>
      <w:r w:rsidR="00022947" w:rsidRPr="001E4FAA">
        <w:rPr>
          <w:color w:val="000000" w:themeColor="text1"/>
          <w:highlight w:val="yellow"/>
        </w:rPr>
        <w:t>4</w:t>
      </w:r>
      <w:r w:rsidRPr="001E4FAA">
        <w:rPr>
          <w:color w:val="000000" w:themeColor="text1"/>
          <w:highlight w:val="yellow"/>
        </w:rPr>
        <w:t xml:space="preserve">. Seed the mononuclear cells into each layer of the </w:t>
      </w:r>
      <w:r w:rsidR="0054263D" w:rsidRPr="001E4FAA">
        <w:rPr>
          <w:color w:val="000000" w:themeColor="text1"/>
          <w:highlight w:val="yellow"/>
        </w:rPr>
        <w:t xml:space="preserve">SCE </w:t>
      </w:r>
      <w:r w:rsidRPr="001E4FAA">
        <w:rPr>
          <w:color w:val="000000" w:themeColor="text1"/>
          <w:highlight w:val="yellow"/>
        </w:rPr>
        <w:t xml:space="preserve">device (12-layer immune-education culture device) at 3–4 mL per layer. Add 25 mL of chemically defined serum-free cell culture medium to each layer. Use </w:t>
      </w:r>
      <w:r w:rsidR="00283DE9" w:rsidRPr="001E4FAA">
        <w:rPr>
          <w:color w:val="000000" w:themeColor="text1"/>
          <w:highlight w:val="yellow"/>
        </w:rPr>
        <w:sym w:font="Symbol" w:char="F0B3"/>
      </w:r>
      <w:r w:rsidR="00283DE9" w:rsidRPr="001E4FAA">
        <w:rPr>
          <w:color w:val="000000" w:themeColor="text1"/>
          <w:highlight w:val="yellow"/>
        </w:rPr>
        <w:t xml:space="preserve"> </w:t>
      </w:r>
      <w:r w:rsidRPr="001E4FAA">
        <w:rPr>
          <w:color w:val="000000" w:themeColor="text1"/>
          <w:highlight w:val="yellow"/>
        </w:rPr>
        <w:t>240 × 10</w:t>
      </w:r>
      <w:r w:rsidRPr="001E4FAA">
        <w:rPr>
          <w:color w:val="000000" w:themeColor="text1"/>
          <w:highlight w:val="yellow"/>
          <w:vertAlign w:val="superscript"/>
        </w:rPr>
        <w:t>6</w:t>
      </w:r>
      <w:r w:rsidRPr="001E4FAA">
        <w:rPr>
          <w:color w:val="000000" w:themeColor="text1"/>
          <w:highlight w:val="yellow"/>
        </w:rPr>
        <w:t xml:space="preserve"> total nucleated cells (TNC) for preparation of one 12-layer device.</w:t>
      </w:r>
    </w:p>
    <w:p w14:paraId="34F2874D" w14:textId="77777777" w:rsidR="000E52B8" w:rsidRPr="00905C20" w:rsidRDefault="000E52B8" w:rsidP="00905C20">
      <w:pPr>
        <w:spacing w:line="0" w:lineRule="atLeast"/>
        <w:rPr>
          <w:color w:val="000000" w:themeColor="text1"/>
        </w:rPr>
      </w:pPr>
    </w:p>
    <w:p w14:paraId="573D6991" w14:textId="1F210827" w:rsidR="000E52B8" w:rsidRPr="00905C20" w:rsidRDefault="009E6662" w:rsidP="00905C20">
      <w:pPr>
        <w:spacing w:line="0" w:lineRule="atLeast"/>
        <w:rPr>
          <w:color w:val="000000" w:themeColor="text1"/>
        </w:rPr>
      </w:pPr>
      <w:r w:rsidRPr="00DA5392">
        <w:rPr>
          <w:color w:val="000000" w:themeColor="text1"/>
          <w:highlight w:val="yellow"/>
        </w:rPr>
        <w:t>1.1</w:t>
      </w:r>
      <w:r w:rsidR="00022947" w:rsidRPr="00DA5392">
        <w:rPr>
          <w:color w:val="000000" w:themeColor="text1"/>
          <w:highlight w:val="yellow"/>
        </w:rPr>
        <w:t>5</w:t>
      </w:r>
      <w:r w:rsidRPr="00DA5392">
        <w:rPr>
          <w:color w:val="000000" w:themeColor="text1"/>
          <w:highlight w:val="yellow"/>
        </w:rPr>
        <w:t xml:space="preserve">. </w:t>
      </w:r>
      <w:r w:rsidR="00A34BFB" w:rsidRPr="00DA5392">
        <w:rPr>
          <w:color w:val="000000" w:themeColor="text1"/>
          <w:highlight w:val="yellow"/>
        </w:rPr>
        <w:t>Target 20–40 × 10⁶ cord blood mononuclear cells per layer</w:t>
      </w:r>
      <w:r w:rsidR="00F12414" w:rsidRPr="00DA5392">
        <w:rPr>
          <w:color w:val="000000" w:themeColor="text1"/>
          <w:highlight w:val="yellow"/>
        </w:rPr>
        <w:t>.</w:t>
      </w:r>
      <w:r w:rsidR="00F12414" w:rsidRPr="00905C20">
        <w:rPr>
          <w:color w:val="000000" w:themeColor="text1"/>
        </w:rPr>
        <w:t xml:space="preserve"> </w:t>
      </w:r>
    </w:p>
    <w:p w14:paraId="6A07BC49" w14:textId="77777777" w:rsidR="000E52B8" w:rsidRPr="00905C20" w:rsidRDefault="000E52B8" w:rsidP="00905C20">
      <w:pPr>
        <w:spacing w:line="0" w:lineRule="atLeast"/>
        <w:rPr>
          <w:color w:val="000000" w:themeColor="text1"/>
        </w:rPr>
      </w:pPr>
    </w:p>
    <w:p w14:paraId="45CF29D7" w14:textId="0463B8B1" w:rsidR="000E52B8" w:rsidRPr="00905C20" w:rsidRDefault="009E6662" w:rsidP="00905C20">
      <w:pPr>
        <w:spacing w:line="0" w:lineRule="atLeast"/>
        <w:rPr>
          <w:color w:val="000000" w:themeColor="text1"/>
        </w:rPr>
      </w:pPr>
      <w:r w:rsidRPr="001E4FAA">
        <w:rPr>
          <w:color w:val="000000" w:themeColor="text1"/>
          <w:highlight w:val="yellow"/>
        </w:rPr>
        <w:t>1.1</w:t>
      </w:r>
      <w:r w:rsidR="00022947" w:rsidRPr="001E4FAA">
        <w:rPr>
          <w:color w:val="000000" w:themeColor="text1"/>
          <w:highlight w:val="yellow"/>
        </w:rPr>
        <w:t>6</w:t>
      </w:r>
      <w:r w:rsidRPr="001E4FAA">
        <w:rPr>
          <w:color w:val="000000" w:themeColor="text1"/>
          <w:highlight w:val="yellow"/>
        </w:rPr>
        <w:t xml:space="preserve">. Incubate the 12-layer immune-education culture device at 37°C under 8% CO₂ for 10–14 days until the CB-SC reach </w:t>
      </w:r>
      <w:r w:rsidR="00283DE9" w:rsidRPr="001E4FAA">
        <w:rPr>
          <w:color w:val="000000" w:themeColor="text1"/>
          <w:highlight w:val="yellow"/>
        </w:rPr>
        <w:sym w:font="Symbol" w:char="F0B3"/>
      </w:r>
      <w:r w:rsidR="00283DE9" w:rsidRPr="001E4FAA">
        <w:rPr>
          <w:color w:val="000000" w:themeColor="text1"/>
          <w:highlight w:val="yellow"/>
        </w:rPr>
        <w:t xml:space="preserve"> </w:t>
      </w:r>
      <w:r w:rsidRPr="001E4FAA">
        <w:rPr>
          <w:color w:val="000000" w:themeColor="text1"/>
          <w:highlight w:val="yellow"/>
        </w:rPr>
        <w:t>80% confluence.</w:t>
      </w:r>
    </w:p>
    <w:p w14:paraId="3784F778" w14:textId="77777777" w:rsidR="000E52B8" w:rsidRPr="00905C20" w:rsidRDefault="000E52B8" w:rsidP="00905C20">
      <w:pPr>
        <w:spacing w:line="0" w:lineRule="atLeast"/>
        <w:rPr>
          <w:color w:val="000000" w:themeColor="text1"/>
        </w:rPr>
      </w:pPr>
    </w:p>
    <w:p w14:paraId="031692AF" w14:textId="5EB7C3CA" w:rsidR="000E52B8" w:rsidRPr="00905C20" w:rsidRDefault="009E6662" w:rsidP="00905C20">
      <w:pPr>
        <w:spacing w:line="0" w:lineRule="atLeast"/>
        <w:rPr>
          <w:color w:val="000000" w:themeColor="text1"/>
        </w:rPr>
      </w:pPr>
      <w:r w:rsidRPr="00DA5392">
        <w:rPr>
          <w:color w:val="000000" w:themeColor="text1"/>
          <w:highlight w:val="yellow"/>
        </w:rPr>
        <w:t>1.1</w:t>
      </w:r>
      <w:r w:rsidR="00022947" w:rsidRPr="00DA5392">
        <w:rPr>
          <w:color w:val="000000" w:themeColor="text1"/>
          <w:highlight w:val="yellow"/>
        </w:rPr>
        <w:t>7</w:t>
      </w:r>
      <w:r w:rsidRPr="00DA5392">
        <w:rPr>
          <w:color w:val="000000" w:themeColor="text1"/>
          <w:highlight w:val="yellow"/>
        </w:rPr>
        <w:t xml:space="preserve">. </w:t>
      </w:r>
      <w:r w:rsidR="00EF0190" w:rsidRPr="00DA5392">
        <w:rPr>
          <w:color w:val="000000" w:themeColor="text1"/>
          <w:highlight w:val="yellow"/>
        </w:rPr>
        <w:t>Do not change the medium during the 10–14-day incubation</w:t>
      </w:r>
      <w:r w:rsidR="00CC55C2" w:rsidRPr="00DA5392">
        <w:rPr>
          <w:color w:val="000000" w:themeColor="text1"/>
          <w:highlight w:val="yellow"/>
        </w:rPr>
        <w:t xml:space="preserve">. Add </w:t>
      </w:r>
      <w:r w:rsidR="00D92182" w:rsidRPr="00DA5392">
        <w:rPr>
          <w:color w:val="000000" w:themeColor="text1"/>
          <w:highlight w:val="yellow"/>
        </w:rPr>
        <w:t xml:space="preserve">20 mL medium/layer </w:t>
      </w:r>
      <w:r w:rsidR="00CC55C2" w:rsidRPr="00DA5392">
        <w:rPr>
          <w:color w:val="000000" w:themeColor="text1"/>
          <w:highlight w:val="yellow"/>
        </w:rPr>
        <w:t xml:space="preserve">to keep CB-SC at good viability </w:t>
      </w:r>
      <w:r w:rsidR="00EF0190" w:rsidRPr="00DA5392">
        <w:rPr>
          <w:color w:val="000000" w:themeColor="text1"/>
          <w:highlight w:val="yellow"/>
        </w:rPr>
        <w:t>if the SCE cannot be used for clinical treatment within 20 days after the start of incubation</w:t>
      </w:r>
      <w:r w:rsidR="00CC55C2" w:rsidRPr="00DA5392">
        <w:rPr>
          <w:color w:val="000000" w:themeColor="text1"/>
          <w:highlight w:val="yellow"/>
        </w:rPr>
        <w:t>.</w:t>
      </w:r>
      <w:r w:rsidR="00CC55C2" w:rsidRPr="00905C20">
        <w:rPr>
          <w:color w:val="000000" w:themeColor="text1"/>
        </w:rPr>
        <w:t xml:space="preserve"> </w:t>
      </w:r>
    </w:p>
    <w:p w14:paraId="1406001F" w14:textId="77777777" w:rsidR="000E52B8" w:rsidRPr="00905C20" w:rsidRDefault="000E52B8" w:rsidP="00905C20">
      <w:pPr>
        <w:spacing w:line="0" w:lineRule="atLeast"/>
        <w:rPr>
          <w:color w:val="000000" w:themeColor="text1"/>
        </w:rPr>
      </w:pPr>
    </w:p>
    <w:p w14:paraId="453F4FC0" w14:textId="39D8DCDE" w:rsidR="000E52B8" w:rsidRPr="00905C20" w:rsidRDefault="009E6662" w:rsidP="00905C20">
      <w:pPr>
        <w:spacing w:line="0" w:lineRule="atLeast"/>
        <w:rPr>
          <w:color w:val="000000" w:themeColor="text1"/>
        </w:rPr>
      </w:pPr>
      <w:r w:rsidRPr="00DA5392">
        <w:rPr>
          <w:color w:val="000000" w:themeColor="text1"/>
          <w:highlight w:val="yellow"/>
        </w:rPr>
        <w:t>1.</w:t>
      </w:r>
      <w:r w:rsidR="00022947" w:rsidRPr="00DA5392">
        <w:rPr>
          <w:color w:val="000000" w:themeColor="text1"/>
          <w:highlight w:val="yellow"/>
        </w:rPr>
        <w:t>18</w:t>
      </w:r>
      <w:r w:rsidRPr="00DA5392">
        <w:rPr>
          <w:color w:val="000000" w:themeColor="text1"/>
          <w:highlight w:val="yellow"/>
        </w:rPr>
        <w:t xml:space="preserve">. </w:t>
      </w:r>
      <w:r w:rsidR="00283DE9" w:rsidRPr="00DA5392">
        <w:rPr>
          <w:color w:val="000000" w:themeColor="text1"/>
          <w:highlight w:val="yellow"/>
        </w:rPr>
        <w:t xml:space="preserve">Observe the CB-SC cultures under the microscope, randomly count the cell confluence from five fields (center, left, top, right and bottom of top layer), and then calculate the average of cell confluence. SCE will be ready for clinical treatment once the CB-SC reach </w:t>
      </w:r>
      <w:r w:rsidR="00283DE9" w:rsidRPr="00DA5392">
        <w:rPr>
          <w:color w:val="000000" w:themeColor="text1"/>
          <w:highlight w:val="yellow"/>
        </w:rPr>
        <w:sym w:font="Symbol" w:char="F0B3"/>
      </w:r>
      <w:r w:rsidR="00283DE9" w:rsidRPr="00DA5392">
        <w:rPr>
          <w:color w:val="000000" w:themeColor="text1"/>
          <w:highlight w:val="yellow"/>
        </w:rPr>
        <w:t xml:space="preserve"> 80% confluence.</w:t>
      </w:r>
      <w:r w:rsidR="00283DE9" w:rsidRPr="00905C20">
        <w:rPr>
          <w:color w:val="000000" w:themeColor="text1"/>
        </w:rPr>
        <w:t xml:space="preserve"> </w:t>
      </w:r>
    </w:p>
    <w:p w14:paraId="28E342DB" w14:textId="77777777" w:rsidR="000E52B8" w:rsidRPr="00905C20" w:rsidRDefault="000E52B8" w:rsidP="00905C20">
      <w:pPr>
        <w:spacing w:line="0" w:lineRule="atLeast"/>
        <w:rPr>
          <w:color w:val="000000" w:themeColor="text1"/>
        </w:rPr>
      </w:pPr>
    </w:p>
    <w:p w14:paraId="318897B0" w14:textId="620DB5AC" w:rsidR="000E52B8" w:rsidRPr="00DA5392" w:rsidRDefault="009E6662" w:rsidP="00905C20">
      <w:pPr>
        <w:spacing w:line="0" w:lineRule="atLeast"/>
        <w:rPr>
          <w:color w:val="000000" w:themeColor="text1"/>
          <w:highlight w:val="yellow"/>
        </w:rPr>
      </w:pPr>
      <w:r w:rsidRPr="00DA5392">
        <w:rPr>
          <w:color w:val="000000" w:themeColor="text1"/>
          <w:highlight w:val="yellow"/>
        </w:rPr>
        <w:t>1.</w:t>
      </w:r>
      <w:r w:rsidR="00022947" w:rsidRPr="00DA5392">
        <w:rPr>
          <w:color w:val="000000" w:themeColor="text1"/>
          <w:highlight w:val="yellow"/>
        </w:rPr>
        <w:t>19</w:t>
      </w:r>
      <w:r w:rsidRPr="00DA5392">
        <w:rPr>
          <w:color w:val="000000" w:themeColor="text1"/>
          <w:highlight w:val="yellow"/>
        </w:rPr>
        <w:t>. Using a 10 mL syringe, inoculate 9 mL of the 1:30 diluted suspension into each BD BACTEC aerobic and anaerobic sterility-test bottle (commercial blood-culture bottles).</w:t>
      </w:r>
    </w:p>
    <w:p w14:paraId="60300364" w14:textId="77777777" w:rsidR="000E52B8" w:rsidRPr="00DA5392" w:rsidRDefault="000E52B8" w:rsidP="00905C20">
      <w:pPr>
        <w:spacing w:line="0" w:lineRule="atLeast"/>
        <w:rPr>
          <w:color w:val="000000" w:themeColor="text1"/>
          <w:highlight w:val="yellow"/>
        </w:rPr>
      </w:pPr>
    </w:p>
    <w:p w14:paraId="2CFF05F8" w14:textId="3CB4D54C" w:rsidR="000E52B8" w:rsidRPr="00905C20" w:rsidRDefault="009E6662" w:rsidP="00905C20">
      <w:pPr>
        <w:spacing w:line="0" w:lineRule="atLeast"/>
        <w:rPr>
          <w:color w:val="000000" w:themeColor="text1"/>
        </w:rPr>
      </w:pPr>
      <w:r w:rsidRPr="00DA5392">
        <w:rPr>
          <w:color w:val="000000" w:themeColor="text1"/>
          <w:highlight w:val="yellow"/>
        </w:rPr>
        <w:t>1.2</w:t>
      </w:r>
      <w:r w:rsidR="00022947" w:rsidRPr="00DA5392">
        <w:rPr>
          <w:color w:val="000000" w:themeColor="text1"/>
          <w:highlight w:val="yellow"/>
        </w:rPr>
        <w:t>0</w:t>
      </w:r>
      <w:r w:rsidRPr="00DA5392">
        <w:rPr>
          <w:color w:val="000000" w:themeColor="text1"/>
          <w:highlight w:val="yellow"/>
        </w:rPr>
        <w:t>. Load the sterility-test bottles into the BD BACTEC FX40 automated blood culture system (automated sterility-testing system) and perform sterility testing for 14 days.</w:t>
      </w:r>
    </w:p>
    <w:p w14:paraId="4E94D17C" w14:textId="77777777" w:rsidR="000E52B8" w:rsidRPr="00905C20" w:rsidRDefault="000E52B8" w:rsidP="00905C20">
      <w:pPr>
        <w:spacing w:line="0" w:lineRule="atLeast"/>
        <w:rPr>
          <w:color w:val="000000" w:themeColor="text1"/>
        </w:rPr>
      </w:pPr>
    </w:p>
    <w:p w14:paraId="3E356C72" w14:textId="0C4DD9DD" w:rsidR="000E52B8" w:rsidRPr="00905C20" w:rsidRDefault="009E6662" w:rsidP="00905C20">
      <w:pPr>
        <w:spacing w:line="0" w:lineRule="atLeast"/>
        <w:rPr>
          <w:color w:val="000000" w:themeColor="text1"/>
        </w:rPr>
      </w:pPr>
      <w:r w:rsidRPr="00DA5392">
        <w:rPr>
          <w:color w:val="000000" w:themeColor="text1"/>
          <w:highlight w:val="yellow"/>
        </w:rPr>
        <w:t>1.2</w:t>
      </w:r>
      <w:r w:rsidR="00022947" w:rsidRPr="00DA5392">
        <w:rPr>
          <w:color w:val="000000" w:themeColor="text1"/>
          <w:highlight w:val="yellow"/>
        </w:rPr>
        <w:t>1</w:t>
      </w:r>
      <w:r w:rsidRPr="00DA5392">
        <w:rPr>
          <w:color w:val="000000" w:themeColor="text1"/>
          <w:highlight w:val="yellow"/>
        </w:rPr>
        <w:t xml:space="preserve">. </w:t>
      </w:r>
      <w:r w:rsidR="007B1376" w:rsidRPr="00DA5392">
        <w:rPr>
          <w:color w:val="000000" w:themeColor="text1"/>
          <w:highlight w:val="yellow"/>
        </w:rPr>
        <w:t>The SCE product will be used for clinical treatment only if the sterility test results are negative after 14 days of incubation. If any bottle tests positive for microbial contamination, the entire SCE product will be discarded and will not be used for clinical treatment.</w:t>
      </w:r>
      <w:r w:rsidR="007B1376" w:rsidRPr="00905C20">
        <w:rPr>
          <w:color w:val="000000" w:themeColor="text1"/>
        </w:rPr>
        <w:t xml:space="preserve"> </w:t>
      </w:r>
    </w:p>
    <w:p w14:paraId="228E288F" w14:textId="77777777" w:rsidR="000E52B8" w:rsidRPr="00905C20" w:rsidRDefault="000E52B8" w:rsidP="00905C20">
      <w:pPr>
        <w:spacing w:line="0" w:lineRule="atLeast"/>
        <w:rPr>
          <w:color w:val="000000" w:themeColor="text1"/>
        </w:rPr>
      </w:pPr>
    </w:p>
    <w:p w14:paraId="42B6B2F1" w14:textId="77777777" w:rsidR="000E52B8" w:rsidRPr="00905C20" w:rsidRDefault="009E6662" w:rsidP="00905C20">
      <w:pPr>
        <w:spacing w:line="0" w:lineRule="atLeast"/>
        <w:rPr>
          <w:b/>
          <w:bCs/>
          <w:color w:val="000000" w:themeColor="text1"/>
        </w:rPr>
      </w:pPr>
      <w:r w:rsidRPr="00905C20">
        <w:rPr>
          <w:b/>
          <w:bCs/>
          <w:color w:val="000000" w:themeColor="text1"/>
        </w:rPr>
        <w:t>2. Peripheral blood vessel access and cannulation</w:t>
      </w:r>
    </w:p>
    <w:p w14:paraId="75FB9BD8" w14:textId="77777777" w:rsidR="000E52B8" w:rsidRPr="00905C20" w:rsidRDefault="000E52B8" w:rsidP="00905C20">
      <w:pPr>
        <w:spacing w:line="0" w:lineRule="atLeast"/>
        <w:rPr>
          <w:color w:val="000000" w:themeColor="text1"/>
        </w:rPr>
      </w:pPr>
    </w:p>
    <w:p w14:paraId="50969492" w14:textId="77777777" w:rsidR="000E52B8" w:rsidRPr="00905C20" w:rsidRDefault="009E6662" w:rsidP="00905C20">
      <w:pPr>
        <w:spacing w:line="0" w:lineRule="atLeast"/>
        <w:rPr>
          <w:color w:val="000000" w:themeColor="text1"/>
        </w:rPr>
      </w:pPr>
      <w:r w:rsidRPr="00905C20">
        <w:rPr>
          <w:color w:val="000000" w:themeColor="text1"/>
        </w:rPr>
        <w:t xml:space="preserve">NOTE: Perform peripheral blood vessel access and cannulation before apheresis. Perform this as a clean procedure using sterile draping to minimize field contamination; the degree of sterile </w:t>
      </w:r>
      <w:r w:rsidRPr="00905C20">
        <w:rPr>
          <w:color w:val="000000" w:themeColor="text1"/>
        </w:rPr>
        <w:lastRenderedPageBreak/>
        <w:t>preparation required for central venous catheter insertion is not required.</w:t>
      </w:r>
    </w:p>
    <w:p w14:paraId="3BCE7C7B" w14:textId="77777777" w:rsidR="000E52B8" w:rsidRPr="00905C20" w:rsidRDefault="000E52B8" w:rsidP="00905C20">
      <w:pPr>
        <w:spacing w:line="0" w:lineRule="atLeast"/>
        <w:rPr>
          <w:color w:val="000000" w:themeColor="text1"/>
        </w:rPr>
      </w:pPr>
    </w:p>
    <w:p w14:paraId="7B8A538C" w14:textId="77777777" w:rsidR="000E52B8" w:rsidRPr="00905C20" w:rsidRDefault="009E6662" w:rsidP="00905C20">
      <w:pPr>
        <w:spacing w:line="0" w:lineRule="atLeast"/>
        <w:rPr>
          <w:color w:val="000000" w:themeColor="text1"/>
        </w:rPr>
      </w:pPr>
      <w:r w:rsidRPr="00905C20">
        <w:rPr>
          <w:color w:val="000000" w:themeColor="text1"/>
        </w:rPr>
        <w:t>2.1. Prepare the tray</w:t>
      </w:r>
    </w:p>
    <w:p w14:paraId="04B40C09" w14:textId="77777777" w:rsidR="000E52B8" w:rsidRPr="00905C20" w:rsidRDefault="000E52B8" w:rsidP="00905C20">
      <w:pPr>
        <w:spacing w:line="0" w:lineRule="atLeast"/>
        <w:rPr>
          <w:color w:val="000000" w:themeColor="text1"/>
        </w:rPr>
      </w:pPr>
    </w:p>
    <w:p w14:paraId="0A3E7796" w14:textId="77777777" w:rsidR="000E52B8" w:rsidRPr="00905C20" w:rsidRDefault="009E6662" w:rsidP="00905C20">
      <w:pPr>
        <w:spacing w:line="0" w:lineRule="atLeast"/>
        <w:rPr>
          <w:color w:val="000000" w:themeColor="text1"/>
        </w:rPr>
      </w:pPr>
      <w:r w:rsidRPr="00905C20">
        <w:rPr>
          <w:color w:val="000000" w:themeColor="text1"/>
        </w:rPr>
        <w:t xml:space="preserve">2.1.1. Cover a standard Mayo stand with a disposable absorbent </w:t>
      </w:r>
      <w:proofErr w:type="spellStart"/>
      <w:r w:rsidRPr="00905C20">
        <w:rPr>
          <w:color w:val="000000" w:themeColor="text1"/>
        </w:rPr>
        <w:t>underpad</w:t>
      </w:r>
      <w:proofErr w:type="spellEnd"/>
      <w:r w:rsidRPr="00905C20">
        <w:rPr>
          <w:color w:val="000000" w:themeColor="text1"/>
        </w:rPr>
        <w:t>.</w:t>
      </w:r>
    </w:p>
    <w:p w14:paraId="197E5F74" w14:textId="77777777" w:rsidR="000E52B8" w:rsidRPr="00905C20" w:rsidRDefault="000E52B8" w:rsidP="00905C20">
      <w:pPr>
        <w:spacing w:line="0" w:lineRule="atLeast"/>
        <w:rPr>
          <w:color w:val="000000" w:themeColor="text1"/>
        </w:rPr>
      </w:pPr>
    </w:p>
    <w:p w14:paraId="2020B431" w14:textId="77777777" w:rsidR="000E52B8" w:rsidRPr="00905C20" w:rsidRDefault="009E6662" w:rsidP="00905C20">
      <w:pPr>
        <w:spacing w:line="0" w:lineRule="atLeast"/>
        <w:rPr>
          <w:color w:val="000000" w:themeColor="text1"/>
        </w:rPr>
      </w:pPr>
      <w:r w:rsidRPr="00905C20">
        <w:rPr>
          <w:color w:val="000000" w:themeColor="text1"/>
        </w:rPr>
        <w:t xml:space="preserve">2.1.2. Cover the </w:t>
      </w:r>
      <w:proofErr w:type="spellStart"/>
      <w:r w:rsidRPr="00905C20">
        <w:rPr>
          <w:color w:val="000000" w:themeColor="text1"/>
        </w:rPr>
        <w:t>underpad</w:t>
      </w:r>
      <w:proofErr w:type="spellEnd"/>
      <w:r w:rsidRPr="00905C20">
        <w:rPr>
          <w:color w:val="000000" w:themeColor="text1"/>
        </w:rPr>
        <w:t xml:space="preserve"> with a sterile drape. Maintain the sterility of the upper surface while unfolding the drape.</w:t>
      </w:r>
    </w:p>
    <w:p w14:paraId="21AD877B" w14:textId="77777777" w:rsidR="000E52B8" w:rsidRPr="00905C20" w:rsidRDefault="000E52B8" w:rsidP="00905C20">
      <w:pPr>
        <w:spacing w:line="0" w:lineRule="atLeast"/>
        <w:rPr>
          <w:color w:val="000000" w:themeColor="text1"/>
        </w:rPr>
      </w:pPr>
    </w:p>
    <w:p w14:paraId="19333EB2" w14:textId="77777777" w:rsidR="000E52B8" w:rsidRPr="00905C20" w:rsidRDefault="009E6662" w:rsidP="00905C20">
      <w:pPr>
        <w:spacing w:line="0" w:lineRule="atLeast"/>
        <w:rPr>
          <w:color w:val="000000" w:themeColor="text1"/>
        </w:rPr>
      </w:pPr>
      <w:r w:rsidRPr="00905C20">
        <w:rPr>
          <w:color w:val="000000" w:themeColor="text1"/>
        </w:rPr>
        <w:t>2.1.3. Open the sterile gloves, folded in sterile paper, in the center of the sterile drape. Keep the upper surface of the glove paper sterile.</w:t>
      </w:r>
    </w:p>
    <w:p w14:paraId="5DF8F14D" w14:textId="77777777" w:rsidR="000E52B8" w:rsidRPr="00905C20" w:rsidRDefault="000E52B8" w:rsidP="00905C20">
      <w:pPr>
        <w:spacing w:line="0" w:lineRule="atLeast"/>
        <w:rPr>
          <w:color w:val="000000" w:themeColor="text1"/>
        </w:rPr>
      </w:pPr>
    </w:p>
    <w:p w14:paraId="324E117B" w14:textId="77777777" w:rsidR="000E52B8" w:rsidRPr="00905C20" w:rsidRDefault="009E6662" w:rsidP="00905C20">
      <w:pPr>
        <w:spacing w:line="0" w:lineRule="atLeast"/>
        <w:rPr>
          <w:color w:val="000000" w:themeColor="text1"/>
        </w:rPr>
      </w:pPr>
      <w:r w:rsidRPr="00905C20">
        <w:rPr>
          <w:color w:val="000000" w:themeColor="text1"/>
        </w:rPr>
        <w:t>2.1.4. Place 5–6 separate spots of sterile ultrasound gel onto the side of the sterile glove paper without contaminating the gel.</w:t>
      </w:r>
    </w:p>
    <w:p w14:paraId="780174D8" w14:textId="77777777" w:rsidR="000E52B8" w:rsidRPr="00905C20" w:rsidRDefault="000E52B8" w:rsidP="00905C20">
      <w:pPr>
        <w:spacing w:line="0" w:lineRule="atLeast"/>
        <w:rPr>
          <w:color w:val="000000" w:themeColor="text1"/>
        </w:rPr>
      </w:pPr>
    </w:p>
    <w:p w14:paraId="6AEC8883" w14:textId="77777777" w:rsidR="000E52B8" w:rsidRPr="00905C20" w:rsidRDefault="009E6662" w:rsidP="00905C20">
      <w:pPr>
        <w:spacing w:line="0" w:lineRule="atLeast"/>
        <w:rPr>
          <w:color w:val="000000" w:themeColor="text1"/>
        </w:rPr>
      </w:pPr>
      <w:r w:rsidRPr="00905C20">
        <w:rPr>
          <w:color w:val="000000" w:themeColor="text1"/>
        </w:rPr>
        <w:t>NOTE: Maintain the sterility of the ultrasound gel because it contacts the patient’s skin within the sterile field and is used near the IV needle puncture site.</w:t>
      </w:r>
    </w:p>
    <w:p w14:paraId="0F3E0826" w14:textId="77777777" w:rsidR="000E52B8" w:rsidRPr="00905C20" w:rsidRDefault="000E52B8" w:rsidP="00905C20">
      <w:pPr>
        <w:spacing w:line="0" w:lineRule="atLeast"/>
        <w:rPr>
          <w:color w:val="000000" w:themeColor="text1"/>
        </w:rPr>
      </w:pPr>
    </w:p>
    <w:p w14:paraId="59CB4556" w14:textId="77777777" w:rsidR="000E52B8" w:rsidRPr="00905C20" w:rsidRDefault="009E6662" w:rsidP="00905C20">
      <w:pPr>
        <w:spacing w:line="0" w:lineRule="atLeast"/>
        <w:rPr>
          <w:color w:val="000000" w:themeColor="text1"/>
        </w:rPr>
      </w:pPr>
      <w:r w:rsidRPr="00905C20">
        <w:rPr>
          <w:color w:val="000000" w:themeColor="text1"/>
        </w:rPr>
        <w:t>2.1.5. Place two Tegaderm transparent film dressings onto the sterile field while maintaining sterility.</w:t>
      </w:r>
    </w:p>
    <w:p w14:paraId="662FE289" w14:textId="77777777" w:rsidR="000E52B8" w:rsidRPr="00905C20" w:rsidRDefault="000E52B8" w:rsidP="00905C20">
      <w:pPr>
        <w:spacing w:line="0" w:lineRule="atLeast"/>
        <w:rPr>
          <w:color w:val="000000" w:themeColor="text1"/>
        </w:rPr>
      </w:pPr>
    </w:p>
    <w:p w14:paraId="561289FE" w14:textId="77777777" w:rsidR="000E52B8" w:rsidRPr="00905C20" w:rsidRDefault="009E6662" w:rsidP="00905C20">
      <w:pPr>
        <w:spacing w:line="0" w:lineRule="atLeast"/>
        <w:rPr>
          <w:color w:val="000000" w:themeColor="text1"/>
        </w:rPr>
      </w:pPr>
      <w:r w:rsidRPr="00905C20">
        <w:rPr>
          <w:color w:val="000000" w:themeColor="text1"/>
        </w:rPr>
        <w:t>2.1.6. Place two pieces of sterile gauze onto the sterile field.</w:t>
      </w:r>
    </w:p>
    <w:p w14:paraId="2044C884" w14:textId="77777777" w:rsidR="000E52B8" w:rsidRPr="00905C20" w:rsidRDefault="000E52B8" w:rsidP="00905C20">
      <w:pPr>
        <w:spacing w:line="0" w:lineRule="atLeast"/>
        <w:rPr>
          <w:color w:val="000000" w:themeColor="text1"/>
        </w:rPr>
      </w:pPr>
    </w:p>
    <w:p w14:paraId="09CD315F" w14:textId="77777777" w:rsidR="000E52B8" w:rsidRPr="00905C20" w:rsidRDefault="009E6662" w:rsidP="00905C20">
      <w:pPr>
        <w:spacing w:line="0" w:lineRule="atLeast"/>
        <w:rPr>
          <w:color w:val="000000" w:themeColor="text1"/>
        </w:rPr>
      </w:pPr>
      <w:r w:rsidRPr="00905C20">
        <w:rPr>
          <w:color w:val="000000" w:themeColor="text1"/>
        </w:rPr>
        <w:t>2.1.7. Place two sterile insulin syringes for administration of local anesthetic onto the sterile field.</w:t>
      </w:r>
    </w:p>
    <w:p w14:paraId="1FEBAC95" w14:textId="77777777" w:rsidR="000E52B8" w:rsidRPr="00905C20" w:rsidRDefault="000E52B8" w:rsidP="00905C20">
      <w:pPr>
        <w:spacing w:line="0" w:lineRule="atLeast"/>
        <w:rPr>
          <w:color w:val="000000" w:themeColor="text1"/>
        </w:rPr>
      </w:pPr>
    </w:p>
    <w:p w14:paraId="2F4883E8" w14:textId="77777777" w:rsidR="000E52B8" w:rsidRPr="00905C20" w:rsidRDefault="009E6662" w:rsidP="00905C20">
      <w:pPr>
        <w:spacing w:line="0" w:lineRule="atLeast"/>
        <w:rPr>
          <w:color w:val="000000" w:themeColor="text1"/>
        </w:rPr>
      </w:pPr>
      <w:r w:rsidRPr="00905C20">
        <w:rPr>
          <w:color w:val="000000" w:themeColor="text1"/>
        </w:rPr>
        <w:t>2.2. Prepare the arm and ultrasound probe for cannulation</w:t>
      </w:r>
    </w:p>
    <w:p w14:paraId="0BF92277" w14:textId="77777777" w:rsidR="000E52B8" w:rsidRPr="00905C20" w:rsidRDefault="000E52B8" w:rsidP="00905C20">
      <w:pPr>
        <w:spacing w:line="0" w:lineRule="atLeast"/>
        <w:rPr>
          <w:color w:val="000000" w:themeColor="text1"/>
        </w:rPr>
      </w:pPr>
    </w:p>
    <w:p w14:paraId="6FABF822" w14:textId="77777777" w:rsidR="000E52B8" w:rsidRPr="00905C20" w:rsidRDefault="009E6662" w:rsidP="00905C20">
      <w:pPr>
        <w:spacing w:line="0" w:lineRule="atLeast"/>
        <w:rPr>
          <w:color w:val="000000" w:themeColor="text1"/>
        </w:rPr>
      </w:pPr>
      <w:r w:rsidRPr="00905C20">
        <w:rPr>
          <w:color w:val="000000" w:themeColor="text1"/>
        </w:rPr>
        <w:t>2.2.1. Apply a single-use tourniquet to the patient’s arm.</w:t>
      </w:r>
    </w:p>
    <w:p w14:paraId="335B2671" w14:textId="77777777" w:rsidR="000E52B8" w:rsidRPr="00905C20" w:rsidRDefault="000E52B8" w:rsidP="00905C20">
      <w:pPr>
        <w:spacing w:line="0" w:lineRule="atLeast"/>
        <w:rPr>
          <w:color w:val="000000" w:themeColor="text1"/>
        </w:rPr>
      </w:pPr>
    </w:p>
    <w:p w14:paraId="4ADE7AB7" w14:textId="77777777" w:rsidR="000E52B8" w:rsidRPr="00905C20" w:rsidRDefault="009E6662" w:rsidP="00905C20">
      <w:pPr>
        <w:spacing w:line="0" w:lineRule="atLeast"/>
        <w:rPr>
          <w:color w:val="000000" w:themeColor="text1"/>
        </w:rPr>
      </w:pPr>
      <w:r w:rsidRPr="00905C20">
        <w:rPr>
          <w:color w:val="000000" w:themeColor="text1"/>
        </w:rPr>
        <w:t>2.2.2. Don sterile gloves.</w:t>
      </w:r>
    </w:p>
    <w:p w14:paraId="5416AB20" w14:textId="77777777" w:rsidR="000E52B8" w:rsidRPr="00905C20" w:rsidRDefault="000E52B8" w:rsidP="00905C20">
      <w:pPr>
        <w:spacing w:line="0" w:lineRule="atLeast"/>
        <w:rPr>
          <w:color w:val="000000" w:themeColor="text1"/>
        </w:rPr>
      </w:pPr>
    </w:p>
    <w:p w14:paraId="04AFD301" w14:textId="21ABAA82" w:rsidR="000E52B8" w:rsidRPr="00905C20" w:rsidRDefault="009E6662" w:rsidP="00905C20">
      <w:pPr>
        <w:spacing w:line="0" w:lineRule="atLeast"/>
        <w:rPr>
          <w:color w:val="000000" w:themeColor="text1"/>
        </w:rPr>
      </w:pPr>
      <w:r w:rsidRPr="00905C20">
        <w:rPr>
          <w:color w:val="000000" w:themeColor="text1"/>
        </w:rPr>
        <w:t>2.2.3. Ask an assistant to hold the single-use lidocaine vial upside down. Draw 1 mL of local anesthetic into each sterile disposable insulin syringe.</w:t>
      </w:r>
    </w:p>
    <w:p w14:paraId="683E81D0" w14:textId="77777777" w:rsidR="000E52B8" w:rsidRPr="00905C20" w:rsidRDefault="000E52B8" w:rsidP="00905C20">
      <w:pPr>
        <w:spacing w:line="0" w:lineRule="atLeast"/>
        <w:rPr>
          <w:color w:val="000000" w:themeColor="text1"/>
        </w:rPr>
      </w:pPr>
    </w:p>
    <w:p w14:paraId="4106E819" w14:textId="0337A826" w:rsidR="000E52B8" w:rsidRPr="00905C20" w:rsidRDefault="009E6662" w:rsidP="00905C20">
      <w:pPr>
        <w:spacing w:line="0" w:lineRule="atLeast"/>
        <w:rPr>
          <w:color w:val="000000" w:themeColor="text1"/>
        </w:rPr>
      </w:pPr>
      <w:r w:rsidRPr="00905C20">
        <w:rPr>
          <w:color w:val="000000" w:themeColor="text1"/>
        </w:rPr>
        <w:t xml:space="preserve">2.2.4. </w:t>
      </w:r>
      <w:r w:rsidR="00B30790" w:rsidRPr="00905C20">
        <w:rPr>
          <w:color w:val="000000" w:themeColor="text1"/>
        </w:rPr>
        <w:t xml:space="preserve">The concentration of lidocaine is </w:t>
      </w:r>
      <w:r w:rsidR="00E347B4" w:rsidRPr="00905C20">
        <w:rPr>
          <w:color w:val="000000" w:themeColor="text1"/>
        </w:rPr>
        <w:t>2</w:t>
      </w:r>
      <w:r w:rsidR="00B30790" w:rsidRPr="00905C20">
        <w:rPr>
          <w:color w:val="000000" w:themeColor="text1"/>
        </w:rPr>
        <w:t xml:space="preserve">%. </w:t>
      </w:r>
    </w:p>
    <w:p w14:paraId="4102D143" w14:textId="77777777" w:rsidR="000E52B8" w:rsidRPr="00905C20" w:rsidRDefault="000E52B8" w:rsidP="00905C20">
      <w:pPr>
        <w:spacing w:line="0" w:lineRule="atLeast"/>
        <w:rPr>
          <w:color w:val="000000" w:themeColor="text1"/>
        </w:rPr>
      </w:pPr>
    </w:p>
    <w:p w14:paraId="2422CA70" w14:textId="77777777" w:rsidR="000E52B8" w:rsidRPr="00905C20" w:rsidRDefault="009E6662" w:rsidP="00905C20">
      <w:pPr>
        <w:spacing w:line="0" w:lineRule="atLeast"/>
        <w:rPr>
          <w:color w:val="000000" w:themeColor="text1"/>
        </w:rPr>
      </w:pPr>
      <w:r w:rsidRPr="00905C20">
        <w:rPr>
          <w:color w:val="000000" w:themeColor="text1"/>
        </w:rPr>
        <w:t>2.2.5. Disinfect the anticipated cannulation sites using chlorhexidine sterile swabs and cover the area with a sterile fenestrated drape, positioning the opening over the cannulation sites. Allow the chlorhexidine to dry.</w:t>
      </w:r>
    </w:p>
    <w:p w14:paraId="65BCEF05" w14:textId="77777777" w:rsidR="000E52B8" w:rsidRPr="00905C20" w:rsidRDefault="000E52B8" w:rsidP="00905C20">
      <w:pPr>
        <w:spacing w:line="0" w:lineRule="atLeast"/>
        <w:rPr>
          <w:color w:val="000000" w:themeColor="text1"/>
        </w:rPr>
      </w:pPr>
    </w:p>
    <w:p w14:paraId="1C2A85D5" w14:textId="77777777" w:rsidR="000E52B8" w:rsidRPr="00905C20" w:rsidRDefault="009E6662" w:rsidP="00905C20">
      <w:pPr>
        <w:spacing w:line="0" w:lineRule="atLeast"/>
        <w:rPr>
          <w:color w:val="000000" w:themeColor="text1"/>
        </w:rPr>
      </w:pPr>
      <w:r w:rsidRPr="00905C20">
        <w:rPr>
          <w:color w:val="000000" w:themeColor="text1"/>
        </w:rPr>
        <w:t xml:space="preserve">2.2.6. Ask an assistant to sanitize the ultrasound probe using </w:t>
      </w:r>
      <w:proofErr w:type="spellStart"/>
      <w:r w:rsidRPr="00905C20">
        <w:rPr>
          <w:color w:val="000000" w:themeColor="text1"/>
        </w:rPr>
        <w:t>CaviWipes</w:t>
      </w:r>
      <w:proofErr w:type="spellEnd"/>
      <w:r w:rsidRPr="00905C20">
        <w:rPr>
          <w:color w:val="000000" w:themeColor="text1"/>
        </w:rPr>
        <w:t xml:space="preserve"> surface disinfectant and hand the sanitized probe to the operator.</w:t>
      </w:r>
    </w:p>
    <w:p w14:paraId="265D0F40" w14:textId="77777777" w:rsidR="000E52B8" w:rsidRPr="00905C20" w:rsidRDefault="000E52B8" w:rsidP="00905C20">
      <w:pPr>
        <w:spacing w:line="0" w:lineRule="atLeast"/>
        <w:rPr>
          <w:color w:val="000000" w:themeColor="text1"/>
        </w:rPr>
      </w:pPr>
    </w:p>
    <w:p w14:paraId="5B1EE00B" w14:textId="77777777" w:rsidR="000E52B8" w:rsidRPr="00905C20" w:rsidRDefault="009E6662" w:rsidP="00905C20">
      <w:pPr>
        <w:spacing w:line="0" w:lineRule="atLeast"/>
        <w:rPr>
          <w:color w:val="000000" w:themeColor="text1"/>
        </w:rPr>
      </w:pPr>
      <w:r w:rsidRPr="00905C20">
        <w:rPr>
          <w:color w:val="000000" w:themeColor="text1"/>
        </w:rPr>
        <w:t xml:space="preserve">2.2.7. Hold the ultrasound probe in the left hand and dip the probe footprint into one of the </w:t>
      </w:r>
      <w:r w:rsidRPr="00905C20">
        <w:rPr>
          <w:color w:val="000000" w:themeColor="text1"/>
        </w:rPr>
        <w:lastRenderedPageBreak/>
        <w:t>sterile ultrasound gel spots. Do not reuse the gel spot.</w:t>
      </w:r>
    </w:p>
    <w:p w14:paraId="4A85DF03" w14:textId="77777777" w:rsidR="000E52B8" w:rsidRPr="00905C20" w:rsidRDefault="000E52B8" w:rsidP="00905C20">
      <w:pPr>
        <w:spacing w:line="0" w:lineRule="atLeast"/>
        <w:rPr>
          <w:color w:val="000000" w:themeColor="text1"/>
        </w:rPr>
      </w:pPr>
    </w:p>
    <w:p w14:paraId="0CC947D7" w14:textId="77777777" w:rsidR="000E52B8" w:rsidRPr="00905C20" w:rsidRDefault="009E6662" w:rsidP="00905C20">
      <w:pPr>
        <w:spacing w:line="0" w:lineRule="atLeast"/>
        <w:rPr>
          <w:color w:val="000000" w:themeColor="text1"/>
        </w:rPr>
      </w:pPr>
      <w:r w:rsidRPr="00905C20">
        <w:rPr>
          <w:color w:val="000000" w:themeColor="text1"/>
        </w:rPr>
        <w:t>2.2.8. Apply a transparent film dressing to the probe footprint using the right hand to create a sterile ultrasound contact surface.</w:t>
      </w:r>
    </w:p>
    <w:p w14:paraId="20D5BD1A" w14:textId="77777777" w:rsidR="000E52B8" w:rsidRPr="00905C20" w:rsidRDefault="000E52B8" w:rsidP="00905C20">
      <w:pPr>
        <w:spacing w:line="0" w:lineRule="atLeast"/>
        <w:rPr>
          <w:color w:val="000000" w:themeColor="text1"/>
        </w:rPr>
      </w:pPr>
    </w:p>
    <w:p w14:paraId="42C4588D" w14:textId="77777777" w:rsidR="000E52B8" w:rsidRPr="00905C20" w:rsidRDefault="009E6662" w:rsidP="00905C20">
      <w:pPr>
        <w:spacing w:line="0" w:lineRule="atLeast"/>
        <w:rPr>
          <w:color w:val="000000" w:themeColor="text1"/>
        </w:rPr>
      </w:pPr>
      <w:r w:rsidRPr="00905C20">
        <w:rPr>
          <w:color w:val="000000" w:themeColor="text1"/>
        </w:rPr>
        <w:t>2.2.9. Dip the covered ultrasound probe footprint into a new spot of sterile ultrasound gel.</w:t>
      </w:r>
    </w:p>
    <w:p w14:paraId="0185E55B" w14:textId="77777777" w:rsidR="000E52B8" w:rsidRPr="00905C20" w:rsidRDefault="000E52B8" w:rsidP="00905C20">
      <w:pPr>
        <w:spacing w:line="0" w:lineRule="atLeast"/>
        <w:rPr>
          <w:color w:val="000000" w:themeColor="text1"/>
        </w:rPr>
      </w:pPr>
    </w:p>
    <w:p w14:paraId="08BC7628" w14:textId="77777777" w:rsidR="000E52B8" w:rsidRPr="00905C20" w:rsidRDefault="009E6662" w:rsidP="00905C20">
      <w:pPr>
        <w:spacing w:line="0" w:lineRule="atLeast"/>
        <w:rPr>
          <w:color w:val="000000" w:themeColor="text1"/>
        </w:rPr>
      </w:pPr>
      <w:r w:rsidRPr="00905C20">
        <w:rPr>
          <w:color w:val="000000" w:themeColor="text1"/>
        </w:rPr>
        <w:t>2.3. Cannulate the vein</w:t>
      </w:r>
    </w:p>
    <w:p w14:paraId="410D8272" w14:textId="77777777" w:rsidR="000E52B8" w:rsidRPr="00905C20" w:rsidRDefault="000E52B8" w:rsidP="00905C20">
      <w:pPr>
        <w:spacing w:line="0" w:lineRule="atLeast"/>
        <w:rPr>
          <w:color w:val="000000" w:themeColor="text1"/>
        </w:rPr>
      </w:pPr>
    </w:p>
    <w:p w14:paraId="3E52314F" w14:textId="77777777" w:rsidR="000E52B8" w:rsidRPr="00905C20" w:rsidRDefault="009E6662" w:rsidP="00905C20">
      <w:pPr>
        <w:spacing w:line="0" w:lineRule="atLeast"/>
        <w:rPr>
          <w:color w:val="000000" w:themeColor="text1"/>
        </w:rPr>
      </w:pPr>
      <w:r w:rsidRPr="00905C20">
        <w:rPr>
          <w:color w:val="000000" w:themeColor="text1"/>
        </w:rPr>
        <w:t>2.3.1. Ask an assistant to hold the monitor displaying the ultrasound image. Use the ultrasound probe to identify an antecubital vein suitable for cannulation while ensuring that only the sterile ultrasound probe footprint contacts the prepared cannulation site.</w:t>
      </w:r>
    </w:p>
    <w:p w14:paraId="723A766B" w14:textId="77777777" w:rsidR="000E52B8" w:rsidRPr="00905C20" w:rsidRDefault="000E52B8" w:rsidP="00905C20">
      <w:pPr>
        <w:spacing w:line="0" w:lineRule="atLeast"/>
        <w:rPr>
          <w:color w:val="000000" w:themeColor="text1"/>
        </w:rPr>
      </w:pPr>
    </w:p>
    <w:p w14:paraId="47DDD517" w14:textId="77777777" w:rsidR="000E52B8" w:rsidRPr="00905C20" w:rsidRDefault="009E6662" w:rsidP="00905C20">
      <w:pPr>
        <w:spacing w:line="0" w:lineRule="atLeast"/>
        <w:rPr>
          <w:color w:val="000000" w:themeColor="text1"/>
        </w:rPr>
      </w:pPr>
      <w:r w:rsidRPr="00905C20">
        <w:rPr>
          <w:color w:val="000000" w:themeColor="text1"/>
        </w:rPr>
        <w:t xml:space="preserve">2.3.2. Use the </w:t>
      </w:r>
      <w:proofErr w:type="spellStart"/>
      <w:r w:rsidRPr="00905C20">
        <w:rPr>
          <w:color w:val="000000" w:themeColor="text1"/>
        </w:rPr>
        <w:t>predrawn</w:t>
      </w:r>
      <w:proofErr w:type="spellEnd"/>
      <w:r w:rsidRPr="00905C20">
        <w:rPr>
          <w:color w:val="000000" w:themeColor="text1"/>
        </w:rPr>
        <w:t xml:space="preserve"> syringe containing local anesthetic to anesthetize the skin at the cannulation site.</w:t>
      </w:r>
    </w:p>
    <w:p w14:paraId="2444B4B0" w14:textId="77777777" w:rsidR="000E52B8" w:rsidRPr="00905C20" w:rsidRDefault="000E52B8" w:rsidP="00905C20">
      <w:pPr>
        <w:spacing w:line="0" w:lineRule="atLeast"/>
        <w:rPr>
          <w:color w:val="000000" w:themeColor="text1"/>
        </w:rPr>
      </w:pPr>
    </w:p>
    <w:p w14:paraId="7AD49BE6" w14:textId="77777777" w:rsidR="000E52B8" w:rsidRPr="00905C20" w:rsidRDefault="009E6662" w:rsidP="00905C20">
      <w:pPr>
        <w:spacing w:line="0" w:lineRule="atLeast"/>
        <w:rPr>
          <w:color w:val="000000" w:themeColor="text1"/>
        </w:rPr>
      </w:pPr>
      <w:r w:rsidRPr="00905C20">
        <w:rPr>
          <w:color w:val="000000" w:themeColor="text1"/>
        </w:rPr>
        <w:t>2.3.3. Cannulate the vein using a 16 G IV catheter.</w:t>
      </w:r>
    </w:p>
    <w:p w14:paraId="496DD033" w14:textId="77777777" w:rsidR="000E52B8" w:rsidRPr="00905C20" w:rsidRDefault="000E52B8" w:rsidP="00905C20">
      <w:pPr>
        <w:spacing w:line="0" w:lineRule="atLeast"/>
        <w:rPr>
          <w:color w:val="000000" w:themeColor="text1"/>
        </w:rPr>
      </w:pPr>
    </w:p>
    <w:p w14:paraId="14D901EE" w14:textId="77777777" w:rsidR="000E52B8" w:rsidRPr="00905C20" w:rsidRDefault="009E6662" w:rsidP="00905C20">
      <w:pPr>
        <w:spacing w:line="0" w:lineRule="atLeast"/>
        <w:rPr>
          <w:color w:val="000000" w:themeColor="text1"/>
        </w:rPr>
      </w:pPr>
      <w:r w:rsidRPr="00905C20">
        <w:rPr>
          <w:color w:val="000000" w:themeColor="text1"/>
        </w:rPr>
        <w:t>2.3.4. Ask the assistant to remove the tourniquet.</w:t>
      </w:r>
    </w:p>
    <w:p w14:paraId="642BD349" w14:textId="77777777" w:rsidR="000E52B8" w:rsidRPr="00905C20" w:rsidRDefault="000E52B8" w:rsidP="00905C20">
      <w:pPr>
        <w:spacing w:line="0" w:lineRule="atLeast"/>
        <w:rPr>
          <w:color w:val="000000" w:themeColor="text1"/>
        </w:rPr>
      </w:pPr>
    </w:p>
    <w:p w14:paraId="005590D5" w14:textId="77777777" w:rsidR="000E52B8" w:rsidRPr="00905C20" w:rsidRDefault="009E6662" w:rsidP="00905C20">
      <w:pPr>
        <w:spacing w:line="0" w:lineRule="atLeast"/>
        <w:rPr>
          <w:color w:val="000000" w:themeColor="text1"/>
        </w:rPr>
      </w:pPr>
      <w:r w:rsidRPr="00905C20">
        <w:rPr>
          <w:color w:val="000000" w:themeColor="text1"/>
        </w:rPr>
        <w:t>2.3.5. Secure the IV cannula while placing sterile gauze beneath the cannula opening.</w:t>
      </w:r>
    </w:p>
    <w:p w14:paraId="6DA1F1C6" w14:textId="77777777" w:rsidR="000E52B8" w:rsidRPr="00905C20" w:rsidRDefault="000E52B8" w:rsidP="00905C20">
      <w:pPr>
        <w:spacing w:line="0" w:lineRule="atLeast"/>
        <w:rPr>
          <w:color w:val="000000" w:themeColor="text1"/>
        </w:rPr>
      </w:pPr>
    </w:p>
    <w:p w14:paraId="78C5342F" w14:textId="77777777" w:rsidR="000E52B8" w:rsidRPr="00905C20" w:rsidRDefault="009E6662" w:rsidP="00905C20">
      <w:pPr>
        <w:spacing w:line="0" w:lineRule="atLeast"/>
        <w:rPr>
          <w:color w:val="000000" w:themeColor="text1"/>
        </w:rPr>
      </w:pPr>
      <w:r w:rsidRPr="00905C20">
        <w:rPr>
          <w:color w:val="000000" w:themeColor="text1"/>
        </w:rPr>
        <w:t>2.3.6. Clamp the catheter, remove the needle, and immediately connect a flushed needleless connector/extension set.</w:t>
      </w:r>
    </w:p>
    <w:p w14:paraId="406FF605" w14:textId="77777777" w:rsidR="000E52B8" w:rsidRPr="00905C20" w:rsidRDefault="000E52B8" w:rsidP="00905C20">
      <w:pPr>
        <w:spacing w:line="0" w:lineRule="atLeast"/>
        <w:rPr>
          <w:color w:val="000000" w:themeColor="text1"/>
        </w:rPr>
      </w:pPr>
    </w:p>
    <w:p w14:paraId="223DFCE7" w14:textId="77777777" w:rsidR="000E52B8" w:rsidRPr="00905C20" w:rsidRDefault="009E6662" w:rsidP="00905C20">
      <w:pPr>
        <w:spacing w:line="0" w:lineRule="atLeast"/>
        <w:rPr>
          <w:color w:val="000000" w:themeColor="text1"/>
        </w:rPr>
      </w:pPr>
      <w:r w:rsidRPr="00905C20">
        <w:rPr>
          <w:color w:val="000000" w:themeColor="text1"/>
        </w:rPr>
        <w:t>2.3.7. Unclamp the catheter and flush it with 3–5 mL of normal saline using the push-pause method to confirm successful venous access and maintain catheter patency.</w:t>
      </w:r>
    </w:p>
    <w:p w14:paraId="3F1BF0A7" w14:textId="77777777" w:rsidR="000E52B8" w:rsidRPr="00905C20" w:rsidRDefault="000E52B8" w:rsidP="00905C20">
      <w:pPr>
        <w:spacing w:line="0" w:lineRule="atLeast"/>
        <w:rPr>
          <w:color w:val="000000" w:themeColor="text1"/>
        </w:rPr>
      </w:pPr>
    </w:p>
    <w:p w14:paraId="2DEBFC21" w14:textId="77777777" w:rsidR="000E52B8" w:rsidRPr="00905C20" w:rsidRDefault="009E6662" w:rsidP="00905C20">
      <w:pPr>
        <w:spacing w:line="0" w:lineRule="atLeast"/>
        <w:rPr>
          <w:color w:val="000000" w:themeColor="text1"/>
        </w:rPr>
      </w:pPr>
      <w:r w:rsidRPr="00905C20">
        <w:rPr>
          <w:color w:val="000000" w:themeColor="text1"/>
        </w:rPr>
        <w:t>2.3.8. Cover and secure the cannulation site with a transparent film dressing.</w:t>
      </w:r>
    </w:p>
    <w:p w14:paraId="51344013" w14:textId="77777777" w:rsidR="000E52B8" w:rsidRPr="00905C20" w:rsidRDefault="000E52B8" w:rsidP="00905C20">
      <w:pPr>
        <w:spacing w:line="0" w:lineRule="atLeast"/>
        <w:rPr>
          <w:color w:val="000000" w:themeColor="text1"/>
        </w:rPr>
      </w:pPr>
    </w:p>
    <w:p w14:paraId="5C8AFAAF" w14:textId="77777777" w:rsidR="000E52B8" w:rsidRPr="00905C20" w:rsidRDefault="009E6662" w:rsidP="00905C20">
      <w:pPr>
        <w:spacing w:line="0" w:lineRule="atLeast"/>
        <w:rPr>
          <w:color w:val="000000" w:themeColor="text1"/>
        </w:rPr>
      </w:pPr>
      <w:r w:rsidRPr="00905C20">
        <w:rPr>
          <w:color w:val="000000" w:themeColor="text1"/>
        </w:rPr>
        <w:t>2.3.9. Remove the sharps from the sterile field and tray, and dispose of them appropriately. Remove the draping from the patient’s arm.</w:t>
      </w:r>
    </w:p>
    <w:p w14:paraId="5ABFE6FC" w14:textId="77777777" w:rsidR="000E52B8" w:rsidRPr="00905C20" w:rsidRDefault="000E52B8" w:rsidP="00905C20">
      <w:pPr>
        <w:spacing w:line="0" w:lineRule="atLeast"/>
        <w:rPr>
          <w:color w:val="000000" w:themeColor="text1"/>
        </w:rPr>
      </w:pPr>
    </w:p>
    <w:p w14:paraId="0F0D4278" w14:textId="77777777" w:rsidR="000E52B8" w:rsidRPr="00905C20" w:rsidRDefault="009E6662" w:rsidP="00905C20">
      <w:pPr>
        <w:spacing w:line="0" w:lineRule="atLeast"/>
        <w:rPr>
          <w:color w:val="000000" w:themeColor="text1"/>
        </w:rPr>
      </w:pPr>
      <w:r w:rsidRPr="00905C20">
        <w:rPr>
          <w:color w:val="000000" w:themeColor="text1"/>
        </w:rPr>
        <w:t>2.4. Repeat the procedure on the opposite arm</w:t>
      </w:r>
    </w:p>
    <w:p w14:paraId="0ABB9ECF" w14:textId="77777777" w:rsidR="000E52B8" w:rsidRPr="00905C20" w:rsidRDefault="000E52B8" w:rsidP="00905C20">
      <w:pPr>
        <w:spacing w:line="0" w:lineRule="atLeast"/>
        <w:rPr>
          <w:color w:val="000000" w:themeColor="text1"/>
        </w:rPr>
      </w:pPr>
    </w:p>
    <w:p w14:paraId="5AC81AED" w14:textId="77777777" w:rsidR="000E52B8" w:rsidRPr="00905C20" w:rsidRDefault="009E6662" w:rsidP="00905C20">
      <w:pPr>
        <w:spacing w:line="0" w:lineRule="atLeast"/>
        <w:rPr>
          <w:color w:val="000000" w:themeColor="text1"/>
        </w:rPr>
      </w:pPr>
      <w:r w:rsidRPr="00905C20">
        <w:rPr>
          <w:color w:val="000000" w:themeColor="text1"/>
        </w:rPr>
        <w:t>2.4.1. Remove the gloves and perform hand hygiene.</w:t>
      </w:r>
    </w:p>
    <w:p w14:paraId="49BDEAFC" w14:textId="77777777" w:rsidR="000E52B8" w:rsidRPr="00905C20" w:rsidRDefault="000E52B8" w:rsidP="00905C20">
      <w:pPr>
        <w:spacing w:line="0" w:lineRule="atLeast"/>
        <w:rPr>
          <w:color w:val="000000" w:themeColor="text1"/>
        </w:rPr>
      </w:pPr>
    </w:p>
    <w:p w14:paraId="15ECAD2D" w14:textId="77777777" w:rsidR="000E52B8" w:rsidRPr="00905C20" w:rsidRDefault="009E6662" w:rsidP="00905C20">
      <w:pPr>
        <w:spacing w:line="0" w:lineRule="atLeast"/>
        <w:rPr>
          <w:color w:val="000000" w:themeColor="text1"/>
        </w:rPr>
      </w:pPr>
      <w:r w:rsidRPr="00905C20">
        <w:rPr>
          <w:color w:val="000000" w:themeColor="text1"/>
        </w:rPr>
        <w:t>2.4.2. Apply a new single-use tourniquet to the opposite arm.</w:t>
      </w:r>
    </w:p>
    <w:p w14:paraId="33BC52D8" w14:textId="77777777" w:rsidR="000E52B8" w:rsidRPr="00905C20" w:rsidRDefault="000E52B8" w:rsidP="00905C20">
      <w:pPr>
        <w:spacing w:line="0" w:lineRule="atLeast"/>
        <w:rPr>
          <w:color w:val="000000" w:themeColor="text1"/>
        </w:rPr>
      </w:pPr>
    </w:p>
    <w:p w14:paraId="5AC2E47C" w14:textId="77777777" w:rsidR="000E52B8" w:rsidRPr="00905C20" w:rsidRDefault="009E6662" w:rsidP="00905C20">
      <w:pPr>
        <w:spacing w:line="0" w:lineRule="atLeast"/>
        <w:rPr>
          <w:color w:val="000000" w:themeColor="text1"/>
        </w:rPr>
      </w:pPr>
      <w:r w:rsidRPr="00905C20">
        <w:rPr>
          <w:color w:val="000000" w:themeColor="text1"/>
        </w:rPr>
        <w:t>2.4.3. Don a new pair of sterile gloves.</w:t>
      </w:r>
    </w:p>
    <w:p w14:paraId="01C455D9" w14:textId="77777777" w:rsidR="000E52B8" w:rsidRPr="00905C20" w:rsidRDefault="000E52B8" w:rsidP="00905C20">
      <w:pPr>
        <w:spacing w:line="0" w:lineRule="atLeast"/>
        <w:rPr>
          <w:color w:val="000000" w:themeColor="text1"/>
        </w:rPr>
      </w:pPr>
    </w:p>
    <w:p w14:paraId="641E0F6A" w14:textId="77777777" w:rsidR="000E52B8" w:rsidRPr="00905C20" w:rsidRDefault="009E6662" w:rsidP="00905C20">
      <w:pPr>
        <w:spacing w:line="0" w:lineRule="atLeast"/>
        <w:rPr>
          <w:color w:val="000000" w:themeColor="text1"/>
        </w:rPr>
      </w:pPr>
      <w:r w:rsidRPr="00905C20">
        <w:rPr>
          <w:color w:val="000000" w:themeColor="text1"/>
        </w:rPr>
        <w:t>2.4.4. Reuse the prepared sterile tray only if it has remained uncontaminated. Retain the prepared anesthetic syringe, transparent film dressing, and gauze on the sterile tray.</w:t>
      </w:r>
    </w:p>
    <w:p w14:paraId="70424E71" w14:textId="77777777" w:rsidR="000E52B8" w:rsidRPr="00905C20" w:rsidRDefault="000E52B8" w:rsidP="00905C20">
      <w:pPr>
        <w:spacing w:line="0" w:lineRule="atLeast"/>
        <w:rPr>
          <w:color w:val="000000" w:themeColor="text1"/>
        </w:rPr>
      </w:pPr>
    </w:p>
    <w:p w14:paraId="3AC83C56" w14:textId="77777777" w:rsidR="000E52B8" w:rsidRPr="00905C20" w:rsidRDefault="009E6662" w:rsidP="00905C20">
      <w:pPr>
        <w:spacing w:line="0" w:lineRule="atLeast"/>
        <w:rPr>
          <w:color w:val="000000" w:themeColor="text1"/>
        </w:rPr>
      </w:pPr>
      <w:r w:rsidRPr="00905C20">
        <w:rPr>
          <w:color w:val="000000" w:themeColor="text1"/>
        </w:rPr>
        <w:lastRenderedPageBreak/>
        <w:t>2.4.5. Ask the assistant to sanitize the ultrasound probe again before returning it to the operator. Prepare a new sterile ultrasound contact surface using a new transparent film dressing as described in steps 2.2.6–2.2.9.</w:t>
      </w:r>
    </w:p>
    <w:p w14:paraId="2EBF8FAD" w14:textId="77777777" w:rsidR="000E52B8" w:rsidRPr="00905C20" w:rsidRDefault="000E52B8" w:rsidP="00905C20">
      <w:pPr>
        <w:spacing w:line="0" w:lineRule="atLeast"/>
        <w:rPr>
          <w:color w:val="000000" w:themeColor="text1"/>
        </w:rPr>
      </w:pPr>
    </w:p>
    <w:p w14:paraId="05F7B0ED" w14:textId="77777777" w:rsidR="000E52B8" w:rsidRPr="00905C20" w:rsidRDefault="009E6662" w:rsidP="00905C20">
      <w:pPr>
        <w:spacing w:line="0" w:lineRule="atLeast"/>
        <w:rPr>
          <w:color w:val="000000" w:themeColor="text1"/>
        </w:rPr>
      </w:pPr>
      <w:r w:rsidRPr="00905C20">
        <w:rPr>
          <w:color w:val="000000" w:themeColor="text1"/>
        </w:rPr>
        <w:t>2.4.6. Repeat steps 2.3.1–2.3.9 on the opposite arm.</w:t>
      </w:r>
    </w:p>
    <w:p w14:paraId="0A4B15BE" w14:textId="77777777" w:rsidR="000E52B8" w:rsidRPr="00905C20" w:rsidRDefault="000E52B8" w:rsidP="00905C20">
      <w:pPr>
        <w:spacing w:line="0" w:lineRule="atLeast"/>
        <w:rPr>
          <w:color w:val="000000" w:themeColor="text1"/>
        </w:rPr>
      </w:pPr>
    </w:p>
    <w:p w14:paraId="7D8DE2DA" w14:textId="77777777" w:rsidR="000E52B8" w:rsidRPr="00DA5392" w:rsidRDefault="009E6662" w:rsidP="00905C20">
      <w:pPr>
        <w:spacing w:line="0" w:lineRule="atLeast"/>
        <w:rPr>
          <w:b/>
          <w:bCs/>
          <w:color w:val="000000" w:themeColor="text1"/>
          <w:highlight w:val="yellow"/>
        </w:rPr>
      </w:pPr>
      <w:r w:rsidRPr="00DA5392">
        <w:rPr>
          <w:b/>
          <w:bCs/>
          <w:color w:val="000000" w:themeColor="text1"/>
          <w:highlight w:val="yellow"/>
        </w:rPr>
        <w:t>3. Mononuclear cell (MNC) apheresis</w:t>
      </w:r>
    </w:p>
    <w:p w14:paraId="4744B450" w14:textId="77777777" w:rsidR="000E52B8" w:rsidRPr="00DA5392" w:rsidRDefault="000E52B8" w:rsidP="00905C20">
      <w:pPr>
        <w:spacing w:line="0" w:lineRule="atLeast"/>
        <w:rPr>
          <w:color w:val="000000" w:themeColor="text1"/>
          <w:highlight w:val="yellow"/>
        </w:rPr>
      </w:pPr>
    </w:p>
    <w:p w14:paraId="31C6494A" w14:textId="327E9BD5" w:rsidR="000E52B8" w:rsidRPr="00DA5392" w:rsidRDefault="009E6662" w:rsidP="00905C20">
      <w:pPr>
        <w:spacing w:line="0" w:lineRule="atLeast"/>
        <w:rPr>
          <w:color w:val="000000" w:themeColor="text1"/>
          <w:highlight w:val="yellow"/>
        </w:rPr>
      </w:pPr>
      <w:r w:rsidRPr="00DA5392">
        <w:rPr>
          <w:color w:val="000000" w:themeColor="text1"/>
          <w:highlight w:val="yellow"/>
        </w:rPr>
        <w:t xml:space="preserve">3.1. Set up the Spectra </w:t>
      </w:r>
      <w:proofErr w:type="spellStart"/>
      <w:r w:rsidRPr="00DA5392">
        <w:rPr>
          <w:color w:val="000000" w:themeColor="text1"/>
          <w:highlight w:val="yellow"/>
        </w:rPr>
        <w:t>Optia</w:t>
      </w:r>
      <w:proofErr w:type="spellEnd"/>
      <w:r w:rsidRPr="00DA5392">
        <w:rPr>
          <w:color w:val="000000" w:themeColor="text1"/>
          <w:highlight w:val="yellow"/>
        </w:rPr>
        <w:t xml:space="preserve"> blood cell separator and select the </w:t>
      </w:r>
      <w:r w:rsidR="00DC680B" w:rsidRPr="00DA5392">
        <w:rPr>
          <w:color w:val="000000" w:themeColor="text1"/>
          <w:highlight w:val="yellow"/>
        </w:rPr>
        <w:t>Continuous C</w:t>
      </w:r>
      <w:r w:rsidRPr="00DA5392">
        <w:rPr>
          <w:color w:val="000000" w:themeColor="text1"/>
          <w:highlight w:val="yellow"/>
        </w:rPr>
        <w:t>MNC apheresis protocol in the system software</w:t>
      </w:r>
      <w:r w:rsidR="00DC680B" w:rsidRPr="00DA5392">
        <w:rPr>
          <w:color w:val="000000" w:themeColor="text1"/>
          <w:highlight w:val="yellow"/>
        </w:rPr>
        <w:t xml:space="preserve"> version 12.1</w:t>
      </w:r>
      <w:r w:rsidRPr="00DA5392">
        <w:rPr>
          <w:color w:val="000000" w:themeColor="text1"/>
          <w:highlight w:val="yellow"/>
        </w:rPr>
        <w:t>.</w:t>
      </w:r>
    </w:p>
    <w:p w14:paraId="1EF668C3" w14:textId="77777777" w:rsidR="000E52B8" w:rsidRPr="00DA5392" w:rsidRDefault="000E52B8" w:rsidP="00905C20">
      <w:pPr>
        <w:spacing w:line="0" w:lineRule="atLeast"/>
        <w:rPr>
          <w:color w:val="000000" w:themeColor="text1"/>
          <w:highlight w:val="yellow"/>
        </w:rPr>
      </w:pPr>
    </w:p>
    <w:p w14:paraId="6E1DC240" w14:textId="5E0C47DC" w:rsidR="000E52B8" w:rsidRPr="00DA5392" w:rsidRDefault="009E6662" w:rsidP="00905C20">
      <w:pPr>
        <w:spacing w:line="0" w:lineRule="atLeast"/>
        <w:rPr>
          <w:color w:val="000000" w:themeColor="text1"/>
          <w:highlight w:val="yellow"/>
        </w:rPr>
      </w:pPr>
      <w:r w:rsidRPr="00DA5392">
        <w:rPr>
          <w:color w:val="000000" w:themeColor="text1"/>
          <w:highlight w:val="yellow"/>
        </w:rPr>
        <w:t xml:space="preserve">3.2. </w:t>
      </w:r>
      <w:r w:rsidR="00DC680B" w:rsidRPr="00DA5392">
        <w:rPr>
          <w:color w:val="000000" w:themeColor="text1"/>
          <w:highlight w:val="yellow"/>
        </w:rPr>
        <w:t>Set up the initial whole blood-to-ACD-A ratio at 12:1 and target the collected volume between 250</w:t>
      </w:r>
      <w:r w:rsidR="008635DD" w:rsidRPr="00DA5392">
        <w:rPr>
          <w:color w:val="000000" w:themeColor="text1"/>
          <w:highlight w:val="yellow"/>
        </w:rPr>
        <w:t xml:space="preserve"> and </w:t>
      </w:r>
      <w:r w:rsidR="00DC680B" w:rsidRPr="00DA5392">
        <w:rPr>
          <w:color w:val="000000" w:themeColor="text1"/>
          <w:highlight w:val="yellow"/>
        </w:rPr>
        <w:t xml:space="preserve">300 </w:t>
      </w:r>
      <w:proofErr w:type="spellStart"/>
      <w:r w:rsidR="00DC680B" w:rsidRPr="00DA5392">
        <w:rPr>
          <w:color w:val="000000" w:themeColor="text1"/>
          <w:highlight w:val="yellow"/>
        </w:rPr>
        <w:t>mL.</w:t>
      </w:r>
      <w:proofErr w:type="spellEnd"/>
    </w:p>
    <w:p w14:paraId="06B2010C" w14:textId="77777777" w:rsidR="000E52B8" w:rsidRPr="00DA5392" w:rsidRDefault="000E52B8" w:rsidP="00905C20">
      <w:pPr>
        <w:spacing w:line="0" w:lineRule="atLeast"/>
        <w:rPr>
          <w:color w:val="000000" w:themeColor="text1"/>
          <w:highlight w:val="yellow"/>
        </w:rPr>
      </w:pPr>
    </w:p>
    <w:p w14:paraId="75DEDD22"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3.3. Prepare the patient for apheresis. Record the patient’s body weight and height, and review the complete blood count (CBC) laboratory report for the hematocrit value.</w:t>
      </w:r>
    </w:p>
    <w:p w14:paraId="01D64EE7" w14:textId="77777777" w:rsidR="000E52B8" w:rsidRPr="00DA5392" w:rsidRDefault="000E52B8" w:rsidP="00905C20">
      <w:pPr>
        <w:spacing w:line="0" w:lineRule="atLeast"/>
        <w:rPr>
          <w:color w:val="000000" w:themeColor="text1"/>
          <w:highlight w:val="yellow"/>
        </w:rPr>
      </w:pPr>
    </w:p>
    <w:p w14:paraId="159D969D"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3.4. Enter the patient’s weight, height, and hematocrit into the blood cell separator.</w:t>
      </w:r>
    </w:p>
    <w:p w14:paraId="59A7BC55" w14:textId="77777777" w:rsidR="000E52B8" w:rsidRPr="00DA5392" w:rsidRDefault="000E52B8" w:rsidP="00905C20">
      <w:pPr>
        <w:spacing w:line="0" w:lineRule="atLeast"/>
        <w:rPr>
          <w:color w:val="000000" w:themeColor="text1"/>
          <w:highlight w:val="yellow"/>
        </w:rPr>
      </w:pPr>
    </w:p>
    <w:p w14:paraId="12F0FBAC"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3.5. Confirm reliable venous access by flushing the catheter with 3–5 mL of normal saline.</w:t>
      </w:r>
    </w:p>
    <w:p w14:paraId="41F3B373" w14:textId="77777777" w:rsidR="000E52B8" w:rsidRPr="00DA5392" w:rsidRDefault="000E52B8" w:rsidP="00905C20">
      <w:pPr>
        <w:spacing w:line="0" w:lineRule="atLeast"/>
        <w:rPr>
          <w:color w:val="000000" w:themeColor="text1"/>
          <w:highlight w:val="yellow"/>
        </w:rPr>
      </w:pPr>
    </w:p>
    <w:p w14:paraId="3D3824EF"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3.6. Connect the catheter to the blood cell separator and initiate the MNC apheresis procedure.</w:t>
      </w:r>
    </w:p>
    <w:p w14:paraId="2DEDBCB7" w14:textId="77777777" w:rsidR="000E52B8" w:rsidRPr="00DA5392" w:rsidRDefault="000E52B8" w:rsidP="00905C20">
      <w:pPr>
        <w:spacing w:line="0" w:lineRule="atLeast"/>
        <w:rPr>
          <w:color w:val="000000" w:themeColor="text1"/>
          <w:highlight w:val="yellow"/>
        </w:rPr>
      </w:pPr>
    </w:p>
    <w:p w14:paraId="146D94CC" w14:textId="173F9CDB" w:rsidR="000E52B8" w:rsidRPr="00DA5392" w:rsidRDefault="009E6662" w:rsidP="00905C20">
      <w:pPr>
        <w:spacing w:line="0" w:lineRule="atLeast"/>
        <w:rPr>
          <w:color w:val="000000" w:themeColor="text1"/>
          <w:highlight w:val="yellow"/>
        </w:rPr>
      </w:pPr>
      <w:r w:rsidRPr="00DA5392">
        <w:rPr>
          <w:color w:val="000000" w:themeColor="text1"/>
          <w:highlight w:val="yellow"/>
        </w:rPr>
        <w:t xml:space="preserve">3.7. Prepare the calcium gluconate solution by adding 20 mL of 10% calcium gluconate (2 g) to 250 mL of physiological saline. </w:t>
      </w:r>
      <w:r w:rsidR="006D620C" w:rsidRPr="00DA5392">
        <w:rPr>
          <w:color w:val="000000" w:themeColor="text1"/>
          <w:highlight w:val="yellow"/>
        </w:rPr>
        <w:t>Connect the infusion line to the Return line of MNC apheresis at the distal portion of the circuit before the fluid re-enters the patient's venous access device and i</w:t>
      </w:r>
      <w:r w:rsidRPr="00DA5392">
        <w:rPr>
          <w:color w:val="000000" w:themeColor="text1"/>
          <w:highlight w:val="yellow"/>
        </w:rPr>
        <w:t>nfuse the solution into the patient at 50 mL/h.</w:t>
      </w:r>
      <w:r w:rsidR="00FA160D" w:rsidRPr="00DA5392">
        <w:rPr>
          <w:color w:val="000000" w:themeColor="text1"/>
          <w:highlight w:val="yellow"/>
        </w:rPr>
        <w:t xml:space="preserve"> </w:t>
      </w:r>
    </w:p>
    <w:p w14:paraId="4AF20131" w14:textId="77777777" w:rsidR="000E52B8" w:rsidRPr="00DA5392" w:rsidRDefault="000E52B8" w:rsidP="00905C20">
      <w:pPr>
        <w:spacing w:line="0" w:lineRule="atLeast"/>
        <w:rPr>
          <w:color w:val="000000" w:themeColor="text1"/>
          <w:highlight w:val="yellow"/>
        </w:rPr>
      </w:pPr>
    </w:p>
    <w:p w14:paraId="41249FA6"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NOTE: Administer calcium gluconate to reduce adverse effects associated with acid citrate dextrose solution A (ACD-A) anticoagulation during collection.</w:t>
      </w:r>
    </w:p>
    <w:p w14:paraId="350D7DE5" w14:textId="77777777" w:rsidR="000E52B8" w:rsidRPr="00DA5392" w:rsidRDefault="000E52B8" w:rsidP="00905C20">
      <w:pPr>
        <w:spacing w:line="0" w:lineRule="atLeast"/>
        <w:rPr>
          <w:color w:val="000000" w:themeColor="text1"/>
          <w:highlight w:val="yellow"/>
        </w:rPr>
      </w:pPr>
    </w:p>
    <w:p w14:paraId="61A384D1" w14:textId="77777777" w:rsidR="000E52B8" w:rsidRPr="00905C20" w:rsidRDefault="009E6662" w:rsidP="00905C20">
      <w:pPr>
        <w:spacing w:line="0" w:lineRule="atLeast"/>
        <w:rPr>
          <w:color w:val="000000" w:themeColor="text1"/>
        </w:rPr>
      </w:pPr>
      <w:r w:rsidRPr="00DA5392">
        <w:rPr>
          <w:color w:val="000000" w:themeColor="text1"/>
          <w:highlight w:val="yellow"/>
        </w:rPr>
        <w:t xml:space="preserve">3.8. Manually adjust the </w:t>
      </w:r>
      <w:proofErr w:type="spellStart"/>
      <w:r w:rsidRPr="00DA5392">
        <w:rPr>
          <w:color w:val="000000" w:themeColor="text1"/>
          <w:highlight w:val="yellow"/>
        </w:rPr>
        <w:t>colorgram</w:t>
      </w:r>
      <w:proofErr w:type="spellEnd"/>
      <w:r w:rsidRPr="00DA5392">
        <w:rPr>
          <w:color w:val="000000" w:themeColor="text1"/>
          <w:highlight w:val="yellow"/>
        </w:rPr>
        <w:t xml:space="preserve"> and flow rate during collection to optimize product purity.</w:t>
      </w:r>
    </w:p>
    <w:p w14:paraId="592B42D4" w14:textId="77777777" w:rsidR="000E52B8" w:rsidRPr="00905C20" w:rsidRDefault="000E52B8" w:rsidP="00905C20">
      <w:pPr>
        <w:spacing w:line="0" w:lineRule="atLeast"/>
        <w:rPr>
          <w:color w:val="000000" w:themeColor="text1"/>
        </w:rPr>
      </w:pPr>
    </w:p>
    <w:p w14:paraId="6BAFB759" w14:textId="0280DDB3" w:rsidR="000E52B8" w:rsidRPr="00DA5392" w:rsidRDefault="009E6662" w:rsidP="00905C20">
      <w:pPr>
        <w:spacing w:line="0" w:lineRule="atLeast"/>
        <w:rPr>
          <w:color w:val="000000" w:themeColor="text1"/>
          <w:highlight w:val="yellow"/>
        </w:rPr>
      </w:pPr>
      <w:r w:rsidRPr="00DA5392">
        <w:rPr>
          <w:color w:val="000000" w:themeColor="text1"/>
          <w:highlight w:val="yellow"/>
        </w:rPr>
        <w:t xml:space="preserve">3.9. </w:t>
      </w:r>
      <w:r w:rsidR="006D620C" w:rsidRPr="00DA5392">
        <w:rPr>
          <w:color w:val="000000" w:themeColor="text1"/>
          <w:highlight w:val="yellow"/>
        </w:rPr>
        <w:t xml:space="preserve">Inspect the color of </w:t>
      </w:r>
      <w:r w:rsidR="00C366FF" w:rsidRPr="00DA5392">
        <w:rPr>
          <w:color w:val="000000" w:themeColor="text1"/>
          <w:highlight w:val="yellow"/>
        </w:rPr>
        <w:t>the collection</w:t>
      </w:r>
      <w:r w:rsidR="006D620C" w:rsidRPr="00DA5392">
        <w:rPr>
          <w:color w:val="000000" w:themeColor="text1"/>
          <w:highlight w:val="yellow"/>
        </w:rPr>
        <w:t xml:space="preserve"> </w:t>
      </w:r>
      <w:r w:rsidR="00C366FF" w:rsidRPr="00DA5392">
        <w:rPr>
          <w:color w:val="000000" w:themeColor="text1"/>
          <w:highlight w:val="yellow"/>
        </w:rPr>
        <w:t>l</w:t>
      </w:r>
      <w:r w:rsidR="006D620C" w:rsidRPr="00DA5392">
        <w:rPr>
          <w:color w:val="000000" w:themeColor="text1"/>
          <w:highlight w:val="yellow"/>
        </w:rPr>
        <w:t xml:space="preserve">ine and visually compare the color of the blood component flowing through the collection line against the Terumo BCT Spectra </w:t>
      </w:r>
      <w:proofErr w:type="spellStart"/>
      <w:r w:rsidR="006D620C" w:rsidRPr="00DA5392">
        <w:rPr>
          <w:color w:val="000000" w:themeColor="text1"/>
          <w:highlight w:val="yellow"/>
        </w:rPr>
        <w:t>Optia</w:t>
      </w:r>
      <w:proofErr w:type="spellEnd"/>
      <w:r w:rsidR="006D620C" w:rsidRPr="00DA5392">
        <w:rPr>
          <w:color w:val="000000" w:themeColor="text1"/>
          <w:highlight w:val="yellow"/>
        </w:rPr>
        <w:t xml:space="preserve"> Collection Preference Tool </w:t>
      </w:r>
      <w:proofErr w:type="spellStart"/>
      <w:r w:rsidR="006D620C" w:rsidRPr="00DA5392">
        <w:rPr>
          <w:color w:val="000000" w:themeColor="text1"/>
          <w:highlight w:val="yellow"/>
        </w:rPr>
        <w:t>Colorgram</w:t>
      </w:r>
      <w:proofErr w:type="spellEnd"/>
      <w:r w:rsidR="006D620C" w:rsidRPr="00DA5392">
        <w:rPr>
          <w:color w:val="000000" w:themeColor="text1"/>
          <w:highlight w:val="yellow"/>
        </w:rPr>
        <w:t xml:space="preserve"> to target a dark-red color with Collection Preference </w:t>
      </w:r>
      <w:r w:rsidR="009C5068" w:rsidRPr="00DA5392">
        <w:rPr>
          <w:color w:val="000000" w:themeColor="text1"/>
          <w:highlight w:val="yellow"/>
        </w:rPr>
        <w:t xml:space="preserve">between </w:t>
      </w:r>
      <w:r w:rsidR="006D620C" w:rsidRPr="00DA5392">
        <w:rPr>
          <w:color w:val="000000" w:themeColor="text1"/>
          <w:highlight w:val="yellow"/>
        </w:rPr>
        <w:t>25</w:t>
      </w:r>
      <w:r w:rsidR="000B50CE" w:rsidRPr="00DA5392">
        <w:rPr>
          <w:color w:val="000000" w:themeColor="text1"/>
          <w:highlight w:val="yellow"/>
        </w:rPr>
        <w:t xml:space="preserve"> and </w:t>
      </w:r>
      <w:r w:rsidR="006D620C" w:rsidRPr="00DA5392">
        <w:rPr>
          <w:color w:val="000000" w:themeColor="text1"/>
          <w:highlight w:val="yellow"/>
        </w:rPr>
        <w:t>35.</w:t>
      </w:r>
    </w:p>
    <w:p w14:paraId="4F19C698" w14:textId="77777777" w:rsidR="000E52B8" w:rsidRPr="00DA5392" w:rsidRDefault="000E52B8" w:rsidP="00905C20">
      <w:pPr>
        <w:spacing w:line="0" w:lineRule="atLeast"/>
        <w:rPr>
          <w:color w:val="000000" w:themeColor="text1"/>
          <w:highlight w:val="yellow"/>
        </w:rPr>
      </w:pPr>
    </w:p>
    <w:p w14:paraId="2AE49966" w14:textId="77777777" w:rsidR="000E52B8" w:rsidRPr="00905C20" w:rsidRDefault="009E6662" w:rsidP="00905C20">
      <w:pPr>
        <w:spacing w:line="0" w:lineRule="atLeast"/>
        <w:rPr>
          <w:color w:val="000000" w:themeColor="text1"/>
        </w:rPr>
      </w:pPr>
      <w:r w:rsidRPr="00DA5392">
        <w:rPr>
          <w:color w:val="000000" w:themeColor="text1"/>
          <w:highlight w:val="yellow"/>
        </w:rPr>
        <w:t>3.10. Maintain the whole blood-to-ACD-A ratio at 12:1.</w:t>
      </w:r>
    </w:p>
    <w:p w14:paraId="1EDDB247" w14:textId="77777777" w:rsidR="000E52B8" w:rsidRPr="00905C20" w:rsidRDefault="000E52B8" w:rsidP="00905C20">
      <w:pPr>
        <w:spacing w:line="0" w:lineRule="atLeast"/>
        <w:rPr>
          <w:color w:val="000000" w:themeColor="text1"/>
        </w:rPr>
      </w:pPr>
    </w:p>
    <w:p w14:paraId="3A0D0790" w14:textId="77777777" w:rsidR="000E52B8" w:rsidRPr="00905C20" w:rsidRDefault="009E6662" w:rsidP="00905C20">
      <w:pPr>
        <w:spacing w:line="0" w:lineRule="atLeast"/>
        <w:rPr>
          <w:color w:val="000000" w:themeColor="text1"/>
        </w:rPr>
      </w:pPr>
      <w:r w:rsidRPr="00905C20">
        <w:rPr>
          <w:color w:val="000000" w:themeColor="text1"/>
        </w:rPr>
        <w:t>NOTE: Adjust the whole blood-to-ACD-A ratio when the patient’s CBC indicates a high hematocrit level or when clotting occurs.</w:t>
      </w:r>
    </w:p>
    <w:p w14:paraId="20E7FAE1" w14:textId="77777777" w:rsidR="000E52B8" w:rsidRPr="00905C20" w:rsidRDefault="000E52B8" w:rsidP="00905C20">
      <w:pPr>
        <w:spacing w:line="0" w:lineRule="atLeast"/>
        <w:rPr>
          <w:color w:val="000000" w:themeColor="text1"/>
        </w:rPr>
      </w:pPr>
    </w:p>
    <w:p w14:paraId="7E903BDD" w14:textId="752FED6F" w:rsidR="000E52B8" w:rsidRPr="00DA5392" w:rsidRDefault="009E6662" w:rsidP="00905C20">
      <w:pPr>
        <w:spacing w:line="0" w:lineRule="atLeast"/>
        <w:rPr>
          <w:color w:val="000000" w:themeColor="text1"/>
          <w:highlight w:val="yellow"/>
        </w:rPr>
      </w:pPr>
      <w:r w:rsidRPr="00DA5392">
        <w:rPr>
          <w:color w:val="000000" w:themeColor="text1"/>
          <w:highlight w:val="yellow"/>
        </w:rPr>
        <w:t xml:space="preserve">3.11. </w:t>
      </w:r>
      <w:r w:rsidR="00D92182" w:rsidRPr="00DA5392">
        <w:rPr>
          <w:color w:val="000000" w:themeColor="text1"/>
          <w:highlight w:val="yellow"/>
        </w:rPr>
        <w:t>Adjust the whole blood-to-ACD-A ratio to 10:1 if platelet aggregation, clumping, or fiber/clot formation is observed inside the tubing set or near the collection port.</w:t>
      </w:r>
      <w:r w:rsidR="006D620C" w:rsidRPr="00DA5392">
        <w:rPr>
          <w:color w:val="000000" w:themeColor="text1"/>
          <w:highlight w:val="yellow"/>
        </w:rPr>
        <w:t xml:space="preserve"> </w:t>
      </w:r>
    </w:p>
    <w:p w14:paraId="7E557AFA" w14:textId="77777777" w:rsidR="000E52B8" w:rsidRPr="00DA5392" w:rsidRDefault="000E52B8" w:rsidP="00905C20">
      <w:pPr>
        <w:spacing w:line="0" w:lineRule="atLeast"/>
        <w:rPr>
          <w:color w:val="000000" w:themeColor="text1"/>
          <w:highlight w:val="yellow"/>
        </w:rPr>
      </w:pPr>
    </w:p>
    <w:p w14:paraId="305BC607"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3.12. Monitor the patient’s blood pressure and heart rate every 30 min during apheresis.</w:t>
      </w:r>
    </w:p>
    <w:p w14:paraId="4BC8C219" w14:textId="77777777" w:rsidR="000E52B8" w:rsidRPr="00DA5392" w:rsidRDefault="000E52B8" w:rsidP="00905C20">
      <w:pPr>
        <w:spacing w:line="0" w:lineRule="atLeast"/>
        <w:rPr>
          <w:color w:val="000000" w:themeColor="text1"/>
          <w:highlight w:val="yellow"/>
        </w:rPr>
      </w:pPr>
    </w:p>
    <w:p w14:paraId="6FCB24D4"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3.13. Continue apheresis until the target blood volume has been processed.</w:t>
      </w:r>
    </w:p>
    <w:p w14:paraId="5F50BA7F" w14:textId="77777777" w:rsidR="000E52B8" w:rsidRPr="00DA5392" w:rsidRDefault="000E52B8" w:rsidP="00905C20">
      <w:pPr>
        <w:spacing w:line="0" w:lineRule="atLeast"/>
        <w:rPr>
          <w:color w:val="000000" w:themeColor="text1"/>
          <w:highlight w:val="yellow"/>
        </w:rPr>
      </w:pPr>
    </w:p>
    <w:p w14:paraId="370F801D" w14:textId="48A30EF4" w:rsidR="000E52B8" w:rsidRPr="00DA5392" w:rsidRDefault="009E6662" w:rsidP="00905C20">
      <w:pPr>
        <w:spacing w:line="0" w:lineRule="atLeast"/>
        <w:rPr>
          <w:color w:val="000000" w:themeColor="text1"/>
          <w:highlight w:val="yellow"/>
        </w:rPr>
      </w:pPr>
      <w:r w:rsidRPr="00DA5392">
        <w:rPr>
          <w:color w:val="000000" w:themeColor="text1"/>
          <w:highlight w:val="yellow"/>
        </w:rPr>
        <w:t xml:space="preserve">3.14. </w:t>
      </w:r>
      <w:r w:rsidR="006D620C" w:rsidRPr="00DA5392">
        <w:rPr>
          <w:color w:val="000000" w:themeColor="text1"/>
          <w:highlight w:val="yellow"/>
        </w:rPr>
        <w:t xml:space="preserve">Normally process the target blood volume at 2.5 total blood volume (TBV). </w:t>
      </w:r>
    </w:p>
    <w:p w14:paraId="68B2BA8A" w14:textId="77777777" w:rsidR="000E52B8" w:rsidRPr="00DA5392" w:rsidRDefault="000E52B8" w:rsidP="00905C20">
      <w:pPr>
        <w:spacing w:line="0" w:lineRule="atLeast"/>
        <w:rPr>
          <w:color w:val="000000" w:themeColor="text1"/>
          <w:highlight w:val="yellow"/>
        </w:rPr>
      </w:pPr>
    </w:p>
    <w:p w14:paraId="2BAB3074"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3.15. Seal the collection bag and label the collected MNC product.</w:t>
      </w:r>
    </w:p>
    <w:p w14:paraId="616E9054" w14:textId="77777777" w:rsidR="000E52B8" w:rsidRPr="00DA5392" w:rsidRDefault="000E52B8" w:rsidP="00905C20">
      <w:pPr>
        <w:spacing w:line="0" w:lineRule="atLeast"/>
        <w:rPr>
          <w:color w:val="000000" w:themeColor="text1"/>
          <w:highlight w:val="yellow"/>
        </w:rPr>
      </w:pPr>
    </w:p>
    <w:p w14:paraId="69A3DD93"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3.16. Return the residual blood to the patient.</w:t>
      </w:r>
    </w:p>
    <w:p w14:paraId="4E78424B" w14:textId="77777777" w:rsidR="000E52B8" w:rsidRPr="00DA5392" w:rsidRDefault="000E52B8" w:rsidP="00905C20">
      <w:pPr>
        <w:spacing w:line="0" w:lineRule="atLeast"/>
        <w:rPr>
          <w:color w:val="000000" w:themeColor="text1"/>
          <w:highlight w:val="yellow"/>
        </w:rPr>
      </w:pPr>
    </w:p>
    <w:p w14:paraId="769414AE" w14:textId="77777777" w:rsidR="000E52B8" w:rsidRPr="00DA5392" w:rsidRDefault="009E6662" w:rsidP="00905C20">
      <w:pPr>
        <w:spacing w:line="0" w:lineRule="atLeast"/>
        <w:rPr>
          <w:color w:val="000000" w:themeColor="text1"/>
          <w:highlight w:val="yellow"/>
        </w:rPr>
      </w:pPr>
      <w:r w:rsidRPr="00DA5392">
        <w:rPr>
          <w:color w:val="000000" w:themeColor="text1"/>
          <w:highlight w:val="yellow"/>
        </w:rPr>
        <w:t>3.17. Transfer the apheresis product to the GMP laboratory at the outpatient treatment facility.</w:t>
      </w:r>
    </w:p>
    <w:p w14:paraId="29EA4475" w14:textId="77777777" w:rsidR="000E52B8" w:rsidRPr="00DA5392" w:rsidRDefault="000E52B8" w:rsidP="00905C20">
      <w:pPr>
        <w:spacing w:line="0" w:lineRule="atLeast"/>
        <w:rPr>
          <w:color w:val="000000" w:themeColor="text1"/>
          <w:highlight w:val="yellow"/>
        </w:rPr>
      </w:pPr>
    </w:p>
    <w:p w14:paraId="1B51100D" w14:textId="77777777" w:rsidR="000E52B8" w:rsidRPr="00905C20" w:rsidRDefault="009E6662" w:rsidP="00905C20">
      <w:pPr>
        <w:spacing w:line="0" w:lineRule="atLeast"/>
        <w:rPr>
          <w:color w:val="000000" w:themeColor="text1"/>
        </w:rPr>
      </w:pPr>
      <w:r w:rsidRPr="00DA5392">
        <w:rPr>
          <w:color w:val="000000" w:themeColor="text1"/>
          <w:highlight w:val="yellow"/>
        </w:rPr>
        <w:t>3.18. After collection, monitor the patient’s vital signs twice at 15 min intervals. Evaluate the venous access site and discharge the patient after confirming clinical stability.</w:t>
      </w:r>
    </w:p>
    <w:p w14:paraId="0FE18A82" w14:textId="77777777" w:rsidR="000E52B8" w:rsidRPr="00905C20" w:rsidRDefault="000E52B8" w:rsidP="00905C20">
      <w:pPr>
        <w:spacing w:line="0" w:lineRule="atLeast"/>
        <w:rPr>
          <w:color w:val="000000" w:themeColor="text1"/>
        </w:rPr>
      </w:pPr>
    </w:p>
    <w:p w14:paraId="5A8B5127" w14:textId="77777777" w:rsidR="000E52B8" w:rsidRPr="00905C20" w:rsidRDefault="009E6662" w:rsidP="00905C20">
      <w:pPr>
        <w:spacing w:line="0" w:lineRule="atLeast"/>
        <w:rPr>
          <w:color w:val="000000" w:themeColor="text1"/>
        </w:rPr>
      </w:pPr>
      <w:r w:rsidRPr="00905C20">
        <w:rPr>
          <w:color w:val="000000" w:themeColor="text1"/>
        </w:rPr>
        <w:t>NOTE: Document and manage any adverse events occurring during or after leukapheresis according to the study protocol.</w:t>
      </w:r>
    </w:p>
    <w:p w14:paraId="2DB51A4A" w14:textId="77777777" w:rsidR="000E52B8" w:rsidRPr="00905C20" w:rsidRDefault="000E52B8" w:rsidP="00905C20">
      <w:pPr>
        <w:spacing w:line="0" w:lineRule="atLeast"/>
        <w:rPr>
          <w:color w:val="000000" w:themeColor="text1"/>
        </w:rPr>
      </w:pPr>
    </w:p>
    <w:p w14:paraId="17BE498C" w14:textId="77777777" w:rsidR="000E52B8" w:rsidRPr="00DA5392" w:rsidRDefault="009E6662" w:rsidP="00905C20">
      <w:pPr>
        <w:spacing w:line="0" w:lineRule="atLeast"/>
        <w:rPr>
          <w:b/>
          <w:bCs/>
          <w:color w:val="000000" w:themeColor="text1"/>
        </w:rPr>
      </w:pPr>
      <w:r w:rsidRPr="00DA5392">
        <w:rPr>
          <w:b/>
          <w:bCs/>
          <w:color w:val="000000" w:themeColor="text1"/>
        </w:rPr>
        <w:t>4. Immune education of patient mononuclear cells collected by apheresis</w:t>
      </w:r>
    </w:p>
    <w:p w14:paraId="7A185054" w14:textId="77777777" w:rsidR="000E52B8" w:rsidRPr="00DA5392" w:rsidRDefault="000E52B8" w:rsidP="00905C20">
      <w:pPr>
        <w:spacing w:line="0" w:lineRule="atLeast"/>
        <w:rPr>
          <w:color w:val="000000" w:themeColor="text1"/>
        </w:rPr>
      </w:pPr>
    </w:p>
    <w:p w14:paraId="11CEA9DE" w14:textId="77777777" w:rsidR="000E52B8" w:rsidRPr="00DA5392" w:rsidRDefault="009E6662" w:rsidP="00905C20">
      <w:pPr>
        <w:spacing w:line="0" w:lineRule="atLeast"/>
        <w:rPr>
          <w:color w:val="000000" w:themeColor="text1"/>
        </w:rPr>
      </w:pPr>
      <w:r w:rsidRPr="00DA5392">
        <w:rPr>
          <w:color w:val="000000" w:themeColor="text1"/>
        </w:rPr>
        <w:t>4.1. Purify mononuclear cells from the apheresis product</w:t>
      </w:r>
    </w:p>
    <w:p w14:paraId="40576D29" w14:textId="77777777" w:rsidR="000E52B8" w:rsidRPr="00DA5392" w:rsidRDefault="000E52B8" w:rsidP="00905C20">
      <w:pPr>
        <w:spacing w:line="0" w:lineRule="atLeast"/>
        <w:rPr>
          <w:color w:val="000000" w:themeColor="text1"/>
        </w:rPr>
      </w:pPr>
    </w:p>
    <w:p w14:paraId="75038A9E" w14:textId="77777777" w:rsidR="000E52B8" w:rsidRPr="00DA5392" w:rsidRDefault="009E6662" w:rsidP="00905C20">
      <w:pPr>
        <w:spacing w:line="0" w:lineRule="atLeast"/>
        <w:rPr>
          <w:color w:val="000000" w:themeColor="text1"/>
        </w:rPr>
      </w:pPr>
      <w:r w:rsidRPr="00DA5392">
        <w:rPr>
          <w:color w:val="000000" w:themeColor="text1"/>
        </w:rPr>
        <w:t>NOTE: Remove contaminating red blood cells from the apheresis product before immune education by CB-SC.</w:t>
      </w:r>
    </w:p>
    <w:p w14:paraId="23E9CF9A" w14:textId="77777777" w:rsidR="000E52B8" w:rsidRPr="00DA5392" w:rsidRDefault="000E52B8" w:rsidP="00905C20">
      <w:pPr>
        <w:spacing w:line="0" w:lineRule="atLeast"/>
        <w:rPr>
          <w:color w:val="000000" w:themeColor="text1"/>
        </w:rPr>
      </w:pPr>
    </w:p>
    <w:p w14:paraId="5BCE18B1" w14:textId="77777777" w:rsidR="000E52B8" w:rsidRPr="00DA5392" w:rsidRDefault="009E6662" w:rsidP="00905C20">
      <w:pPr>
        <w:spacing w:line="0" w:lineRule="atLeast"/>
        <w:rPr>
          <w:color w:val="000000" w:themeColor="text1"/>
        </w:rPr>
      </w:pPr>
      <w:r w:rsidRPr="00DA5392">
        <w:rPr>
          <w:color w:val="000000" w:themeColor="text1"/>
        </w:rPr>
        <w:t>4.1.1. Layer 30–35 mL of the apheresis product over 15 mL of density gradient medium (γ = 1.077) in a 50 mL conical tube.</w:t>
      </w:r>
    </w:p>
    <w:p w14:paraId="0C961EA9" w14:textId="77777777" w:rsidR="000E52B8" w:rsidRPr="00DA5392" w:rsidRDefault="000E52B8" w:rsidP="00905C20">
      <w:pPr>
        <w:spacing w:line="0" w:lineRule="atLeast"/>
        <w:rPr>
          <w:color w:val="000000" w:themeColor="text1"/>
        </w:rPr>
      </w:pPr>
    </w:p>
    <w:p w14:paraId="7623037F" w14:textId="77777777" w:rsidR="000E52B8" w:rsidRPr="00DA5392" w:rsidRDefault="009E6662" w:rsidP="00905C20">
      <w:pPr>
        <w:spacing w:line="0" w:lineRule="atLeast"/>
        <w:rPr>
          <w:color w:val="000000" w:themeColor="text1"/>
        </w:rPr>
      </w:pPr>
      <w:r w:rsidRPr="00DA5392">
        <w:rPr>
          <w:color w:val="000000" w:themeColor="text1"/>
        </w:rPr>
        <w:t xml:space="preserve">4.1.2. Centrifuge at 1,690 × </w:t>
      </w:r>
      <w:r w:rsidRPr="00DA5392">
        <w:rPr>
          <w:i/>
          <w:iCs/>
          <w:color w:val="000000" w:themeColor="text1"/>
        </w:rPr>
        <w:t>g</w:t>
      </w:r>
      <w:r w:rsidRPr="00DA5392">
        <w:rPr>
          <w:color w:val="000000" w:themeColor="text1"/>
        </w:rPr>
        <w:t xml:space="preserve"> for 15 min at 20°C in a swinging-bucket rotor without braking.</w:t>
      </w:r>
    </w:p>
    <w:p w14:paraId="384A11A1" w14:textId="77777777" w:rsidR="000E52B8" w:rsidRPr="00DA5392" w:rsidRDefault="000E52B8" w:rsidP="00905C20">
      <w:pPr>
        <w:spacing w:line="0" w:lineRule="atLeast"/>
        <w:rPr>
          <w:color w:val="000000" w:themeColor="text1"/>
        </w:rPr>
      </w:pPr>
    </w:p>
    <w:p w14:paraId="0C9315F3" w14:textId="77777777" w:rsidR="000E52B8" w:rsidRPr="00DA5392" w:rsidRDefault="009E6662" w:rsidP="00905C20">
      <w:pPr>
        <w:spacing w:line="0" w:lineRule="atLeast"/>
        <w:rPr>
          <w:color w:val="000000" w:themeColor="text1"/>
        </w:rPr>
      </w:pPr>
      <w:r w:rsidRPr="00DA5392">
        <w:rPr>
          <w:color w:val="000000" w:themeColor="text1"/>
        </w:rPr>
        <w:t xml:space="preserve">4.1.3. Carefully transfer the mononuclear cell layer to a new 50 mL conical tube containing 10 mL of 0.9% sodium chloride. Centrifuge at 751 × </w:t>
      </w:r>
      <w:r w:rsidRPr="00DA5392">
        <w:rPr>
          <w:i/>
          <w:iCs/>
          <w:color w:val="000000" w:themeColor="text1"/>
        </w:rPr>
        <w:t>g</w:t>
      </w:r>
      <w:r w:rsidRPr="00DA5392">
        <w:rPr>
          <w:color w:val="000000" w:themeColor="text1"/>
        </w:rPr>
        <w:t xml:space="preserve"> for 10 min at 20°C to pellet the cells.</w:t>
      </w:r>
    </w:p>
    <w:p w14:paraId="01BDB132" w14:textId="77777777" w:rsidR="000E52B8" w:rsidRPr="00DA5392" w:rsidRDefault="000E52B8" w:rsidP="00905C20">
      <w:pPr>
        <w:spacing w:line="0" w:lineRule="atLeast"/>
        <w:rPr>
          <w:color w:val="000000" w:themeColor="text1"/>
        </w:rPr>
      </w:pPr>
    </w:p>
    <w:p w14:paraId="65437B31" w14:textId="77777777" w:rsidR="000E52B8" w:rsidRPr="00DA5392" w:rsidRDefault="009E6662" w:rsidP="00905C20">
      <w:pPr>
        <w:spacing w:line="0" w:lineRule="atLeast"/>
        <w:rPr>
          <w:color w:val="000000" w:themeColor="text1"/>
        </w:rPr>
      </w:pPr>
      <w:r w:rsidRPr="00DA5392">
        <w:rPr>
          <w:color w:val="000000" w:themeColor="text1"/>
        </w:rPr>
        <w:t>4.1.4. Discard the supernatant.</w:t>
      </w:r>
    </w:p>
    <w:p w14:paraId="68D9F133" w14:textId="77777777" w:rsidR="000E52B8" w:rsidRPr="00DA5392" w:rsidRDefault="000E52B8" w:rsidP="00905C20">
      <w:pPr>
        <w:spacing w:line="0" w:lineRule="atLeast"/>
        <w:rPr>
          <w:color w:val="000000" w:themeColor="text1"/>
        </w:rPr>
      </w:pPr>
    </w:p>
    <w:p w14:paraId="0C071FAD" w14:textId="77777777" w:rsidR="000E52B8" w:rsidRPr="00DA5392" w:rsidRDefault="009E6662" w:rsidP="00905C20">
      <w:pPr>
        <w:spacing w:line="0" w:lineRule="atLeast"/>
        <w:rPr>
          <w:color w:val="000000" w:themeColor="text1"/>
        </w:rPr>
      </w:pPr>
      <w:r w:rsidRPr="00DA5392">
        <w:rPr>
          <w:color w:val="000000" w:themeColor="text1"/>
        </w:rPr>
        <w:t xml:space="preserve">4.1.5. Wash the cells once with 40 mL of 0.9% sodium chloride. Centrifuge at 751 × </w:t>
      </w:r>
      <w:r w:rsidRPr="00DA5392">
        <w:rPr>
          <w:i/>
          <w:iCs/>
          <w:color w:val="000000" w:themeColor="text1"/>
        </w:rPr>
        <w:t>g</w:t>
      </w:r>
      <w:r w:rsidRPr="00DA5392">
        <w:rPr>
          <w:color w:val="000000" w:themeColor="text1"/>
        </w:rPr>
        <w:t xml:space="preserve"> for 5 min and discard the supernatant.</w:t>
      </w:r>
    </w:p>
    <w:p w14:paraId="0856E3C7" w14:textId="77777777" w:rsidR="000E52B8" w:rsidRPr="00DA5392" w:rsidRDefault="000E52B8" w:rsidP="00905C20">
      <w:pPr>
        <w:spacing w:line="0" w:lineRule="atLeast"/>
        <w:rPr>
          <w:color w:val="000000" w:themeColor="text1"/>
        </w:rPr>
      </w:pPr>
    </w:p>
    <w:p w14:paraId="086CF80D" w14:textId="77777777" w:rsidR="000E52B8" w:rsidRPr="00DA5392" w:rsidRDefault="009E6662" w:rsidP="00905C20">
      <w:pPr>
        <w:spacing w:line="0" w:lineRule="atLeast"/>
        <w:rPr>
          <w:color w:val="000000" w:themeColor="text1"/>
        </w:rPr>
      </w:pPr>
      <w:r w:rsidRPr="00DA5392">
        <w:rPr>
          <w:color w:val="000000" w:themeColor="text1"/>
        </w:rPr>
        <w:t>4.1.6. Resuspend the cell pellet in 40 mL of 0.9% sodium chloride.</w:t>
      </w:r>
    </w:p>
    <w:p w14:paraId="5774CB62" w14:textId="77777777" w:rsidR="000E52B8" w:rsidRPr="00DA5392" w:rsidRDefault="000E52B8" w:rsidP="00905C20">
      <w:pPr>
        <w:spacing w:line="0" w:lineRule="atLeast"/>
        <w:rPr>
          <w:color w:val="000000" w:themeColor="text1"/>
        </w:rPr>
      </w:pPr>
    </w:p>
    <w:p w14:paraId="36AB6570" w14:textId="56CCAF7D" w:rsidR="000E52B8" w:rsidRPr="00DA5392" w:rsidRDefault="009E6662" w:rsidP="00905C20">
      <w:pPr>
        <w:spacing w:line="0" w:lineRule="atLeast"/>
        <w:rPr>
          <w:color w:val="000000" w:themeColor="text1"/>
        </w:rPr>
      </w:pPr>
      <w:r w:rsidRPr="00DA5392">
        <w:rPr>
          <w:color w:val="000000" w:themeColor="text1"/>
        </w:rPr>
        <w:t>4.1.7. Determine the cell concentration using a hemocytometer</w:t>
      </w:r>
      <w:r w:rsidR="003D49E8" w:rsidRPr="00DA5392">
        <w:rPr>
          <w:color w:val="000000" w:themeColor="text1"/>
        </w:rPr>
        <w:t xml:space="preserve"> after preparing the 1:100 dilution</w:t>
      </w:r>
      <w:r w:rsidRPr="00DA5392">
        <w:rPr>
          <w:color w:val="000000" w:themeColor="text1"/>
        </w:rPr>
        <w:t>.</w:t>
      </w:r>
    </w:p>
    <w:p w14:paraId="685F56AC" w14:textId="77777777" w:rsidR="000E52B8" w:rsidRPr="00DA5392" w:rsidRDefault="000E52B8" w:rsidP="00905C20">
      <w:pPr>
        <w:spacing w:line="0" w:lineRule="atLeast"/>
        <w:rPr>
          <w:color w:val="000000" w:themeColor="text1"/>
        </w:rPr>
      </w:pPr>
    </w:p>
    <w:p w14:paraId="2C8CEE49" w14:textId="7FD27EE3" w:rsidR="000E52B8" w:rsidRPr="00DA5392" w:rsidRDefault="009E6662" w:rsidP="00905C20">
      <w:pPr>
        <w:spacing w:line="0" w:lineRule="atLeast"/>
        <w:rPr>
          <w:color w:val="000000" w:themeColor="text1"/>
        </w:rPr>
      </w:pPr>
      <w:r w:rsidRPr="00DA5392">
        <w:rPr>
          <w:color w:val="000000" w:themeColor="text1"/>
        </w:rPr>
        <w:lastRenderedPageBreak/>
        <w:t xml:space="preserve">4.1.8. </w:t>
      </w:r>
      <w:r w:rsidR="008F15EA" w:rsidRPr="00DA5392">
        <w:rPr>
          <w:color w:val="000000" w:themeColor="text1"/>
        </w:rPr>
        <w:t>Prepare a 1:100 dilution by adding 100 µL of the cell suspension to 9,900 µL of 0.9% sodium chloride in a new 15 mL conical tube.</w:t>
      </w:r>
    </w:p>
    <w:p w14:paraId="359E2C47" w14:textId="77777777" w:rsidR="000E52B8" w:rsidRPr="00DA5392" w:rsidRDefault="000E52B8" w:rsidP="00905C20">
      <w:pPr>
        <w:spacing w:line="0" w:lineRule="atLeast"/>
        <w:rPr>
          <w:color w:val="000000" w:themeColor="text1"/>
        </w:rPr>
      </w:pPr>
    </w:p>
    <w:p w14:paraId="10157DC2" w14:textId="77777777" w:rsidR="000E52B8" w:rsidRPr="00DA5392" w:rsidRDefault="009E6662" w:rsidP="00905C20">
      <w:pPr>
        <w:spacing w:line="0" w:lineRule="atLeast"/>
        <w:rPr>
          <w:color w:val="000000" w:themeColor="text1"/>
        </w:rPr>
      </w:pPr>
      <w:r w:rsidRPr="00DA5392">
        <w:rPr>
          <w:color w:val="000000" w:themeColor="text1"/>
        </w:rPr>
        <w:t>4.1.9. Calculate the total cell number and the volume of the mononuclear cell suspension required for addition to the 12-layer immune-education culture device.</w:t>
      </w:r>
    </w:p>
    <w:p w14:paraId="2386266A" w14:textId="77777777" w:rsidR="000E52B8" w:rsidRPr="00DA5392" w:rsidRDefault="000E52B8" w:rsidP="00905C20">
      <w:pPr>
        <w:spacing w:line="0" w:lineRule="atLeast"/>
        <w:rPr>
          <w:color w:val="000000" w:themeColor="text1"/>
        </w:rPr>
      </w:pPr>
    </w:p>
    <w:p w14:paraId="6C7C670E" w14:textId="661A312D" w:rsidR="000E52B8" w:rsidRPr="00DA5392" w:rsidRDefault="009E6662" w:rsidP="00905C20">
      <w:pPr>
        <w:spacing w:line="0" w:lineRule="atLeast"/>
        <w:rPr>
          <w:color w:val="000000" w:themeColor="text1"/>
        </w:rPr>
      </w:pPr>
      <w:r w:rsidRPr="00DA5392">
        <w:rPr>
          <w:color w:val="000000" w:themeColor="text1"/>
        </w:rPr>
        <w:t xml:space="preserve">4.1.10. </w:t>
      </w:r>
      <w:r w:rsidR="003D49E8" w:rsidRPr="00DA5392">
        <w:rPr>
          <w:color w:val="000000" w:themeColor="text1"/>
        </w:rPr>
        <w:t xml:space="preserve">Adjust cell concentration </w:t>
      </w:r>
      <w:r w:rsidR="008635DD" w:rsidRPr="00DA5392">
        <w:rPr>
          <w:color w:val="000000" w:themeColor="text1"/>
        </w:rPr>
        <w:t xml:space="preserve">to </w:t>
      </w:r>
      <w:r w:rsidR="00CC769F" w:rsidRPr="00DA5392">
        <w:rPr>
          <w:color w:val="000000" w:themeColor="text1"/>
        </w:rPr>
        <w:t xml:space="preserve">25–85 </w:t>
      </w:r>
      <w:r w:rsidR="00905C20" w:rsidRPr="00DA5392">
        <w:rPr>
          <w:color w:val="000000" w:themeColor="text1"/>
        </w:rPr>
        <w:t>×</w:t>
      </w:r>
      <w:r w:rsidR="00CC769F" w:rsidRPr="00DA5392">
        <w:rPr>
          <w:color w:val="000000" w:themeColor="text1"/>
        </w:rPr>
        <w:t xml:space="preserve"> 10</w:t>
      </w:r>
      <w:r w:rsidR="00CC769F" w:rsidRPr="00DA5392">
        <w:rPr>
          <w:color w:val="000000" w:themeColor="text1"/>
          <w:vertAlign w:val="superscript"/>
        </w:rPr>
        <w:t>7</w:t>
      </w:r>
      <w:r w:rsidR="00CC769F" w:rsidRPr="00DA5392">
        <w:rPr>
          <w:color w:val="000000" w:themeColor="text1"/>
        </w:rPr>
        <w:t xml:space="preserve"> cells /</w:t>
      </w:r>
      <w:proofErr w:type="spellStart"/>
      <w:r w:rsidR="00CC769F" w:rsidRPr="00DA5392">
        <w:rPr>
          <w:color w:val="000000" w:themeColor="text1"/>
        </w:rPr>
        <w:t>mL.</w:t>
      </w:r>
      <w:proofErr w:type="spellEnd"/>
      <w:r w:rsidR="00CC769F" w:rsidRPr="00DA5392">
        <w:rPr>
          <w:color w:val="000000" w:themeColor="text1"/>
        </w:rPr>
        <w:t xml:space="preserve"> </w:t>
      </w:r>
    </w:p>
    <w:p w14:paraId="7B8A66EA" w14:textId="77777777" w:rsidR="000E52B8" w:rsidRPr="00DA5392" w:rsidRDefault="000E52B8" w:rsidP="00905C20">
      <w:pPr>
        <w:spacing w:line="0" w:lineRule="atLeast"/>
        <w:rPr>
          <w:color w:val="000000" w:themeColor="text1"/>
        </w:rPr>
      </w:pPr>
    </w:p>
    <w:p w14:paraId="079B0F54" w14:textId="77777777" w:rsidR="000E52B8" w:rsidRPr="00DA5392" w:rsidRDefault="009E6662" w:rsidP="00905C20">
      <w:pPr>
        <w:spacing w:line="0" w:lineRule="atLeast"/>
        <w:rPr>
          <w:color w:val="000000" w:themeColor="text1"/>
        </w:rPr>
      </w:pPr>
      <w:r w:rsidRPr="00DA5392">
        <w:rPr>
          <w:color w:val="000000" w:themeColor="text1"/>
        </w:rPr>
        <w:t>4.2. Prepare the immune-education culture device</w:t>
      </w:r>
    </w:p>
    <w:p w14:paraId="62A7C7C7" w14:textId="77777777" w:rsidR="000E52B8" w:rsidRPr="00DA5392" w:rsidRDefault="000E52B8" w:rsidP="00905C20">
      <w:pPr>
        <w:spacing w:line="0" w:lineRule="atLeast"/>
        <w:rPr>
          <w:color w:val="000000" w:themeColor="text1"/>
        </w:rPr>
      </w:pPr>
    </w:p>
    <w:p w14:paraId="59A81B52" w14:textId="77777777" w:rsidR="000E52B8" w:rsidRPr="00DA5392" w:rsidRDefault="009E6662" w:rsidP="00905C20">
      <w:pPr>
        <w:spacing w:line="0" w:lineRule="atLeast"/>
        <w:rPr>
          <w:color w:val="000000" w:themeColor="text1"/>
        </w:rPr>
      </w:pPr>
      <w:r w:rsidRPr="00DA5392">
        <w:rPr>
          <w:color w:val="000000" w:themeColor="text1"/>
        </w:rPr>
        <w:t>4.2.1. Wipe the 12-layer immune-education culture device with an alcohol swab and place it in a biosafety cabinet.</w:t>
      </w:r>
    </w:p>
    <w:p w14:paraId="212D0690" w14:textId="77777777" w:rsidR="000E52B8" w:rsidRPr="00DA5392" w:rsidRDefault="000E52B8" w:rsidP="00905C20">
      <w:pPr>
        <w:spacing w:line="0" w:lineRule="atLeast"/>
        <w:rPr>
          <w:color w:val="000000" w:themeColor="text1"/>
        </w:rPr>
      </w:pPr>
    </w:p>
    <w:p w14:paraId="576179C2" w14:textId="77777777" w:rsidR="000E52B8" w:rsidRPr="00DA5392" w:rsidRDefault="009E6662" w:rsidP="00905C20">
      <w:pPr>
        <w:spacing w:line="0" w:lineRule="atLeast"/>
        <w:rPr>
          <w:color w:val="000000" w:themeColor="text1"/>
        </w:rPr>
      </w:pPr>
      <w:r w:rsidRPr="00DA5392">
        <w:rPr>
          <w:color w:val="000000" w:themeColor="text1"/>
        </w:rPr>
        <w:t>4.2.2. Remove all caps from the device sequentially from top to bottom. Avoid wetting the filters.</w:t>
      </w:r>
    </w:p>
    <w:p w14:paraId="5188F133" w14:textId="77777777" w:rsidR="000E52B8" w:rsidRPr="00DA5392" w:rsidRDefault="000E52B8" w:rsidP="00905C20">
      <w:pPr>
        <w:spacing w:line="0" w:lineRule="atLeast"/>
        <w:rPr>
          <w:color w:val="000000" w:themeColor="text1"/>
        </w:rPr>
      </w:pPr>
    </w:p>
    <w:p w14:paraId="0D9A16AF" w14:textId="77777777" w:rsidR="000E52B8" w:rsidRPr="00DA5392" w:rsidRDefault="009E6662" w:rsidP="00905C20">
      <w:pPr>
        <w:spacing w:line="0" w:lineRule="atLeast"/>
        <w:rPr>
          <w:color w:val="000000" w:themeColor="text1"/>
        </w:rPr>
      </w:pPr>
      <w:r w:rsidRPr="00DA5392">
        <w:rPr>
          <w:color w:val="000000" w:themeColor="text1"/>
        </w:rPr>
        <w:t>4.2.3. Gently mix the device two to three times using a circular motion and pour the culture medium into a sterile tray.</w:t>
      </w:r>
    </w:p>
    <w:p w14:paraId="6B64F34A" w14:textId="77777777" w:rsidR="000E52B8" w:rsidRPr="00DA5392" w:rsidRDefault="000E52B8" w:rsidP="00905C20">
      <w:pPr>
        <w:spacing w:line="0" w:lineRule="atLeast"/>
        <w:rPr>
          <w:color w:val="000000" w:themeColor="text1"/>
        </w:rPr>
      </w:pPr>
    </w:p>
    <w:p w14:paraId="1AD6552C" w14:textId="77777777" w:rsidR="000E52B8" w:rsidRPr="00DA5392" w:rsidRDefault="009E6662" w:rsidP="00905C20">
      <w:pPr>
        <w:spacing w:line="0" w:lineRule="atLeast"/>
        <w:rPr>
          <w:color w:val="000000" w:themeColor="text1"/>
        </w:rPr>
      </w:pPr>
      <w:r w:rsidRPr="00DA5392">
        <w:rPr>
          <w:color w:val="000000" w:themeColor="text1"/>
        </w:rPr>
        <w:t>4.3. Wash each layer of the immune-education culture device</w:t>
      </w:r>
    </w:p>
    <w:p w14:paraId="2B8E330E" w14:textId="77777777" w:rsidR="000E52B8" w:rsidRPr="00DA5392" w:rsidRDefault="000E52B8" w:rsidP="00905C20">
      <w:pPr>
        <w:spacing w:line="0" w:lineRule="atLeast"/>
        <w:rPr>
          <w:color w:val="000000" w:themeColor="text1"/>
        </w:rPr>
      </w:pPr>
    </w:p>
    <w:p w14:paraId="09497129" w14:textId="77777777" w:rsidR="000E52B8" w:rsidRPr="00DA5392" w:rsidRDefault="009E6662" w:rsidP="00905C20">
      <w:pPr>
        <w:spacing w:line="0" w:lineRule="atLeast"/>
        <w:rPr>
          <w:color w:val="000000" w:themeColor="text1"/>
        </w:rPr>
      </w:pPr>
      <w:r w:rsidRPr="00DA5392">
        <w:rPr>
          <w:color w:val="000000" w:themeColor="text1"/>
        </w:rPr>
        <w:t>4.3.1. Add 20 mL of 0.9% sodium chloride to each layer using a 25 mL plastic pipette.</w:t>
      </w:r>
    </w:p>
    <w:p w14:paraId="6186F9E6" w14:textId="77777777" w:rsidR="000E52B8" w:rsidRPr="00DA5392" w:rsidRDefault="000E52B8" w:rsidP="00905C20">
      <w:pPr>
        <w:spacing w:line="0" w:lineRule="atLeast"/>
        <w:rPr>
          <w:color w:val="000000" w:themeColor="text1"/>
        </w:rPr>
      </w:pPr>
    </w:p>
    <w:p w14:paraId="122DDBC0" w14:textId="77777777" w:rsidR="000E52B8" w:rsidRPr="00DA5392" w:rsidRDefault="009E6662" w:rsidP="00905C20">
      <w:pPr>
        <w:spacing w:line="0" w:lineRule="atLeast"/>
        <w:rPr>
          <w:color w:val="000000" w:themeColor="text1"/>
        </w:rPr>
      </w:pPr>
      <w:r w:rsidRPr="00DA5392">
        <w:rPr>
          <w:color w:val="000000" w:themeColor="text1"/>
        </w:rPr>
        <w:t>4.3.2. Tilt the device forward to visually confirm that 0.9% sodium chloride has been added to each layer.</w:t>
      </w:r>
    </w:p>
    <w:p w14:paraId="04541D82" w14:textId="77777777" w:rsidR="000E52B8" w:rsidRPr="00DA5392" w:rsidRDefault="000E52B8" w:rsidP="00905C20">
      <w:pPr>
        <w:spacing w:line="0" w:lineRule="atLeast"/>
        <w:rPr>
          <w:color w:val="000000" w:themeColor="text1"/>
        </w:rPr>
      </w:pPr>
    </w:p>
    <w:p w14:paraId="29FCC604" w14:textId="77777777" w:rsidR="000E52B8" w:rsidRPr="00DA5392" w:rsidRDefault="009E6662" w:rsidP="00905C20">
      <w:pPr>
        <w:spacing w:line="0" w:lineRule="atLeast"/>
        <w:rPr>
          <w:color w:val="000000" w:themeColor="text1"/>
        </w:rPr>
      </w:pPr>
      <w:r w:rsidRPr="00DA5392">
        <w:rPr>
          <w:color w:val="000000" w:themeColor="text1"/>
        </w:rPr>
        <w:t>4.3.3. Gently mix the device three times using a circular motion and pour the 0.9% sodium chloride into the sterile tray.</w:t>
      </w:r>
    </w:p>
    <w:p w14:paraId="61454D5C" w14:textId="77777777" w:rsidR="000E52B8" w:rsidRPr="00DA5392" w:rsidRDefault="000E52B8" w:rsidP="00905C20">
      <w:pPr>
        <w:spacing w:line="0" w:lineRule="atLeast"/>
        <w:rPr>
          <w:color w:val="000000" w:themeColor="text1"/>
        </w:rPr>
      </w:pPr>
    </w:p>
    <w:p w14:paraId="3AB5AE52" w14:textId="77777777" w:rsidR="000E52B8" w:rsidRPr="00DA5392" w:rsidRDefault="009E6662" w:rsidP="00905C20">
      <w:pPr>
        <w:spacing w:line="0" w:lineRule="atLeast"/>
        <w:rPr>
          <w:color w:val="000000" w:themeColor="text1"/>
        </w:rPr>
      </w:pPr>
      <w:r w:rsidRPr="00DA5392">
        <w:rPr>
          <w:color w:val="000000" w:themeColor="text1"/>
        </w:rPr>
        <w:t>4.3.4. Repeat steps 4.3.1–4.3.3 to perform a total of two complete washes.</w:t>
      </w:r>
    </w:p>
    <w:p w14:paraId="66ED48D8" w14:textId="77777777" w:rsidR="000E52B8" w:rsidRPr="00DA5392" w:rsidRDefault="000E52B8" w:rsidP="00905C20">
      <w:pPr>
        <w:spacing w:line="0" w:lineRule="atLeast"/>
        <w:rPr>
          <w:color w:val="000000" w:themeColor="text1"/>
        </w:rPr>
      </w:pPr>
    </w:p>
    <w:p w14:paraId="38106421" w14:textId="77777777" w:rsidR="000E52B8" w:rsidRPr="00DA5392" w:rsidRDefault="009E6662" w:rsidP="00905C20">
      <w:pPr>
        <w:spacing w:line="0" w:lineRule="atLeast"/>
        <w:rPr>
          <w:color w:val="000000" w:themeColor="text1"/>
        </w:rPr>
      </w:pPr>
      <w:r w:rsidRPr="00DA5392">
        <w:rPr>
          <w:color w:val="000000" w:themeColor="text1"/>
        </w:rPr>
        <w:t>4.4. Wash the bottom chamber of the immune-education culture device</w:t>
      </w:r>
    </w:p>
    <w:p w14:paraId="67DE21C6" w14:textId="77777777" w:rsidR="000E52B8" w:rsidRPr="00DA5392" w:rsidRDefault="000E52B8" w:rsidP="00905C20">
      <w:pPr>
        <w:spacing w:line="0" w:lineRule="atLeast"/>
        <w:rPr>
          <w:color w:val="000000" w:themeColor="text1"/>
        </w:rPr>
      </w:pPr>
    </w:p>
    <w:p w14:paraId="4FC29653" w14:textId="77777777" w:rsidR="000E52B8" w:rsidRPr="00DA5392" w:rsidRDefault="009E6662" w:rsidP="00905C20">
      <w:pPr>
        <w:spacing w:line="0" w:lineRule="atLeast"/>
        <w:rPr>
          <w:color w:val="000000" w:themeColor="text1"/>
        </w:rPr>
      </w:pPr>
      <w:r w:rsidRPr="00DA5392">
        <w:rPr>
          <w:color w:val="000000" w:themeColor="text1"/>
        </w:rPr>
        <w:t>4.4.1. Clean the bottom port with an alcohol preparation pad.</w:t>
      </w:r>
    </w:p>
    <w:p w14:paraId="770DCF7B" w14:textId="77777777" w:rsidR="000E52B8" w:rsidRPr="00DA5392" w:rsidRDefault="000E52B8" w:rsidP="00905C20">
      <w:pPr>
        <w:spacing w:line="0" w:lineRule="atLeast"/>
        <w:rPr>
          <w:color w:val="000000" w:themeColor="text1"/>
        </w:rPr>
      </w:pPr>
    </w:p>
    <w:p w14:paraId="67DDA003" w14:textId="77777777" w:rsidR="000E52B8" w:rsidRPr="00DA5392" w:rsidRDefault="009E6662" w:rsidP="00905C20">
      <w:pPr>
        <w:spacing w:line="0" w:lineRule="atLeast"/>
        <w:rPr>
          <w:color w:val="000000" w:themeColor="text1"/>
        </w:rPr>
      </w:pPr>
      <w:r w:rsidRPr="00DA5392">
        <w:rPr>
          <w:color w:val="000000" w:themeColor="text1"/>
        </w:rPr>
        <w:t>4.4.2. Remove the cap from the bottom port using an alcohol preparation pad. Position the device over the sterile tray or on a sterile towel.</w:t>
      </w:r>
    </w:p>
    <w:p w14:paraId="3C507685" w14:textId="77777777" w:rsidR="000E52B8" w:rsidRPr="00DA5392" w:rsidRDefault="000E52B8" w:rsidP="00905C20">
      <w:pPr>
        <w:spacing w:line="0" w:lineRule="atLeast"/>
        <w:rPr>
          <w:color w:val="000000" w:themeColor="text1"/>
        </w:rPr>
      </w:pPr>
    </w:p>
    <w:p w14:paraId="75DFA793" w14:textId="77777777" w:rsidR="000E52B8" w:rsidRPr="00DA5392" w:rsidRDefault="009E6662" w:rsidP="00905C20">
      <w:pPr>
        <w:spacing w:line="0" w:lineRule="atLeast"/>
        <w:rPr>
          <w:color w:val="000000" w:themeColor="text1"/>
        </w:rPr>
      </w:pPr>
      <w:r w:rsidRPr="00DA5392">
        <w:rPr>
          <w:color w:val="000000" w:themeColor="text1"/>
        </w:rPr>
        <w:t>4.4.3. Allow residual 0.9% sodium chloride to drain into the sterile tray.</w:t>
      </w:r>
    </w:p>
    <w:p w14:paraId="202CBBC0" w14:textId="77777777" w:rsidR="000E52B8" w:rsidRPr="00DA5392" w:rsidRDefault="000E52B8" w:rsidP="00905C20">
      <w:pPr>
        <w:spacing w:line="0" w:lineRule="atLeast"/>
        <w:rPr>
          <w:color w:val="000000" w:themeColor="text1"/>
        </w:rPr>
      </w:pPr>
    </w:p>
    <w:p w14:paraId="6F2B6646" w14:textId="77777777" w:rsidR="000E52B8" w:rsidRPr="00DA5392" w:rsidRDefault="009E6662" w:rsidP="00905C20">
      <w:pPr>
        <w:spacing w:line="0" w:lineRule="atLeast"/>
        <w:rPr>
          <w:color w:val="000000" w:themeColor="text1"/>
        </w:rPr>
      </w:pPr>
      <w:r w:rsidRPr="00DA5392">
        <w:rPr>
          <w:color w:val="000000" w:themeColor="text1"/>
        </w:rPr>
        <w:t>4.4.4. Transfer 45 mL of 0.9% sodium chloride into a 50 mL conical tube using a 25 mL plastic pipette.</w:t>
      </w:r>
    </w:p>
    <w:p w14:paraId="6EFF8E1A" w14:textId="77777777" w:rsidR="000E52B8" w:rsidRPr="00DA5392" w:rsidRDefault="000E52B8" w:rsidP="00905C20">
      <w:pPr>
        <w:spacing w:line="0" w:lineRule="atLeast"/>
        <w:rPr>
          <w:color w:val="000000" w:themeColor="text1"/>
        </w:rPr>
      </w:pPr>
    </w:p>
    <w:p w14:paraId="5CFB7341" w14:textId="77777777" w:rsidR="000E52B8" w:rsidRPr="00DA5392" w:rsidRDefault="009E6662" w:rsidP="00905C20">
      <w:pPr>
        <w:spacing w:line="0" w:lineRule="atLeast"/>
        <w:rPr>
          <w:color w:val="000000" w:themeColor="text1"/>
        </w:rPr>
      </w:pPr>
      <w:r w:rsidRPr="00DA5392">
        <w:rPr>
          <w:color w:val="000000" w:themeColor="text1"/>
        </w:rPr>
        <w:t xml:space="preserve">4.4.5. Attach an 18 G needle or </w:t>
      </w:r>
      <w:proofErr w:type="spellStart"/>
      <w:r w:rsidRPr="00DA5392">
        <w:rPr>
          <w:color w:val="000000" w:themeColor="text1"/>
        </w:rPr>
        <w:t>Monoject</w:t>
      </w:r>
      <w:proofErr w:type="spellEnd"/>
      <w:r w:rsidRPr="00DA5392">
        <w:rPr>
          <w:color w:val="000000" w:themeColor="text1"/>
        </w:rPr>
        <w:t xml:space="preserve"> blunt cannula to a 50 mL syringe.</w:t>
      </w:r>
    </w:p>
    <w:p w14:paraId="35816F89" w14:textId="77777777" w:rsidR="000E52B8" w:rsidRPr="00DA5392" w:rsidRDefault="000E52B8" w:rsidP="00905C20">
      <w:pPr>
        <w:spacing w:line="0" w:lineRule="atLeast"/>
        <w:rPr>
          <w:color w:val="000000" w:themeColor="text1"/>
        </w:rPr>
      </w:pPr>
    </w:p>
    <w:p w14:paraId="41A0BC54" w14:textId="77777777" w:rsidR="000E52B8" w:rsidRPr="00DA5392" w:rsidRDefault="009E6662" w:rsidP="00905C20">
      <w:pPr>
        <w:spacing w:line="0" w:lineRule="atLeast"/>
        <w:rPr>
          <w:color w:val="000000" w:themeColor="text1"/>
        </w:rPr>
      </w:pPr>
      <w:r w:rsidRPr="00DA5392">
        <w:rPr>
          <w:color w:val="000000" w:themeColor="text1"/>
        </w:rPr>
        <w:lastRenderedPageBreak/>
        <w:t>4.4.6. Draw 20 mL of 0.9% sodium chloride from the 50 mL conical tube into the syringe.</w:t>
      </w:r>
    </w:p>
    <w:p w14:paraId="4E65A906" w14:textId="77777777" w:rsidR="000E52B8" w:rsidRPr="00DA5392" w:rsidRDefault="000E52B8" w:rsidP="00905C20">
      <w:pPr>
        <w:spacing w:line="0" w:lineRule="atLeast"/>
        <w:rPr>
          <w:color w:val="000000" w:themeColor="text1"/>
        </w:rPr>
      </w:pPr>
    </w:p>
    <w:p w14:paraId="2D122219" w14:textId="77777777" w:rsidR="000E52B8" w:rsidRPr="00DA5392" w:rsidRDefault="009E6662" w:rsidP="00905C20">
      <w:pPr>
        <w:spacing w:line="0" w:lineRule="atLeast"/>
        <w:rPr>
          <w:color w:val="000000" w:themeColor="text1"/>
        </w:rPr>
      </w:pPr>
      <w:r w:rsidRPr="00DA5392">
        <w:rPr>
          <w:color w:val="000000" w:themeColor="text1"/>
        </w:rPr>
        <w:t>4.4.7. Insert the needle or blunt cannula into the bottom port and dispense the 0.9% sodium chloride into the device.</w:t>
      </w:r>
    </w:p>
    <w:p w14:paraId="2BB2E789" w14:textId="77777777" w:rsidR="000E52B8" w:rsidRPr="00DA5392" w:rsidRDefault="000E52B8" w:rsidP="00905C20">
      <w:pPr>
        <w:spacing w:line="0" w:lineRule="atLeast"/>
        <w:rPr>
          <w:color w:val="000000" w:themeColor="text1"/>
        </w:rPr>
      </w:pPr>
    </w:p>
    <w:p w14:paraId="09692D11" w14:textId="77777777" w:rsidR="000E52B8" w:rsidRPr="00DA5392" w:rsidRDefault="009E6662" w:rsidP="00905C20">
      <w:pPr>
        <w:spacing w:line="0" w:lineRule="atLeast"/>
        <w:rPr>
          <w:color w:val="000000" w:themeColor="text1"/>
        </w:rPr>
      </w:pPr>
      <w:r w:rsidRPr="00DA5392">
        <w:rPr>
          <w:color w:val="000000" w:themeColor="text1"/>
        </w:rPr>
        <w:t>4.4.8. Gently mix the device three times using a circular motion and pour the 0.9% sodium chloride into the sterile tray.</w:t>
      </w:r>
    </w:p>
    <w:p w14:paraId="22F2A4CB" w14:textId="77777777" w:rsidR="000E52B8" w:rsidRPr="00DA5392" w:rsidRDefault="000E52B8" w:rsidP="00905C20">
      <w:pPr>
        <w:spacing w:line="0" w:lineRule="atLeast"/>
        <w:rPr>
          <w:color w:val="000000" w:themeColor="text1"/>
        </w:rPr>
      </w:pPr>
    </w:p>
    <w:p w14:paraId="51A8BB63" w14:textId="77777777" w:rsidR="000E52B8" w:rsidRPr="00DA5392" w:rsidRDefault="009E6662" w:rsidP="00905C20">
      <w:pPr>
        <w:spacing w:line="0" w:lineRule="atLeast"/>
        <w:rPr>
          <w:color w:val="000000" w:themeColor="text1"/>
        </w:rPr>
      </w:pPr>
      <w:r w:rsidRPr="00DA5392">
        <w:rPr>
          <w:color w:val="000000" w:themeColor="text1"/>
        </w:rPr>
        <w:t>4.4.9. Repeat steps 4.4.6–4.4.8 to perform a total of two complete washes.</w:t>
      </w:r>
    </w:p>
    <w:p w14:paraId="5129B548" w14:textId="77777777" w:rsidR="000E52B8" w:rsidRPr="00DA5392" w:rsidRDefault="000E52B8" w:rsidP="00905C20">
      <w:pPr>
        <w:spacing w:line="0" w:lineRule="atLeast"/>
        <w:rPr>
          <w:color w:val="000000" w:themeColor="text1"/>
        </w:rPr>
      </w:pPr>
    </w:p>
    <w:p w14:paraId="481C6FB6" w14:textId="77777777" w:rsidR="000E52B8" w:rsidRPr="00DA5392" w:rsidRDefault="009E6662" w:rsidP="00905C20">
      <w:pPr>
        <w:spacing w:line="0" w:lineRule="atLeast"/>
        <w:rPr>
          <w:color w:val="000000" w:themeColor="text1"/>
        </w:rPr>
      </w:pPr>
      <w:r w:rsidRPr="00DA5392">
        <w:rPr>
          <w:color w:val="000000" w:themeColor="text1"/>
        </w:rPr>
        <w:t>4.4.10. Replace the cap on the bottom port.</w:t>
      </w:r>
    </w:p>
    <w:p w14:paraId="05F669D2" w14:textId="77777777" w:rsidR="000E52B8" w:rsidRPr="00DA5392" w:rsidRDefault="000E52B8" w:rsidP="00905C20">
      <w:pPr>
        <w:spacing w:line="0" w:lineRule="atLeast"/>
        <w:rPr>
          <w:color w:val="000000" w:themeColor="text1"/>
        </w:rPr>
      </w:pPr>
    </w:p>
    <w:p w14:paraId="59464274" w14:textId="77777777" w:rsidR="000E52B8" w:rsidRPr="00DA5392" w:rsidRDefault="009E6662" w:rsidP="00905C20">
      <w:pPr>
        <w:spacing w:line="0" w:lineRule="atLeast"/>
        <w:rPr>
          <w:color w:val="000000" w:themeColor="text1"/>
        </w:rPr>
      </w:pPr>
      <w:r w:rsidRPr="00DA5392">
        <w:rPr>
          <w:color w:val="000000" w:themeColor="text1"/>
        </w:rPr>
        <w:t>4.5. Prepare the cell culture suspension</w:t>
      </w:r>
    </w:p>
    <w:p w14:paraId="77703993" w14:textId="77777777" w:rsidR="000E52B8" w:rsidRPr="00DA5392" w:rsidRDefault="000E52B8" w:rsidP="00905C20">
      <w:pPr>
        <w:spacing w:line="0" w:lineRule="atLeast"/>
        <w:rPr>
          <w:color w:val="000000" w:themeColor="text1"/>
        </w:rPr>
      </w:pPr>
    </w:p>
    <w:p w14:paraId="275DA9A6" w14:textId="77777777" w:rsidR="000E52B8" w:rsidRPr="00DA5392" w:rsidRDefault="009E6662" w:rsidP="00905C20">
      <w:pPr>
        <w:spacing w:line="0" w:lineRule="atLeast"/>
        <w:rPr>
          <w:color w:val="000000" w:themeColor="text1"/>
        </w:rPr>
      </w:pPr>
      <w:r w:rsidRPr="00DA5392">
        <w:rPr>
          <w:color w:val="000000" w:themeColor="text1"/>
        </w:rPr>
        <w:t>4.5.1. Obtain a new 500 mL centrifuge bottle.</w:t>
      </w:r>
    </w:p>
    <w:p w14:paraId="4F4218D9" w14:textId="77777777" w:rsidR="000E52B8" w:rsidRPr="00DA5392" w:rsidRDefault="000E52B8" w:rsidP="00905C20">
      <w:pPr>
        <w:spacing w:line="0" w:lineRule="atLeast"/>
        <w:rPr>
          <w:color w:val="000000" w:themeColor="text1"/>
        </w:rPr>
      </w:pPr>
    </w:p>
    <w:p w14:paraId="35C02AFA" w14:textId="77777777" w:rsidR="000E52B8" w:rsidRPr="00DA5392" w:rsidRDefault="009E6662" w:rsidP="00905C20">
      <w:pPr>
        <w:spacing w:line="0" w:lineRule="atLeast"/>
        <w:rPr>
          <w:color w:val="000000" w:themeColor="text1"/>
        </w:rPr>
      </w:pPr>
      <w:r w:rsidRPr="00DA5392">
        <w:rPr>
          <w:color w:val="000000" w:themeColor="text1"/>
        </w:rPr>
        <w:t>4.5.2. Add 247.6 mL of 0.9% sodium chloride to the bottle.</w:t>
      </w:r>
    </w:p>
    <w:p w14:paraId="283D931C" w14:textId="77777777" w:rsidR="000E52B8" w:rsidRPr="00DA5392" w:rsidRDefault="000E52B8" w:rsidP="00905C20">
      <w:pPr>
        <w:spacing w:line="0" w:lineRule="atLeast"/>
        <w:rPr>
          <w:color w:val="000000" w:themeColor="text1"/>
        </w:rPr>
      </w:pPr>
    </w:p>
    <w:p w14:paraId="5D416E4A" w14:textId="2656D72F" w:rsidR="000E52B8" w:rsidRPr="00DA5392" w:rsidRDefault="009E6662" w:rsidP="00905C20">
      <w:pPr>
        <w:spacing w:line="0" w:lineRule="atLeast"/>
        <w:rPr>
          <w:color w:val="000000" w:themeColor="text1"/>
        </w:rPr>
      </w:pPr>
      <w:r w:rsidRPr="00DA5392">
        <w:rPr>
          <w:color w:val="000000" w:themeColor="text1"/>
        </w:rPr>
        <w:t>4.5.3. Add 66.4 mL of the patient’s plasma.</w:t>
      </w:r>
    </w:p>
    <w:p w14:paraId="3230F3E9" w14:textId="77777777" w:rsidR="000E52B8" w:rsidRPr="00DA5392" w:rsidRDefault="000E52B8" w:rsidP="00905C20">
      <w:pPr>
        <w:spacing w:line="0" w:lineRule="atLeast"/>
        <w:rPr>
          <w:color w:val="000000" w:themeColor="text1"/>
        </w:rPr>
      </w:pPr>
    </w:p>
    <w:p w14:paraId="1B0A021F" w14:textId="6F925097" w:rsidR="000E52B8" w:rsidRPr="00DA5392" w:rsidRDefault="009E6662" w:rsidP="00905C20">
      <w:pPr>
        <w:spacing w:line="0" w:lineRule="atLeast"/>
        <w:rPr>
          <w:color w:val="000000" w:themeColor="text1"/>
        </w:rPr>
      </w:pPr>
      <w:r w:rsidRPr="00DA5392">
        <w:rPr>
          <w:color w:val="000000" w:themeColor="text1"/>
        </w:rPr>
        <w:t xml:space="preserve">4.5.4. </w:t>
      </w:r>
      <w:r w:rsidR="00CC769F" w:rsidRPr="00DA5392">
        <w:rPr>
          <w:color w:val="000000" w:themeColor="text1"/>
        </w:rPr>
        <w:t xml:space="preserve">Before transferring the mononuclear cell layer (see Step 4.1.3), collect 10–15 mL of plasma from each centrifuged 50 mL conical tube and transfer the plasma into the 500 mL centrifuge bottle (see Step 4.5.1), resulting in a total patient plasma volume of 66.4 </w:t>
      </w:r>
      <w:proofErr w:type="spellStart"/>
      <w:r w:rsidR="00CC769F" w:rsidRPr="00DA5392">
        <w:rPr>
          <w:color w:val="000000" w:themeColor="text1"/>
        </w:rPr>
        <w:t>mL.</w:t>
      </w:r>
      <w:proofErr w:type="spellEnd"/>
    </w:p>
    <w:p w14:paraId="6A0015E2" w14:textId="77777777" w:rsidR="000E52B8" w:rsidRPr="00DA5392" w:rsidRDefault="000E52B8" w:rsidP="00905C20">
      <w:pPr>
        <w:spacing w:line="0" w:lineRule="atLeast"/>
        <w:rPr>
          <w:color w:val="000000" w:themeColor="text1"/>
        </w:rPr>
      </w:pPr>
    </w:p>
    <w:p w14:paraId="205468E7" w14:textId="77777777" w:rsidR="000E52B8" w:rsidRPr="00DA5392" w:rsidRDefault="009E6662" w:rsidP="00905C20">
      <w:pPr>
        <w:spacing w:line="0" w:lineRule="atLeast"/>
        <w:rPr>
          <w:color w:val="000000" w:themeColor="text1"/>
        </w:rPr>
      </w:pPr>
      <w:r w:rsidRPr="00DA5392">
        <w:rPr>
          <w:color w:val="000000" w:themeColor="text1"/>
        </w:rPr>
        <w:t>4.5.5. Add 10 mL of the patient’s mononuclear cell suspension to the prepared cell culture medium and mix.</w:t>
      </w:r>
    </w:p>
    <w:p w14:paraId="61492BAD" w14:textId="77777777" w:rsidR="000E52B8" w:rsidRPr="00DA5392" w:rsidRDefault="000E52B8" w:rsidP="00905C20">
      <w:pPr>
        <w:spacing w:line="0" w:lineRule="atLeast"/>
        <w:rPr>
          <w:color w:val="000000" w:themeColor="text1"/>
        </w:rPr>
      </w:pPr>
    </w:p>
    <w:p w14:paraId="4F1D69CF" w14:textId="77777777" w:rsidR="000E52B8" w:rsidRPr="00DA5392" w:rsidRDefault="009E6662" w:rsidP="00905C20">
      <w:pPr>
        <w:spacing w:line="0" w:lineRule="atLeast"/>
        <w:rPr>
          <w:color w:val="000000" w:themeColor="text1"/>
        </w:rPr>
      </w:pPr>
      <w:r w:rsidRPr="00DA5392">
        <w:rPr>
          <w:color w:val="000000" w:themeColor="text1"/>
        </w:rPr>
        <w:t>4.5.6. Load 27 mL of the cell suspension into each layer of the 12-layer CB-SC-coated immune-education culture device using a 25 mL plastic pipette.</w:t>
      </w:r>
    </w:p>
    <w:p w14:paraId="3670FB7F" w14:textId="77777777" w:rsidR="000E52B8" w:rsidRPr="00DA5392" w:rsidRDefault="000E52B8" w:rsidP="00905C20">
      <w:pPr>
        <w:spacing w:line="0" w:lineRule="atLeast"/>
        <w:rPr>
          <w:color w:val="000000" w:themeColor="text1"/>
        </w:rPr>
      </w:pPr>
    </w:p>
    <w:p w14:paraId="276D140D" w14:textId="77777777" w:rsidR="000E52B8" w:rsidRPr="00DA5392" w:rsidRDefault="009E6662" w:rsidP="00905C20">
      <w:pPr>
        <w:spacing w:line="0" w:lineRule="atLeast"/>
        <w:rPr>
          <w:color w:val="000000" w:themeColor="text1"/>
        </w:rPr>
      </w:pPr>
      <w:r w:rsidRPr="00DA5392">
        <w:rPr>
          <w:color w:val="000000" w:themeColor="text1"/>
        </w:rPr>
        <w:t>4.5.7. Incubate the device at 37°C under 8% CO₂ for 17 ± 1 h.</w:t>
      </w:r>
    </w:p>
    <w:p w14:paraId="1EA6F331" w14:textId="77777777" w:rsidR="000E52B8" w:rsidRPr="00297732" w:rsidRDefault="000E52B8" w:rsidP="00905C20">
      <w:pPr>
        <w:spacing w:line="0" w:lineRule="atLeast"/>
        <w:rPr>
          <w:color w:val="000000" w:themeColor="text1"/>
          <w:highlight w:val="yellow"/>
        </w:rPr>
      </w:pPr>
    </w:p>
    <w:p w14:paraId="05CC68AF" w14:textId="77777777" w:rsidR="000E52B8" w:rsidRPr="00905C20" w:rsidRDefault="009E6662" w:rsidP="00905C20">
      <w:pPr>
        <w:spacing w:line="0" w:lineRule="atLeast"/>
        <w:rPr>
          <w:color w:val="000000" w:themeColor="text1"/>
        </w:rPr>
      </w:pPr>
      <w:r w:rsidRPr="00D30A7D">
        <w:rPr>
          <w:color w:val="000000" w:themeColor="text1"/>
        </w:rPr>
        <w:t>4.6. Perform sterility testing</w:t>
      </w:r>
    </w:p>
    <w:p w14:paraId="0DD8B8CD" w14:textId="77777777" w:rsidR="000E52B8" w:rsidRPr="00905C20" w:rsidRDefault="000E52B8" w:rsidP="00905C20">
      <w:pPr>
        <w:spacing w:line="0" w:lineRule="atLeast"/>
        <w:rPr>
          <w:color w:val="000000" w:themeColor="text1"/>
        </w:rPr>
      </w:pPr>
    </w:p>
    <w:p w14:paraId="4E363EED" w14:textId="72E40EB7" w:rsidR="000E52B8" w:rsidRPr="00905C20" w:rsidRDefault="009E6662" w:rsidP="00905C20">
      <w:pPr>
        <w:spacing w:line="0" w:lineRule="atLeast"/>
        <w:rPr>
          <w:color w:val="000000" w:themeColor="text1"/>
        </w:rPr>
      </w:pPr>
      <w:r w:rsidRPr="00905C20">
        <w:rPr>
          <w:color w:val="000000" w:themeColor="text1"/>
        </w:rPr>
        <w:t>4.6.1. Using a 10 mL syringe, inoculate 9 mL of the cell suspension into each aerobic and anaerobic sterility-test bottle.</w:t>
      </w:r>
    </w:p>
    <w:p w14:paraId="1218FB9E" w14:textId="77777777" w:rsidR="000E52B8" w:rsidRPr="00905C20" w:rsidRDefault="000E52B8" w:rsidP="00905C20">
      <w:pPr>
        <w:spacing w:line="0" w:lineRule="atLeast"/>
        <w:rPr>
          <w:color w:val="000000" w:themeColor="text1"/>
        </w:rPr>
      </w:pPr>
    </w:p>
    <w:p w14:paraId="637996FE" w14:textId="4D6A7E2A" w:rsidR="000E52B8" w:rsidRPr="00905C20" w:rsidRDefault="009E6662" w:rsidP="00905C20">
      <w:pPr>
        <w:spacing w:line="0" w:lineRule="atLeast"/>
        <w:rPr>
          <w:color w:val="000000" w:themeColor="text1"/>
        </w:rPr>
      </w:pPr>
      <w:r w:rsidRPr="00905C20">
        <w:rPr>
          <w:color w:val="000000" w:themeColor="text1"/>
        </w:rPr>
        <w:t>4.6.2. Load the sterility-test bottles into the automated blood culture system and initiate sterility testing.</w:t>
      </w:r>
    </w:p>
    <w:p w14:paraId="4AA269C3" w14:textId="77777777" w:rsidR="000E52B8" w:rsidRPr="00905C20" w:rsidRDefault="000E52B8" w:rsidP="00905C20">
      <w:pPr>
        <w:spacing w:line="0" w:lineRule="atLeast"/>
        <w:rPr>
          <w:color w:val="000000" w:themeColor="text1"/>
        </w:rPr>
      </w:pPr>
    </w:p>
    <w:p w14:paraId="53C02F5C" w14:textId="77777777" w:rsidR="000E52B8" w:rsidRPr="00905C20" w:rsidRDefault="009E6662" w:rsidP="00905C20">
      <w:pPr>
        <w:spacing w:line="0" w:lineRule="atLeast"/>
        <w:rPr>
          <w:color w:val="000000" w:themeColor="text1"/>
        </w:rPr>
      </w:pPr>
      <w:r w:rsidRPr="00905C20">
        <w:rPr>
          <w:color w:val="000000" w:themeColor="text1"/>
        </w:rPr>
        <w:t>NOTE: Use this sterility test to determine whether the apheresis product was contaminated during collection or processing.</w:t>
      </w:r>
    </w:p>
    <w:p w14:paraId="0EE5CE3E" w14:textId="77777777" w:rsidR="000E52B8" w:rsidRPr="00905C20" w:rsidRDefault="000E52B8" w:rsidP="00905C20">
      <w:pPr>
        <w:spacing w:line="0" w:lineRule="atLeast"/>
        <w:rPr>
          <w:color w:val="000000" w:themeColor="text1"/>
        </w:rPr>
      </w:pPr>
    </w:p>
    <w:p w14:paraId="2125D0A1" w14:textId="05C18E62" w:rsidR="000E52B8" w:rsidRPr="00905C20" w:rsidRDefault="009E6662" w:rsidP="00905C20">
      <w:pPr>
        <w:spacing w:line="0" w:lineRule="atLeast"/>
        <w:rPr>
          <w:color w:val="000000" w:themeColor="text1"/>
        </w:rPr>
      </w:pPr>
      <w:r w:rsidRPr="00905C20">
        <w:rPr>
          <w:color w:val="000000" w:themeColor="text1"/>
        </w:rPr>
        <w:t xml:space="preserve">4.6.3. </w:t>
      </w:r>
      <w:r w:rsidR="00284E6C" w:rsidRPr="00905C20">
        <w:rPr>
          <w:color w:val="000000" w:themeColor="text1"/>
        </w:rPr>
        <w:t>After 17</w:t>
      </w:r>
      <w:r w:rsidR="00EA7FBA" w:rsidRPr="00905C20">
        <w:rPr>
          <w:color w:val="000000" w:themeColor="text1"/>
        </w:rPr>
        <w:t xml:space="preserve"> </w:t>
      </w:r>
      <w:r w:rsidR="00284E6C" w:rsidRPr="00905C20">
        <w:rPr>
          <w:color w:val="000000" w:themeColor="text1"/>
        </w:rPr>
        <w:t>h</w:t>
      </w:r>
      <w:r w:rsidR="00EA7FBA" w:rsidRPr="00905C20">
        <w:rPr>
          <w:color w:val="000000" w:themeColor="text1"/>
        </w:rPr>
        <w:t xml:space="preserve"> of </w:t>
      </w:r>
      <w:r w:rsidR="00284E6C" w:rsidRPr="00905C20">
        <w:rPr>
          <w:color w:val="000000" w:themeColor="text1"/>
        </w:rPr>
        <w:t>sterility test</w:t>
      </w:r>
      <w:r w:rsidR="00EA7FBA" w:rsidRPr="00905C20">
        <w:rPr>
          <w:color w:val="000000" w:themeColor="text1"/>
        </w:rPr>
        <w:t>ing</w:t>
      </w:r>
      <w:r w:rsidR="00284E6C" w:rsidRPr="00905C20">
        <w:rPr>
          <w:color w:val="000000" w:themeColor="text1"/>
        </w:rPr>
        <w:t xml:space="preserve"> (see step 5.5.3), review the real-time sterility results and </w:t>
      </w:r>
      <w:r w:rsidR="00E70B38" w:rsidRPr="00905C20">
        <w:rPr>
          <w:color w:val="000000" w:themeColor="text1"/>
        </w:rPr>
        <w:t xml:space="preserve">assess </w:t>
      </w:r>
      <w:r w:rsidR="00E70B38" w:rsidRPr="00905C20">
        <w:rPr>
          <w:color w:val="000000" w:themeColor="text1"/>
        </w:rPr>
        <w:lastRenderedPageBreak/>
        <w:t>whether microbial contamination is present in the apheresis product</w:t>
      </w:r>
      <w:r w:rsidR="00284E6C" w:rsidRPr="00905C20">
        <w:rPr>
          <w:color w:val="000000" w:themeColor="text1"/>
        </w:rPr>
        <w:t>.</w:t>
      </w:r>
    </w:p>
    <w:p w14:paraId="42C17B7E" w14:textId="77777777" w:rsidR="000E52B8" w:rsidRPr="00905C20" w:rsidRDefault="000E52B8" w:rsidP="00905C20">
      <w:pPr>
        <w:spacing w:line="0" w:lineRule="atLeast"/>
        <w:rPr>
          <w:color w:val="000000" w:themeColor="text1"/>
        </w:rPr>
      </w:pPr>
    </w:p>
    <w:p w14:paraId="13AB63CC" w14:textId="77777777" w:rsidR="000E52B8" w:rsidRPr="00DA5392" w:rsidRDefault="009E6662" w:rsidP="00905C20">
      <w:pPr>
        <w:spacing w:line="0" w:lineRule="atLeast"/>
        <w:rPr>
          <w:b/>
          <w:bCs/>
          <w:color w:val="000000" w:themeColor="text1"/>
        </w:rPr>
      </w:pPr>
      <w:r w:rsidRPr="00DA5392">
        <w:rPr>
          <w:b/>
          <w:bCs/>
          <w:color w:val="000000" w:themeColor="text1"/>
        </w:rPr>
        <w:t>5. Collect the final product and perform quality control (QC) testing</w:t>
      </w:r>
    </w:p>
    <w:p w14:paraId="3120467A" w14:textId="77777777" w:rsidR="000E52B8" w:rsidRPr="00DA5392" w:rsidRDefault="000E52B8" w:rsidP="00905C20">
      <w:pPr>
        <w:spacing w:line="0" w:lineRule="atLeast"/>
        <w:rPr>
          <w:color w:val="000000" w:themeColor="text1"/>
        </w:rPr>
      </w:pPr>
    </w:p>
    <w:p w14:paraId="3E3C8718" w14:textId="77777777" w:rsidR="000E52B8" w:rsidRPr="00DA5392" w:rsidRDefault="009E6662" w:rsidP="00905C20">
      <w:pPr>
        <w:spacing w:line="0" w:lineRule="atLeast"/>
        <w:rPr>
          <w:color w:val="000000" w:themeColor="text1"/>
        </w:rPr>
      </w:pPr>
      <w:r w:rsidRPr="00DA5392">
        <w:rPr>
          <w:color w:val="000000" w:themeColor="text1"/>
        </w:rPr>
        <w:t>5.1. Verify the sterility-test result</w:t>
      </w:r>
    </w:p>
    <w:p w14:paraId="33177637" w14:textId="77777777" w:rsidR="000E52B8" w:rsidRPr="00DA5392" w:rsidRDefault="000E52B8" w:rsidP="00905C20">
      <w:pPr>
        <w:spacing w:line="0" w:lineRule="atLeast"/>
        <w:rPr>
          <w:color w:val="000000" w:themeColor="text1"/>
        </w:rPr>
      </w:pPr>
    </w:p>
    <w:p w14:paraId="261EF54C" w14:textId="77777777" w:rsidR="000E52B8" w:rsidRPr="00DA5392" w:rsidRDefault="009E6662" w:rsidP="00905C20">
      <w:pPr>
        <w:spacing w:line="0" w:lineRule="atLeast"/>
        <w:rPr>
          <w:color w:val="000000" w:themeColor="text1"/>
        </w:rPr>
      </w:pPr>
      <w:r w:rsidRPr="00DA5392">
        <w:rPr>
          <w:color w:val="000000" w:themeColor="text1"/>
        </w:rPr>
        <w:t>5.1.1. Check the sterility-test result for the apheresis product before collecting the final product.</w:t>
      </w:r>
    </w:p>
    <w:p w14:paraId="0CB52BDF" w14:textId="77777777" w:rsidR="000E52B8" w:rsidRPr="00DA5392" w:rsidRDefault="000E52B8" w:rsidP="00905C20">
      <w:pPr>
        <w:spacing w:line="0" w:lineRule="atLeast"/>
        <w:rPr>
          <w:color w:val="000000" w:themeColor="text1"/>
        </w:rPr>
      </w:pPr>
    </w:p>
    <w:p w14:paraId="1D60B386" w14:textId="77777777" w:rsidR="000E52B8" w:rsidRPr="00DA5392" w:rsidRDefault="009E6662" w:rsidP="00905C20">
      <w:pPr>
        <w:spacing w:line="0" w:lineRule="atLeast"/>
        <w:rPr>
          <w:color w:val="000000" w:themeColor="text1"/>
        </w:rPr>
      </w:pPr>
      <w:r w:rsidRPr="00DA5392">
        <w:rPr>
          <w:color w:val="000000" w:themeColor="text1"/>
        </w:rPr>
        <w:t>5.1.2. Discard the product and do not collect or infuse it if the sterility-test result is positive for bacterial contamination.</w:t>
      </w:r>
    </w:p>
    <w:p w14:paraId="21D3E749" w14:textId="77777777" w:rsidR="000E52B8" w:rsidRPr="00DA5392" w:rsidRDefault="000E52B8" w:rsidP="00905C20">
      <w:pPr>
        <w:spacing w:line="0" w:lineRule="atLeast"/>
        <w:rPr>
          <w:color w:val="000000" w:themeColor="text1"/>
        </w:rPr>
      </w:pPr>
    </w:p>
    <w:p w14:paraId="595C998F" w14:textId="77777777" w:rsidR="000E52B8" w:rsidRPr="00DA5392" w:rsidRDefault="009E6662" w:rsidP="00905C20">
      <w:pPr>
        <w:spacing w:line="0" w:lineRule="atLeast"/>
        <w:rPr>
          <w:color w:val="000000" w:themeColor="text1"/>
        </w:rPr>
      </w:pPr>
      <w:r w:rsidRPr="00DA5392">
        <w:rPr>
          <w:color w:val="000000" w:themeColor="text1"/>
        </w:rPr>
        <w:t>5.2. Prepare the immune-education culture device for final-product collection</w:t>
      </w:r>
    </w:p>
    <w:p w14:paraId="507BEC13" w14:textId="77777777" w:rsidR="000E52B8" w:rsidRPr="00DA5392" w:rsidRDefault="000E52B8" w:rsidP="00905C20">
      <w:pPr>
        <w:spacing w:line="0" w:lineRule="atLeast"/>
        <w:rPr>
          <w:color w:val="000000" w:themeColor="text1"/>
        </w:rPr>
      </w:pPr>
    </w:p>
    <w:p w14:paraId="3D1C68AC" w14:textId="77777777" w:rsidR="000E52B8" w:rsidRPr="00DA5392" w:rsidRDefault="009E6662" w:rsidP="00905C20">
      <w:pPr>
        <w:spacing w:line="0" w:lineRule="atLeast"/>
        <w:rPr>
          <w:color w:val="000000" w:themeColor="text1"/>
        </w:rPr>
      </w:pPr>
      <w:r w:rsidRPr="00DA5392">
        <w:rPr>
          <w:color w:val="000000" w:themeColor="text1"/>
        </w:rPr>
        <w:t>5.2.1. Wipe the 12-layer immune-education culture device with a 70% alcohol preparation pad and place it in the biosafety cabinet.</w:t>
      </w:r>
    </w:p>
    <w:p w14:paraId="05E86B2D" w14:textId="77777777" w:rsidR="000E52B8" w:rsidRPr="00DA5392" w:rsidRDefault="000E52B8" w:rsidP="00905C20">
      <w:pPr>
        <w:spacing w:line="0" w:lineRule="atLeast"/>
        <w:rPr>
          <w:color w:val="000000" w:themeColor="text1"/>
        </w:rPr>
      </w:pPr>
    </w:p>
    <w:p w14:paraId="406444E9" w14:textId="77777777" w:rsidR="000E52B8" w:rsidRPr="00DA5392" w:rsidRDefault="009E6662" w:rsidP="00905C20">
      <w:pPr>
        <w:spacing w:line="0" w:lineRule="atLeast"/>
        <w:rPr>
          <w:color w:val="000000" w:themeColor="text1"/>
        </w:rPr>
      </w:pPr>
      <w:r w:rsidRPr="00DA5392">
        <w:rPr>
          <w:color w:val="000000" w:themeColor="text1"/>
        </w:rPr>
        <w:t>5.2.2. Clean the top port with an alcohol preparation pad and remove the white cap.</w:t>
      </w:r>
    </w:p>
    <w:p w14:paraId="61B474E3" w14:textId="77777777" w:rsidR="000E52B8" w:rsidRPr="00DA5392" w:rsidRDefault="000E52B8" w:rsidP="00905C20">
      <w:pPr>
        <w:spacing w:line="0" w:lineRule="atLeast"/>
        <w:rPr>
          <w:color w:val="000000" w:themeColor="text1"/>
        </w:rPr>
      </w:pPr>
    </w:p>
    <w:p w14:paraId="62F504ED" w14:textId="77777777" w:rsidR="000E52B8" w:rsidRPr="00DA5392" w:rsidRDefault="009E6662" w:rsidP="00905C20">
      <w:pPr>
        <w:spacing w:line="0" w:lineRule="atLeast"/>
        <w:rPr>
          <w:color w:val="000000" w:themeColor="text1"/>
        </w:rPr>
      </w:pPr>
      <w:r w:rsidRPr="00DA5392">
        <w:rPr>
          <w:color w:val="000000" w:themeColor="text1"/>
        </w:rPr>
        <w:t>5.2.3. Attach the Plastisol Horseshoe Y connector from the loading set to the top port.</w:t>
      </w:r>
    </w:p>
    <w:p w14:paraId="6CCAD77B" w14:textId="77777777" w:rsidR="000E52B8" w:rsidRPr="00DA5392" w:rsidRDefault="000E52B8" w:rsidP="00905C20">
      <w:pPr>
        <w:spacing w:line="0" w:lineRule="atLeast"/>
        <w:rPr>
          <w:color w:val="000000" w:themeColor="text1"/>
        </w:rPr>
      </w:pPr>
    </w:p>
    <w:p w14:paraId="3CB96C4A" w14:textId="77777777" w:rsidR="000E52B8" w:rsidRPr="00DA5392" w:rsidRDefault="009E6662" w:rsidP="00905C20">
      <w:pPr>
        <w:spacing w:line="0" w:lineRule="atLeast"/>
        <w:rPr>
          <w:color w:val="000000" w:themeColor="text1"/>
        </w:rPr>
      </w:pPr>
      <w:r w:rsidRPr="00DA5392">
        <w:rPr>
          <w:color w:val="000000" w:themeColor="text1"/>
        </w:rPr>
        <w:t>5.2.4. Close all pinch clamps on the Y connector of the loading set.</w:t>
      </w:r>
    </w:p>
    <w:p w14:paraId="307C2E39" w14:textId="77777777" w:rsidR="000E52B8" w:rsidRPr="00DA5392" w:rsidRDefault="000E52B8" w:rsidP="00905C20">
      <w:pPr>
        <w:spacing w:line="0" w:lineRule="atLeast"/>
        <w:rPr>
          <w:color w:val="000000" w:themeColor="text1"/>
        </w:rPr>
      </w:pPr>
    </w:p>
    <w:p w14:paraId="2706044B" w14:textId="77777777" w:rsidR="000E52B8" w:rsidRPr="00DA5392" w:rsidRDefault="009E6662" w:rsidP="00905C20">
      <w:pPr>
        <w:spacing w:line="0" w:lineRule="atLeast"/>
        <w:rPr>
          <w:color w:val="000000" w:themeColor="text1"/>
        </w:rPr>
      </w:pPr>
      <w:r w:rsidRPr="00DA5392">
        <w:rPr>
          <w:color w:val="000000" w:themeColor="text1"/>
        </w:rPr>
        <w:t>5.2.5. Using the spike with chamber, connect a 250 mL bag of 0.9% sodium chloride to the loading set.</w:t>
      </w:r>
    </w:p>
    <w:p w14:paraId="2CDF84F1" w14:textId="77777777" w:rsidR="000E52B8" w:rsidRPr="00DA5392" w:rsidRDefault="000E52B8" w:rsidP="00905C20">
      <w:pPr>
        <w:spacing w:line="0" w:lineRule="atLeast"/>
        <w:rPr>
          <w:color w:val="000000" w:themeColor="text1"/>
        </w:rPr>
      </w:pPr>
    </w:p>
    <w:p w14:paraId="15FBE746" w14:textId="77777777" w:rsidR="000E52B8" w:rsidRPr="00DA5392" w:rsidRDefault="009E6662" w:rsidP="00905C20">
      <w:pPr>
        <w:spacing w:line="0" w:lineRule="atLeast"/>
        <w:rPr>
          <w:color w:val="000000" w:themeColor="text1"/>
        </w:rPr>
      </w:pPr>
      <w:r w:rsidRPr="00DA5392">
        <w:rPr>
          <w:color w:val="000000" w:themeColor="text1"/>
        </w:rPr>
        <w:t>5.2.6. Hang the 0.9% sodium chloride bag from the hook inside the biosafety cabinet.</w:t>
      </w:r>
    </w:p>
    <w:p w14:paraId="7BE4141C" w14:textId="77777777" w:rsidR="000E52B8" w:rsidRPr="00DA5392" w:rsidRDefault="000E52B8" w:rsidP="00905C20">
      <w:pPr>
        <w:spacing w:line="0" w:lineRule="atLeast"/>
        <w:rPr>
          <w:color w:val="000000" w:themeColor="text1"/>
        </w:rPr>
      </w:pPr>
    </w:p>
    <w:p w14:paraId="77E47266" w14:textId="77777777" w:rsidR="000E52B8" w:rsidRPr="00DA5392" w:rsidRDefault="009E6662" w:rsidP="00905C20">
      <w:pPr>
        <w:spacing w:line="0" w:lineRule="atLeast"/>
        <w:rPr>
          <w:color w:val="000000" w:themeColor="text1"/>
        </w:rPr>
      </w:pPr>
      <w:r w:rsidRPr="00DA5392">
        <w:rPr>
          <w:color w:val="000000" w:themeColor="text1"/>
        </w:rPr>
        <w:t>5.2.7. Clean the bottom port with an alcohol preparation pad and remove the cap.</w:t>
      </w:r>
    </w:p>
    <w:p w14:paraId="1205B98E" w14:textId="77777777" w:rsidR="000E52B8" w:rsidRPr="00DA5392" w:rsidRDefault="000E52B8" w:rsidP="00905C20">
      <w:pPr>
        <w:spacing w:line="0" w:lineRule="atLeast"/>
        <w:rPr>
          <w:color w:val="000000" w:themeColor="text1"/>
        </w:rPr>
      </w:pPr>
    </w:p>
    <w:p w14:paraId="00AC31DD" w14:textId="77777777" w:rsidR="000E52B8" w:rsidRPr="00DA5392" w:rsidRDefault="009E6662" w:rsidP="00905C20">
      <w:pPr>
        <w:spacing w:line="0" w:lineRule="atLeast"/>
        <w:rPr>
          <w:color w:val="000000" w:themeColor="text1"/>
        </w:rPr>
      </w:pPr>
      <w:r w:rsidRPr="00DA5392">
        <w:rPr>
          <w:color w:val="000000" w:themeColor="text1"/>
        </w:rPr>
        <w:t>5.2.8. Attach a Plastisol Horseshoe Y connector to the bottom port.</w:t>
      </w:r>
    </w:p>
    <w:p w14:paraId="6901A461" w14:textId="77777777" w:rsidR="000E52B8" w:rsidRPr="00DA5392" w:rsidRDefault="000E52B8" w:rsidP="00905C20">
      <w:pPr>
        <w:spacing w:line="0" w:lineRule="atLeast"/>
        <w:rPr>
          <w:color w:val="000000" w:themeColor="text1"/>
        </w:rPr>
      </w:pPr>
    </w:p>
    <w:p w14:paraId="7F0C06CF" w14:textId="77777777" w:rsidR="000E52B8" w:rsidRPr="00DA5392" w:rsidRDefault="009E6662" w:rsidP="00905C20">
      <w:pPr>
        <w:spacing w:line="0" w:lineRule="atLeast"/>
        <w:rPr>
          <w:color w:val="000000" w:themeColor="text1"/>
        </w:rPr>
      </w:pPr>
      <w:r w:rsidRPr="00DA5392">
        <w:rPr>
          <w:color w:val="000000" w:themeColor="text1"/>
        </w:rPr>
        <w:t>5.2.9. Connect a 1,000 mL collection bag to the bottom Y connector.</w:t>
      </w:r>
    </w:p>
    <w:p w14:paraId="0B6E3C3F" w14:textId="77777777" w:rsidR="000E52B8" w:rsidRPr="00DA5392" w:rsidRDefault="000E52B8" w:rsidP="00905C20">
      <w:pPr>
        <w:spacing w:line="0" w:lineRule="atLeast"/>
        <w:rPr>
          <w:color w:val="000000" w:themeColor="text1"/>
        </w:rPr>
      </w:pPr>
    </w:p>
    <w:p w14:paraId="1F09F8E8" w14:textId="77777777" w:rsidR="000E52B8" w:rsidRPr="00DA5392" w:rsidRDefault="009E6662" w:rsidP="00905C20">
      <w:pPr>
        <w:spacing w:line="0" w:lineRule="atLeast"/>
        <w:rPr>
          <w:color w:val="000000" w:themeColor="text1"/>
        </w:rPr>
      </w:pPr>
      <w:r w:rsidRPr="00DA5392">
        <w:rPr>
          <w:color w:val="000000" w:themeColor="text1"/>
        </w:rPr>
        <w:t>5.2.10. Place the 1,000 mL collection bag in a tray outside the biosafety cabinet and leave the corresponding clamp open. Position the collection bag below the level of the biosafety cabinet to permit continuous gravity flow.</w:t>
      </w:r>
    </w:p>
    <w:p w14:paraId="5C9EA2B6" w14:textId="77777777" w:rsidR="000E52B8" w:rsidRPr="00DA5392" w:rsidRDefault="000E52B8" w:rsidP="00905C20">
      <w:pPr>
        <w:spacing w:line="0" w:lineRule="atLeast"/>
        <w:rPr>
          <w:color w:val="000000" w:themeColor="text1"/>
        </w:rPr>
      </w:pPr>
    </w:p>
    <w:p w14:paraId="4CD5166E" w14:textId="77777777" w:rsidR="000E52B8" w:rsidRPr="00DA5392" w:rsidRDefault="009E6662" w:rsidP="00905C20">
      <w:pPr>
        <w:spacing w:line="0" w:lineRule="atLeast"/>
        <w:rPr>
          <w:color w:val="000000" w:themeColor="text1"/>
        </w:rPr>
      </w:pPr>
      <w:r w:rsidRPr="00DA5392">
        <w:rPr>
          <w:color w:val="000000" w:themeColor="text1"/>
        </w:rPr>
        <w:t>5.2.11. Unclamp the 0.9% sodium chloride bag and allow the solution to drain into the immune-education culture device.</w:t>
      </w:r>
    </w:p>
    <w:p w14:paraId="25CA4C89" w14:textId="77777777" w:rsidR="000E52B8" w:rsidRPr="00DA5392" w:rsidRDefault="000E52B8" w:rsidP="00905C20">
      <w:pPr>
        <w:spacing w:line="0" w:lineRule="atLeast"/>
        <w:rPr>
          <w:color w:val="000000" w:themeColor="text1"/>
        </w:rPr>
      </w:pPr>
    </w:p>
    <w:p w14:paraId="5CE6DDB0" w14:textId="77777777" w:rsidR="000E52B8" w:rsidRPr="00DA5392" w:rsidRDefault="009E6662" w:rsidP="00905C20">
      <w:pPr>
        <w:spacing w:line="0" w:lineRule="atLeast"/>
        <w:rPr>
          <w:color w:val="000000" w:themeColor="text1"/>
        </w:rPr>
      </w:pPr>
      <w:r w:rsidRPr="00DA5392">
        <w:rPr>
          <w:color w:val="000000" w:themeColor="text1"/>
        </w:rPr>
        <w:t>5.2.12. Swirl the device using a circular motion to allow the 0.9% sodium chloride to wash downward through the device and drain into the collection bag.</w:t>
      </w:r>
    </w:p>
    <w:p w14:paraId="1FD39270" w14:textId="77777777" w:rsidR="000E52B8" w:rsidRPr="00DA5392" w:rsidRDefault="000E52B8" w:rsidP="00905C20">
      <w:pPr>
        <w:spacing w:line="0" w:lineRule="atLeast"/>
        <w:rPr>
          <w:color w:val="000000" w:themeColor="text1"/>
        </w:rPr>
      </w:pPr>
    </w:p>
    <w:p w14:paraId="12A5A2F0" w14:textId="77777777" w:rsidR="000E52B8" w:rsidRPr="00DA5392" w:rsidRDefault="009E6662" w:rsidP="00905C20">
      <w:pPr>
        <w:spacing w:line="0" w:lineRule="atLeast"/>
        <w:rPr>
          <w:color w:val="000000" w:themeColor="text1"/>
        </w:rPr>
      </w:pPr>
      <w:r w:rsidRPr="00DA5392">
        <w:rPr>
          <w:color w:val="000000" w:themeColor="text1"/>
        </w:rPr>
        <w:t>5.3. Collect the final product</w:t>
      </w:r>
    </w:p>
    <w:p w14:paraId="77689944" w14:textId="77777777" w:rsidR="000E52B8" w:rsidRPr="00DA5392" w:rsidRDefault="000E52B8" w:rsidP="00905C20">
      <w:pPr>
        <w:spacing w:line="0" w:lineRule="atLeast"/>
        <w:rPr>
          <w:color w:val="000000" w:themeColor="text1"/>
        </w:rPr>
      </w:pPr>
    </w:p>
    <w:p w14:paraId="02CCBBDE" w14:textId="77777777" w:rsidR="000E52B8" w:rsidRPr="00DA5392" w:rsidRDefault="009E6662" w:rsidP="00905C20">
      <w:pPr>
        <w:spacing w:line="0" w:lineRule="atLeast"/>
        <w:rPr>
          <w:color w:val="000000" w:themeColor="text1"/>
        </w:rPr>
      </w:pPr>
      <w:r w:rsidRPr="00DA5392">
        <w:rPr>
          <w:color w:val="000000" w:themeColor="text1"/>
        </w:rPr>
        <w:t>5.3.1. Tilt the immune-education culture device to drain the SCE-treated MNC apheresis product into the collection bag.</w:t>
      </w:r>
    </w:p>
    <w:p w14:paraId="034FF85D" w14:textId="77777777" w:rsidR="000E52B8" w:rsidRPr="00DA5392" w:rsidRDefault="000E52B8" w:rsidP="00905C20">
      <w:pPr>
        <w:spacing w:line="0" w:lineRule="atLeast"/>
        <w:rPr>
          <w:color w:val="000000" w:themeColor="text1"/>
        </w:rPr>
      </w:pPr>
    </w:p>
    <w:p w14:paraId="2DF7AA8E" w14:textId="77777777" w:rsidR="000E52B8" w:rsidRPr="00DA5392" w:rsidRDefault="009E6662" w:rsidP="00905C20">
      <w:pPr>
        <w:spacing w:line="0" w:lineRule="atLeast"/>
        <w:rPr>
          <w:color w:val="000000" w:themeColor="text1"/>
        </w:rPr>
      </w:pPr>
      <w:r w:rsidRPr="00DA5392">
        <w:rPr>
          <w:color w:val="000000" w:themeColor="text1"/>
        </w:rPr>
        <w:t>5.3.2. After the product has completely drained into the collection bag, disconnect the loading set from the bottom Y connector and connect a new 50 mL syringe.</w:t>
      </w:r>
    </w:p>
    <w:p w14:paraId="1156DEDA" w14:textId="77777777" w:rsidR="000E52B8" w:rsidRPr="00DA5392" w:rsidRDefault="000E52B8" w:rsidP="00905C20">
      <w:pPr>
        <w:spacing w:line="0" w:lineRule="atLeast"/>
        <w:rPr>
          <w:color w:val="000000" w:themeColor="text1"/>
        </w:rPr>
      </w:pPr>
    </w:p>
    <w:p w14:paraId="4CB01827" w14:textId="77777777" w:rsidR="000E52B8" w:rsidRPr="00DA5392" w:rsidRDefault="009E6662" w:rsidP="00905C20">
      <w:pPr>
        <w:spacing w:line="0" w:lineRule="atLeast"/>
        <w:rPr>
          <w:color w:val="000000" w:themeColor="text1"/>
        </w:rPr>
      </w:pPr>
      <w:r w:rsidRPr="00DA5392">
        <w:rPr>
          <w:color w:val="000000" w:themeColor="text1"/>
        </w:rPr>
        <w:t>5.3.3. Gently mix the final product 10 times and withdraw 25 mL of the final product for QC testing.</w:t>
      </w:r>
    </w:p>
    <w:p w14:paraId="1A9B6A89" w14:textId="77777777" w:rsidR="000E52B8" w:rsidRPr="00DA5392" w:rsidRDefault="000E52B8" w:rsidP="00905C20">
      <w:pPr>
        <w:spacing w:line="0" w:lineRule="atLeast"/>
        <w:rPr>
          <w:color w:val="000000" w:themeColor="text1"/>
        </w:rPr>
      </w:pPr>
    </w:p>
    <w:p w14:paraId="5752BF7E" w14:textId="77777777" w:rsidR="000E52B8" w:rsidRPr="00905C20" w:rsidRDefault="009E6662" w:rsidP="00905C20">
      <w:pPr>
        <w:spacing w:line="0" w:lineRule="atLeast"/>
        <w:rPr>
          <w:color w:val="000000" w:themeColor="text1"/>
        </w:rPr>
      </w:pPr>
      <w:r w:rsidRPr="00DA5392">
        <w:rPr>
          <w:color w:val="000000" w:themeColor="text1"/>
        </w:rPr>
        <w:t>5.4. Allocate final-product samples for QC testing</w:t>
      </w:r>
    </w:p>
    <w:p w14:paraId="1C8927AE" w14:textId="77777777" w:rsidR="000E52B8" w:rsidRPr="00905C20" w:rsidRDefault="000E52B8" w:rsidP="00905C20">
      <w:pPr>
        <w:spacing w:line="0" w:lineRule="atLeast"/>
        <w:rPr>
          <w:color w:val="000000" w:themeColor="text1"/>
        </w:rPr>
      </w:pPr>
    </w:p>
    <w:p w14:paraId="54C40F0F" w14:textId="3726145D" w:rsidR="000E52B8" w:rsidRPr="00905C20" w:rsidRDefault="009E6662" w:rsidP="00905C20">
      <w:pPr>
        <w:spacing w:line="0" w:lineRule="atLeast"/>
        <w:rPr>
          <w:color w:val="000000" w:themeColor="text1"/>
        </w:rPr>
      </w:pPr>
      <w:r w:rsidRPr="00905C20">
        <w:rPr>
          <w:color w:val="000000" w:themeColor="text1"/>
        </w:rPr>
        <w:t>5.4.1. Transfer 7 mL of the final product into a new 1</w:t>
      </w:r>
      <w:r w:rsidR="00AB16B0" w:rsidRPr="00905C20">
        <w:rPr>
          <w:color w:val="000000" w:themeColor="text1"/>
        </w:rPr>
        <w:t>5</w:t>
      </w:r>
      <w:r w:rsidRPr="00905C20">
        <w:rPr>
          <w:color w:val="000000" w:themeColor="text1"/>
        </w:rPr>
        <w:t xml:space="preserve"> mL conical tube for flow cytometry</w:t>
      </w:r>
      <w:r w:rsidR="005A29E7" w:rsidRPr="00905C20">
        <w:rPr>
          <w:color w:val="000000" w:themeColor="text1"/>
        </w:rPr>
        <w:t xml:space="preserve"> by using </w:t>
      </w:r>
      <w:r w:rsidR="005A29E7" w:rsidRPr="00905C20">
        <w:rPr>
          <w:bCs/>
          <w:color w:val="000000" w:themeColor="text1"/>
          <w:lang w:val="en-IN"/>
        </w:rPr>
        <w:t xml:space="preserve">a </w:t>
      </w:r>
      <w:proofErr w:type="spellStart"/>
      <w:r w:rsidR="005A29E7" w:rsidRPr="00905C20">
        <w:rPr>
          <w:bCs/>
          <w:color w:val="000000" w:themeColor="text1"/>
          <w:lang w:val="en-IN"/>
        </w:rPr>
        <w:t>Gallios</w:t>
      </w:r>
      <w:proofErr w:type="spellEnd"/>
      <w:r w:rsidR="005A29E7" w:rsidRPr="00905C20">
        <w:rPr>
          <w:bCs/>
          <w:color w:val="000000" w:themeColor="text1"/>
          <w:lang w:val="en-IN"/>
        </w:rPr>
        <w:t xml:space="preserve"> flow cytometer</w:t>
      </w:r>
      <w:r w:rsidRPr="00905C20">
        <w:rPr>
          <w:color w:val="000000" w:themeColor="text1"/>
        </w:rPr>
        <w:t>.</w:t>
      </w:r>
    </w:p>
    <w:p w14:paraId="00828BEB" w14:textId="77777777" w:rsidR="000E52B8" w:rsidRPr="00905C20" w:rsidRDefault="000E52B8" w:rsidP="00905C20">
      <w:pPr>
        <w:spacing w:line="0" w:lineRule="atLeast"/>
        <w:rPr>
          <w:color w:val="000000" w:themeColor="text1"/>
        </w:rPr>
      </w:pPr>
    </w:p>
    <w:p w14:paraId="2B3E6534" w14:textId="4933B11B" w:rsidR="000E52B8" w:rsidRPr="00905C20" w:rsidRDefault="009E6662" w:rsidP="00905C20">
      <w:pPr>
        <w:spacing w:line="0" w:lineRule="atLeast"/>
        <w:rPr>
          <w:color w:val="000000" w:themeColor="text1"/>
        </w:rPr>
      </w:pPr>
      <w:r w:rsidRPr="00905C20">
        <w:rPr>
          <w:color w:val="000000" w:themeColor="text1"/>
        </w:rPr>
        <w:t xml:space="preserve">5.4.2. Transfer 0.5 mL of the final product for </w:t>
      </w:r>
      <w:r w:rsidR="00070CAE" w:rsidRPr="00905C20">
        <w:rPr>
          <w:color w:val="000000" w:themeColor="text1"/>
        </w:rPr>
        <w:t xml:space="preserve">manual cell counting </w:t>
      </w:r>
      <w:r w:rsidRPr="00905C20">
        <w:rPr>
          <w:color w:val="000000" w:themeColor="text1"/>
        </w:rPr>
        <w:t>and cell viability testing</w:t>
      </w:r>
      <w:r w:rsidR="005A29E7" w:rsidRPr="00905C20">
        <w:rPr>
          <w:color w:val="000000" w:themeColor="text1"/>
        </w:rPr>
        <w:t xml:space="preserve"> by </w:t>
      </w:r>
      <w:r w:rsidR="00433EFD" w:rsidRPr="00905C20">
        <w:rPr>
          <w:color w:val="000000" w:themeColor="text1"/>
        </w:rPr>
        <w:t>using the trypan blue exclusion test under a microscope</w:t>
      </w:r>
      <w:r w:rsidRPr="00905C20">
        <w:rPr>
          <w:color w:val="000000" w:themeColor="text1"/>
        </w:rPr>
        <w:t>.</w:t>
      </w:r>
      <w:r w:rsidR="001F46C4" w:rsidRPr="00905C20">
        <w:rPr>
          <w:color w:val="000000" w:themeColor="text1"/>
        </w:rPr>
        <w:t xml:space="preserve"> The acceptance criterion is a cell viability of ≥85%</w:t>
      </w:r>
      <w:r w:rsidR="00F964F3" w:rsidRPr="00905C20">
        <w:rPr>
          <w:color w:val="000000" w:themeColor="text1"/>
        </w:rPr>
        <w:t>.</w:t>
      </w:r>
    </w:p>
    <w:p w14:paraId="13BD4387" w14:textId="77777777" w:rsidR="000E52B8" w:rsidRPr="00905C20" w:rsidRDefault="000E52B8" w:rsidP="00905C20">
      <w:pPr>
        <w:spacing w:line="0" w:lineRule="atLeast"/>
        <w:rPr>
          <w:color w:val="000000" w:themeColor="text1"/>
        </w:rPr>
      </w:pPr>
    </w:p>
    <w:p w14:paraId="5ED44388" w14:textId="2D42F060" w:rsidR="000E52B8" w:rsidRPr="00905C20" w:rsidRDefault="009E6662" w:rsidP="00905C20">
      <w:pPr>
        <w:spacing w:line="0" w:lineRule="atLeast"/>
        <w:rPr>
          <w:color w:val="000000" w:themeColor="text1"/>
        </w:rPr>
      </w:pPr>
      <w:r w:rsidRPr="00905C20">
        <w:rPr>
          <w:color w:val="000000" w:themeColor="text1"/>
        </w:rPr>
        <w:t>5.4.3. Transfer 0.5 mL of the final product for endotoxin testing</w:t>
      </w:r>
      <w:r w:rsidR="004142AC" w:rsidRPr="00905C20">
        <w:rPr>
          <w:color w:val="000000" w:themeColor="text1"/>
        </w:rPr>
        <w:t xml:space="preserve"> by </w:t>
      </w:r>
      <w:r w:rsidR="00076AB1" w:rsidRPr="00905C20">
        <w:rPr>
          <w:color w:val="000000" w:themeColor="text1"/>
        </w:rPr>
        <w:t xml:space="preserve">using the </w:t>
      </w:r>
      <w:proofErr w:type="spellStart"/>
      <w:r w:rsidR="00076AB1" w:rsidRPr="00905C20">
        <w:rPr>
          <w:color w:val="000000" w:themeColor="text1"/>
        </w:rPr>
        <w:t>Endosafe</w:t>
      </w:r>
      <w:proofErr w:type="spellEnd"/>
      <w:r w:rsidR="00076AB1" w:rsidRPr="00905C20">
        <w:rPr>
          <w:color w:val="000000" w:themeColor="text1"/>
        </w:rPr>
        <w:t xml:space="preserve"> </w:t>
      </w:r>
      <w:proofErr w:type="spellStart"/>
      <w:r w:rsidR="00076AB1" w:rsidRPr="00905C20">
        <w:rPr>
          <w:color w:val="000000" w:themeColor="text1"/>
        </w:rPr>
        <w:t>nexgen</w:t>
      </w:r>
      <w:proofErr w:type="spellEnd"/>
      <w:r w:rsidR="00076AB1" w:rsidRPr="00905C20">
        <w:rPr>
          <w:color w:val="000000" w:themeColor="text1"/>
        </w:rPr>
        <w:t>-PTS with a cartridge sensitivity of 0.005–0.5 EU/</w:t>
      </w:r>
      <w:proofErr w:type="spellStart"/>
      <w:r w:rsidR="00076AB1" w:rsidRPr="00905C20">
        <w:rPr>
          <w:color w:val="000000" w:themeColor="text1"/>
        </w:rPr>
        <w:t>mL</w:t>
      </w:r>
      <w:r w:rsidRPr="00905C20">
        <w:rPr>
          <w:color w:val="000000" w:themeColor="text1"/>
        </w:rPr>
        <w:t>.</w:t>
      </w:r>
      <w:proofErr w:type="spellEnd"/>
      <w:r w:rsidR="001F46C4" w:rsidRPr="00905C20">
        <w:rPr>
          <w:color w:val="000000" w:themeColor="text1"/>
        </w:rPr>
        <w:t xml:space="preserve"> The acceptance criterion is an endotoxin level of ≤0.5 EU/</w:t>
      </w:r>
      <w:proofErr w:type="spellStart"/>
      <w:r w:rsidR="001F46C4" w:rsidRPr="00905C20">
        <w:rPr>
          <w:color w:val="000000" w:themeColor="text1"/>
        </w:rPr>
        <w:t>mL.</w:t>
      </w:r>
      <w:proofErr w:type="spellEnd"/>
    </w:p>
    <w:p w14:paraId="102FA46B" w14:textId="77777777" w:rsidR="000E52B8" w:rsidRPr="00905C20" w:rsidRDefault="000E52B8" w:rsidP="00905C20">
      <w:pPr>
        <w:spacing w:line="0" w:lineRule="atLeast"/>
        <w:rPr>
          <w:color w:val="000000" w:themeColor="text1"/>
        </w:rPr>
      </w:pPr>
    </w:p>
    <w:p w14:paraId="0EC35D2A" w14:textId="1EF5F617" w:rsidR="000E52B8" w:rsidRPr="00905C20" w:rsidRDefault="009E6662" w:rsidP="00905C20">
      <w:pPr>
        <w:spacing w:line="0" w:lineRule="atLeast"/>
        <w:rPr>
          <w:color w:val="000000" w:themeColor="text1"/>
        </w:rPr>
      </w:pPr>
      <w:r w:rsidRPr="00905C20">
        <w:rPr>
          <w:color w:val="000000" w:themeColor="text1"/>
        </w:rPr>
        <w:t>5.4.4. Transfer 1 mL of the final product for mycoplasma testing</w:t>
      </w:r>
      <w:r w:rsidR="00DE3216" w:rsidRPr="00905C20">
        <w:rPr>
          <w:color w:val="000000" w:themeColor="text1"/>
        </w:rPr>
        <w:t xml:space="preserve"> by </w:t>
      </w:r>
      <w:r w:rsidR="00076AB1" w:rsidRPr="00905C20">
        <w:rPr>
          <w:color w:val="000000" w:themeColor="text1"/>
        </w:rPr>
        <w:t>using the 7500 Fast Real-Time PCR System</w:t>
      </w:r>
      <w:r w:rsidRPr="00905C20">
        <w:rPr>
          <w:color w:val="000000" w:themeColor="text1"/>
        </w:rPr>
        <w:t>.</w:t>
      </w:r>
      <w:r w:rsidR="001F46C4" w:rsidRPr="00905C20">
        <w:rPr>
          <w:color w:val="000000" w:themeColor="text1"/>
        </w:rPr>
        <w:t xml:space="preserve"> </w:t>
      </w:r>
      <w:r w:rsidR="00643327" w:rsidRPr="00905C20">
        <w:rPr>
          <w:color w:val="000000" w:themeColor="text1"/>
        </w:rPr>
        <w:t>The acceptance criterion is a negative mycoplasma test result.</w:t>
      </w:r>
    </w:p>
    <w:p w14:paraId="77D9C1E3" w14:textId="77777777" w:rsidR="000E52B8" w:rsidRPr="00905C20" w:rsidRDefault="000E52B8" w:rsidP="00905C20">
      <w:pPr>
        <w:spacing w:line="0" w:lineRule="atLeast"/>
        <w:rPr>
          <w:color w:val="000000" w:themeColor="text1"/>
        </w:rPr>
      </w:pPr>
    </w:p>
    <w:p w14:paraId="5017E803" w14:textId="4708EB8B" w:rsidR="000E52B8" w:rsidRPr="00905C20" w:rsidRDefault="009E6662" w:rsidP="00905C20">
      <w:pPr>
        <w:spacing w:line="0" w:lineRule="atLeast"/>
        <w:rPr>
          <w:color w:val="000000" w:themeColor="text1"/>
        </w:rPr>
      </w:pPr>
      <w:r w:rsidRPr="00905C20">
        <w:rPr>
          <w:color w:val="000000" w:themeColor="text1"/>
        </w:rPr>
        <w:t>5.4.5. Transfer 8 mL of the final product into each of two sterility-test bottles</w:t>
      </w:r>
      <w:r w:rsidR="001F46C4" w:rsidRPr="00905C20">
        <w:rPr>
          <w:color w:val="000000" w:themeColor="text1"/>
        </w:rPr>
        <w:t xml:space="preserve"> and </w:t>
      </w:r>
      <w:r w:rsidR="00130DD4" w:rsidRPr="00905C20">
        <w:rPr>
          <w:color w:val="000000" w:themeColor="text1"/>
        </w:rPr>
        <w:t>perform sterility testing using the BD BACTEC FX40</w:t>
      </w:r>
      <w:r w:rsidRPr="00905C20">
        <w:rPr>
          <w:color w:val="000000" w:themeColor="text1"/>
        </w:rPr>
        <w:t>.</w:t>
      </w:r>
      <w:r w:rsidR="001F46C4" w:rsidRPr="00905C20">
        <w:rPr>
          <w:color w:val="000000" w:themeColor="text1"/>
        </w:rPr>
        <w:t xml:space="preserve"> The acceptance criterion is a negative sterility test result.</w:t>
      </w:r>
    </w:p>
    <w:p w14:paraId="08FE4446" w14:textId="77777777" w:rsidR="000E52B8" w:rsidRPr="00905C20" w:rsidRDefault="000E52B8" w:rsidP="00905C20">
      <w:pPr>
        <w:spacing w:line="0" w:lineRule="atLeast"/>
        <w:rPr>
          <w:color w:val="000000" w:themeColor="text1"/>
        </w:rPr>
      </w:pPr>
    </w:p>
    <w:p w14:paraId="1D8DF53E" w14:textId="77777777" w:rsidR="000E52B8" w:rsidRPr="00905C20" w:rsidRDefault="009E6662" w:rsidP="00905C20">
      <w:pPr>
        <w:spacing w:line="0" w:lineRule="atLeast"/>
        <w:rPr>
          <w:color w:val="000000" w:themeColor="text1"/>
        </w:rPr>
      </w:pPr>
      <w:r w:rsidRPr="00905C20">
        <w:rPr>
          <w:color w:val="000000" w:themeColor="text1"/>
        </w:rPr>
        <w:t>5.5. Seal, label, and release the final product</w:t>
      </w:r>
    </w:p>
    <w:p w14:paraId="6A060DC2" w14:textId="77777777" w:rsidR="000E52B8" w:rsidRPr="00905C20" w:rsidRDefault="000E52B8" w:rsidP="00905C20">
      <w:pPr>
        <w:spacing w:line="0" w:lineRule="atLeast"/>
        <w:rPr>
          <w:color w:val="000000" w:themeColor="text1"/>
        </w:rPr>
      </w:pPr>
    </w:p>
    <w:p w14:paraId="054ABB33" w14:textId="77777777" w:rsidR="000E52B8" w:rsidRPr="00905C20" w:rsidRDefault="009E6662" w:rsidP="00905C20">
      <w:pPr>
        <w:spacing w:line="0" w:lineRule="atLeast"/>
        <w:rPr>
          <w:color w:val="000000" w:themeColor="text1"/>
        </w:rPr>
      </w:pPr>
      <w:r w:rsidRPr="00905C20">
        <w:rPr>
          <w:color w:val="000000" w:themeColor="text1"/>
        </w:rPr>
        <w:t>5.5.1. Seal the collection bag using a tube sealer and disconnect the final product from the immune-education culture device.</w:t>
      </w:r>
    </w:p>
    <w:p w14:paraId="1EFC4056" w14:textId="77777777" w:rsidR="000E52B8" w:rsidRPr="00905C20" w:rsidRDefault="000E52B8" w:rsidP="00905C20">
      <w:pPr>
        <w:spacing w:line="0" w:lineRule="atLeast"/>
        <w:rPr>
          <w:color w:val="000000" w:themeColor="text1"/>
        </w:rPr>
      </w:pPr>
    </w:p>
    <w:p w14:paraId="4E3CEE8B" w14:textId="77777777" w:rsidR="000E52B8" w:rsidRPr="00905C20" w:rsidRDefault="009E6662" w:rsidP="00905C20">
      <w:pPr>
        <w:spacing w:line="0" w:lineRule="atLeast"/>
        <w:rPr>
          <w:color w:val="000000" w:themeColor="text1"/>
        </w:rPr>
      </w:pPr>
      <w:r w:rsidRPr="00905C20">
        <w:rPr>
          <w:color w:val="000000" w:themeColor="text1"/>
        </w:rPr>
        <w:t>5.5.2. Prepare and label the final product.</w:t>
      </w:r>
    </w:p>
    <w:p w14:paraId="12983965" w14:textId="77777777" w:rsidR="000E52B8" w:rsidRPr="00905C20" w:rsidRDefault="000E52B8" w:rsidP="00905C20">
      <w:pPr>
        <w:spacing w:line="0" w:lineRule="atLeast"/>
        <w:rPr>
          <w:color w:val="000000" w:themeColor="text1"/>
        </w:rPr>
      </w:pPr>
    </w:p>
    <w:p w14:paraId="74DE8492" w14:textId="599DDBF7" w:rsidR="000E52B8" w:rsidRPr="00905C20" w:rsidRDefault="009E6662" w:rsidP="00905C20">
      <w:pPr>
        <w:spacing w:line="0" w:lineRule="atLeast"/>
        <w:rPr>
          <w:color w:val="000000" w:themeColor="text1"/>
        </w:rPr>
      </w:pPr>
      <w:r w:rsidRPr="00905C20">
        <w:rPr>
          <w:color w:val="000000" w:themeColor="text1"/>
        </w:rPr>
        <w:t>5.5.3. Confirm a cell viability of ≥85%, an endotoxin level of ≤0.5 EU/mL, and a negative overnight sterility-test result for the apheresis product before releasing the final product.</w:t>
      </w:r>
      <w:r w:rsidR="00541C0C" w:rsidRPr="00905C20">
        <w:rPr>
          <w:color w:val="000000" w:themeColor="text1"/>
        </w:rPr>
        <w:t xml:space="preserve"> These QC tests must be completed and meet acceptance criteria before releasing for infusion. </w:t>
      </w:r>
    </w:p>
    <w:p w14:paraId="1790CDAD" w14:textId="77777777" w:rsidR="000E52B8" w:rsidRPr="00905C20" w:rsidRDefault="000E52B8" w:rsidP="00905C20">
      <w:pPr>
        <w:spacing w:line="0" w:lineRule="atLeast"/>
        <w:rPr>
          <w:color w:val="000000" w:themeColor="text1"/>
        </w:rPr>
      </w:pPr>
    </w:p>
    <w:p w14:paraId="292F2A69" w14:textId="634B280E" w:rsidR="000E52B8" w:rsidRPr="00905C20" w:rsidRDefault="009E6662" w:rsidP="00905C20">
      <w:pPr>
        <w:spacing w:line="0" w:lineRule="atLeast"/>
        <w:rPr>
          <w:color w:val="000000" w:themeColor="text1"/>
        </w:rPr>
      </w:pPr>
      <w:r w:rsidRPr="00905C20">
        <w:rPr>
          <w:color w:val="000000" w:themeColor="text1"/>
        </w:rPr>
        <w:t xml:space="preserve">5.5.4. </w:t>
      </w:r>
      <w:r w:rsidR="00132598" w:rsidRPr="00905C20">
        <w:rPr>
          <w:color w:val="000000" w:themeColor="text1"/>
        </w:rPr>
        <w:t xml:space="preserve">Perform flow cytometry and mycoplasma testing on final product. </w:t>
      </w:r>
    </w:p>
    <w:p w14:paraId="117AB957" w14:textId="77777777" w:rsidR="000E52B8" w:rsidRPr="00905C20" w:rsidRDefault="000E52B8" w:rsidP="00905C20">
      <w:pPr>
        <w:spacing w:line="0" w:lineRule="atLeast"/>
        <w:rPr>
          <w:color w:val="000000" w:themeColor="text1"/>
        </w:rPr>
      </w:pPr>
    </w:p>
    <w:p w14:paraId="2C25051D" w14:textId="77777777" w:rsidR="000E52B8" w:rsidRPr="00905C20" w:rsidRDefault="009E6662" w:rsidP="00905C20">
      <w:pPr>
        <w:spacing w:line="0" w:lineRule="atLeast"/>
        <w:rPr>
          <w:color w:val="000000" w:themeColor="text1"/>
        </w:rPr>
      </w:pPr>
      <w:r w:rsidRPr="00905C20">
        <w:rPr>
          <w:color w:val="000000" w:themeColor="text1"/>
        </w:rPr>
        <w:t>5.5.5. Release the final product for infusion after all required pre-release QC criteria have been satisfied.</w:t>
      </w:r>
    </w:p>
    <w:p w14:paraId="23420074" w14:textId="77777777" w:rsidR="000E52B8" w:rsidRPr="00905C20" w:rsidRDefault="000E52B8" w:rsidP="00905C20">
      <w:pPr>
        <w:spacing w:line="0" w:lineRule="atLeast"/>
        <w:rPr>
          <w:color w:val="000000" w:themeColor="text1"/>
        </w:rPr>
      </w:pPr>
    </w:p>
    <w:p w14:paraId="36183097" w14:textId="77777777" w:rsidR="000E52B8" w:rsidRPr="006B2722" w:rsidRDefault="009E6662" w:rsidP="00905C20">
      <w:pPr>
        <w:spacing w:line="0" w:lineRule="atLeast"/>
        <w:rPr>
          <w:b/>
          <w:bCs/>
          <w:color w:val="000000" w:themeColor="text1"/>
          <w:highlight w:val="yellow"/>
        </w:rPr>
      </w:pPr>
      <w:r w:rsidRPr="006B2722">
        <w:rPr>
          <w:b/>
          <w:bCs/>
          <w:color w:val="000000" w:themeColor="text1"/>
          <w:highlight w:val="yellow"/>
        </w:rPr>
        <w:t>6. Infusion of SCE-treated MNC apheresis product</w:t>
      </w:r>
    </w:p>
    <w:p w14:paraId="590CF183" w14:textId="77777777" w:rsidR="000E52B8" w:rsidRPr="006B2722" w:rsidRDefault="000E52B8" w:rsidP="00905C20">
      <w:pPr>
        <w:spacing w:line="0" w:lineRule="atLeast"/>
        <w:rPr>
          <w:color w:val="000000" w:themeColor="text1"/>
          <w:highlight w:val="yellow"/>
        </w:rPr>
      </w:pPr>
    </w:p>
    <w:p w14:paraId="609A1491" w14:textId="77777777" w:rsidR="000E52B8" w:rsidRPr="006B2722" w:rsidRDefault="009E6662" w:rsidP="00905C20">
      <w:pPr>
        <w:spacing w:line="0" w:lineRule="atLeast"/>
        <w:rPr>
          <w:color w:val="000000" w:themeColor="text1"/>
          <w:highlight w:val="yellow"/>
        </w:rPr>
      </w:pPr>
      <w:r w:rsidRPr="006B2722">
        <w:rPr>
          <w:color w:val="000000" w:themeColor="text1"/>
          <w:highlight w:val="yellow"/>
        </w:rPr>
        <w:t>6.1. Perform hand hygiene before handling the infusion product.</w:t>
      </w:r>
    </w:p>
    <w:p w14:paraId="1213E0AF" w14:textId="77777777" w:rsidR="000E52B8" w:rsidRPr="006B2722" w:rsidRDefault="000E52B8" w:rsidP="00905C20">
      <w:pPr>
        <w:spacing w:line="0" w:lineRule="atLeast"/>
        <w:rPr>
          <w:color w:val="000000" w:themeColor="text1"/>
          <w:highlight w:val="yellow"/>
        </w:rPr>
      </w:pPr>
    </w:p>
    <w:p w14:paraId="1F9F6388" w14:textId="77777777" w:rsidR="000E52B8" w:rsidRPr="006B2722" w:rsidRDefault="009E6662" w:rsidP="00905C20">
      <w:pPr>
        <w:spacing w:line="0" w:lineRule="atLeast"/>
        <w:rPr>
          <w:color w:val="000000" w:themeColor="text1"/>
          <w:highlight w:val="yellow"/>
        </w:rPr>
      </w:pPr>
      <w:r w:rsidRPr="006B2722">
        <w:rPr>
          <w:color w:val="000000" w:themeColor="text1"/>
          <w:highlight w:val="yellow"/>
        </w:rPr>
        <w:t>6.2. Don a new pair of sterile gloves.</w:t>
      </w:r>
    </w:p>
    <w:p w14:paraId="40BA1699" w14:textId="77777777" w:rsidR="000E52B8" w:rsidRPr="006B2722" w:rsidRDefault="000E52B8" w:rsidP="00905C20">
      <w:pPr>
        <w:spacing w:line="0" w:lineRule="atLeast"/>
        <w:rPr>
          <w:color w:val="000000" w:themeColor="text1"/>
          <w:highlight w:val="yellow"/>
        </w:rPr>
      </w:pPr>
    </w:p>
    <w:p w14:paraId="3E01BC48" w14:textId="77777777" w:rsidR="000E52B8" w:rsidRPr="006B2722" w:rsidRDefault="009E6662" w:rsidP="00905C20">
      <w:pPr>
        <w:spacing w:line="0" w:lineRule="atLeast"/>
        <w:rPr>
          <w:color w:val="000000" w:themeColor="text1"/>
          <w:highlight w:val="yellow"/>
        </w:rPr>
      </w:pPr>
      <w:r w:rsidRPr="006B2722">
        <w:rPr>
          <w:color w:val="000000" w:themeColor="text1"/>
          <w:highlight w:val="yellow"/>
        </w:rPr>
        <w:t>6.3. Measure the patient’s temperature and blood pressure before initiating the infusion.</w:t>
      </w:r>
    </w:p>
    <w:p w14:paraId="63A0E1AF" w14:textId="77777777" w:rsidR="000E52B8" w:rsidRPr="006B2722" w:rsidRDefault="000E52B8" w:rsidP="00905C20">
      <w:pPr>
        <w:spacing w:line="0" w:lineRule="atLeast"/>
        <w:rPr>
          <w:color w:val="000000" w:themeColor="text1"/>
          <w:highlight w:val="yellow"/>
        </w:rPr>
      </w:pPr>
    </w:p>
    <w:p w14:paraId="2DFED403" w14:textId="77777777" w:rsidR="000E52B8" w:rsidRPr="006B2722" w:rsidRDefault="009E6662" w:rsidP="00905C20">
      <w:pPr>
        <w:spacing w:line="0" w:lineRule="atLeast"/>
        <w:rPr>
          <w:color w:val="000000" w:themeColor="text1"/>
          <w:highlight w:val="yellow"/>
        </w:rPr>
      </w:pPr>
      <w:r w:rsidRPr="006B2722">
        <w:rPr>
          <w:color w:val="000000" w:themeColor="text1"/>
          <w:highlight w:val="yellow"/>
        </w:rPr>
        <w:t>6.4. Connect the patient’s IV catheter to the infusion bag containing the SCE-treated MNC apheresis product.</w:t>
      </w:r>
    </w:p>
    <w:p w14:paraId="24183DF9" w14:textId="77777777" w:rsidR="000E52B8" w:rsidRPr="006B2722" w:rsidRDefault="000E52B8" w:rsidP="00905C20">
      <w:pPr>
        <w:spacing w:line="0" w:lineRule="atLeast"/>
        <w:rPr>
          <w:color w:val="000000" w:themeColor="text1"/>
          <w:highlight w:val="yellow"/>
        </w:rPr>
      </w:pPr>
    </w:p>
    <w:p w14:paraId="510E4CDA" w14:textId="77777777" w:rsidR="000E52B8" w:rsidRPr="006B2722" w:rsidRDefault="009E6662" w:rsidP="00905C20">
      <w:pPr>
        <w:spacing w:line="0" w:lineRule="atLeast"/>
        <w:rPr>
          <w:color w:val="000000" w:themeColor="text1"/>
          <w:highlight w:val="yellow"/>
        </w:rPr>
      </w:pPr>
      <w:r w:rsidRPr="006B2722">
        <w:rPr>
          <w:color w:val="000000" w:themeColor="text1"/>
          <w:highlight w:val="yellow"/>
        </w:rPr>
        <w:t>6.5. Initiate the infusion at 100 mL/h and maintain this rate for 30 min.</w:t>
      </w:r>
    </w:p>
    <w:p w14:paraId="2CA72768" w14:textId="77777777" w:rsidR="000E52B8" w:rsidRPr="006B2722" w:rsidRDefault="000E52B8" w:rsidP="00905C20">
      <w:pPr>
        <w:spacing w:line="0" w:lineRule="atLeast"/>
        <w:rPr>
          <w:color w:val="000000" w:themeColor="text1"/>
          <w:highlight w:val="yellow"/>
        </w:rPr>
      </w:pPr>
    </w:p>
    <w:p w14:paraId="239F7CF3" w14:textId="77777777" w:rsidR="000E52B8" w:rsidRPr="006B2722" w:rsidRDefault="009E6662" w:rsidP="00905C20">
      <w:pPr>
        <w:spacing w:line="0" w:lineRule="atLeast"/>
        <w:rPr>
          <w:color w:val="000000" w:themeColor="text1"/>
          <w:highlight w:val="yellow"/>
        </w:rPr>
      </w:pPr>
      <w:r w:rsidRPr="006B2722">
        <w:rPr>
          <w:color w:val="000000" w:themeColor="text1"/>
          <w:highlight w:val="yellow"/>
        </w:rPr>
        <w:t>6.6. After 30 min, assess the patient for adverse reactions. If no adverse reaction occurs, increase the infusion rate to 150 mL/h and maintain this rate for 1 h.</w:t>
      </w:r>
    </w:p>
    <w:p w14:paraId="38894AA6" w14:textId="77777777" w:rsidR="000E52B8" w:rsidRPr="006B2722" w:rsidRDefault="000E52B8" w:rsidP="00905C20">
      <w:pPr>
        <w:spacing w:line="0" w:lineRule="atLeast"/>
        <w:rPr>
          <w:color w:val="000000" w:themeColor="text1"/>
          <w:highlight w:val="yellow"/>
        </w:rPr>
      </w:pPr>
    </w:p>
    <w:p w14:paraId="06018A04" w14:textId="77777777" w:rsidR="000E52B8" w:rsidRPr="006B2722" w:rsidRDefault="009E6662" w:rsidP="00905C20">
      <w:pPr>
        <w:spacing w:line="0" w:lineRule="atLeast"/>
        <w:rPr>
          <w:color w:val="000000" w:themeColor="text1"/>
          <w:highlight w:val="yellow"/>
        </w:rPr>
      </w:pPr>
      <w:r w:rsidRPr="006B2722">
        <w:rPr>
          <w:color w:val="000000" w:themeColor="text1"/>
          <w:highlight w:val="yellow"/>
        </w:rPr>
        <w:t>6.7. If the patient tolerates the infusion at 150 mL/h, increase the infusion rate to a maximum of 200 mL/h and continue until the infusion is complete.</w:t>
      </w:r>
    </w:p>
    <w:p w14:paraId="0418686A" w14:textId="77777777" w:rsidR="000E52B8" w:rsidRPr="006B2722" w:rsidRDefault="000E52B8" w:rsidP="00905C20">
      <w:pPr>
        <w:spacing w:line="0" w:lineRule="atLeast"/>
        <w:rPr>
          <w:color w:val="000000" w:themeColor="text1"/>
          <w:highlight w:val="yellow"/>
        </w:rPr>
      </w:pPr>
    </w:p>
    <w:p w14:paraId="0806404D" w14:textId="2D69C213" w:rsidR="00426049" w:rsidRPr="006B2722" w:rsidRDefault="009E6662" w:rsidP="00905C20">
      <w:pPr>
        <w:spacing w:line="0" w:lineRule="atLeast"/>
        <w:rPr>
          <w:color w:val="000000" w:themeColor="text1"/>
          <w:highlight w:val="yellow"/>
        </w:rPr>
      </w:pPr>
      <w:r w:rsidRPr="006B2722">
        <w:rPr>
          <w:color w:val="000000" w:themeColor="text1"/>
          <w:highlight w:val="yellow"/>
        </w:rPr>
        <w:t xml:space="preserve">6.8. </w:t>
      </w:r>
      <w:r w:rsidR="00426049" w:rsidRPr="006B2722">
        <w:rPr>
          <w:color w:val="000000" w:themeColor="text1"/>
          <w:highlight w:val="yellow"/>
        </w:rPr>
        <w:t>If the patient develops adverse events such as chills, itching, or hives, administer 25 mg diphenhydramine (Benadryl) intravenously and reduce the infusion rate to 150 mL/h.</w:t>
      </w:r>
    </w:p>
    <w:p w14:paraId="50851EAA" w14:textId="77777777" w:rsidR="00643327" w:rsidRPr="006B2722" w:rsidRDefault="00643327" w:rsidP="00905C20">
      <w:pPr>
        <w:spacing w:line="0" w:lineRule="atLeast"/>
        <w:rPr>
          <w:color w:val="000000" w:themeColor="text1"/>
          <w:highlight w:val="yellow"/>
        </w:rPr>
      </w:pPr>
    </w:p>
    <w:p w14:paraId="28DAA860" w14:textId="0B7475D3" w:rsidR="00426049" w:rsidRPr="006B2722" w:rsidRDefault="00643327" w:rsidP="00905C20">
      <w:pPr>
        <w:spacing w:line="0" w:lineRule="atLeast"/>
        <w:rPr>
          <w:color w:val="000000" w:themeColor="text1"/>
          <w:highlight w:val="yellow"/>
        </w:rPr>
      </w:pPr>
      <w:r w:rsidRPr="006B2722">
        <w:rPr>
          <w:color w:val="000000" w:themeColor="text1"/>
          <w:highlight w:val="yellow"/>
        </w:rPr>
        <w:t xml:space="preserve">NOTE: </w:t>
      </w:r>
      <w:r w:rsidR="00426049" w:rsidRPr="006B2722">
        <w:rPr>
          <w:color w:val="000000" w:themeColor="text1"/>
          <w:highlight w:val="yellow"/>
        </w:rPr>
        <w:t xml:space="preserve">If the patient develops nausea and vomiting, stop the infusion and administer 25 mg diphenhydramine and 10 mg dexamethasone intravenously. </w:t>
      </w:r>
      <w:r w:rsidR="00130DD4" w:rsidRPr="006B2722">
        <w:rPr>
          <w:color w:val="000000" w:themeColor="text1"/>
          <w:highlight w:val="yellow"/>
        </w:rPr>
        <w:t xml:space="preserve">Resume the infusion at a lower rate of 120 mL/h </w:t>
      </w:r>
      <w:r w:rsidR="00426049" w:rsidRPr="006B2722">
        <w:rPr>
          <w:color w:val="000000" w:themeColor="text1"/>
          <w:highlight w:val="yellow"/>
        </w:rPr>
        <w:t>only when clinically appropriate and after the patient’s symptoms have resolved.</w:t>
      </w:r>
    </w:p>
    <w:p w14:paraId="068D5F42" w14:textId="77777777" w:rsidR="000E52B8" w:rsidRPr="006B2722" w:rsidRDefault="000E52B8" w:rsidP="00905C20">
      <w:pPr>
        <w:spacing w:line="0" w:lineRule="atLeast"/>
        <w:rPr>
          <w:color w:val="000000" w:themeColor="text1"/>
          <w:highlight w:val="yellow"/>
        </w:rPr>
      </w:pPr>
    </w:p>
    <w:p w14:paraId="788C149B" w14:textId="77777777" w:rsidR="000E52B8" w:rsidRPr="006B2722" w:rsidRDefault="009E6662" w:rsidP="00905C20">
      <w:pPr>
        <w:spacing w:line="0" w:lineRule="atLeast"/>
        <w:rPr>
          <w:color w:val="000000" w:themeColor="text1"/>
          <w:highlight w:val="yellow"/>
        </w:rPr>
      </w:pPr>
      <w:r w:rsidRPr="006B2722">
        <w:rPr>
          <w:color w:val="000000" w:themeColor="text1"/>
          <w:highlight w:val="yellow"/>
        </w:rPr>
        <w:t>6.9. After completing the infusion, rinse the infusion bag with 50 mL of normal saline and infuse the saline into the patient.</w:t>
      </w:r>
    </w:p>
    <w:p w14:paraId="30FF6FE7" w14:textId="77777777" w:rsidR="000E52B8" w:rsidRPr="006B2722" w:rsidRDefault="000E52B8" w:rsidP="00905C20">
      <w:pPr>
        <w:spacing w:line="0" w:lineRule="atLeast"/>
        <w:rPr>
          <w:color w:val="000000" w:themeColor="text1"/>
          <w:highlight w:val="yellow"/>
        </w:rPr>
      </w:pPr>
    </w:p>
    <w:p w14:paraId="5274B27B" w14:textId="77777777" w:rsidR="000E52B8" w:rsidRPr="006B2722" w:rsidRDefault="009E6662" w:rsidP="00905C20">
      <w:pPr>
        <w:spacing w:line="0" w:lineRule="atLeast"/>
        <w:rPr>
          <w:color w:val="000000" w:themeColor="text1"/>
          <w:highlight w:val="yellow"/>
        </w:rPr>
      </w:pPr>
      <w:r w:rsidRPr="006B2722">
        <w:rPr>
          <w:color w:val="000000" w:themeColor="text1"/>
          <w:highlight w:val="yellow"/>
        </w:rPr>
        <w:t>6.10. Monitor the patient for adverse reactions for 15 min after completion of the infusion.</w:t>
      </w:r>
    </w:p>
    <w:p w14:paraId="61EFF00C" w14:textId="77777777" w:rsidR="000E52B8" w:rsidRPr="006B2722" w:rsidRDefault="000E52B8" w:rsidP="00905C20">
      <w:pPr>
        <w:spacing w:line="0" w:lineRule="atLeast"/>
        <w:rPr>
          <w:color w:val="000000" w:themeColor="text1"/>
          <w:highlight w:val="yellow"/>
        </w:rPr>
      </w:pPr>
    </w:p>
    <w:p w14:paraId="4CD8F49E" w14:textId="30B82CCF" w:rsidR="000E52B8" w:rsidRPr="006B2722" w:rsidRDefault="009E6662" w:rsidP="00905C20">
      <w:pPr>
        <w:spacing w:line="0" w:lineRule="atLeast"/>
        <w:rPr>
          <w:color w:val="000000" w:themeColor="text1"/>
          <w:highlight w:val="yellow"/>
        </w:rPr>
      </w:pPr>
      <w:r w:rsidRPr="006B2722">
        <w:rPr>
          <w:color w:val="000000" w:themeColor="text1"/>
          <w:highlight w:val="yellow"/>
        </w:rPr>
        <w:t xml:space="preserve">6.11. </w:t>
      </w:r>
      <w:r w:rsidR="000A6176" w:rsidRPr="006B2722">
        <w:rPr>
          <w:color w:val="000000" w:themeColor="text1"/>
          <w:highlight w:val="yellow"/>
        </w:rPr>
        <w:t>If the patient remains clinically stable, with normal body temperature and blood pressure, the patient may be discharged.</w:t>
      </w:r>
      <w:r w:rsidR="000A6176" w:rsidRPr="006B2722" w:rsidDel="000A6176">
        <w:rPr>
          <w:color w:val="000000" w:themeColor="text1"/>
          <w:highlight w:val="yellow"/>
        </w:rPr>
        <w:t xml:space="preserve"> </w:t>
      </w:r>
    </w:p>
    <w:p w14:paraId="3A2D3FB2" w14:textId="77777777" w:rsidR="000E52B8" w:rsidRPr="006B2722" w:rsidRDefault="000E52B8" w:rsidP="00905C20">
      <w:pPr>
        <w:spacing w:line="0" w:lineRule="atLeast"/>
        <w:rPr>
          <w:color w:val="000000" w:themeColor="text1"/>
          <w:highlight w:val="yellow"/>
        </w:rPr>
      </w:pPr>
    </w:p>
    <w:p w14:paraId="75DCE6A4" w14:textId="2F6F1950" w:rsidR="00900427" w:rsidRPr="00905C20" w:rsidRDefault="009E6662" w:rsidP="00905C20">
      <w:pPr>
        <w:pBdr>
          <w:top w:val="nil"/>
          <w:left w:val="nil"/>
          <w:bottom w:val="nil"/>
          <w:right w:val="nil"/>
          <w:between w:val="nil"/>
        </w:pBdr>
        <w:spacing w:line="0" w:lineRule="atLeast"/>
        <w:rPr>
          <w:bCs/>
          <w:color w:val="000000" w:themeColor="text1"/>
        </w:rPr>
      </w:pPr>
      <w:r w:rsidRPr="006B2722">
        <w:rPr>
          <w:color w:val="000000" w:themeColor="text1"/>
          <w:highlight w:val="yellow"/>
        </w:rPr>
        <w:t>6.12. Discharge the patient after confirming that the post-infusion discharge criteria have been met.</w:t>
      </w:r>
    </w:p>
    <w:p w14:paraId="74F3A867" w14:textId="77777777" w:rsidR="007F67EE" w:rsidRPr="00905C20" w:rsidRDefault="007F67EE" w:rsidP="00905C20">
      <w:pPr>
        <w:pBdr>
          <w:top w:val="nil"/>
          <w:left w:val="nil"/>
          <w:bottom w:val="nil"/>
          <w:right w:val="nil"/>
          <w:between w:val="nil"/>
        </w:pBdr>
        <w:spacing w:line="0" w:lineRule="atLeast"/>
        <w:rPr>
          <w:bCs/>
          <w:color w:val="000000" w:themeColor="text1"/>
        </w:rPr>
      </w:pPr>
    </w:p>
    <w:p w14:paraId="41DF242E" w14:textId="77777777" w:rsidR="00F138D2" w:rsidRPr="006B2722" w:rsidRDefault="009E6662" w:rsidP="00905C20">
      <w:pPr>
        <w:pBdr>
          <w:top w:val="nil"/>
          <w:left w:val="nil"/>
          <w:bottom w:val="nil"/>
          <w:right w:val="nil"/>
          <w:between w:val="nil"/>
        </w:pBdr>
        <w:spacing w:line="0" w:lineRule="atLeast"/>
        <w:rPr>
          <w:bCs/>
          <w:color w:val="000000" w:themeColor="text1"/>
        </w:rPr>
      </w:pPr>
      <w:r w:rsidRPr="006B2722">
        <w:rPr>
          <w:b/>
          <w:bCs/>
          <w:color w:val="000000" w:themeColor="text1"/>
        </w:rPr>
        <w:t>7. Flow cytometry analysis of immune markers</w:t>
      </w:r>
    </w:p>
    <w:p w14:paraId="28B6D437" w14:textId="77777777" w:rsidR="00F138D2" w:rsidRPr="006B2722" w:rsidRDefault="00F138D2" w:rsidP="00905C20">
      <w:pPr>
        <w:pBdr>
          <w:top w:val="nil"/>
          <w:left w:val="nil"/>
          <w:bottom w:val="nil"/>
          <w:right w:val="nil"/>
          <w:between w:val="nil"/>
        </w:pBdr>
        <w:spacing w:line="0" w:lineRule="atLeast"/>
        <w:rPr>
          <w:bCs/>
          <w:color w:val="000000" w:themeColor="text1"/>
        </w:rPr>
      </w:pPr>
    </w:p>
    <w:p w14:paraId="0A84FEB3" w14:textId="7C29B4D9" w:rsidR="00333C4B" w:rsidRPr="006B2722" w:rsidRDefault="00333C4B" w:rsidP="00905C20">
      <w:pPr>
        <w:spacing w:line="0" w:lineRule="atLeast"/>
        <w:rPr>
          <w:color w:val="000000" w:themeColor="text1"/>
        </w:rPr>
      </w:pPr>
      <w:r w:rsidRPr="006B2722">
        <w:rPr>
          <w:color w:val="000000" w:themeColor="text1"/>
        </w:rPr>
        <w:t xml:space="preserve">7.1. Take the cell suspension </w:t>
      </w:r>
      <w:r w:rsidR="00B31E93" w:rsidRPr="006B2722">
        <w:rPr>
          <w:color w:val="000000" w:themeColor="text1"/>
        </w:rPr>
        <w:t xml:space="preserve">(step 5.4.1) </w:t>
      </w:r>
      <w:r w:rsidRPr="006B2722">
        <w:rPr>
          <w:color w:val="000000" w:themeColor="text1"/>
        </w:rPr>
        <w:t xml:space="preserve">and collect cells at </w:t>
      </w:r>
      <w:r w:rsidR="00B31E93" w:rsidRPr="006B2722">
        <w:rPr>
          <w:color w:val="000000" w:themeColor="text1"/>
        </w:rPr>
        <w:t>751</w:t>
      </w:r>
      <w:r w:rsidRPr="006B2722">
        <w:rPr>
          <w:color w:val="000000" w:themeColor="text1"/>
        </w:rPr>
        <w:t xml:space="preserve"> </w:t>
      </w:r>
      <w:r w:rsidR="00993A6A" w:rsidRPr="006B2722">
        <w:rPr>
          <w:color w:val="000000" w:themeColor="text1"/>
        </w:rPr>
        <w:t>×</w:t>
      </w:r>
      <w:r w:rsidRPr="006B2722">
        <w:rPr>
          <w:color w:val="000000" w:themeColor="text1"/>
        </w:rPr>
        <w:t xml:space="preserve"> </w:t>
      </w:r>
      <w:r w:rsidRPr="006B2722">
        <w:rPr>
          <w:i/>
          <w:iCs/>
          <w:color w:val="000000" w:themeColor="text1"/>
        </w:rPr>
        <w:t>g</w:t>
      </w:r>
      <w:r w:rsidRPr="006B2722">
        <w:rPr>
          <w:color w:val="000000" w:themeColor="text1"/>
        </w:rPr>
        <w:t xml:space="preserve"> for 5 min.</w:t>
      </w:r>
    </w:p>
    <w:p w14:paraId="46E32FAE" w14:textId="77777777" w:rsidR="007833E2" w:rsidRPr="006B2722" w:rsidRDefault="007833E2" w:rsidP="00905C20">
      <w:pPr>
        <w:spacing w:line="0" w:lineRule="atLeast"/>
        <w:rPr>
          <w:color w:val="000000" w:themeColor="text1"/>
        </w:rPr>
      </w:pPr>
    </w:p>
    <w:p w14:paraId="5F0EB4F8" w14:textId="1831023C" w:rsidR="00333C4B" w:rsidRPr="006B2722" w:rsidRDefault="00333C4B" w:rsidP="00905C20">
      <w:pPr>
        <w:spacing w:line="0" w:lineRule="atLeast"/>
        <w:rPr>
          <w:color w:val="000000" w:themeColor="text1"/>
        </w:rPr>
      </w:pPr>
      <w:r w:rsidRPr="006B2722">
        <w:rPr>
          <w:color w:val="000000" w:themeColor="text1"/>
        </w:rPr>
        <w:t xml:space="preserve">7.2. </w:t>
      </w:r>
      <w:r w:rsidR="005658A1" w:rsidRPr="006B2722">
        <w:rPr>
          <w:color w:val="000000" w:themeColor="text1"/>
        </w:rPr>
        <w:t>Resuspend the cells</w:t>
      </w:r>
      <w:r w:rsidRPr="006B2722">
        <w:rPr>
          <w:color w:val="000000" w:themeColor="text1"/>
        </w:rPr>
        <w:t xml:space="preserve"> in 200 µL of </w:t>
      </w:r>
      <w:r w:rsidR="00377E14" w:rsidRPr="006B2722">
        <w:rPr>
          <w:color w:val="000000" w:themeColor="text1"/>
        </w:rPr>
        <w:t>0.9% sodium chloride</w:t>
      </w:r>
      <w:r w:rsidR="00B31E93" w:rsidRPr="006B2722">
        <w:rPr>
          <w:color w:val="000000" w:themeColor="text1"/>
        </w:rPr>
        <w:t xml:space="preserve"> and transfer cells into a 5 mL conical tube</w:t>
      </w:r>
      <w:r w:rsidRPr="006B2722">
        <w:rPr>
          <w:color w:val="000000" w:themeColor="text1"/>
        </w:rPr>
        <w:t>.</w:t>
      </w:r>
    </w:p>
    <w:p w14:paraId="4947ECE4" w14:textId="77777777" w:rsidR="007833E2" w:rsidRPr="006B2722" w:rsidRDefault="007833E2" w:rsidP="00905C20">
      <w:pPr>
        <w:spacing w:line="0" w:lineRule="atLeast"/>
        <w:rPr>
          <w:color w:val="000000" w:themeColor="text1"/>
        </w:rPr>
      </w:pPr>
    </w:p>
    <w:p w14:paraId="045DD8F7" w14:textId="5880C020" w:rsidR="00333C4B" w:rsidRPr="006B2722" w:rsidRDefault="00333C4B" w:rsidP="00905C20">
      <w:pPr>
        <w:pBdr>
          <w:top w:val="nil"/>
          <w:left w:val="nil"/>
          <w:bottom w:val="nil"/>
          <w:right w:val="nil"/>
          <w:between w:val="nil"/>
        </w:pBdr>
        <w:spacing w:line="0" w:lineRule="atLeast"/>
        <w:rPr>
          <w:color w:val="000000" w:themeColor="text1"/>
        </w:rPr>
      </w:pPr>
      <w:r w:rsidRPr="006B2722">
        <w:rPr>
          <w:color w:val="000000" w:themeColor="text1"/>
        </w:rPr>
        <w:t>7.3. Add 5 µL of Fc blocker per sample and incubate for 15 min at room temperature to block the non-specific binding.</w:t>
      </w:r>
    </w:p>
    <w:p w14:paraId="215C58DD" w14:textId="77777777" w:rsidR="007833E2" w:rsidRPr="006B2722" w:rsidRDefault="007833E2" w:rsidP="00905C20">
      <w:pPr>
        <w:pBdr>
          <w:top w:val="nil"/>
          <w:left w:val="nil"/>
          <w:bottom w:val="nil"/>
          <w:right w:val="nil"/>
          <w:between w:val="nil"/>
        </w:pBdr>
        <w:spacing w:line="0" w:lineRule="atLeast"/>
        <w:rPr>
          <w:color w:val="000000" w:themeColor="text1"/>
        </w:rPr>
      </w:pPr>
    </w:p>
    <w:p w14:paraId="11E1A1A6" w14:textId="47072E66" w:rsidR="00333C4B" w:rsidRPr="006B2722" w:rsidRDefault="00333C4B" w:rsidP="00905C20">
      <w:pPr>
        <w:pBdr>
          <w:top w:val="nil"/>
          <w:left w:val="nil"/>
          <w:bottom w:val="nil"/>
          <w:right w:val="nil"/>
          <w:between w:val="nil"/>
        </w:pBdr>
        <w:spacing w:line="0" w:lineRule="atLeast"/>
        <w:rPr>
          <w:color w:val="000000" w:themeColor="text1"/>
        </w:rPr>
      </w:pPr>
      <w:r w:rsidRPr="006B2722">
        <w:rPr>
          <w:color w:val="000000" w:themeColor="text1"/>
        </w:rPr>
        <w:t xml:space="preserve">7.4. </w:t>
      </w:r>
      <w:r w:rsidR="00993A6A" w:rsidRPr="006B2722">
        <w:rPr>
          <w:color w:val="000000" w:themeColor="text1"/>
        </w:rPr>
        <w:t>Aliquot 100 µL of cell suspension for intracellular staining and 100 µL of cell suspension for cell-surface staining.</w:t>
      </w:r>
      <w:r w:rsidRPr="006B2722">
        <w:rPr>
          <w:color w:val="000000" w:themeColor="text1"/>
        </w:rPr>
        <w:t xml:space="preserve"> </w:t>
      </w:r>
    </w:p>
    <w:p w14:paraId="2414582C" w14:textId="77777777" w:rsidR="007833E2" w:rsidRPr="006B2722" w:rsidRDefault="007833E2" w:rsidP="00905C20">
      <w:pPr>
        <w:pBdr>
          <w:top w:val="nil"/>
          <w:left w:val="nil"/>
          <w:bottom w:val="nil"/>
          <w:right w:val="nil"/>
          <w:between w:val="nil"/>
        </w:pBdr>
        <w:spacing w:line="0" w:lineRule="atLeast"/>
        <w:rPr>
          <w:color w:val="000000" w:themeColor="text1"/>
        </w:rPr>
      </w:pPr>
    </w:p>
    <w:p w14:paraId="39444F25" w14:textId="211ABAB0" w:rsidR="00333C4B" w:rsidRPr="006B2722" w:rsidRDefault="00333C4B" w:rsidP="00905C20">
      <w:pPr>
        <w:pBdr>
          <w:top w:val="nil"/>
          <w:left w:val="nil"/>
          <w:bottom w:val="nil"/>
          <w:right w:val="nil"/>
          <w:between w:val="nil"/>
        </w:pBdr>
        <w:spacing w:line="0" w:lineRule="atLeast"/>
        <w:rPr>
          <w:color w:val="000000" w:themeColor="text1"/>
        </w:rPr>
      </w:pPr>
      <w:r w:rsidRPr="006B2722">
        <w:rPr>
          <w:color w:val="000000" w:themeColor="text1"/>
        </w:rPr>
        <w:t xml:space="preserve">7.5. For cell surface staining: </w:t>
      </w:r>
      <w:r w:rsidR="00CB2120" w:rsidRPr="006B2722">
        <w:rPr>
          <w:color w:val="000000" w:themeColor="text1"/>
        </w:rPr>
        <w:t>aliquot</w:t>
      </w:r>
      <w:r w:rsidRPr="006B2722">
        <w:rPr>
          <w:color w:val="000000" w:themeColor="text1"/>
        </w:rPr>
        <w:t xml:space="preserve"> 30 </w:t>
      </w:r>
      <w:r w:rsidRPr="006B2722">
        <w:rPr>
          <w:color w:val="000000" w:themeColor="text1"/>
        </w:rPr>
        <w:sym w:font="Symbol" w:char="F06D"/>
      </w:r>
      <w:r w:rsidRPr="006B2722">
        <w:rPr>
          <w:color w:val="000000" w:themeColor="text1"/>
        </w:rPr>
        <w:t>L of cell suspension into three 5 mL conical tubes</w:t>
      </w:r>
      <w:r w:rsidR="0096002F" w:rsidRPr="006B2722">
        <w:rPr>
          <w:color w:val="000000" w:themeColor="text1"/>
        </w:rPr>
        <w:t xml:space="preserve"> and a</w:t>
      </w:r>
      <w:r w:rsidRPr="006B2722">
        <w:rPr>
          <w:color w:val="000000" w:themeColor="text1"/>
        </w:rPr>
        <w:t xml:space="preserve">dd 70 µL of </w:t>
      </w:r>
      <w:r w:rsidR="00377E14" w:rsidRPr="006B2722">
        <w:rPr>
          <w:color w:val="000000" w:themeColor="text1"/>
        </w:rPr>
        <w:t>0.9% sodium chloride</w:t>
      </w:r>
      <w:r w:rsidRPr="006B2722">
        <w:rPr>
          <w:color w:val="000000" w:themeColor="text1"/>
        </w:rPr>
        <w:t xml:space="preserve"> to each tube with final volume 100 µL/tube</w:t>
      </w:r>
      <w:r w:rsidR="0096002F" w:rsidRPr="006B2722">
        <w:rPr>
          <w:color w:val="000000" w:themeColor="text1"/>
        </w:rPr>
        <w:t>, and then</w:t>
      </w:r>
      <w:r w:rsidRPr="006B2722">
        <w:rPr>
          <w:color w:val="000000" w:themeColor="text1"/>
        </w:rPr>
        <w:t xml:space="preserve"> </w:t>
      </w:r>
      <w:r w:rsidR="0096002F" w:rsidRPr="006B2722">
        <w:rPr>
          <w:color w:val="000000" w:themeColor="text1"/>
        </w:rPr>
        <w:t>a</w:t>
      </w:r>
      <w:r w:rsidRPr="006B2722">
        <w:rPr>
          <w:color w:val="000000" w:themeColor="text1"/>
        </w:rPr>
        <w:t xml:space="preserve">dd 5 µL/tube fluorescence-conjugated mouse anti-human monoclonal antibodies including </w:t>
      </w:r>
      <w:r w:rsidR="00F67BE9" w:rsidRPr="006B2722">
        <w:rPr>
          <w:color w:val="000000" w:themeColor="text1"/>
        </w:rPr>
        <w:t>human regulatory T cell cocktail (FITC Mouse anti-Human CD4, PE-Cy7 Mouse anti-Human CD25, and Alexa Fluor 647 Mouse anti-Human CD127); pacific blue (PB)-conjugated mouse anti-human CD3, Spark Violet 538 anti-human CD4, APC/Fire 750 anti-human CD8, PE/Cyanine7-conjugated anti-human CD45RO, PE-conjugated anti-human CCR7,</w:t>
      </w:r>
      <w:r w:rsidR="0096002F" w:rsidRPr="006B2722">
        <w:rPr>
          <w:color w:val="000000" w:themeColor="text1"/>
        </w:rPr>
        <w:t xml:space="preserve"> and isotype-matched IgG controls</w:t>
      </w:r>
      <w:r w:rsidR="00F67BE9" w:rsidRPr="006B2722">
        <w:rPr>
          <w:color w:val="000000" w:themeColor="text1"/>
        </w:rPr>
        <w:t xml:space="preserve"> </w:t>
      </w:r>
      <w:r w:rsidRPr="006B2722">
        <w:rPr>
          <w:color w:val="000000" w:themeColor="text1"/>
        </w:rPr>
        <w:t xml:space="preserve">to 100 </w:t>
      </w:r>
      <w:r w:rsidR="00F67BE9" w:rsidRPr="006B2722">
        <w:rPr>
          <w:color w:val="000000" w:themeColor="text1"/>
        </w:rPr>
        <w:sym w:font="Symbol" w:char="F06D"/>
      </w:r>
      <w:r w:rsidRPr="006B2722">
        <w:rPr>
          <w:color w:val="000000" w:themeColor="text1"/>
        </w:rPr>
        <w:t>L volume of cells. Incubate for 30 min at room temperature with light protection.</w:t>
      </w:r>
    </w:p>
    <w:p w14:paraId="64F6FE69" w14:textId="77777777" w:rsidR="007833E2" w:rsidRPr="006B2722" w:rsidRDefault="007833E2" w:rsidP="00905C20">
      <w:pPr>
        <w:pBdr>
          <w:top w:val="nil"/>
          <w:left w:val="nil"/>
          <w:bottom w:val="nil"/>
          <w:right w:val="nil"/>
          <w:between w:val="nil"/>
        </w:pBdr>
        <w:spacing w:line="0" w:lineRule="atLeast"/>
        <w:rPr>
          <w:color w:val="000000" w:themeColor="text1"/>
        </w:rPr>
      </w:pPr>
    </w:p>
    <w:p w14:paraId="2C5F99B5" w14:textId="59F3651F" w:rsidR="00377E14" w:rsidRPr="006B2722" w:rsidRDefault="002B0384" w:rsidP="00905C20">
      <w:pPr>
        <w:pBdr>
          <w:top w:val="nil"/>
          <w:left w:val="nil"/>
          <w:bottom w:val="nil"/>
          <w:right w:val="nil"/>
          <w:between w:val="nil"/>
        </w:pBdr>
        <w:spacing w:line="0" w:lineRule="atLeast"/>
        <w:rPr>
          <w:color w:val="000000" w:themeColor="text1"/>
        </w:rPr>
      </w:pPr>
      <w:r w:rsidRPr="006B2722">
        <w:rPr>
          <w:color w:val="000000" w:themeColor="text1"/>
        </w:rPr>
        <w:t xml:space="preserve">7.6. For intracellular staining: </w:t>
      </w:r>
      <w:r w:rsidR="00377E14" w:rsidRPr="006B2722">
        <w:rPr>
          <w:color w:val="000000" w:themeColor="text1"/>
        </w:rPr>
        <w:t xml:space="preserve">cells are fixed and permeabilized according to the </w:t>
      </w:r>
      <w:proofErr w:type="spellStart"/>
      <w:r w:rsidR="00377E14" w:rsidRPr="006B2722">
        <w:rPr>
          <w:color w:val="000000" w:themeColor="text1"/>
        </w:rPr>
        <w:t>PerFix-nc</w:t>
      </w:r>
      <w:proofErr w:type="spellEnd"/>
      <w:r w:rsidR="00377E14" w:rsidRPr="006B2722">
        <w:rPr>
          <w:color w:val="000000" w:themeColor="text1"/>
        </w:rPr>
        <w:t xml:space="preserve"> kit.</w:t>
      </w:r>
    </w:p>
    <w:p w14:paraId="285812BB" w14:textId="77777777" w:rsidR="007833E2" w:rsidRPr="006B2722" w:rsidRDefault="007833E2" w:rsidP="00905C20">
      <w:pPr>
        <w:pBdr>
          <w:top w:val="nil"/>
          <w:left w:val="nil"/>
          <w:bottom w:val="nil"/>
          <w:right w:val="nil"/>
          <w:between w:val="nil"/>
        </w:pBdr>
        <w:spacing w:line="0" w:lineRule="atLeast"/>
        <w:rPr>
          <w:color w:val="000000" w:themeColor="text1"/>
        </w:rPr>
      </w:pPr>
    </w:p>
    <w:p w14:paraId="2A01FD89" w14:textId="1F2A7C2C" w:rsidR="00377E14" w:rsidRPr="006B2722" w:rsidRDefault="00377E14" w:rsidP="00905C20">
      <w:pPr>
        <w:pBdr>
          <w:top w:val="nil"/>
          <w:left w:val="nil"/>
          <w:bottom w:val="nil"/>
          <w:right w:val="nil"/>
          <w:between w:val="nil"/>
        </w:pBdr>
        <w:spacing w:line="0" w:lineRule="atLeast"/>
        <w:rPr>
          <w:color w:val="000000" w:themeColor="text1"/>
        </w:rPr>
      </w:pPr>
      <w:r w:rsidRPr="006B2722">
        <w:rPr>
          <w:color w:val="000000" w:themeColor="text1"/>
        </w:rPr>
        <w:t>7.7. Add 5 µL/tube fluorescence-conjugated mouse anti-human monoclonal antibodies including</w:t>
      </w:r>
      <w:r w:rsidR="007833E2" w:rsidRPr="006B2722">
        <w:rPr>
          <w:color w:val="000000" w:themeColor="text1"/>
        </w:rPr>
        <w:t xml:space="preserve"> </w:t>
      </w:r>
      <w:r w:rsidR="00D10EBA" w:rsidRPr="006B2722">
        <w:rPr>
          <w:color w:val="000000" w:themeColor="text1"/>
        </w:rPr>
        <w:t>BV421</w:t>
      </w:r>
      <w:r w:rsidRPr="006B2722">
        <w:rPr>
          <w:color w:val="000000" w:themeColor="text1"/>
        </w:rPr>
        <w:t>-conjugated mouse anti-human IL-1</w:t>
      </w:r>
      <w:r w:rsidRPr="006B2722">
        <w:rPr>
          <w:color w:val="000000" w:themeColor="text1"/>
        </w:rPr>
        <w:sym w:font="Symbol" w:char="F062"/>
      </w:r>
      <w:r w:rsidRPr="006B2722">
        <w:rPr>
          <w:color w:val="000000" w:themeColor="text1"/>
        </w:rPr>
        <w:t xml:space="preserve">, PE-conjugated mouse anti-human CXCL16, and isotype-matched IgG controls </w:t>
      </w:r>
      <w:proofErr w:type="spellStart"/>
      <w:r w:rsidRPr="006B2722">
        <w:rPr>
          <w:color w:val="000000" w:themeColor="text1"/>
        </w:rPr>
        <w:t>mAbs</w:t>
      </w:r>
      <w:proofErr w:type="spellEnd"/>
      <w:r w:rsidRPr="006B2722">
        <w:rPr>
          <w:color w:val="000000" w:themeColor="text1"/>
        </w:rPr>
        <w:t>. Incubate for 30 min at room temperature with light protection.</w:t>
      </w:r>
    </w:p>
    <w:p w14:paraId="268443E6" w14:textId="77777777" w:rsidR="007833E2" w:rsidRPr="006B2722" w:rsidRDefault="007833E2" w:rsidP="00905C20">
      <w:pPr>
        <w:pBdr>
          <w:top w:val="nil"/>
          <w:left w:val="nil"/>
          <w:bottom w:val="nil"/>
          <w:right w:val="nil"/>
          <w:between w:val="nil"/>
        </w:pBdr>
        <w:spacing w:line="0" w:lineRule="atLeast"/>
        <w:rPr>
          <w:color w:val="000000" w:themeColor="text1"/>
        </w:rPr>
      </w:pPr>
    </w:p>
    <w:p w14:paraId="06BE1F04" w14:textId="155B475C" w:rsidR="00333C4B" w:rsidRPr="006B2722" w:rsidRDefault="00377E14" w:rsidP="00905C20">
      <w:pPr>
        <w:pBdr>
          <w:top w:val="nil"/>
          <w:left w:val="nil"/>
          <w:bottom w:val="nil"/>
          <w:right w:val="nil"/>
          <w:between w:val="nil"/>
        </w:pBdr>
        <w:spacing w:line="0" w:lineRule="atLeast"/>
        <w:rPr>
          <w:color w:val="000000" w:themeColor="text1"/>
        </w:rPr>
      </w:pPr>
      <w:r w:rsidRPr="006B2722">
        <w:rPr>
          <w:color w:val="000000" w:themeColor="text1"/>
        </w:rPr>
        <w:t>7</w:t>
      </w:r>
      <w:r w:rsidR="00333C4B" w:rsidRPr="006B2722">
        <w:rPr>
          <w:color w:val="000000" w:themeColor="text1"/>
        </w:rPr>
        <w:t>.</w:t>
      </w:r>
      <w:r w:rsidRPr="006B2722">
        <w:rPr>
          <w:color w:val="000000" w:themeColor="text1"/>
        </w:rPr>
        <w:t>8</w:t>
      </w:r>
      <w:r w:rsidR="00333C4B" w:rsidRPr="006B2722">
        <w:rPr>
          <w:color w:val="000000" w:themeColor="text1"/>
        </w:rPr>
        <w:t xml:space="preserve">. After staining, wash cells with </w:t>
      </w:r>
      <w:r w:rsidRPr="006B2722">
        <w:rPr>
          <w:color w:val="000000" w:themeColor="text1"/>
        </w:rPr>
        <w:t>4</w:t>
      </w:r>
      <w:r w:rsidR="00333C4B" w:rsidRPr="006B2722">
        <w:rPr>
          <w:color w:val="000000" w:themeColor="text1"/>
        </w:rPr>
        <w:t xml:space="preserve"> mL of </w:t>
      </w:r>
      <w:r w:rsidRPr="006B2722">
        <w:rPr>
          <w:color w:val="000000" w:themeColor="text1"/>
        </w:rPr>
        <w:t>0.9% sodium chloride</w:t>
      </w:r>
      <w:r w:rsidR="00333C4B" w:rsidRPr="006B2722">
        <w:rPr>
          <w:color w:val="000000" w:themeColor="text1"/>
        </w:rPr>
        <w:t xml:space="preserve"> and centrifuge at 751 </w:t>
      </w:r>
      <w:r w:rsidR="004A10CD" w:rsidRPr="006B2722">
        <w:rPr>
          <w:color w:val="000000" w:themeColor="text1"/>
        </w:rPr>
        <w:t>×</w:t>
      </w:r>
      <w:r w:rsidR="00333C4B" w:rsidRPr="006B2722">
        <w:rPr>
          <w:color w:val="000000" w:themeColor="text1"/>
        </w:rPr>
        <w:t xml:space="preserve"> </w:t>
      </w:r>
      <w:r w:rsidR="00333C4B" w:rsidRPr="006B2722">
        <w:rPr>
          <w:i/>
          <w:iCs/>
          <w:color w:val="000000" w:themeColor="text1"/>
        </w:rPr>
        <w:t>g</w:t>
      </w:r>
      <w:r w:rsidR="00333C4B" w:rsidRPr="006B2722">
        <w:rPr>
          <w:color w:val="000000" w:themeColor="text1"/>
        </w:rPr>
        <w:t xml:space="preserve"> for </w:t>
      </w:r>
      <w:r w:rsidRPr="006B2722">
        <w:rPr>
          <w:color w:val="000000" w:themeColor="text1"/>
        </w:rPr>
        <w:t>5</w:t>
      </w:r>
      <w:r w:rsidR="00333C4B" w:rsidRPr="006B2722">
        <w:rPr>
          <w:color w:val="000000" w:themeColor="text1"/>
        </w:rPr>
        <w:t xml:space="preserve"> min to pellet cells.</w:t>
      </w:r>
    </w:p>
    <w:p w14:paraId="337888C0" w14:textId="77777777" w:rsidR="007833E2" w:rsidRPr="006B2722" w:rsidRDefault="007833E2" w:rsidP="00905C20">
      <w:pPr>
        <w:pBdr>
          <w:top w:val="nil"/>
          <w:left w:val="nil"/>
          <w:bottom w:val="nil"/>
          <w:right w:val="nil"/>
          <w:between w:val="nil"/>
        </w:pBdr>
        <w:spacing w:line="0" w:lineRule="atLeast"/>
        <w:rPr>
          <w:color w:val="000000" w:themeColor="text1"/>
        </w:rPr>
      </w:pPr>
    </w:p>
    <w:p w14:paraId="46B89E51" w14:textId="7AA04EEA" w:rsidR="00333C4B" w:rsidRPr="006B2722" w:rsidRDefault="00377E14" w:rsidP="00905C20">
      <w:pPr>
        <w:pBdr>
          <w:top w:val="nil"/>
          <w:left w:val="nil"/>
          <w:bottom w:val="nil"/>
          <w:right w:val="nil"/>
          <w:between w:val="nil"/>
        </w:pBdr>
        <w:spacing w:line="0" w:lineRule="atLeast"/>
        <w:rPr>
          <w:color w:val="000000" w:themeColor="text1"/>
        </w:rPr>
      </w:pPr>
      <w:r w:rsidRPr="006B2722">
        <w:rPr>
          <w:color w:val="000000" w:themeColor="text1"/>
        </w:rPr>
        <w:t>7</w:t>
      </w:r>
      <w:r w:rsidR="00333C4B" w:rsidRPr="006B2722">
        <w:rPr>
          <w:color w:val="000000" w:themeColor="text1"/>
        </w:rPr>
        <w:t>.</w:t>
      </w:r>
      <w:r w:rsidRPr="006B2722">
        <w:rPr>
          <w:color w:val="000000" w:themeColor="text1"/>
        </w:rPr>
        <w:t>9</w:t>
      </w:r>
      <w:r w:rsidR="00333C4B" w:rsidRPr="006B2722">
        <w:rPr>
          <w:color w:val="000000" w:themeColor="text1"/>
        </w:rPr>
        <w:t xml:space="preserve">. </w:t>
      </w:r>
      <w:r w:rsidR="005658A1" w:rsidRPr="006B2722">
        <w:rPr>
          <w:color w:val="000000" w:themeColor="text1"/>
        </w:rPr>
        <w:t xml:space="preserve">Resuspend the cells </w:t>
      </w:r>
      <w:r w:rsidR="00333C4B" w:rsidRPr="006B2722">
        <w:rPr>
          <w:color w:val="000000" w:themeColor="text1"/>
        </w:rPr>
        <w:t xml:space="preserve">with 200 </w:t>
      </w:r>
      <w:proofErr w:type="spellStart"/>
      <w:r w:rsidR="00333C4B" w:rsidRPr="006B2722">
        <w:rPr>
          <w:color w:val="000000" w:themeColor="text1"/>
        </w:rPr>
        <w:t>μL</w:t>
      </w:r>
      <w:proofErr w:type="spellEnd"/>
      <w:r w:rsidR="00333C4B" w:rsidRPr="006B2722">
        <w:rPr>
          <w:color w:val="000000" w:themeColor="text1"/>
        </w:rPr>
        <w:t xml:space="preserve"> of </w:t>
      </w:r>
      <w:r w:rsidRPr="006B2722">
        <w:rPr>
          <w:color w:val="000000" w:themeColor="text1"/>
        </w:rPr>
        <w:t>0.9% sodium chloride</w:t>
      </w:r>
      <w:r w:rsidR="007833E2" w:rsidRPr="006B2722">
        <w:rPr>
          <w:color w:val="000000" w:themeColor="text1"/>
        </w:rPr>
        <w:t>.</w:t>
      </w:r>
    </w:p>
    <w:p w14:paraId="3BB25C53" w14:textId="77777777" w:rsidR="007833E2" w:rsidRPr="006B2722" w:rsidRDefault="007833E2" w:rsidP="00905C20">
      <w:pPr>
        <w:pBdr>
          <w:top w:val="nil"/>
          <w:left w:val="nil"/>
          <w:bottom w:val="nil"/>
          <w:right w:val="nil"/>
          <w:between w:val="nil"/>
        </w:pBdr>
        <w:spacing w:line="0" w:lineRule="atLeast"/>
        <w:rPr>
          <w:color w:val="000000" w:themeColor="text1"/>
        </w:rPr>
      </w:pPr>
    </w:p>
    <w:p w14:paraId="616004DF" w14:textId="0F7A960C" w:rsidR="00B00B42" w:rsidRPr="006B2722" w:rsidRDefault="00377E14" w:rsidP="00905C20">
      <w:pPr>
        <w:pBdr>
          <w:top w:val="nil"/>
          <w:left w:val="nil"/>
          <w:bottom w:val="nil"/>
          <w:right w:val="nil"/>
          <w:between w:val="nil"/>
        </w:pBdr>
        <w:spacing w:line="0" w:lineRule="atLeast"/>
        <w:rPr>
          <w:color w:val="000000" w:themeColor="text1"/>
        </w:rPr>
      </w:pPr>
      <w:r w:rsidRPr="006B2722">
        <w:rPr>
          <w:color w:val="000000" w:themeColor="text1"/>
        </w:rPr>
        <w:t>7</w:t>
      </w:r>
      <w:r w:rsidR="00333C4B" w:rsidRPr="006B2722">
        <w:rPr>
          <w:color w:val="000000" w:themeColor="text1"/>
        </w:rPr>
        <w:t>.</w:t>
      </w:r>
      <w:r w:rsidRPr="006B2722">
        <w:rPr>
          <w:color w:val="000000" w:themeColor="text1"/>
        </w:rPr>
        <w:t>10</w:t>
      </w:r>
      <w:r w:rsidR="00333C4B" w:rsidRPr="006B2722">
        <w:rPr>
          <w:color w:val="000000" w:themeColor="text1"/>
        </w:rPr>
        <w:t xml:space="preserve">. </w:t>
      </w:r>
      <w:r w:rsidR="0092334E" w:rsidRPr="006B2722">
        <w:rPr>
          <w:color w:val="000000" w:themeColor="text1"/>
        </w:rPr>
        <w:t xml:space="preserve">Collect and analyze cells using a </w:t>
      </w:r>
      <w:proofErr w:type="spellStart"/>
      <w:r w:rsidR="0092334E" w:rsidRPr="006B2722">
        <w:rPr>
          <w:color w:val="000000" w:themeColor="text1"/>
        </w:rPr>
        <w:t>Gallios</w:t>
      </w:r>
      <w:proofErr w:type="spellEnd"/>
      <w:r w:rsidR="0092334E" w:rsidRPr="006B2722">
        <w:rPr>
          <w:color w:val="000000" w:themeColor="text1"/>
        </w:rPr>
        <w:t xml:space="preserve"> Flow Cytometer, acquiring 100,000 events for surface staining and 500,000 events for intracellular staining. Gating strategies for flow cytometry analysis of different T-cell populations include CD3</w:t>
      </w:r>
      <w:r w:rsidR="0092334E" w:rsidRPr="006B2722">
        <w:rPr>
          <w:color w:val="000000" w:themeColor="text1"/>
          <w:vertAlign w:val="superscript"/>
        </w:rPr>
        <w:t>+</w:t>
      </w:r>
      <w:r w:rsidR="0092334E" w:rsidRPr="006B2722">
        <w:rPr>
          <w:color w:val="000000" w:themeColor="text1"/>
        </w:rPr>
        <w:t>CD4</w:t>
      </w:r>
      <w:r w:rsidR="0092334E" w:rsidRPr="006B2722">
        <w:rPr>
          <w:color w:val="000000" w:themeColor="text1"/>
          <w:vertAlign w:val="superscript"/>
        </w:rPr>
        <w:t>+</w:t>
      </w:r>
      <w:r w:rsidR="0092334E" w:rsidRPr="006B2722">
        <w:rPr>
          <w:color w:val="000000" w:themeColor="text1"/>
        </w:rPr>
        <w:t xml:space="preserve"> T cells, CD3</w:t>
      </w:r>
      <w:r w:rsidR="0092334E" w:rsidRPr="006B2722">
        <w:rPr>
          <w:color w:val="000000" w:themeColor="text1"/>
          <w:vertAlign w:val="superscript"/>
        </w:rPr>
        <w:t>+</w:t>
      </w:r>
      <w:r w:rsidR="0092334E" w:rsidRPr="006B2722">
        <w:rPr>
          <w:color w:val="000000" w:themeColor="text1"/>
        </w:rPr>
        <w:t>CD8</w:t>
      </w:r>
      <w:r w:rsidR="0092334E" w:rsidRPr="006B2722">
        <w:rPr>
          <w:color w:val="000000" w:themeColor="text1"/>
          <w:vertAlign w:val="superscript"/>
        </w:rPr>
        <w:t>+</w:t>
      </w:r>
      <w:r w:rsidR="0092334E" w:rsidRPr="006B2722">
        <w:rPr>
          <w:color w:val="000000" w:themeColor="text1"/>
        </w:rPr>
        <w:t xml:space="preserve"> T cells, CD4</w:t>
      </w:r>
      <w:r w:rsidR="0092334E" w:rsidRPr="006B2722">
        <w:rPr>
          <w:color w:val="000000" w:themeColor="text1"/>
          <w:vertAlign w:val="superscript"/>
        </w:rPr>
        <w:t>+</w:t>
      </w:r>
      <w:r w:rsidR="0092334E" w:rsidRPr="006B2722">
        <w:rPr>
          <w:color w:val="000000" w:themeColor="text1"/>
        </w:rPr>
        <w:t>CD25</w:t>
      </w:r>
      <w:r w:rsidR="0092334E" w:rsidRPr="006B2722">
        <w:rPr>
          <w:color w:val="000000" w:themeColor="text1"/>
          <w:vertAlign w:val="superscript"/>
        </w:rPr>
        <w:t>+</w:t>
      </w:r>
      <w:r w:rsidR="0092334E" w:rsidRPr="006B2722">
        <w:rPr>
          <w:color w:val="000000" w:themeColor="text1"/>
        </w:rPr>
        <w:t>CD127</w:t>
      </w:r>
      <w:r w:rsidR="0092334E" w:rsidRPr="006B2722">
        <w:rPr>
          <w:color w:val="000000" w:themeColor="text1"/>
          <w:vertAlign w:val="superscript"/>
        </w:rPr>
        <w:t>low/−</w:t>
      </w:r>
      <w:r w:rsidR="0092334E" w:rsidRPr="006B2722">
        <w:rPr>
          <w:color w:val="000000" w:themeColor="text1"/>
        </w:rPr>
        <w:t xml:space="preserve"> Tregs, CD4</w:t>
      </w:r>
      <w:r w:rsidR="0092334E" w:rsidRPr="006B2722">
        <w:rPr>
          <w:color w:val="000000" w:themeColor="text1"/>
          <w:vertAlign w:val="superscript"/>
        </w:rPr>
        <w:t>+</w:t>
      </w:r>
      <w:r w:rsidR="0092334E" w:rsidRPr="006B2722">
        <w:rPr>
          <w:color w:val="000000" w:themeColor="text1"/>
        </w:rPr>
        <w:t>CD45RO</w:t>
      </w:r>
      <w:r w:rsidR="0092334E" w:rsidRPr="006B2722">
        <w:rPr>
          <w:color w:val="000000" w:themeColor="text1"/>
          <w:vertAlign w:val="superscript"/>
        </w:rPr>
        <w:t>+</w:t>
      </w:r>
      <w:r w:rsidR="0092334E" w:rsidRPr="006B2722">
        <w:rPr>
          <w:color w:val="000000" w:themeColor="text1"/>
        </w:rPr>
        <w:t>CCR7</w:t>
      </w:r>
      <w:r w:rsidR="0092334E" w:rsidRPr="006B2722">
        <w:rPr>
          <w:color w:val="000000" w:themeColor="text1"/>
          <w:vertAlign w:val="superscript"/>
        </w:rPr>
        <w:t>+</w:t>
      </w:r>
      <w:r w:rsidR="0092334E" w:rsidRPr="006B2722">
        <w:rPr>
          <w:color w:val="000000" w:themeColor="text1"/>
        </w:rPr>
        <w:t xml:space="preserve"> central memory T (TCM) cells, CD4</w:t>
      </w:r>
      <w:r w:rsidR="0092334E" w:rsidRPr="006B2722">
        <w:rPr>
          <w:color w:val="000000" w:themeColor="text1"/>
          <w:vertAlign w:val="superscript"/>
        </w:rPr>
        <w:t>+</w:t>
      </w:r>
      <w:r w:rsidR="0092334E" w:rsidRPr="006B2722">
        <w:rPr>
          <w:color w:val="000000" w:themeColor="text1"/>
        </w:rPr>
        <w:t>CD45RO</w:t>
      </w:r>
      <w:r w:rsidR="0092334E" w:rsidRPr="006B2722">
        <w:rPr>
          <w:color w:val="000000" w:themeColor="text1"/>
          <w:vertAlign w:val="superscript"/>
        </w:rPr>
        <w:t>+</w:t>
      </w:r>
      <w:r w:rsidR="0092334E" w:rsidRPr="006B2722">
        <w:rPr>
          <w:color w:val="000000" w:themeColor="text1"/>
        </w:rPr>
        <w:t>CCR7</w:t>
      </w:r>
      <w:r w:rsidR="0092334E" w:rsidRPr="006B2722">
        <w:rPr>
          <w:color w:val="000000" w:themeColor="text1"/>
          <w:vertAlign w:val="superscript"/>
        </w:rPr>
        <w:t>−</w:t>
      </w:r>
      <w:r w:rsidR="0092334E" w:rsidRPr="006B2722">
        <w:rPr>
          <w:color w:val="000000" w:themeColor="text1"/>
        </w:rPr>
        <w:t xml:space="preserve"> effector memory T (TEM) cells, and CD4</w:t>
      </w:r>
      <w:r w:rsidR="0092334E" w:rsidRPr="006B2722">
        <w:rPr>
          <w:color w:val="000000" w:themeColor="text1"/>
          <w:vertAlign w:val="superscript"/>
        </w:rPr>
        <w:t>+</w:t>
      </w:r>
      <w:r w:rsidR="0092334E" w:rsidRPr="006B2722">
        <w:rPr>
          <w:color w:val="000000" w:themeColor="text1"/>
        </w:rPr>
        <w:t>CD45RO−CCR7</w:t>
      </w:r>
      <w:r w:rsidR="0092334E" w:rsidRPr="006B2722">
        <w:rPr>
          <w:color w:val="000000" w:themeColor="text1"/>
          <w:vertAlign w:val="superscript"/>
        </w:rPr>
        <w:t>+</w:t>
      </w:r>
      <w:r w:rsidR="0092334E" w:rsidRPr="006B2722">
        <w:rPr>
          <w:color w:val="000000" w:themeColor="text1"/>
        </w:rPr>
        <w:t xml:space="preserve"> naïve T cells. Use isotype-matched IgG controls to establish positive thresholds.</w:t>
      </w:r>
    </w:p>
    <w:p w14:paraId="27B4BDE1" w14:textId="77777777" w:rsidR="007833E2" w:rsidRPr="006B2722" w:rsidRDefault="007833E2" w:rsidP="00905C20">
      <w:pPr>
        <w:pBdr>
          <w:top w:val="nil"/>
          <w:left w:val="nil"/>
          <w:bottom w:val="nil"/>
          <w:right w:val="nil"/>
          <w:between w:val="nil"/>
        </w:pBdr>
        <w:spacing w:line="0" w:lineRule="atLeast"/>
        <w:rPr>
          <w:color w:val="000000" w:themeColor="text1"/>
        </w:rPr>
      </w:pPr>
    </w:p>
    <w:p w14:paraId="4B8E0695" w14:textId="2416176C" w:rsidR="00333C4B" w:rsidRPr="00905C20" w:rsidRDefault="00377E14" w:rsidP="00905C20">
      <w:pPr>
        <w:pBdr>
          <w:top w:val="nil"/>
          <w:left w:val="nil"/>
          <w:bottom w:val="nil"/>
          <w:right w:val="nil"/>
          <w:between w:val="nil"/>
        </w:pBdr>
        <w:spacing w:line="0" w:lineRule="atLeast"/>
        <w:rPr>
          <w:color w:val="000000" w:themeColor="text1"/>
        </w:rPr>
      </w:pPr>
      <w:r w:rsidRPr="006B2722">
        <w:rPr>
          <w:color w:val="000000" w:themeColor="text1"/>
        </w:rPr>
        <w:t xml:space="preserve">7.11. </w:t>
      </w:r>
      <w:r w:rsidR="006E090B" w:rsidRPr="006B2722">
        <w:rPr>
          <w:color w:val="000000" w:themeColor="text1"/>
        </w:rPr>
        <w:t xml:space="preserve">Analyze the final data </w:t>
      </w:r>
      <w:r w:rsidRPr="006B2722">
        <w:rPr>
          <w:color w:val="000000" w:themeColor="text1"/>
        </w:rPr>
        <w:t>using the Kaluza Flow Cytometry Analysis Software.</w:t>
      </w:r>
    </w:p>
    <w:p w14:paraId="08477BDD" w14:textId="77777777" w:rsidR="00F138D2" w:rsidRPr="00905C20" w:rsidRDefault="00F138D2" w:rsidP="00905C20">
      <w:pPr>
        <w:pBdr>
          <w:top w:val="nil"/>
          <w:left w:val="nil"/>
          <w:bottom w:val="nil"/>
          <w:right w:val="nil"/>
          <w:between w:val="nil"/>
        </w:pBdr>
        <w:spacing w:line="0" w:lineRule="atLeast"/>
        <w:rPr>
          <w:bCs/>
          <w:color w:val="000000" w:themeColor="text1"/>
        </w:rPr>
      </w:pPr>
    </w:p>
    <w:p w14:paraId="01A5481A" w14:textId="77777777" w:rsidR="00534DE5" w:rsidRPr="00905C20" w:rsidRDefault="009E6662" w:rsidP="00905C20">
      <w:pPr>
        <w:pBdr>
          <w:top w:val="nil"/>
          <w:left w:val="nil"/>
          <w:bottom w:val="nil"/>
          <w:right w:val="nil"/>
          <w:between w:val="nil"/>
        </w:pBdr>
        <w:spacing w:line="0" w:lineRule="atLeast"/>
        <w:rPr>
          <w:bCs/>
          <w:color w:val="000000" w:themeColor="text1"/>
        </w:rPr>
      </w:pPr>
      <w:r w:rsidRPr="00905C20">
        <w:rPr>
          <w:b/>
          <w:bCs/>
          <w:color w:val="000000" w:themeColor="text1"/>
        </w:rPr>
        <w:t>8. Statistical analysis</w:t>
      </w:r>
    </w:p>
    <w:p w14:paraId="7D5CF0A1" w14:textId="77777777" w:rsidR="00534DE5" w:rsidRPr="00905C20" w:rsidRDefault="00534DE5" w:rsidP="00905C20">
      <w:pPr>
        <w:pBdr>
          <w:top w:val="nil"/>
          <w:left w:val="nil"/>
          <w:bottom w:val="nil"/>
          <w:right w:val="nil"/>
          <w:between w:val="nil"/>
        </w:pBdr>
        <w:spacing w:line="0" w:lineRule="atLeast"/>
        <w:rPr>
          <w:bCs/>
          <w:color w:val="000000" w:themeColor="text1"/>
        </w:rPr>
      </w:pPr>
    </w:p>
    <w:p w14:paraId="47C6929E" w14:textId="4685327B" w:rsidR="00534DE5" w:rsidRPr="00905C20" w:rsidRDefault="009E6662" w:rsidP="00905C20">
      <w:pPr>
        <w:pBdr>
          <w:top w:val="nil"/>
          <w:left w:val="nil"/>
          <w:bottom w:val="nil"/>
          <w:right w:val="nil"/>
          <w:between w:val="nil"/>
        </w:pBdr>
        <w:spacing w:line="0" w:lineRule="atLeast"/>
        <w:rPr>
          <w:bCs/>
          <w:color w:val="000000" w:themeColor="text1"/>
        </w:rPr>
      </w:pPr>
      <w:r w:rsidRPr="00905C20">
        <w:rPr>
          <w:bCs/>
          <w:color w:val="000000" w:themeColor="text1"/>
        </w:rPr>
        <w:t>8.1. Assess data normality using the Shapiro</w:t>
      </w:r>
      <w:r w:rsidR="000C3733" w:rsidRPr="00905C20">
        <w:rPr>
          <w:bCs/>
          <w:color w:val="000000" w:themeColor="text1"/>
        </w:rPr>
        <w:t>–</w:t>
      </w:r>
      <w:r w:rsidRPr="00905C20">
        <w:rPr>
          <w:bCs/>
          <w:color w:val="000000" w:themeColor="text1"/>
        </w:rPr>
        <w:t xml:space="preserve">Wilk test. Use a paired </w:t>
      </w:r>
      <w:r w:rsidRPr="00905C20">
        <w:rPr>
          <w:bCs/>
          <w:i/>
          <w:iCs/>
          <w:color w:val="000000" w:themeColor="text1"/>
        </w:rPr>
        <w:t>t</w:t>
      </w:r>
      <w:r w:rsidRPr="00905C20">
        <w:rPr>
          <w:bCs/>
          <w:color w:val="000000" w:themeColor="text1"/>
        </w:rPr>
        <w:t xml:space="preserve">-test for normally distributed paired data and the Wilcoxon matched-pairs signed-rank test for nonparametric paired data. Define statistical significance as </w:t>
      </w:r>
      <w:r w:rsidRPr="00905C20">
        <w:rPr>
          <w:bCs/>
          <w:i/>
          <w:iCs/>
          <w:color w:val="000000" w:themeColor="text1"/>
        </w:rPr>
        <w:t>P</w:t>
      </w:r>
      <w:r w:rsidRPr="00905C20">
        <w:rPr>
          <w:bCs/>
          <w:color w:val="000000" w:themeColor="text1"/>
        </w:rPr>
        <w:t xml:space="preserve"> &lt; 0.05.</w:t>
      </w:r>
      <w:r w:rsidR="000823A2" w:rsidRPr="00905C20">
        <w:rPr>
          <w:bCs/>
          <w:color w:val="000000" w:themeColor="text1"/>
        </w:rPr>
        <w:t xml:space="preserve"> The data are presented as mean </w:t>
      </w:r>
      <w:r w:rsidR="000823A2" w:rsidRPr="00905C20">
        <w:rPr>
          <w:bCs/>
          <w:color w:val="000000" w:themeColor="text1"/>
        </w:rPr>
        <w:sym w:font="Symbol" w:char="F0B1"/>
      </w:r>
      <w:r w:rsidR="000823A2" w:rsidRPr="00905C20">
        <w:rPr>
          <w:bCs/>
          <w:color w:val="000000" w:themeColor="text1"/>
        </w:rPr>
        <w:t xml:space="preserve"> standard deviation (SD). </w:t>
      </w:r>
    </w:p>
    <w:p w14:paraId="291634C6" w14:textId="77777777" w:rsidR="00534DE5" w:rsidRPr="00905C20" w:rsidRDefault="00534DE5" w:rsidP="00905C20">
      <w:pPr>
        <w:pBdr>
          <w:top w:val="nil"/>
          <w:left w:val="nil"/>
          <w:bottom w:val="nil"/>
          <w:right w:val="nil"/>
          <w:between w:val="nil"/>
        </w:pBdr>
        <w:spacing w:line="0" w:lineRule="atLeast"/>
        <w:rPr>
          <w:bCs/>
          <w:color w:val="000000" w:themeColor="text1"/>
        </w:rPr>
      </w:pPr>
    </w:p>
    <w:p w14:paraId="2ED0891E" w14:textId="20909EFB" w:rsidR="00534DE5" w:rsidRPr="00905C20" w:rsidRDefault="009E6662" w:rsidP="00905C20">
      <w:pPr>
        <w:pBdr>
          <w:top w:val="nil"/>
          <w:left w:val="nil"/>
          <w:bottom w:val="nil"/>
          <w:right w:val="nil"/>
          <w:between w:val="nil"/>
        </w:pBdr>
        <w:spacing w:line="0" w:lineRule="atLeast"/>
        <w:rPr>
          <w:bCs/>
          <w:color w:val="000000" w:themeColor="text1"/>
        </w:rPr>
      </w:pPr>
      <w:r w:rsidRPr="00905C20">
        <w:rPr>
          <w:bCs/>
          <w:color w:val="000000" w:themeColor="text1"/>
        </w:rPr>
        <w:lastRenderedPageBreak/>
        <w:t xml:space="preserve">8.2. </w:t>
      </w:r>
      <w:r w:rsidR="006E090B" w:rsidRPr="00905C20">
        <w:rPr>
          <w:bCs/>
          <w:color w:val="000000" w:themeColor="text1"/>
        </w:rPr>
        <w:t>In the current clinical study</w:t>
      </w:r>
      <w:r w:rsidR="00C61257" w:rsidRPr="00905C20">
        <w:rPr>
          <w:bCs/>
          <w:color w:val="000000" w:themeColor="text1"/>
        </w:rPr>
        <w:t xml:space="preserve">, the primary efficacy endpoint was the change in the immune markers between baseline and follow-up month 1. Results from this long COVID study were analyzed using a significance level of 5% for paired comparisons between baseline and follow-up month 1 measurements. </w:t>
      </w:r>
      <w:r w:rsidR="003C2A2B" w:rsidRPr="00905C20">
        <w:rPr>
          <w:bCs/>
          <w:color w:val="000000" w:themeColor="text1"/>
        </w:rPr>
        <w:t>Multiple-comparison correction was not applicable to this study.</w:t>
      </w:r>
      <w:r w:rsidR="00C61257" w:rsidRPr="00905C20">
        <w:rPr>
          <w:bCs/>
          <w:color w:val="000000" w:themeColor="text1"/>
        </w:rPr>
        <w:t xml:space="preserve"> </w:t>
      </w:r>
    </w:p>
    <w:p w14:paraId="136E26CD" w14:textId="77777777" w:rsidR="00534DE5" w:rsidRPr="00905C20" w:rsidRDefault="00534DE5" w:rsidP="00905C20">
      <w:pPr>
        <w:pBdr>
          <w:top w:val="nil"/>
          <w:left w:val="nil"/>
          <w:bottom w:val="nil"/>
          <w:right w:val="nil"/>
          <w:between w:val="nil"/>
        </w:pBdr>
        <w:spacing w:line="0" w:lineRule="atLeast"/>
        <w:rPr>
          <w:bCs/>
          <w:color w:val="000000" w:themeColor="text1"/>
        </w:rPr>
      </w:pPr>
    </w:p>
    <w:p w14:paraId="13E32977" w14:textId="6245D2FA" w:rsidR="00534DE5" w:rsidRPr="00905C20" w:rsidRDefault="009E6662" w:rsidP="00905C20">
      <w:pPr>
        <w:pBdr>
          <w:top w:val="nil"/>
          <w:left w:val="nil"/>
          <w:bottom w:val="nil"/>
          <w:right w:val="nil"/>
          <w:between w:val="nil"/>
        </w:pBdr>
        <w:spacing w:line="0" w:lineRule="atLeast"/>
        <w:rPr>
          <w:bCs/>
          <w:color w:val="000000" w:themeColor="text1"/>
        </w:rPr>
      </w:pPr>
      <w:r w:rsidRPr="00905C20">
        <w:rPr>
          <w:bCs/>
          <w:color w:val="000000" w:themeColor="text1"/>
        </w:rPr>
        <w:t xml:space="preserve">8.3. </w:t>
      </w:r>
      <w:r w:rsidR="00880708" w:rsidRPr="00905C20">
        <w:rPr>
          <w:bCs/>
          <w:color w:val="000000" w:themeColor="text1"/>
        </w:rPr>
        <w:t>Calculate 95% confidence intervals using GraphPad Prism (version 10.6.1).</w:t>
      </w:r>
      <w:r w:rsidR="00CA7682" w:rsidRPr="00905C20">
        <w:rPr>
          <w:bCs/>
          <w:color w:val="000000" w:themeColor="text1"/>
        </w:rPr>
        <w:t xml:space="preserve"> </w:t>
      </w:r>
    </w:p>
    <w:p w14:paraId="72B21E9A" w14:textId="77777777" w:rsidR="00534DE5" w:rsidRPr="00905C20" w:rsidRDefault="00534DE5" w:rsidP="00905C20">
      <w:pPr>
        <w:pBdr>
          <w:top w:val="nil"/>
          <w:left w:val="nil"/>
          <w:bottom w:val="nil"/>
          <w:right w:val="nil"/>
          <w:between w:val="nil"/>
        </w:pBdr>
        <w:spacing w:line="0" w:lineRule="atLeast"/>
        <w:rPr>
          <w:bCs/>
          <w:color w:val="000000" w:themeColor="text1"/>
        </w:rPr>
      </w:pPr>
    </w:p>
    <w:p w14:paraId="2ABCC973"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r w:rsidRPr="00905C20">
        <w:rPr>
          <w:b/>
          <w:bCs/>
          <w:color w:val="000000" w:themeColor="text1"/>
          <w:lang w:val="en-IN"/>
        </w:rPr>
        <w:t>RESULTS:</w:t>
      </w:r>
    </w:p>
    <w:p w14:paraId="27891692"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r w:rsidRPr="00905C20">
        <w:rPr>
          <w:bCs/>
          <w:color w:val="000000" w:themeColor="text1"/>
          <w:lang w:val="en-IN"/>
        </w:rPr>
        <w:t>Twenty-five patients with long COVID (15 males and 10 females; age, 51.68 ± 14.14 years) received SCE therapy (</w:t>
      </w:r>
      <w:r w:rsidRPr="00905C20">
        <w:rPr>
          <w:b/>
          <w:bCs/>
          <w:color w:val="000000" w:themeColor="text1"/>
          <w:lang w:val="en-IN"/>
        </w:rPr>
        <w:t>Figure 1</w:t>
      </w:r>
      <w:r w:rsidRPr="00905C20">
        <w:rPr>
          <w:bCs/>
          <w:color w:val="000000" w:themeColor="text1"/>
          <w:lang w:val="en-IN"/>
        </w:rPr>
        <w:t xml:space="preserve">). Five subjects (5/25) experienced mild tingling and numbness during apheresis, which were attributed to reduced calcium levels associated with citrate anticoagulation. These symptoms resolved promptly following administration of oral calcium tablets or intravenous calcium gluconate. No significant adverse events were reported during the </w:t>
      </w:r>
      <w:proofErr w:type="spellStart"/>
      <w:r w:rsidRPr="00905C20">
        <w:rPr>
          <w:bCs/>
          <w:color w:val="000000" w:themeColor="text1"/>
          <w:lang w:val="en-IN"/>
        </w:rPr>
        <w:t>Gleukocell</w:t>
      </w:r>
      <w:proofErr w:type="spellEnd"/>
      <w:r w:rsidRPr="00905C20">
        <w:rPr>
          <w:bCs/>
          <w:color w:val="000000" w:themeColor="text1"/>
          <w:lang w:val="en-IN"/>
        </w:rPr>
        <w:t xml:space="preserve"> infusion. One subject (HU2291; 1/25, 4.0%) experienced mild itching during the infusion.</w:t>
      </w:r>
    </w:p>
    <w:p w14:paraId="37551967"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p>
    <w:p w14:paraId="5133B80E"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r w:rsidRPr="00905C20">
        <w:rPr>
          <w:bCs/>
          <w:color w:val="000000" w:themeColor="text1"/>
          <w:lang w:val="en-IN"/>
        </w:rPr>
        <w:t>Flow cytometry demonstrated that the percentage of Tregs increased from 5.76% ± 1.21% at baseline to 7.53% ± 3.17% at the 1-month follow-up (</w:t>
      </w:r>
      <w:r w:rsidRPr="00905C20">
        <w:rPr>
          <w:b/>
          <w:color w:val="000000" w:themeColor="text1"/>
          <w:lang w:val="en-IN"/>
        </w:rPr>
        <w:t>Figure 2</w:t>
      </w:r>
      <w:r w:rsidRPr="00905C20">
        <w:rPr>
          <w:bCs/>
          <w:color w:val="000000" w:themeColor="text1"/>
          <w:lang w:val="en-IN"/>
        </w:rPr>
        <w:t xml:space="preserve">, </w:t>
      </w:r>
      <w:r w:rsidRPr="00905C20">
        <w:rPr>
          <w:bCs/>
          <w:i/>
          <w:iCs/>
          <w:color w:val="000000" w:themeColor="text1"/>
          <w:lang w:val="en-IN"/>
        </w:rPr>
        <w:t>P</w:t>
      </w:r>
      <w:r w:rsidRPr="00905C20">
        <w:rPr>
          <w:bCs/>
          <w:color w:val="000000" w:themeColor="text1"/>
          <w:lang w:val="en-IN"/>
        </w:rPr>
        <w:t xml:space="preserve"> = 0.003). In the current clinical study, 17/25 subjects with long COVID displayed elevated percentages of IL-1β-positive cells, with a baseline value of 8.43% ± 10.12%. After treatment with SCE therapy, the percentage of IL-1β-positive cells decreased to 3.01% ± 6.07% (</w:t>
      </w:r>
      <w:r w:rsidRPr="00905C20">
        <w:rPr>
          <w:b/>
          <w:color w:val="000000" w:themeColor="text1"/>
          <w:lang w:val="en-IN"/>
        </w:rPr>
        <w:t>Figure 3</w:t>
      </w:r>
      <w:r w:rsidRPr="00905C20">
        <w:rPr>
          <w:bCs/>
          <w:color w:val="000000" w:themeColor="text1"/>
          <w:lang w:val="en-IN"/>
        </w:rPr>
        <w:t xml:space="preserve">, </w:t>
      </w:r>
      <w:r w:rsidRPr="00905C20">
        <w:rPr>
          <w:bCs/>
          <w:i/>
          <w:iCs/>
          <w:color w:val="000000" w:themeColor="text1"/>
          <w:lang w:val="en-IN"/>
        </w:rPr>
        <w:t>P</w:t>
      </w:r>
      <w:r w:rsidRPr="00905C20">
        <w:rPr>
          <w:bCs/>
          <w:color w:val="000000" w:themeColor="text1"/>
          <w:lang w:val="en-IN"/>
        </w:rPr>
        <w:t xml:space="preserve"> = 0.0017).</w:t>
      </w:r>
    </w:p>
    <w:p w14:paraId="4EC12A54"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p>
    <w:p w14:paraId="4828C2D5"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r w:rsidRPr="00905C20">
        <w:rPr>
          <w:bCs/>
          <w:color w:val="000000" w:themeColor="text1"/>
          <w:lang w:val="en-IN"/>
        </w:rPr>
        <w:t xml:space="preserve">[Place </w:t>
      </w:r>
      <w:r w:rsidRPr="00905C20">
        <w:rPr>
          <w:b/>
          <w:bCs/>
          <w:color w:val="000000" w:themeColor="text1"/>
          <w:lang w:val="en-IN"/>
        </w:rPr>
        <w:t>Figure 2</w:t>
      </w:r>
      <w:r w:rsidRPr="00905C20">
        <w:rPr>
          <w:bCs/>
          <w:color w:val="000000" w:themeColor="text1"/>
          <w:lang w:val="en-IN"/>
        </w:rPr>
        <w:t xml:space="preserve"> here.]</w:t>
      </w:r>
    </w:p>
    <w:p w14:paraId="3F928BA7"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p>
    <w:p w14:paraId="5EC745BC"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r w:rsidRPr="00905C20">
        <w:rPr>
          <w:bCs/>
          <w:color w:val="000000" w:themeColor="text1"/>
          <w:lang w:val="en-IN"/>
        </w:rPr>
        <w:t xml:space="preserve">[Place </w:t>
      </w:r>
      <w:r w:rsidRPr="00905C20">
        <w:rPr>
          <w:b/>
          <w:bCs/>
          <w:color w:val="000000" w:themeColor="text1"/>
          <w:lang w:val="en-IN"/>
        </w:rPr>
        <w:t>Figure 3</w:t>
      </w:r>
      <w:r w:rsidRPr="00905C20">
        <w:rPr>
          <w:bCs/>
          <w:color w:val="000000" w:themeColor="text1"/>
          <w:lang w:val="en-IN"/>
        </w:rPr>
        <w:t xml:space="preserve"> here.]</w:t>
      </w:r>
    </w:p>
    <w:p w14:paraId="1BC2AAE7"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p>
    <w:p w14:paraId="1DCB2DC4" w14:textId="5D09B530" w:rsidR="00033C99" w:rsidRPr="00905C20" w:rsidRDefault="00033C99" w:rsidP="00905C20">
      <w:pPr>
        <w:pBdr>
          <w:top w:val="nil"/>
          <w:left w:val="nil"/>
          <w:bottom w:val="nil"/>
          <w:right w:val="nil"/>
          <w:between w:val="nil"/>
        </w:pBdr>
        <w:spacing w:line="0" w:lineRule="atLeast"/>
        <w:rPr>
          <w:bCs/>
          <w:color w:val="000000" w:themeColor="text1"/>
          <w:lang w:val="en-IN"/>
        </w:rPr>
      </w:pPr>
      <w:r w:rsidRPr="00905C20">
        <w:rPr>
          <w:bCs/>
          <w:color w:val="000000" w:themeColor="text1"/>
          <w:lang w:val="en-IN"/>
        </w:rPr>
        <w:t>CXCL16 is expressed by a variety of immune cells, including monocytes/macrophages, dendritic cells, and B cells. Recent studies suggest that CXCL16 contributes to the pathogenesis of autoimmune diseases such as Crohn’s disease, multiple sclerosis, rheumatoid arthritis, and lupus</w:t>
      </w:r>
      <w:r w:rsidR="00182483" w:rsidRPr="00905C20">
        <w:rPr>
          <w:bCs/>
          <w:color w:val="000000" w:themeColor="text1"/>
          <w:vertAlign w:val="superscript"/>
          <w:lang w:val="en-IN"/>
        </w:rPr>
        <w:t>35–37</w:t>
      </w:r>
      <w:r w:rsidRPr="00905C20">
        <w:rPr>
          <w:bCs/>
          <w:color w:val="000000" w:themeColor="text1"/>
          <w:lang w:val="en-IN"/>
        </w:rPr>
        <w:t>, as well as long COVID</w:t>
      </w:r>
      <w:r w:rsidRPr="00905C20">
        <w:rPr>
          <w:bCs/>
          <w:color w:val="000000" w:themeColor="text1"/>
          <w:vertAlign w:val="superscript"/>
          <w:lang w:val="en-IN"/>
        </w:rPr>
        <w:t>38</w:t>
      </w:r>
      <w:r w:rsidRPr="00905C20">
        <w:rPr>
          <w:bCs/>
          <w:color w:val="000000" w:themeColor="text1"/>
          <w:lang w:val="en-IN"/>
        </w:rPr>
        <w:t>. Flow cytometry showed that PBMC from patients with long COVID displayed a high percentage of CXCL16-positive cells at baseline (63.98% ± 19.11%), which decreased to 44.1% ± 24.52% one month after SCE therapy (</w:t>
      </w:r>
      <w:r w:rsidRPr="00905C20">
        <w:rPr>
          <w:b/>
          <w:color w:val="000000" w:themeColor="text1"/>
          <w:lang w:val="en-IN"/>
        </w:rPr>
        <w:t>Figure 4</w:t>
      </w:r>
      <w:r w:rsidRPr="00905C20">
        <w:rPr>
          <w:bCs/>
          <w:color w:val="000000" w:themeColor="text1"/>
          <w:lang w:val="en-IN"/>
        </w:rPr>
        <w:t xml:space="preserve">, </w:t>
      </w:r>
      <w:r w:rsidRPr="00905C20">
        <w:rPr>
          <w:bCs/>
          <w:i/>
          <w:iCs/>
          <w:color w:val="000000" w:themeColor="text1"/>
          <w:lang w:val="en-IN"/>
        </w:rPr>
        <w:t>P</w:t>
      </w:r>
      <w:r w:rsidRPr="00905C20">
        <w:rPr>
          <w:bCs/>
          <w:color w:val="000000" w:themeColor="text1"/>
          <w:lang w:val="en-IN"/>
        </w:rPr>
        <w:t xml:space="preserve"> = 0.03).</w:t>
      </w:r>
    </w:p>
    <w:p w14:paraId="5D530319"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p>
    <w:p w14:paraId="16A78455"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r w:rsidRPr="00905C20">
        <w:rPr>
          <w:bCs/>
          <w:color w:val="000000" w:themeColor="text1"/>
          <w:lang w:val="en-IN"/>
        </w:rPr>
        <w:t xml:space="preserve">[Place </w:t>
      </w:r>
      <w:r w:rsidRPr="00905C20">
        <w:rPr>
          <w:b/>
          <w:bCs/>
          <w:color w:val="000000" w:themeColor="text1"/>
          <w:lang w:val="en-IN"/>
        </w:rPr>
        <w:t>Figure 4</w:t>
      </w:r>
      <w:r w:rsidRPr="00905C20">
        <w:rPr>
          <w:bCs/>
          <w:color w:val="000000" w:themeColor="text1"/>
          <w:lang w:val="en-IN"/>
        </w:rPr>
        <w:t xml:space="preserve"> here.]</w:t>
      </w:r>
    </w:p>
    <w:p w14:paraId="089C5D9B"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p>
    <w:p w14:paraId="338C7956" w14:textId="77777777" w:rsidR="00033C99" w:rsidRPr="00905C20" w:rsidRDefault="00033C99" w:rsidP="00905C20">
      <w:pPr>
        <w:pBdr>
          <w:top w:val="nil"/>
          <w:left w:val="nil"/>
          <w:bottom w:val="nil"/>
          <w:right w:val="nil"/>
          <w:between w:val="nil"/>
        </w:pBdr>
        <w:spacing w:line="0" w:lineRule="atLeast"/>
        <w:rPr>
          <w:color w:val="000000" w:themeColor="text1"/>
          <w:lang w:val="en-IN"/>
        </w:rPr>
      </w:pPr>
      <w:r w:rsidRPr="00905C20">
        <w:rPr>
          <w:bCs/>
          <w:color w:val="000000" w:themeColor="text1"/>
          <w:lang w:val="en-IN"/>
        </w:rPr>
        <w:t>The percentage of CD4+CD45RO+CCR7− TEM cells decreased in subjects with long COVID one month after treatment with SCE therapy (</w:t>
      </w:r>
      <w:r w:rsidRPr="00905C20">
        <w:rPr>
          <w:b/>
          <w:bCs/>
          <w:color w:val="000000" w:themeColor="text1"/>
          <w:lang w:val="en-IN"/>
        </w:rPr>
        <w:t>Figure 5A</w:t>
      </w:r>
      <w:r w:rsidRPr="00905C20">
        <w:rPr>
          <w:bCs/>
          <w:color w:val="000000" w:themeColor="text1"/>
          <w:lang w:val="en-IN"/>
        </w:rPr>
        <w:t xml:space="preserve">, </w:t>
      </w:r>
      <w:r w:rsidRPr="00905C20">
        <w:rPr>
          <w:bCs/>
          <w:i/>
          <w:iCs/>
          <w:color w:val="000000" w:themeColor="text1"/>
          <w:lang w:val="en-IN"/>
        </w:rPr>
        <w:t>P</w:t>
      </w:r>
      <w:r w:rsidRPr="00905C20">
        <w:rPr>
          <w:bCs/>
          <w:color w:val="000000" w:themeColor="text1"/>
          <w:lang w:val="en-IN"/>
        </w:rPr>
        <w:t xml:space="preserve"> = 0.0003). Conversely, the percentage of naïve CD4</w:t>
      </w:r>
      <w:r w:rsidRPr="00905C20">
        <w:rPr>
          <w:bCs/>
          <w:color w:val="000000" w:themeColor="text1"/>
          <w:vertAlign w:val="superscript"/>
          <w:lang w:val="en-IN"/>
        </w:rPr>
        <w:t>+</w:t>
      </w:r>
      <w:r w:rsidRPr="00905C20">
        <w:rPr>
          <w:bCs/>
          <w:color w:val="000000" w:themeColor="text1"/>
          <w:lang w:val="en-IN"/>
        </w:rPr>
        <w:t>CD45RO−CCR7</w:t>
      </w:r>
      <w:r w:rsidRPr="00905C20">
        <w:rPr>
          <w:bCs/>
          <w:color w:val="000000" w:themeColor="text1"/>
          <w:vertAlign w:val="superscript"/>
          <w:lang w:val="en-IN"/>
        </w:rPr>
        <w:t>+</w:t>
      </w:r>
      <w:r w:rsidRPr="00905C20">
        <w:rPr>
          <w:bCs/>
          <w:color w:val="000000" w:themeColor="text1"/>
          <w:lang w:val="en-IN"/>
        </w:rPr>
        <w:t xml:space="preserve"> T cells increased one month after SCE therapy (</w:t>
      </w:r>
      <w:r w:rsidRPr="00905C20">
        <w:rPr>
          <w:b/>
          <w:bCs/>
          <w:color w:val="000000" w:themeColor="text1"/>
          <w:lang w:val="en-IN"/>
        </w:rPr>
        <w:t>Figure 5B</w:t>
      </w:r>
      <w:r w:rsidRPr="00905C20">
        <w:rPr>
          <w:bCs/>
          <w:color w:val="000000" w:themeColor="text1"/>
          <w:lang w:val="en-IN"/>
        </w:rPr>
        <w:t xml:space="preserve">, </w:t>
      </w:r>
      <w:r w:rsidRPr="00905C20">
        <w:rPr>
          <w:bCs/>
          <w:i/>
          <w:iCs/>
          <w:color w:val="000000" w:themeColor="text1"/>
          <w:lang w:val="en-IN"/>
        </w:rPr>
        <w:t>P</w:t>
      </w:r>
      <w:r w:rsidRPr="00905C20">
        <w:rPr>
          <w:bCs/>
          <w:color w:val="000000" w:themeColor="text1"/>
          <w:lang w:val="en-IN"/>
        </w:rPr>
        <w:t xml:space="preserve"> = 0.0026). These findings demonstrate changes in CD4</w:t>
      </w:r>
      <w:r w:rsidRPr="00905C20">
        <w:rPr>
          <w:bCs/>
          <w:color w:val="000000" w:themeColor="text1"/>
          <w:vertAlign w:val="superscript"/>
          <w:lang w:val="en-IN"/>
        </w:rPr>
        <w:t>+</w:t>
      </w:r>
      <w:r w:rsidRPr="00905C20">
        <w:rPr>
          <w:bCs/>
          <w:color w:val="000000" w:themeColor="text1"/>
          <w:lang w:val="en-IN"/>
        </w:rPr>
        <w:t xml:space="preserve"> effector memory and naïve T-cell populations following SCE therapy. </w:t>
      </w:r>
      <w:r w:rsidRPr="00905C20">
        <w:rPr>
          <w:color w:val="000000" w:themeColor="text1"/>
          <w:lang w:val="en-IN"/>
        </w:rPr>
        <w:t xml:space="preserve">The baseline and 1-month values, 95% confidence intervals, and corresponding </w:t>
      </w:r>
      <w:r w:rsidRPr="00905C20">
        <w:rPr>
          <w:i/>
          <w:iCs/>
          <w:color w:val="000000" w:themeColor="text1"/>
          <w:lang w:val="en-IN"/>
        </w:rPr>
        <w:t>P</w:t>
      </w:r>
      <w:r w:rsidRPr="00905C20">
        <w:rPr>
          <w:color w:val="000000" w:themeColor="text1"/>
          <w:lang w:val="en-IN"/>
        </w:rPr>
        <w:t xml:space="preserve"> values for these immune-marker comparisons are summarized in </w:t>
      </w:r>
      <w:r w:rsidRPr="00905C20">
        <w:rPr>
          <w:b/>
          <w:bCs/>
          <w:color w:val="000000" w:themeColor="text1"/>
          <w:lang w:val="en-IN"/>
        </w:rPr>
        <w:t>Table 1</w:t>
      </w:r>
      <w:r w:rsidRPr="00905C20">
        <w:rPr>
          <w:color w:val="000000" w:themeColor="text1"/>
          <w:lang w:val="en-IN"/>
        </w:rPr>
        <w:t>.</w:t>
      </w:r>
    </w:p>
    <w:p w14:paraId="204309A2" w14:textId="77777777" w:rsidR="00033C99" w:rsidRPr="00905C20" w:rsidRDefault="00033C99" w:rsidP="00905C20">
      <w:pPr>
        <w:pBdr>
          <w:top w:val="nil"/>
          <w:left w:val="nil"/>
          <w:bottom w:val="nil"/>
          <w:right w:val="nil"/>
          <w:between w:val="nil"/>
        </w:pBdr>
        <w:spacing w:line="0" w:lineRule="atLeast"/>
        <w:rPr>
          <w:color w:val="000000" w:themeColor="text1"/>
          <w:lang w:val="en-IN"/>
        </w:rPr>
      </w:pPr>
    </w:p>
    <w:p w14:paraId="2F17A485"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r w:rsidRPr="00905C20">
        <w:rPr>
          <w:bCs/>
          <w:color w:val="000000" w:themeColor="text1"/>
          <w:lang w:val="en-IN"/>
        </w:rPr>
        <w:t xml:space="preserve">[Place </w:t>
      </w:r>
      <w:r w:rsidRPr="00905C20">
        <w:rPr>
          <w:b/>
          <w:bCs/>
          <w:color w:val="000000" w:themeColor="text1"/>
          <w:lang w:val="en-IN"/>
        </w:rPr>
        <w:t>Figure 5</w:t>
      </w:r>
      <w:r w:rsidRPr="00905C20">
        <w:rPr>
          <w:bCs/>
          <w:color w:val="000000" w:themeColor="text1"/>
          <w:lang w:val="en-IN"/>
        </w:rPr>
        <w:t xml:space="preserve"> here.]</w:t>
      </w:r>
    </w:p>
    <w:p w14:paraId="23B1E91A"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p>
    <w:p w14:paraId="390F58B6" w14:textId="77777777" w:rsidR="00033C99" w:rsidRPr="00905C20" w:rsidRDefault="00033C99" w:rsidP="00905C20">
      <w:pPr>
        <w:pBdr>
          <w:top w:val="nil"/>
          <w:left w:val="nil"/>
          <w:bottom w:val="nil"/>
          <w:right w:val="nil"/>
          <w:between w:val="nil"/>
        </w:pBdr>
        <w:spacing w:line="0" w:lineRule="atLeast"/>
        <w:rPr>
          <w:color w:val="000000" w:themeColor="text1"/>
          <w:lang w:val="en-IN"/>
        </w:rPr>
      </w:pPr>
      <w:r w:rsidRPr="00905C20">
        <w:rPr>
          <w:color w:val="000000" w:themeColor="text1"/>
          <w:lang w:val="en-IN"/>
        </w:rPr>
        <w:lastRenderedPageBreak/>
        <w:t xml:space="preserve">[Place </w:t>
      </w:r>
      <w:r w:rsidRPr="00905C20">
        <w:rPr>
          <w:b/>
          <w:bCs/>
          <w:color w:val="000000" w:themeColor="text1"/>
          <w:lang w:val="en-IN"/>
        </w:rPr>
        <w:t>Table 1</w:t>
      </w:r>
      <w:r w:rsidRPr="00905C20">
        <w:rPr>
          <w:color w:val="000000" w:themeColor="text1"/>
          <w:lang w:val="en-IN"/>
        </w:rPr>
        <w:t xml:space="preserve"> here.]</w:t>
      </w:r>
    </w:p>
    <w:p w14:paraId="4CEA7751" w14:textId="77777777" w:rsidR="00033C99" w:rsidRPr="00905C20" w:rsidRDefault="00033C99" w:rsidP="00905C20">
      <w:pPr>
        <w:pBdr>
          <w:top w:val="nil"/>
          <w:left w:val="nil"/>
          <w:bottom w:val="nil"/>
          <w:right w:val="nil"/>
          <w:between w:val="nil"/>
        </w:pBdr>
        <w:spacing w:line="0" w:lineRule="atLeast"/>
        <w:rPr>
          <w:bCs/>
          <w:color w:val="000000" w:themeColor="text1"/>
          <w:lang w:val="en-IN"/>
        </w:rPr>
      </w:pPr>
    </w:p>
    <w:p w14:paraId="28802834" w14:textId="4CEF1FD1" w:rsidR="00033C99" w:rsidRPr="00905C20" w:rsidRDefault="00033C99" w:rsidP="00905C20">
      <w:pPr>
        <w:pBdr>
          <w:top w:val="nil"/>
          <w:left w:val="nil"/>
          <w:bottom w:val="nil"/>
          <w:right w:val="nil"/>
          <w:between w:val="nil"/>
        </w:pBdr>
        <w:spacing w:line="0" w:lineRule="atLeast"/>
        <w:rPr>
          <w:bCs/>
          <w:color w:val="000000" w:themeColor="text1"/>
          <w:lang w:val="en-IN"/>
        </w:rPr>
      </w:pPr>
      <w:r w:rsidRPr="00905C20">
        <w:rPr>
          <w:bCs/>
          <w:color w:val="000000" w:themeColor="text1"/>
          <w:lang w:val="en-IN"/>
        </w:rPr>
        <w:t>Twenty-one of 25 patients reported resolution of the common long COVID symptoms of brain fog and fatigue following treatment with SCE therapy. Most participants also reported feeling refreshed, energized, and mentally clear after therapy. Notably, subject HU2171, a medical resident who cared for patients with COVID-19 in the intensive care unit during the pandemic, had contracted COVID-19 in 2021. Over the subsequent four years, he underwent various treatments, including JAK inhibitors and seven infusions of autologous MSCs derived from abdominal adipose tissue, without reported improvement. His condition progressively worsened, eventually rendering him bedridden for two years. He developed severe sensitivity to light and sound and kept his room darkened with black tape sealing the window gaps. After receiving SCE therapy, he demonstrated clinical improvement over a 3-month period. His light and sound sensitivities resolved, without recurrence of headaches. Flow cytometry also showed immunological changes: the percentage of IL-1β-positive cells decreased from 8.84% at baseline to 1.7% at 3 months after treatment, and the percentage of CXCL16-positive cells decreased from 78.42% at baseline to 48.16%. These clinical observations were accompanied by reductions in the measured inflammatory immune-cell markers following SCE therapy.</w:t>
      </w:r>
    </w:p>
    <w:p w14:paraId="5F19DBD9" w14:textId="77777777" w:rsidR="00033C99" w:rsidRPr="00905C20" w:rsidRDefault="00033C99" w:rsidP="00905C20">
      <w:pPr>
        <w:pBdr>
          <w:top w:val="nil"/>
          <w:left w:val="nil"/>
          <w:bottom w:val="nil"/>
          <w:right w:val="nil"/>
          <w:between w:val="nil"/>
        </w:pBdr>
        <w:spacing w:line="0" w:lineRule="atLeast"/>
        <w:rPr>
          <w:bCs/>
          <w:color w:val="000000" w:themeColor="text1"/>
        </w:rPr>
      </w:pPr>
    </w:p>
    <w:p w14:paraId="50CAC298" w14:textId="3CABCD54" w:rsidR="00CF58C3" w:rsidRPr="00905C20" w:rsidRDefault="009E6662" w:rsidP="00905C20">
      <w:pPr>
        <w:pBdr>
          <w:top w:val="nil"/>
          <w:left w:val="nil"/>
          <w:bottom w:val="nil"/>
          <w:right w:val="nil"/>
          <w:between w:val="nil"/>
        </w:pBdr>
        <w:spacing w:line="0" w:lineRule="atLeast"/>
        <w:rPr>
          <w:b/>
          <w:color w:val="000000" w:themeColor="text1"/>
        </w:rPr>
      </w:pPr>
      <w:r w:rsidRPr="00905C20">
        <w:rPr>
          <w:b/>
          <w:color w:val="000000" w:themeColor="text1"/>
        </w:rPr>
        <w:t xml:space="preserve">FIGURE </w:t>
      </w:r>
      <w:r w:rsidR="00CB6623" w:rsidRPr="00905C20">
        <w:rPr>
          <w:b/>
          <w:color w:val="000000" w:themeColor="text1"/>
        </w:rPr>
        <w:t xml:space="preserve">AND TABLE </w:t>
      </w:r>
      <w:r w:rsidRPr="00905C20">
        <w:rPr>
          <w:b/>
          <w:color w:val="000000" w:themeColor="text1"/>
        </w:rPr>
        <w:t>LEGENDS:</w:t>
      </w:r>
    </w:p>
    <w:p w14:paraId="4973A21E" w14:textId="77777777" w:rsidR="00CB6623" w:rsidRPr="00905C20" w:rsidRDefault="00CB6623" w:rsidP="00905C20">
      <w:pPr>
        <w:spacing w:line="0" w:lineRule="atLeast"/>
        <w:rPr>
          <w:color w:val="000000" w:themeColor="text1"/>
          <w:lang w:val="en-IN"/>
        </w:rPr>
      </w:pPr>
      <w:r w:rsidRPr="00905C20">
        <w:rPr>
          <w:b/>
          <w:bCs/>
          <w:color w:val="000000" w:themeColor="text1"/>
          <w:lang w:val="en-IN"/>
        </w:rPr>
        <w:t>Figure 1. Workflow of SCE therapy and quality control testing.</w:t>
      </w:r>
    </w:p>
    <w:p w14:paraId="351C0057" w14:textId="3C7E0431" w:rsidR="00CB6623" w:rsidRPr="00905C20" w:rsidRDefault="00CB6623" w:rsidP="00905C20">
      <w:pPr>
        <w:spacing w:line="0" w:lineRule="atLeast"/>
        <w:rPr>
          <w:color w:val="000000" w:themeColor="text1"/>
          <w:lang w:val="en-IN"/>
        </w:rPr>
      </w:pPr>
      <w:r w:rsidRPr="00905C20">
        <w:rPr>
          <w:color w:val="000000" w:themeColor="text1"/>
          <w:lang w:val="en-IN"/>
        </w:rPr>
        <w:t xml:space="preserve">Cord blood mononuclear cells are isolated, washed, and cultured in the SCE device. After the culture reaches ≥80% confluence, the patient mononuclear cell (MNC) apheresis product is added to the SCE device for immune education. Following overnight incubation, the SCE-treated MNC apheresis product is collected and subjected to quality control (QC) testing before final-product </w:t>
      </w:r>
      <w:proofErr w:type="spellStart"/>
      <w:r w:rsidRPr="00905C20">
        <w:rPr>
          <w:color w:val="000000" w:themeColor="text1"/>
          <w:lang w:val="en-IN"/>
        </w:rPr>
        <w:t>labeling</w:t>
      </w:r>
      <w:proofErr w:type="spellEnd"/>
      <w:r w:rsidRPr="00905C20">
        <w:rPr>
          <w:color w:val="000000" w:themeColor="text1"/>
          <w:lang w:val="en-IN"/>
        </w:rPr>
        <w:t>, release, and intravenous infusion. RBCs, red blood cells; MNC, mononuclear cell; SCE, Stem Cell Educator; QC, quality control.</w:t>
      </w:r>
    </w:p>
    <w:p w14:paraId="7E5A44BF" w14:textId="77777777" w:rsidR="00CB6623" w:rsidRPr="00905C20" w:rsidRDefault="00CB6623" w:rsidP="00905C20">
      <w:pPr>
        <w:spacing w:line="0" w:lineRule="atLeast"/>
        <w:rPr>
          <w:color w:val="000000" w:themeColor="text1"/>
          <w:lang w:val="en-IN"/>
        </w:rPr>
      </w:pPr>
    </w:p>
    <w:p w14:paraId="5EF60BC8" w14:textId="77777777" w:rsidR="00CB6623" w:rsidRPr="00905C20" w:rsidRDefault="00CB6623" w:rsidP="00905C20">
      <w:pPr>
        <w:spacing w:line="0" w:lineRule="atLeast"/>
        <w:rPr>
          <w:color w:val="000000" w:themeColor="text1"/>
          <w:lang w:val="en-IN"/>
        </w:rPr>
      </w:pPr>
      <w:r w:rsidRPr="00905C20">
        <w:rPr>
          <w:b/>
          <w:bCs/>
          <w:color w:val="000000" w:themeColor="text1"/>
          <w:lang w:val="en-IN"/>
        </w:rPr>
        <w:t>Figure 2. Increase in regulatory T cells in patients with long COVID one month after SCE therapy.</w:t>
      </w:r>
    </w:p>
    <w:p w14:paraId="0E45D0CA" w14:textId="6D9A9940" w:rsidR="00CB6623" w:rsidRPr="00905C20" w:rsidRDefault="00CB6623" w:rsidP="00905C20">
      <w:pPr>
        <w:spacing w:line="0" w:lineRule="atLeast"/>
        <w:rPr>
          <w:color w:val="000000" w:themeColor="text1"/>
          <w:lang w:val="en-IN"/>
        </w:rPr>
      </w:pPr>
      <w:r w:rsidRPr="00905C20">
        <w:rPr>
          <w:color w:val="000000" w:themeColor="text1"/>
          <w:lang w:val="en-IN"/>
        </w:rPr>
        <w:t xml:space="preserve">All subjects received one treatment with SCE therapy. Peripheral blood mononuclear cells (PBMC) were </w:t>
      </w:r>
      <w:proofErr w:type="spellStart"/>
      <w:r w:rsidRPr="00905C20">
        <w:rPr>
          <w:color w:val="000000" w:themeColor="text1"/>
          <w:lang w:val="en-IN"/>
        </w:rPr>
        <w:t>analyzed</w:t>
      </w:r>
      <w:proofErr w:type="spellEnd"/>
      <w:r w:rsidRPr="00905C20">
        <w:rPr>
          <w:color w:val="000000" w:themeColor="text1"/>
          <w:lang w:val="en-IN"/>
        </w:rPr>
        <w:t xml:space="preserve"> at baseline and one month after treatment. Data normality was assessed using the Shapiro–Wilk test. Because the data were nonparametrically distributed, the Wilcoxon matched-pairs signed-rank test was used for statistical analysis in GraphPad Prism version 10.6.1. Statistical significance was defined as </w:t>
      </w:r>
      <w:r w:rsidRPr="00905C20">
        <w:rPr>
          <w:i/>
          <w:iCs/>
          <w:color w:val="000000" w:themeColor="text1"/>
          <w:lang w:val="en-IN"/>
        </w:rPr>
        <w:t>P</w:t>
      </w:r>
      <w:r w:rsidRPr="00905C20">
        <w:rPr>
          <w:color w:val="000000" w:themeColor="text1"/>
          <w:lang w:val="en-IN"/>
        </w:rPr>
        <w:t xml:space="preserve"> &lt; 0.05. The percentage of regulatory T cells (Tregs) increased significantly one month after SCE therapy (</w:t>
      </w:r>
      <w:r w:rsidRPr="00905C20">
        <w:rPr>
          <w:i/>
          <w:iCs/>
          <w:color w:val="000000" w:themeColor="text1"/>
          <w:lang w:val="en-IN"/>
        </w:rPr>
        <w:t>P</w:t>
      </w:r>
      <w:r w:rsidRPr="00905C20">
        <w:rPr>
          <w:color w:val="000000" w:themeColor="text1"/>
          <w:lang w:val="en-IN"/>
        </w:rPr>
        <w:t xml:space="preserve"> = 0.003). Error bars represent SD. PBMC, peripheral blood mononuclear cells; SCE, Stem Cell Educator; Tregs, regulatory T cells.</w:t>
      </w:r>
    </w:p>
    <w:p w14:paraId="3394D0D3" w14:textId="77777777" w:rsidR="00CB6623" w:rsidRPr="00905C20" w:rsidRDefault="00CB6623" w:rsidP="00905C20">
      <w:pPr>
        <w:spacing w:line="0" w:lineRule="atLeast"/>
        <w:rPr>
          <w:color w:val="000000" w:themeColor="text1"/>
          <w:lang w:val="en-IN"/>
        </w:rPr>
      </w:pPr>
    </w:p>
    <w:p w14:paraId="78B72C38" w14:textId="77777777" w:rsidR="00CB6623" w:rsidRPr="00905C20" w:rsidRDefault="00CB6623" w:rsidP="00905C20">
      <w:pPr>
        <w:spacing w:line="0" w:lineRule="atLeast"/>
        <w:rPr>
          <w:color w:val="000000" w:themeColor="text1"/>
          <w:lang w:val="en-IN"/>
        </w:rPr>
      </w:pPr>
      <w:r w:rsidRPr="00905C20">
        <w:rPr>
          <w:b/>
          <w:bCs/>
          <w:color w:val="000000" w:themeColor="text1"/>
          <w:lang w:val="en-IN"/>
        </w:rPr>
        <w:t>Figure 3. Reduction in IL-1β-positive cells in peripheral blood mononuclear cells of patients with long COVID after SCE therapy.</w:t>
      </w:r>
    </w:p>
    <w:p w14:paraId="27679E4A" w14:textId="1EDF5471" w:rsidR="00CB6623" w:rsidRPr="00905C20" w:rsidRDefault="00CB6623" w:rsidP="00905C20">
      <w:pPr>
        <w:spacing w:line="0" w:lineRule="atLeast"/>
        <w:rPr>
          <w:color w:val="000000" w:themeColor="text1"/>
          <w:lang w:val="en-IN"/>
        </w:rPr>
      </w:pPr>
      <w:r w:rsidRPr="00905C20">
        <w:rPr>
          <w:color w:val="000000" w:themeColor="text1"/>
          <w:lang w:val="en-IN"/>
        </w:rPr>
        <w:t xml:space="preserve">All subjects received one treatment with SCE therapy. Peripheral blood mononuclear cells (PBMC) were isolated at baseline and one month after treatment and </w:t>
      </w:r>
      <w:proofErr w:type="spellStart"/>
      <w:r w:rsidRPr="00905C20">
        <w:rPr>
          <w:color w:val="000000" w:themeColor="text1"/>
          <w:lang w:val="en-IN"/>
        </w:rPr>
        <w:t>analyzed</w:t>
      </w:r>
      <w:proofErr w:type="spellEnd"/>
      <w:r w:rsidRPr="00905C20">
        <w:rPr>
          <w:color w:val="000000" w:themeColor="text1"/>
          <w:lang w:val="en-IN"/>
        </w:rPr>
        <w:t xml:space="preserve"> by intracellular flow cytometry using the </w:t>
      </w:r>
      <w:proofErr w:type="spellStart"/>
      <w:r w:rsidRPr="00905C20">
        <w:rPr>
          <w:color w:val="000000" w:themeColor="text1"/>
          <w:lang w:val="en-IN"/>
        </w:rPr>
        <w:t>PerFix-nc</w:t>
      </w:r>
      <w:proofErr w:type="spellEnd"/>
      <w:r w:rsidRPr="00905C20">
        <w:rPr>
          <w:color w:val="000000" w:themeColor="text1"/>
          <w:lang w:val="en-IN"/>
        </w:rPr>
        <w:t xml:space="preserve"> cellular staining kit and a </w:t>
      </w:r>
      <w:proofErr w:type="spellStart"/>
      <w:r w:rsidRPr="00905C20">
        <w:rPr>
          <w:color w:val="000000" w:themeColor="text1"/>
          <w:lang w:val="en-IN"/>
        </w:rPr>
        <w:t>Gallios</w:t>
      </w:r>
      <w:proofErr w:type="spellEnd"/>
      <w:r w:rsidRPr="00905C20">
        <w:rPr>
          <w:color w:val="000000" w:themeColor="text1"/>
          <w:lang w:val="en-IN"/>
        </w:rPr>
        <w:t xml:space="preserve"> flow cytometer equipped with 488 nm, 638 nm, and 405 nm lasers. Data were </w:t>
      </w:r>
      <w:proofErr w:type="spellStart"/>
      <w:r w:rsidRPr="00905C20">
        <w:rPr>
          <w:color w:val="000000" w:themeColor="text1"/>
          <w:lang w:val="en-IN"/>
        </w:rPr>
        <w:t>analyzed</w:t>
      </w:r>
      <w:proofErr w:type="spellEnd"/>
      <w:r w:rsidRPr="00905C20">
        <w:rPr>
          <w:color w:val="000000" w:themeColor="text1"/>
          <w:lang w:val="en-IN"/>
        </w:rPr>
        <w:t xml:space="preserve"> using Kaluza Flow Cytometry Analysis Software version 2.1. Isotype-matched immunoglobulin G (IgG) controls were used as controls. The Wilcoxon matched-pairs signed-rank test was used for statistical analysis in </w:t>
      </w:r>
      <w:r w:rsidRPr="00905C20">
        <w:rPr>
          <w:color w:val="000000" w:themeColor="text1"/>
          <w:lang w:val="en-IN"/>
        </w:rPr>
        <w:lastRenderedPageBreak/>
        <w:t xml:space="preserve">GraphPad Prism version 10.6.1. Statistical significance was defined as </w:t>
      </w:r>
      <w:r w:rsidRPr="00905C20">
        <w:rPr>
          <w:i/>
          <w:iCs/>
          <w:color w:val="000000" w:themeColor="text1"/>
          <w:lang w:val="en-IN"/>
        </w:rPr>
        <w:t>P</w:t>
      </w:r>
      <w:r w:rsidRPr="00905C20">
        <w:rPr>
          <w:color w:val="000000" w:themeColor="text1"/>
          <w:lang w:val="en-IN"/>
        </w:rPr>
        <w:t xml:space="preserve"> &lt; 0.05. The percentage of IL-1β-positive cells decreased significantly one month after SCE therapy (</w:t>
      </w:r>
      <w:r w:rsidRPr="00905C20">
        <w:rPr>
          <w:i/>
          <w:iCs/>
          <w:color w:val="000000" w:themeColor="text1"/>
          <w:lang w:val="en-IN"/>
        </w:rPr>
        <w:t>P</w:t>
      </w:r>
      <w:r w:rsidRPr="00905C20">
        <w:rPr>
          <w:color w:val="000000" w:themeColor="text1"/>
          <w:lang w:val="en-IN"/>
        </w:rPr>
        <w:t xml:space="preserve"> = 0.0017). Error bars represent SD. IL-1β, interleukin-1 beta; PBMC, peripheral blood mononuclear cells; SCE, Stem Cell Educator.</w:t>
      </w:r>
    </w:p>
    <w:p w14:paraId="6186F88F" w14:textId="77777777" w:rsidR="00CB6623" w:rsidRPr="00905C20" w:rsidRDefault="00CB6623" w:rsidP="00905C20">
      <w:pPr>
        <w:spacing w:line="0" w:lineRule="atLeast"/>
        <w:rPr>
          <w:color w:val="000000" w:themeColor="text1"/>
          <w:lang w:val="en-IN"/>
        </w:rPr>
      </w:pPr>
    </w:p>
    <w:p w14:paraId="62E035A8" w14:textId="77777777" w:rsidR="00CB6623" w:rsidRPr="00905C20" w:rsidRDefault="00CB6623" w:rsidP="00905C20">
      <w:pPr>
        <w:spacing w:line="0" w:lineRule="atLeast"/>
        <w:rPr>
          <w:color w:val="000000" w:themeColor="text1"/>
          <w:lang w:val="en-IN"/>
        </w:rPr>
      </w:pPr>
      <w:r w:rsidRPr="00905C20">
        <w:rPr>
          <w:b/>
          <w:bCs/>
          <w:color w:val="000000" w:themeColor="text1"/>
          <w:lang w:val="en-IN"/>
        </w:rPr>
        <w:t>Figure 4. Reduction in CXCL16-positive cells in peripheral blood mononuclear cells of patients with long COVID one month after SCE therapy.</w:t>
      </w:r>
    </w:p>
    <w:p w14:paraId="4D304C9B" w14:textId="51E89670" w:rsidR="00CB6623" w:rsidRPr="00905C20" w:rsidRDefault="00CB6623" w:rsidP="00905C20">
      <w:pPr>
        <w:spacing w:line="0" w:lineRule="atLeast"/>
        <w:rPr>
          <w:color w:val="000000" w:themeColor="text1"/>
          <w:lang w:val="en-IN"/>
        </w:rPr>
      </w:pPr>
      <w:r w:rsidRPr="00905C20">
        <w:rPr>
          <w:color w:val="000000" w:themeColor="text1"/>
          <w:lang w:val="en-IN"/>
        </w:rPr>
        <w:t xml:space="preserve">All subjects received one treatment with SCE therapy. Peripheral blood mononuclear cells (PBMC) were isolated at baseline and one month after treatment and </w:t>
      </w:r>
      <w:proofErr w:type="spellStart"/>
      <w:r w:rsidRPr="00905C20">
        <w:rPr>
          <w:color w:val="000000" w:themeColor="text1"/>
          <w:lang w:val="en-IN"/>
        </w:rPr>
        <w:t>analyzed</w:t>
      </w:r>
      <w:proofErr w:type="spellEnd"/>
      <w:r w:rsidRPr="00905C20">
        <w:rPr>
          <w:color w:val="000000" w:themeColor="text1"/>
          <w:lang w:val="en-IN"/>
        </w:rPr>
        <w:t xml:space="preserve"> by flow cytometry using the </w:t>
      </w:r>
      <w:proofErr w:type="spellStart"/>
      <w:r w:rsidRPr="00905C20">
        <w:rPr>
          <w:color w:val="000000" w:themeColor="text1"/>
          <w:lang w:val="en-IN"/>
        </w:rPr>
        <w:t>PerFix-nc</w:t>
      </w:r>
      <w:proofErr w:type="spellEnd"/>
      <w:r w:rsidRPr="00905C20">
        <w:rPr>
          <w:color w:val="000000" w:themeColor="text1"/>
          <w:lang w:val="en-IN"/>
        </w:rPr>
        <w:t xml:space="preserve"> cellular staining kit and a </w:t>
      </w:r>
      <w:proofErr w:type="spellStart"/>
      <w:r w:rsidRPr="00905C20">
        <w:rPr>
          <w:color w:val="000000" w:themeColor="text1"/>
          <w:lang w:val="en-IN"/>
        </w:rPr>
        <w:t>Gallios</w:t>
      </w:r>
      <w:proofErr w:type="spellEnd"/>
      <w:r w:rsidRPr="00905C20">
        <w:rPr>
          <w:color w:val="000000" w:themeColor="text1"/>
          <w:lang w:val="en-IN"/>
        </w:rPr>
        <w:t xml:space="preserve"> flow cytometer. Isotype-matched immunoglobulin G (IgG) controls were used as controls. Data normality was assessed using the Shapiro–Wilk test, and a paired </w:t>
      </w:r>
      <w:r w:rsidRPr="00905C20">
        <w:rPr>
          <w:i/>
          <w:iCs/>
          <w:color w:val="000000" w:themeColor="text1"/>
          <w:lang w:val="en-IN"/>
        </w:rPr>
        <w:t>t</w:t>
      </w:r>
      <w:r w:rsidRPr="00905C20">
        <w:rPr>
          <w:color w:val="000000" w:themeColor="text1"/>
          <w:lang w:val="en-IN"/>
        </w:rPr>
        <w:t xml:space="preserve">-test was used for statistical analysis in GraphPad Prism version 10.6.1. Statistical significance was defined as </w:t>
      </w:r>
      <w:r w:rsidRPr="00905C20">
        <w:rPr>
          <w:i/>
          <w:iCs/>
          <w:color w:val="000000" w:themeColor="text1"/>
          <w:lang w:val="en-IN"/>
        </w:rPr>
        <w:t>P</w:t>
      </w:r>
      <w:r w:rsidRPr="00905C20">
        <w:rPr>
          <w:color w:val="000000" w:themeColor="text1"/>
          <w:lang w:val="en-IN"/>
        </w:rPr>
        <w:t xml:space="preserve"> &lt; 0.05. The percentage of CXCL16-positive cells decreased significantly one month after SCE therapy (</w:t>
      </w:r>
      <w:r w:rsidRPr="00905C20">
        <w:rPr>
          <w:i/>
          <w:iCs/>
          <w:color w:val="000000" w:themeColor="text1"/>
          <w:lang w:val="en-IN"/>
        </w:rPr>
        <w:t>P</w:t>
      </w:r>
      <w:r w:rsidRPr="00905C20">
        <w:rPr>
          <w:color w:val="000000" w:themeColor="text1"/>
          <w:lang w:val="en-IN"/>
        </w:rPr>
        <w:t xml:space="preserve"> = 0.03). Error bars represent SD. CXCL16, C-X-C motif chemokine ligand 16; PBMC, peripheral blood mononuclear cells; SCE, Stem Cell Educator.</w:t>
      </w:r>
    </w:p>
    <w:p w14:paraId="0F264211" w14:textId="77777777" w:rsidR="00CB6623" w:rsidRPr="00905C20" w:rsidRDefault="00CB6623" w:rsidP="00905C20">
      <w:pPr>
        <w:spacing w:line="0" w:lineRule="atLeast"/>
        <w:rPr>
          <w:color w:val="000000" w:themeColor="text1"/>
          <w:lang w:val="en-IN"/>
        </w:rPr>
      </w:pPr>
    </w:p>
    <w:p w14:paraId="23A71C64" w14:textId="77777777" w:rsidR="00CB6623" w:rsidRPr="00905C20" w:rsidRDefault="00CB6623" w:rsidP="00905C20">
      <w:pPr>
        <w:spacing w:line="0" w:lineRule="atLeast"/>
        <w:rPr>
          <w:color w:val="000000" w:themeColor="text1"/>
          <w:lang w:val="en-IN"/>
        </w:rPr>
      </w:pPr>
      <w:r w:rsidRPr="00905C20">
        <w:rPr>
          <w:b/>
          <w:bCs/>
          <w:color w:val="000000" w:themeColor="text1"/>
          <w:lang w:val="en-IN"/>
        </w:rPr>
        <w:t>Figure 5. Changes in CD4+ effector memory and naïve T-cell populations in patients with long COVID after SCE therapy.</w:t>
      </w:r>
    </w:p>
    <w:p w14:paraId="50F7BA56" w14:textId="25C5785C" w:rsidR="00CB6623" w:rsidRPr="00905C20" w:rsidRDefault="00CB6623" w:rsidP="00905C20">
      <w:pPr>
        <w:spacing w:line="0" w:lineRule="atLeast"/>
        <w:rPr>
          <w:color w:val="000000" w:themeColor="text1"/>
          <w:lang w:val="en-IN"/>
        </w:rPr>
      </w:pPr>
      <w:r w:rsidRPr="00905C20">
        <w:rPr>
          <w:color w:val="000000" w:themeColor="text1"/>
          <w:lang w:val="en-IN"/>
        </w:rPr>
        <w:t>All subjects (</w:t>
      </w:r>
      <w:r w:rsidRPr="00905C20">
        <w:rPr>
          <w:i/>
          <w:iCs/>
          <w:color w:val="000000" w:themeColor="text1"/>
          <w:lang w:val="en-IN"/>
        </w:rPr>
        <w:t>N</w:t>
      </w:r>
      <w:r w:rsidRPr="00905C20">
        <w:rPr>
          <w:color w:val="000000" w:themeColor="text1"/>
          <w:lang w:val="en-IN"/>
        </w:rPr>
        <w:t xml:space="preserve"> = 25) received one treatment with SCE therapy. Peripheral blood mononuclear cells (PBMC) were isolated at baseline and one month after treatment and </w:t>
      </w:r>
      <w:proofErr w:type="spellStart"/>
      <w:r w:rsidRPr="00905C20">
        <w:rPr>
          <w:color w:val="000000" w:themeColor="text1"/>
          <w:lang w:val="en-IN"/>
        </w:rPr>
        <w:t>analyzed</w:t>
      </w:r>
      <w:proofErr w:type="spellEnd"/>
      <w:r w:rsidRPr="00905C20">
        <w:rPr>
          <w:color w:val="000000" w:themeColor="text1"/>
          <w:lang w:val="en-IN"/>
        </w:rPr>
        <w:t xml:space="preserve"> by flow cytometry using a </w:t>
      </w:r>
      <w:proofErr w:type="spellStart"/>
      <w:r w:rsidRPr="00905C20">
        <w:rPr>
          <w:color w:val="000000" w:themeColor="text1"/>
          <w:lang w:val="en-IN"/>
        </w:rPr>
        <w:t>Gallios</w:t>
      </w:r>
      <w:proofErr w:type="spellEnd"/>
      <w:r w:rsidRPr="00905C20">
        <w:rPr>
          <w:color w:val="000000" w:themeColor="text1"/>
          <w:lang w:val="en-IN"/>
        </w:rPr>
        <w:t xml:space="preserve"> flow cytometer. Data were </w:t>
      </w:r>
      <w:proofErr w:type="spellStart"/>
      <w:r w:rsidRPr="00905C20">
        <w:rPr>
          <w:color w:val="000000" w:themeColor="text1"/>
          <w:lang w:val="en-IN"/>
        </w:rPr>
        <w:t>analyzed</w:t>
      </w:r>
      <w:proofErr w:type="spellEnd"/>
      <w:r w:rsidRPr="00905C20">
        <w:rPr>
          <w:color w:val="000000" w:themeColor="text1"/>
          <w:lang w:val="en-IN"/>
        </w:rPr>
        <w:t xml:space="preserve"> using Kaluza Flow Cytometry Analysis Software version 2.1. CD3+ T cells were gated from total PBMC for analysis of T-cell subsets. Isotype-matched immunoglobulin G (IgG) controls were used as controls. (A) Percentage of CD4+CD45RO+CCR7− effector memory T (TEM) cells at baseline and one month after SCE therapy. TEM cells decreased significantly one month after treatment (</w:t>
      </w:r>
      <w:r w:rsidRPr="00905C20">
        <w:rPr>
          <w:i/>
          <w:iCs/>
          <w:color w:val="000000" w:themeColor="text1"/>
          <w:lang w:val="en-IN"/>
        </w:rPr>
        <w:t>P</w:t>
      </w:r>
      <w:r w:rsidRPr="00905C20">
        <w:rPr>
          <w:color w:val="000000" w:themeColor="text1"/>
          <w:lang w:val="en-IN"/>
        </w:rPr>
        <w:t xml:space="preserve"> = 0.0003). (B) Percentage of CD4+CD45RO−CCR7+ naïve T cells at baseline and one month after SCE therapy. Naïve T cells increased significantly one month after treatment (</w:t>
      </w:r>
      <w:r w:rsidRPr="00905C20">
        <w:rPr>
          <w:i/>
          <w:iCs/>
          <w:color w:val="000000" w:themeColor="text1"/>
          <w:lang w:val="en-IN"/>
        </w:rPr>
        <w:t>P</w:t>
      </w:r>
      <w:r w:rsidRPr="00905C20">
        <w:rPr>
          <w:color w:val="000000" w:themeColor="text1"/>
          <w:lang w:val="en-IN"/>
        </w:rPr>
        <w:t xml:space="preserve"> = 0.0026). A paired </w:t>
      </w:r>
      <w:r w:rsidRPr="00905C20">
        <w:rPr>
          <w:i/>
          <w:iCs/>
          <w:color w:val="000000" w:themeColor="text1"/>
          <w:lang w:val="en-IN"/>
        </w:rPr>
        <w:t>t</w:t>
      </w:r>
      <w:r w:rsidRPr="00905C20">
        <w:rPr>
          <w:color w:val="000000" w:themeColor="text1"/>
          <w:lang w:val="en-IN"/>
        </w:rPr>
        <w:t xml:space="preserve">-test was used for statistical analysis in GraphPad Prism version 10.6.1. Statistical significance was defined as </w:t>
      </w:r>
      <w:r w:rsidRPr="00905C20">
        <w:rPr>
          <w:i/>
          <w:iCs/>
          <w:color w:val="000000" w:themeColor="text1"/>
          <w:lang w:val="en-IN"/>
        </w:rPr>
        <w:t>P</w:t>
      </w:r>
      <w:r w:rsidRPr="00905C20">
        <w:rPr>
          <w:color w:val="000000" w:themeColor="text1"/>
          <w:lang w:val="en-IN"/>
        </w:rPr>
        <w:t xml:space="preserve"> &lt; 0.05. Error bars represent SD. PBMC, peripheral blood mononuclear cells; SCE, Stem Cell Educator; TEM, effector memory T cells.</w:t>
      </w:r>
    </w:p>
    <w:p w14:paraId="0F7F674F" w14:textId="77777777" w:rsidR="00CF58C3" w:rsidRPr="00905C20" w:rsidRDefault="00CF58C3" w:rsidP="00905C20">
      <w:pPr>
        <w:spacing w:line="0" w:lineRule="atLeast"/>
        <w:rPr>
          <w:color w:val="000000" w:themeColor="text1"/>
        </w:rPr>
      </w:pPr>
    </w:p>
    <w:p w14:paraId="2A802A00" w14:textId="77777777" w:rsidR="00CB6623" w:rsidRPr="00905C20" w:rsidRDefault="005A1A3E" w:rsidP="00905C20">
      <w:pPr>
        <w:spacing w:line="0" w:lineRule="atLeast"/>
        <w:rPr>
          <w:b/>
          <w:bCs/>
          <w:color w:val="000000" w:themeColor="text1"/>
          <w:lang w:val="en-IN"/>
        </w:rPr>
      </w:pPr>
      <w:r w:rsidRPr="00905C20">
        <w:rPr>
          <w:b/>
          <w:bCs/>
          <w:color w:val="000000" w:themeColor="text1"/>
          <w:lang w:val="en-IN"/>
        </w:rPr>
        <w:t>Table 1. Comparison of immune markers in peripheral blood mononuclear cells (PBMCs) at baseline and 1 month after treatment.</w:t>
      </w:r>
    </w:p>
    <w:p w14:paraId="01E2CBF9" w14:textId="2DD048A8" w:rsidR="005A1A3E" w:rsidRPr="00905C20" w:rsidRDefault="005A1A3E" w:rsidP="00905C20">
      <w:pPr>
        <w:spacing w:line="0" w:lineRule="atLeast"/>
        <w:rPr>
          <w:color w:val="000000" w:themeColor="text1"/>
          <w:lang w:val="en-IN"/>
        </w:rPr>
      </w:pPr>
      <w:r w:rsidRPr="00905C20">
        <w:rPr>
          <w:color w:val="000000" w:themeColor="text1"/>
          <w:lang w:val="en-IN"/>
        </w:rPr>
        <w:t>Data are presented as mean ± SD. The 95% confidence intervals correspond to the baseline-to-1-month comparisons. Statistical analyses were performed as described in the Statistical Analysis section.</w:t>
      </w:r>
    </w:p>
    <w:p w14:paraId="6E48CD06" w14:textId="77777777" w:rsidR="00667978" w:rsidRPr="00905C20" w:rsidRDefault="00667978" w:rsidP="00905C20">
      <w:pPr>
        <w:spacing w:line="0" w:lineRule="atLeast"/>
        <w:rPr>
          <w:color w:val="000000" w:themeColor="text1"/>
        </w:rPr>
      </w:pPr>
    </w:p>
    <w:p w14:paraId="5EA34C99" w14:textId="391FBCDF" w:rsidR="00EB4513" w:rsidRPr="00905C20" w:rsidRDefault="009E6662" w:rsidP="00905C20">
      <w:pPr>
        <w:spacing w:line="0" w:lineRule="atLeast"/>
        <w:rPr>
          <w:b/>
          <w:color w:val="000000" w:themeColor="text1"/>
        </w:rPr>
      </w:pPr>
      <w:r w:rsidRPr="00905C20">
        <w:rPr>
          <w:b/>
          <w:color w:val="000000" w:themeColor="text1"/>
        </w:rPr>
        <w:t>DISCUSSION:</w:t>
      </w:r>
    </w:p>
    <w:p w14:paraId="5A997D79" w14:textId="2257A829" w:rsidR="006B49F8" w:rsidRPr="00905C20" w:rsidRDefault="009E6662" w:rsidP="00905C20">
      <w:pPr>
        <w:spacing w:line="0" w:lineRule="atLeast"/>
        <w:rPr>
          <w:color w:val="000000" w:themeColor="text1"/>
          <w:lang w:val="en-IN"/>
        </w:rPr>
      </w:pPr>
      <w:r w:rsidRPr="00905C20">
        <w:rPr>
          <w:color w:val="000000" w:themeColor="text1"/>
          <w:lang w:val="en-IN"/>
        </w:rPr>
        <w:t>Given the millions of individuals affected by long COVID and the current lack of disease-modifying therapies, with care largely consisting of symptomatic and supportive approaches, we explored the therapeutic potential of SCE therapy in patients with long COVID using the previously described open-loop system</w:t>
      </w:r>
      <w:r w:rsidRPr="00905C20">
        <w:rPr>
          <w:color w:val="000000" w:themeColor="text1"/>
          <w:vertAlign w:val="superscript"/>
          <w:lang w:val="en-IN"/>
        </w:rPr>
        <w:t>25</w:t>
      </w:r>
      <w:r w:rsidRPr="00905C20">
        <w:rPr>
          <w:color w:val="000000" w:themeColor="text1"/>
          <w:lang w:val="en-IN"/>
        </w:rPr>
        <w:t xml:space="preserve"> and clinical protocols previously applied to T1D and AA. In this pilot study, 25 subjects with long COVID received SCE therapy, with a safety profile consistent with </w:t>
      </w:r>
      <w:r w:rsidRPr="00905C20">
        <w:rPr>
          <w:color w:val="000000" w:themeColor="text1"/>
          <w:lang w:val="en-IN"/>
        </w:rPr>
        <w:lastRenderedPageBreak/>
        <w:t>previously published clinical studies</w:t>
      </w:r>
      <w:r w:rsidRPr="00905C20">
        <w:rPr>
          <w:color w:val="000000" w:themeColor="text1"/>
          <w:vertAlign w:val="superscript"/>
          <w:lang w:val="en-IN"/>
        </w:rPr>
        <w:t>25,28</w:t>
      </w:r>
      <w:r w:rsidRPr="00905C20">
        <w:rPr>
          <w:color w:val="000000" w:themeColor="text1"/>
          <w:lang w:val="en-IN"/>
        </w:rPr>
        <w:t>. Clinical symptoms, including brain fog and fatigue, improved in most subjects with long COVID. Critical steps of the protocol include the isolation and culture of CB-SC, collection of the patient's mononuclear cells by apheresis, removal of contaminating red blood cells, co-culture of patient mononuclear cells with CB-SC in the SCE device for 17 ± 1 h, collection and QC testing of the final product, and reinfusion of the SCE-treated MNC apheresis product. Maintaining the specified culture conditions, cell-processing procedures, sterility testing, and final-product release criteria is important for consistent implementation of the method.</w:t>
      </w:r>
      <w:r w:rsidR="009D603A" w:rsidRPr="00905C20">
        <w:rPr>
          <w:color w:val="000000" w:themeColor="text1"/>
          <w:lang w:val="en-IN"/>
        </w:rPr>
        <w:t xml:space="preserve"> </w:t>
      </w:r>
      <w:r w:rsidRPr="00905C20">
        <w:rPr>
          <w:color w:val="000000" w:themeColor="text1"/>
          <w:lang w:val="en-IN"/>
        </w:rPr>
        <w:t>Before treatment, patients with long COVID exhibited increased non-conventional monocytes (CD14</w:t>
      </w:r>
      <w:r w:rsidRPr="00905C20">
        <w:rPr>
          <w:color w:val="000000" w:themeColor="text1"/>
          <w:vertAlign w:val="superscript"/>
          <w:lang w:val="en-IN"/>
        </w:rPr>
        <w:t>low</w:t>
      </w:r>
      <w:r w:rsidRPr="00905C20">
        <w:rPr>
          <w:color w:val="000000" w:themeColor="text1"/>
          <w:lang w:val="en-IN"/>
        </w:rPr>
        <w:t>CD16</w:t>
      </w:r>
      <w:r w:rsidRPr="00905C20">
        <w:rPr>
          <w:color w:val="000000" w:themeColor="text1"/>
          <w:vertAlign w:val="superscript"/>
          <w:lang w:val="en-IN"/>
        </w:rPr>
        <w:t>high</w:t>
      </w:r>
      <w:r w:rsidRPr="00905C20">
        <w:rPr>
          <w:color w:val="000000" w:themeColor="text1"/>
          <w:lang w:val="en-IN"/>
        </w:rPr>
        <w:t>)</w:t>
      </w:r>
      <w:r w:rsidRPr="00905C20">
        <w:rPr>
          <w:color w:val="000000" w:themeColor="text1"/>
          <w:vertAlign w:val="superscript"/>
          <w:lang w:val="en-IN"/>
        </w:rPr>
        <w:t>10</w:t>
      </w:r>
      <w:r w:rsidRPr="00905C20">
        <w:rPr>
          <w:color w:val="000000" w:themeColor="text1"/>
          <w:lang w:val="en-IN"/>
        </w:rPr>
        <w:t>. SARS-CoV-2 spike protein (S-protein) can prime inflammasome formation and the release of mature IL-1β in macrophages derived from patients with COVID-19</w:t>
      </w:r>
      <w:r w:rsidRPr="00905C20">
        <w:rPr>
          <w:color w:val="000000" w:themeColor="text1"/>
          <w:vertAlign w:val="superscript"/>
          <w:lang w:val="en-IN"/>
        </w:rPr>
        <w:t>39</w:t>
      </w:r>
      <w:r w:rsidRPr="00905C20">
        <w:rPr>
          <w:color w:val="000000" w:themeColor="text1"/>
          <w:lang w:val="en-IN"/>
        </w:rPr>
        <w:t>. IL-1β, produced by monocytes/macrophages, is a major regulator of inflammation that orchestrates various innate immune responses</w:t>
      </w:r>
      <w:r w:rsidRPr="00905C20">
        <w:rPr>
          <w:color w:val="000000" w:themeColor="text1"/>
          <w:vertAlign w:val="superscript"/>
          <w:lang w:val="en-IN"/>
        </w:rPr>
        <w:t>40</w:t>
      </w:r>
      <w:r w:rsidRPr="00905C20">
        <w:rPr>
          <w:color w:val="000000" w:themeColor="text1"/>
          <w:lang w:val="en-IN"/>
        </w:rPr>
        <w:t>. The current study demonstrated that most subjects with long COVID displayed increased percentages of IL-1β-positive cells, which significantly decreased by one month after SCE therapy, consistent with downregulation of the activated monocyte/macrophage system. Inflammatory microglia, the resident macrophages of the central nervous system, may also be involved in neurological manifestations; however, microglial changes were not directly measured in the current study. Therefore, the observed clinical improvements in brain fog, fatigue, and cognitive impairment cannot be directly attributed to changes in microglial activity. The detailed mechanisms underlying cognitive impairment remain unclear and may involve multiple pathological processes, including increased reactive oxygen species (ROS), iron accumulation</w:t>
      </w:r>
      <w:r w:rsidRPr="00905C20">
        <w:rPr>
          <w:color w:val="000000" w:themeColor="text1"/>
          <w:vertAlign w:val="superscript"/>
          <w:lang w:val="en-IN"/>
        </w:rPr>
        <w:t>41</w:t>
      </w:r>
      <w:r w:rsidRPr="00905C20">
        <w:rPr>
          <w:color w:val="000000" w:themeColor="text1"/>
          <w:lang w:val="en-IN"/>
        </w:rPr>
        <w:t xml:space="preserve">, and </w:t>
      </w:r>
      <w:proofErr w:type="spellStart"/>
      <w:r w:rsidRPr="00905C20">
        <w:rPr>
          <w:color w:val="000000" w:themeColor="text1"/>
          <w:lang w:val="en-IN"/>
        </w:rPr>
        <w:t>pyroptosis</w:t>
      </w:r>
      <w:proofErr w:type="spellEnd"/>
      <w:r w:rsidRPr="00905C20">
        <w:rPr>
          <w:color w:val="000000" w:themeColor="text1"/>
          <w:lang w:val="en-IN"/>
        </w:rPr>
        <w:t xml:space="preserve"> of neural stem cells</w:t>
      </w:r>
      <w:r w:rsidRPr="00905C20">
        <w:rPr>
          <w:color w:val="000000" w:themeColor="text1"/>
          <w:vertAlign w:val="superscript"/>
          <w:lang w:val="en-IN"/>
        </w:rPr>
        <w:t>42</w:t>
      </w:r>
      <w:r w:rsidRPr="00905C20">
        <w:rPr>
          <w:color w:val="000000" w:themeColor="text1"/>
          <w:lang w:val="en-IN"/>
        </w:rPr>
        <w:t xml:space="preserve">. Additionally, the percentages of CXCL16-positive cells were significantly reduced in subjects with long COVID one month after SCE therapy. CXCL16 is predominantly expressed by monocytes/macrophages, B cells, and dendritic cells and plays an important role in immune cell trafficking. The observed reduction in CXCL16-positive cells may therefore be associated with changes in immune-cell trafficking; however, migration across the blood–brain barrier was not directly evaluated in this study. These findings suggest that the percentages of IL-1β-positive and CXCL16-positive cells in PBMC </w:t>
      </w:r>
      <w:r w:rsidR="00D82BB4" w:rsidRPr="00905C20">
        <w:rPr>
          <w:color w:val="000000" w:themeColor="text1"/>
          <w:lang w:val="en-IN"/>
        </w:rPr>
        <w:t xml:space="preserve">may represent potential candidate biomarkers that warrant further investigation. Future prospective studies with larger cohorts and predefined clinical response criteria should evaluate whether baseline IL-1β and/or CXCL16 levels are associated with, or can predict, treatment response. </w:t>
      </w:r>
    </w:p>
    <w:p w14:paraId="1783B535" w14:textId="77777777" w:rsidR="006B49F8" w:rsidRPr="00905C20" w:rsidRDefault="006B49F8" w:rsidP="00905C20">
      <w:pPr>
        <w:spacing w:line="0" w:lineRule="atLeast"/>
        <w:rPr>
          <w:color w:val="000000" w:themeColor="text1"/>
          <w:lang w:val="en-IN"/>
        </w:rPr>
      </w:pPr>
    </w:p>
    <w:p w14:paraId="1BDF7780" w14:textId="27343795" w:rsidR="007C15FE" w:rsidRPr="00905C20" w:rsidRDefault="009E6662" w:rsidP="00905C20">
      <w:pPr>
        <w:spacing w:line="0" w:lineRule="atLeast"/>
        <w:rPr>
          <w:color w:val="000000" w:themeColor="text1"/>
          <w:lang w:val="en-IN"/>
        </w:rPr>
      </w:pPr>
      <w:r w:rsidRPr="00905C20">
        <w:rPr>
          <w:color w:val="000000" w:themeColor="text1"/>
          <w:lang w:val="en-IN"/>
        </w:rPr>
        <w:t>Adaptive immune responses are crucial for protection against viral reinfection through the establishment of immune memory. Clinical studies have demonstrated that robust mucosal SARS-CoV-2-specific T-cell responses can contribute to protection against COVID-19 and the establishment of polyfunctional resident memory T cells within the lungs</w:t>
      </w:r>
      <w:r w:rsidRPr="00905C20">
        <w:rPr>
          <w:color w:val="000000" w:themeColor="text1"/>
          <w:vertAlign w:val="superscript"/>
          <w:lang w:val="en-IN"/>
        </w:rPr>
        <w:t>43</w:t>
      </w:r>
      <w:r w:rsidRPr="00905C20">
        <w:rPr>
          <w:color w:val="000000" w:themeColor="text1"/>
          <w:lang w:val="en-IN"/>
        </w:rPr>
        <w:t>. Adamo et al. reported long-lived effector memory CD8+ T cells in the blood of patients with COVID-19 from the acute infection phase through 1 year after recovery</w:t>
      </w:r>
      <w:r w:rsidRPr="00905C20">
        <w:rPr>
          <w:color w:val="000000" w:themeColor="text1"/>
          <w:vertAlign w:val="superscript"/>
          <w:lang w:val="en-IN"/>
        </w:rPr>
        <w:t>44</w:t>
      </w:r>
      <w:r w:rsidRPr="00905C20">
        <w:rPr>
          <w:color w:val="000000" w:themeColor="text1"/>
          <w:lang w:val="en-IN"/>
        </w:rPr>
        <w:t>. The current clinical data demonstrated significant decreases in the percentages of CD4</w:t>
      </w:r>
      <w:r w:rsidRPr="00905C20">
        <w:rPr>
          <w:color w:val="000000" w:themeColor="text1"/>
          <w:vertAlign w:val="superscript"/>
          <w:lang w:val="en-IN"/>
        </w:rPr>
        <w:t>+</w:t>
      </w:r>
      <w:r w:rsidRPr="00905C20">
        <w:rPr>
          <w:color w:val="000000" w:themeColor="text1"/>
          <w:lang w:val="en-IN"/>
        </w:rPr>
        <w:t xml:space="preserve"> TEM cells, accompanied by significant increases in the percentages of CD4+ naïve T cells and CD4</w:t>
      </w:r>
      <w:r w:rsidRPr="00905C20">
        <w:rPr>
          <w:color w:val="000000" w:themeColor="text1"/>
          <w:vertAlign w:val="superscript"/>
          <w:lang w:val="en-IN"/>
        </w:rPr>
        <w:t>+</w:t>
      </w:r>
      <w:r w:rsidRPr="00905C20">
        <w:rPr>
          <w:color w:val="000000" w:themeColor="text1"/>
          <w:lang w:val="en-IN"/>
        </w:rPr>
        <w:t>CD25</w:t>
      </w:r>
      <w:r w:rsidRPr="00905C20">
        <w:rPr>
          <w:color w:val="000000" w:themeColor="text1"/>
          <w:vertAlign w:val="superscript"/>
          <w:lang w:val="en-IN"/>
        </w:rPr>
        <w:t>+</w:t>
      </w:r>
      <w:r w:rsidRPr="00905C20">
        <w:rPr>
          <w:color w:val="000000" w:themeColor="text1"/>
          <w:lang w:val="en-IN"/>
        </w:rPr>
        <w:t>CD127</w:t>
      </w:r>
      <w:r w:rsidRPr="00905C20">
        <w:rPr>
          <w:color w:val="000000" w:themeColor="text1"/>
          <w:vertAlign w:val="superscript"/>
          <w:lang w:val="en-IN"/>
        </w:rPr>
        <w:t>low/−</w:t>
      </w:r>
      <w:r w:rsidRPr="00905C20">
        <w:rPr>
          <w:color w:val="000000" w:themeColor="text1"/>
          <w:lang w:val="en-IN"/>
        </w:rPr>
        <w:t xml:space="preserve"> Tregs. Although similar trends were observed for CD8</w:t>
      </w:r>
      <w:r w:rsidRPr="00905C20">
        <w:rPr>
          <w:color w:val="000000" w:themeColor="text1"/>
          <w:vertAlign w:val="superscript"/>
          <w:lang w:val="en-IN"/>
        </w:rPr>
        <w:t>+</w:t>
      </w:r>
      <w:r w:rsidRPr="00905C20">
        <w:rPr>
          <w:color w:val="000000" w:themeColor="text1"/>
          <w:lang w:val="en-IN"/>
        </w:rPr>
        <w:t xml:space="preserve"> TEM cells and CD8</w:t>
      </w:r>
      <w:r w:rsidRPr="00905C20">
        <w:rPr>
          <w:color w:val="000000" w:themeColor="text1"/>
          <w:vertAlign w:val="superscript"/>
          <w:lang w:val="en-IN"/>
        </w:rPr>
        <w:t>+</w:t>
      </w:r>
      <w:r w:rsidRPr="00905C20">
        <w:rPr>
          <w:color w:val="000000" w:themeColor="text1"/>
          <w:lang w:val="en-IN"/>
        </w:rPr>
        <w:t xml:space="preserve"> naïve T cells, these changes did not reach statistical significance, potentially because of the small sample size in the current clinical study. </w:t>
      </w:r>
      <w:r w:rsidR="00FA62AE" w:rsidRPr="00905C20">
        <w:rPr>
          <w:color w:val="000000" w:themeColor="text1"/>
          <w:lang w:val="en-IN"/>
        </w:rPr>
        <w:t xml:space="preserve">We acknowledge that the relatively small sample size and </w:t>
      </w:r>
      <w:r w:rsidR="00C23B50" w:rsidRPr="00905C20">
        <w:rPr>
          <w:color w:val="000000" w:themeColor="text1"/>
        </w:rPr>
        <w:t>lack of a prospective power calculation</w:t>
      </w:r>
      <w:r w:rsidR="00FA62AE" w:rsidRPr="00905C20">
        <w:rPr>
          <w:color w:val="000000" w:themeColor="text1"/>
          <w:lang w:val="en-IN"/>
        </w:rPr>
        <w:t xml:space="preserve"> are limitations of the current clinical study. Additional </w:t>
      </w:r>
      <w:r w:rsidRPr="00905C20">
        <w:rPr>
          <w:color w:val="000000" w:themeColor="text1"/>
          <w:lang w:val="en-IN"/>
        </w:rPr>
        <w:t xml:space="preserve"> limitation of the present study is that these </w:t>
      </w:r>
      <w:r w:rsidRPr="00905C20">
        <w:rPr>
          <w:color w:val="000000" w:themeColor="text1"/>
          <w:lang w:val="en-IN"/>
        </w:rPr>
        <w:lastRenderedPageBreak/>
        <w:t xml:space="preserve">observations were obtained from a small, open-label, single-site cohort without a concurrent control group. The reported clinical outcomes were primarily symptom-based, </w:t>
      </w:r>
      <w:r w:rsidR="009B7D8D" w:rsidRPr="00905C20">
        <w:rPr>
          <w:color w:val="000000" w:themeColor="text1"/>
          <w:lang w:val="en-IN"/>
        </w:rPr>
        <w:t>and the possibility of placebo effects contributing to some of the observed symptomatic improvements cannot be completely excluded. However, most patients in the current study had previously failed to achieve satisfactory improvement with multiple conventional therapies. Notably, subject HU2171 had undergone several treatments, including JAK inhibitor therapy and autologous mesenchymal stem cell (MSC) therapy, without adequate clinical benefit. Therefore, while a placebo effect cannot be ruled out, the magnitude of the observed clinical improvements and restoration of immune markers to the normal levels may be less likely to be explained solely by placebo effects.</w:t>
      </w:r>
      <w:r w:rsidR="007C15FE" w:rsidRPr="00905C20">
        <w:rPr>
          <w:color w:val="000000" w:themeColor="text1"/>
          <w:lang w:val="en-IN"/>
        </w:rPr>
        <w:t xml:space="preserve"> </w:t>
      </w:r>
    </w:p>
    <w:p w14:paraId="6F150082" w14:textId="77777777" w:rsidR="00C23B50" w:rsidRPr="00905C20" w:rsidRDefault="00C23B50" w:rsidP="00905C20">
      <w:pPr>
        <w:spacing w:line="0" w:lineRule="atLeast"/>
        <w:rPr>
          <w:color w:val="000000" w:themeColor="text1"/>
          <w:lang w:val="en-IN"/>
        </w:rPr>
      </w:pPr>
    </w:p>
    <w:p w14:paraId="4D6F738E" w14:textId="2B0EBA7C" w:rsidR="006B49F8" w:rsidRPr="00905C20" w:rsidRDefault="008E44BC" w:rsidP="00905C20">
      <w:pPr>
        <w:spacing w:line="0" w:lineRule="atLeast"/>
        <w:rPr>
          <w:color w:val="000000" w:themeColor="text1"/>
          <w:lang w:val="en-IN"/>
        </w:rPr>
      </w:pPr>
      <w:r w:rsidRPr="00905C20">
        <w:rPr>
          <w:color w:val="000000" w:themeColor="text1"/>
          <w:lang w:val="en-IN"/>
        </w:rPr>
        <w:t>The present study does not establish whether the observed changes are specific to SCE therapy. Larger, well-controlled clinical studies are therefore warranted to validate these findings and further characterize the immunomodulatory effects of SCE therapy in patients with long COVID. Future studies should incorporate an appropriate control group to more rigorously assess treatment safety and clinical efficacy. Longer-term follow-up will also be important for determining the durability of the observed clinical and immunological changes.</w:t>
      </w:r>
      <w:r w:rsidR="00B30AC1" w:rsidRPr="00905C20">
        <w:rPr>
          <w:color w:val="000000" w:themeColor="text1"/>
          <w:lang w:val="en-IN"/>
        </w:rPr>
        <w:t xml:space="preserve"> </w:t>
      </w:r>
      <w:r w:rsidR="00AB440E" w:rsidRPr="00905C20">
        <w:rPr>
          <w:color w:val="000000" w:themeColor="text1"/>
          <w:lang w:val="en-IN"/>
        </w:rPr>
        <w:t>Future studies should incorporate randomized controlled trial designs with appropriate control groups, including sham apheresis and/or placebo controls, where feasible, to rigorously evaluate the efficacy of SCE therapy. Such controlled studies will help distinguish treatment-specific effects from potential nonspecific effects associated with the apheresis procedure, cell infusion, or placebo responses. We will consider these approaches in future clinical trials to more definitively establish the efficacy, safety, and clinical benefits of SCE therapy in patients with long COVID.</w:t>
      </w:r>
      <w:r w:rsidR="00AB440E" w:rsidRPr="00905C20" w:rsidDel="00820DFA">
        <w:rPr>
          <w:color w:val="000000" w:themeColor="text1"/>
          <w:lang w:val="en-IN"/>
        </w:rPr>
        <w:t xml:space="preserve"> </w:t>
      </w:r>
    </w:p>
    <w:p w14:paraId="2365CA06" w14:textId="77777777" w:rsidR="006B49F8" w:rsidRPr="00905C20" w:rsidRDefault="006B49F8" w:rsidP="00905C20">
      <w:pPr>
        <w:spacing w:line="0" w:lineRule="atLeast"/>
        <w:rPr>
          <w:color w:val="000000" w:themeColor="text1"/>
          <w:lang w:val="en-IN"/>
        </w:rPr>
      </w:pPr>
    </w:p>
    <w:p w14:paraId="46B4C25F" w14:textId="63B53160" w:rsidR="00FC7D6C" w:rsidRPr="00905C20" w:rsidRDefault="009E6662" w:rsidP="00905C20">
      <w:pPr>
        <w:spacing w:line="0" w:lineRule="atLeast"/>
        <w:rPr>
          <w:color w:val="000000" w:themeColor="text1"/>
          <w:lang w:val="en-IN"/>
        </w:rPr>
      </w:pPr>
      <w:r w:rsidRPr="00905C20">
        <w:rPr>
          <w:color w:val="000000" w:themeColor="text1"/>
          <w:lang w:val="en-IN"/>
        </w:rPr>
        <w:t>Subjects with long COVID exhibit multiple forms of immune dysfunction and clinical features resembling autoimmune disorders, involving several immune-cell compartments, including monocytes/macrophages, T cells, B cells, NKT cells, and Tregs. Targeting these diverse immune-cell populations simultaneously with conventional immunotherapies and pharmacological strategies is challenging in clinical management. Mesenchymal stem cells also have limitations in addressing multiple immune-cell dysfunctions</w:t>
      </w:r>
      <w:r w:rsidRPr="00905C20">
        <w:rPr>
          <w:color w:val="000000" w:themeColor="text1"/>
          <w:vertAlign w:val="superscript"/>
          <w:lang w:val="en-IN"/>
        </w:rPr>
        <w:t>45,46</w:t>
      </w:r>
      <w:r w:rsidRPr="00905C20">
        <w:rPr>
          <w:color w:val="000000" w:themeColor="text1"/>
          <w:lang w:val="en-IN"/>
        </w:rPr>
        <w:t>. SCE therapy may provide a broader approach to immune modulation, as suggested by previous clinical studies</w:t>
      </w:r>
      <w:r w:rsidRPr="00905C20">
        <w:rPr>
          <w:color w:val="000000" w:themeColor="text1"/>
          <w:vertAlign w:val="superscript"/>
          <w:lang w:val="en-IN"/>
        </w:rPr>
        <w:t>25,30,47</w:t>
      </w:r>
      <w:r w:rsidRPr="00905C20">
        <w:rPr>
          <w:color w:val="000000" w:themeColor="text1"/>
          <w:lang w:val="en-IN"/>
        </w:rPr>
        <w:t>. During the procedure, immune cells are collected from the patient's peripheral blood by leukapheresis and co-cultured with CB-SC for 17 ± 1 h within the SCE device. The CB-SC-educated immune cells are subsequently collected and reinfused into the patient's circulation. Previous studies have described multiple molecular mechanisms associated with CB-SC-mediated immune modulation, including AIRE transcription factor-mediated induction of immune tolerance in T cells, galectin-9-mediated modulation of B-cell function, and exosome-mediated regulation of monocytes/macrophages.</w:t>
      </w:r>
      <w:r w:rsidR="00B20BE6" w:rsidRPr="00905C20">
        <w:rPr>
          <w:color w:val="000000" w:themeColor="text1"/>
          <w:lang w:val="en-IN"/>
        </w:rPr>
        <w:t xml:space="preserve"> </w:t>
      </w:r>
      <w:r w:rsidRPr="00905C20">
        <w:rPr>
          <w:color w:val="000000" w:themeColor="text1"/>
          <w:lang w:val="en-IN"/>
        </w:rPr>
        <w:t xml:space="preserve">Thus, SCE therapy may provide a multifaceted strategy for addressing the broad immune dysfunction associated with long COVID. </w:t>
      </w:r>
      <w:r w:rsidR="00A72A11" w:rsidRPr="00905C20">
        <w:rPr>
          <w:color w:val="000000" w:themeColor="text1"/>
          <w:lang w:val="en-IN"/>
        </w:rPr>
        <w:t xml:space="preserve">Future mechanistic studies need to distinguish exosome-mediated from cell-mediated effects underlying SCE therapy in patients with long COVID. </w:t>
      </w:r>
      <w:r w:rsidRPr="00905C20">
        <w:rPr>
          <w:color w:val="000000" w:themeColor="text1"/>
          <w:lang w:val="en-IN"/>
        </w:rPr>
        <w:t xml:space="preserve">From a methodological perspective, the ex vivo approach allows patient immune cells to interact with CB-SC before the treated cells are returned to the patient, rather than administering CB-SC directly. Potential applications of this method therefore include further investigation of immune modulation in long COVID and other conditions characterized by broad immune </w:t>
      </w:r>
      <w:r w:rsidRPr="00905C20">
        <w:rPr>
          <w:color w:val="000000" w:themeColor="text1"/>
          <w:lang w:val="en-IN"/>
        </w:rPr>
        <w:lastRenderedPageBreak/>
        <w:t>dysfunction.</w:t>
      </w:r>
      <w:r w:rsidR="0064331B" w:rsidRPr="00905C20">
        <w:rPr>
          <w:color w:val="000000" w:themeColor="text1"/>
          <w:lang w:val="en-IN"/>
        </w:rPr>
        <w:t xml:space="preserve"> </w:t>
      </w:r>
      <w:r w:rsidR="0063641C" w:rsidRPr="00905C20">
        <w:rPr>
          <w:color w:val="000000" w:themeColor="text1"/>
          <w:lang w:val="en-IN"/>
        </w:rPr>
        <w:t xml:space="preserve">Interestingly, patients with long COVID share clinical and biological features with other post-viral syndromes, including </w:t>
      </w:r>
      <w:proofErr w:type="spellStart"/>
      <w:r w:rsidR="0063641C" w:rsidRPr="00905C20">
        <w:rPr>
          <w:color w:val="000000" w:themeColor="text1"/>
          <w:lang w:val="en-IN"/>
        </w:rPr>
        <w:t>myalgic</w:t>
      </w:r>
      <w:proofErr w:type="spellEnd"/>
      <w:r w:rsidR="0063641C" w:rsidRPr="00905C20">
        <w:rPr>
          <w:color w:val="000000" w:themeColor="text1"/>
          <w:lang w:val="en-IN"/>
        </w:rPr>
        <w:t xml:space="preserve"> encephalomyelitis/chronic fatigue syndrome (ME/CFS). Although the present study focused exclusively on long COVID and does not provide evidence for the efficacy of SCE therapy in ME/CFS or other post-viral conditions, the immunomodulatory effects observed in this study, particularly the reduction of inflammatory monocyte/macrophage-associated CXCL16 and IL-1β responses, provide a rationale for further investigation of SCE therapy in patients with ME/CFS and potentially other post-viral syndromes</w:t>
      </w:r>
      <w:r w:rsidR="00F21DA7" w:rsidRPr="00905C20">
        <w:rPr>
          <w:color w:val="000000" w:themeColor="text1"/>
          <w:lang w:val="en-IN"/>
        </w:rPr>
        <w:t xml:space="preserve"> in the future</w:t>
      </w:r>
      <w:r w:rsidR="0063641C" w:rsidRPr="00905C20">
        <w:rPr>
          <w:color w:val="000000" w:themeColor="text1"/>
          <w:lang w:val="en-IN"/>
        </w:rPr>
        <w:t>.</w:t>
      </w:r>
    </w:p>
    <w:p w14:paraId="62E89267" w14:textId="77777777" w:rsidR="00C23B50" w:rsidRPr="00905C20" w:rsidRDefault="00C23B50" w:rsidP="00905C20">
      <w:pPr>
        <w:spacing w:line="0" w:lineRule="atLeast"/>
        <w:rPr>
          <w:color w:val="000000" w:themeColor="text1"/>
          <w:lang w:val="en-IN"/>
        </w:rPr>
      </w:pPr>
    </w:p>
    <w:p w14:paraId="47B0FE4E" w14:textId="3AB59381" w:rsidR="006B49F8" w:rsidRPr="00905C20" w:rsidRDefault="00FC7D6C" w:rsidP="00905C20">
      <w:pPr>
        <w:spacing w:line="0" w:lineRule="atLeast"/>
        <w:rPr>
          <w:color w:val="000000" w:themeColor="text1"/>
          <w:lang w:val="en-IN"/>
        </w:rPr>
      </w:pPr>
      <w:r w:rsidRPr="00905C20">
        <w:rPr>
          <w:color w:val="000000" w:themeColor="text1"/>
          <w:lang w:val="en-IN"/>
        </w:rPr>
        <w:t xml:space="preserve">In the present study, we cannot definitively determine which subset of patients with long COVID is most likely to benefit from Stem Cell Educator therapy because of the limited sample size, lack of a randomized control group, and relatively short follow-up period. However, our findings suggest that patients with persistent long COVID symptoms accompanied by measurable immune dysregulation, particularly increased activated T-cell populations and elevated inflammatory markers such as IL-1β and CXCL16, may represent a population of interest for future studies. The observed reductions in CD4⁺ and CD8⁺ effector-memory T cells and inflammatory markers after therapy, together with increases in naïve T-cell populations, provide a rationale for investigating whether patients with a more pronounced inflammatory or immune-dysregulated phenotype are more likely to respond. Additionally, SCE therapy is more procedurally complex than conventional pharmacological therapies because it requires leukapheresis, ex vivo interaction of the patient’s mononuclear cells with cord-blood-derived stem cells in the SCE device, and subsequent reinfusion. Thus, widespread implementation would require enough supplies of cord blood units, appropriately equipped clinical </w:t>
      </w:r>
      <w:proofErr w:type="spellStart"/>
      <w:r w:rsidRPr="00905C20">
        <w:rPr>
          <w:color w:val="000000" w:themeColor="text1"/>
          <w:lang w:val="en-IN"/>
        </w:rPr>
        <w:t>centers</w:t>
      </w:r>
      <w:proofErr w:type="spellEnd"/>
      <w:r w:rsidRPr="00905C20">
        <w:rPr>
          <w:color w:val="000000" w:themeColor="text1"/>
          <w:lang w:val="en-IN"/>
        </w:rPr>
        <w:t>, trained personnel, standardized operating procedures, and coordination of cell-processing GMP facilities and infusion activities.</w:t>
      </w:r>
    </w:p>
    <w:p w14:paraId="66C87970" w14:textId="77777777" w:rsidR="006B49F8" w:rsidRPr="00905C20" w:rsidRDefault="006B49F8" w:rsidP="00905C20">
      <w:pPr>
        <w:spacing w:line="0" w:lineRule="atLeast"/>
        <w:rPr>
          <w:color w:val="000000" w:themeColor="text1"/>
          <w:lang w:val="en-IN"/>
        </w:rPr>
      </w:pPr>
    </w:p>
    <w:p w14:paraId="5D8991B5" w14:textId="2ABD8E98" w:rsidR="00107838" w:rsidRPr="00905C20" w:rsidRDefault="009E6662" w:rsidP="00905C20">
      <w:pPr>
        <w:spacing w:line="0" w:lineRule="atLeast"/>
        <w:rPr>
          <w:color w:val="000000" w:themeColor="text1"/>
          <w:lang w:val="en-IN"/>
        </w:rPr>
      </w:pPr>
      <w:r w:rsidRPr="00905C20">
        <w:rPr>
          <w:color w:val="000000" w:themeColor="text1"/>
          <w:lang w:val="en-IN"/>
        </w:rPr>
        <w:t>The current proof-of-concept pilot study provides preliminary safety, clinical, and immunological observations following SCE therapy in patients with long COVID. Similar to our ongoing clinical studies in patients with recent-onset T1D, most patients experienced sustained clinical benefits and changes in immune markers after a single treatment without repeated treatment during the reported observation period. The potential durability of this response</w:t>
      </w:r>
      <w:r w:rsidR="009338D1" w:rsidRPr="00905C20">
        <w:rPr>
          <w:color w:val="000000" w:themeColor="text1"/>
          <w:lang w:val="en-IN"/>
        </w:rPr>
        <w:t>,</w:t>
      </w:r>
      <w:r w:rsidR="009338D1" w:rsidRPr="00905C20">
        <w:rPr>
          <w:color w:val="000000" w:themeColor="text1"/>
        </w:rPr>
        <w:t xml:space="preserve"> </w:t>
      </w:r>
      <w:r w:rsidR="009338D1" w:rsidRPr="00905C20">
        <w:rPr>
          <w:color w:val="000000" w:themeColor="text1"/>
          <w:lang w:val="en-IN"/>
        </w:rPr>
        <w:t>as well as the optimal dosing regimen and retreatment intervals,</w:t>
      </w:r>
      <w:r w:rsidRPr="00905C20">
        <w:rPr>
          <w:color w:val="000000" w:themeColor="text1"/>
          <w:lang w:val="en-IN"/>
        </w:rPr>
        <w:t xml:space="preserve"> warrants further investigation.</w:t>
      </w:r>
      <w:r w:rsidR="0025304C" w:rsidRPr="00905C20">
        <w:rPr>
          <w:color w:val="000000" w:themeColor="text1"/>
          <w:lang w:val="en-IN"/>
        </w:rPr>
        <w:t xml:space="preserve"> </w:t>
      </w:r>
      <w:r w:rsidRPr="00905C20">
        <w:rPr>
          <w:color w:val="000000" w:themeColor="text1"/>
          <w:lang w:val="en-IN"/>
        </w:rPr>
        <w:t>SCE therapy differs methodologically from several conventional immunotherapies and other cell- or plasma-based approaches, including IVIG infusion, TPE, lymphoplasmapheresis</w:t>
      </w:r>
      <w:r w:rsidRPr="00905C20">
        <w:rPr>
          <w:color w:val="000000" w:themeColor="text1"/>
          <w:vertAlign w:val="superscript"/>
          <w:lang w:val="en-IN"/>
        </w:rPr>
        <w:t>48</w:t>
      </w:r>
      <w:r w:rsidRPr="00905C20">
        <w:rPr>
          <w:color w:val="000000" w:themeColor="text1"/>
          <w:lang w:val="en-IN"/>
        </w:rPr>
        <w:t>, MSC therapy, and EV-based therapies, because the patient's mononuclear cells undergo ex vivo immune education with CB-SC before reinfusion. However, direct comparative efficacy was not evaluated in the present study. Modifications and troubleshooting of the method should focus on maintaining reproducible cell preparation, culture conditions, apheresis procedures, sterility and QC testing, and infusion procedures described in the Protocol; deviations from these parameters may affect consistency of the final product. Taken together with our previous clinical studies of multiple autoimmune conditions, the present findings support further evaluation of SCE therapy as an ex vivo CB-SC-mediated immune-modulation approach for patients with long COVID. Its clinical efficacy, durability, and comparative advantages over alternative approaches require confirmation in larger controlled studies.</w:t>
      </w:r>
    </w:p>
    <w:p w14:paraId="1C0642B3" w14:textId="77777777" w:rsidR="006B49F8" w:rsidRPr="00905C20" w:rsidRDefault="006B49F8" w:rsidP="00905C20">
      <w:pPr>
        <w:spacing w:line="0" w:lineRule="atLeast"/>
        <w:rPr>
          <w:color w:val="000000" w:themeColor="text1"/>
        </w:rPr>
      </w:pPr>
    </w:p>
    <w:p w14:paraId="76F06D99" w14:textId="20B2E9BE" w:rsidR="00516BAB" w:rsidRPr="00905C20" w:rsidRDefault="009E6662" w:rsidP="00905C20">
      <w:pPr>
        <w:spacing w:line="0" w:lineRule="atLeast"/>
        <w:rPr>
          <w:b/>
          <w:bCs/>
          <w:color w:val="000000" w:themeColor="text1"/>
          <w:lang w:val="en-IN"/>
        </w:rPr>
      </w:pPr>
      <w:r w:rsidRPr="00905C20">
        <w:rPr>
          <w:b/>
          <w:bCs/>
          <w:color w:val="000000" w:themeColor="text1"/>
          <w:lang w:val="en-IN"/>
        </w:rPr>
        <w:lastRenderedPageBreak/>
        <w:t>ACKNOWLEDGMENTS:</w:t>
      </w:r>
    </w:p>
    <w:p w14:paraId="00A97D7F" w14:textId="77777777" w:rsidR="00516BAB" w:rsidRPr="00905C20" w:rsidRDefault="009E6662" w:rsidP="00905C20">
      <w:pPr>
        <w:spacing w:line="0" w:lineRule="atLeast"/>
        <w:rPr>
          <w:color w:val="000000" w:themeColor="text1"/>
          <w:lang w:val="en-IN"/>
        </w:rPr>
      </w:pPr>
      <w:r w:rsidRPr="00905C20">
        <w:rPr>
          <w:color w:val="000000" w:themeColor="text1"/>
          <w:lang w:val="en-IN"/>
        </w:rPr>
        <w:t xml:space="preserve">Y.Z. supervised the experiments and contributed to the study concept, clinical and experimental design, data analysis and interpretation, manuscript preparation, and final approval of the manuscript. B.V. and R.F. contributed to patient care and final approval of the manuscript. N.M., K.A., and D.P. performed apheresis and contributed to technical support and patient care. Z.H.H., C.J., R.L., A.V., H.W., and </w:t>
      </w:r>
      <w:proofErr w:type="spellStart"/>
      <w:r w:rsidRPr="00905C20">
        <w:rPr>
          <w:color w:val="000000" w:themeColor="text1"/>
          <w:lang w:val="en-IN"/>
        </w:rPr>
        <w:t>Yelu</w:t>
      </w:r>
      <w:proofErr w:type="spellEnd"/>
      <w:r w:rsidRPr="00905C20">
        <w:rPr>
          <w:color w:val="000000" w:themeColor="text1"/>
          <w:lang w:val="en-IN"/>
        </w:rPr>
        <w:t xml:space="preserve"> Z. prepared the Stem Cell Educators, performed GMP production and QC testing, isolated PBMC, and performed flow cytometry analysis. J.A. and M.V. contributed to patient care and recruitment. T.T. provided materials. All authors read and approved the final version of the manuscript.</w:t>
      </w:r>
    </w:p>
    <w:p w14:paraId="1DE1E362" w14:textId="77777777" w:rsidR="00516BAB" w:rsidRPr="00905C20" w:rsidRDefault="00516BAB" w:rsidP="00905C20">
      <w:pPr>
        <w:spacing w:line="0" w:lineRule="atLeast"/>
        <w:rPr>
          <w:color w:val="000000" w:themeColor="text1"/>
          <w:lang w:val="en-IN"/>
        </w:rPr>
      </w:pPr>
    </w:p>
    <w:p w14:paraId="01402ECF" w14:textId="44973261" w:rsidR="00516BAB" w:rsidRPr="00905C20" w:rsidRDefault="009E6662" w:rsidP="00905C20">
      <w:pPr>
        <w:spacing w:line="0" w:lineRule="atLeast"/>
        <w:rPr>
          <w:b/>
          <w:bCs/>
          <w:color w:val="000000" w:themeColor="text1"/>
          <w:lang w:val="en-IN"/>
        </w:rPr>
      </w:pPr>
      <w:r w:rsidRPr="00905C20">
        <w:rPr>
          <w:b/>
          <w:bCs/>
          <w:color w:val="000000" w:themeColor="text1"/>
          <w:lang w:val="en-IN"/>
        </w:rPr>
        <w:t>DISCLOSURES:</w:t>
      </w:r>
    </w:p>
    <w:p w14:paraId="16505B1F" w14:textId="1539985F" w:rsidR="00516BAB" w:rsidRPr="00905C20" w:rsidRDefault="009E6662" w:rsidP="00905C20">
      <w:pPr>
        <w:spacing w:line="0" w:lineRule="atLeast"/>
        <w:rPr>
          <w:color w:val="000000" w:themeColor="text1"/>
          <w:lang w:val="en-IN"/>
        </w:rPr>
      </w:pPr>
      <w:r w:rsidRPr="00905C20">
        <w:rPr>
          <w:color w:val="000000" w:themeColor="text1"/>
          <w:lang w:val="en-IN"/>
        </w:rPr>
        <w:t xml:space="preserve">Yong Zhao is the inventor of the </w:t>
      </w:r>
      <w:r w:rsidR="0054263D" w:rsidRPr="00905C20">
        <w:rPr>
          <w:color w:val="000000" w:themeColor="text1"/>
          <w:lang w:val="en-IN"/>
        </w:rPr>
        <w:t xml:space="preserve">SCE </w:t>
      </w:r>
      <w:r w:rsidRPr="00905C20">
        <w:rPr>
          <w:color w:val="000000" w:themeColor="text1"/>
          <w:lang w:val="en-IN"/>
        </w:rPr>
        <w:t xml:space="preserve">technology and has a fiduciary role at Throne Biotechnologies (Throne). Boris </w:t>
      </w:r>
      <w:proofErr w:type="spellStart"/>
      <w:r w:rsidRPr="00905C20">
        <w:rPr>
          <w:color w:val="000000" w:themeColor="text1"/>
          <w:lang w:val="en-IN"/>
        </w:rPr>
        <w:t>Veysman</w:t>
      </w:r>
      <w:proofErr w:type="spellEnd"/>
      <w:r w:rsidRPr="00905C20">
        <w:rPr>
          <w:color w:val="000000" w:themeColor="text1"/>
          <w:lang w:val="en-IN"/>
        </w:rPr>
        <w:t>, Richard Fox, Zhi Hua Huang, Chandler Judd, Jennifer Anti-</w:t>
      </w:r>
      <w:proofErr w:type="spellStart"/>
      <w:r w:rsidRPr="00905C20">
        <w:rPr>
          <w:color w:val="000000" w:themeColor="text1"/>
          <w:lang w:val="en-IN"/>
        </w:rPr>
        <w:t>Ampratwum</w:t>
      </w:r>
      <w:proofErr w:type="spellEnd"/>
      <w:r w:rsidRPr="00905C20">
        <w:rPr>
          <w:color w:val="000000" w:themeColor="text1"/>
          <w:lang w:val="en-IN"/>
        </w:rPr>
        <w:t xml:space="preserve">, Rebecca </w:t>
      </w:r>
      <w:proofErr w:type="spellStart"/>
      <w:r w:rsidRPr="00905C20">
        <w:rPr>
          <w:color w:val="000000" w:themeColor="text1"/>
          <w:lang w:val="en-IN"/>
        </w:rPr>
        <w:t>Lackrajh</w:t>
      </w:r>
      <w:proofErr w:type="spellEnd"/>
      <w:r w:rsidRPr="00905C20">
        <w:rPr>
          <w:color w:val="000000" w:themeColor="text1"/>
          <w:lang w:val="en-IN"/>
        </w:rPr>
        <w:t xml:space="preserve">, Ana Villagran, </w:t>
      </w:r>
      <w:proofErr w:type="spellStart"/>
      <w:r w:rsidRPr="00905C20">
        <w:rPr>
          <w:color w:val="000000" w:themeColor="text1"/>
          <w:lang w:val="en-IN"/>
        </w:rPr>
        <w:t>Honglan</w:t>
      </w:r>
      <w:proofErr w:type="spellEnd"/>
      <w:r w:rsidRPr="00905C20">
        <w:rPr>
          <w:color w:val="000000" w:themeColor="text1"/>
          <w:lang w:val="en-IN"/>
        </w:rPr>
        <w:t xml:space="preserve"> Wang, </w:t>
      </w:r>
      <w:proofErr w:type="spellStart"/>
      <w:r w:rsidRPr="00905C20">
        <w:rPr>
          <w:color w:val="000000" w:themeColor="text1"/>
          <w:lang w:val="en-IN"/>
        </w:rPr>
        <w:t>Yelu</w:t>
      </w:r>
      <w:proofErr w:type="spellEnd"/>
      <w:r w:rsidRPr="00905C20">
        <w:rPr>
          <w:color w:val="000000" w:themeColor="text1"/>
          <w:lang w:val="en-IN"/>
        </w:rPr>
        <w:t xml:space="preserve"> Zhao, Terri </w:t>
      </w:r>
      <w:proofErr w:type="spellStart"/>
      <w:r w:rsidRPr="00905C20">
        <w:rPr>
          <w:color w:val="000000" w:themeColor="text1"/>
          <w:lang w:val="en-IN"/>
        </w:rPr>
        <w:t>Tibbot</w:t>
      </w:r>
      <w:proofErr w:type="spellEnd"/>
      <w:r w:rsidRPr="00905C20">
        <w:rPr>
          <w:color w:val="000000" w:themeColor="text1"/>
          <w:lang w:val="en-IN"/>
        </w:rPr>
        <w:t>, and Misha Votruba are employees of Throne. All other authors declare no financial interests that may be relevant to the submitted work.</w:t>
      </w:r>
    </w:p>
    <w:p w14:paraId="078EEB8C" w14:textId="77777777" w:rsidR="00516BAB" w:rsidRPr="00905C20" w:rsidRDefault="00516BAB" w:rsidP="00905C20">
      <w:pPr>
        <w:spacing w:line="0" w:lineRule="atLeast"/>
        <w:rPr>
          <w:color w:val="000000" w:themeColor="text1"/>
        </w:rPr>
      </w:pPr>
    </w:p>
    <w:p w14:paraId="12F1F292" w14:textId="21637188" w:rsidR="00D5243B" w:rsidRPr="00905C20" w:rsidRDefault="009E6662" w:rsidP="00905C20">
      <w:pPr>
        <w:spacing w:line="0" w:lineRule="atLeast"/>
        <w:rPr>
          <w:b/>
          <w:color w:val="000000" w:themeColor="text1"/>
        </w:rPr>
      </w:pPr>
      <w:r w:rsidRPr="00905C20">
        <w:rPr>
          <w:b/>
          <w:color w:val="000000" w:themeColor="text1"/>
        </w:rPr>
        <w:t>REFERENCES</w:t>
      </w:r>
      <w:r w:rsidR="00DA4D89" w:rsidRPr="00905C20">
        <w:rPr>
          <w:b/>
          <w:color w:val="000000" w:themeColor="text1"/>
        </w:rPr>
        <w:t>:</w:t>
      </w:r>
    </w:p>
    <w:p w14:paraId="0D8240B6" w14:textId="33A0DC4A"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Greenhalgh T, Sivan M, </w:t>
      </w:r>
      <w:proofErr w:type="spellStart"/>
      <w:r w:rsidRPr="00905C20">
        <w:rPr>
          <w:rFonts w:ascii="Calibri" w:hAnsi="Calibri" w:cs="Calibri"/>
          <w:bCs/>
          <w:color w:val="000000" w:themeColor="text1"/>
          <w:sz w:val="24"/>
          <w:szCs w:val="24"/>
          <w:lang w:val="en-IN"/>
        </w:rPr>
        <w:t>Perlowski</w:t>
      </w:r>
      <w:proofErr w:type="spellEnd"/>
      <w:r w:rsidRPr="00905C20">
        <w:rPr>
          <w:rFonts w:ascii="Calibri" w:hAnsi="Calibri" w:cs="Calibri"/>
          <w:bCs/>
          <w:color w:val="000000" w:themeColor="text1"/>
          <w:sz w:val="24"/>
          <w:szCs w:val="24"/>
          <w:lang w:val="en-IN"/>
        </w:rPr>
        <w:t xml:space="preserve"> A, </w:t>
      </w:r>
      <w:proofErr w:type="spellStart"/>
      <w:r w:rsidRPr="00905C20">
        <w:rPr>
          <w:rFonts w:ascii="Calibri" w:hAnsi="Calibri" w:cs="Calibri"/>
          <w:bCs/>
          <w:color w:val="000000" w:themeColor="text1"/>
          <w:sz w:val="24"/>
          <w:szCs w:val="24"/>
          <w:lang w:val="en-IN"/>
        </w:rPr>
        <w:t>Nikolich</w:t>
      </w:r>
      <w:proofErr w:type="spellEnd"/>
      <w:r w:rsidRPr="00905C20">
        <w:rPr>
          <w:rFonts w:ascii="Calibri" w:hAnsi="Calibri" w:cs="Calibri"/>
          <w:bCs/>
          <w:color w:val="000000" w:themeColor="text1"/>
          <w:sz w:val="24"/>
          <w:szCs w:val="24"/>
          <w:lang w:val="en-IN"/>
        </w:rPr>
        <w:t xml:space="preserve"> JZ. Long COVID: a clinical update. Lancet. 2024;404(10453):707-24. </w:t>
      </w:r>
    </w:p>
    <w:p w14:paraId="58F94EDF" w14:textId="0F22B0AE"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Davis HE, </w:t>
      </w:r>
      <w:proofErr w:type="spellStart"/>
      <w:r w:rsidRPr="00905C20">
        <w:rPr>
          <w:rFonts w:ascii="Calibri" w:hAnsi="Calibri" w:cs="Calibri"/>
          <w:bCs/>
          <w:color w:val="000000" w:themeColor="text1"/>
          <w:sz w:val="24"/>
          <w:szCs w:val="24"/>
          <w:lang w:val="en-IN"/>
        </w:rPr>
        <w:t>McCorkell</w:t>
      </w:r>
      <w:proofErr w:type="spellEnd"/>
      <w:r w:rsidRPr="00905C20">
        <w:rPr>
          <w:rFonts w:ascii="Calibri" w:hAnsi="Calibri" w:cs="Calibri"/>
          <w:bCs/>
          <w:color w:val="000000" w:themeColor="text1"/>
          <w:sz w:val="24"/>
          <w:szCs w:val="24"/>
          <w:lang w:val="en-IN"/>
        </w:rPr>
        <w:t xml:space="preserve"> L, Vogel JM, Topol EJ. Long COVID: major findings, mechanisms and recommendations. Nat Rev </w:t>
      </w:r>
      <w:proofErr w:type="spellStart"/>
      <w:r w:rsidRPr="00905C20">
        <w:rPr>
          <w:rFonts w:ascii="Calibri" w:hAnsi="Calibri" w:cs="Calibri"/>
          <w:bCs/>
          <w:color w:val="000000" w:themeColor="text1"/>
          <w:sz w:val="24"/>
          <w:szCs w:val="24"/>
          <w:lang w:val="en-IN"/>
        </w:rPr>
        <w:t>Microbiol</w:t>
      </w:r>
      <w:proofErr w:type="spellEnd"/>
      <w:r w:rsidRPr="00905C20">
        <w:rPr>
          <w:rFonts w:ascii="Calibri" w:hAnsi="Calibri" w:cs="Calibri"/>
          <w:bCs/>
          <w:color w:val="000000" w:themeColor="text1"/>
          <w:sz w:val="24"/>
          <w:szCs w:val="24"/>
          <w:lang w:val="en-IN"/>
        </w:rPr>
        <w:t xml:space="preserve">. 2023;21(3):133-46. </w:t>
      </w:r>
    </w:p>
    <w:p w14:paraId="6F53A929" w14:textId="059449C6"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Oba S, </w:t>
      </w:r>
      <w:proofErr w:type="spellStart"/>
      <w:r w:rsidRPr="00905C20">
        <w:rPr>
          <w:rFonts w:ascii="Calibri" w:hAnsi="Calibri" w:cs="Calibri"/>
          <w:bCs/>
          <w:color w:val="000000" w:themeColor="text1"/>
          <w:sz w:val="24"/>
          <w:szCs w:val="24"/>
          <w:lang w:val="en-IN"/>
        </w:rPr>
        <w:t>Hosoya</w:t>
      </w:r>
      <w:proofErr w:type="spellEnd"/>
      <w:r w:rsidRPr="00905C20">
        <w:rPr>
          <w:rFonts w:ascii="Calibri" w:hAnsi="Calibri" w:cs="Calibri"/>
          <w:bCs/>
          <w:color w:val="000000" w:themeColor="text1"/>
          <w:sz w:val="24"/>
          <w:szCs w:val="24"/>
          <w:lang w:val="en-IN"/>
        </w:rPr>
        <w:t xml:space="preserve"> T, Iwai H, Yasuda S. Long COVID: mechanisms of disease, multisystem sequelae, and prospects for treatment. Immunol Med. 2026;49(1):35-58. </w:t>
      </w:r>
    </w:p>
    <w:p w14:paraId="778D762A" w14:textId="0187A260"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Soares L, et al. Recommended long COVID outcome measures and their implications for clinical trial design, with a focus on post-exertional malaise. </w:t>
      </w:r>
      <w:proofErr w:type="spellStart"/>
      <w:r w:rsidRPr="00905C20">
        <w:rPr>
          <w:rFonts w:ascii="Calibri" w:hAnsi="Calibri" w:cs="Calibri"/>
          <w:bCs/>
          <w:color w:val="000000" w:themeColor="text1"/>
          <w:sz w:val="24"/>
          <w:szCs w:val="24"/>
          <w:lang w:val="en-IN"/>
        </w:rPr>
        <w:t>EBioMedicine</w:t>
      </w:r>
      <w:proofErr w:type="spellEnd"/>
      <w:r w:rsidRPr="00905C20">
        <w:rPr>
          <w:rFonts w:ascii="Calibri" w:hAnsi="Calibri" w:cs="Calibri"/>
          <w:bCs/>
          <w:color w:val="000000" w:themeColor="text1"/>
          <w:sz w:val="24"/>
          <w:szCs w:val="24"/>
          <w:lang w:val="en-IN"/>
        </w:rPr>
        <w:t xml:space="preserve">. 2026;123:106083. </w:t>
      </w:r>
    </w:p>
    <w:p w14:paraId="08FB153C" w14:textId="55C0CA7B"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Al-Aly Z, et al. Long COVID science, research and policy. Nat Med. 2024;30(8):2148-64. </w:t>
      </w:r>
    </w:p>
    <w:p w14:paraId="236A4889" w14:textId="686148F6"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Dennis A, et al. Multiorgan impairment in low-risk individuals with post-COVID-19 syndrome: a prospective, community-based study. BMJ Open. 2021;11(3):e048391. </w:t>
      </w:r>
    </w:p>
    <w:p w14:paraId="3F6D69EA" w14:textId="44A373E6"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Dennis A, et al. Multi-organ impairment and long COVID: a 1-year prospective, longitudinal cohort study. J R Soc Med. 2023;116(3):97-112. </w:t>
      </w:r>
    </w:p>
    <w:p w14:paraId="63850E0C" w14:textId="5BAD1DA6"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Cao B, et al. Clinical practice guideline for long COVID prevention and treatment. </w:t>
      </w:r>
      <w:proofErr w:type="spellStart"/>
      <w:r w:rsidRPr="00905C20">
        <w:rPr>
          <w:rFonts w:ascii="Calibri" w:hAnsi="Calibri" w:cs="Calibri"/>
          <w:bCs/>
          <w:color w:val="000000" w:themeColor="text1"/>
          <w:sz w:val="24"/>
          <w:szCs w:val="24"/>
          <w:lang w:val="en-IN"/>
        </w:rPr>
        <w:t>Eur</w:t>
      </w:r>
      <w:proofErr w:type="spellEnd"/>
      <w:r w:rsidRPr="00905C20">
        <w:rPr>
          <w:rFonts w:ascii="Calibri" w:hAnsi="Calibri" w:cs="Calibri"/>
          <w:bCs/>
          <w:color w:val="000000" w:themeColor="text1"/>
          <w:sz w:val="24"/>
          <w:szCs w:val="24"/>
          <w:lang w:val="en-IN"/>
        </w:rPr>
        <w:t xml:space="preserve"> Respir J. 2026;</w:t>
      </w:r>
      <w:r w:rsidR="00B516EA" w:rsidRPr="00905C20">
        <w:rPr>
          <w:rFonts w:ascii="Calibri" w:hAnsi="Calibri" w:cs="Calibri"/>
          <w:bCs/>
          <w:color w:val="000000" w:themeColor="text1"/>
          <w:sz w:val="24"/>
          <w:szCs w:val="24"/>
        </w:rPr>
        <w:t>68(1):2502611.</w:t>
      </w:r>
      <w:r w:rsidRPr="00905C20">
        <w:rPr>
          <w:rFonts w:ascii="Calibri" w:hAnsi="Calibri" w:cs="Calibri"/>
          <w:bCs/>
          <w:color w:val="000000" w:themeColor="text1"/>
          <w:sz w:val="24"/>
          <w:szCs w:val="24"/>
          <w:lang w:val="en-IN"/>
        </w:rPr>
        <w:t xml:space="preserve"> </w:t>
      </w:r>
    </w:p>
    <w:p w14:paraId="0278CC9D" w14:textId="5B580008"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Alwan NA, Al-Aly Z. Learning from long COVID: conceptualising action to tackle infection-associated non-communicable diseases. Lancet. 2025;405(10476):360-2. </w:t>
      </w:r>
    </w:p>
    <w:p w14:paraId="6F4E45E0" w14:textId="4893937B"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Klein J, et al. Distinguishing features of long COVID identified through immune profiling. Nature. 2023;623(7985):139-48. </w:t>
      </w:r>
    </w:p>
    <w:p w14:paraId="28DB8DFA" w14:textId="4A6168D7"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Peluso MJ, et al. Markers of immune activation and inflammation in individuals with </w:t>
      </w:r>
      <w:proofErr w:type="spellStart"/>
      <w:r w:rsidRPr="00905C20">
        <w:rPr>
          <w:rFonts w:ascii="Calibri" w:hAnsi="Calibri" w:cs="Calibri"/>
          <w:bCs/>
          <w:color w:val="000000" w:themeColor="text1"/>
          <w:sz w:val="24"/>
          <w:szCs w:val="24"/>
          <w:lang w:val="en-IN"/>
        </w:rPr>
        <w:t>postacute</w:t>
      </w:r>
      <w:proofErr w:type="spellEnd"/>
      <w:r w:rsidRPr="00905C20">
        <w:rPr>
          <w:rFonts w:ascii="Calibri" w:hAnsi="Calibri" w:cs="Calibri"/>
          <w:bCs/>
          <w:color w:val="000000" w:themeColor="text1"/>
          <w:sz w:val="24"/>
          <w:szCs w:val="24"/>
          <w:lang w:val="en-IN"/>
        </w:rPr>
        <w:t xml:space="preserve"> sequelae of severe acute respiratory syndrome coronavirus 2 infection. J Infect Dis. 2021;224(11):1839-48. </w:t>
      </w:r>
    </w:p>
    <w:p w14:paraId="09E27415" w14:textId="38109B1D"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Arthur JM, et al. Development of ACE2 autoantibodies after SARS-CoV-2 infection. </w:t>
      </w:r>
      <w:proofErr w:type="spellStart"/>
      <w:r w:rsidRPr="00905C20">
        <w:rPr>
          <w:rFonts w:ascii="Calibri" w:hAnsi="Calibri" w:cs="Calibri"/>
          <w:bCs/>
          <w:color w:val="000000" w:themeColor="text1"/>
          <w:sz w:val="24"/>
          <w:szCs w:val="24"/>
          <w:lang w:val="en-IN"/>
        </w:rPr>
        <w:t>PLoS</w:t>
      </w:r>
      <w:proofErr w:type="spellEnd"/>
      <w:r w:rsidRPr="00905C20">
        <w:rPr>
          <w:rFonts w:ascii="Calibri" w:hAnsi="Calibri" w:cs="Calibri"/>
          <w:bCs/>
          <w:color w:val="000000" w:themeColor="text1"/>
          <w:sz w:val="24"/>
          <w:szCs w:val="24"/>
          <w:lang w:val="en-IN"/>
        </w:rPr>
        <w:t xml:space="preserve"> One. 2021;16(9):e0257016. </w:t>
      </w:r>
    </w:p>
    <w:p w14:paraId="4F8C0F50" w14:textId="51553AEB"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Su Y, et al. Multiple early factors anticipate post-acute COVID-19 sequelae. Cell. 2022;185(5):881-95.e20. </w:t>
      </w:r>
    </w:p>
    <w:p w14:paraId="4B34470E" w14:textId="37D1C9B2"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lastRenderedPageBreak/>
        <w:t xml:space="preserve">Wang EY, et al. Diverse functional autoantibodies in patients with COVID-19. Nature. 2021;595(7866):283-8. </w:t>
      </w:r>
    </w:p>
    <w:p w14:paraId="2F96B981" w14:textId="5DA37EE8"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Talwar S, Harker JA, Openshaw PJM, Thwaites RS. Autoimmunity in long COVID. J Allergy Clin Immunol. 2025;155(4):1082-94. </w:t>
      </w:r>
    </w:p>
    <w:p w14:paraId="44576666" w14:textId="208583D5"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proofErr w:type="spellStart"/>
      <w:r w:rsidRPr="00905C20">
        <w:rPr>
          <w:rFonts w:ascii="Calibri" w:hAnsi="Calibri" w:cs="Calibri"/>
          <w:bCs/>
          <w:color w:val="000000" w:themeColor="text1"/>
          <w:sz w:val="24"/>
          <w:szCs w:val="24"/>
          <w:lang w:val="en-IN"/>
        </w:rPr>
        <w:t>Skevaki</w:t>
      </w:r>
      <w:proofErr w:type="spellEnd"/>
      <w:r w:rsidRPr="00905C20">
        <w:rPr>
          <w:rFonts w:ascii="Calibri" w:hAnsi="Calibri" w:cs="Calibri"/>
          <w:bCs/>
          <w:color w:val="000000" w:themeColor="text1"/>
          <w:sz w:val="24"/>
          <w:szCs w:val="24"/>
          <w:lang w:val="en-IN"/>
        </w:rPr>
        <w:t xml:space="preserve"> C, et al. Long COVID: pathophysiology, current concepts, and future directions. J Allergy Clin Immunol. 2025;155(4):1059-70. </w:t>
      </w:r>
    </w:p>
    <w:p w14:paraId="68003D68" w14:textId="25D1E68E"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proofErr w:type="spellStart"/>
      <w:r w:rsidRPr="00905C20">
        <w:rPr>
          <w:rFonts w:ascii="Calibri" w:hAnsi="Calibri" w:cs="Calibri"/>
          <w:bCs/>
          <w:color w:val="000000" w:themeColor="text1"/>
          <w:sz w:val="24"/>
          <w:szCs w:val="24"/>
          <w:lang w:val="en-IN"/>
        </w:rPr>
        <w:t>Wrapp</w:t>
      </w:r>
      <w:proofErr w:type="spellEnd"/>
      <w:r w:rsidRPr="00905C20">
        <w:rPr>
          <w:rFonts w:ascii="Calibri" w:hAnsi="Calibri" w:cs="Calibri"/>
          <w:bCs/>
          <w:color w:val="000000" w:themeColor="text1"/>
          <w:sz w:val="24"/>
          <w:szCs w:val="24"/>
          <w:lang w:val="en-IN"/>
        </w:rPr>
        <w:t xml:space="preserve"> D, et al. Cryo-EM structure of the 2019-nCoV spike in the prefusion conformation. Science. 2020;367(6483):1260-3. </w:t>
      </w:r>
    </w:p>
    <w:p w14:paraId="6C409D43" w14:textId="5E8828A0"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Hoffmann M, et al. SARS-CoV-2 cell entry depends on ACE2 and TMPRSS2 and is blocked by a clinically proven protease inhibitor. Cell. 2020;181(2):271-80.e8. </w:t>
      </w:r>
    </w:p>
    <w:p w14:paraId="05DE156B" w14:textId="6009C8F7"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Ulrich H, </w:t>
      </w:r>
      <w:proofErr w:type="spellStart"/>
      <w:r w:rsidRPr="00905C20">
        <w:rPr>
          <w:rFonts w:ascii="Calibri" w:hAnsi="Calibri" w:cs="Calibri"/>
          <w:bCs/>
          <w:color w:val="000000" w:themeColor="text1"/>
          <w:sz w:val="24"/>
          <w:szCs w:val="24"/>
          <w:lang w:val="en-IN"/>
        </w:rPr>
        <w:t>Pillat</w:t>
      </w:r>
      <w:proofErr w:type="spellEnd"/>
      <w:r w:rsidRPr="00905C20">
        <w:rPr>
          <w:rFonts w:ascii="Calibri" w:hAnsi="Calibri" w:cs="Calibri"/>
          <w:bCs/>
          <w:color w:val="000000" w:themeColor="text1"/>
          <w:sz w:val="24"/>
          <w:szCs w:val="24"/>
          <w:lang w:val="en-IN"/>
        </w:rPr>
        <w:t xml:space="preserve"> MM. CD147 as a target for COVID-19 treatment: suggested effects of azithromycin and stem cell engagement. Stem Cell Rev Rep. 2020;16(3):434-40. </w:t>
      </w:r>
    </w:p>
    <w:p w14:paraId="33E869F0" w14:textId="2AF2A7A4"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Kim CH. SARS-CoV-2 evolutionary adaptation toward host entry and recognition of receptor O-acetyl sialylation in virus-host interaction. Int J Mol Sci. 2020;</w:t>
      </w:r>
      <w:r w:rsidR="007C7DE4" w:rsidRPr="00905C20">
        <w:rPr>
          <w:rFonts w:ascii="Calibri" w:hAnsi="Calibri" w:cs="Calibri"/>
          <w:bCs/>
          <w:color w:val="000000" w:themeColor="text1"/>
          <w:sz w:val="24"/>
          <w:szCs w:val="24"/>
        </w:rPr>
        <w:t>21(12):4549.</w:t>
      </w:r>
      <w:r w:rsidRPr="00905C20">
        <w:rPr>
          <w:rFonts w:ascii="Calibri" w:hAnsi="Calibri" w:cs="Calibri"/>
          <w:bCs/>
          <w:color w:val="000000" w:themeColor="text1"/>
          <w:sz w:val="24"/>
          <w:szCs w:val="24"/>
          <w:lang w:val="en-IN"/>
        </w:rPr>
        <w:t xml:space="preserve"> </w:t>
      </w:r>
    </w:p>
    <w:p w14:paraId="7634DB46" w14:textId="64BF1579"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Ulrich H, </w:t>
      </w:r>
      <w:proofErr w:type="spellStart"/>
      <w:r w:rsidRPr="00905C20">
        <w:rPr>
          <w:rFonts w:ascii="Calibri" w:hAnsi="Calibri" w:cs="Calibri"/>
          <w:bCs/>
          <w:color w:val="000000" w:themeColor="text1"/>
          <w:sz w:val="24"/>
          <w:szCs w:val="24"/>
          <w:lang w:val="en-IN"/>
        </w:rPr>
        <w:t>Pillat</w:t>
      </w:r>
      <w:proofErr w:type="spellEnd"/>
      <w:r w:rsidRPr="00905C20">
        <w:rPr>
          <w:rFonts w:ascii="Calibri" w:hAnsi="Calibri" w:cs="Calibri"/>
          <w:bCs/>
          <w:color w:val="000000" w:themeColor="text1"/>
          <w:sz w:val="24"/>
          <w:szCs w:val="24"/>
          <w:lang w:val="en-IN"/>
        </w:rPr>
        <w:t xml:space="preserve"> MM, </w:t>
      </w:r>
      <w:proofErr w:type="spellStart"/>
      <w:r w:rsidRPr="00905C20">
        <w:rPr>
          <w:rFonts w:ascii="Calibri" w:hAnsi="Calibri" w:cs="Calibri"/>
          <w:bCs/>
          <w:color w:val="000000" w:themeColor="text1"/>
          <w:sz w:val="24"/>
          <w:szCs w:val="24"/>
          <w:lang w:val="en-IN"/>
        </w:rPr>
        <w:t>Tarnok</w:t>
      </w:r>
      <w:proofErr w:type="spellEnd"/>
      <w:r w:rsidRPr="00905C20">
        <w:rPr>
          <w:rFonts w:ascii="Calibri" w:hAnsi="Calibri" w:cs="Calibri"/>
          <w:bCs/>
          <w:color w:val="000000" w:themeColor="text1"/>
          <w:sz w:val="24"/>
          <w:szCs w:val="24"/>
          <w:lang w:val="en-IN"/>
        </w:rPr>
        <w:t xml:space="preserve"> A. Dengue fever, COVID-19 (SARS-CoV-2), and antibody-dependent enhancement (ADE): a perspective. Cytometry A. 2020;97(7):662-7. </w:t>
      </w:r>
    </w:p>
    <w:p w14:paraId="64CD0A62" w14:textId="2173E5E9"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proofErr w:type="spellStart"/>
      <w:r w:rsidRPr="00905C20">
        <w:rPr>
          <w:rFonts w:ascii="Calibri" w:hAnsi="Calibri" w:cs="Calibri"/>
          <w:bCs/>
          <w:color w:val="000000" w:themeColor="text1"/>
          <w:sz w:val="24"/>
          <w:szCs w:val="24"/>
          <w:lang w:val="en-IN"/>
        </w:rPr>
        <w:t>Vankadari</w:t>
      </w:r>
      <w:proofErr w:type="spellEnd"/>
      <w:r w:rsidRPr="00905C20">
        <w:rPr>
          <w:rFonts w:ascii="Calibri" w:hAnsi="Calibri" w:cs="Calibri"/>
          <w:bCs/>
          <w:color w:val="000000" w:themeColor="text1"/>
          <w:sz w:val="24"/>
          <w:szCs w:val="24"/>
          <w:lang w:val="en-IN"/>
        </w:rPr>
        <w:t xml:space="preserve"> N, </w:t>
      </w:r>
      <w:proofErr w:type="spellStart"/>
      <w:r w:rsidRPr="00905C20">
        <w:rPr>
          <w:rFonts w:ascii="Calibri" w:hAnsi="Calibri" w:cs="Calibri"/>
          <w:bCs/>
          <w:color w:val="000000" w:themeColor="text1"/>
          <w:sz w:val="24"/>
          <w:szCs w:val="24"/>
          <w:lang w:val="en-IN"/>
        </w:rPr>
        <w:t>Wilce</w:t>
      </w:r>
      <w:proofErr w:type="spellEnd"/>
      <w:r w:rsidRPr="00905C20">
        <w:rPr>
          <w:rFonts w:ascii="Calibri" w:hAnsi="Calibri" w:cs="Calibri"/>
          <w:bCs/>
          <w:color w:val="000000" w:themeColor="text1"/>
          <w:sz w:val="24"/>
          <w:szCs w:val="24"/>
          <w:lang w:val="en-IN"/>
        </w:rPr>
        <w:t xml:space="preserve"> JA. Emerging </w:t>
      </w:r>
      <w:proofErr w:type="spellStart"/>
      <w:r w:rsidRPr="00905C20">
        <w:rPr>
          <w:rFonts w:ascii="Calibri" w:hAnsi="Calibri" w:cs="Calibri"/>
          <w:bCs/>
          <w:color w:val="000000" w:themeColor="text1"/>
          <w:sz w:val="24"/>
          <w:szCs w:val="24"/>
          <w:lang w:val="en-IN"/>
        </w:rPr>
        <w:t>WuHan</w:t>
      </w:r>
      <w:proofErr w:type="spellEnd"/>
      <w:r w:rsidRPr="00905C20">
        <w:rPr>
          <w:rFonts w:ascii="Calibri" w:hAnsi="Calibri" w:cs="Calibri"/>
          <w:bCs/>
          <w:color w:val="000000" w:themeColor="text1"/>
          <w:sz w:val="24"/>
          <w:szCs w:val="24"/>
          <w:lang w:val="en-IN"/>
        </w:rPr>
        <w:t xml:space="preserve"> (COVID-19) coronavirus: glycan shield and structure prediction of spike glycoprotein and its interaction with human CD26. </w:t>
      </w:r>
      <w:proofErr w:type="spellStart"/>
      <w:r w:rsidRPr="00905C20">
        <w:rPr>
          <w:rFonts w:ascii="Calibri" w:hAnsi="Calibri" w:cs="Calibri"/>
          <w:bCs/>
          <w:color w:val="000000" w:themeColor="text1"/>
          <w:sz w:val="24"/>
          <w:szCs w:val="24"/>
          <w:lang w:val="en-IN"/>
        </w:rPr>
        <w:t>Emerg</w:t>
      </w:r>
      <w:proofErr w:type="spellEnd"/>
      <w:r w:rsidRPr="00905C20">
        <w:rPr>
          <w:rFonts w:ascii="Calibri" w:hAnsi="Calibri" w:cs="Calibri"/>
          <w:bCs/>
          <w:color w:val="000000" w:themeColor="text1"/>
          <w:sz w:val="24"/>
          <w:szCs w:val="24"/>
          <w:lang w:val="en-IN"/>
        </w:rPr>
        <w:t xml:space="preserve"> Microbes Infect. 2020;9(1):601-4. </w:t>
      </w:r>
    </w:p>
    <w:p w14:paraId="2914387B" w14:textId="21D2F9E9"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proofErr w:type="spellStart"/>
      <w:r w:rsidRPr="00905C20">
        <w:rPr>
          <w:rFonts w:ascii="Calibri" w:hAnsi="Calibri" w:cs="Calibri"/>
          <w:bCs/>
          <w:color w:val="000000" w:themeColor="text1"/>
          <w:sz w:val="24"/>
          <w:szCs w:val="24"/>
          <w:lang w:val="en-IN"/>
        </w:rPr>
        <w:t>Sungnak</w:t>
      </w:r>
      <w:proofErr w:type="spellEnd"/>
      <w:r w:rsidRPr="00905C20">
        <w:rPr>
          <w:rFonts w:ascii="Calibri" w:hAnsi="Calibri" w:cs="Calibri"/>
          <w:bCs/>
          <w:color w:val="000000" w:themeColor="text1"/>
          <w:sz w:val="24"/>
          <w:szCs w:val="24"/>
          <w:lang w:val="en-IN"/>
        </w:rPr>
        <w:t xml:space="preserve"> W, et al. SARS-CoV-2 entry factors are highly expressed in nasal epithelial cells together with innate immune genes. Nat Med. 2020;26(5):681-7. </w:t>
      </w:r>
    </w:p>
    <w:p w14:paraId="07C78939" w14:textId="0C18CB38"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Song X, et al. Little to no expression of angiotensin-converting enzyme-2 on most human peripheral blood immune cells but highly expressed on tissue macrophages. Cytometry A. 2020</w:t>
      </w:r>
      <w:r w:rsidR="007C7DE4" w:rsidRPr="00905C20">
        <w:rPr>
          <w:rFonts w:ascii="Calibri" w:hAnsi="Calibri" w:cs="Calibri"/>
          <w:bCs/>
          <w:color w:val="000000" w:themeColor="text1"/>
          <w:sz w:val="24"/>
          <w:szCs w:val="24"/>
          <w:lang w:val="en-IN"/>
        </w:rPr>
        <w:t>;</w:t>
      </w:r>
      <w:r w:rsidR="007C7DE4" w:rsidRPr="00905C20">
        <w:rPr>
          <w:rFonts w:ascii="Calibri" w:hAnsi="Calibri" w:cs="Calibri"/>
          <w:bCs/>
          <w:color w:val="000000" w:themeColor="text1"/>
          <w:sz w:val="24"/>
          <w:szCs w:val="24"/>
        </w:rPr>
        <w:t>103(2):136-45.</w:t>
      </w:r>
      <w:r w:rsidRPr="00905C20">
        <w:rPr>
          <w:rFonts w:ascii="Calibri" w:hAnsi="Calibri" w:cs="Calibri"/>
          <w:bCs/>
          <w:color w:val="000000" w:themeColor="text1"/>
          <w:sz w:val="24"/>
          <w:szCs w:val="24"/>
          <w:lang w:val="en-IN"/>
        </w:rPr>
        <w:t xml:space="preserve"> </w:t>
      </w:r>
    </w:p>
    <w:p w14:paraId="0CE80E93" w14:textId="5D973ACB"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Zhao Y, et al. </w:t>
      </w:r>
      <w:r w:rsidR="0054263D" w:rsidRPr="00905C20">
        <w:rPr>
          <w:rFonts w:ascii="Calibri" w:hAnsi="Calibri" w:cs="Calibri"/>
          <w:bCs/>
          <w:color w:val="000000" w:themeColor="text1"/>
          <w:sz w:val="24"/>
          <w:szCs w:val="24"/>
          <w:lang w:val="en-IN"/>
        </w:rPr>
        <w:t xml:space="preserve">SCE </w:t>
      </w:r>
      <w:r w:rsidRPr="00905C20">
        <w:rPr>
          <w:rFonts w:ascii="Calibri" w:hAnsi="Calibri" w:cs="Calibri"/>
          <w:bCs/>
          <w:color w:val="000000" w:themeColor="text1"/>
          <w:sz w:val="24"/>
          <w:szCs w:val="24"/>
          <w:lang w:val="en-IN"/>
        </w:rPr>
        <w:t xml:space="preserve">therapy in type 1 diabetes: from the bench to clinical trials. </w:t>
      </w:r>
      <w:proofErr w:type="spellStart"/>
      <w:r w:rsidRPr="00905C20">
        <w:rPr>
          <w:rFonts w:ascii="Calibri" w:hAnsi="Calibri" w:cs="Calibri"/>
          <w:bCs/>
          <w:color w:val="000000" w:themeColor="text1"/>
          <w:sz w:val="24"/>
          <w:szCs w:val="24"/>
          <w:lang w:val="en-IN"/>
        </w:rPr>
        <w:t>Autoimmun</w:t>
      </w:r>
      <w:proofErr w:type="spellEnd"/>
      <w:r w:rsidRPr="00905C20">
        <w:rPr>
          <w:rFonts w:ascii="Calibri" w:hAnsi="Calibri" w:cs="Calibri"/>
          <w:bCs/>
          <w:color w:val="000000" w:themeColor="text1"/>
          <w:sz w:val="24"/>
          <w:szCs w:val="24"/>
          <w:lang w:val="en-IN"/>
        </w:rPr>
        <w:t xml:space="preserve"> Rev. 2022;21(5):103058. </w:t>
      </w:r>
    </w:p>
    <w:p w14:paraId="3D83E017" w14:textId="6E043B47"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Zhao Y, et al. Immune regulation of T lymphocyte by a newly characterized human umbilical cord blood stem cell. Immunol Lett. 2007;108(1):78-87. </w:t>
      </w:r>
    </w:p>
    <w:p w14:paraId="07389F29" w14:textId="07F19622"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Zhao Y, et al. Human cord blood stem cell-modulated regulatory T lymphocytes reverse the autoimmune-caused type 1 diabetes in nonobese diabetic (NOD) mice. </w:t>
      </w:r>
      <w:proofErr w:type="spellStart"/>
      <w:r w:rsidRPr="00905C20">
        <w:rPr>
          <w:rFonts w:ascii="Calibri" w:hAnsi="Calibri" w:cs="Calibri"/>
          <w:bCs/>
          <w:color w:val="000000" w:themeColor="text1"/>
          <w:sz w:val="24"/>
          <w:szCs w:val="24"/>
          <w:lang w:val="en-IN"/>
        </w:rPr>
        <w:t>PLoS</w:t>
      </w:r>
      <w:proofErr w:type="spellEnd"/>
      <w:r w:rsidRPr="00905C20">
        <w:rPr>
          <w:rFonts w:ascii="Calibri" w:hAnsi="Calibri" w:cs="Calibri"/>
          <w:bCs/>
          <w:color w:val="000000" w:themeColor="text1"/>
          <w:sz w:val="24"/>
          <w:szCs w:val="24"/>
          <w:lang w:val="en-IN"/>
        </w:rPr>
        <w:t xml:space="preserve"> One. 2009;4(1):e4226. </w:t>
      </w:r>
    </w:p>
    <w:p w14:paraId="223EA257" w14:textId="0DB76620"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Li Y, et al. Hair regrowth in alopecia areata patients following </w:t>
      </w:r>
      <w:r w:rsidR="0054263D" w:rsidRPr="00905C20">
        <w:rPr>
          <w:rFonts w:ascii="Calibri" w:hAnsi="Calibri" w:cs="Calibri"/>
          <w:bCs/>
          <w:color w:val="000000" w:themeColor="text1"/>
          <w:sz w:val="24"/>
          <w:szCs w:val="24"/>
          <w:lang w:val="en-IN"/>
        </w:rPr>
        <w:t xml:space="preserve">SCE </w:t>
      </w:r>
      <w:r w:rsidRPr="00905C20">
        <w:rPr>
          <w:rFonts w:ascii="Calibri" w:hAnsi="Calibri" w:cs="Calibri"/>
          <w:bCs/>
          <w:color w:val="000000" w:themeColor="text1"/>
          <w:sz w:val="24"/>
          <w:szCs w:val="24"/>
          <w:lang w:val="en-IN"/>
        </w:rPr>
        <w:t xml:space="preserve">therapy. BMC Med. 2015;13(1):87. </w:t>
      </w:r>
    </w:p>
    <w:p w14:paraId="57E6B128" w14:textId="13FD9A40"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Zhao Y, et al. Reversal of type 1 diabetes via islet beta cell regeneration following immune modulation by cord blood-derived multipotent stem cells. BMC Med. 2012;10(1):3. </w:t>
      </w:r>
    </w:p>
    <w:p w14:paraId="4827254C" w14:textId="4FD58E13"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Delgado E, et al. Modulation of autoimmune T-cell memory by </w:t>
      </w:r>
      <w:r w:rsidR="0054263D" w:rsidRPr="00905C20">
        <w:rPr>
          <w:rFonts w:ascii="Calibri" w:hAnsi="Calibri" w:cs="Calibri"/>
          <w:bCs/>
          <w:color w:val="000000" w:themeColor="text1"/>
          <w:sz w:val="24"/>
          <w:szCs w:val="24"/>
          <w:lang w:val="en-IN"/>
        </w:rPr>
        <w:t xml:space="preserve">SCE </w:t>
      </w:r>
      <w:r w:rsidRPr="00905C20">
        <w:rPr>
          <w:rFonts w:ascii="Calibri" w:hAnsi="Calibri" w:cs="Calibri"/>
          <w:bCs/>
          <w:color w:val="000000" w:themeColor="text1"/>
          <w:sz w:val="24"/>
          <w:szCs w:val="24"/>
          <w:lang w:val="en-IN"/>
        </w:rPr>
        <w:t xml:space="preserve">therapy: phase 1/2 clinical trial. </w:t>
      </w:r>
      <w:proofErr w:type="spellStart"/>
      <w:r w:rsidRPr="00905C20">
        <w:rPr>
          <w:rFonts w:ascii="Calibri" w:hAnsi="Calibri" w:cs="Calibri"/>
          <w:bCs/>
          <w:color w:val="000000" w:themeColor="text1"/>
          <w:sz w:val="24"/>
          <w:szCs w:val="24"/>
          <w:lang w:val="en-IN"/>
        </w:rPr>
        <w:t>EBioMedicine</w:t>
      </w:r>
      <w:proofErr w:type="spellEnd"/>
      <w:r w:rsidRPr="00905C20">
        <w:rPr>
          <w:rFonts w:ascii="Calibri" w:hAnsi="Calibri" w:cs="Calibri"/>
          <w:bCs/>
          <w:color w:val="000000" w:themeColor="text1"/>
          <w:sz w:val="24"/>
          <w:szCs w:val="24"/>
          <w:lang w:val="en-IN"/>
        </w:rPr>
        <w:t xml:space="preserve">. 2015;2(12):2024-36. </w:t>
      </w:r>
    </w:p>
    <w:p w14:paraId="20CE9F51" w14:textId="4EB84E6F"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Zhao Y, et al. Targeting insulin resistance in type 2 diabetes via immune modulation of cord blood-derived multipotent stem cells (CB-SCs) in </w:t>
      </w:r>
      <w:r w:rsidR="0054263D" w:rsidRPr="00905C20">
        <w:rPr>
          <w:rFonts w:ascii="Calibri" w:hAnsi="Calibri" w:cs="Calibri"/>
          <w:bCs/>
          <w:color w:val="000000" w:themeColor="text1"/>
          <w:sz w:val="24"/>
          <w:szCs w:val="24"/>
          <w:lang w:val="en-IN"/>
        </w:rPr>
        <w:t xml:space="preserve">SCE </w:t>
      </w:r>
      <w:r w:rsidRPr="00905C20">
        <w:rPr>
          <w:rFonts w:ascii="Calibri" w:hAnsi="Calibri" w:cs="Calibri"/>
          <w:bCs/>
          <w:color w:val="000000" w:themeColor="text1"/>
          <w:sz w:val="24"/>
          <w:szCs w:val="24"/>
          <w:lang w:val="en-IN"/>
        </w:rPr>
        <w:t xml:space="preserve">therapy: phase I/II clinical trial. BMC Med. 2013;11:160. </w:t>
      </w:r>
    </w:p>
    <w:p w14:paraId="31C29D93" w14:textId="0FA5E8DF"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Fox R, et al. Clinical, immunological, radiographic, and pathologic improvements in a patient with long-standing Crohn's disease after receiving </w:t>
      </w:r>
      <w:r w:rsidR="0054263D" w:rsidRPr="00905C20">
        <w:rPr>
          <w:rFonts w:ascii="Calibri" w:hAnsi="Calibri" w:cs="Calibri"/>
          <w:bCs/>
          <w:color w:val="000000" w:themeColor="text1"/>
          <w:sz w:val="24"/>
          <w:szCs w:val="24"/>
          <w:lang w:val="en-IN"/>
        </w:rPr>
        <w:t xml:space="preserve">SCE </w:t>
      </w:r>
      <w:r w:rsidRPr="00905C20">
        <w:rPr>
          <w:rFonts w:ascii="Calibri" w:hAnsi="Calibri" w:cs="Calibri"/>
          <w:bCs/>
          <w:color w:val="000000" w:themeColor="text1"/>
          <w:sz w:val="24"/>
          <w:szCs w:val="24"/>
          <w:lang w:val="en-IN"/>
        </w:rPr>
        <w:t>therapy. Int J Mol Sci. 2025;</w:t>
      </w:r>
      <w:r w:rsidR="00376B2F" w:rsidRPr="00905C20">
        <w:rPr>
          <w:rFonts w:ascii="Calibri" w:hAnsi="Calibri" w:cs="Calibri"/>
          <w:bCs/>
          <w:color w:val="000000" w:themeColor="text1"/>
          <w:sz w:val="24"/>
          <w:szCs w:val="24"/>
        </w:rPr>
        <w:t>26(15):7292.</w:t>
      </w:r>
    </w:p>
    <w:p w14:paraId="1223DE42" w14:textId="456DD067"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lastRenderedPageBreak/>
        <w:t xml:space="preserve">Hu W, et al. Released exosomes contribute to the immune modulation of cord blood-derived stem cells. Front Immunol. 2020;11:165. </w:t>
      </w:r>
    </w:p>
    <w:p w14:paraId="051232E4" w14:textId="17B60F90"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Hu W, et al. Differentiation of monocytes into phenotypically distinct macrophages after treatment with human cord blood stem cell (CB-SC)-derived exosomes. J Vis Exp. 2020;(165)</w:t>
      </w:r>
      <w:r w:rsidR="00EC31A4" w:rsidRPr="00905C20">
        <w:rPr>
          <w:rFonts w:ascii="Calibri" w:hAnsi="Calibri" w:cs="Calibri"/>
          <w:bCs/>
          <w:color w:val="000000" w:themeColor="text1"/>
          <w:sz w:val="24"/>
          <w:szCs w:val="24"/>
          <w:lang w:val="en-IN"/>
        </w:rPr>
        <w:t>:</w:t>
      </w:r>
      <w:r w:rsidR="00EC31A4" w:rsidRPr="00905C20">
        <w:rPr>
          <w:rFonts w:ascii="Calibri" w:hAnsi="Calibri" w:cs="Calibri"/>
          <w:bCs/>
          <w:color w:val="000000" w:themeColor="text1"/>
          <w:sz w:val="24"/>
          <w:szCs w:val="24"/>
        </w:rPr>
        <w:t>e61562</w:t>
      </w:r>
      <w:r w:rsidRPr="00905C20">
        <w:rPr>
          <w:rFonts w:ascii="Calibri" w:hAnsi="Calibri" w:cs="Calibri"/>
          <w:bCs/>
          <w:color w:val="000000" w:themeColor="text1"/>
          <w:sz w:val="24"/>
          <w:szCs w:val="24"/>
          <w:lang w:val="en-IN"/>
        </w:rPr>
        <w:t>.</w:t>
      </w:r>
    </w:p>
    <w:p w14:paraId="26370F0D" w14:textId="6D215EE9"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Bao N, et al. Role of the CXCR6/CXCL16 axis in autoimmune diseases. Int </w:t>
      </w:r>
      <w:proofErr w:type="spellStart"/>
      <w:r w:rsidRPr="00905C20">
        <w:rPr>
          <w:rFonts w:ascii="Calibri" w:hAnsi="Calibri" w:cs="Calibri"/>
          <w:bCs/>
          <w:color w:val="000000" w:themeColor="text1"/>
          <w:sz w:val="24"/>
          <w:szCs w:val="24"/>
          <w:lang w:val="en-IN"/>
        </w:rPr>
        <w:t>Immunopharmacol</w:t>
      </w:r>
      <w:proofErr w:type="spellEnd"/>
      <w:r w:rsidRPr="00905C20">
        <w:rPr>
          <w:rFonts w:ascii="Calibri" w:hAnsi="Calibri" w:cs="Calibri"/>
          <w:bCs/>
          <w:color w:val="000000" w:themeColor="text1"/>
          <w:sz w:val="24"/>
          <w:szCs w:val="24"/>
          <w:lang w:val="en-IN"/>
        </w:rPr>
        <w:t xml:space="preserve">. 2023;121:110530. </w:t>
      </w:r>
    </w:p>
    <w:p w14:paraId="29491E5F" w14:textId="1F1053A0"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Hassan AM, et al. Serum-soluble CXCL16 in juvenile systemic lupus erythematosus: a promising predictor of disease severity and lupus nephritis. Clin </w:t>
      </w:r>
      <w:proofErr w:type="spellStart"/>
      <w:r w:rsidRPr="00905C20">
        <w:rPr>
          <w:rFonts w:ascii="Calibri" w:hAnsi="Calibri" w:cs="Calibri"/>
          <w:bCs/>
          <w:color w:val="000000" w:themeColor="text1"/>
          <w:sz w:val="24"/>
          <w:szCs w:val="24"/>
          <w:lang w:val="en-IN"/>
        </w:rPr>
        <w:t>Rheumatol</w:t>
      </w:r>
      <w:proofErr w:type="spellEnd"/>
      <w:r w:rsidRPr="00905C20">
        <w:rPr>
          <w:rFonts w:ascii="Calibri" w:hAnsi="Calibri" w:cs="Calibri"/>
          <w:bCs/>
          <w:color w:val="000000" w:themeColor="text1"/>
          <w:sz w:val="24"/>
          <w:szCs w:val="24"/>
          <w:lang w:val="en-IN"/>
        </w:rPr>
        <w:t xml:space="preserve">. 2018;37(11):3025-32. </w:t>
      </w:r>
    </w:p>
    <w:p w14:paraId="751EE246" w14:textId="4996C089"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O'Connor RA, et al. Adjuvant immunotherapy of experimental autoimmune encephalomyelitis: immature myeloid cells expressing CXCL10 and CXCL16 attract CXCR3+CXCR6+ and myelin-specific T cells to the draining lymph nodes rather than the central nervous system. J Immunol. 2012;188(5):2093-101. </w:t>
      </w:r>
    </w:p>
    <w:p w14:paraId="3CDB8760" w14:textId="67D0BA6C"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Scott NA, et al. Monocyte migration profiles define disease severity in acute COVID-19 and unique features of long COVID. </w:t>
      </w:r>
      <w:proofErr w:type="spellStart"/>
      <w:r w:rsidRPr="00905C20">
        <w:rPr>
          <w:rFonts w:ascii="Calibri" w:hAnsi="Calibri" w:cs="Calibri"/>
          <w:bCs/>
          <w:color w:val="000000" w:themeColor="text1"/>
          <w:sz w:val="24"/>
          <w:szCs w:val="24"/>
          <w:lang w:val="en-IN"/>
        </w:rPr>
        <w:t>Eur</w:t>
      </w:r>
      <w:proofErr w:type="spellEnd"/>
      <w:r w:rsidRPr="00905C20">
        <w:rPr>
          <w:rFonts w:ascii="Calibri" w:hAnsi="Calibri" w:cs="Calibri"/>
          <w:bCs/>
          <w:color w:val="000000" w:themeColor="text1"/>
          <w:sz w:val="24"/>
          <w:szCs w:val="24"/>
          <w:lang w:val="en-IN"/>
        </w:rPr>
        <w:t xml:space="preserve"> Respir J. 2023;</w:t>
      </w:r>
      <w:r w:rsidR="0065118D" w:rsidRPr="00905C20">
        <w:rPr>
          <w:rFonts w:ascii="Calibri" w:hAnsi="Calibri" w:cs="Calibri"/>
          <w:bCs/>
          <w:color w:val="000000" w:themeColor="text1"/>
          <w:sz w:val="24"/>
          <w:szCs w:val="24"/>
        </w:rPr>
        <w:t>61(5):2202226.</w:t>
      </w:r>
      <w:r w:rsidRPr="00905C20">
        <w:rPr>
          <w:rFonts w:ascii="Calibri" w:hAnsi="Calibri" w:cs="Calibri"/>
          <w:bCs/>
          <w:color w:val="000000" w:themeColor="text1"/>
          <w:sz w:val="24"/>
          <w:szCs w:val="24"/>
          <w:lang w:val="en-IN"/>
        </w:rPr>
        <w:t xml:space="preserve"> </w:t>
      </w:r>
    </w:p>
    <w:p w14:paraId="4CE52FBD" w14:textId="7295F193"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Theobald SJ, et al. Long-lived macrophage reprogramming drives spike protein-mediated inflammasome activation in COVID-19. EMBO Mol Med. 2021;13(8):e14150. </w:t>
      </w:r>
    </w:p>
    <w:p w14:paraId="0F65328A" w14:textId="25FD8303"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Kaneko N, et al. The role of interleukin-1 in general pathology. </w:t>
      </w:r>
      <w:proofErr w:type="spellStart"/>
      <w:r w:rsidRPr="00905C20">
        <w:rPr>
          <w:rFonts w:ascii="Calibri" w:hAnsi="Calibri" w:cs="Calibri"/>
          <w:bCs/>
          <w:color w:val="000000" w:themeColor="text1"/>
          <w:sz w:val="24"/>
          <w:szCs w:val="24"/>
          <w:lang w:val="en-IN"/>
        </w:rPr>
        <w:t>Inflamm</w:t>
      </w:r>
      <w:proofErr w:type="spellEnd"/>
      <w:r w:rsidRPr="00905C20">
        <w:rPr>
          <w:rFonts w:ascii="Calibri" w:hAnsi="Calibri" w:cs="Calibri"/>
          <w:bCs/>
          <w:color w:val="000000" w:themeColor="text1"/>
          <w:sz w:val="24"/>
          <w:szCs w:val="24"/>
          <w:lang w:val="en-IN"/>
        </w:rPr>
        <w:t xml:space="preserve"> Regen. 2019;39:12. </w:t>
      </w:r>
    </w:p>
    <w:p w14:paraId="3850998C" w14:textId="28BCC5A7"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Zhang X, et al. Iron/ROS/Itga3 mediated accelerated depletion of hippocampal neural stem cell pool contributes to cognitive impairment after </w:t>
      </w:r>
      <w:proofErr w:type="spellStart"/>
      <w:r w:rsidRPr="00905C20">
        <w:rPr>
          <w:rFonts w:ascii="Calibri" w:hAnsi="Calibri" w:cs="Calibri"/>
          <w:bCs/>
          <w:color w:val="000000" w:themeColor="text1"/>
          <w:sz w:val="24"/>
          <w:szCs w:val="24"/>
          <w:lang w:val="en-IN"/>
        </w:rPr>
        <w:t>hemorrhagic</w:t>
      </w:r>
      <w:proofErr w:type="spellEnd"/>
      <w:r w:rsidRPr="00905C20">
        <w:rPr>
          <w:rFonts w:ascii="Calibri" w:hAnsi="Calibri" w:cs="Calibri"/>
          <w:bCs/>
          <w:color w:val="000000" w:themeColor="text1"/>
          <w:sz w:val="24"/>
          <w:szCs w:val="24"/>
          <w:lang w:val="en-IN"/>
        </w:rPr>
        <w:t xml:space="preserve"> stroke. Redox Biol. 2024;71:103086. </w:t>
      </w:r>
    </w:p>
    <w:p w14:paraId="071F594B" w14:textId="22BFD106"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Chen J, et al. Healthy young human plasma-derived exosomes enhance neural stem cell therapy by suppressing </w:t>
      </w:r>
      <w:proofErr w:type="spellStart"/>
      <w:r w:rsidRPr="00905C20">
        <w:rPr>
          <w:rFonts w:ascii="Calibri" w:hAnsi="Calibri" w:cs="Calibri"/>
          <w:bCs/>
          <w:color w:val="000000" w:themeColor="text1"/>
          <w:sz w:val="24"/>
          <w:szCs w:val="24"/>
          <w:lang w:val="en-IN"/>
        </w:rPr>
        <w:t>pyroptosis</w:t>
      </w:r>
      <w:proofErr w:type="spellEnd"/>
      <w:r w:rsidRPr="00905C20">
        <w:rPr>
          <w:rFonts w:ascii="Calibri" w:hAnsi="Calibri" w:cs="Calibri"/>
          <w:bCs/>
          <w:color w:val="000000" w:themeColor="text1"/>
          <w:sz w:val="24"/>
          <w:szCs w:val="24"/>
          <w:lang w:val="en-IN"/>
        </w:rPr>
        <w:t xml:space="preserve"> via TXNIP/NLRP3 after intracerebral </w:t>
      </w:r>
      <w:proofErr w:type="spellStart"/>
      <w:r w:rsidRPr="00905C20">
        <w:rPr>
          <w:rFonts w:ascii="Calibri" w:hAnsi="Calibri" w:cs="Calibri"/>
          <w:bCs/>
          <w:color w:val="000000" w:themeColor="text1"/>
          <w:sz w:val="24"/>
          <w:szCs w:val="24"/>
          <w:lang w:val="en-IN"/>
        </w:rPr>
        <w:t>hemorrhage</w:t>
      </w:r>
      <w:proofErr w:type="spellEnd"/>
      <w:r w:rsidRPr="00905C20">
        <w:rPr>
          <w:rFonts w:ascii="Calibri" w:hAnsi="Calibri" w:cs="Calibri"/>
          <w:bCs/>
          <w:color w:val="000000" w:themeColor="text1"/>
          <w:sz w:val="24"/>
          <w:szCs w:val="24"/>
          <w:lang w:val="en-IN"/>
        </w:rPr>
        <w:t xml:space="preserve">. J Nanobiotechnology. 2026;24(1):131. </w:t>
      </w:r>
    </w:p>
    <w:p w14:paraId="58B14605" w14:textId="3C96D536"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Zhu A, et al. Robust mucosal SARS-CoV-2-specific T cells effectively combat COVID-19 and establish polyfunctional resident memory in patient lungs. Nat Immunol. 2025;26(3):459-72. </w:t>
      </w:r>
    </w:p>
    <w:p w14:paraId="23D81B5D" w14:textId="76DEF148"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Adamo S, et al. Signature of long-lived memory CD8(+) T cells in acute SARS-CoV-2 infection. Nature. 2022;602(7895):148-55. </w:t>
      </w:r>
    </w:p>
    <w:p w14:paraId="349E87B1" w14:textId="168104B0"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proofErr w:type="spellStart"/>
      <w:r w:rsidRPr="00905C20">
        <w:rPr>
          <w:rFonts w:ascii="Calibri" w:hAnsi="Calibri" w:cs="Calibri"/>
          <w:bCs/>
          <w:color w:val="000000" w:themeColor="text1"/>
          <w:sz w:val="24"/>
          <w:szCs w:val="24"/>
          <w:lang w:val="en-IN"/>
        </w:rPr>
        <w:t>Zaripova</w:t>
      </w:r>
      <w:proofErr w:type="spellEnd"/>
      <w:r w:rsidRPr="00905C20">
        <w:rPr>
          <w:rFonts w:ascii="Calibri" w:hAnsi="Calibri" w:cs="Calibri"/>
          <w:bCs/>
          <w:color w:val="000000" w:themeColor="text1"/>
          <w:sz w:val="24"/>
          <w:szCs w:val="24"/>
          <w:lang w:val="en-IN"/>
        </w:rPr>
        <w:t xml:space="preserve"> LN, et al. Mesenchymal stem cells in the pathogenesis and therapy of autoimmune and autoinflammatory diseases. Int J Mol Sci. 2023;</w:t>
      </w:r>
      <w:r w:rsidR="004631D9" w:rsidRPr="00905C20">
        <w:rPr>
          <w:rFonts w:ascii="Calibri" w:hAnsi="Calibri" w:cs="Calibri"/>
          <w:bCs/>
          <w:color w:val="000000" w:themeColor="text1"/>
          <w:sz w:val="24"/>
          <w:szCs w:val="24"/>
        </w:rPr>
        <w:t>24(22):16040.</w:t>
      </w:r>
      <w:r w:rsidRPr="00905C20">
        <w:rPr>
          <w:rFonts w:ascii="Calibri" w:hAnsi="Calibri" w:cs="Calibri"/>
          <w:bCs/>
          <w:color w:val="000000" w:themeColor="text1"/>
          <w:sz w:val="24"/>
          <w:szCs w:val="24"/>
          <w:lang w:val="en-IN"/>
        </w:rPr>
        <w:t xml:space="preserve"> </w:t>
      </w:r>
    </w:p>
    <w:p w14:paraId="40C86106" w14:textId="76436ECB"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 xml:space="preserve">Lee OJ, Keating A. Mesenchymal stromal cells: an update. Curr </w:t>
      </w:r>
      <w:proofErr w:type="spellStart"/>
      <w:r w:rsidRPr="00905C20">
        <w:rPr>
          <w:rFonts w:ascii="Calibri" w:hAnsi="Calibri" w:cs="Calibri"/>
          <w:bCs/>
          <w:color w:val="000000" w:themeColor="text1"/>
          <w:sz w:val="24"/>
          <w:szCs w:val="24"/>
          <w:lang w:val="en-IN"/>
        </w:rPr>
        <w:t>Opin</w:t>
      </w:r>
      <w:proofErr w:type="spellEnd"/>
      <w:r w:rsidRPr="00905C20">
        <w:rPr>
          <w:rFonts w:ascii="Calibri" w:hAnsi="Calibri" w:cs="Calibri"/>
          <w:bCs/>
          <w:color w:val="000000" w:themeColor="text1"/>
          <w:sz w:val="24"/>
          <w:szCs w:val="24"/>
          <w:lang w:val="en-IN"/>
        </w:rPr>
        <w:t xml:space="preserve"> </w:t>
      </w:r>
      <w:proofErr w:type="spellStart"/>
      <w:r w:rsidRPr="00905C20">
        <w:rPr>
          <w:rFonts w:ascii="Calibri" w:hAnsi="Calibri" w:cs="Calibri"/>
          <w:bCs/>
          <w:color w:val="000000" w:themeColor="text1"/>
          <w:sz w:val="24"/>
          <w:szCs w:val="24"/>
          <w:lang w:val="en-IN"/>
        </w:rPr>
        <w:t>Hematol</w:t>
      </w:r>
      <w:proofErr w:type="spellEnd"/>
      <w:r w:rsidRPr="00905C20">
        <w:rPr>
          <w:rFonts w:ascii="Calibri" w:hAnsi="Calibri" w:cs="Calibri"/>
          <w:bCs/>
          <w:color w:val="000000" w:themeColor="text1"/>
          <w:sz w:val="24"/>
          <w:szCs w:val="24"/>
          <w:lang w:val="en-IN"/>
        </w:rPr>
        <w:t xml:space="preserve">. 2025;32(5):270-8. </w:t>
      </w:r>
    </w:p>
    <w:p w14:paraId="623F0735" w14:textId="05EF67ED"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lang w:val="en-IN"/>
        </w:rPr>
      </w:pPr>
      <w:r w:rsidRPr="00905C20">
        <w:rPr>
          <w:rFonts w:ascii="Calibri" w:hAnsi="Calibri" w:cs="Calibri"/>
          <w:bCs/>
          <w:color w:val="000000" w:themeColor="text1"/>
          <w:sz w:val="24"/>
          <w:szCs w:val="24"/>
          <w:lang w:val="en-IN"/>
        </w:rPr>
        <w:t>Hu W, et al. Suppression of B-cell activation by human cord blood-derived stem cells (CB-SCs) through the galectin-9-dependent mechanism. Int J Mol Sci. 2024;</w:t>
      </w:r>
      <w:r w:rsidR="008E3579" w:rsidRPr="00905C20">
        <w:rPr>
          <w:rFonts w:ascii="Calibri" w:hAnsi="Calibri" w:cs="Calibri"/>
          <w:bCs/>
          <w:color w:val="000000" w:themeColor="text1"/>
          <w:sz w:val="24"/>
          <w:szCs w:val="24"/>
        </w:rPr>
        <w:t>25(3):1830.</w:t>
      </w:r>
    </w:p>
    <w:p w14:paraId="3DDADAF0" w14:textId="7FF496A9" w:rsidR="003971C6" w:rsidRPr="00905C20" w:rsidRDefault="009E6662" w:rsidP="00905C20">
      <w:pPr>
        <w:pStyle w:val="ListParagraph"/>
        <w:numPr>
          <w:ilvl w:val="0"/>
          <w:numId w:val="25"/>
        </w:numPr>
        <w:spacing w:after="0" w:line="0" w:lineRule="atLeast"/>
        <w:jc w:val="both"/>
        <w:rPr>
          <w:rFonts w:ascii="Calibri" w:hAnsi="Calibri" w:cs="Calibri"/>
          <w:bCs/>
          <w:color w:val="000000" w:themeColor="text1"/>
          <w:sz w:val="24"/>
          <w:szCs w:val="24"/>
        </w:rPr>
      </w:pPr>
      <w:r w:rsidRPr="00905C20">
        <w:rPr>
          <w:rFonts w:ascii="Calibri" w:hAnsi="Calibri" w:cs="Calibri"/>
          <w:bCs/>
          <w:color w:val="000000" w:themeColor="text1"/>
          <w:sz w:val="24"/>
          <w:szCs w:val="24"/>
          <w:lang w:val="en-IN"/>
        </w:rPr>
        <w:t xml:space="preserve">Zeng Q, et al. </w:t>
      </w:r>
      <w:proofErr w:type="spellStart"/>
      <w:r w:rsidRPr="00905C20">
        <w:rPr>
          <w:rFonts w:ascii="Calibri" w:hAnsi="Calibri" w:cs="Calibri"/>
          <w:bCs/>
          <w:color w:val="000000" w:themeColor="text1"/>
          <w:sz w:val="24"/>
          <w:szCs w:val="24"/>
          <w:lang w:val="en-IN"/>
        </w:rPr>
        <w:t>Lymphoplasmapheresis</w:t>
      </w:r>
      <w:proofErr w:type="spellEnd"/>
      <w:r w:rsidRPr="00905C20">
        <w:rPr>
          <w:rFonts w:ascii="Calibri" w:hAnsi="Calibri" w:cs="Calibri"/>
          <w:bCs/>
          <w:color w:val="000000" w:themeColor="text1"/>
          <w:sz w:val="24"/>
          <w:szCs w:val="24"/>
          <w:lang w:val="en-IN"/>
        </w:rPr>
        <w:t xml:space="preserve"> for steroid-refractory neuromyelitis </w:t>
      </w:r>
      <w:proofErr w:type="spellStart"/>
      <w:r w:rsidRPr="00905C20">
        <w:rPr>
          <w:rFonts w:ascii="Calibri" w:hAnsi="Calibri" w:cs="Calibri"/>
          <w:bCs/>
          <w:color w:val="000000" w:themeColor="text1"/>
          <w:sz w:val="24"/>
          <w:szCs w:val="24"/>
          <w:lang w:val="en-IN"/>
        </w:rPr>
        <w:t>optica</w:t>
      </w:r>
      <w:proofErr w:type="spellEnd"/>
      <w:r w:rsidRPr="00905C20">
        <w:rPr>
          <w:rFonts w:ascii="Calibri" w:hAnsi="Calibri" w:cs="Calibri"/>
          <w:bCs/>
          <w:color w:val="000000" w:themeColor="text1"/>
          <w:sz w:val="24"/>
          <w:szCs w:val="24"/>
          <w:lang w:val="en-IN"/>
        </w:rPr>
        <w:t xml:space="preserve"> spectrum disorder: a real-world </w:t>
      </w:r>
      <w:proofErr w:type="spellStart"/>
      <w:r w:rsidRPr="00905C20">
        <w:rPr>
          <w:rFonts w:ascii="Calibri" w:hAnsi="Calibri" w:cs="Calibri"/>
          <w:bCs/>
          <w:color w:val="000000" w:themeColor="text1"/>
          <w:sz w:val="24"/>
          <w:szCs w:val="24"/>
          <w:lang w:val="en-IN"/>
        </w:rPr>
        <w:t>multicenter</w:t>
      </w:r>
      <w:proofErr w:type="spellEnd"/>
      <w:r w:rsidRPr="00905C20">
        <w:rPr>
          <w:rFonts w:ascii="Calibri" w:hAnsi="Calibri" w:cs="Calibri"/>
          <w:bCs/>
          <w:color w:val="000000" w:themeColor="text1"/>
          <w:sz w:val="24"/>
          <w:szCs w:val="24"/>
          <w:lang w:val="en-IN"/>
        </w:rPr>
        <w:t xml:space="preserve"> study in China. CNS </w:t>
      </w:r>
      <w:proofErr w:type="spellStart"/>
      <w:r w:rsidRPr="00905C20">
        <w:rPr>
          <w:rFonts w:ascii="Calibri" w:hAnsi="Calibri" w:cs="Calibri"/>
          <w:bCs/>
          <w:color w:val="000000" w:themeColor="text1"/>
          <w:sz w:val="24"/>
          <w:szCs w:val="24"/>
          <w:lang w:val="en-IN"/>
        </w:rPr>
        <w:t>Neurosci</w:t>
      </w:r>
      <w:proofErr w:type="spellEnd"/>
      <w:r w:rsidRPr="00905C20">
        <w:rPr>
          <w:rFonts w:ascii="Calibri" w:hAnsi="Calibri" w:cs="Calibri"/>
          <w:bCs/>
          <w:color w:val="000000" w:themeColor="text1"/>
          <w:sz w:val="24"/>
          <w:szCs w:val="24"/>
          <w:lang w:val="en-IN"/>
        </w:rPr>
        <w:t xml:space="preserve"> </w:t>
      </w:r>
      <w:proofErr w:type="spellStart"/>
      <w:r w:rsidRPr="00905C20">
        <w:rPr>
          <w:rFonts w:ascii="Calibri" w:hAnsi="Calibri" w:cs="Calibri"/>
          <w:bCs/>
          <w:color w:val="000000" w:themeColor="text1"/>
          <w:sz w:val="24"/>
          <w:szCs w:val="24"/>
          <w:lang w:val="en-IN"/>
        </w:rPr>
        <w:t>Ther</w:t>
      </w:r>
      <w:proofErr w:type="spellEnd"/>
      <w:r w:rsidRPr="00905C20">
        <w:rPr>
          <w:rFonts w:ascii="Calibri" w:hAnsi="Calibri" w:cs="Calibri"/>
          <w:bCs/>
          <w:color w:val="000000" w:themeColor="text1"/>
          <w:sz w:val="24"/>
          <w:szCs w:val="24"/>
          <w:lang w:val="en-IN"/>
        </w:rPr>
        <w:t>. 2025;31(10):e70628.</w:t>
      </w:r>
    </w:p>
    <w:sectPr w:rsidR="003971C6" w:rsidRPr="00905C20" w:rsidSect="003E38EA">
      <w:headerReference w:type="even" r:id="rId10"/>
      <w:footerReference w:type="even" r:id="rId11"/>
      <w:footerReference w:type="default" r:id="rId12"/>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BF7DA" w14:textId="77777777" w:rsidR="00995398" w:rsidRDefault="00995398">
      <w:r>
        <w:separator/>
      </w:r>
    </w:p>
  </w:endnote>
  <w:endnote w:type="continuationSeparator" w:id="0">
    <w:p w14:paraId="25494DF9" w14:textId="77777777" w:rsidR="00995398" w:rsidRDefault="00995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111297"/>
      <w:docPartObj>
        <w:docPartGallery w:val="Page Numbers (Bottom of Page)"/>
        <w:docPartUnique/>
      </w:docPartObj>
    </w:sdtPr>
    <w:sdtEndPr>
      <w:rPr>
        <w:noProof/>
      </w:rPr>
    </w:sdtEndPr>
    <w:sdtContent>
      <w:p w14:paraId="06CDDD63" w14:textId="346772D7" w:rsidR="003E38EA" w:rsidRDefault="003E38EA" w:rsidP="003E38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0DDD3" w14:textId="77777777" w:rsidR="00995398" w:rsidRDefault="00995398">
      <w:r>
        <w:separator/>
      </w:r>
    </w:p>
  </w:footnote>
  <w:footnote w:type="continuationSeparator" w:id="0">
    <w:p w14:paraId="09467636" w14:textId="77777777" w:rsidR="00995398" w:rsidRDefault="00995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415"/>
    <w:multiLevelType w:val="hybridMultilevel"/>
    <w:tmpl w:val="C74E7908"/>
    <w:lvl w:ilvl="0" w:tplc="5AB40552">
      <w:start w:val="2"/>
      <w:numFmt w:val="bullet"/>
      <w:lvlText w:val=""/>
      <w:lvlJc w:val="left"/>
      <w:pPr>
        <w:ind w:left="720" w:hanging="360"/>
      </w:pPr>
      <w:rPr>
        <w:rFonts w:ascii="Calibri" w:eastAsia="Calibri" w:hAnsi="Calibri" w:cs="Calibri" w:hint="default"/>
      </w:rPr>
    </w:lvl>
    <w:lvl w:ilvl="1" w:tplc="9D50A15A" w:tentative="1">
      <w:start w:val="1"/>
      <w:numFmt w:val="bullet"/>
      <w:lvlText w:val="o"/>
      <w:lvlJc w:val="left"/>
      <w:pPr>
        <w:ind w:left="1440" w:hanging="360"/>
      </w:pPr>
      <w:rPr>
        <w:rFonts w:ascii="Courier New" w:hAnsi="Courier New" w:cs="Courier New" w:hint="default"/>
      </w:rPr>
    </w:lvl>
    <w:lvl w:ilvl="2" w:tplc="61B02880" w:tentative="1">
      <w:start w:val="1"/>
      <w:numFmt w:val="bullet"/>
      <w:lvlText w:val=""/>
      <w:lvlJc w:val="left"/>
      <w:pPr>
        <w:ind w:left="2160" w:hanging="360"/>
      </w:pPr>
      <w:rPr>
        <w:rFonts w:ascii="Wingdings" w:hAnsi="Wingdings" w:hint="default"/>
      </w:rPr>
    </w:lvl>
    <w:lvl w:ilvl="3" w:tplc="2E84FE40" w:tentative="1">
      <w:start w:val="1"/>
      <w:numFmt w:val="bullet"/>
      <w:lvlText w:val=""/>
      <w:lvlJc w:val="left"/>
      <w:pPr>
        <w:ind w:left="2880" w:hanging="360"/>
      </w:pPr>
      <w:rPr>
        <w:rFonts w:ascii="Symbol" w:hAnsi="Symbol" w:hint="default"/>
      </w:rPr>
    </w:lvl>
    <w:lvl w:ilvl="4" w:tplc="A0FC5EA0" w:tentative="1">
      <w:start w:val="1"/>
      <w:numFmt w:val="bullet"/>
      <w:lvlText w:val="o"/>
      <w:lvlJc w:val="left"/>
      <w:pPr>
        <w:ind w:left="3600" w:hanging="360"/>
      </w:pPr>
      <w:rPr>
        <w:rFonts w:ascii="Courier New" w:hAnsi="Courier New" w:cs="Courier New" w:hint="default"/>
      </w:rPr>
    </w:lvl>
    <w:lvl w:ilvl="5" w:tplc="BF18A060" w:tentative="1">
      <w:start w:val="1"/>
      <w:numFmt w:val="bullet"/>
      <w:lvlText w:val=""/>
      <w:lvlJc w:val="left"/>
      <w:pPr>
        <w:ind w:left="4320" w:hanging="360"/>
      </w:pPr>
      <w:rPr>
        <w:rFonts w:ascii="Wingdings" w:hAnsi="Wingdings" w:hint="default"/>
      </w:rPr>
    </w:lvl>
    <w:lvl w:ilvl="6" w:tplc="EFE012C6" w:tentative="1">
      <w:start w:val="1"/>
      <w:numFmt w:val="bullet"/>
      <w:lvlText w:val=""/>
      <w:lvlJc w:val="left"/>
      <w:pPr>
        <w:ind w:left="5040" w:hanging="360"/>
      </w:pPr>
      <w:rPr>
        <w:rFonts w:ascii="Symbol" w:hAnsi="Symbol" w:hint="default"/>
      </w:rPr>
    </w:lvl>
    <w:lvl w:ilvl="7" w:tplc="A2B20A10" w:tentative="1">
      <w:start w:val="1"/>
      <w:numFmt w:val="bullet"/>
      <w:lvlText w:val="o"/>
      <w:lvlJc w:val="left"/>
      <w:pPr>
        <w:ind w:left="5760" w:hanging="360"/>
      </w:pPr>
      <w:rPr>
        <w:rFonts w:ascii="Courier New" w:hAnsi="Courier New" w:cs="Courier New" w:hint="default"/>
      </w:rPr>
    </w:lvl>
    <w:lvl w:ilvl="8" w:tplc="446A2088" w:tentative="1">
      <w:start w:val="1"/>
      <w:numFmt w:val="bullet"/>
      <w:lvlText w:val=""/>
      <w:lvlJc w:val="left"/>
      <w:pPr>
        <w:ind w:left="6480" w:hanging="360"/>
      </w:pPr>
      <w:rPr>
        <w:rFonts w:ascii="Wingdings" w:hAnsi="Wingdings" w:hint="default"/>
      </w:rPr>
    </w:lvl>
  </w:abstractNum>
  <w:abstractNum w:abstractNumId="1" w15:restartNumberingAfterBreak="0">
    <w:nsid w:val="068D11F0"/>
    <w:multiLevelType w:val="hybridMultilevel"/>
    <w:tmpl w:val="08CAAA60"/>
    <w:lvl w:ilvl="0" w:tplc="AEAA33A2">
      <w:start w:val="1"/>
      <w:numFmt w:val="decimal"/>
      <w:lvlText w:val="%1."/>
      <w:lvlJc w:val="left"/>
      <w:pPr>
        <w:ind w:left="360" w:hanging="360"/>
      </w:pPr>
      <w:rPr>
        <w:rFonts w:hint="default"/>
      </w:rPr>
    </w:lvl>
    <w:lvl w:ilvl="1" w:tplc="4B964D08" w:tentative="1">
      <w:start w:val="1"/>
      <w:numFmt w:val="lowerLetter"/>
      <w:lvlText w:val="%2."/>
      <w:lvlJc w:val="left"/>
      <w:pPr>
        <w:ind w:left="1080" w:hanging="360"/>
      </w:pPr>
    </w:lvl>
    <w:lvl w:ilvl="2" w:tplc="AD8EB74C" w:tentative="1">
      <w:start w:val="1"/>
      <w:numFmt w:val="lowerRoman"/>
      <w:lvlText w:val="%3."/>
      <w:lvlJc w:val="right"/>
      <w:pPr>
        <w:ind w:left="1800" w:hanging="180"/>
      </w:pPr>
    </w:lvl>
    <w:lvl w:ilvl="3" w:tplc="5CCEE730" w:tentative="1">
      <w:start w:val="1"/>
      <w:numFmt w:val="decimal"/>
      <w:lvlText w:val="%4."/>
      <w:lvlJc w:val="left"/>
      <w:pPr>
        <w:ind w:left="2520" w:hanging="360"/>
      </w:pPr>
    </w:lvl>
    <w:lvl w:ilvl="4" w:tplc="C1FEB24E" w:tentative="1">
      <w:start w:val="1"/>
      <w:numFmt w:val="lowerLetter"/>
      <w:lvlText w:val="%5."/>
      <w:lvlJc w:val="left"/>
      <w:pPr>
        <w:ind w:left="3240" w:hanging="360"/>
      </w:pPr>
    </w:lvl>
    <w:lvl w:ilvl="5" w:tplc="E9A871A0" w:tentative="1">
      <w:start w:val="1"/>
      <w:numFmt w:val="lowerRoman"/>
      <w:lvlText w:val="%6."/>
      <w:lvlJc w:val="right"/>
      <w:pPr>
        <w:ind w:left="3960" w:hanging="180"/>
      </w:pPr>
    </w:lvl>
    <w:lvl w:ilvl="6" w:tplc="637286AE" w:tentative="1">
      <w:start w:val="1"/>
      <w:numFmt w:val="decimal"/>
      <w:lvlText w:val="%7."/>
      <w:lvlJc w:val="left"/>
      <w:pPr>
        <w:ind w:left="4680" w:hanging="360"/>
      </w:pPr>
    </w:lvl>
    <w:lvl w:ilvl="7" w:tplc="580054BC" w:tentative="1">
      <w:start w:val="1"/>
      <w:numFmt w:val="lowerLetter"/>
      <w:lvlText w:val="%8."/>
      <w:lvlJc w:val="left"/>
      <w:pPr>
        <w:ind w:left="5400" w:hanging="360"/>
      </w:pPr>
    </w:lvl>
    <w:lvl w:ilvl="8" w:tplc="4C1AD678" w:tentative="1">
      <w:start w:val="1"/>
      <w:numFmt w:val="lowerRoman"/>
      <w:lvlText w:val="%9."/>
      <w:lvlJc w:val="right"/>
      <w:pPr>
        <w:ind w:left="6120" w:hanging="180"/>
      </w:pPr>
    </w:lvl>
  </w:abstractNum>
  <w:abstractNum w:abstractNumId="2" w15:restartNumberingAfterBreak="0">
    <w:nsid w:val="078E78C4"/>
    <w:multiLevelType w:val="multilevel"/>
    <w:tmpl w:val="4412BC9A"/>
    <w:lvl w:ilvl="0">
      <w:start w:val="1"/>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b w:val="0"/>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0E440070"/>
    <w:multiLevelType w:val="hybridMultilevel"/>
    <w:tmpl w:val="0966D3A4"/>
    <w:lvl w:ilvl="0" w:tplc="AC7EEE58">
      <w:numFmt w:val="bullet"/>
      <w:lvlText w:val=""/>
      <w:lvlJc w:val="left"/>
      <w:pPr>
        <w:ind w:left="3000" w:hanging="2640"/>
      </w:pPr>
      <w:rPr>
        <w:rFonts w:ascii="Calibri" w:eastAsia="Calibri" w:hAnsi="Calibri" w:cs="Calibri" w:hint="default"/>
      </w:rPr>
    </w:lvl>
    <w:lvl w:ilvl="1" w:tplc="2BF0F5BE" w:tentative="1">
      <w:start w:val="1"/>
      <w:numFmt w:val="bullet"/>
      <w:lvlText w:val="o"/>
      <w:lvlJc w:val="left"/>
      <w:pPr>
        <w:ind w:left="1440" w:hanging="360"/>
      </w:pPr>
      <w:rPr>
        <w:rFonts w:ascii="Courier New" w:hAnsi="Courier New" w:cs="Courier New" w:hint="default"/>
      </w:rPr>
    </w:lvl>
    <w:lvl w:ilvl="2" w:tplc="0C94050E" w:tentative="1">
      <w:start w:val="1"/>
      <w:numFmt w:val="bullet"/>
      <w:lvlText w:val=""/>
      <w:lvlJc w:val="left"/>
      <w:pPr>
        <w:ind w:left="2160" w:hanging="360"/>
      </w:pPr>
      <w:rPr>
        <w:rFonts w:ascii="Wingdings" w:hAnsi="Wingdings" w:hint="default"/>
      </w:rPr>
    </w:lvl>
    <w:lvl w:ilvl="3" w:tplc="59F0DA72" w:tentative="1">
      <w:start w:val="1"/>
      <w:numFmt w:val="bullet"/>
      <w:lvlText w:val=""/>
      <w:lvlJc w:val="left"/>
      <w:pPr>
        <w:ind w:left="2880" w:hanging="360"/>
      </w:pPr>
      <w:rPr>
        <w:rFonts w:ascii="Symbol" w:hAnsi="Symbol" w:hint="default"/>
      </w:rPr>
    </w:lvl>
    <w:lvl w:ilvl="4" w:tplc="C6309D66" w:tentative="1">
      <w:start w:val="1"/>
      <w:numFmt w:val="bullet"/>
      <w:lvlText w:val="o"/>
      <w:lvlJc w:val="left"/>
      <w:pPr>
        <w:ind w:left="3600" w:hanging="360"/>
      </w:pPr>
      <w:rPr>
        <w:rFonts w:ascii="Courier New" w:hAnsi="Courier New" w:cs="Courier New" w:hint="default"/>
      </w:rPr>
    </w:lvl>
    <w:lvl w:ilvl="5" w:tplc="D7CC25AC" w:tentative="1">
      <w:start w:val="1"/>
      <w:numFmt w:val="bullet"/>
      <w:lvlText w:val=""/>
      <w:lvlJc w:val="left"/>
      <w:pPr>
        <w:ind w:left="4320" w:hanging="360"/>
      </w:pPr>
      <w:rPr>
        <w:rFonts w:ascii="Wingdings" w:hAnsi="Wingdings" w:hint="default"/>
      </w:rPr>
    </w:lvl>
    <w:lvl w:ilvl="6" w:tplc="A3044938" w:tentative="1">
      <w:start w:val="1"/>
      <w:numFmt w:val="bullet"/>
      <w:lvlText w:val=""/>
      <w:lvlJc w:val="left"/>
      <w:pPr>
        <w:ind w:left="5040" w:hanging="360"/>
      </w:pPr>
      <w:rPr>
        <w:rFonts w:ascii="Symbol" w:hAnsi="Symbol" w:hint="default"/>
      </w:rPr>
    </w:lvl>
    <w:lvl w:ilvl="7" w:tplc="6E8E9D20" w:tentative="1">
      <w:start w:val="1"/>
      <w:numFmt w:val="bullet"/>
      <w:lvlText w:val="o"/>
      <w:lvlJc w:val="left"/>
      <w:pPr>
        <w:ind w:left="5760" w:hanging="360"/>
      </w:pPr>
      <w:rPr>
        <w:rFonts w:ascii="Courier New" w:hAnsi="Courier New" w:cs="Courier New" w:hint="default"/>
      </w:rPr>
    </w:lvl>
    <w:lvl w:ilvl="8" w:tplc="579A117E" w:tentative="1">
      <w:start w:val="1"/>
      <w:numFmt w:val="bullet"/>
      <w:lvlText w:val=""/>
      <w:lvlJc w:val="left"/>
      <w:pPr>
        <w:ind w:left="6480" w:hanging="360"/>
      </w:pPr>
      <w:rPr>
        <w:rFonts w:ascii="Wingdings" w:hAnsi="Wingdings" w:hint="default"/>
      </w:rPr>
    </w:lvl>
  </w:abstractNum>
  <w:abstractNum w:abstractNumId="4" w15:restartNumberingAfterBreak="0">
    <w:nsid w:val="14B508FB"/>
    <w:multiLevelType w:val="multilevel"/>
    <w:tmpl w:val="5E58E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735DF0"/>
    <w:multiLevelType w:val="multilevel"/>
    <w:tmpl w:val="D34E0FAA"/>
    <w:lvl w:ilvl="0">
      <w:start w:val="3"/>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7D86BEE"/>
    <w:multiLevelType w:val="hybridMultilevel"/>
    <w:tmpl w:val="5482894E"/>
    <w:lvl w:ilvl="0" w:tplc="693EF47E">
      <w:start w:val="1"/>
      <w:numFmt w:val="decimal"/>
      <w:lvlText w:val="%1."/>
      <w:lvlJc w:val="left"/>
      <w:pPr>
        <w:ind w:left="360" w:hanging="360"/>
      </w:pPr>
      <w:rPr>
        <w:rFonts w:hint="default"/>
        <w:b/>
      </w:rPr>
    </w:lvl>
    <w:lvl w:ilvl="1" w:tplc="05CEFB2E" w:tentative="1">
      <w:start w:val="1"/>
      <w:numFmt w:val="lowerLetter"/>
      <w:lvlText w:val="%2."/>
      <w:lvlJc w:val="left"/>
      <w:pPr>
        <w:ind w:left="1440" w:hanging="360"/>
      </w:pPr>
    </w:lvl>
    <w:lvl w:ilvl="2" w:tplc="DCD0B34A" w:tentative="1">
      <w:start w:val="1"/>
      <w:numFmt w:val="lowerRoman"/>
      <w:lvlText w:val="%3."/>
      <w:lvlJc w:val="right"/>
      <w:pPr>
        <w:ind w:left="2160" w:hanging="180"/>
      </w:pPr>
    </w:lvl>
    <w:lvl w:ilvl="3" w:tplc="8AB6F548" w:tentative="1">
      <w:start w:val="1"/>
      <w:numFmt w:val="decimal"/>
      <w:lvlText w:val="%4."/>
      <w:lvlJc w:val="left"/>
      <w:pPr>
        <w:ind w:left="2880" w:hanging="360"/>
      </w:pPr>
    </w:lvl>
    <w:lvl w:ilvl="4" w:tplc="525AC382" w:tentative="1">
      <w:start w:val="1"/>
      <w:numFmt w:val="lowerLetter"/>
      <w:lvlText w:val="%5."/>
      <w:lvlJc w:val="left"/>
      <w:pPr>
        <w:ind w:left="3600" w:hanging="360"/>
      </w:pPr>
    </w:lvl>
    <w:lvl w:ilvl="5" w:tplc="D084EE5A" w:tentative="1">
      <w:start w:val="1"/>
      <w:numFmt w:val="lowerRoman"/>
      <w:lvlText w:val="%6."/>
      <w:lvlJc w:val="right"/>
      <w:pPr>
        <w:ind w:left="4320" w:hanging="180"/>
      </w:pPr>
    </w:lvl>
    <w:lvl w:ilvl="6" w:tplc="7F16F5E6" w:tentative="1">
      <w:start w:val="1"/>
      <w:numFmt w:val="decimal"/>
      <w:lvlText w:val="%7."/>
      <w:lvlJc w:val="left"/>
      <w:pPr>
        <w:ind w:left="5040" w:hanging="360"/>
      </w:pPr>
    </w:lvl>
    <w:lvl w:ilvl="7" w:tplc="38E281F8" w:tentative="1">
      <w:start w:val="1"/>
      <w:numFmt w:val="lowerLetter"/>
      <w:lvlText w:val="%8."/>
      <w:lvlJc w:val="left"/>
      <w:pPr>
        <w:ind w:left="5760" w:hanging="360"/>
      </w:pPr>
    </w:lvl>
    <w:lvl w:ilvl="8" w:tplc="AD6ED518" w:tentative="1">
      <w:start w:val="1"/>
      <w:numFmt w:val="lowerRoman"/>
      <w:lvlText w:val="%9."/>
      <w:lvlJc w:val="right"/>
      <w:pPr>
        <w:ind w:left="6480" w:hanging="180"/>
      </w:pPr>
    </w:lvl>
  </w:abstractNum>
  <w:abstractNum w:abstractNumId="7" w15:restartNumberingAfterBreak="0">
    <w:nsid w:val="23CF00F6"/>
    <w:multiLevelType w:val="hybridMultilevel"/>
    <w:tmpl w:val="88A482CE"/>
    <w:lvl w:ilvl="0" w:tplc="8A6A6BF2">
      <w:start w:val="1"/>
      <w:numFmt w:val="decimal"/>
      <w:lvlText w:val="%1."/>
      <w:lvlJc w:val="left"/>
      <w:pPr>
        <w:ind w:left="360" w:hanging="360"/>
      </w:pPr>
      <w:rPr>
        <w:rFonts w:hint="default"/>
        <w:b w:val="0"/>
        <w:bCs w:val="0"/>
      </w:rPr>
    </w:lvl>
    <w:lvl w:ilvl="1" w:tplc="C096E378" w:tentative="1">
      <w:start w:val="1"/>
      <w:numFmt w:val="lowerLetter"/>
      <w:lvlText w:val="%2."/>
      <w:lvlJc w:val="left"/>
      <w:pPr>
        <w:ind w:left="1440" w:hanging="360"/>
      </w:pPr>
    </w:lvl>
    <w:lvl w:ilvl="2" w:tplc="1C7058BE" w:tentative="1">
      <w:start w:val="1"/>
      <w:numFmt w:val="lowerRoman"/>
      <w:lvlText w:val="%3."/>
      <w:lvlJc w:val="right"/>
      <w:pPr>
        <w:ind w:left="2160" w:hanging="180"/>
      </w:pPr>
    </w:lvl>
    <w:lvl w:ilvl="3" w:tplc="DD7EC750" w:tentative="1">
      <w:start w:val="1"/>
      <w:numFmt w:val="decimal"/>
      <w:lvlText w:val="%4."/>
      <w:lvlJc w:val="left"/>
      <w:pPr>
        <w:ind w:left="2880" w:hanging="360"/>
      </w:pPr>
    </w:lvl>
    <w:lvl w:ilvl="4" w:tplc="C97E9CD4" w:tentative="1">
      <w:start w:val="1"/>
      <w:numFmt w:val="lowerLetter"/>
      <w:lvlText w:val="%5."/>
      <w:lvlJc w:val="left"/>
      <w:pPr>
        <w:ind w:left="3600" w:hanging="360"/>
      </w:pPr>
    </w:lvl>
    <w:lvl w:ilvl="5" w:tplc="023ABB04" w:tentative="1">
      <w:start w:val="1"/>
      <w:numFmt w:val="lowerRoman"/>
      <w:lvlText w:val="%6."/>
      <w:lvlJc w:val="right"/>
      <w:pPr>
        <w:ind w:left="4320" w:hanging="180"/>
      </w:pPr>
    </w:lvl>
    <w:lvl w:ilvl="6" w:tplc="42D0A240" w:tentative="1">
      <w:start w:val="1"/>
      <w:numFmt w:val="decimal"/>
      <w:lvlText w:val="%7."/>
      <w:lvlJc w:val="left"/>
      <w:pPr>
        <w:ind w:left="5040" w:hanging="360"/>
      </w:pPr>
    </w:lvl>
    <w:lvl w:ilvl="7" w:tplc="DCAA1272" w:tentative="1">
      <w:start w:val="1"/>
      <w:numFmt w:val="lowerLetter"/>
      <w:lvlText w:val="%8."/>
      <w:lvlJc w:val="left"/>
      <w:pPr>
        <w:ind w:left="5760" w:hanging="360"/>
      </w:pPr>
    </w:lvl>
    <w:lvl w:ilvl="8" w:tplc="18E2EFDA" w:tentative="1">
      <w:start w:val="1"/>
      <w:numFmt w:val="lowerRoman"/>
      <w:lvlText w:val="%9."/>
      <w:lvlJc w:val="right"/>
      <w:pPr>
        <w:ind w:left="6480" w:hanging="180"/>
      </w:pPr>
    </w:lvl>
  </w:abstractNum>
  <w:abstractNum w:abstractNumId="8" w15:restartNumberingAfterBreak="0">
    <w:nsid w:val="2B4A67AA"/>
    <w:multiLevelType w:val="multilevel"/>
    <w:tmpl w:val="79C4F77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C72814"/>
    <w:multiLevelType w:val="multilevel"/>
    <w:tmpl w:val="53E296D4"/>
    <w:lvl w:ilvl="0">
      <w:start w:val="5"/>
      <w:numFmt w:val="decimal"/>
      <w:lvlText w:val="%1"/>
      <w:lvlJc w:val="left"/>
      <w:pPr>
        <w:ind w:left="540" w:hanging="540"/>
      </w:pPr>
      <w:rPr>
        <w:rFonts w:hint="default"/>
      </w:rPr>
    </w:lvl>
    <w:lvl w:ilvl="1">
      <w:start w:val="4"/>
      <w:numFmt w:val="decimal"/>
      <w:lvlText w:val="%1.%2"/>
      <w:lvlJc w:val="left"/>
      <w:pPr>
        <w:ind w:left="742" w:hanging="540"/>
      </w:pPr>
      <w:rPr>
        <w:rFonts w:hint="default"/>
      </w:rPr>
    </w:lvl>
    <w:lvl w:ilvl="2">
      <w:start w:val="1"/>
      <w:numFmt w:val="decimal"/>
      <w:lvlText w:val="%3."/>
      <w:lvlJc w:val="left"/>
      <w:pPr>
        <w:ind w:left="764" w:hanging="360"/>
      </w:pPr>
    </w:lvl>
    <w:lvl w:ilvl="3">
      <w:start w:val="1"/>
      <w:numFmt w:val="decimal"/>
      <w:lvlText w:val="%1.%2.%3.%4"/>
      <w:lvlJc w:val="left"/>
      <w:pPr>
        <w:ind w:left="1686" w:hanging="108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450" w:hanging="144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3214" w:hanging="1800"/>
      </w:pPr>
      <w:rPr>
        <w:rFonts w:hint="default"/>
      </w:rPr>
    </w:lvl>
    <w:lvl w:ilvl="8">
      <w:start w:val="1"/>
      <w:numFmt w:val="decimal"/>
      <w:lvlText w:val="%1.%2.%3.%4.%5.%6.%7.%8.%9"/>
      <w:lvlJc w:val="left"/>
      <w:pPr>
        <w:ind w:left="3416" w:hanging="1800"/>
      </w:pPr>
      <w:rPr>
        <w:rFonts w:hint="default"/>
      </w:rPr>
    </w:lvl>
  </w:abstractNum>
  <w:abstractNum w:abstractNumId="10" w15:restartNumberingAfterBreak="0">
    <w:nsid w:val="340E3EBC"/>
    <w:multiLevelType w:val="hybridMultilevel"/>
    <w:tmpl w:val="F10E5B80"/>
    <w:lvl w:ilvl="0" w:tplc="F7621E5C">
      <w:start w:val="1"/>
      <w:numFmt w:val="decimal"/>
      <w:lvlText w:val="%1."/>
      <w:lvlJc w:val="left"/>
      <w:pPr>
        <w:ind w:left="360" w:hanging="360"/>
      </w:pPr>
    </w:lvl>
    <w:lvl w:ilvl="1" w:tplc="1B46B218" w:tentative="1">
      <w:start w:val="1"/>
      <w:numFmt w:val="lowerLetter"/>
      <w:lvlText w:val="%2."/>
      <w:lvlJc w:val="left"/>
      <w:pPr>
        <w:ind w:left="1080" w:hanging="360"/>
      </w:pPr>
    </w:lvl>
    <w:lvl w:ilvl="2" w:tplc="C152E966" w:tentative="1">
      <w:start w:val="1"/>
      <w:numFmt w:val="lowerRoman"/>
      <w:lvlText w:val="%3."/>
      <w:lvlJc w:val="right"/>
      <w:pPr>
        <w:ind w:left="1800" w:hanging="180"/>
      </w:pPr>
    </w:lvl>
    <w:lvl w:ilvl="3" w:tplc="A322BBDC" w:tentative="1">
      <w:start w:val="1"/>
      <w:numFmt w:val="decimal"/>
      <w:lvlText w:val="%4."/>
      <w:lvlJc w:val="left"/>
      <w:pPr>
        <w:ind w:left="2520" w:hanging="360"/>
      </w:pPr>
    </w:lvl>
    <w:lvl w:ilvl="4" w:tplc="92F43A7E" w:tentative="1">
      <w:start w:val="1"/>
      <w:numFmt w:val="lowerLetter"/>
      <w:lvlText w:val="%5."/>
      <w:lvlJc w:val="left"/>
      <w:pPr>
        <w:ind w:left="3240" w:hanging="360"/>
      </w:pPr>
    </w:lvl>
    <w:lvl w:ilvl="5" w:tplc="86AACD50" w:tentative="1">
      <w:start w:val="1"/>
      <w:numFmt w:val="lowerRoman"/>
      <w:lvlText w:val="%6."/>
      <w:lvlJc w:val="right"/>
      <w:pPr>
        <w:ind w:left="3960" w:hanging="180"/>
      </w:pPr>
    </w:lvl>
    <w:lvl w:ilvl="6" w:tplc="FF562B04" w:tentative="1">
      <w:start w:val="1"/>
      <w:numFmt w:val="decimal"/>
      <w:lvlText w:val="%7."/>
      <w:lvlJc w:val="left"/>
      <w:pPr>
        <w:ind w:left="4680" w:hanging="360"/>
      </w:pPr>
    </w:lvl>
    <w:lvl w:ilvl="7" w:tplc="98E868E8" w:tentative="1">
      <w:start w:val="1"/>
      <w:numFmt w:val="lowerLetter"/>
      <w:lvlText w:val="%8."/>
      <w:lvlJc w:val="left"/>
      <w:pPr>
        <w:ind w:left="5400" w:hanging="360"/>
      </w:pPr>
    </w:lvl>
    <w:lvl w:ilvl="8" w:tplc="FD1EF9B0" w:tentative="1">
      <w:start w:val="1"/>
      <w:numFmt w:val="lowerRoman"/>
      <w:lvlText w:val="%9."/>
      <w:lvlJc w:val="right"/>
      <w:pPr>
        <w:ind w:left="6120" w:hanging="180"/>
      </w:pPr>
    </w:lvl>
  </w:abstractNum>
  <w:abstractNum w:abstractNumId="11" w15:restartNumberingAfterBreak="0">
    <w:nsid w:val="36440869"/>
    <w:multiLevelType w:val="multilevel"/>
    <w:tmpl w:val="8FA2B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C66266"/>
    <w:multiLevelType w:val="multilevel"/>
    <w:tmpl w:val="22BA8D14"/>
    <w:lvl w:ilvl="0">
      <w:start w:val="2"/>
      <w:numFmt w:val="decimal"/>
      <w:lvlText w:val="%1"/>
      <w:lvlJc w:val="left"/>
      <w:pPr>
        <w:ind w:left="540" w:hanging="540"/>
      </w:pPr>
      <w:rPr>
        <w:rFonts w:hint="default"/>
      </w:rPr>
    </w:lvl>
    <w:lvl w:ilvl="1">
      <w:start w:val="4"/>
      <w:numFmt w:val="decimal"/>
      <w:lvlText w:val="%1.%2"/>
      <w:lvlJc w:val="left"/>
      <w:pPr>
        <w:ind w:left="1080" w:hanging="540"/>
      </w:pPr>
      <w:rPr>
        <w:rFonts w:hint="default"/>
      </w:rPr>
    </w:lvl>
    <w:lvl w:ilvl="2">
      <w:start w:val="1"/>
      <w:numFmt w:val="decimal"/>
      <w:lvlText w:val="%3."/>
      <w:lvlJc w:val="left"/>
      <w:pPr>
        <w:ind w:left="1440" w:hanging="360"/>
      </w:p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439E5638"/>
    <w:multiLevelType w:val="multilevel"/>
    <w:tmpl w:val="82429376"/>
    <w:lvl w:ilvl="0">
      <w:start w:val="6"/>
      <w:numFmt w:val="decimal"/>
      <w:lvlText w:val="%1"/>
      <w:lvlJc w:val="left"/>
      <w:pPr>
        <w:ind w:left="360" w:hanging="360"/>
      </w:pPr>
      <w:rPr>
        <w:rFonts w:hint="default"/>
      </w:rPr>
    </w:lvl>
    <w:lvl w:ilvl="1">
      <w:start w:val="1"/>
      <w:numFmt w:val="decimal"/>
      <w:lvlText w:val="%2."/>
      <w:lvlJc w:val="left"/>
      <w:pPr>
        <w:ind w:left="764" w:hanging="360"/>
      </w:pPr>
    </w:lvl>
    <w:lvl w:ilvl="2">
      <w:start w:val="1"/>
      <w:numFmt w:val="decimal"/>
      <w:lvlText w:val="%3."/>
      <w:lvlJc w:val="left"/>
      <w:pPr>
        <w:ind w:left="1168" w:hanging="360"/>
      </w:pPr>
    </w:lvl>
    <w:lvl w:ilvl="3">
      <w:start w:val="1"/>
      <w:numFmt w:val="decimal"/>
      <w:lvlText w:val="%1.%2.%3.%4"/>
      <w:lvlJc w:val="left"/>
      <w:pPr>
        <w:ind w:left="2292" w:hanging="1080"/>
      </w:pPr>
      <w:rPr>
        <w:rFonts w:hint="default"/>
      </w:rPr>
    </w:lvl>
    <w:lvl w:ilvl="4">
      <w:start w:val="1"/>
      <w:numFmt w:val="decimal"/>
      <w:lvlText w:val="%1.%2.%3.%4.%5"/>
      <w:lvlJc w:val="left"/>
      <w:pPr>
        <w:ind w:left="2696" w:hanging="1080"/>
      </w:pPr>
      <w:rPr>
        <w:rFonts w:hint="default"/>
      </w:rPr>
    </w:lvl>
    <w:lvl w:ilvl="5">
      <w:start w:val="1"/>
      <w:numFmt w:val="decimal"/>
      <w:lvlText w:val="%1.%2.%3.%4.%5.%6"/>
      <w:lvlJc w:val="left"/>
      <w:pPr>
        <w:ind w:left="3460" w:hanging="1440"/>
      </w:pPr>
      <w:rPr>
        <w:rFonts w:hint="default"/>
      </w:rPr>
    </w:lvl>
    <w:lvl w:ilvl="6">
      <w:start w:val="1"/>
      <w:numFmt w:val="decimal"/>
      <w:lvlText w:val="%1.%2.%3.%4.%5.%6.%7"/>
      <w:lvlJc w:val="left"/>
      <w:pPr>
        <w:ind w:left="3864" w:hanging="1440"/>
      </w:pPr>
      <w:rPr>
        <w:rFonts w:hint="default"/>
      </w:rPr>
    </w:lvl>
    <w:lvl w:ilvl="7">
      <w:start w:val="1"/>
      <w:numFmt w:val="decimal"/>
      <w:lvlText w:val="%1.%2.%3.%4.%5.%6.%7.%8"/>
      <w:lvlJc w:val="left"/>
      <w:pPr>
        <w:ind w:left="4628" w:hanging="1800"/>
      </w:pPr>
      <w:rPr>
        <w:rFonts w:hint="default"/>
      </w:rPr>
    </w:lvl>
    <w:lvl w:ilvl="8">
      <w:start w:val="1"/>
      <w:numFmt w:val="decimal"/>
      <w:lvlText w:val="%1.%2.%3.%4.%5.%6.%7.%8.%9"/>
      <w:lvlJc w:val="left"/>
      <w:pPr>
        <w:ind w:left="5032" w:hanging="1800"/>
      </w:pPr>
      <w:rPr>
        <w:rFonts w:hint="default"/>
      </w:rPr>
    </w:lvl>
  </w:abstractNum>
  <w:abstractNum w:abstractNumId="14" w15:restartNumberingAfterBreak="0">
    <w:nsid w:val="45883AE6"/>
    <w:multiLevelType w:val="multilevel"/>
    <w:tmpl w:val="3398AE18"/>
    <w:lvl w:ilvl="0">
      <w:start w:val="1"/>
      <w:numFmt w:val="decimal"/>
      <w:lvlText w:val="%1"/>
      <w:lvlJc w:val="left"/>
      <w:pPr>
        <w:ind w:left="0" w:firstLine="0"/>
      </w:pPr>
      <w:rPr>
        <w:rFonts w:hint="default"/>
        <w:b w:val="0"/>
      </w:rPr>
    </w:lvl>
    <w:lvl w:ilvl="1">
      <w:start w:val="1"/>
      <w:numFmt w:val="decimal"/>
      <w:lvlText w:val="%2."/>
      <w:lvlJc w:val="left"/>
      <w:pPr>
        <w:ind w:left="360" w:hanging="360"/>
      </w:pPr>
      <w:rPr>
        <w:b w:val="0"/>
        <w:bCs/>
      </w:rPr>
    </w:lvl>
    <w:lvl w:ilvl="2">
      <w:start w:val="1"/>
      <w:numFmt w:val="upperLetter"/>
      <w:lvlText w:val="%1.%2.%3"/>
      <w:lvlJc w:val="left"/>
      <w:pPr>
        <w:ind w:left="0" w:firstLine="0"/>
      </w:pPr>
      <w:rPr>
        <w:rFonts w:hint="default"/>
        <w:b w:val="0"/>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b w:val="0"/>
      </w:rPr>
    </w:lvl>
    <w:lvl w:ilvl="5">
      <w:start w:val="1"/>
      <w:numFmt w:val="decimal"/>
      <w:lvlText w:val="%1.%2.%3.%4.%5.%6"/>
      <w:lvlJc w:val="left"/>
      <w:pPr>
        <w:ind w:left="0" w:firstLine="0"/>
      </w:pPr>
      <w:rPr>
        <w:rFonts w:hint="default"/>
        <w:b w:val="0"/>
      </w:rPr>
    </w:lvl>
    <w:lvl w:ilvl="6">
      <w:start w:val="1"/>
      <w:numFmt w:val="decimal"/>
      <w:lvlText w:val="%1.%2.%3.%4.%5.%6.%7"/>
      <w:lvlJc w:val="left"/>
      <w:pPr>
        <w:ind w:left="0" w:firstLine="0"/>
      </w:pPr>
      <w:rPr>
        <w:rFonts w:hint="default"/>
        <w:b w:val="0"/>
      </w:rPr>
    </w:lvl>
    <w:lvl w:ilvl="7">
      <w:start w:val="1"/>
      <w:numFmt w:val="decimal"/>
      <w:lvlText w:val="%1.%2.%3.%4.%5.%6.%7.%8"/>
      <w:lvlJc w:val="left"/>
      <w:pPr>
        <w:ind w:left="0" w:firstLine="0"/>
      </w:pPr>
      <w:rPr>
        <w:rFonts w:hint="default"/>
        <w:b w:val="0"/>
      </w:rPr>
    </w:lvl>
    <w:lvl w:ilvl="8">
      <w:start w:val="1"/>
      <w:numFmt w:val="decimal"/>
      <w:lvlText w:val="%1.%2.%3.%4.%5.%6.%7.%8.%9"/>
      <w:lvlJc w:val="left"/>
      <w:pPr>
        <w:ind w:left="0" w:firstLine="0"/>
      </w:pPr>
      <w:rPr>
        <w:rFonts w:hint="default"/>
        <w:b w:val="0"/>
      </w:rPr>
    </w:lvl>
  </w:abstractNum>
  <w:abstractNum w:abstractNumId="15" w15:restartNumberingAfterBreak="0">
    <w:nsid w:val="4A2D710D"/>
    <w:multiLevelType w:val="multilevel"/>
    <w:tmpl w:val="E3FE0AFC"/>
    <w:lvl w:ilvl="0">
      <w:start w:val="1"/>
      <w:numFmt w:val="decimal"/>
      <w:pStyle w:val="NoSpacing"/>
      <w:lvlText w:val="%1.0"/>
      <w:lvlJc w:val="left"/>
      <w:pPr>
        <w:ind w:left="360" w:hanging="360"/>
      </w:pPr>
      <w:rPr>
        <w:rFonts w:hint="default"/>
        <w:b/>
        <w:sz w:val="22"/>
        <w:szCs w:val="22"/>
      </w:rPr>
    </w:lvl>
    <w:lvl w:ilvl="1">
      <w:start w:val="1"/>
      <w:numFmt w:val="decimal"/>
      <w:lvlText w:val="%1.%2"/>
      <w:lvlJc w:val="left"/>
      <w:pPr>
        <w:ind w:left="764" w:hanging="360"/>
      </w:pPr>
      <w:rPr>
        <w:rFonts w:ascii="Arial" w:hAnsi="Arial" w:cs="Arial" w:hint="default"/>
        <w:b/>
      </w:rPr>
    </w:lvl>
    <w:lvl w:ilvl="2">
      <w:start w:val="1"/>
      <w:numFmt w:val="decimal"/>
      <w:lvlText w:val="%1.%2.%3"/>
      <w:lvlJc w:val="left"/>
      <w:pPr>
        <w:ind w:left="450" w:hanging="360"/>
      </w:pPr>
      <w:rPr>
        <w:rFonts w:hint="default"/>
        <w:b/>
      </w:rPr>
    </w:lvl>
    <w:lvl w:ilvl="3">
      <w:start w:val="1"/>
      <w:numFmt w:val="decimal"/>
      <w:lvlText w:val="%1.%2.%3.%4"/>
      <w:lvlJc w:val="left"/>
      <w:pPr>
        <w:ind w:left="450" w:hanging="360"/>
      </w:pPr>
      <w:rPr>
        <w:rFonts w:hint="default"/>
        <w:b/>
      </w:rPr>
    </w:lvl>
    <w:lvl w:ilvl="4">
      <w:start w:val="1"/>
      <w:numFmt w:val="decimal"/>
      <w:lvlText w:val="%1.%2.%3.%4.%5"/>
      <w:lvlJc w:val="left"/>
      <w:pPr>
        <w:ind w:left="450" w:hanging="360"/>
      </w:pPr>
      <w:rPr>
        <w:rFonts w:hint="default"/>
        <w:b/>
      </w:rPr>
    </w:lvl>
    <w:lvl w:ilvl="5">
      <w:start w:val="1"/>
      <w:numFmt w:val="decimal"/>
      <w:lvlText w:val="%1.%2.%3.%4.%5.%6"/>
      <w:lvlJc w:val="left"/>
      <w:pPr>
        <w:ind w:left="450" w:hanging="360"/>
      </w:pPr>
      <w:rPr>
        <w:rFonts w:hint="default"/>
        <w:b/>
      </w:rPr>
    </w:lvl>
    <w:lvl w:ilvl="6">
      <w:start w:val="1"/>
      <w:numFmt w:val="decimal"/>
      <w:lvlText w:val="%1.%2.%3.%4.%5.%6.%7"/>
      <w:lvlJc w:val="left"/>
      <w:pPr>
        <w:ind w:left="450" w:hanging="360"/>
      </w:pPr>
      <w:rPr>
        <w:rFonts w:hint="default"/>
        <w:b/>
      </w:rPr>
    </w:lvl>
    <w:lvl w:ilvl="7">
      <w:start w:val="1"/>
      <w:numFmt w:val="decimal"/>
      <w:lvlText w:val="%1.%2.%3.%4.%5.%6.%7.%8"/>
      <w:lvlJc w:val="left"/>
      <w:pPr>
        <w:ind w:left="450" w:hanging="360"/>
      </w:pPr>
      <w:rPr>
        <w:rFonts w:hint="default"/>
        <w:b/>
      </w:rPr>
    </w:lvl>
    <w:lvl w:ilvl="8">
      <w:start w:val="1"/>
      <w:numFmt w:val="decimal"/>
      <w:lvlText w:val="%1.%2.%3.%4.%5.%6.%7.%8.%9"/>
      <w:lvlJc w:val="left"/>
      <w:pPr>
        <w:ind w:left="450" w:hanging="360"/>
      </w:pPr>
      <w:rPr>
        <w:rFonts w:hint="default"/>
        <w:b/>
      </w:rPr>
    </w:lvl>
  </w:abstractNum>
  <w:abstractNum w:abstractNumId="16" w15:restartNumberingAfterBreak="0">
    <w:nsid w:val="59A01780"/>
    <w:multiLevelType w:val="hybridMultilevel"/>
    <w:tmpl w:val="033EBFFA"/>
    <w:lvl w:ilvl="0" w:tplc="F53ECE22">
      <w:numFmt w:val="bullet"/>
      <w:lvlText w:val=""/>
      <w:lvlJc w:val="left"/>
      <w:pPr>
        <w:ind w:left="720" w:hanging="360"/>
      </w:pPr>
      <w:rPr>
        <w:rFonts w:ascii="Calibri" w:eastAsia="Calibri" w:hAnsi="Calibri" w:cs="Calibri" w:hint="default"/>
      </w:rPr>
    </w:lvl>
    <w:lvl w:ilvl="1" w:tplc="7BF29062" w:tentative="1">
      <w:start w:val="1"/>
      <w:numFmt w:val="bullet"/>
      <w:lvlText w:val="o"/>
      <w:lvlJc w:val="left"/>
      <w:pPr>
        <w:ind w:left="1440" w:hanging="360"/>
      </w:pPr>
      <w:rPr>
        <w:rFonts w:ascii="Courier New" w:hAnsi="Courier New" w:cs="Courier New" w:hint="default"/>
      </w:rPr>
    </w:lvl>
    <w:lvl w:ilvl="2" w:tplc="9E7EB660" w:tentative="1">
      <w:start w:val="1"/>
      <w:numFmt w:val="bullet"/>
      <w:lvlText w:val=""/>
      <w:lvlJc w:val="left"/>
      <w:pPr>
        <w:ind w:left="2160" w:hanging="360"/>
      </w:pPr>
      <w:rPr>
        <w:rFonts w:ascii="Wingdings" w:hAnsi="Wingdings" w:hint="default"/>
      </w:rPr>
    </w:lvl>
    <w:lvl w:ilvl="3" w:tplc="F59E656C" w:tentative="1">
      <w:start w:val="1"/>
      <w:numFmt w:val="bullet"/>
      <w:lvlText w:val=""/>
      <w:lvlJc w:val="left"/>
      <w:pPr>
        <w:ind w:left="2880" w:hanging="360"/>
      </w:pPr>
      <w:rPr>
        <w:rFonts w:ascii="Symbol" w:hAnsi="Symbol" w:hint="default"/>
      </w:rPr>
    </w:lvl>
    <w:lvl w:ilvl="4" w:tplc="4AAC1332" w:tentative="1">
      <w:start w:val="1"/>
      <w:numFmt w:val="bullet"/>
      <w:lvlText w:val="o"/>
      <w:lvlJc w:val="left"/>
      <w:pPr>
        <w:ind w:left="3600" w:hanging="360"/>
      </w:pPr>
      <w:rPr>
        <w:rFonts w:ascii="Courier New" w:hAnsi="Courier New" w:cs="Courier New" w:hint="default"/>
      </w:rPr>
    </w:lvl>
    <w:lvl w:ilvl="5" w:tplc="D3C8180A" w:tentative="1">
      <w:start w:val="1"/>
      <w:numFmt w:val="bullet"/>
      <w:lvlText w:val=""/>
      <w:lvlJc w:val="left"/>
      <w:pPr>
        <w:ind w:left="4320" w:hanging="360"/>
      </w:pPr>
      <w:rPr>
        <w:rFonts w:ascii="Wingdings" w:hAnsi="Wingdings" w:hint="default"/>
      </w:rPr>
    </w:lvl>
    <w:lvl w:ilvl="6" w:tplc="A8EE3A06" w:tentative="1">
      <w:start w:val="1"/>
      <w:numFmt w:val="bullet"/>
      <w:lvlText w:val=""/>
      <w:lvlJc w:val="left"/>
      <w:pPr>
        <w:ind w:left="5040" w:hanging="360"/>
      </w:pPr>
      <w:rPr>
        <w:rFonts w:ascii="Symbol" w:hAnsi="Symbol" w:hint="default"/>
      </w:rPr>
    </w:lvl>
    <w:lvl w:ilvl="7" w:tplc="878EFDC8" w:tentative="1">
      <w:start w:val="1"/>
      <w:numFmt w:val="bullet"/>
      <w:lvlText w:val="o"/>
      <w:lvlJc w:val="left"/>
      <w:pPr>
        <w:ind w:left="5760" w:hanging="360"/>
      </w:pPr>
      <w:rPr>
        <w:rFonts w:ascii="Courier New" w:hAnsi="Courier New" w:cs="Courier New" w:hint="default"/>
      </w:rPr>
    </w:lvl>
    <w:lvl w:ilvl="8" w:tplc="66CAE8C6" w:tentative="1">
      <w:start w:val="1"/>
      <w:numFmt w:val="bullet"/>
      <w:lvlText w:val=""/>
      <w:lvlJc w:val="left"/>
      <w:pPr>
        <w:ind w:left="6480" w:hanging="360"/>
      </w:pPr>
      <w:rPr>
        <w:rFonts w:ascii="Wingdings" w:hAnsi="Wingdings" w:hint="default"/>
      </w:rPr>
    </w:lvl>
  </w:abstractNum>
  <w:abstractNum w:abstractNumId="17" w15:restartNumberingAfterBreak="0">
    <w:nsid w:val="5AE37AA4"/>
    <w:multiLevelType w:val="hybridMultilevel"/>
    <w:tmpl w:val="C0806CBA"/>
    <w:lvl w:ilvl="0" w:tplc="DCBCD380">
      <w:start w:val="1"/>
      <w:numFmt w:val="decimal"/>
      <w:lvlText w:val="%1."/>
      <w:lvlJc w:val="left"/>
      <w:pPr>
        <w:ind w:left="360" w:hanging="360"/>
      </w:pPr>
      <w:rPr>
        <w:rFonts w:hint="default"/>
        <w:b/>
      </w:rPr>
    </w:lvl>
    <w:lvl w:ilvl="1" w:tplc="4CDE58EE" w:tentative="1">
      <w:start w:val="1"/>
      <w:numFmt w:val="lowerLetter"/>
      <w:lvlText w:val="%2."/>
      <w:lvlJc w:val="left"/>
      <w:pPr>
        <w:ind w:left="1080" w:hanging="360"/>
      </w:pPr>
    </w:lvl>
    <w:lvl w:ilvl="2" w:tplc="317EFE42" w:tentative="1">
      <w:start w:val="1"/>
      <w:numFmt w:val="lowerRoman"/>
      <w:lvlText w:val="%3."/>
      <w:lvlJc w:val="right"/>
      <w:pPr>
        <w:ind w:left="1800" w:hanging="180"/>
      </w:pPr>
    </w:lvl>
    <w:lvl w:ilvl="3" w:tplc="E92CCAEC" w:tentative="1">
      <w:start w:val="1"/>
      <w:numFmt w:val="decimal"/>
      <w:lvlText w:val="%4."/>
      <w:lvlJc w:val="left"/>
      <w:pPr>
        <w:ind w:left="2520" w:hanging="360"/>
      </w:pPr>
    </w:lvl>
    <w:lvl w:ilvl="4" w:tplc="5F0A7C54" w:tentative="1">
      <w:start w:val="1"/>
      <w:numFmt w:val="lowerLetter"/>
      <w:lvlText w:val="%5."/>
      <w:lvlJc w:val="left"/>
      <w:pPr>
        <w:ind w:left="3240" w:hanging="360"/>
      </w:pPr>
    </w:lvl>
    <w:lvl w:ilvl="5" w:tplc="3F5C3812" w:tentative="1">
      <w:start w:val="1"/>
      <w:numFmt w:val="lowerRoman"/>
      <w:lvlText w:val="%6."/>
      <w:lvlJc w:val="right"/>
      <w:pPr>
        <w:ind w:left="3960" w:hanging="180"/>
      </w:pPr>
    </w:lvl>
    <w:lvl w:ilvl="6" w:tplc="5D54F130" w:tentative="1">
      <w:start w:val="1"/>
      <w:numFmt w:val="decimal"/>
      <w:lvlText w:val="%7."/>
      <w:lvlJc w:val="left"/>
      <w:pPr>
        <w:ind w:left="4680" w:hanging="360"/>
      </w:pPr>
    </w:lvl>
    <w:lvl w:ilvl="7" w:tplc="76CE393C" w:tentative="1">
      <w:start w:val="1"/>
      <w:numFmt w:val="lowerLetter"/>
      <w:lvlText w:val="%8."/>
      <w:lvlJc w:val="left"/>
      <w:pPr>
        <w:ind w:left="5400" w:hanging="360"/>
      </w:pPr>
    </w:lvl>
    <w:lvl w:ilvl="8" w:tplc="12022DFC" w:tentative="1">
      <w:start w:val="1"/>
      <w:numFmt w:val="lowerRoman"/>
      <w:lvlText w:val="%9."/>
      <w:lvlJc w:val="right"/>
      <w:pPr>
        <w:ind w:left="6120" w:hanging="180"/>
      </w:pPr>
    </w:lvl>
  </w:abstractNum>
  <w:abstractNum w:abstractNumId="18" w15:restartNumberingAfterBreak="0">
    <w:nsid w:val="5D62553E"/>
    <w:multiLevelType w:val="multilevel"/>
    <w:tmpl w:val="0F684C5A"/>
    <w:lvl w:ilvl="0">
      <w:start w:val="5"/>
      <w:numFmt w:val="decimal"/>
      <w:lvlText w:val="%1"/>
      <w:lvlJc w:val="left"/>
      <w:pPr>
        <w:ind w:left="360" w:hanging="360"/>
      </w:pPr>
      <w:rPr>
        <w:rFonts w:hint="default"/>
      </w:rPr>
    </w:lvl>
    <w:lvl w:ilvl="1">
      <w:start w:val="1"/>
      <w:numFmt w:val="decimal"/>
      <w:lvlText w:val="%2."/>
      <w:lvlJc w:val="left"/>
      <w:pPr>
        <w:ind w:left="1440" w:hanging="360"/>
      </w:p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FF165EC"/>
    <w:multiLevelType w:val="multilevel"/>
    <w:tmpl w:val="77440B7C"/>
    <w:lvl w:ilvl="0">
      <w:start w:val="2"/>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1"/>
      <w:numFmt w:val="decimal"/>
      <w:lvlText w:val="%3."/>
      <w:lvlJc w:val="left"/>
      <w:pPr>
        <w:ind w:left="1440" w:hanging="360"/>
      </w:p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0" w15:restartNumberingAfterBreak="0">
    <w:nsid w:val="6A7C71E5"/>
    <w:multiLevelType w:val="hybridMultilevel"/>
    <w:tmpl w:val="7A7EC7AC"/>
    <w:lvl w:ilvl="0" w:tplc="1624DC36">
      <w:start w:val="1"/>
      <w:numFmt w:val="decimal"/>
      <w:lvlText w:val="%1."/>
      <w:lvlJc w:val="left"/>
      <w:pPr>
        <w:ind w:left="360" w:hanging="360"/>
      </w:pPr>
      <w:rPr>
        <w:rFonts w:hint="default"/>
        <w:b/>
      </w:rPr>
    </w:lvl>
    <w:lvl w:ilvl="1" w:tplc="AC025EE0" w:tentative="1">
      <w:start w:val="1"/>
      <w:numFmt w:val="lowerLetter"/>
      <w:lvlText w:val="%2."/>
      <w:lvlJc w:val="left"/>
      <w:pPr>
        <w:ind w:left="1440" w:hanging="360"/>
      </w:pPr>
    </w:lvl>
    <w:lvl w:ilvl="2" w:tplc="2660AF94" w:tentative="1">
      <w:start w:val="1"/>
      <w:numFmt w:val="lowerRoman"/>
      <w:lvlText w:val="%3."/>
      <w:lvlJc w:val="right"/>
      <w:pPr>
        <w:ind w:left="2160" w:hanging="180"/>
      </w:pPr>
    </w:lvl>
    <w:lvl w:ilvl="3" w:tplc="5172EA6E" w:tentative="1">
      <w:start w:val="1"/>
      <w:numFmt w:val="decimal"/>
      <w:lvlText w:val="%4."/>
      <w:lvlJc w:val="left"/>
      <w:pPr>
        <w:ind w:left="2880" w:hanging="360"/>
      </w:pPr>
    </w:lvl>
    <w:lvl w:ilvl="4" w:tplc="34948822" w:tentative="1">
      <w:start w:val="1"/>
      <w:numFmt w:val="lowerLetter"/>
      <w:lvlText w:val="%5."/>
      <w:lvlJc w:val="left"/>
      <w:pPr>
        <w:ind w:left="3600" w:hanging="360"/>
      </w:pPr>
    </w:lvl>
    <w:lvl w:ilvl="5" w:tplc="E9C853EC" w:tentative="1">
      <w:start w:val="1"/>
      <w:numFmt w:val="lowerRoman"/>
      <w:lvlText w:val="%6."/>
      <w:lvlJc w:val="right"/>
      <w:pPr>
        <w:ind w:left="4320" w:hanging="180"/>
      </w:pPr>
    </w:lvl>
    <w:lvl w:ilvl="6" w:tplc="F9640788" w:tentative="1">
      <w:start w:val="1"/>
      <w:numFmt w:val="decimal"/>
      <w:lvlText w:val="%7."/>
      <w:lvlJc w:val="left"/>
      <w:pPr>
        <w:ind w:left="5040" w:hanging="360"/>
      </w:pPr>
    </w:lvl>
    <w:lvl w:ilvl="7" w:tplc="680C008E" w:tentative="1">
      <w:start w:val="1"/>
      <w:numFmt w:val="lowerLetter"/>
      <w:lvlText w:val="%8."/>
      <w:lvlJc w:val="left"/>
      <w:pPr>
        <w:ind w:left="5760" w:hanging="360"/>
      </w:pPr>
    </w:lvl>
    <w:lvl w:ilvl="8" w:tplc="A8C621CE" w:tentative="1">
      <w:start w:val="1"/>
      <w:numFmt w:val="lowerRoman"/>
      <w:lvlText w:val="%9."/>
      <w:lvlJc w:val="right"/>
      <w:pPr>
        <w:ind w:left="6480" w:hanging="180"/>
      </w:pPr>
    </w:lvl>
  </w:abstractNum>
  <w:abstractNum w:abstractNumId="21" w15:restartNumberingAfterBreak="0">
    <w:nsid w:val="71DE14DA"/>
    <w:multiLevelType w:val="hybridMultilevel"/>
    <w:tmpl w:val="AF2CCD06"/>
    <w:lvl w:ilvl="0" w:tplc="5AA4C3E8">
      <w:start w:val="2"/>
      <w:numFmt w:val="bullet"/>
      <w:lvlText w:val=""/>
      <w:lvlJc w:val="left"/>
      <w:pPr>
        <w:ind w:left="720" w:hanging="360"/>
      </w:pPr>
      <w:rPr>
        <w:rFonts w:ascii="Calibri" w:eastAsia="Calibri" w:hAnsi="Calibri" w:cs="Calibri" w:hint="default"/>
      </w:rPr>
    </w:lvl>
    <w:lvl w:ilvl="1" w:tplc="23F6081C" w:tentative="1">
      <w:start w:val="1"/>
      <w:numFmt w:val="bullet"/>
      <w:lvlText w:val="o"/>
      <w:lvlJc w:val="left"/>
      <w:pPr>
        <w:ind w:left="1440" w:hanging="360"/>
      </w:pPr>
      <w:rPr>
        <w:rFonts w:ascii="Courier New" w:hAnsi="Courier New" w:cs="Courier New" w:hint="default"/>
      </w:rPr>
    </w:lvl>
    <w:lvl w:ilvl="2" w:tplc="733A159E" w:tentative="1">
      <w:start w:val="1"/>
      <w:numFmt w:val="bullet"/>
      <w:lvlText w:val=""/>
      <w:lvlJc w:val="left"/>
      <w:pPr>
        <w:ind w:left="2160" w:hanging="360"/>
      </w:pPr>
      <w:rPr>
        <w:rFonts w:ascii="Wingdings" w:hAnsi="Wingdings" w:hint="default"/>
      </w:rPr>
    </w:lvl>
    <w:lvl w:ilvl="3" w:tplc="CC0C8F90" w:tentative="1">
      <w:start w:val="1"/>
      <w:numFmt w:val="bullet"/>
      <w:lvlText w:val=""/>
      <w:lvlJc w:val="left"/>
      <w:pPr>
        <w:ind w:left="2880" w:hanging="360"/>
      </w:pPr>
      <w:rPr>
        <w:rFonts w:ascii="Symbol" w:hAnsi="Symbol" w:hint="default"/>
      </w:rPr>
    </w:lvl>
    <w:lvl w:ilvl="4" w:tplc="02B8CB68" w:tentative="1">
      <w:start w:val="1"/>
      <w:numFmt w:val="bullet"/>
      <w:lvlText w:val="o"/>
      <w:lvlJc w:val="left"/>
      <w:pPr>
        <w:ind w:left="3600" w:hanging="360"/>
      </w:pPr>
      <w:rPr>
        <w:rFonts w:ascii="Courier New" w:hAnsi="Courier New" w:cs="Courier New" w:hint="default"/>
      </w:rPr>
    </w:lvl>
    <w:lvl w:ilvl="5" w:tplc="D2187AF6" w:tentative="1">
      <w:start w:val="1"/>
      <w:numFmt w:val="bullet"/>
      <w:lvlText w:val=""/>
      <w:lvlJc w:val="left"/>
      <w:pPr>
        <w:ind w:left="4320" w:hanging="360"/>
      </w:pPr>
      <w:rPr>
        <w:rFonts w:ascii="Wingdings" w:hAnsi="Wingdings" w:hint="default"/>
      </w:rPr>
    </w:lvl>
    <w:lvl w:ilvl="6" w:tplc="B260B0A4" w:tentative="1">
      <w:start w:val="1"/>
      <w:numFmt w:val="bullet"/>
      <w:lvlText w:val=""/>
      <w:lvlJc w:val="left"/>
      <w:pPr>
        <w:ind w:left="5040" w:hanging="360"/>
      </w:pPr>
      <w:rPr>
        <w:rFonts w:ascii="Symbol" w:hAnsi="Symbol" w:hint="default"/>
      </w:rPr>
    </w:lvl>
    <w:lvl w:ilvl="7" w:tplc="325AF7CC" w:tentative="1">
      <w:start w:val="1"/>
      <w:numFmt w:val="bullet"/>
      <w:lvlText w:val="o"/>
      <w:lvlJc w:val="left"/>
      <w:pPr>
        <w:ind w:left="5760" w:hanging="360"/>
      </w:pPr>
      <w:rPr>
        <w:rFonts w:ascii="Courier New" w:hAnsi="Courier New" w:cs="Courier New" w:hint="default"/>
      </w:rPr>
    </w:lvl>
    <w:lvl w:ilvl="8" w:tplc="DBF281FC" w:tentative="1">
      <w:start w:val="1"/>
      <w:numFmt w:val="bullet"/>
      <w:lvlText w:val=""/>
      <w:lvlJc w:val="left"/>
      <w:pPr>
        <w:ind w:left="6480" w:hanging="360"/>
      </w:pPr>
      <w:rPr>
        <w:rFonts w:ascii="Wingdings" w:hAnsi="Wingdings" w:hint="default"/>
      </w:rPr>
    </w:lvl>
  </w:abstractNum>
  <w:abstractNum w:abstractNumId="22" w15:restartNumberingAfterBreak="0">
    <w:nsid w:val="72306E8B"/>
    <w:multiLevelType w:val="multilevel"/>
    <w:tmpl w:val="73F4D6B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3C20D2"/>
    <w:multiLevelType w:val="multilevel"/>
    <w:tmpl w:val="A778127C"/>
    <w:lvl w:ilvl="0">
      <w:start w:val="4"/>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641B4A"/>
    <w:multiLevelType w:val="multilevel"/>
    <w:tmpl w:val="3088566E"/>
    <w:styleLink w:val="ImportedStyle12"/>
    <w:lvl w:ilvl="0">
      <w:start w:val="1"/>
      <w:numFmt w:val="decimal"/>
      <w:lvlText w:val="%1."/>
      <w:lvlJc w:val="left"/>
      <w:pPr>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080" w:hanging="54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180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270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414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468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5580"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612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F204B96"/>
    <w:multiLevelType w:val="multilevel"/>
    <w:tmpl w:val="13D89020"/>
    <w:lvl w:ilvl="0">
      <w:start w:val="2"/>
      <w:numFmt w:val="decimal"/>
      <w:lvlText w:val="%1"/>
      <w:lvlJc w:val="left"/>
      <w:pPr>
        <w:ind w:left="360" w:hanging="360"/>
      </w:pPr>
      <w:rPr>
        <w:rFonts w:hint="default"/>
      </w:rPr>
    </w:lvl>
    <w:lvl w:ilvl="1">
      <w:start w:val="1"/>
      <w:numFmt w:val="decimal"/>
      <w:lvlText w:val="%2."/>
      <w:lvlJc w:val="left"/>
      <w:pPr>
        <w:ind w:left="360" w:hanging="360"/>
      </w:p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0322874">
    <w:abstractNumId w:val="2"/>
  </w:num>
  <w:num w:numId="2" w16cid:durableId="165752608">
    <w:abstractNumId w:val="14"/>
  </w:num>
  <w:num w:numId="3" w16cid:durableId="1321157620">
    <w:abstractNumId w:val="25"/>
  </w:num>
  <w:num w:numId="4" w16cid:durableId="524944805">
    <w:abstractNumId w:val="22"/>
  </w:num>
  <w:num w:numId="5" w16cid:durableId="293875859">
    <w:abstractNumId w:val="8"/>
  </w:num>
  <w:num w:numId="6" w16cid:durableId="942684564">
    <w:abstractNumId w:val="19"/>
  </w:num>
  <w:num w:numId="7" w16cid:durableId="1189563291">
    <w:abstractNumId w:val="12"/>
  </w:num>
  <w:num w:numId="8" w16cid:durableId="1978532000">
    <w:abstractNumId w:val="24"/>
  </w:num>
  <w:num w:numId="9" w16cid:durableId="1977680754">
    <w:abstractNumId w:val="18"/>
  </w:num>
  <w:num w:numId="10" w16cid:durableId="1152138633">
    <w:abstractNumId w:val="15"/>
  </w:num>
  <w:num w:numId="11" w16cid:durableId="53820872">
    <w:abstractNumId w:val="9"/>
  </w:num>
  <w:num w:numId="12" w16cid:durableId="764308262">
    <w:abstractNumId w:val="13"/>
  </w:num>
  <w:num w:numId="13" w16cid:durableId="609048686">
    <w:abstractNumId w:val="5"/>
  </w:num>
  <w:num w:numId="14" w16cid:durableId="398210087">
    <w:abstractNumId w:val="23"/>
  </w:num>
  <w:num w:numId="15" w16cid:durableId="1692337590">
    <w:abstractNumId w:val="10"/>
  </w:num>
  <w:num w:numId="16" w16cid:durableId="966660402">
    <w:abstractNumId w:val="3"/>
  </w:num>
  <w:num w:numId="17" w16cid:durableId="1484395326">
    <w:abstractNumId w:val="16"/>
  </w:num>
  <w:num w:numId="18" w16cid:durableId="1224677971">
    <w:abstractNumId w:val="1"/>
  </w:num>
  <w:num w:numId="19" w16cid:durableId="103427139">
    <w:abstractNumId w:val="0"/>
  </w:num>
  <w:num w:numId="20" w16cid:durableId="1310865641">
    <w:abstractNumId w:val="17"/>
  </w:num>
  <w:num w:numId="21" w16cid:durableId="119810675">
    <w:abstractNumId w:val="11"/>
  </w:num>
  <w:num w:numId="22" w16cid:durableId="660541417">
    <w:abstractNumId w:val="6"/>
  </w:num>
  <w:num w:numId="23" w16cid:durableId="320815247">
    <w:abstractNumId w:val="4"/>
  </w:num>
  <w:num w:numId="24" w16cid:durableId="813525405">
    <w:abstractNumId w:val="20"/>
  </w:num>
  <w:num w:numId="25" w16cid:durableId="906721582">
    <w:abstractNumId w:val="7"/>
  </w:num>
  <w:num w:numId="26" w16cid:durableId="412046713">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removePersonalInformation/>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0ftta04araazede99xfws6s25zaftf0sta&quot;&gt;EndNote Library2018-Converted&lt;record-ids&gt;&lt;item&gt;3&lt;/item&gt;&lt;item&gt;46&lt;/item&gt;&lt;item&gt;379&lt;/item&gt;&lt;item&gt;486&lt;/item&gt;&lt;item&gt;587&lt;/item&gt;&lt;item&gt;626&lt;/item&gt;&lt;item&gt;4999&lt;/item&gt;&lt;item&gt;5011&lt;/item&gt;&lt;item&gt;5012&lt;/item&gt;&lt;item&gt;5048&lt;/item&gt;&lt;item&gt;5087&lt;/item&gt;&lt;item&gt;5088&lt;/item&gt;&lt;item&gt;5089&lt;/item&gt;&lt;item&gt;5092&lt;/item&gt;&lt;item&gt;5172&lt;/item&gt;&lt;item&gt;5218&lt;/item&gt;&lt;item&gt;5279&lt;/item&gt;&lt;item&gt;5320&lt;/item&gt;&lt;item&gt;5321&lt;/item&gt;&lt;item&gt;5370&lt;/item&gt;&lt;item&gt;5371&lt;/item&gt;&lt;item&gt;5372&lt;/item&gt;&lt;item&gt;5434&lt;/item&gt;&lt;item&gt;5436&lt;/item&gt;&lt;item&gt;5437&lt;/item&gt;&lt;item&gt;5438&lt;/item&gt;&lt;item&gt;5439&lt;/item&gt;&lt;item&gt;5441&lt;/item&gt;&lt;item&gt;5442&lt;/item&gt;&lt;item&gt;5443&lt;/item&gt;&lt;item&gt;5444&lt;/item&gt;&lt;item&gt;5445&lt;/item&gt;&lt;item&gt;5446&lt;/item&gt;&lt;item&gt;5447&lt;/item&gt;&lt;item&gt;5448&lt;/item&gt;&lt;item&gt;5449&lt;/item&gt;&lt;item&gt;5467&lt;/item&gt;&lt;item&gt;5508&lt;/item&gt;&lt;item&gt;5509&lt;/item&gt;&lt;item&gt;5510&lt;/item&gt;&lt;item&gt;5512&lt;/item&gt;&lt;item&gt;5513&lt;/item&gt;&lt;item&gt;5514&lt;/item&gt;&lt;item&gt;5516&lt;/item&gt;&lt;item&gt;5517&lt;/item&gt;&lt;item&gt;5518&lt;/item&gt;&lt;item&gt;5519&lt;/item&gt;&lt;item&gt;5520&lt;/item&gt;&lt;/record-ids&gt;&lt;/item&gt;&lt;/Libraries&gt;"/>
  </w:docVars>
  <w:rsids>
    <w:rsidRoot w:val="006E4797"/>
    <w:rsid w:val="00001C10"/>
    <w:rsid w:val="0000337B"/>
    <w:rsid w:val="00003FF3"/>
    <w:rsid w:val="0000515B"/>
    <w:rsid w:val="00011457"/>
    <w:rsid w:val="00012487"/>
    <w:rsid w:val="00013652"/>
    <w:rsid w:val="00014A3E"/>
    <w:rsid w:val="000154A5"/>
    <w:rsid w:val="000161AF"/>
    <w:rsid w:val="000214C9"/>
    <w:rsid w:val="00022947"/>
    <w:rsid w:val="0002517C"/>
    <w:rsid w:val="00031797"/>
    <w:rsid w:val="00031C1E"/>
    <w:rsid w:val="00033C99"/>
    <w:rsid w:val="00034DD1"/>
    <w:rsid w:val="00037639"/>
    <w:rsid w:val="00040C6E"/>
    <w:rsid w:val="00040E1B"/>
    <w:rsid w:val="0004355D"/>
    <w:rsid w:val="00047C06"/>
    <w:rsid w:val="00052605"/>
    <w:rsid w:val="00052E75"/>
    <w:rsid w:val="000536C3"/>
    <w:rsid w:val="00057B67"/>
    <w:rsid w:val="00061325"/>
    <w:rsid w:val="00061E0E"/>
    <w:rsid w:val="00070CAE"/>
    <w:rsid w:val="0007506F"/>
    <w:rsid w:val="00076815"/>
    <w:rsid w:val="00076AB1"/>
    <w:rsid w:val="00081F44"/>
    <w:rsid w:val="000823A2"/>
    <w:rsid w:val="00082A5F"/>
    <w:rsid w:val="000876B3"/>
    <w:rsid w:val="00087F3F"/>
    <w:rsid w:val="000954F7"/>
    <w:rsid w:val="00095DB9"/>
    <w:rsid w:val="000A062B"/>
    <w:rsid w:val="000A6176"/>
    <w:rsid w:val="000A719C"/>
    <w:rsid w:val="000B1317"/>
    <w:rsid w:val="000B41B6"/>
    <w:rsid w:val="000B50CE"/>
    <w:rsid w:val="000C3733"/>
    <w:rsid w:val="000C3D16"/>
    <w:rsid w:val="000D1F11"/>
    <w:rsid w:val="000E155E"/>
    <w:rsid w:val="000E2ABF"/>
    <w:rsid w:val="000E3F21"/>
    <w:rsid w:val="000E3F58"/>
    <w:rsid w:val="000E4C51"/>
    <w:rsid w:val="000E52B8"/>
    <w:rsid w:val="000E5D34"/>
    <w:rsid w:val="00107838"/>
    <w:rsid w:val="00120973"/>
    <w:rsid w:val="00130DD4"/>
    <w:rsid w:val="00132598"/>
    <w:rsid w:val="00136548"/>
    <w:rsid w:val="00140FE8"/>
    <w:rsid w:val="0014308E"/>
    <w:rsid w:val="00147CBA"/>
    <w:rsid w:val="00150F3F"/>
    <w:rsid w:val="001514EC"/>
    <w:rsid w:val="001526E4"/>
    <w:rsid w:val="0015327B"/>
    <w:rsid w:val="0015549B"/>
    <w:rsid w:val="00157CFE"/>
    <w:rsid w:val="00160DC3"/>
    <w:rsid w:val="001624E4"/>
    <w:rsid w:val="001641CD"/>
    <w:rsid w:val="001663AA"/>
    <w:rsid w:val="0016655A"/>
    <w:rsid w:val="00167146"/>
    <w:rsid w:val="0017266C"/>
    <w:rsid w:val="00172713"/>
    <w:rsid w:val="00173F59"/>
    <w:rsid w:val="00176697"/>
    <w:rsid w:val="00181A81"/>
    <w:rsid w:val="00182483"/>
    <w:rsid w:val="00183071"/>
    <w:rsid w:val="00191341"/>
    <w:rsid w:val="0019276B"/>
    <w:rsid w:val="00194879"/>
    <w:rsid w:val="00194C04"/>
    <w:rsid w:val="00194CE8"/>
    <w:rsid w:val="001952B6"/>
    <w:rsid w:val="001959A2"/>
    <w:rsid w:val="001A030C"/>
    <w:rsid w:val="001A1CA1"/>
    <w:rsid w:val="001A3793"/>
    <w:rsid w:val="001B762C"/>
    <w:rsid w:val="001C68D7"/>
    <w:rsid w:val="001D7A78"/>
    <w:rsid w:val="001D7CCF"/>
    <w:rsid w:val="001E2E1F"/>
    <w:rsid w:val="001E4FAA"/>
    <w:rsid w:val="001E7157"/>
    <w:rsid w:val="001F21B2"/>
    <w:rsid w:val="001F3109"/>
    <w:rsid w:val="001F36C2"/>
    <w:rsid w:val="001F46C4"/>
    <w:rsid w:val="001F68E9"/>
    <w:rsid w:val="00200A47"/>
    <w:rsid w:val="00202357"/>
    <w:rsid w:val="00202EDB"/>
    <w:rsid w:val="00205FF8"/>
    <w:rsid w:val="002075BE"/>
    <w:rsid w:val="00210373"/>
    <w:rsid w:val="00210DD6"/>
    <w:rsid w:val="0021182E"/>
    <w:rsid w:val="00212833"/>
    <w:rsid w:val="00214319"/>
    <w:rsid w:val="00214465"/>
    <w:rsid w:val="00215694"/>
    <w:rsid w:val="00215FAB"/>
    <w:rsid w:val="00223981"/>
    <w:rsid w:val="00225D6E"/>
    <w:rsid w:val="0022692E"/>
    <w:rsid w:val="00227FB4"/>
    <w:rsid w:val="0023089F"/>
    <w:rsid w:val="0023296D"/>
    <w:rsid w:val="00232DDC"/>
    <w:rsid w:val="00237BC4"/>
    <w:rsid w:val="00243FB1"/>
    <w:rsid w:val="00246245"/>
    <w:rsid w:val="00250434"/>
    <w:rsid w:val="00252077"/>
    <w:rsid w:val="0025304C"/>
    <w:rsid w:val="002616DE"/>
    <w:rsid w:val="00267674"/>
    <w:rsid w:val="00272454"/>
    <w:rsid w:val="00273EDD"/>
    <w:rsid w:val="00283DE9"/>
    <w:rsid w:val="00284E6C"/>
    <w:rsid w:val="002852AE"/>
    <w:rsid w:val="00294C48"/>
    <w:rsid w:val="00297732"/>
    <w:rsid w:val="002A08A2"/>
    <w:rsid w:val="002A1F98"/>
    <w:rsid w:val="002A49B4"/>
    <w:rsid w:val="002B0384"/>
    <w:rsid w:val="002B79C2"/>
    <w:rsid w:val="002C3594"/>
    <w:rsid w:val="002C6B86"/>
    <w:rsid w:val="002C763B"/>
    <w:rsid w:val="002C7F21"/>
    <w:rsid w:val="002E6FEA"/>
    <w:rsid w:val="002F4FF7"/>
    <w:rsid w:val="002F7B2F"/>
    <w:rsid w:val="003026F7"/>
    <w:rsid w:val="00303AFB"/>
    <w:rsid w:val="00305699"/>
    <w:rsid w:val="0030793D"/>
    <w:rsid w:val="00307B5E"/>
    <w:rsid w:val="003107E5"/>
    <w:rsid w:val="00311EDB"/>
    <w:rsid w:val="00311F8E"/>
    <w:rsid w:val="0031335D"/>
    <w:rsid w:val="0031658E"/>
    <w:rsid w:val="003232A7"/>
    <w:rsid w:val="00323309"/>
    <w:rsid w:val="00327B3C"/>
    <w:rsid w:val="00331773"/>
    <w:rsid w:val="00333B6F"/>
    <w:rsid w:val="00333C4B"/>
    <w:rsid w:val="00336849"/>
    <w:rsid w:val="00343AD9"/>
    <w:rsid w:val="003474C4"/>
    <w:rsid w:val="00351087"/>
    <w:rsid w:val="00351DD5"/>
    <w:rsid w:val="003528E9"/>
    <w:rsid w:val="003548DA"/>
    <w:rsid w:val="00360749"/>
    <w:rsid w:val="00360E6B"/>
    <w:rsid w:val="00360EFC"/>
    <w:rsid w:val="003613C3"/>
    <w:rsid w:val="003710E2"/>
    <w:rsid w:val="00372A9B"/>
    <w:rsid w:val="00376B2F"/>
    <w:rsid w:val="003779DE"/>
    <w:rsid w:val="00377E14"/>
    <w:rsid w:val="003832DA"/>
    <w:rsid w:val="00387CDA"/>
    <w:rsid w:val="00390097"/>
    <w:rsid w:val="003971C6"/>
    <w:rsid w:val="0039765F"/>
    <w:rsid w:val="003A25C0"/>
    <w:rsid w:val="003A5297"/>
    <w:rsid w:val="003A59E0"/>
    <w:rsid w:val="003B35BD"/>
    <w:rsid w:val="003B6C0A"/>
    <w:rsid w:val="003C119A"/>
    <w:rsid w:val="003C2A2B"/>
    <w:rsid w:val="003C338C"/>
    <w:rsid w:val="003C3993"/>
    <w:rsid w:val="003C3D8C"/>
    <w:rsid w:val="003C5E9B"/>
    <w:rsid w:val="003C7579"/>
    <w:rsid w:val="003D21D5"/>
    <w:rsid w:val="003D49E8"/>
    <w:rsid w:val="003D5CCE"/>
    <w:rsid w:val="003D67E2"/>
    <w:rsid w:val="003D7B9D"/>
    <w:rsid w:val="003E38EA"/>
    <w:rsid w:val="003E6F62"/>
    <w:rsid w:val="00401BD7"/>
    <w:rsid w:val="0040579A"/>
    <w:rsid w:val="00411E44"/>
    <w:rsid w:val="004142AC"/>
    <w:rsid w:val="00414ADE"/>
    <w:rsid w:val="00416363"/>
    <w:rsid w:val="00416AE9"/>
    <w:rsid w:val="00417B55"/>
    <w:rsid w:val="00426049"/>
    <w:rsid w:val="00433EFD"/>
    <w:rsid w:val="004361C8"/>
    <w:rsid w:val="00436F4D"/>
    <w:rsid w:val="00442D9D"/>
    <w:rsid w:val="00443DCB"/>
    <w:rsid w:val="0044427D"/>
    <w:rsid w:val="004453F5"/>
    <w:rsid w:val="004535DE"/>
    <w:rsid w:val="00462031"/>
    <w:rsid w:val="004620C9"/>
    <w:rsid w:val="004631D9"/>
    <w:rsid w:val="004702A9"/>
    <w:rsid w:val="00480E66"/>
    <w:rsid w:val="0048211F"/>
    <w:rsid w:val="00483854"/>
    <w:rsid w:val="00484E44"/>
    <w:rsid w:val="00485349"/>
    <w:rsid w:val="00486101"/>
    <w:rsid w:val="004939EE"/>
    <w:rsid w:val="004940D3"/>
    <w:rsid w:val="004969D3"/>
    <w:rsid w:val="004A10CD"/>
    <w:rsid w:val="004B34E1"/>
    <w:rsid w:val="004B41F6"/>
    <w:rsid w:val="004C0985"/>
    <w:rsid w:val="004C3A95"/>
    <w:rsid w:val="004C482D"/>
    <w:rsid w:val="004D0423"/>
    <w:rsid w:val="004D0EF3"/>
    <w:rsid w:val="004D362E"/>
    <w:rsid w:val="004E3E14"/>
    <w:rsid w:val="004F1206"/>
    <w:rsid w:val="004F1D6B"/>
    <w:rsid w:val="004F5F1A"/>
    <w:rsid w:val="004F6AD9"/>
    <w:rsid w:val="004F7334"/>
    <w:rsid w:val="00500365"/>
    <w:rsid w:val="0050325B"/>
    <w:rsid w:val="00503B36"/>
    <w:rsid w:val="00503F97"/>
    <w:rsid w:val="00504991"/>
    <w:rsid w:val="00511C78"/>
    <w:rsid w:val="00513905"/>
    <w:rsid w:val="00513CCF"/>
    <w:rsid w:val="005144F9"/>
    <w:rsid w:val="00516914"/>
    <w:rsid w:val="00516BAB"/>
    <w:rsid w:val="005203D8"/>
    <w:rsid w:val="00522268"/>
    <w:rsid w:val="00523DF9"/>
    <w:rsid w:val="005246B3"/>
    <w:rsid w:val="00534DE5"/>
    <w:rsid w:val="00541C0C"/>
    <w:rsid w:val="0054263D"/>
    <w:rsid w:val="00545AD3"/>
    <w:rsid w:val="005479D4"/>
    <w:rsid w:val="00551D82"/>
    <w:rsid w:val="00555DD1"/>
    <w:rsid w:val="00564FBC"/>
    <w:rsid w:val="005658A1"/>
    <w:rsid w:val="005727A6"/>
    <w:rsid w:val="005734D7"/>
    <w:rsid w:val="00575E55"/>
    <w:rsid w:val="0057608B"/>
    <w:rsid w:val="00581488"/>
    <w:rsid w:val="005831D2"/>
    <w:rsid w:val="005832C2"/>
    <w:rsid w:val="00585BF5"/>
    <w:rsid w:val="00592B83"/>
    <w:rsid w:val="005A1A3E"/>
    <w:rsid w:val="005A29E7"/>
    <w:rsid w:val="005A5E2B"/>
    <w:rsid w:val="005A637B"/>
    <w:rsid w:val="005A7FF9"/>
    <w:rsid w:val="005B464A"/>
    <w:rsid w:val="005B6FF2"/>
    <w:rsid w:val="005C2FDC"/>
    <w:rsid w:val="005C60B0"/>
    <w:rsid w:val="005D01B0"/>
    <w:rsid w:val="005D1855"/>
    <w:rsid w:val="005D43F1"/>
    <w:rsid w:val="005D6D8A"/>
    <w:rsid w:val="005E1D16"/>
    <w:rsid w:val="005E1EE7"/>
    <w:rsid w:val="005E545A"/>
    <w:rsid w:val="005F139C"/>
    <w:rsid w:val="005F444B"/>
    <w:rsid w:val="005F4DD8"/>
    <w:rsid w:val="005F5B30"/>
    <w:rsid w:val="00600237"/>
    <w:rsid w:val="00604100"/>
    <w:rsid w:val="00607118"/>
    <w:rsid w:val="006076E5"/>
    <w:rsid w:val="00607BAA"/>
    <w:rsid w:val="00612AF3"/>
    <w:rsid w:val="00613304"/>
    <w:rsid w:val="00615035"/>
    <w:rsid w:val="00620842"/>
    <w:rsid w:val="00622578"/>
    <w:rsid w:val="00622D7F"/>
    <w:rsid w:val="006239A1"/>
    <w:rsid w:val="00623F7D"/>
    <w:rsid w:val="006261CB"/>
    <w:rsid w:val="00631B0C"/>
    <w:rsid w:val="00634672"/>
    <w:rsid w:val="0063641C"/>
    <w:rsid w:val="0064149D"/>
    <w:rsid w:val="006427B7"/>
    <w:rsid w:val="0064331B"/>
    <w:rsid w:val="00643327"/>
    <w:rsid w:val="00644C2F"/>
    <w:rsid w:val="0065118D"/>
    <w:rsid w:val="00654905"/>
    <w:rsid w:val="00654F1C"/>
    <w:rsid w:val="006563C1"/>
    <w:rsid w:val="00656AAC"/>
    <w:rsid w:val="00661933"/>
    <w:rsid w:val="00667978"/>
    <w:rsid w:val="006703D9"/>
    <w:rsid w:val="00673B11"/>
    <w:rsid w:val="006755EE"/>
    <w:rsid w:val="00681DF4"/>
    <w:rsid w:val="006824BF"/>
    <w:rsid w:val="006830AC"/>
    <w:rsid w:val="006857DF"/>
    <w:rsid w:val="00691833"/>
    <w:rsid w:val="0069480F"/>
    <w:rsid w:val="006953A8"/>
    <w:rsid w:val="00695C4C"/>
    <w:rsid w:val="006A0280"/>
    <w:rsid w:val="006A43BC"/>
    <w:rsid w:val="006A6821"/>
    <w:rsid w:val="006B2722"/>
    <w:rsid w:val="006B49F8"/>
    <w:rsid w:val="006C1033"/>
    <w:rsid w:val="006C1138"/>
    <w:rsid w:val="006C33D2"/>
    <w:rsid w:val="006C3742"/>
    <w:rsid w:val="006C3B67"/>
    <w:rsid w:val="006C6059"/>
    <w:rsid w:val="006D0AE3"/>
    <w:rsid w:val="006D5A6E"/>
    <w:rsid w:val="006D5DCB"/>
    <w:rsid w:val="006D620C"/>
    <w:rsid w:val="006E090B"/>
    <w:rsid w:val="006E4797"/>
    <w:rsid w:val="006E7C64"/>
    <w:rsid w:val="006F60C6"/>
    <w:rsid w:val="006F7C5E"/>
    <w:rsid w:val="00702286"/>
    <w:rsid w:val="00702ADE"/>
    <w:rsid w:val="0070444F"/>
    <w:rsid w:val="007106FD"/>
    <w:rsid w:val="00710A4F"/>
    <w:rsid w:val="00712676"/>
    <w:rsid w:val="00712AA2"/>
    <w:rsid w:val="00712AE5"/>
    <w:rsid w:val="007145BF"/>
    <w:rsid w:val="00714BE0"/>
    <w:rsid w:val="00736371"/>
    <w:rsid w:val="00745FE2"/>
    <w:rsid w:val="007508A9"/>
    <w:rsid w:val="007512CA"/>
    <w:rsid w:val="00751D3D"/>
    <w:rsid w:val="00752E54"/>
    <w:rsid w:val="007557E3"/>
    <w:rsid w:val="007719BA"/>
    <w:rsid w:val="0077284C"/>
    <w:rsid w:val="00773758"/>
    <w:rsid w:val="00774AE0"/>
    <w:rsid w:val="00774E4C"/>
    <w:rsid w:val="00775588"/>
    <w:rsid w:val="007830D2"/>
    <w:rsid w:val="007833E2"/>
    <w:rsid w:val="007913B2"/>
    <w:rsid w:val="00792164"/>
    <w:rsid w:val="007955BE"/>
    <w:rsid w:val="00796514"/>
    <w:rsid w:val="007A4BBA"/>
    <w:rsid w:val="007A509B"/>
    <w:rsid w:val="007A7C15"/>
    <w:rsid w:val="007B079F"/>
    <w:rsid w:val="007B1355"/>
    <w:rsid w:val="007B1376"/>
    <w:rsid w:val="007B488F"/>
    <w:rsid w:val="007B71B6"/>
    <w:rsid w:val="007B72A4"/>
    <w:rsid w:val="007C0316"/>
    <w:rsid w:val="007C0685"/>
    <w:rsid w:val="007C15FE"/>
    <w:rsid w:val="007C3BF9"/>
    <w:rsid w:val="007C58C7"/>
    <w:rsid w:val="007C62DF"/>
    <w:rsid w:val="007C7DE4"/>
    <w:rsid w:val="007D54ED"/>
    <w:rsid w:val="007D667D"/>
    <w:rsid w:val="007D6BE0"/>
    <w:rsid w:val="007E164D"/>
    <w:rsid w:val="007F099E"/>
    <w:rsid w:val="007F13E9"/>
    <w:rsid w:val="007F2030"/>
    <w:rsid w:val="007F67EE"/>
    <w:rsid w:val="008007D4"/>
    <w:rsid w:val="008029DA"/>
    <w:rsid w:val="00807ABA"/>
    <w:rsid w:val="00811466"/>
    <w:rsid w:val="00812DFA"/>
    <w:rsid w:val="008174DD"/>
    <w:rsid w:val="00820C59"/>
    <w:rsid w:val="00820DFA"/>
    <w:rsid w:val="00822BB5"/>
    <w:rsid w:val="008232F1"/>
    <w:rsid w:val="00827795"/>
    <w:rsid w:val="00833B96"/>
    <w:rsid w:val="0083783F"/>
    <w:rsid w:val="008425A4"/>
    <w:rsid w:val="008433BF"/>
    <w:rsid w:val="008461C6"/>
    <w:rsid w:val="00853494"/>
    <w:rsid w:val="0085421A"/>
    <w:rsid w:val="0085431D"/>
    <w:rsid w:val="00855078"/>
    <w:rsid w:val="0085548D"/>
    <w:rsid w:val="008635DD"/>
    <w:rsid w:val="00863811"/>
    <w:rsid w:val="00867312"/>
    <w:rsid w:val="00871A0F"/>
    <w:rsid w:val="00880708"/>
    <w:rsid w:val="00891AD3"/>
    <w:rsid w:val="008943B5"/>
    <w:rsid w:val="00894786"/>
    <w:rsid w:val="008A4859"/>
    <w:rsid w:val="008A7B4B"/>
    <w:rsid w:val="008B1F95"/>
    <w:rsid w:val="008B2D50"/>
    <w:rsid w:val="008B35D2"/>
    <w:rsid w:val="008C0FA9"/>
    <w:rsid w:val="008C12FC"/>
    <w:rsid w:val="008C5E79"/>
    <w:rsid w:val="008C693A"/>
    <w:rsid w:val="008C7208"/>
    <w:rsid w:val="008D142E"/>
    <w:rsid w:val="008D293E"/>
    <w:rsid w:val="008E19AC"/>
    <w:rsid w:val="008E2E08"/>
    <w:rsid w:val="008E3579"/>
    <w:rsid w:val="008E44BC"/>
    <w:rsid w:val="008F15EA"/>
    <w:rsid w:val="008F67E3"/>
    <w:rsid w:val="00900427"/>
    <w:rsid w:val="0090055C"/>
    <w:rsid w:val="00902604"/>
    <w:rsid w:val="00905C20"/>
    <w:rsid w:val="009108B3"/>
    <w:rsid w:val="009112A3"/>
    <w:rsid w:val="0091151D"/>
    <w:rsid w:val="00911EF7"/>
    <w:rsid w:val="00912865"/>
    <w:rsid w:val="00917F26"/>
    <w:rsid w:val="00920343"/>
    <w:rsid w:val="0092334E"/>
    <w:rsid w:val="00925809"/>
    <w:rsid w:val="00926644"/>
    <w:rsid w:val="009278CD"/>
    <w:rsid w:val="009338D1"/>
    <w:rsid w:val="00936EE8"/>
    <w:rsid w:val="009409EA"/>
    <w:rsid w:val="009415B7"/>
    <w:rsid w:val="0094365F"/>
    <w:rsid w:val="00943B13"/>
    <w:rsid w:val="009511AB"/>
    <w:rsid w:val="00954A11"/>
    <w:rsid w:val="0096002F"/>
    <w:rsid w:val="00961F40"/>
    <w:rsid w:val="00971BAA"/>
    <w:rsid w:val="00973E82"/>
    <w:rsid w:val="0098189B"/>
    <w:rsid w:val="00983FB8"/>
    <w:rsid w:val="00986591"/>
    <w:rsid w:val="009866B8"/>
    <w:rsid w:val="009926F8"/>
    <w:rsid w:val="00993A6A"/>
    <w:rsid w:val="009942FA"/>
    <w:rsid w:val="009945BF"/>
    <w:rsid w:val="00994F50"/>
    <w:rsid w:val="00995398"/>
    <w:rsid w:val="009975CF"/>
    <w:rsid w:val="009A0673"/>
    <w:rsid w:val="009A2A7F"/>
    <w:rsid w:val="009A3826"/>
    <w:rsid w:val="009A7D8A"/>
    <w:rsid w:val="009B61CD"/>
    <w:rsid w:val="009B7D8D"/>
    <w:rsid w:val="009C2F0E"/>
    <w:rsid w:val="009C3294"/>
    <w:rsid w:val="009C435A"/>
    <w:rsid w:val="009C5068"/>
    <w:rsid w:val="009D603A"/>
    <w:rsid w:val="009E117D"/>
    <w:rsid w:val="009E4198"/>
    <w:rsid w:val="009E6662"/>
    <w:rsid w:val="009E6D89"/>
    <w:rsid w:val="009F0C98"/>
    <w:rsid w:val="009F63EC"/>
    <w:rsid w:val="00A1684A"/>
    <w:rsid w:val="00A20C70"/>
    <w:rsid w:val="00A227EE"/>
    <w:rsid w:val="00A2455F"/>
    <w:rsid w:val="00A24E81"/>
    <w:rsid w:val="00A31B03"/>
    <w:rsid w:val="00A32111"/>
    <w:rsid w:val="00A3477F"/>
    <w:rsid w:val="00A34BFB"/>
    <w:rsid w:val="00A44E4F"/>
    <w:rsid w:val="00A45BE8"/>
    <w:rsid w:val="00A474C1"/>
    <w:rsid w:val="00A61636"/>
    <w:rsid w:val="00A624BE"/>
    <w:rsid w:val="00A631A3"/>
    <w:rsid w:val="00A6788C"/>
    <w:rsid w:val="00A7200C"/>
    <w:rsid w:val="00A72A11"/>
    <w:rsid w:val="00A86485"/>
    <w:rsid w:val="00A87856"/>
    <w:rsid w:val="00AA59FD"/>
    <w:rsid w:val="00AB16B0"/>
    <w:rsid w:val="00AB4038"/>
    <w:rsid w:val="00AB440E"/>
    <w:rsid w:val="00AB606B"/>
    <w:rsid w:val="00AC21AC"/>
    <w:rsid w:val="00AC6BE0"/>
    <w:rsid w:val="00AD1BB9"/>
    <w:rsid w:val="00AD1DFD"/>
    <w:rsid w:val="00AD2EC6"/>
    <w:rsid w:val="00AD3ED9"/>
    <w:rsid w:val="00AD6F54"/>
    <w:rsid w:val="00AD75B3"/>
    <w:rsid w:val="00AE14E9"/>
    <w:rsid w:val="00AF0DBE"/>
    <w:rsid w:val="00AF6102"/>
    <w:rsid w:val="00AF6A76"/>
    <w:rsid w:val="00AF7E8A"/>
    <w:rsid w:val="00B00B42"/>
    <w:rsid w:val="00B07E65"/>
    <w:rsid w:val="00B14554"/>
    <w:rsid w:val="00B14CEA"/>
    <w:rsid w:val="00B20BE6"/>
    <w:rsid w:val="00B25B89"/>
    <w:rsid w:val="00B30790"/>
    <w:rsid w:val="00B30AC1"/>
    <w:rsid w:val="00B31E93"/>
    <w:rsid w:val="00B44294"/>
    <w:rsid w:val="00B464A0"/>
    <w:rsid w:val="00B471C6"/>
    <w:rsid w:val="00B516EA"/>
    <w:rsid w:val="00B52AAF"/>
    <w:rsid w:val="00B539DA"/>
    <w:rsid w:val="00B55FDC"/>
    <w:rsid w:val="00B562C3"/>
    <w:rsid w:val="00B61010"/>
    <w:rsid w:val="00B612AC"/>
    <w:rsid w:val="00B65806"/>
    <w:rsid w:val="00B66177"/>
    <w:rsid w:val="00B663B8"/>
    <w:rsid w:val="00B7124C"/>
    <w:rsid w:val="00B81064"/>
    <w:rsid w:val="00B81CB3"/>
    <w:rsid w:val="00B84AC7"/>
    <w:rsid w:val="00B861DE"/>
    <w:rsid w:val="00B87681"/>
    <w:rsid w:val="00B90273"/>
    <w:rsid w:val="00B951B9"/>
    <w:rsid w:val="00BA5004"/>
    <w:rsid w:val="00BB1BCC"/>
    <w:rsid w:val="00BB7B3E"/>
    <w:rsid w:val="00BC17DC"/>
    <w:rsid w:val="00BC2C90"/>
    <w:rsid w:val="00BC6202"/>
    <w:rsid w:val="00BD3767"/>
    <w:rsid w:val="00BE22A2"/>
    <w:rsid w:val="00BE2769"/>
    <w:rsid w:val="00BE4F85"/>
    <w:rsid w:val="00BF040D"/>
    <w:rsid w:val="00BF40A1"/>
    <w:rsid w:val="00BF726F"/>
    <w:rsid w:val="00C02AA8"/>
    <w:rsid w:val="00C068FC"/>
    <w:rsid w:val="00C072FE"/>
    <w:rsid w:val="00C11D93"/>
    <w:rsid w:val="00C12B39"/>
    <w:rsid w:val="00C1518F"/>
    <w:rsid w:val="00C21D37"/>
    <w:rsid w:val="00C231D7"/>
    <w:rsid w:val="00C23B50"/>
    <w:rsid w:val="00C27C71"/>
    <w:rsid w:val="00C331C5"/>
    <w:rsid w:val="00C332B0"/>
    <w:rsid w:val="00C34073"/>
    <w:rsid w:val="00C3425D"/>
    <w:rsid w:val="00C361EA"/>
    <w:rsid w:val="00C366E0"/>
    <w:rsid w:val="00C366FF"/>
    <w:rsid w:val="00C44A23"/>
    <w:rsid w:val="00C50BB1"/>
    <w:rsid w:val="00C550F3"/>
    <w:rsid w:val="00C61257"/>
    <w:rsid w:val="00C652D8"/>
    <w:rsid w:val="00C8288D"/>
    <w:rsid w:val="00C867FB"/>
    <w:rsid w:val="00C875D1"/>
    <w:rsid w:val="00C93C30"/>
    <w:rsid w:val="00C93D59"/>
    <w:rsid w:val="00CA1228"/>
    <w:rsid w:val="00CA7682"/>
    <w:rsid w:val="00CB1713"/>
    <w:rsid w:val="00CB1783"/>
    <w:rsid w:val="00CB2120"/>
    <w:rsid w:val="00CB6623"/>
    <w:rsid w:val="00CC4A1B"/>
    <w:rsid w:val="00CC50BF"/>
    <w:rsid w:val="00CC55C2"/>
    <w:rsid w:val="00CC6503"/>
    <w:rsid w:val="00CC658A"/>
    <w:rsid w:val="00CC769F"/>
    <w:rsid w:val="00CD2E64"/>
    <w:rsid w:val="00CD368F"/>
    <w:rsid w:val="00CD5A74"/>
    <w:rsid w:val="00CE34C3"/>
    <w:rsid w:val="00CF054C"/>
    <w:rsid w:val="00CF58C3"/>
    <w:rsid w:val="00D00F12"/>
    <w:rsid w:val="00D03627"/>
    <w:rsid w:val="00D07A90"/>
    <w:rsid w:val="00D10EBA"/>
    <w:rsid w:val="00D2510B"/>
    <w:rsid w:val="00D30A7D"/>
    <w:rsid w:val="00D32D1A"/>
    <w:rsid w:val="00D34EBC"/>
    <w:rsid w:val="00D4591A"/>
    <w:rsid w:val="00D46384"/>
    <w:rsid w:val="00D5243B"/>
    <w:rsid w:val="00D57F1F"/>
    <w:rsid w:val="00D62F24"/>
    <w:rsid w:val="00D661BB"/>
    <w:rsid w:val="00D82BB4"/>
    <w:rsid w:val="00D838E8"/>
    <w:rsid w:val="00D86D57"/>
    <w:rsid w:val="00D8749D"/>
    <w:rsid w:val="00D92182"/>
    <w:rsid w:val="00D9423E"/>
    <w:rsid w:val="00D959E7"/>
    <w:rsid w:val="00D974E5"/>
    <w:rsid w:val="00DA154A"/>
    <w:rsid w:val="00DA2AA1"/>
    <w:rsid w:val="00DA3C5C"/>
    <w:rsid w:val="00DA4D89"/>
    <w:rsid w:val="00DA5392"/>
    <w:rsid w:val="00DB012B"/>
    <w:rsid w:val="00DB6A0B"/>
    <w:rsid w:val="00DB6C53"/>
    <w:rsid w:val="00DB7C09"/>
    <w:rsid w:val="00DC0760"/>
    <w:rsid w:val="00DC0E61"/>
    <w:rsid w:val="00DC18A7"/>
    <w:rsid w:val="00DC4394"/>
    <w:rsid w:val="00DC680B"/>
    <w:rsid w:val="00DD0D2A"/>
    <w:rsid w:val="00DD7B62"/>
    <w:rsid w:val="00DE066A"/>
    <w:rsid w:val="00DE3216"/>
    <w:rsid w:val="00DF12F1"/>
    <w:rsid w:val="00DF22A5"/>
    <w:rsid w:val="00DF2FE3"/>
    <w:rsid w:val="00E01F9C"/>
    <w:rsid w:val="00E03054"/>
    <w:rsid w:val="00E0362D"/>
    <w:rsid w:val="00E03F1A"/>
    <w:rsid w:val="00E04043"/>
    <w:rsid w:val="00E07E65"/>
    <w:rsid w:val="00E150B2"/>
    <w:rsid w:val="00E16258"/>
    <w:rsid w:val="00E20B1F"/>
    <w:rsid w:val="00E213B1"/>
    <w:rsid w:val="00E257F4"/>
    <w:rsid w:val="00E347B4"/>
    <w:rsid w:val="00E401D5"/>
    <w:rsid w:val="00E43404"/>
    <w:rsid w:val="00E44A8B"/>
    <w:rsid w:val="00E47284"/>
    <w:rsid w:val="00E574A9"/>
    <w:rsid w:val="00E5783D"/>
    <w:rsid w:val="00E62D17"/>
    <w:rsid w:val="00E63855"/>
    <w:rsid w:val="00E63948"/>
    <w:rsid w:val="00E639BC"/>
    <w:rsid w:val="00E663BF"/>
    <w:rsid w:val="00E67A52"/>
    <w:rsid w:val="00E7057C"/>
    <w:rsid w:val="00E70B38"/>
    <w:rsid w:val="00E733AE"/>
    <w:rsid w:val="00E7637F"/>
    <w:rsid w:val="00E82F31"/>
    <w:rsid w:val="00E93174"/>
    <w:rsid w:val="00E966A1"/>
    <w:rsid w:val="00EA7C6A"/>
    <w:rsid w:val="00EA7FBA"/>
    <w:rsid w:val="00EB1E68"/>
    <w:rsid w:val="00EB39A7"/>
    <w:rsid w:val="00EB4513"/>
    <w:rsid w:val="00EC0649"/>
    <w:rsid w:val="00EC31A4"/>
    <w:rsid w:val="00EC57F0"/>
    <w:rsid w:val="00ED1092"/>
    <w:rsid w:val="00ED4494"/>
    <w:rsid w:val="00EE0F40"/>
    <w:rsid w:val="00EE4F1C"/>
    <w:rsid w:val="00EF0190"/>
    <w:rsid w:val="00EF12F0"/>
    <w:rsid w:val="00EF45FD"/>
    <w:rsid w:val="00F04446"/>
    <w:rsid w:val="00F07C5C"/>
    <w:rsid w:val="00F104C1"/>
    <w:rsid w:val="00F12414"/>
    <w:rsid w:val="00F12FD2"/>
    <w:rsid w:val="00F138D2"/>
    <w:rsid w:val="00F1436D"/>
    <w:rsid w:val="00F14D3E"/>
    <w:rsid w:val="00F14E68"/>
    <w:rsid w:val="00F21DA7"/>
    <w:rsid w:val="00F22FB1"/>
    <w:rsid w:val="00F2691C"/>
    <w:rsid w:val="00F3026F"/>
    <w:rsid w:val="00F30420"/>
    <w:rsid w:val="00F31CD9"/>
    <w:rsid w:val="00F36869"/>
    <w:rsid w:val="00F37DB1"/>
    <w:rsid w:val="00F41DE1"/>
    <w:rsid w:val="00F4268D"/>
    <w:rsid w:val="00F43823"/>
    <w:rsid w:val="00F5598D"/>
    <w:rsid w:val="00F65E63"/>
    <w:rsid w:val="00F66DA9"/>
    <w:rsid w:val="00F67BE9"/>
    <w:rsid w:val="00F72213"/>
    <w:rsid w:val="00F7476B"/>
    <w:rsid w:val="00F90F30"/>
    <w:rsid w:val="00F921E3"/>
    <w:rsid w:val="00F92B40"/>
    <w:rsid w:val="00F9601D"/>
    <w:rsid w:val="00F964F3"/>
    <w:rsid w:val="00FA160D"/>
    <w:rsid w:val="00FA19EE"/>
    <w:rsid w:val="00FA1CA5"/>
    <w:rsid w:val="00FA242E"/>
    <w:rsid w:val="00FA3B53"/>
    <w:rsid w:val="00FA62AE"/>
    <w:rsid w:val="00FA6C9C"/>
    <w:rsid w:val="00FB01B8"/>
    <w:rsid w:val="00FB1528"/>
    <w:rsid w:val="00FC4656"/>
    <w:rsid w:val="00FC7D6C"/>
    <w:rsid w:val="00FD6971"/>
    <w:rsid w:val="00FE4911"/>
    <w:rsid w:val="00FE7342"/>
    <w:rsid w:val="00FF300F"/>
    <w:rsid w:val="00FF304D"/>
    <w:rsid w:val="00FF3874"/>
    <w:rsid w:val="00FF41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MDPI13authornames">
    <w:name w:val="MDPI_1.3_authornames"/>
    <w:next w:val="Normal"/>
    <w:qFormat/>
    <w:rsid w:val="008B1F95"/>
    <w:pPr>
      <w:widowControl/>
      <w:adjustRightInd w:val="0"/>
      <w:snapToGrid w:val="0"/>
      <w:spacing w:after="360" w:line="260" w:lineRule="atLeast"/>
      <w:jc w:val="left"/>
    </w:pPr>
    <w:rPr>
      <w:rFonts w:ascii="Palatino Linotype" w:eastAsia="Times New Roman" w:hAnsi="Palatino Linotype" w:cs="Times New Roman"/>
      <w:b/>
      <w:color w:val="000000"/>
      <w:sz w:val="20"/>
      <w:szCs w:val="22"/>
      <w:lang w:eastAsia="de-DE" w:bidi="en-US"/>
      <w14:ligatures w14:val="standardContextual"/>
    </w:rPr>
  </w:style>
  <w:style w:type="paragraph" w:customStyle="1" w:styleId="MDPI16affiliation">
    <w:name w:val="MDPI_1.6_affiliation"/>
    <w:qFormat/>
    <w:rsid w:val="008B1F95"/>
    <w:pPr>
      <w:widowControl/>
      <w:adjustRightInd w:val="0"/>
      <w:snapToGrid w:val="0"/>
      <w:spacing w:line="200" w:lineRule="atLeast"/>
      <w:ind w:left="2806" w:hanging="198"/>
      <w:jc w:val="left"/>
    </w:pPr>
    <w:rPr>
      <w:rFonts w:ascii="Palatino Linotype" w:eastAsia="Times New Roman" w:hAnsi="Palatino Linotype" w:cs="Times New Roman"/>
      <w:color w:val="000000"/>
      <w:sz w:val="16"/>
      <w:szCs w:val="18"/>
      <w:lang w:eastAsia="de-DE" w:bidi="en-US"/>
      <w14:ligatures w14:val="standardContextual"/>
    </w:rPr>
  </w:style>
  <w:style w:type="character" w:customStyle="1" w:styleId="ListParagraphChar">
    <w:name w:val="List Paragraph Char"/>
    <w:basedOn w:val="DefaultParagraphFont"/>
    <w:link w:val="ListParagraph"/>
    <w:uiPriority w:val="34"/>
    <w:rsid w:val="005C60B0"/>
    <w:rPr>
      <w:rFonts w:asciiTheme="minorHAnsi" w:eastAsiaTheme="minorHAnsi" w:hAnsiTheme="minorHAnsi" w:cstheme="minorBidi"/>
      <w:sz w:val="22"/>
      <w:szCs w:val="22"/>
    </w:rPr>
  </w:style>
  <w:style w:type="paragraph" w:customStyle="1" w:styleId="Body">
    <w:name w:val="Body"/>
    <w:link w:val="BodyChar"/>
    <w:rsid w:val="00E63948"/>
    <w:pPr>
      <w:widowControl/>
      <w:pBdr>
        <w:top w:val="nil"/>
        <w:left w:val="nil"/>
        <w:bottom w:val="nil"/>
        <w:right w:val="nil"/>
        <w:between w:val="nil"/>
        <w:bar w:val="nil"/>
      </w:pBdr>
      <w:spacing w:after="160" w:line="259" w:lineRule="auto"/>
      <w:jc w:val="left"/>
    </w:pPr>
    <w:rPr>
      <w:color w:val="000000"/>
      <w:sz w:val="22"/>
      <w:szCs w:val="22"/>
      <w:u w:color="000000"/>
      <w:bdr w:val="nil"/>
      <w:lang w:eastAsia="zh-CN"/>
      <w14:textOutline w14:w="0" w14:cap="flat" w14:cmpd="sng" w14:algn="ctr">
        <w14:noFill/>
        <w14:prstDash w14:val="solid"/>
        <w14:bevel/>
      </w14:textOutline>
    </w:rPr>
  </w:style>
  <w:style w:type="character" w:customStyle="1" w:styleId="BodyChar">
    <w:name w:val="Body Char"/>
    <w:basedOn w:val="DefaultParagraphFont"/>
    <w:link w:val="Body"/>
    <w:rsid w:val="00E63948"/>
    <w:rPr>
      <w:color w:val="000000"/>
      <w:sz w:val="22"/>
      <w:szCs w:val="22"/>
      <w:u w:color="000000"/>
      <w:bdr w:val="nil"/>
      <w:lang w:eastAsia="zh-CN"/>
      <w14:textOutline w14:w="0" w14:cap="flat" w14:cmpd="sng" w14:algn="ctr">
        <w14:noFill/>
        <w14:prstDash w14:val="solid"/>
        <w14:bevel/>
      </w14:textOutline>
    </w:rPr>
  </w:style>
  <w:style w:type="table" w:styleId="TableGrid">
    <w:name w:val="Table Grid"/>
    <w:basedOn w:val="TableNormal"/>
    <w:uiPriority w:val="39"/>
    <w:rsid w:val="00087F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2">
    <w:name w:val="Imported Style 12"/>
    <w:rsid w:val="00C21D37"/>
    <w:pPr>
      <w:numPr>
        <w:numId w:val="8"/>
      </w:numPr>
    </w:pPr>
  </w:style>
  <w:style w:type="paragraph" w:styleId="NoSpacing">
    <w:name w:val="No Spacing"/>
    <w:basedOn w:val="ListParagraph"/>
    <w:uiPriority w:val="1"/>
    <w:qFormat/>
    <w:rsid w:val="00A24E81"/>
    <w:pPr>
      <w:numPr>
        <w:numId w:val="10"/>
      </w:numPr>
      <w:spacing w:after="0" w:line="240" w:lineRule="auto"/>
      <w:jc w:val="both"/>
    </w:pPr>
    <w:rPr>
      <w:rFonts w:ascii="Arial" w:eastAsia="SimSun" w:hAnsi="Arial" w:cs="Arial"/>
      <w:b/>
    </w:rPr>
  </w:style>
  <w:style w:type="paragraph" w:customStyle="1" w:styleId="MDPI31text">
    <w:name w:val="MDPI_3.1_text"/>
    <w:qFormat/>
    <w:rsid w:val="00107838"/>
    <w:pPr>
      <w:widowControl/>
      <w:adjustRightInd w:val="0"/>
      <w:snapToGrid w:val="0"/>
      <w:spacing w:line="228" w:lineRule="auto"/>
      <w:ind w:left="2608" w:firstLine="425"/>
    </w:pPr>
    <w:rPr>
      <w:rFonts w:ascii="Palatino Linotype" w:eastAsia="Times New Roman" w:hAnsi="Palatino Linotype" w:cs="Times New Roman"/>
      <w:snapToGrid w:val="0"/>
      <w:color w:val="000000"/>
      <w:sz w:val="20"/>
      <w:szCs w:val="22"/>
      <w:lang w:eastAsia="de-DE" w:bidi="en-US"/>
    </w:rPr>
  </w:style>
  <w:style w:type="paragraph" w:customStyle="1" w:styleId="MDPI62BackMatter">
    <w:name w:val="MDPI_6.2_BackMatter"/>
    <w:qFormat/>
    <w:rsid w:val="00BC6202"/>
    <w:pPr>
      <w:widowControl/>
      <w:adjustRightInd w:val="0"/>
      <w:snapToGrid w:val="0"/>
      <w:spacing w:after="120" w:line="228" w:lineRule="auto"/>
      <w:ind w:left="2608"/>
    </w:pPr>
    <w:rPr>
      <w:rFonts w:ascii="Palatino Linotype" w:eastAsia="Times New Roman" w:hAnsi="Palatino Linotype" w:cs="Times New Roman"/>
      <w:snapToGrid w:val="0"/>
      <w:color w:val="000000"/>
      <w:sz w:val="18"/>
      <w:szCs w:val="20"/>
      <w:lang w:bidi="en-US"/>
    </w:rPr>
  </w:style>
  <w:style w:type="character" w:customStyle="1" w:styleId="apple-converted-space">
    <w:name w:val="apple-converted-space"/>
    <w:basedOn w:val="DefaultParagraphFont"/>
    <w:rsid w:val="00003FF3"/>
  </w:style>
  <w:style w:type="paragraph" w:customStyle="1" w:styleId="EndNoteBibliographyTitle">
    <w:name w:val="EndNote Bibliography Title"/>
    <w:basedOn w:val="Normal"/>
    <w:link w:val="EndNoteBibliographyTitleChar"/>
    <w:rsid w:val="00D5243B"/>
    <w:pPr>
      <w:jc w:val="center"/>
    </w:pPr>
  </w:style>
  <w:style w:type="character" w:customStyle="1" w:styleId="EndNoteBibliographyTitleChar">
    <w:name w:val="EndNote Bibliography Title Char"/>
    <w:basedOn w:val="DefaultParagraphFont"/>
    <w:link w:val="EndNoteBibliographyTitle"/>
    <w:rsid w:val="00D5243B"/>
  </w:style>
  <w:style w:type="paragraph" w:customStyle="1" w:styleId="EndNoteBibliography">
    <w:name w:val="EndNote Bibliography"/>
    <w:basedOn w:val="Normal"/>
    <w:link w:val="EndNoteBibliographyChar"/>
    <w:rsid w:val="00D5243B"/>
  </w:style>
  <w:style w:type="character" w:customStyle="1" w:styleId="EndNoteBibliographyChar">
    <w:name w:val="EndNote Bibliography Char"/>
    <w:basedOn w:val="DefaultParagraphFont"/>
    <w:link w:val="EndNoteBibliography"/>
    <w:rsid w:val="00D5243B"/>
  </w:style>
  <w:style w:type="paragraph" w:styleId="Header">
    <w:name w:val="header"/>
    <w:basedOn w:val="Normal"/>
    <w:link w:val="HeaderChar"/>
    <w:uiPriority w:val="99"/>
    <w:unhideWhenUsed/>
    <w:rsid w:val="00B7124C"/>
    <w:pPr>
      <w:tabs>
        <w:tab w:val="center" w:pos="4513"/>
        <w:tab w:val="right" w:pos="9026"/>
      </w:tabs>
    </w:pPr>
  </w:style>
  <w:style w:type="character" w:customStyle="1" w:styleId="HeaderChar">
    <w:name w:val="Header Char"/>
    <w:basedOn w:val="DefaultParagraphFont"/>
    <w:link w:val="Header"/>
    <w:uiPriority w:val="99"/>
    <w:rsid w:val="00B71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ihua.huang@thronebio.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ris.veysman@thronebio.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yong.zhao@thronebi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9352</Words>
  <Characters>53309</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2026-09-17T12:54:00Z</dcterms:created>
  <dcterms:modified xsi:type="dcterms:W3CDTF">2026-09-22T00:50:00Z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953d7d43-1dc0-42ab-af7a-6ddad2c6f6b3</vt:lpwstr>
  </property>
</Properties>
</file>