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9241B" w14:textId="5C4A9193" w:rsidR="006E4797" w:rsidRPr="0011114B" w:rsidRDefault="00B90DB7" w:rsidP="0011114B">
      <w:pPr>
        <w:pBdr>
          <w:top w:val="nil"/>
          <w:left w:val="nil"/>
          <w:bottom w:val="nil"/>
          <w:right w:val="nil"/>
          <w:between w:val="nil"/>
        </w:pBdr>
        <w:spacing w:line="0" w:lineRule="atLeast"/>
        <w:rPr>
          <w:color w:val="000000" w:themeColor="text1"/>
        </w:rPr>
      </w:pPr>
      <w:r w:rsidRPr="0011114B">
        <w:rPr>
          <w:b/>
          <w:color w:val="000000" w:themeColor="text1"/>
        </w:rPr>
        <w:t>TITLE:</w:t>
      </w:r>
      <w:r w:rsidRPr="0011114B">
        <w:rPr>
          <w:color w:val="000000" w:themeColor="text1"/>
        </w:rPr>
        <w:t xml:space="preserve"> </w:t>
      </w:r>
    </w:p>
    <w:p w14:paraId="06C0C87E" w14:textId="63463A59" w:rsidR="006E4797" w:rsidRPr="0011114B" w:rsidRDefault="00B90DB7" w:rsidP="0011114B">
      <w:pPr>
        <w:spacing w:line="0" w:lineRule="atLeast"/>
        <w:rPr>
          <w:color w:val="000000" w:themeColor="text1"/>
        </w:rPr>
      </w:pPr>
      <w:r w:rsidRPr="0011114B">
        <w:rPr>
          <w:color w:val="000000" w:themeColor="text1"/>
        </w:rPr>
        <w:t xml:space="preserve">Microfluidic Control of Shear Flow and Channel Width </w:t>
      </w:r>
      <w:r w:rsidR="008F3061">
        <w:rPr>
          <w:color w:val="000000" w:themeColor="text1"/>
        </w:rPr>
        <w:t>D</w:t>
      </w:r>
      <w:r w:rsidRPr="0011114B">
        <w:rPr>
          <w:color w:val="000000" w:themeColor="text1"/>
        </w:rPr>
        <w:t>uring Upstream Migration of Differentiated HL-60 Cells</w:t>
      </w:r>
    </w:p>
    <w:p w14:paraId="2B1FB810" w14:textId="77777777" w:rsidR="00D51D91" w:rsidRPr="0011114B" w:rsidRDefault="00D51D91" w:rsidP="0011114B">
      <w:pPr>
        <w:spacing w:line="0" w:lineRule="atLeast"/>
        <w:rPr>
          <w:color w:val="000000" w:themeColor="text1"/>
        </w:rPr>
      </w:pPr>
    </w:p>
    <w:p w14:paraId="2CD8481E" w14:textId="7C73E844" w:rsidR="006E4797" w:rsidRPr="0011114B" w:rsidRDefault="00B90DB7" w:rsidP="0011114B">
      <w:pPr>
        <w:spacing w:line="0" w:lineRule="atLeast"/>
        <w:rPr>
          <w:color w:val="000000" w:themeColor="text1"/>
        </w:rPr>
      </w:pPr>
      <w:r w:rsidRPr="0011114B">
        <w:rPr>
          <w:b/>
          <w:color w:val="000000" w:themeColor="text1"/>
        </w:rPr>
        <w:t xml:space="preserve">AUTHORS AND AFFILIATIONS: </w:t>
      </w:r>
    </w:p>
    <w:p w14:paraId="0E947795" w14:textId="6D72A2D0" w:rsidR="00854D45" w:rsidRPr="0011114B" w:rsidRDefault="00B90DB7" w:rsidP="0011114B">
      <w:pPr>
        <w:spacing w:line="0" w:lineRule="atLeast"/>
        <w:rPr>
          <w:color w:val="000000" w:themeColor="text1"/>
          <w:vertAlign w:val="superscript"/>
        </w:rPr>
      </w:pPr>
      <w:r w:rsidRPr="0011114B">
        <w:rPr>
          <w:color w:val="000000" w:themeColor="text1"/>
        </w:rPr>
        <w:t>Subham Guin</w:t>
      </w:r>
      <w:r w:rsidR="00A52ED0" w:rsidRPr="0011114B">
        <w:rPr>
          <w:color w:val="000000" w:themeColor="text1"/>
        </w:rPr>
        <w:t>†</w:t>
      </w:r>
      <w:r w:rsidRPr="0011114B">
        <w:rPr>
          <w:color w:val="000000" w:themeColor="text1"/>
          <w:vertAlign w:val="superscript"/>
        </w:rPr>
        <w:t>1</w:t>
      </w:r>
      <w:r w:rsidRPr="0011114B">
        <w:rPr>
          <w:color w:val="000000" w:themeColor="text1"/>
        </w:rPr>
        <w:t>, Aman Mittal</w:t>
      </w:r>
      <w:r w:rsidR="00A52ED0" w:rsidRPr="0011114B">
        <w:rPr>
          <w:color w:val="000000" w:themeColor="text1"/>
        </w:rPr>
        <w:t>†</w:t>
      </w:r>
      <w:r w:rsidRPr="0011114B">
        <w:rPr>
          <w:color w:val="000000" w:themeColor="text1"/>
          <w:vertAlign w:val="superscript"/>
        </w:rPr>
        <w:t>1</w:t>
      </w:r>
      <w:r w:rsidRPr="0011114B">
        <w:rPr>
          <w:color w:val="000000" w:themeColor="text1"/>
        </w:rPr>
        <w:t>,</w:t>
      </w:r>
      <w:r w:rsidR="00A52ED0" w:rsidRPr="0011114B">
        <w:rPr>
          <w:color w:val="000000" w:themeColor="text1"/>
        </w:rPr>
        <w:t xml:space="preserve"> Leila Donyaparastlivari</w:t>
      </w:r>
      <w:r w:rsidR="00A52ED0" w:rsidRPr="0011114B">
        <w:rPr>
          <w:color w:val="000000" w:themeColor="text1"/>
          <w:vertAlign w:val="superscript"/>
        </w:rPr>
        <w:t>2</w:t>
      </w:r>
      <w:r w:rsidR="00A52ED0" w:rsidRPr="0011114B">
        <w:rPr>
          <w:color w:val="000000" w:themeColor="text1"/>
        </w:rPr>
        <w:t>,</w:t>
      </w:r>
      <w:r w:rsidRPr="0011114B">
        <w:rPr>
          <w:color w:val="000000" w:themeColor="text1"/>
        </w:rPr>
        <w:t xml:space="preserve"> </w:t>
      </w:r>
      <w:r w:rsidR="00A52ED0" w:rsidRPr="0011114B">
        <w:rPr>
          <w:color w:val="000000" w:themeColor="text1"/>
        </w:rPr>
        <w:t>Amir K. Miri</w:t>
      </w:r>
      <w:r w:rsidR="00A52ED0" w:rsidRPr="0011114B">
        <w:rPr>
          <w:color w:val="000000" w:themeColor="text1"/>
          <w:vertAlign w:val="superscript"/>
        </w:rPr>
        <w:t>1,2</w:t>
      </w:r>
      <w:r w:rsidR="00A52ED0" w:rsidRPr="0011114B">
        <w:rPr>
          <w:color w:val="000000" w:themeColor="text1"/>
        </w:rPr>
        <w:t>,</w:t>
      </w:r>
      <w:r w:rsidR="00D51D91" w:rsidRPr="0011114B">
        <w:rPr>
          <w:color w:val="000000" w:themeColor="text1"/>
        </w:rPr>
        <w:t xml:space="preserve"> </w:t>
      </w:r>
      <w:r w:rsidRPr="0011114B">
        <w:rPr>
          <w:color w:val="000000" w:themeColor="text1"/>
        </w:rPr>
        <w:t>Alexander Buffone, Jr,</w:t>
      </w:r>
      <w:r w:rsidRPr="0011114B">
        <w:rPr>
          <w:color w:val="000000" w:themeColor="text1"/>
          <w:vertAlign w:val="superscript"/>
        </w:rPr>
        <w:t>1,</w:t>
      </w:r>
      <w:r w:rsidR="00A52ED0" w:rsidRPr="0011114B">
        <w:rPr>
          <w:color w:val="000000" w:themeColor="text1"/>
          <w:vertAlign w:val="superscript"/>
        </w:rPr>
        <w:t>3</w:t>
      </w:r>
      <w:r w:rsidRPr="0011114B">
        <w:rPr>
          <w:color w:val="000000" w:themeColor="text1"/>
        </w:rPr>
        <w:t>*</w:t>
      </w:r>
    </w:p>
    <w:p w14:paraId="483F226A" w14:textId="77777777" w:rsidR="00F86805" w:rsidRPr="0011114B" w:rsidRDefault="00F86805" w:rsidP="0011114B">
      <w:pPr>
        <w:spacing w:line="0" w:lineRule="atLeast"/>
        <w:rPr>
          <w:color w:val="000000" w:themeColor="text1"/>
        </w:rPr>
      </w:pPr>
    </w:p>
    <w:p w14:paraId="52CE2BA1" w14:textId="1DB19749" w:rsidR="00854D45" w:rsidRPr="0011114B" w:rsidRDefault="00B90DB7" w:rsidP="0011114B">
      <w:pPr>
        <w:spacing w:line="0" w:lineRule="atLeast"/>
        <w:rPr>
          <w:color w:val="000000" w:themeColor="text1"/>
        </w:rPr>
      </w:pPr>
      <w:r w:rsidRPr="0011114B">
        <w:rPr>
          <w:color w:val="000000" w:themeColor="text1"/>
          <w:vertAlign w:val="superscript"/>
        </w:rPr>
        <w:t>1</w:t>
      </w:r>
      <w:r w:rsidRPr="0011114B">
        <w:rPr>
          <w:color w:val="000000" w:themeColor="text1"/>
        </w:rPr>
        <w:t>Department of Biomedical Engineering, New Jersey Institute of Technology, Newark, NJ 07103</w:t>
      </w:r>
    </w:p>
    <w:p w14:paraId="4F90F55B" w14:textId="56E7B0F5" w:rsidR="00A52ED0" w:rsidRPr="0011114B" w:rsidRDefault="00B90DB7" w:rsidP="0011114B">
      <w:pPr>
        <w:spacing w:line="0" w:lineRule="atLeast"/>
        <w:rPr>
          <w:color w:val="000000" w:themeColor="text1"/>
        </w:rPr>
      </w:pPr>
      <w:r w:rsidRPr="0011114B">
        <w:rPr>
          <w:color w:val="000000" w:themeColor="text1"/>
          <w:vertAlign w:val="superscript"/>
        </w:rPr>
        <w:t>2</w:t>
      </w:r>
      <w:r w:rsidRPr="0011114B">
        <w:rPr>
          <w:color w:val="000000" w:themeColor="text1"/>
        </w:rPr>
        <w:t>Department of Mechanical and Industrial Engineering, New Jersey Institute of Technology, Newark, NJ 07103</w:t>
      </w:r>
    </w:p>
    <w:p w14:paraId="0C47E7AF" w14:textId="652D8518" w:rsidR="00A52ED0" w:rsidRPr="0011114B" w:rsidRDefault="00B90DB7" w:rsidP="0011114B">
      <w:pPr>
        <w:spacing w:line="0" w:lineRule="atLeast"/>
        <w:rPr>
          <w:color w:val="000000" w:themeColor="text1"/>
        </w:rPr>
      </w:pPr>
      <w:r w:rsidRPr="0011114B">
        <w:rPr>
          <w:color w:val="000000" w:themeColor="text1"/>
          <w:vertAlign w:val="superscript"/>
        </w:rPr>
        <w:t>3</w:t>
      </w:r>
      <w:r w:rsidRPr="0011114B">
        <w:rPr>
          <w:color w:val="000000" w:themeColor="text1"/>
        </w:rPr>
        <w:t>Department of Chemical and Materials Engineering, New Jersey Institute of Technology, Newark, NJ 07103</w:t>
      </w:r>
    </w:p>
    <w:p w14:paraId="4A6CAADC" w14:textId="3D8FE1B7" w:rsidR="00854D45" w:rsidRPr="0011114B" w:rsidRDefault="00854D45" w:rsidP="0011114B">
      <w:pPr>
        <w:spacing w:line="0" w:lineRule="atLeast"/>
        <w:rPr>
          <w:color w:val="000000" w:themeColor="text1"/>
        </w:rPr>
      </w:pPr>
    </w:p>
    <w:p w14:paraId="3F3F37E7" w14:textId="2938040E" w:rsidR="00F86805" w:rsidRPr="0011114B" w:rsidRDefault="00B90DB7" w:rsidP="0011114B">
      <w:pPr>
        <w:spacing w:line="0" w:lineRule="atLeast"/>
        <w:rPr>
          <w:color w:val="000000" w:themeColor="text1"/>
        </w:rPr>
      </w:pPr>
      <w:r w:rsidRPr="0011114B">
        <w:rPr>
          <w:color w:val="000000" w:themeColor="text1"/>
        </w:rPr>
        <w:t>†These authors contributed equally to this work.</w:t>
      </w:r>
    </w:p>
    <w:p w14:paraId="174130B1" w14:textId="77777777" w:rsidR="00F86805" w:rsidRPr="0011114B" w:rsidRDefault="00F86805" w:rsidP="0011114B">
      <w:pPr>
        <w:spacing w:line="0" w:lineRule="atLeast"/>
        <w:rPr>
          <w:color w:val="000000" w:themeColor="text1"/>
        </w:rPr>
      </w:pPr>
    </w:p>
    <w:p w14:paraId="4033361B" w14:textId="5253380D" w:rsidR="00F86805" w:rsidRPr="0011114B" w:rsidRDefault="00B90DB7" w:rsidP="0011114B">
      <w:pPr>
        <w:spacing w:line="0" w:lineRule="atLeast"/>
        <w:rPr>
          <w:color w:val="000000" w:themeColor="text1"/>
        </w:rPr>
      </w:pPr>
      <w:r w:rsidRPr="0011114B">
        <w:rPr>
          <w:color w:val="000000" w:themeColor="text1"/>
        </w:rPr>
        <w:t>E-mail addresses of the co-authors:</w:t>
      </w:r>
    </w:p>
    <w:p w14:paraId="02EEA1E1" w14:textId="3C7E681E" w:rsidR="009811DC" w:rsidRPr="0011114B" w:rsidRDefault="009811DC" w:rsidP="0011114B">
      <w:pPr>
        <w:spacing w:line="0" w:lineRule="atLeast"/>
        <w:rPr>
          <w:color w:val="000000" w:themeColor="text1"/>
        </w:rPr>
      </w:pPr>
      <w:r w:rsidRPr="0011114B">
        <w:rPr>
          <w:color w:val="000000" w:themeColor="text1"/>
        </w:rPr>
        <w:t xml:space="preserve">Subham Guin </w:t>
      </w:r>
      <w:r w:rsidRPr="0011114B">
        <w:rPr>
          <w:color w:val="000000" w:themeColor="text1"/>
        </w:rPr>
        <w:tab/>
      </w:r>
      <w:r w:rsidRPr="0011114B">
        <w:rPr>
          <w:color w:val="000000" w:themeColor="text1"/>
        </w:rPr>
        <w:tab/>
      </w:r>
      <w:r w:rsidRPr="0011114B">
        <w:rPr>
          <w:color w:val="000000" w:themeColor="text1"/>
        </w:rPr>
        <w:tab/>
      </w:r>
      <w:r w:rsidRPr="0011114B">
        <w:rPr>
          <w:color w:val="000000" w:themeColor="text1"/>
        </w:rPr>
        <w:tab/>
        <w:t>(sg2689@njit.edu)</w:t>
      </w:r>
    </w:p>
    <w:p w14:paraId="17C4F5DB" w14:textId="586D19EB" w:rsidR="009811DC" w:rsidRPr="0011114B" w:rsidRDefault="009811DC" w:rsidP="0011114B">
      <w:pPr>
        <w:spacing w:line="0" w:lineRule="atLeast"/>
        <w:rPr>
          <w:color w:val="000000" w:themeColor="text1"/>
        </w:rPr>
      </w:pPr>
      <w:r w:rsidRPr="0011114B">
        <w:rPr>
          <w:color w:val="000000" w:themeColor="text1"/>
        </w:rPr>
        <w:t xml:space="preserve">Aman Mittal </w:t>
      </w:r>
      <w:r w:rsidRPr="0011114B">
        <w:rPr>
          <w:color w:val="000000" w:themeColor="text1"/>
        </w:rPr>
        <w:tab/>
      </w:r>
      <w:r w:rsidRPr="0011114B">
        <w:rPr>
          <w:color w:val="000000" w:themeColor="text1"/>
        </w:rPr>
        <w:tab/>
      </w:r>
      <w:r w:rsidRPr="0011114B">
        <w:rPr>
          <w:color w:val="000000" w:themeColor="text1"/>
        </w:rPr>
        <w:tab/>
      </w:r>
      <w:r w:rsidRPr="0011114B">
        <w:rPr>
          <w:color w:val="000000" w:themeColor="text1"/>
        </w:rPr>
        <w:tab/>
        <w:t>(am2926@njit.edu)</w:t>
      </w:r>
    </w:p>
    <w:p w14:paraId="7A18801D" w14:textId="6C883019" w:rsidR="009811DC" w:rsidRPr="0011114B" w:rsidRDefault="009811DC" w:rsidP="0011114B">
      <w:pPr>
        <w:spacing w:line="0" w:lineRule="atLeast"/>
        <w:rPr>
          <w:color w:val="000000" w:themeColor="text1"/>
        </w:rPr>
      </w:pPr>
      <w:r w:rsidRPr="0011114B">
        <w:rPr>
          <w:color w:val="000000" w:themeColor="text1"/>
        </w:rPr>
        <w:t xml:space="preserve">Leila </w:t>
      </w:r>
      <w:proofErr w:type="spellStart"/>
      <w:r w:rsidRPr="0011114B">
        <w:rPr>
          <w:color w:val="000000" w:themeColor="text1"/>
        </w:rPr>
        <w:t>Donyaparastlivari</w:t>
      </w:r>
      <w:proofErr w:type="spellEnd"/>
      <w:r w:rsidRPr="0011114B">
        <w:rPr>
          <w:color w:val="000000" w:themeColor="text1"/>
        </w:rPr>
        <w:t xml:space="preserve"> </w:t>
      </w:r>
      <w:r w:rsidRPr="0011114B">
        <w:rPr>
          <w:color w:val="000000" w:themeColor="text1"/>
        </w:rPr>
        <w:tab/>
      </w:r>
      <w:r w:rsidRPr="0011114B">
        <w:rPr>
          <w:color w:val="000000" w:themeColor="text1"/>
        </w:rPr>
        <w:tab/>
        <w:t>(ld362@njit.edu)</w:t>
      </w:r>
    </w:p>
    <w:p w14:paraId="18F7DA2A" w14:textId="3FAA2638" w:rsidR="009811DC" w:rsidRPr="0011114B" w:rsidRDefault="009811DC" w:rsidP="0011114B">
      <w:pPr>
        <w:spacing w:line="0" w:lineRule="atLeast"/>
        <w:rPr>
          <w:color w:val="000000" w:themeColor="text1"/>
        </w:rPr>
      </w:pPr>
      <w:r w:rsidRPr="0011114B">
        <w:rPr>
          <w:color w:val="000000" w:themeColor="text1"/>
        </w:rPr>
        <w:t xml:space="preserve">Amir K. Miri </w:t>
      </w:r>
      <w:r w:rsidRPr="0011114B">
        <w:rPr>
          <w:color w:val="000000" w:themeColor="text1"/>
        </w:rPr>
        <w:tab/>
      </w:r>
      <w:r w:rsidRPr="0011114B">
        <w:rPr>
          <w:color w:val="000000" w:themeColor="text1"/>
        </w:rPr>
        <w:tab/>
      </w:r>
      <w:r w:rsidRPr="0011114B">
        <w:rPr>
          <w:color w:val="000000" w:themeColor="text1"/>
        </w:rPr>
        <w:tab/>
      </w:r>
      <w:r w:rsidRPr="0011114B">
        <w:rPr>
          <w:color w:val="000000" w:themeColor="text1"/>
        </w:rPr>
        <w:tab/>
        <w:t>(am3296@njit.edu)</w:t>
      </w:r>
    </w:p>
    <w:p w14:paraId="77793A06" w14:textId="77777777" w:rsidR="009811DC" w:rsidRPr="0011114B" w:rsidRDefault="009811DC" w:rsidP="0011114B">
      <w:pPr>
        <w:spacing w:line="0" w:lineRule="atLeast"/>
        <w:rPr>
          <w:color w:val="000000" w:themeColor="text1"/>
        </w:rPr>
      </w:pPr>
    </w:p>
    <w:p w14:paraId="00B3DDF0" w14:textId="77777777" w:rsidR="009811DC" w:rsidRPr="0011114B" w:rsidRDefault="009811DC" w:rsidP="0011114B">
      <w:pPr>
        <w:spacing w:line="0" w:lineRule="atLeast"/>
        <w:rPr>
          <w:color w:val="000000" w:themeColor="text1"/>
        </w:rPr>
      </w:pPr>
      <w:r w:rsidRPr="0011114B">
        <w:rPr>
          <w:color w:val="000000" w:themeColor="text1"/>
        </w:rPr>
        <w:t>*Corresponding author:</w:t>
      </w:r>
    </w:p>
    <w:p w14:paraId="0F55E714" w14:textId="77777777" w:rsidR="009811DC" w:rsidRPr="0011114B" w:rsidRDefault="009811DC" w:rsidP="0011114B">
      <w:pPr>
        <w:spacing w:line="0" w:lineRule="atLeast"/>
        <w:rPr>
          <w:color w:val="000000" w:themeColor="text1"/>
        </w:rPr>
      </w:pPr>
      <w:r w:rsidRPr="0011114B">
        <w:rPr>
          <w:color w:val="000000" w:themeColor="text1"/>
        </w:rPr>
        <w:t xml:space="preserve">Alexander Buffone </w:t>
      </w:r>
      <w:r w:rsidRPr="0011114B">
        <w:rPr>
          <w:color w:val="000000" w:themeColor="text1"/>
        </w:rPr>
        <w:tab/>
      </w:r>
      <w:r w:rsidRPr="0011114B">
        <w:rPr>
          <w:color w:val="000000" w:themeColor="text1"/>
        </w:rPr>
        <w:tab/>
      </w:r>
      <w:r w:rsidRPr="0011114B">
        <w:rPr>
          <w:color w:val="000000" w:themeColor="text1"/>
        </w:rPr>
        <w:tab/>
        <w:t>(</w:t>
      </w:r>
      <w:hyperlink r:id="rId8" w:history="1">
        <w:r w:rsidRPr="0011114B">
          <w:rPr>
            <w:rStyle w:val="Hyperlink"/>
            <w:color w:val="000000" w:themeColor="text1"/>
          </w:rPr>
          <w:t>ab2574@njit.edu</w:t>
        </w:r>
      </w:hyperlink>
      <w:r w:rsidRPr="0011114B">
        <w:rPr>
          <w:color w:val="000000" w:themeColor="text1"/>
        </w:rPr>
        <w:t>)</w:t>
      </w:r>
    </w:p>
    <w:p w14:paraId="03BFD693" w14:textId="77777777" w:rsidR="00A52ED0" w:rsidRPr="0011114B" w:rsidRDefault="00A52ED0" w:rsidP="0011114B">
      <w:pPr>
        <w:spacing w:line="0" w:lineRule="atLeast"/>
        <w:rPr>
          <w:color w:val="000000" w:themeColor="text1"/>
        </w:rPr>
      </w:pPr>
    </w:p>
    <w:p w14:paraId="60F3B8D4" w14:textId="6A756692" w:rsidR="006E4797" w:rsidRPr="0011114B" w:rsidRDefault="00B90DB7" w:rsidP="0011114B">
      <w:pPr>
        <w:spacing w:line="0" w:lineRule="atLeast"/>
        <w:rPr>
          <w:color w:val="000000" w:themeColor="text1"/>
        </w:rPr>
      </w:pPr>
      <w:r w:rsidRPr="0011114B">
        <w:rPr>
          <w:b/>
          <w:color w:val="000000" w:themeColor="text1"/>
        </w:rPr>
        <w:t>SUMMARY:</w:t>
      </w:r>
      <w:r w:rsidRPr="0011114B">
        <w:rPr>
          <w:color w:val="000000" w:themeColor="text1"/>
        </w:rPr>
        <w:t xml:space="preserve"> </w:t>
      </w:r>
    </w:p>
    <w:p w14:paraId="74EFC8D7" w14:textId="76DC6681" w:rsidR="006E4797" w:rsidRPr="0011114B" w:rsidRDefault="00B90DB7" w:rsidP="0011114B">
      <w:pPr>
        <w:spacing w:line="0" w:lineRule="atLeast"/>
        <w:rPr>
          <w:color w:val="000000" w:themeColor="text1"/>
        </w:rPr>
      </w:pPr>
      <w:r w:rsidRPr="0011114B">
        <w:rPr>
          <w:color w:val="000000" w:themeColor="text1"/>
        </w:rPr>
        <w:t>This protocol describes the fabrication and use of a custom microfluidic device with varied channel widths to investigate the effects of shear flow and channel geometry on the migration of differentiated HL-60 cells.</w:t>
      </w:r>
      <w:r w:rsidR="00E87E00" w:rsidRPr="0011114B">
        <w:rPr>
          <w:color w:val="000000" w:themeColor="text1"/>
        </w:rPr>
        <w:t xml:space="preserve"> </w:t>
      </w:r>
    </w:p>
    <w:p w14:paraId="31DDA0BB" w14:textId="77777777" w:rsidR="00E87E00" w:rsidRPr="0011114B" w:rsidRDefault="00E87E00" w:rsidP="0011114B">
      <w:pPr>
        <w:spacing w:line="0" w:lineRule="atLeast"/>
        <w:rPr>
          <w:color w:val="000000" w:themeColor="text1"/>
        </w:rPr>
      </w:pPr>
    </w:p>
    <w:p w14:paraId="2DF8E628" w14:textId="0B98A7D2" w:rsidR="006E4797" w:rsidRPr="0011114B" w:rsidRDefault="00B90DB7" w:rsidP="0011114B">
      <w:pPr>
        <w:spacing w:line="0" w:lineRule="atLeast"/>
        <w:rPr>
          <w:color w:val="000000" w:themeColor="text1"/>
        </w:rPr>
      </w:pPr>
      <w:r w:rsidRPr="0011114B">
        <w:rPr>
          <w:b/>
          <w:color w:val="000000" w:themeColor="text1"/>
        </w:rPr>
        <w:t>ABSTRACT:</w:t>
      </w:r>
      <w:r w:rsidRPr="0011114B">
        <w:rPr>
          <w:color w:val="000000" w:themeColor="text1"/>
        </w:rPr>
        <w:t xml:space="preserve"> </w:t>
      </w:r>
    </w:p>
    <w:p w14:paraId="40A249E6" w14:textId="3F52CF15" w:rsidR="006E4797" w:rsidRPr="0011114B" w:rsidRDefault="00B90DB7" w:rsidP="0011114B">
      <w:pPr>
        <w:pStyle w:val="BodyText"/>
        <w:spacing w:line="0" w:lineRule="atLeast"/>
        <w:ind w:right="354"/>
        <w:rPr>
          <w:rFonts w:ascii="Calibri" w:hAnsi="Calibri" w:cs="Calibri"/>
          <w:color w:val="000000" w:themeColor="text1"/>
          <w:sz w:val="24"/>
          <w:szCs w:val="24"/>
        </w:rPr>
      </w:pPr>
      <w:r w:rsidRPr="0011114B">
        <w:rPr>
          <w:rFonts w:ascii="Calibri" w:hAnsi="Calibri" w:cs="Calibri"/>
          <w:color w:val="000000" w:themeColor="text1"/>
          <w:sz w:val="24"/>
          <w:szCs w:val="24"/>
        </w:rPr>
        <w:t>Neutrophil migration is influenced by mechanical cues within the vascular environment, including shear flow and changes in vessel geometry. This protocol describes the fabrication and use of a custom microfluidic platform designed to investigate cell migration under controlled shear flow across channels of different widths. The device incorporates artery-like, narrow capillary-like, and vein-like regions with channel widths of 1.25, 0.05, and 2.5 mm, respectively. Differentiated HL-60 cells are used as the experimental model, and migration is evaluated under a target shear rate of 800 s</w:t>
      </w:r>
      <w:r w:rsidRPr="0011114B">
        <w:rPr>
          <w:rFonts w:ascii="Calibri" w:hAnsi="Calibri" w:cs="Calibri"/>
          <w:color w:val="000000" w:themeColor="text1"/>
          <w:sz w:val="24"/>
          <w:szCs w:val="24"/>
          <w:vertAlign w:val="superscript"/>
        </w:rPr>
        <w:t>−1</w:t>
      </w:r>
      <w:r w:rsidRPr="0011114B">
        <w:rPr>
          <w:rFonts w:ascii="Calibri" w:hAnsi="Calibri" w:cs="Calibri"/>
          <w:color w:val="000000" w:themeColor="text1"/>
          <w:sz w:val="24"/>
          <w:szCs w:val="24"/>
        </w:rPr>
        <w:t xml:space="preserve"> on an intercellular adhesion molecule 1 (ICAM-1)-functionalized surface. The protocol details device fabrication, surface functionalization, flow-chamber assembly, cell preparation, migration experiments, and trajectory analysis. Cell trajectories are quantified using migration index, percentage of cells migrating upstream, motility coefficient, persistence time, and migration speed. The platform can also be used to examine changes in migration following blockade of cluster of differentiation 11b (CD11b). Under the conditions presented here, CD11b-blocked differentiated HL-60 cells exhibit </w:t>
      </w:r>
      <w:r w:rsidRPr="0011114B">
        <w:rPr>
          <w:rFonts w:ascii="Calibri" w:hAnsi="Calibri" w:cs="Calibri"/>
          <w:color w:val="000000" w:themeColor="text1"/>
          <w:sz w:val="24"/>
          <w:szCs w:val="24"/>
        </w:rPr>
        <w:lastRenderedPageBreak/>
        <w:t>upstream migration in the artery-like and vein-like regions, whereas this upstream migratory response is weakened in the narrow capillary-like region. This protocol provides a controlled microfluidic approach for examining how shear flow and channel geometry are associated with the directionality and motility of differentiated HL-60 cells.</w:t>
      </w:r>
    </w:p>
    <w:p w14:paraId="2CF9CD54" w14:textId="77777777" w:rsidR="006E4797" w:rsidRPr="0011114B" w:rsidRDefault="006E4797" w:rsidP="0011114B">
      <w:pPr>
        <w:spacing w:line="0" w:lineRule="atLeast"/>
        <w:rPr>
          <w:color w:val="000000" w:themeColor="text1"/>
        </w:rPr>
      </w:pPr>
    </w:p>
    <w:p w14:paraId="69CD7C65" w14:textId="354ACA9D" w:rsidR="00E87E00" w:rsidRPr="0011114B" w:rsidRDefault="00B90DB7" w:rsidP="0011114B">
      <w:pPr>
        <w:spacing w:line="0" w:lineRule="atLeast"/>
        <w:rPr>
          <w:b/>
          <w:bCs/>
          <w:color w:val="000000" w:themeColor="text1"/>
        </w:rPr>
      </w:pPr>
      <w:r w:rsidRPr="0011114B">
        <w:rPr>
          <w:b/>
          <w:bCs/>
          <w:color w:val="000000" w:themeColor="text1"/>
        </w:rPr>
        <w:t>INTRODU</w:t>
      </w:r>
      <w:r w:rsidR="00774ACF" w:rsidRPr="0011114B">
        <w:rPr>
          <w:b/>
          <w:bCs/>
          <w:color w:val="000000" w:themeColor="text1"/>
        </w:rPr>
        <w:t>C</w:t>
      </w:r>
      <w:r w:rsidRPr="0011114B">
        <w:rPr>
          <w:b/>
          <w:bCs/>
          <w:color w:val="000000" w:themeColor="text1"/>
        </w:rPr>
        <w:t>TION:</w:t>
      </w:r>
    </w:p>
    <w:p w14:paraId="766D36D9" w14:textId="2B5C2DFB" w:rsidR="00CC7BFD" w:rsidRPr="0011114B" w:rsidRDefault="00B90DB7" w:rsidP="0011114B">
      <w:pPr>
        <w:spacing w:line="0" w:lineRule="atLeast"/>
        <w:rPr>
          <w:color w:val="000000" w:themeColor="text1"/>
          <w:lang w:val="en-IN"/>
        </w:rPr>
      </w:pPr>
      <w:r w:rsidRPr="0011114B">
        <w:rPr>
          <w:color w:val="000000" w:themeColor="text1"/>
          <w:lang w:val="en-IN"/>
        </w:rPr>
        <w:t>The migration of immune cells along the endothelium is a vital process during inflammation. The direction, speed, and timing of cell movement to sites of inflammation contribute to determining the immune response</w:t>
      </w:r>
      <w:r w:rsidRPr="0011114B">
        <w:rPr>
          <w:color w:val="000000" w:themeColor="text1"/>
          <w:vertAlign w:val="superscript"/>
          <w:lang w:val="en-IN"/>
        </w:rPr>
        <w:t>1</w:t>
      </w:r>
      <w:r w:rsidRPr="0011114B">
        <w:rPr>
          <w:color w:val="000000" w:themeColor="text1"/>
          <w:lang w:val="en-IN"/>
        </w:rPr>
        <w:t>. Annually, chronic inflammation poses a significant health risk to nearly 6 in 10 Americans</w:t>
      </w:r>
      <w:r w:rsidRPr="0011114B">
        <w:rPr>
          <w:color w:val="000000" w:themeColor="text1"/>
          <w:vertAlign w:val="superscript"/>
          <w:lang w:val="en-IN"/>
        </w:rPr>
        <w:t>2</w:t>
      </w:r>
      <w:r w:rsidRPr="0011114B">
        <w:rPr>
          <w:color w:val="000000" w:themeColor="text1"/>
          <w:lang w:val="en-IN"/>
        </w:rPr>
        <w:t>. During an inflammatory insult, neutrophils, as first responders in the immune response, must traffic to sites of inflammation through a discrete, stepwise process known as the leukocyte adhesion cascade. Initially, circulating neutrophils roll on the apical surface of the endothelium through selectin-mediated interactions</w:t>
      </w:r>
      <w:r w:rsidRPr="0011114B">
        <w:rPr>
          <w:color w:val="000000" w:themeColor="text1"/>
          <w:vertAlign w:val="superscript"/>
          <w:lang w:val="en-IN"/>
        </w:rPr>
        <w:t>3,4</w:t>
      </w:r>
      <w:r w:rsidRPr="0011114B">
        <w:rPr>
          <w:color w:val="000000" w:themeColor="text1"/>
          <w:lang w:val="en-IN"/>
        </w:rPr>
        <w:t>. This rolling is halted by stronger anchoring interactions facilitated by macrophage antigen-1 (Mac-1) and lymphocyte function-associated antigen 1 (LFA-1) integrins on the surface of leukocytes, which bind to intercellular adhesion molecule 1 (ICAM-1) on endothelial cells</w:t>
      </w:r>
      <w:r w:rsidRPr="0011114B">
        <w:rPr>
          <w:color w:val="000000" w:themeColor="text1"/>
          <w:vertAlign w:val="superscript"/>
          <w:lang w:val="en-IN"/>
        </w:rPr>
        <w:t>5</w:t>
      </w:r>
      <w:r w:rsidRPr="0011114B">
        <w:rPr>
          <w:color w:val="000000" w:themeColor="text1"/>
          <w:lang w:val="en-IN"/>
        </w:rPr>
        <w:t>. Following this process, neutrophils migrate along the surface of the endothelium and transmigrate across it to reach distal inflammatory sites. Previous work has examined the role of directional migration in the trafficking of cells to sites of inflammation. After anchoring to the endothelium, neutrophils demonstrate migration in the direction of flow prior to transmigration, referred to as downstream migration, due to the binding of Mac-1 to ICAM-1. However, similar work conducted with naive T cells and hematopoietic stem and progenitor cells (HSPCs) demonstrates migration against the direction of flow, referred to as upstream migration</w:t>
      </w:r>
      <w:r w:rsidRPr="0011114B">
        <w:rPr>
          <w:color w:val="000000" w:themeColor="text1"/>
          <w:vertAlign w:val="superscript"/>
          <w:lang w:val="en-IN"/>
        </w:rPr>
        <w:t>1,6–8</w:t>
      </w:r>
      <w:r w:rsidRPr="0011114B">
        <w:rPr>
          <w:color w:val="000000" w:themeColor="text1"/>
          <w:lang w:val="en-IN"/>
        </w:rPr>
        <w:t>. As these cells lack the Mac-1 integrin, LFA-1 and ICAM-1 interactions mediate this upstream migration. Physiologically, upstream migration has been shown to facilitate faster transmigration of T cells, thereby providing a mechanism for recruiting leukocytes to sites of inflammation more quickly</w:t>
      </w:r>
      <w:r w:rsidRPr="0011114B">
        <w:rPr>
          <w:color w:val="000000" w:themeColor="text1"/>
          <w:vertAlign w:val="superscript"/>
          <w:lang w:val="en-IN"/>
        </w:rPr>
        <w:t>9</w:t>
      </w:r>
      <w:r w:rsidRPr="0011114B">
        <w:rPr>
          <w:color w:val="000000" w:themeColor="text1"/>
          <w:lang w:val="en-IN"/>
        </w:rPr>
        <w:t>. In neutrophils, blocking Mac-1 facilitates upstream migration</w:t>
      </w:r>
      <w:r w:rsidRPr="0011114B">
        <w:rPr>
          <w:color w:val="000000" w:themeColor="text1"/>
          <w:vertAlign w:val="superscript"/>
          <w:lang w:val="en-IN"/>
        </w:rPr>
        <w:t>7</w:t>
      </w:r>
      <w:r w:rsidRPr="0011114B">
        <w:rPr>
          <w:color w:val="000000" w:themeColor="text1"/>
          <w:lang w:val="en-IN"/>
        </w:rPr>
        <w:t>. Collectively, these findings demonstrate that immune cells employ distinct modes of motility to govern their migration under shear flow.</w:t>
      </w:r>
    </w:p>
    <w:p w14:paraId="7006E1DC" w14:textId="77777777" w:rsidR="00CC7BFD" w:rsidRPr="0011114B" w:rsidRDefault="00CC7BFD" w:rsidP="0011114B">
      <w:pPr>
        <w:spacing w:line="0" w:lineRule="atLeast"/>
        <w:rPr>
          <w:color w:val="000000" w:themeColor="text1"/>
          <w:lang w:val="en-IN"/>
        </w:rPr>
      </w:pPr>
    </w:p>
    <w:p w14:paraId="56DE22E2" w14:textId="5BC3B9EE" w:rsidR="00CC7BFD" w:rsidRPr="0011114B" w:rsidRDefault="00B90DB7" w:rsidP="0011114B">
      <w:pPr>
        <w:spacing w:line="0" w:lineRule="atLeast"/>
        <w:rPr>
          <w:color w:val="000000" w:themeColor="text1"/>
          <w:lang w:val="en-IN"/>
        </w:rPr>
      </w:pPr>
      <w:r w:rsidRPr="0011114B">
        <w:rPr>
          <w:color w:val="000000" w:themeColor="text1"/>
          <w:lang w:val="en-IN"/>
        </w:rPr>
        <w:t>Not all inflammatory insults involve recruitment from arteries or post-capillary venules, although existing devices accurately recapitulate immune cells exiting the vasculature. It is well known that airway inflammation recruits immune cells from the capillary network, where migration speeds are significantly slower and cells must deform to pass through small capillary diameters. Therefore, we hypothesize that the type of vasculature from which cells are recruited will affect force generation, transmigration capacity across the endothelium, and upstream migration propensity</w:t>
      </w:r>
      <w:r w:rsidRPr="0011114B">
        <w:rPr>
          <w:color w:val="000000" w:themeColor="text1"/>
          <w:vertAlign w:val="superscript"/>
          <w:lang w:val="en-IN"/>
        </w:rPr>
        <w:t>10</w:t>
      </w:r>
      <w:r w:rsidRPr="0011114B">
        <w:rPr>
          <w:color w:val="000000" w:themeColor="text1"/>
          <w:lang w:val="en-IN"/>
        </w:rPr>
        <w:t>. Here, we present a microfluidic device platform that utilizes basic microfabrication techniques and relatively low-cost materials to conduct leukocyte migration studies under shear flow and model different vascular geometries and immune cell dynamics. We selected channel widths intended to approximate different vascular dimensions. The artery-like region is 1.25 mm wide, the capillary-like region is 0.05 mm wide, and the vein-like region is 2.5 mm wide</w:t>
      </w:r>
      <w:r w:rsidRPr="0011114B">
        <w:rPr>
          <w:color w:val="000000" w:themeColor="text1"/>
          <w:vertAlign w:val="superscript"/>
          <w:lang w:val="en-IN"/>
        </w:rPr>
        <w:t>11</w:t>
      </w:r>
      <w:r w:rsidRPr="0011114B">
        <w:rPr>
          <w:color w:val="000000" w:themeColor="text1"/>
          <w:lang w:val="en-IN"/>
        </w:rPr>
        <w:t>. Physiological capillaries are typically 0.005–0.01 mm wide</w:t>
      </w:r>
      <w:r w:rsidRPr="0011114B">
        <w:rPr>
          <w:color w:val="000000" w:themeColor="text1"/>
          <w:vertAlign w:val="superscript"/>
          <w:lang w:val="en-IN"/>
        </w:rPr>
        <w:t>12</w:t>
      </w:r>
      <w:r w:rsidRPr="0011114B">
        <w:rPr>
          <w:color w:val="000000" w:themeColor="text1"/>
          <w:lang w:val="en-IN"/>
        </w:rPr>
        <w:t xml:space="preserve">; however, a channel width below 0.05 mm could not be fabricated using the laser cutter and gasket material employed in this method. Thus, the 0.05 mm region represents a capillary-like geometric condition rather than physical confinement equivalent to that experienced by cells within physiological capillaries. The </w:t>
      </w:r>
      <w:r w:rsidRPr="0011114B">
        <w:rPr>
          <w:color w:val="000000" w:themeColor="text1"/>
          <w:lang w:val="en-IN"/>
        </w:rPr>
        <w:lastRenderedPageBreak/>
        <w:t>device enables live-cell tracking of immune cell migration under shear flow across channels of different widths. The microfluidic device consists of a rectangular parallel-plate flow chamber</w:t>
      </w:r>
      <w:r w:rsidRPr="0011114B">
        <w:rPr>
          <w:color w:val="000000" w:themeColor="text1"/>
          <w:vertAlign w:val="superscript"/>
          <w:lang w:val="en-IN"/>
        </w:rPr>
        <w:t>13</w:t>
      </w:r>
      <w:r w:rsidRPr="0011114B">
        <w:rPr>
          <w:color w:val="000000" w:themeColor="text1"/>
          <w:lang w:val="en-IN"/>
        </w:rPr>
        <w:t xml:space="preserve"> with one inlet and one outlet, a microfabricated gasket that defines the varying channel widths, and space for a microscope slide that can be coated with endothelial ligands relevant to leukocyte directional migration. The device is connected to a syringe pump that regulates flow rates across the varying channel widths (</w:t>
      </w:r>
      <w:r w:rsidRPr="0011114B">
        <w:rPr>
          <w:b/>
          <w:bCs/>
          <w:color w:val="000000" w:themeColor="text1"/>
          <w:lang w:val="en-IN"/>
        </w:rPr>
        <w:t>Figure 1</w:t>
      </w:r>
      <w:r w:rsidRPr="0011114B">
        <w:rPr>
          <w:color w:val="000000" w:themeColor="text1"/>
          <w:lang w:val="en-IN"/>
        </w:rPr>
        <w:t>). By incorporating three distinct channel profiles into a single gasket structure, this microfluidic platform allows researchers to generate and compare migration time-lapse videos across a single microscope slide.</w:t>
      </w:r>
    </w:p>
    <w:p w14:paraId="402C13AE" w14:textId="77777777" w:rsidR="00CC7BFD" w:rsidRPr="0011114B" w:rsidRDefault="00CC7BFD" w:rsidP="0011114B">
      <w:pPr>
        <w:spacing w:line="0" w:lineRule="atLeast"/>
        <w:rPr>
          <w:color w:val="000000" w:themeColor="text1"/>
          <w:lang w:val="en-IN"/>
        </w:rPr>
      </w:pPr>
    </w:p>
    <w:p w14:paraId="17C1763A" w14:textId="67D7FE9D" w:rsidR="00CC7BFD" w:rsidRPr="0011114B" w:rsidRDefault="00B90DB7" w:rsidP="0011114B">
      <w:pPr>
        <w:spacing w:line="0" w:lineRule="atLeast"/>
        <w:rPr>
          <w:color w:val="000000" w:themeColor="text1"/>
          <w:lang w:val="en-IN"/>
        </w:rPr>
      </w:pPr>
      <w:r w:rsidRPr="0011114B">
        <w:rPr>
          <w:color w:val="000000" w:themeColor="text1"/>
          <w:lang w:val="en-IN"/>
        </w:rPr>
        <w:t xml:space="preserve">[Place </w:t>
      </w:r>
      <w:r w:rsidRPr="0011114B">
        <w:rPr>
          <w:b/>
          <w:bCs/>
          <w:color w:val="000000" w:themeColor="text1"/>
          <w:lang w:val="en-IN"/>
        </w:rPr>
        <w:t>Figure 1</w:t>
      </w:r>
      <w:r w:rsidRPr="0011114B">
        <w:rPr>
          <w:color w:val="000000" w:themeColor="text1"/>
          <w:lang w:val="en-IN"/>
        </w:rPr>
        <w:t xml:space="preserve"> here.]</w:t>
      </w:r>
    </w:p>
    <w:p w14:paraId="34ED5006" w14:textId="77777777" w:rsidR="00CC7BFD" w:rsidRPr="0011114B" w:rsidRDefault="00CC7BFD" w:rsidP="0011114B">
      <w:pPr>
        <w:spacing w:line="0" w:lineRule="atLeast"/>
        <w:rPr>
          <w:color w:val="000000" w:themeColor="text1"/>
          <w:lang w:val="en-IN"/>
        </w:rPr>
      </w:pPr>
    </w:p>
    <w:p w14:paraId="22ED2247" w14:textId="3837F0BB" w:rsidR="00CC7BFD" w:rsidRPr="0011114B" w:rsidRDefault="00B90DB7" w:rsidP="0011114B">
      <w:pPr>
        <w:spacing w:line="0" w:lineRule="atLeast"/>
        <w:rPr>
          <w:color w:val="000000" w:themeColor="text1"/>
          <w:lang w:val="en-IN"/>
        </w:rPr>
      </w:pPr>
      <w:r w:rsidRPr="0011114B">
        <w:rPr>
          <w:color w:val="000000" w:themeColor="text1"/>
          <w:lang w:val="en-IN"/>
        </w:rPr>
        <w:t>While these distinct modes of directional migration define leukocyte trafficking under blood flow, this paradigm has largely been investigated in vascular models that recapitulate post-capillary high endothelial venules (HEVs). As such, previous work, including microfluidic device platforms used to recapitulate dynamic fluid flow, provides models for inflammatory conditions involving the recruitment of leukocytes from HEVs</w:t>
      </w:r>
      <w:r w:rsidRPr="0011114B">
        <w:rPr>
          <w:color w:val="000000" w:themeColor="text1"/>
          <w:vertAlign w:val="superscript"/>
          <w:lang w:val="en-IN"/>
        </w:rPr>
        <w:t>14</w:t>
      </w:r>
      <w:r w:rsidRPr="0011114B">
        <w:rPr>
          <w:color w:val="000000" w:themeColor="text1"/>
          <w:lang w:val="en-IN"/>
        </w:rPr>
        <w:t>. Crohn’s disease, for instance, represents an inflammatory condition in which colitis and ileitis, inflammation of the large and small intestine, respectively, lead to enlarged lymph nodes, ultimately resulting in infiltration of peritoneal fluid with an enlarged peritoneum. Here, activated HEVs serve as the medium that dictates neutrophil recruitment to the peritoneal cavity</w:t>
      </w:r>
      <w:r w:rsidRPr="0011114B">
        <w:rPr>
          <w:color w:val="000000" w:themeColor="text1"/>
          <w:vertAlign w:val="superscript"/>
          <w:lang w:val="en-IN"/>
        </w:rPr>
        <w:t>15</w:t>
      </w:r>
      <w:r w:rsidRPr="0011114B">
        <w:rPr>
          <w:color w:val="000000" w:themeColor="text1"/>
          <w:lang w:val="en-IN"/>
        </w:rPr>
        <w:t>. However, the physiological relevance of previously identified modes of directional migration remains contingent upon the microvasculature of the tissue in which the inflammatory condition manifests. In airway inflammatory conditions such as acute respiratory distress syndrome (ARDS), dysregulated leukocyte recruitment exacerbates alveolar-capillary damage, leading to severe lung injury</w:t>
      </w:r>
      <w:r w:rsidRPr="0011114B">
        <w:rPr>
          <w:color w:val="000000" w:themeColor="text1"/>
          <w:vertAlign w:val="superscript"/>
          <w:lang w:val="en-IN"/>
        </w:rPr>
        <w:t>16</w:t>
      </w:r>
      <w:r w:rsidRPr="0011114B">
        <w:rPr>
          <w:color w:val="000000" w:themeColor="text1"/>
          <w:lang w:val="en-IN"/>
        </w:rPr>
        <w:t>. The primary medium for inflammatory cell recruitment shifts from HEVs to pulmonary capillaries, where migration speeds are significantly slower and immune cells must deform to pass through small capillary diameters. Accordingly, the propensity of leukocytes to migrate upstream in these geometrically restricted environments has yet to be explored. Thus, there remains an outstanding need for a microfluidic device platform capable of examining migrating leukocytes across different microvascular geometries.</w:t>
      </w:r>
    </w:p>
    <w:p w14:paraId="588E6235" w14:textId="77777777" w:rsidR="00CC7BFD" w:rsidRPr="0011114B" w:rsidRDefault="00CC7BFD" w:rsidP="0011114B">
      <w:pPr>
        <w:spacing w:line="0" w:lineRule="atLeast"/>
        <w:rPr>
          <w:color w:val="000000" w:themeColor="text1"/>
          <w:lang w:val="en-IN"/>
        </w:rPr>
      </w:pPr>
    </w:p>
    <w:p w14:paraId="7E48C007" w14:textId="71B2C663" w:rsidR="00CC7BFD" w:rsidRPr="0011114B" w:rsidRDefault="00B90DB7" w:rsidP="0011114B">
      <w:pPr>
        <w:spacing w:line="0" w:lineRule="atLeast"/>
        <w:rPr>
          <w:color w:val="000000" w:themeColor="text1"/>
          <w:lang w:val="en-IN"/>
        </w:rPr>
      </w:pPr>
      <w:r w:rsidRPr="0011114B">
        <w:rPr>
          <w:color w:val="000000" w:themeColor="text1"/>
          <w:lang w:val="en-IN"/>
        </w:rPr>
        <w:t>The innovation of this work lies in the development of a microfluidic device designed to model two mechanical features relevant to neutrophil migration in the vasculature: 1) shear flow and 2) changes in vascular geometry, including the narrower dimensions associated with capillaries. The device enables control of shear flow rate and incorporates three distinct channel widths corresponding to the vein-like, capillary-like, and artery-like regions described above. The overall goal of the method is to enable controlled investigation of how shear flow and channel geometry are associated with neutrophil directional migration, including migration against the direction of shear flow. Previous work has demonstrated that upstream migration can facilitate faster transmigration through the vasculature to sites of inflammation</w:t>
      </w:r>
      <w:r w:rsidRPr="0011114B">
        <w:rPr>
          <w:color w:val="000000" w:themeColor="text1"/>
          <w:vertAlign w:val="superscript"/>
          <w:lang w:val="en-IN"/>
        </w:rPr>
        <w:t>9</w:t>
      </w:r>
      <w:r w:rsidRPr="0011114B">
        <w:rPr>
          <w:color w:val="000000" w:themeColor="text1"/>
          <w:lang w:val="en-IN"/>
        </w:rPr>
        <w:t xml:space="preserve">. Continued development of engineered microfluidic models that recapitulate selected features of neutrophil trafficking during acute inflammation may help advance the investigation of how mechanical features of the vascular environment are associated with upstream migration. </w:t>
      </w:r>
      <w:r w:rsidR="00916D49" w:rsidRPr="0011114B">
        <w:rPr>
          <w:color w:val="000000" w:themeColor="text1"/>
        </w:rPr>
        <w:t xml:space="preserve">Compared with approaches focused on a single channel geometry, the present platform incorporates three channel widths </w:t>
      </w:r>
      <w:r w:rsidR="00916D49" w:rsidRPr="0011114B">
        <w:rPr>
          <w:color w:val="000000" w:themeColor="text1"/>
        </w:rPr>
        <w:lastRenderedPageBreak/>
        <w:t>into a single device and permits comparative live-cell migration imaging on a single microscope slide</w:t>
      </w:r>
      <w:r w:rsidR="00916D49" w:rsidRPr="0011114B">
        <w:rPr>
          <w:color w:val="000000" w:themeColor="text1"/>
          <w:vertAlign w:val="superscript"/>
        </w:rPr>
        <w:t>17</w:t>
      </w:r>
      <w:r w:rsidR="00916D49" w:rsidRPr="0011114B">
        <w:rPr>
          <w:color w:val="000000" w:themeColor="text1"/>
        </w:rPr>
        <w:t>.</w:t>
      </w:r>
    </w:p>
    <w:p w14:paraId="176C7BF8" w14:textId="77777777" w:rsidR="00CC7BFD" w:rsidRPr="0011114B" w:rsidRDefault="00CC7BFD" w:rsidP="0011114B">
      <w:pPr>
        <w:spacing w:line="0" w:lineRule="atLeast"/>
        <w:rPr>
          <w:color w:val="000000" w:themeColor="text1"/>
          <w:lang w:val="en-IN"/>
        </w:rPr>
      </w:pPr>
    </w:p>
    <w:p w14:paraId="47FBBC43" w14:textId="775C2D46" w:rsidR="00CC7BFD" w:rsidRPr="0011114B" w:rsidRDefault="00B90DB7" w:rsidP="0011114B">
      <w:pPr>
        <w:spacing w:line="0" w:lineRule="atLeast"/>
        <w:rPr>
          <w:color w:val="000000" w:themeColor="text1"/>
          <w:lang w:val="en-IN"/>
        </w:rPr>
      </w:pPr>
      <w:r w:rsidRPr="0011114B">
        <w:rPr>
          <w:color w:val="000000" w:themeColor="text1"/>
          <w:lang w:val="en-IN"/>
        </w:rPr>
        <w:t>Building directly on these microfluidic platform capabilities, the current method translates the device into an experimental framework with two central objectives: the replication of varying channel widths under hydrodynamic flow within a single fluid circuit and the use of this platform to quantify the role of channel geometry in modulating the directional migration of differentiated HL-60 cells under controlled shear flow conditions. In the experiments presented here, the three channel widths are evaluated at a target shear rate of 800 s</w:t>
      </w:r>
      <w:r w:rsidRPr="0011114B">
        <w:rPr>
          <w:color w:val="000000" w:themeColor="text1"/>
          <w:vertAlign w:val="superscript"/>
          <w:lang w:val="en-IN"/>
        </w:rPr>
        <w:t>−1</w:t>
      </w:r>
      <w:r w:rsidR="00AB1865" w:rsidRPr="0011114B">
        <w:rPr>
          <w:color w:val="000000" w:themeColor="text1"/>
          <w:lang w:val="en-IN"/>
        </w:rPr>
        <w:t xml:space="preserve">. </w:t>
      </w:r>
      <w:r w:rsidRPr="0011114B">
        <w:rPr>
          <w:color w:val="000000" w:themeColor="text1"/>
          <w:lang w:val="en-IN"/>
        </w:rPr>
        <w:t>The method examines directional migration on ICAM-1-coated surfaces, including conditions in which Mac-1 is blocked. The overall method is optimized for researchers seeking to characterize physical and biological determinants of immune cell trafficking under shear flow. However, this platform is primarily designed for two-dimensional migration analysis and may not be suitable for applications requiring three-dimensional migration platforms. In addition, the 0.05 mm channel does not reproduce the degree of physical confinement experienced by cells within physiological capillaries, which are approximately 0.005–0.01 mm wide</w:t>
      </w:r>
      <w:r w:rsidRPr="0011114B">
        <w:rPr>
          <w:color w:val="000000" w:themeColor="text1"/>
          <w:vertAlign w:val="superscript"/>
          <w:lang w:val="en-IN"/>
        </w:rPr>
        <w:t>12</w:t>
      </w:r>
      <w:r w:rsidRPr="0011114B">
        <w:rPr>
          <w:color w:val="000000" w:themeColor="text1"/>
          <w:lang w:val="en-IN"/>
        </w:rPr>
        <w:t>. Accordingly, the present method should be interpreted as examining differences in channel geometry rather than reproducing true capillary-scale cellular confinement. The method is therefore appropriate for applications requiring controlled fluid flow and comparative analysis across different channel widths. Furthermore, because channel dimensions can be customized during microfabrication, the method can be modified to investigate leukocyte trafficking in vascular geometries relevant to applications such as vascular occlusions and stenosis</w:t>
      </w:r>
      <w:r w:rsidR="00C05158" w:rsidRPr="0011114B">
        <w:rPr>
          <w:color w:val="000000" w:themeColor="text1"/>
          <w:vertAlign w:val="superscript"/>
          <w:lang w:val="en-IN"/>
        </w:rPr>
        <w:t>18</w:t>
      </w:r>
      <w:r w:rsidR="00C05158" w:rsidRPr="0011114B">
        <w:rPr>
          <w:color w:val="000000" w:themeColor="text1"/>
          <w:lang w:val="en-IN"/>
        </w:rPr>
        <w:t>.</w:t>
      </w:r>
      <w:r w:rsidRPr="0011114B">
        <w:rPr>
          <w:color w:val="000000" w:themeColor="text1"/>
          <w:lang w:val="en-IN"/>
        </w:rPr>
        <w:t xml:space="preserve"> The complete workflow for device fabrication and experimental execution is detailed in the protocol below.</w:t>
      </w:r>
    </w:p>
    <w:p w14:paraId="744CF297" w14:textId="77777777" w:rsidR="00CC7BFD" w:rsidRPr="0011114B" w:rsidRDefault="00CC7BFD" w:rsidP="0011114B">
      <w:pPr>
        <w:spacing w:line="0" w:lineRule="atLeast"/>
        <w:rPr>
          <w:color w:val="000000" w:themeColor="text1"/>
        </w:rPr>
      </w:pPr>
    </w:p>
    <w:p w14:paraId="2BE000E7" w14:textId="77777777" w:rsidR="00637AB7" w:rsidRPr="0011114B" w:rsidRDefault="00B90DB7" w:rsidP="0011114B">
      <w:pPr>
        <w:spacing w:line="0" w:lineRule="atLeast"/>
        <w:rPr>
          <w:b/>
          <w:bCs/>
          <w:color w:val="000000" w:themeColor="text1"/>
        </w:rPr>
      </w:pPr>
      <w:r w:rsidRPr="0011114B">
        <w:rPr>
          <w:b/>
          <w:bCs/>
          <w:color w:val="000000" w:themeColor="text1"/>
        </w:rPr>
        <w:t>PROTOCOL:</w:t>
      </w:r>
    </w:p>
    <w:p w14:paraId="593FE72A" w14:textId="18070FC2" w:rsidR="00637AB7" w:rsidRPr="0011114B" w:rsidRDefault="00685641" w:rsidP="0011114B">
      <w:pPr>
        <w:spacing w:line="0" w:lineRule="atLeast"/>
        <w:rPr>
          <w:color w:val="000000" w:themeColor="text1"/>
        </w:rPr>
      </w:pPr>
      <w:r w:rsidRPr="0011114B">
        <w:rPr>
          <w:color w:val="000000" w:themeColor="text1"/>
        </w:rPr>
        <w:t>This protocol and the use of the HL-60 cell line were approved by the NJIT Institutional Biosafety Committee (IBC) under protocol B23-043.</w:t>
      </w:r>
    </w:p>
    <w:p w14:paraId="535A83AD" w14:textId="77777777" w:rsidR="00D60FDF" w:rsidRPr="0011114B" w:rsidRDefault="00D60FDF" w:rsidP="0011114B">
      <w:pPr>
        <w:spacing w:line="0" w:lineRule="atLeast"/>
        <w:rPr>
          <w:color w:val="000000" w:themeColor="text1"/>
        </w:rPr>
      </w:pPr>
    </w:p>
    <w:p w14:paraId="039428FA" w14:textId="77777777" w:rsidR="00637AB7" w:rsidRPr="0011114B" w:rsidRDefault="00B90DB7" w:rsidP="0011114B">
      <w:pPr>
        <w:spacing w:line="0" w:lineRule="atLeast"/>
        <w:rPr>
          <w:b/>
          <w:bCs/>
          <w:color w:val="000000" w:themeColor="text1"/>
        </w:rPr>
      </w:pPr>
      <w:r w:rsidRPr="0011114B">
        <w:rPr>
          <w:b/>
          <w:bCs/>
          <w:color w:val="000000" w:themeColor="text1"/>
        </w:rPr>
        <w:t>1. Fabricating the Gasket for the Microfluidic Chamber</w:t>
      </w:r>
    </w:p>
    <w:p w14:paraId="65F4B5D1" w14:textId="77777777" w:rsidR="00637AB7" w:rsidRPr="0011114B" w:rsidRDefault="00637AB7" w:rsidP="0011114B">
      <w:pPr>
        <w:spacing w:line="0" w:lineRule="atLeast"/>
        <w:rPr>
          <w:b/>
          <w:bCs/>
          <w:color w:val="000000" w:themeColor="text1"/>
        </w:rPr>
      </w:pPr>
    </w:p>
    <w:p w14:paraId="77EFF933" w14:textId="77777777" w:rsidR="00637AB7" w:rsidRPr="0011114B" w:rsidRDefault="00B90DB7" w:rsidP="0011114B">
      <w:pPr>
        <w:spacing w:line="0" w:lineRule="atLeast"/>
        <w:rPr>
          <w:b/>
          <w:bCs/>
          <w:color w:val="000000" w:themeColor="text1"/>
        </w:rPr>
      </w:pPr>
      <w:r w:rsidRPr="0011114B">
        <w:rPr>
          <w:b/>
          <w:bCs/>
          <w:color w:val="000000" w:themeColor="text1"/>
        </w:rPr>
        <w:t>1.1 Gasket design</w:t>
      </w:r>
    </w:p>
    <w:p w14:paraId="4C381768" w14:textId="77777777" w:rsidR="00637AB7" w:rsidRPr="0011114B" w:rsidRDefault="00637AB7" w:rsidP="0011114B">
      <w:pPr>
        <w:spacing w:line="0" w:lineRule="atLeast"/>
        <w:rPr>
          <w:color w:val="000000" w:themeColor="text1"/>
        </w:rPr>
      </w:pPr>
    </w:p>
    <w:p w14:paraId="1EE6D09E" w14:textId="77777777" w:rsidR="00637AB7" w:rsidRPr="0011114B" w:rsidRDefault="00B90DB7" w:rsidP="0011114B">
      <w:pPr>
        <w:spacing w:line="0" w:lineRule="atLeast"/>
        <w:rPr>
          <w:color w:val="000000" w:themeColor="text1"/>
        </w:rPr>
      </w:pPr>
      <w:r w:rsidRPr="0011114B">
        <w:rPr>
          <w:color w:val="000000" w:themeColor="text1"/>
        </w:rPr>
        <w:t>1.1.1 Download the provided SOLIDWORKS file and open it in the computer-aided design software. Verify that the file opens correctly and that the gasket dimensions are displayed as intended.</w:t>
      </w:r>
    </w:p>
    <w:p w14:paraId="17DDFD17" w14:textId="77777777" w:rsidR="00637AB7" w:rsidRPr="0011114B" w:rsidRDefault="00637AB7" w:rsidP="0011114B">
      <w:pPr>
        <w:spacing w:line="0" w:lineRule="atLeast"/>
        <w:rPr>
          <w:b/>
          <w:bCs/>
          <w:color w:val="000000" w:themeColor="text1"/>
        </w:rPr>
      </w:pPr>
    </w:p>
    <w:p w14:paraId="3A431DF8"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Modify the channel dimensions at this step if different dimensions are required for the intended application.</w:t>
      </w:r>
    </w:p>
    <w:p w14:paraId="3BE178ED" w14:textId="77777777" w:rsidR="00637AB7" w:rsidRPr="0011114B" w:rsidRDefault="00637AB7" w:rsidP="0011114B">
      <w:pPr>
        <w:spacing w:line="0" w:lineRule="atLeast"/>
        <w:rPr>
          <w:color w:val="000000" w:themeColor="text1"/>
        </w:rPr>
      </w:pPr>
    </w:p>
    <w:p w14:paraId="53E90106" w14:textId="77777777" w:rsidR="00637AB7" w:rsidRPr="0011114B" w:rsidRDefault="00B90DB7" w:rsidP="0011114B">
      <w:pPr>
        <w:spacing w:line="0" w:lineRule="atLeast"/>
        <w:rPr>
          <w:color w:val="000000" w:themeColor="text1"/>
        </w:rPr>
      </w:pPr>
      <w:r w:rsidRPr="0011114B">
        <w:rPr>
          <w:color w:val="000000" w:themeColor="text1"/>
        </w:rPr>
        <w:t xml:space="preserve">1.1.2 Select </w:t>
      </w:r>
      <w:r w:rsidRPr="0011114B">
        <w:rPr>
          <w:b/>
          <w:bCs/>
          <w:color w:val="000000" w:themeColor="text1"/>
        </w:rPr>
        <w:t xml:space="preserve">File | Save </w:t>
      </w:r>
      <w:proofErr w:type="gramStart"/>
      <w:r w:rsidRPr="0011114B">
        <w:rPr>
          <w:b/>
          <w:bCs/>
          <w:color w:val="000000" w:themeColor="text1"/>
        </w:rPr>
        <w:t>As</w:t>
      </w:r>
      <w:r w:rsidRPr="0011114B">
        <w:rPr>
          <w:color w:val="000000" w:themeColor="text1"/>
        </w:rPr>
        <w:t>, and</w:t>
      </w:r>
      <w:proofErr w:type="gramEnd"/>
      <w:r w:rsidRPr="0011114B">
        <w:rPr>
          <w:color w:val="000000" w:themeColor="text1"/>
        </w:rPr>
        <w:t xml:space="preserve"> open the file-type drop-down menu. Save the file in Drawing Exchange Format (DXF).</w:t>
      </w:r>
    </w:p>
    <w:p w14:paraId="2CD936B8" w14:textId="77777777" w:rsidR="00637AB7" w:rsidRPr="0011114B" w:rsidRDefault="00637AB7" w:rsidP="0011114B">
      <w:pPr>
        <w:spacing w:line="0" w:lineRule="atLeast"/>
        <w:rPr>
          <w:b/>
          <w:bCs/>
          <w:color w:val="000000" w:themeColor="text1"/>
        </w:rPr>
      </w:pPr>
    </w:p>
    <w:p w14:paraId="24150E22" w14:textId="77777777" w:rsidR="00637AB7" w:rsidRPr="0011114B" w:rsidRDefault="00B90DB7" w:rsidP="0011114B">
      <w:pPr>
        <w:spacing w:line="0" w:lineRule="atLeast"/>
        <w:rPr>
          <w:b/>
          <w:bCs/>
          <w:color w:val="000000" w:themeColor="text1"/>
        </w:rPr>
      </w:pPr>
      <w:r w:rsidRPr="0011114B">
        <w:rPr>
          <w:b/>
          <w:bCs/>
          <w:color w:val="000000" w:themeColor="text1"/>
        </w:rPr>
        <w:t>1.2 Laser cutting the gasket</w:t>
      </w:r>
    </w:p>
    <w:p w14:paraId="56CBE74C" w14:textId="77777777" w:rsidR="00637AB7" w:rsidRPr="0011114B" w:rsidRDefault="00637AB7" w:rsidP="0011114B">
      <w:pPr>
        <w:spacing w:line="0" w:lineRule="atLeast"/>
        <w:rPr>
          <w:b/>
          <w:bCs/>
          <w:color w:val="000000" w:themeColor="text1"/>
        </w:rPr>
      </w:pPr>
    </w:p>
    <w:p w14:paraId="67752A3F" w14:textId="77777777" w:rsidR="00637AB7" w:rsidRPr="0011114B" w:rsidRDefault="00B90DB7" w:rsidP="0011114B">
      <w:pPr>
        <w:spacing w:line="0" w:lineRule="atLeast"/>
        <w:rPr>
          <w:color w:val="000000" w:themeColor="text1"/>
        </w:rPr>
      </w:pPr>
      <w:r w:rsidRPr="0011114B">
        <w:rPr>
          <w:b/>
          <w:bCs/>
          <w:color w:val="000000" w:themeColor="text1"/>
        </w:rPr>
        <w:lastRenderedPageBreak/>
        <w:t>NOTE:</w:t>
      </w:r>
      <w:r w:rsidRPr="0011114B">
        <w:rPr>
          <w:color w:val="000000" w:themeColor="text1"/>
        </w:rPr>
        <w:t xml:space="preserve"> Use CorelDRAW Graphics Suite for the following steps. Adobe Illustrator may be used as an alternative.</w:t>
      </w:r>
    </w:p>
    <w:p w14:paraId="14E29259" w14:textId="77777777" w:rsidR="00637AB7" w:rsidRPr="0011114B" w:rsidRDefault="00637AB7" w:rsidP="0011114B">
      <w:pPr>
        <w:spacing w:line="0" w:lineRule="atLeast"/>
        <w:rPr>
          <w:color w:val="000000" w:themeColor="text1"/>
        </w:rPr>
      </w:pPr>
    </w:p>
    <w:p w14:paraId="5315238B" w14:textId="77777777" w:rsidR="00637AB7" w:rsidRPr="0011114B" w:rsidRDefault="00B90DB7" w:rsidP="0011114B">
      <w:pPr>
        <w:spacing w:line="0" w:lineRule="atLeast"/>
        <w:rPr>
          <w:color w:val="000000" w:themeColor="text1"/>
        </w:rPr>
      </w:pPr>
      <w:r w:rsidRPr="0011114B">
        <w:rPr>
          <w:color w:val="000000" w:themeColor="text1"/>
        </w:rPr>
        <w:t>1.2.1 Initialize the laser cutter according to the manufacturer's instructions. Ensure that the laser cutter is operational before proceeding.</w:t>
      </w:r>
    </w:p>
    <w:p w14:paraId="6D0162B6" w14:textId="77777777" w:rsidR="00637AB7" w:rsidRPr="0011114B" w:rsidRDefault="00637AB7" w:rsidP="0011114B">
      <w:pPr>
        <w:spacing w:line="0" w:lineRule="atLeast"/>
        <w:rPr>
          <w:color w:val="000000" w:themeColor="text1"/>
        </w:rPr>
      </w:pPr>
    </w:p>
    <w:p w14:paraId="6934CA70" w14:textId="77777777" w:rsidR="00637AB7" w:rsidRPr="0011114B" w:rsidRDefault="00B90DB7" w:rsidP="0011114B">
      <w:pPr>
        <w:spacing w:line="0" w:lineRule="atLeast"/>
        <w:rPr>
          <w:color w:val="000000" w:themeColor="text1"/>
        </w:rPr>
      </w:pPr>
      <w:r w:rsidRPr="0011114B">
        <w:rPr>
          <w:color w:val="000000" w:themeColor="text1"/>
        </w:rPr>
        <w:t>1.2.2 Open CorelDRAW Graphics Suite and set the workspace size to match the cutting area of the CO₂ laser cutter.</w:t>
      </w:r>
    </w:p>
    <w:p w14:paraId="2947214D" w14:textId="77777777" w:rsidR="00637AB7" w:rsidRPr="0011114B" w:rsidRDefault="00637AB7" w:rsidP="0011114B">
      <w:pPr>
        <w:spacing w:line="0" w:lineRule="atLeast"/>
        <w:rPr>
          <w:color w:val="000000" w:themeColor="text1"/>
        </w:rPr>
      </w:pPr>
    </w:p>
    <w:p w14:paraId="28D54F0E" w14:textId="77777777" w:rsidR="00637AB7" w:rsidRPr="0011114B" w:rsidRDefault="00B90DB7" w:rsidP="0011114B">
      <w:pPr>
        <w:spacing w:line="0" w:lineRule="atLeast"/>
        <w:rPr>
          <w:color w:val="000000" w:themeColor="text1"/>
        </w:rPr>
      </w:pPr>
      <w:r w:rsidRPr="0011114B">
        <w:rPr>
          <w:color w:val="000000" w:themeColor="text1"/>
        </w:rPr>
        <w:t xml:space="preserve">1.2.3 Select </w:t>
      </w:r>
      <w:r w:rsidRPr="0011114B">
        <w:rPr>
          <w:b/>
          <w:bCs/>
          <w:color w:val="000000" w:themeColor="text1"/>
        </w:rPr>
        <w:t>File | Open | Import</w:t>
      </w:r>
      <w:r w:rsidRPr="0011114B">
        <w:rPr>
          <w:color w:val="000000" w:themeColor="text1"/>
        </w:rPr>
        <w:t xml:space="preserve"> and import the DXF file. Select </w:t>
      </w:r>
      <w:r w:rsidRPr="0011114B">
        <w:rPr>
          <w:b/>
          <w:bCs/>
          <w:color w:val="000000" w:themeColor="text1"/>
        </w:rPr>
        <w:t>OK</w:t>
      </w:r>
      <w:r w:rsidRPr="0011114B">
        <w:rPr>
          <w:color w:val="000000" w:themeColor="text1"/>
        </w:rPr>
        <w:t xml:space="preserve"> to complete the import.</w:t>
      </w:r>
    </w:p>
    <w:p w14:paraId="1A469BE3" w14:textId="77777777" w:rsidR="00637AB7" w:rsidRPr="0011114B" w:rsidRDefault="00637AB7" w:rsidP="0011114B">
      <w:pPr>
        <w:spacing w:line="0" w:lineRule="atLeast"/>
        <w:rPr>
          <w:color w:val="000000" w:themeColor="text1"/>
        </w:rPr>
      </w:pPr>
    </w:p>
    <w:p w14:paraId="21D7181A" w14:textId="77777777" w:rsidR="00637AB7" w:rsidRPr="0011114B" w:rsidRDefault="00B90DB7" w:rsidP="0011114B">
      <w:pPr>
        <w:spacing w:line="0" w:lineRule="atLeast"/>
        <w:rPr>
          <w:color w:val="000000" w:themeColor="text1"/>
        </w:rPr>
      </w:pPr>
      <w:r w:rsidRPr="0011114B">
        <w:rPr>
          <w:color w:val="000000" w:themeColor="text1"/>
        </w:rPr>
        <w:t>1.2.4 Verify that the dimensions of the imported file match the dimensions specified in the computer-aided design file.</w:t>
      </w:r>
    </w:p>
    <w:p w14:paraId="53C45F9B" w14:textId="77777777" w:rsidR="00637AB7" w:rsidRPr="0011114B" w:rsidRDefault="00637AB7" w:rsidP="0011114B">
      <w:pPr>
        <w:spacing w:line="0" w:lineRule="atLeast"/>
        <w:rPr>
          <w:color w:val="000000" w:themeColor="text1"/>
        </w:rPr>
      </w:pPr>
    </w:p>
    <w:p w14:paraId="2F94A60F" w14:textId="77777777" w:rsidR="00637AB7" w:rsidRPr="0011114B" w:rsidRDefault="00B90DB7" w:rsidP="0011114B">
      <w:pPr>
        <w:spacing w:line="0" w:lineRule="atLeast"/>
        <w:rPr>
          <w:color w:val="000000" w:themeColor="text1"/>
        </w:rPr>
      </w:pPr>
      <w:r w:rsidRPr="0011114B">
        <w:rPr>
          <w:color w:val="000000" w:themeColor="text1"/>
        </w:rPr>
        <w:t xml:space="preserve">1.2.5 Select all lines defining the gasket framework. Under </w:t>
      </w:r>
      <w:r w:rsidRPr="0011114B">
        <w:rPr>
          <w:b/>
          <w:bCs/>
          <w:color w:val="000000" w:themeColor="text1"/>
        </w:rPr>
        <w:t>Object Properties</w:t>
      </w:r>
      <w:r w:rsidRPr="0011114B">
        <w:rPr>
          <w:color w:val="000000" w:themeColor="text1"/>
        </w:rPr>
        <w:t xml:space="preserve">, set the line color to red (R: 255, G: 0, B: 0) and set the line weight to </w:t>
      </w:r>
      <w:r w:rsidRPr="0011114B">
        <w:rPr>
          <w:b/>
          <w:bCs/>
          <w:color w:val="000000" w:themeColor="text1"/>
        </w:rPr>
        <w:t>Hairline</w:t>
      </w:r>
      <w:r w:rsidRPr="0011114B">
        <w:rPr>
          <w:color w:val="000000" w:themeColor="text1"/>
        </w:rPr>
        <w:t>.</w:t>
      </w:r>
    </w:p>
    <w:p w14:paraId="74B364BD" w14:textId="77777777" w:rsidR="00637AB7" w:rsidRPr="0011114B" w:rsidRDefault="00637AB7" w:rsidP="0011114B">
      <w:pPr>
        <w:spacing w:line="0" w:lineRule="atLeast"/>
        <w:rPr>
          <w:color w:val="000000" w:themeColor="text1"/>
        </w:rPr>
      </w:pPr>
    </w:p>
    <w:p w14:paraId="212C97F4" w14:textId="77777777" w:rsidR="00637AB7" w:rsidRPr="0011114B" w:rsidRDefault="00B90DB7" w:rsidP="0011114B">
      <w:pPr>
        <w:spacing w:line="0" w:lineRule="atLeast"/>
        <w:rPr>
          <w:color w:val="000000" w:themeColor="text1"/>
        </w:rPr>
      </w:pPr>
      <w:r w:rsidRPr="0011114B">
        <w:rPr>
          <w:color w:val="000000" w:themeColor="text1"/>
        </w:rPr>
        <w:t xml:space="preserve">1.2.6 Select </w:t>
      </w:r>
      <w:r w:rsidRPr="0011114B">
        <w:rPr>
          <w:b/>
          <w:bCs/>
          <w:color w:val="000000" w:themeColor="text1"/>
        </w:rPr>
        <w:t>Print</w:t>
      </w:r>
      <w:r w:rsidRPr="0011114B">
        <w:rPr>
          <w:color w:val="000000" w:themeColor="text1"/>
        </w:rPr>
        <w:t xml:space="preserve">, select the laser cutter, and then select </w:t>
      </w:r>
      <w:r w:rsidRPr="0011114B">
        <w:rPr>
          <w:b/>
          <w:bCs/>
          <w:color w:val="000000" w:themeColor="text1"/>
        </w:rPr>
        <w:t>Preferences</w:t>
      </w:r>
      <w:r w:rsidRPr="0011114B">
        <w:rPr>
          <w:color w:val="000000" w:themeColor="text1"/>
        </w:rPr>
        <w:t>.</w:t>
      </w:r>
    </w:p>
    <w:p w14:paraId="46CE37B1" w14:textId="77777777" w:rsidR="00637AB7" w:rsidRPr="0011114B" w:rsidRDefault="00637AB7" w:rsidP="0011114B">
      <w:pPr>
        <w:spacing w:line="0" w:lineRule="atLeast"/>
        <w:rPr>
          <w:color w:val="000000" w:themeColor="text1"/>
        </w:rPr>
      </w:pPr>
    </w:p>
    <w:p w14:paraId="703B6926" w14:textId="77777777" w:rsidR="00637AB7" w:rsidRPr="0011114B" w:rsidRDefault="00B90DB7" w:rsidP="0011114B">
      <w:pPr>
        <w:spacing w:line="0" w:lineRule="atLeast"/>
        <w:rPr>
          <w:color w:val="000000" w:themeColor="text1"/>
        </w:rPr>
      </w:pPr>
      <w:r w:rsidRPr="0011114B">
        <w:rPr>
          <w:color w:val="000000" w:themeColor="text1"/>
        </w:rPr>
        <w:t xml:space="preserve">1.2.7 Under </w:t>
      </w:r>
      <w:r w:rsidRPr="0011114B">
        <w:rPr>
          <w:b/>
          <w:bCs/>
          <w:color w:val="000000" w:themeColor="text1"/>
        </w:rPr>
        <w:t>Preferences</w:t>
      </w:r>
      <w:r w:rsidRPr="0011114B">
        <w:rPr>
          <w:color w:val="000000" w:themeColor="text1"/>
        </w:rPr>
        <w:t xml:space="preserve">, select </w:t>
      </w:r>
      <w:r w:rsidRPr="0011114B">
        <w:rPr>
          <w:b/>
          <w:bCs/>
          <w:color w:val="000000" w:themeColor="text1"/>
        </w:rPr>
        <w:t>Take from Application</w:t>
      </w:r>
      <w:r w:rsidRPr="0011114B">
        <w:rPr>
          <w:color w:val="000000" w:themeColor="text1"/>
        </w:rPr>
        <w:t xml:space="preserve"> and </w:t>
      </w:r>
      <w:r w:rsidRPr="0011114B">
        <w:rPr>
          <w:b/>
          <w:bCs/>
          <w:color w:val="000000" w:themeColor="text1"/>
        </w:rPr>
        <w:t xml:space="preserve">Minimize to </w:t>
      </w:r>
      <w:proofErr w:type="spellStart"/>
      <w:r w:rsidRPr="0011114B">
        <w:rPr>
          <w:b/>
          <w:bCs/>
          <w:color w:val="000000" w:themeColor="text1"/>
        </w:rPr>
        <w:t>Jobsize</w:t>
      </w:r>
      <w:proofErr w:type="spellEnd"/>
      <w:r w:rsidRPr="0011114B">
        <w:rPr>
          <w:color w:val="000000" w:themeColor="text1"/>
        </w:rPr>
        <w:t xml:space="preserve">, and deselect </w:t>
      </w:r>
      <w:r w:rsidRPr="0011114B">
        <w:rPr>
          <w:b/>
          <w:bCs/>
          <w:color w:val="000000" w:themeColor="text1"/>
        </w:rPr>
        <w:t>Rotary attachment</w:t>
      </w:r>
      <w:r w:rsidRPr="0011114B">
        <w:rPr>
          <w:color w:val="000000" w:themeColor="text1"/>
        </w:rPr>
        <w:t>.</w:t>
      </w:r>
    </w:p>
    <w:p w14:paraId="323DCD91" w14:textId="77777777" w:rsidR="00637AB7" w:rsidRPr="0011114B" w:rsidRDefault="00637AB7" w:rsidP="0011114B">
      <w:pPr>
        <w:spacing w:line="0" w:lineRule="atLeast"/>
        <w:rPr>
          <w:color w:val="000000" w:themeColor="text1"/>
        </w:rPr>
      </w:pPr>
    </w:p>
    <w:p w14:paraId="080409C6" w14:textId="77777777" w:rsidR="00637AB7" w:rsidRPr="0011114B" w:rsidRDefault="00B90DB7" w:rsidP="0011114B">
      <w:pPr>
        <w:spacing w:line="0" w:lineRule="atLeast"/>
        <w:rPr>
          <w:color w:val="000000" w:themeColor="text1"/>
        </w:rPr>
      </w:pPr>
      <w:r w:rsidRPr="0011114B">
        <w:rPr>
          <w:color w:val="000000" w:themeColor="text1"/>
        </w:rPr>
        <w:t xml:space="preserve">1.2.8 Under </w:t>
      </w:r>
      <w:r w:rsidRPr="0011114B">
        <w:rPr>
          <w:b/>
          <w:bCs/>
          <w:color w:val="000000" w:themeColor="text1"/>
        </w:rPr>
        <w:t>Material Settings</w:t>
      </w:r>
      <w:r w:rsidRPr="0011114B">
        <w:rPr>
          <w:color w:val="000000" w:themeColor="text1"/>
        </w:rPr>
        <w:t xml:space="preserve">, select </w:t>
      </w:r>
      <w:r w:rsidRPr="0011114B">
        <w:rPr>
          <w:b/>
          <w:bCs/>
          <w:color w:val="000000" w:themeColor="text1"/>
        </w:rPr>
        <w:t>Plastics</w:t>
      </w:r>
      <w:r w:rsidRPr="0011114B">
        <w:rPr>
          <w:color w:val="000000" w:themeColor="text1"/>
        </w:rPr>
        <w:t xml:space="preserve"> for the red line. Set the laser power to 95% and the cutting speed to 35%.</w:t>
      </w:r>
    </w:p>
    <w:p w14:paraId="1DF79918" w14:textId="77777777" w:rsidR="00637AB7" w:rsidRPr="0011114B" w:rsidRDefault="00637AB7" w:rsidP="0011114B">
      <w:pPr>
        <w:spacing w:line="0" w:lineRule="atLeast"/>
        <w:rPr>
          <w:color w:val="000000" w:themeColor="text1"/>
        </w:rPr>
      </w:pPr>
    </w:p>
    <w:p w14:paraId="3EB8EEFB" w14:textId="77777777" w:rsidR="00637AB7" w:rsidRPr="0011114B" w:rsidRDefault="00B90DB7" w:rsidP="0011114B">
      <w:pPr>
        <w:spacing w:line="0" w:lineRule="atLeast"/>
        <w:rPr>
          <w:color w:val="000000" w:themeColor="text1"/>
        </w:rPr>
      </w:pPr>
      <w:r w:rsidRPr="0011114B">
        <w:rPr>
          <w:color w:val="000000" w:themeColor="text1"/>
        </w:rPr>
        <w:t xml:space="preserve">1.2.9 Select the </w:t>
      </w:r>
      <w:r w:rsidRPr="0011114B">
        <w:rPr>
          <w:b/>
          <w:bCs/>
          <w:color w:val="000000" w:themeColor="text1"/>
        </w:rPr>
        <w:t>Device Control</w:t>
      </w:r>
      <w:r w:rsidRPr="0011114B">
        <w:rPr>
          <w:color w:val="000000" w:themeColor="text1"/>
        </w:rPr>
        <w:t xml:space="preserve"> tab at the bottom of the </w:t>
      </w:r>
      <w:r w:rsidRPr="0011114B">
        <w:rPr>
          <w:b/>
          <w:bCs/>
          <w:color w:val="000000" w:themeColor="text1"/>
        </w:rPr>
        <w:t>Preferences</w:t>
      </w:r>
      <w:r w:rsidRPr="0011114B">
        <w:rPr>
          <w:color w:val="000000" w:themeColor="text1"/>
        </w:rPr>
        <w:t xml:space="preserve"> page to launch the laser cutter control software.</w:t>
      </w:r>
    </w:p>
    <w:p w14:paraId="57B4F50A" w14:textId="77777777" w:rsidR="00637AB7" w:rsidRPr="0011114B" w:rsidRDefault="00637AB7" w:rsidP="0011114B">
      <w:pPr>
        <w:spacing w:line="0" w:lineRule="atLeast"/>
        <w:rPr>
          <w:color w:val="000000" w:themeColor="text1"/>
        </w:rPr>
      </w:pPr>
    </w:p>
    <w:p w14:paraId="54296303" w14:textId="77777777" w:rsidR="00637AB7" w:rsidRPr="0011114B" w:rsidRDefault="00B90DB7" w:rsidP="0011114B">
      <w:pPr>
        <w:spacing w:line="0" w:lineRule="atLeast"/>
        <w:rPr>
          <w:color w:val="000000" w:themeColor="text1"/>
        </w:rPr>
      </w:pPr>
      <w:r w:rsidRPr="0011114B">
        <w:rPr>
          <w:color w:val="000000" w:themeColor="text1"/>
        </w:rPr>
        <w:t>1.2.10. Laser cut the gasket material according to the gasket dimensions in the design file and the manufacturer’s operating instructions.</w:t>
      </w:r>
    </w:p>
    <w:p w14:paraId="52C856E3" w14:textId="77777777" w:rsidR="00637AB7" w:rsidRPr="0011114B" w:rsidRDefault="00637AB7" w:rsidP="0011114B">
      <w:pPr>
        <w:spacing w:line="0" w:lineRule="atLeast"/>
        <w:rPr>
          <w:color w:val="000000" w:themeColor="text1"/>
        </w:rPr>
      </w:pPr>
    </w:p>
    <w:p w14:paraId="6ABA1269" w14:textId="2FCA9D72" w:rsidR="00637AB7" w:rsidRPr="0011114B" w:rsidRDefault="00B90DB7" w:rsidP="0011114B">
      <w:pPr>
        <w:spacing w:line="0" w:lineRule="atLeast"/>
        <w:rPr>
          <w:color w:val="000000" w:themeColor="text1"/>
        </w:rPr>
      </w:pPr>
      <w:r w:rsidRPr="0011114B">
        <w:rPr>
          <w:color w:val="000000" w:themeColor="text1"/>
        </w:rPr>
        <w:t xml:space="preserve">1.2.11. </w:t>
      </w:r>
      <w:r w:rsidR="005F0963" w:rsidRPr="0011114B">
        <w:rPr>
          <w:color w:val="000000" w:themeColor="text1"/>
        </w:rPr>
        <w:t xml:space="preserve">Use a 0.5 mm-thick gasket, corresponding to the thickness of the plastic microscope slide specified in the </w:t>
      </w:r>
      <w:r w:rsidR="005F0963" w:rsidRPr="0011114B">
        <w:rPr>
          <w:b/>
          <w:bCs/>
          <w:color w:val="000000" w:themeColor="text1"/>
        </w:rPr>
        <w:t>Table of Materials</w:t>
      </w:r>
      <w:r w:rsidR="005F0963" w:rsidRPr="0011114B">
        <w:rPr>
          <w:color w:val="000000" w:themeColor="text1"/>
        </w:rPr>
        <w:t>.</w:t>
      </w:r>
    </w:p>
    <w:p w14:paraId="7F613F13" w14:textId="77777777" w:rsidR="00637AB7" w:rsidRPr="0011114B" w:rsidRDefault="00637AB7" w:rsidP="0011114B">
      <w:pPr>
        <w:spacing w:line="0" w:lineRule="atLeast"/>
        <w:rPr>
          <w:color w:val="000000" w:themeColor="text1"/>
        </w:rPr>
      </w:pPr>
    </w:p>
    <w:p w14:paraId="50BDC28C" w14:textId="77777777" w:rsidR="00637AB7" w:rsidRPr="0011114B" w:rsidRDefault="00B90DB7" w:rsidP="0011114B">
      <w:pPr>
        <w:spacing w:line="0" w:lineRule="atLeast"/>
        <w:rPr>
          <w:b/>
          <w:bCs/>
          <w:color w:val="000000" w:themeColor="text1"/>
        </w:rPr>
      </w:pPr>
      <w:r w:rsidRPr="0011114B">
        <w:rPr>
          <w:b/>
          <w:bCs/>
          <w:color w:val="000000" w:themeColor="text1"/>
        </w:rPr>
        <w:t>2. Preparing Surfaces for Cell Migration Experiments</w:t>
      </w:r>
    </w:p>
    <w:p w14:paraId="1ADD5E70" w14:textId="77777777" w:rsidR="00637AB7" w:rsidRPr="0011114B" w:rsidRDefault="00637AB7" w:rsidP="0011114B">
      <w:pPr>
        <w:spacing w:line="0" w:lineRule="atLeast"/>
        <w:rPr>
          <w:color w:val="000000" w:themeColor="text1"/>
        </w:rPr>
      </w:pPr>
    </w:p>
    <w:p w14:paraId="397C9F8B" w14:textId="77777777" w:rsidR="00637AB7" w:rsidRPr="0011114B" w:rsidRDefault="00B90DB7" w:rsidP="0011114B">
      <w:pPr>
        <w:spacing w:line="0" w:lineRule="atLeast"/>
        <w:rPr>
          <w:color w:val="000000" w:themeColor="text1"/>
        </w:rPr>
      </w:pPr>
      <w:r w:rsidRPr="0011114B">
        <w:rPr>
          <w:color w:val="000000" w:themeColor="text1"/>
        </w:rPr>
        <w:t>2.1. Clean a plastic microscope slide with 70% ethanol and allow the slide to dry for 1–2 min.</w:t>
      </w:r>
    </w:p>
    <w:p w14:paraId="7D015B74" w14:textId="77777777" w:rsidR="00637AB7" w:rsidRPr="0011114B" w:rsidRDefault="00637AB7" w:rsidP="0011114B">
      <w:pPr>
        <w:spacing w:line="0" w:lineRule="atLeast"/>
        <w:rPr>
          <w:color w:val="000000" w:themeColor="text1"/>
        </w:rPr>
      </w:pPr>
    </w:p>
    <w:p w14:paraId="381E67AE" w14:textId="77777777" w:rsidR="00637AB7" w:rsidRPr="0011114B" w:rsidRDefault="00B90DB7" w:rsidP="0011114B">
      <w:pPr>
        <w:spacing w:line="0" w:lineRule="atLeast"/>
        <w:rPr>
          <w:color w:val="000000" w:themeColor="text1"/>
        </w:rPr>
      </w:pPr>
      <w:r w:rsidRPr="0011114B">
        <w:rPr>
          <w:color w:val="000000" w:themeColor="text1"/>
        </w:rPr>
        <w:t>2.2. Place the microscope slide on a flat, delicate task wipe.</w:t>
      </w:r>
    </w:p>
    <w:p w14:paraId="017C3F7A" w14:textId="77777777" w:rsidR="00637AB7" w:rsidRPr="0011114B" w:rsidRDefault="00637AB7" w:rsidP="0011114B">
      <w:pPr>
        <w:spacing w:line="0" w:lineRule="atLeast"/>
        <w:rPr>
          <w:color w:val="000000" w:themeColor="text1"/>
        </w:rPr>
      </w:pPr>
    </w:p>
    <w:p w14:paraId="169BE6D1" w14:textId="77777777" w:rsidR="00637AB7" w:rsidRPr="0011114B" w:rsidRDefault="00B90DB7" w:rsidP="0011114B">
      <w:pPr>
        <w:spacing w:line="0" w:lineRule="atLeast"/>
        <w:rPr>
          <w:color w:val="000000" w:themeColor="text1"/>
        </w:rPr>
      </w:pPr>
      <w:r w:rsidRPr="0011114B">
        <w:rPr>
          <w:color w:val="000000" w:themeColor="text1"/>
        </w:rPr>
        <w:t>2.3. Place the microfluidic gasket beneath the slide and align the edges of the microscope slide and gasket.</w:t>
      </w:r>
    </w:p>
    <w:p w14:paraId="75F29BF1" w14:textId="77777777" w:rsidR="00637AB7" w:rsidRPr="0011114B" w:rsidRDefault="00637AB7" w:rsidP="0011114B">
      <w:pPr>
        <w:spacing w:line="0" w:lineRule="atLeast"/>
        <w:rPr>
          <w:color w:val="000000" w:themeColor="text1"/>
        </w:rPr>
      </w:pPr>
    </w:p>
    <w:p w14:paraId="775564D8" w14:textId="77777777" w:rsidR="00637AB7" w:rsidRPr="0011114B" w:rsidRDefault="00B90DB7" w:rsidP="0011114B">
      <w:pPr>
        <w:spacing w:line="0" w:lineRule="atLeast"/>
        <w:rPr>
          <w:color w:val="000000" w:themeColor="text1"/>
        </w:rPr>
      </w:pPr>
      <w:r w:rsidRPr="0011114B">
        <w:rPr>
          <w:color w:val="000000" w:themeColor="text1"/>
        </w:rPr>
        <w:t xml:space="preserve">2.4. Use each channel of the microfluidic gasket as the centerline and, using a marker, draw one </w:t>
      </w:r>
      <w:r w:rsidRPr="0011114B">
        <w:rPr>
          <w:color w:val="000000" w:themeColor="text1"/>
        </w:rPr>
        <w:lastRenderedPageBreak/>
        <w:t>10 mm diameter circle around each of the three different channel-width regions.</w:t>
      </w:r>
    </w:p>
    <w:p w14:paraId="220AB778" w14:textId="77777777" w:rsidR="00637AB7" w:rsidRPr="0011114B" w:rsidRDefault="00637AB7" w:rsidP="0011114B">
      <w:pPr>
        <w:spacing w:line="0" w:lineRule="atLeast"/>
        <w:rPr>
          <w:b/>
          <w:bCs/>
          <w:color w:val="000000" w:themeColor="text1"/>
        </w:rPr>
      </w:pPr>
    </w:p>
    <w:p w14:paraId="102D39F5"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The slide will have a total of three circles.</w:t>
      </w:r>
    </w:p>
    <w:p w14:paraId="32152ACC" w14:textId="77777777" w:rsidR="00637AB7" w:rsidRPr="0011114B" w:rsidRDefault="00637AB7" w:rsidP="0011114B">
      <w:pPr>
        <w:spacing w:line="0" w:lineRule="atLeast"/>
        <w:rPr>
          <w:color w:val="000000" w:themeColor="text1"/>
        </w:rPr>
      </w:pPr>
    </w:p>
    <w:p w14:paraId="71178FD3" w14:textId="77777777" w:rsidR="00637AB7" w:rsidRPr="0011114B" w:rsidRDefault="00B90DB7" w:rsidP="0011114B">
      <w:pPr>
        <w:spacing w:line="0" w:lineRule="atLeast"/>
        <w:rPr>
          <w:color w:val="000000" w:themeColor="text1"/>
        </w:rPr>
      </w:pPr>
      <w:r w:rsidRPr="0011114B">
        <w:rPr>
          <w:color w:val="000000" w:themeColor="text1"/>
        </w:rPr>
        <w:t>2.5. Flip the slide over so that the side to be coated does not come into contact with the marker.</w:t>
      </w:r>
    </w:p>
    <w:p w14:paraId="2FF588F1" w14:textId="77777777" w:rsidR="00637AB7" w:rsidRPr="0011114B" w:rsidRDefault="00637AB7" w:rsidP="0011114B">
      <w:pPr>
        <w:spacing w:line="0" w:lineRule="atLeast"/>
        <w:rPr>
          <w:b/>
          <w:bCs/>
          <w:color w:val="000000" w:themeColor="text1"/>
        </w:rPr>
      </w:pPr>
    </w:p>
    <w:p w14:paraId="79933F9E"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Clean the side of the slide that contacted the gasket again with 70% ethanol.</w:t>
      </w:r>
    </w:p>
    <w:p w14:paraId="20FC87D6" w14:textId="77777777" w:rsidR="00637AB7" w:rsidRPr="0011114B" w:rsidRDefault="00637AB7" w:rsidP="0011114B">
      <w:pPr>
        <w:spacing w:line="0" w:lineRule="atLeast"/>
        <w:rPr>
          <w:color w:val="000000" w:themeColor="text1"/>
        </w:rPr>
      </w:pPr>
    </w:p>
    <w:p w14:paraId="12F3E4E7" w14:textId="77777777" w:rsidR="00637AB7" w:rsidRPr="0011114B" w:rsidRDefault="00B90DB7" w:rsidP="0011114B">
      <w:pPr>
        <w:spacing w:line="0" w:lineRule="atLeast"/>
        <w:rPr>
          <w:color w:val="000000" w:themeColor="text1"/>
        </w:rPr>
      </w:pPr>
      <w:r w:rsidRPr="0011114B">
        <w:rPr>
          <w:color w:val="000000" w:themeColor="text1"/>
        </w:rPr>
        <w:t xml:space="preserve">2.6. Prepare 450 </w:t>
      </w:r>
      <w:proofErr w:type="spellStart"/>
      <w:r w:rsidRPr="0011114B">
        <w:rPr>
          <w:color w:val="000000" w:themeColor="text1"/>
        </w:rPr>
        <w:t>μL</w:t>
      </w:r>
      <w:proofErr w:type="spellEnd"/>
      <w:r w:rsidRPr="0011114B">
        <w:rPr>
          <w:color w:val="000000" w:themeColor="text1"/>
        </w:rPr>
        <w:t xml:space="preserve"> of Protein A/G solution at a concentration of 2 </w:t>
      </w:r>
      <w:proofErr w:type="spellStart"/>
      <w:r w:rsidRPr="0011114B">
        <w:rPr>
          <w:color w:val="000000" w:themeColor="text1"/>
        </w:rPr>
        <w:t>μg</w:t>
      </w:r>
      <w:proofErr w:type="spellEnd"/>
      <w:r w:rsidRPr="0011114B">
        <w:rPr>
          <w:color w:val="000000" w:themeColor="text1"/>
        </w:rPr>
        <w:t xml:space="preserve"> mL</w:t>
      </w:r>
      <w:r w:rsidRPr="0011114B">
        <w:rPr>
          <w:color w:val="000000" w:themeColor="text1"/>
          <w:vertAlign w:val="superscript"/>
        </w:rPr>
        <w:t>−1</w:t>
      </w:r>
      <w:r w:rsidRPr="0011114B">
        <w:rPr>
          <w:color w:val="000000" w:themeColor="text1"/>
        </w:rPr>
        <w:t>.</w:t>
      </w:r>
    </w:p>
    <w:p w14:paraId="31A12253" w14:textId="77777777" w:rsidR="00637AB7" w:rsidRPr="0011114B" w:rsidRDefault="00637AB7" w:rsidP="0011114B">
      <w:pPr>
        <w:spacing w:line="0" w:lineRule="atLeast"/>
        <w:rPr>
          <w:b/>
          <w:bCs/>
          <w:color w:val="000000" w:themeColor="text1"/>
        </w:rPr>
      </w:pPr>
    </w:p>
    <w:p w14:paraId="0DAE8AAB"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Protein A/G facilitates the oriented attachment of chimeric adhesion molecules through the Fc-binding domain.</w:t>
      </w:r>
    </w:p>
    <w:p w14:paraId="7C0A84A7" w14:textId="77777777" w:rsidR="00637AB7" w:rsidRPr="0011114B" w:rsidRDefault="00637AB7" w:rsidP="0011114B">
      <w:pPr>
        <w:spacing w:line="0" w:lineRule="atLeast"/>
        <w:rPr>
          <w:color w:val="000000" w:themeColor="text1"/>
        </w:rPr>
      </w:pPr>
    </w:p>
    <w:p w14:paraId="3A900643" w14:textId="77777777" w:rsidR="00637AB7" w:rsidRPr="0011114B" w:rsidRDefault="00B90DB7" w:rsidP="0011114B">
      <w:pPr>
        <w:spacing w:line="0" w:lineRule="atLeast"/>
        <w:rPr>
          <w:color w:val="000000" w:themeColor="text1"/>
        </w:rPr>
      </w:pPr>
      <w:r w:rsidRPr="0011114B">
        <w:rPr>
          <w:color w:val="000000" w:themeColor="text1"/>
        </w:rPr>
        <w:t xml:space="preserve">2.7. Add 150 </w:t>
      </w:r>
      <w:proofErr w:type="spellStart"/>
      <w:r w:rsidRPr="0011114B">
        <w:rPr>
          <w:color w:val="000000" w:themeColor="text1"/>
        </w:rPr>
        <w:t>μL</w:t>
      </w:r>
      <w:proofErr w:type="spellEnd"/>
      <w:r w:rsidRPr="0011114B">
        <w:rPr>
          <w:color w:val="000000" w:themeColor="text1"/>
        </w:rPr>
        <w:t xml:space="preserve"> of the prepared Protein A/G solution to the center of each circle on the microscope slide.</w:t>
      </w:r>
    </w:p>
    <w:p w14:paraId="424CFB1A" w14:textId="77777777" w:rsidR="00637AB7" w:rsidRPr="0011114B" w:rsidRDefault="00637AB7" w:rsidP="0011114B">
      <w:pPr>
        <w:spacing w:line="0" w:lineRule="atLeast"/>
        <w:rPr>
          <w:b/>
          <w:bCs/>
          <w:color w:val="000000" w:themeColor="text1"/>
        </w:rPr>
      </w:pPr>
    </w:p>
    <w:p w14:paraId="1E49E838"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Keep the microscope slide in a humidifying chamber to minimize evaporation of the droplets. Keep the chamber sealed under a biological safety cabinet during the incubation period.</w:t>
      </w:r>
    </w:p>
    <w:p w14:paraId="145E62AB" w14:textId="77777777" w:rsidR="00637AB7" w:rsidRPr="0011114B" w:rsidRDefault="00637AB7" w:rsidP="0011114B">
      <w:pPr>
        <w:spacing w:line="0" w:lineRule="atLeast"/>
        <w:rPr>
          <w:color w:val="000000" w:themeColor="text1"/>
        </w:rPr>
      </w:pPr>
    </w:p>
    <w:p w14:paraId="03FC080D" w14:textId="77777777" w:rsidR="00637AB7" w:rsidRPr="0011114B" w:rsidRDefault="00B90DB7" w:rsidP="0011114B">
      <w:pPr>
        <w:spacing w:line="0" w:lineRule="atLeast"/>
        <w:rPr>
          <w:color w:val="000000" w:themeColor="text1"/>
        </w:rPr>
      </w:pPr>
      <w:r w:rsidRPr="0011114B">
        <w:rPr>
          <w:color w:val="000000" w:themeColor="text1"/>
        </w:rPr>
        <w:t>2.8. Incubate the slide for 1 h at room temperature.</w:t>
      </w:r>
    </w:p>
    <w:p w14:paraId="76CD8A99" w14:textId="77777777" w:rsidR="00637AB7" w:rsidRPr="0011114B" w:rsidRDefault="00637AB7" w:rsidP="0011114B">
      <w:pPr>
        <w:spacing w:line="0" w:lineRule="atLeast"/>
        <w:rPr>
          <w:b/>
          <w:bCs/>
          <w:color w:val="000000" w:themeColor="text1"/>
        </w:rPr>
      </w:pPr>
    </w:p>
    <w:p w14:paraId="464B1268"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Alternatively, incubate the slide overnight at 4°C. This is a pause point in the protocol.</w:t>
      </w:r>
    </w:p>
    <w:p w14:paraId="490DFF51" w14:textId="77777777" w:rsidR="00637AB7" w:rsidRPr="0011114B" w:rsidRDefault="00637AB7" w:rsidP="0011114B">
      <w:pPr>
        <w:spacing w:line="0" w:lineRule="atLeast"/>
        <w:rPr>
          <w:color w:val="000000" w:themeColor="text1"/>
        </w:rPr>
      </w:pPr>
    </w:p>
    <w:p w14:paraId="3908909B" w14:textId="77777777" w:rsidR="00637AB7" w:rsidRPr="0011114B" w:rsidRDefault="00B90DB7" w:rsidP="0011114B">
      <w:pPr>
        <w:spacing w:line="0" w:lineRule="atLeast"/>
        <w:rPr>
          <w:color w:val="000000" w:themeColor="text1"/>
        </w:rPr>
      </w:pPr>
      <w:r w:rsidRPr="0011114B">
        <w:rPr>
          <w:color w:val="000000" w:themeColor="text1"/>
        </w:rPr>
        <w:t xml:space="preserve">2.9. Wash each circle three times with 200 </w:t>
      </w:r>
      <w:proofErr w:type="spellStart"/>
      <w:r w:rsidRPr="0011114B">
        <w:rPr>
          <w:color w:val="000000" w:themeColor="text1"/>
        </w:rPr>
        <w:t>μL</w:t>
      </w:r>
      <w:proofErr w:type="spellEnd"/>
      <w:r w:rsidRPr="0011114B">
        <w:rPr>
          <w:color w:val="000000" w:themeColor="text1"/>
        </w:rPr>
        <w:t xml:space="preserve"> of sterile 1× PBS.</w:t>
      </w:r>
    </w:p>
    <w:p w14:paraId="18A05D68" w14:textId="77777777" w:rsidR="00637AB7" w:rsidRPr="0011114B" w:rsidRDefault="00637AB7" w:rsidP="0011114B">
      <w:pPr>
        <w:spacing w:line="0" w:lineRule="atLeast"/>
        <w:rPr>
          <w:color w:val="000000" w:themeColor="text1"/>
        </w:rPr>
      </w:pPr>
    </w:p>
    <w:p w14:paraId="5B2C231D" w14:textId="77777777" w:rsidR="00637AB7" w:rsidRPr="0011114B" w:rsidRDefault="00B90DB7" w:rsidP="0011114B">
      <w:pPr>
        <w:spacing w:line="0" w:lineRule="atLeast"/>
        <w:rPr>
          <w:color w:val="000000" w:themeColor="text1"/>
        </w:rPr>
      </w:pPr>
      <w:r w:rsidRPr="0011114B">
        <w:rPr>
          <w:color w:val="000000" w:themeColor="text1"/>
        </w:rPr>
        <w:t>2.10. Prepare a 0.2% (w/v) Pluronic F-127 solution.</w:t>
      </w:r>
    </w:p>
    <w:p w14:paraId="474C028D" w14:textId="77777777" w:rsidR="00637AB7" w:rsidRPr="0011114B" w:rsidRDefault="00637AB7" w:rsidP="0011114B">
      <w:pPr>
        <w:spacing w:line="0" w:lineRule="atLeast"/>
        <w:rPr>
          <w:b/>
          <w:bCs/>
          <w:color w:val="000000" w:themeColor="text1"/>
        </w:rPr>
      </w:pPr>
    </w:p>
    <w:p w14:paraId="4A0AAE18"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Pluronic F-127 prevents nonspecific cell attachment to the surface of the microscope slide.</w:t>
      </w:r>
    </w:p>
    <w:p w14:paraId="16C5A484" w14:textId="77777777" w:rsidR="00637AB7" w:rsidRPr="0011114B" w:rsidRDefault="00637AB7" w:rsidP="0011114B">
      <w:pPr>
        <w:spacing w:line="0" w:lineRule="atLeast"/>
        <w:rPr>
          <w:color w:val="000000" w:themeColor="text1"/>
        </w:rPr>
      </w:pPr>
    </w:p>
    <w:p w14:paraId="37450E9B" w14:textId="77777777" w:rsidR="00637AB7" w:rsidRPr="0011114B" w:rsidRDefault="00B90DB7" w:rsidP="0011114B">
      <w:pPr>
        <w:spacing w:line="0" w:lineRule="atLeast"/>
        <w:rPr>
          <w:color w:val="000000" w:themeColor="text1"/>
        </w:rPr>
      </w:pPr>
      <w:r w:rsidRPr="0011114B">
        <w:rPr>
          <w:color w:val="000000" w:themeColor="text1"/>
        </w:rPr>
        <w:t xml:space="preserve">2.11. Add 150 </w:t>
      </w:r>
      <w:proofErr w:type="spellStart"/>
      <w:r w:rsidRPr="0011114B">
        <w:rPr>
          <w:color w:val="000000" w:themeColor="text1"/>
        </w:rPr>
        <w:t>μL</w:t>
      </w:r>
      <w:proofErr w:type="spellEnd"/>
      <w:r w:rsidRPr="0011114B">
        <w:rPr>
          <w:color w:val="000000" w:themeColor="text1"/>
        </w:rPr>
        <w:t xml:space="preserve"> of 0.2% Pluronic F-127 to the center of each circle on the microscope slide. Incubate the slide for 1 h at room temperature.</w:t>
      </w:r>
    </w:p>
    <w:p w14:paraId="6F4E220E" w14:textId="77777777" w:rsidR="00637AB7" w:rsidRPr="0011114B" w:rsidRDefault="00637AB7" w:rsidP="0011114B">
      <w:pPr>
        <w:spacing w:line="0" w:lineRule="atLeast"/>
        <w:rPr>
          <w:b/>
          <w:bCs/>
          <w:color w:val="000000" w:themeColor="text1"/>
        </w:rPr>
      </w:pPr>
    </w:p>
    <w:p w14:paraId="237D5372" w14:textId="77777777" w:rsidR="00637AB7" w:rsidRPr="0011114B" w:rsidRDefault="00B90DB7" w:rsidP="0011114B">
      <w:pPr>
        <w:spacing w:line="0" w:lineRule="atLeast"/>
        <w:rPr>
          <w:color w:val="000000" w:themeColor="text1"/>
        </w:rPr>
      </w:pPr>
      <w:r w:rsidRPr="0011114B">
        <w:rPr>
          <w:b/>
          <w:bCs/>
          <w:color w:val="000000" w:themeColor="text1"/>
        </w:rPr>
        <w:t>NOTE 1:</w:t>
      </w:r>
      <w:r w:rsidRPr="0011114B">
        <w:rPr>
          <w:color w:val="000000" w:themeColor="text1"/>
        </w:rPr>
        <w:t xml:space="preserve"> Keep the microscope slide in a humidifying chamber to minimize evaporation of the droplets. Keep the chamber sealed under a biological safety cabinet during the incubation period.</w:t>
      </w:r>
    </w:p>
    <w:p w14:paraId="19F706AC" w14:textId="77777777" w:rsidR="00637AB7" w:rsidRPr="0011114B" w:rsidRDefault="00637AB7" w:rsidP="0011114B">
      <w:pPr>
        <w:spacing w:line="0" w:lineRule="atLeast"/>
        <w:rPr>
          <w:color w:val="000000" w:themeColor="text1"/>
        </w:rPr>
      </w:pPr>
    </w:p>
    <w:p w14:paraId="34C7A830" w14:textId="77777777" w:rsidR="00637AB7" w:rsidRPr="0011114B" w:rsidRDefault="00B90DB7" w:rsidP="0011114B">
      <w:pPr>
        <w:spacing w:line="0" w:lineRule="atLeast"/>
        <w:rPr>
          <w:color w:val="000000" w:themeColor="text1"/>
        </w:rPr>
      </w:pPr>
      <w:r w:rsidRPr="0011114B">
        <w:rPr>
          <w:b/>
          <w:bCs/>
          <w:color w:val="000000" w:themeColor="text1"/>
        </w:rPr>
        <w:t>NOTE 2:</w:t>
      </w:r>
      <w:r w:rsidRPr="0011114B">
        <w:rPr>
          <w:color w:val="000000" w:themeColor="text1"/>
        </w:rPr>
        <w:t xml:space="preserve"> Alternatively, incubate the slide overnight at 4 °C. This is a pause point in the protocol.</w:t>
      </w:r>
    </w:p>
    <w:p w14:paraId="6A8BF9A6" w14:textId="77777777" w:rsidR="00637AB7" w:rsidRPr="0011114B" w:rsidRDefault="00637AB7" w:rsidP="0011114B">
      <w:pPr>
        <w:spacing w:line="0" w:lineRule="atLeast"/>
        <w:rPr>
          <w:color w:val="000000" w:themeColor="text1"/>
        </w:rPr>
      </w:pPr>
    </w:p>
    <w:p w14:paraId="16F548B2" w14:textId="77777777" w:rsidR="00637AB7" w:rsidRPr="0011114B" w:rsidRDefault="00B90DB7" w:rsidP="0011114B">
      <w:pPr>
        <w:spacing w:line="0" w:lineRule="atLeast"/>
        <w:rPr>
          <w:color w:val="000000" w:themeColor="text1"/>
        </w:rPr>
      </w:pPr>
      <w:r w:rsidRPr="0011114B">
        <w:rPr>
          <w:color w:val="000000" w:themeColor="text1"/>
        </w:rPr>
        <w:t xml:space="preserve">2.12. Wash each circle three times with 200 </w:t>
      </w:r>
      <w:proofErr w:type="spellStart"/>
      <w:r w:rsidRPr="0011114B">
        <w:rPr>
          <w:color w:val="000000" w:themeColor="text1"/>
        </w:rPr>
        <w:t>μL</w:t>
      </w:r>
      <w:proofErr w:type="spellEnd"/>
      <w:r w:rsidRPr="0011114B">
        <w:rPr>
          <w:color w:val="000000" w:themeColor="text1"/>
        </w:rPr>
        <w:t xml:space="preserve"> of sterile 1× PBS.</w:t>
      </w:r>
    </w:p>
    <w:p w14:paraId="5AF2A403" w14:textId="77777777" w:rsidR="00637AB7" w:rsidRPr="0011114B" w:rsidRDefault="00637AB7" w:rsidP="0011114B">
      <w:pPr>
        <w:spacing w:line="0" w:lineRule="atLeast"/>
        <w:rPr>
          <w:color w:val="000000" w:themeColor="text1"/>
        </w:rPr>
      </w:pPr>
    </w:p>
    <w:p w14:paraId="298AEEA4" w14:textId="77777777" w:rsidR="00637AB7" w:rsidRPr="0011114B" w:rsidRDefault="00B90DB7" w:rsidP="0011114B">
      <w:pPr>
        <w:spacing w:line="0" w:lineRule="atLeast"/>
        <w:rPr>
          <w:color w:val="000000" w:themeColor="text1"/>
        </w:rPr>
      </w:pPr>
      <w:r w:rsidRPr="0011114B">
        <w:rPr>
          <w:color w:val="000000" w:themeColor="text1"/>
        </w:rPr>
        <w:t xml:space="preserve">2.13. Prepare 300 </w:t>
      </w:r>
      <w:proofErr w:type="spellStart"/>
      <w:r w:rsidRPr="0011114B">
        <w:rPr>
          <w:color w:val="000000" w:themeColor="text1"/>
        </w:rPr>
        <w:t>μL</w:t>
      </w:r>
      <w:proofErr w:type="spellEnd"/>
      <w:r w:rsidRPr="0011114B">
        <w:rPr>
          <w:color w:val="000000" w:themeColor="text1"/>
        </w:rPr>
        <w:t xml:space="preserve"> of ICAM-1 solution in sterile 1× PBS at a concentration of 2.5 </w:t>
      </w:r>
      <w:proofErr w:type="spellStart"/>
      <w:r w:rsidRPr="0011114B">
        <w:rPr>
          <w:color w:val="000000" w:themeColor="text1"/>
        </w:rPr>
        <w:t>μg</w:t>
      </w:r>
      <w:proofErr w:type="spellEnd"/>
      <w:r w:rsidRPr="0011114B">
        <w:rPr>
          <w:color w:val="000000" w:themeColor="text1"/>
        </w:rPr>
        <w:t xml:space="preserve"> mL</w:t>
      </w:r>
      <w:r w:rsidRPr="0011114B">
        <w:rPr>
          <w:color w:val="000000" w:themeColor="text1"/>
          <w:vertAlign w:val="superscript"/>
        </w:rPr>
        <w:t>−1</w:t>
      </w:r>
      <w:r w:rsidRPr="0011114B">
        <w:rPr>
          <w:color w:val="000000" w:themeColor="text1"/>
        </w:rPr>
        <w:t>.</w:t>
      </w:r>
    </w:p>
    <w:p w14:paraId="51F1E477" w14:textId="77777777" w:rsidR="00637AB7" w:rsidRPr="0011114B" w:rsidRDefault="00637AB7" w:rsidP="0011114B">
      <w:pPr>
        <w:spacing w:line="0" w:lineRule="atLeast"/>
        <w:rPr>
          <w:color w:val="000000" w:themeColor="text1"/>
        </w:rPr>
      </w:pPr>
    </w:p>
    <w:p w14:paraId="47D68FBB" w14:textId="77777777" w:rsidR="00637AB7" w:rsidRPr="0011114B" w:rsidRDefault="00B90DB7" w:rsidP="0011114B">
      <w:pPr>
        <w:spacing w:line="0" w:lineRule="atLeast"/>
        <w:rPr>
          <w:color w:val="000000" w:themeColor="text1"/>
        </w:rPr>
      </w:pPr>
      <w:r w:rsidRPr="0011114B">
        <w:rPr>
          <w:color w:val="000000" w:themeColor="text1"/>
        </w:rPr>
        <w:t xml:space="preserve">2.14. Add 100 </w:t>
      </w:r>
      <w:proofErr w:type="spellStart"/>
      <w:r w:rsidRPr="0011114B">
        <w:rPr>
          <w:color w:val="000000" w:themeColor="text1"/>
        </w:rPr>
        <w:t>μL</w:t>
      </w:r>
      <w:proofErr w:type="spellEnd"/>
      <w:r w:rsidRPr="0011114B">
        <w:rPr>
          <w:color w:val="000000" w:themeColor="text1"/>
        </w:rPr>
        <w:t xml:space="preserve"> of the prepared ICAM-1 solution to the center of each circle on the microscope slide. Incubate the slide for 1 h at room temperature.</w:t>
      </w:r>
    </w:p>
    <w:p w14:paraId="0D54E55C" w14:textId="77777777" w:rsidR="00637AB7" w:rsidRPr="0011114B" w:rsidRDefault="00637AB7" w:rsidP="0011114B">
      <w:pPr>
        <w:spacing w:line="0" w:lineRule="atLeast"/>
        <w:rPr>
          <w:color w:val="000000" w:themeColor="text1"/>
        </w:rPr>
      </w:pPr>
    </w:p>
    <w:p w14:paraId="5AF2AFDB" w14:textId="432CFDE0" w:rsidR="00637AB7" w:rsidRPr="0011114B" w:rsidRDefault="00EF3FA2" w:rsidP="0011114B">
      <w:pPr>
        <w:spacing w:line="0" w:lineRule="atLeast"/>
        <w:rPr>
          <w:color w:val="000000" w:themeColor="text1"/>
        </w:rPr>
      </w:pPr>
      <w:r w:rsidRPr="0011114B">
        <w:rPr>
          <w:b/>
          <w:bCs/>
          <w:color w:val="000000" w:themeColor="text1"/>
        </w:rPr>
        <w:lastRenderedPageBreak/>
        <w:t>NOTE:</w:t>
      </w:r>
      <w:r w:rsidRPr="0011114B">
        <w:rPr>
          <w:color w:val="000000" w:themeColor="text1"/>
        </w:rPr>
        <w:t xml:space="preserve"> Keep the microscope slide in a humidifying chamber to minimize evaporation of the droplets. Keep the chamber sealed under a biological safety cabinet during the incubation period. Maintain the ICAM-1 solution on the slide in the humidifying chamber until step 3.2.4, when the slide is submerged in water and inserted into the microfluidic device. If the slide is not used on the day of preparation, maintain it in the humidifying chamber at 4°C.</w:t>
      </w:r>
    </w:p>
    <w:p w14:paraId="6334D0DE" w14:textId="77777777" w:rsidR="00D60FDF" w:rsidRPr="0011114B" w:rsidRDefault="00D60FDF" w:rsidP="0011114B">
      <w:pPr>
        <w:spacing w:line="0" w:lineRule="atLeast"/>
        <w:rPr>
          <w:color w:val="000000" w:themeColor="text1"/>
        </w:rPr>
      </w:pPr>
    </w:p>
    <w:p w14:paraId="2B514F1C" w14:textId="55CC2072" w:rsidR="00637AB7" w:rsidRPr="00B17CD4" w:rsidRDefault="00B90DB7" w:rsidP="0011114B">
      <w:pPr>
        <w:spacing w:line="0" w:lineRule="atLeast"/>
        <w:rPr>
          <w:b/>
          <w:bCs/>
          <w:color w:val="000000" w:themeColor="text1"/>
        </w:rPr>
      </w:pPr>
      <w:r w:rsidRPr="00B17CD4">
        <w:rPr>
          <w:b/>
          <w:bCs/>
          <w:color w:val="000000" w:themeColor="text1"/>
        </w:rPr>
        <w:t>3. Conducting Migration Experiments on the Coated Microscope Slide</w:t>
      </w:r>
    </w:p>
    <w:p w14:paraId="6954A3E2" w14:textId="77777777" w:rsidR="00637AB7" w:rsidRPr="00B17CD4" w:rsidRDefault="00637AB7" w:rsidP="0011114B">
      <w:pPr>
        <w:spacing w:line="0" w:lineRule="atLeast"/>
        <w:rPr>
          <w:b/>
          <w:bCs/>
          <w:color w:val="000000" w:themeColor="text1"/>
        </w:rPr>
      </w:pPr>
    </w:p>
    <w:p w14:paraId="6F201693" w14:textId="77777777" w:rsidR="00637AB7" w:rsidRPr="00B17CD4" w:rsidRDefault="00B90DB7" w:rsidP="0011114B">
      <w:pPr>
        <w:spacing w:line="0" w:lineRule="atLeast"/>
        <w:rPr>
          <w:b/>
          <w:bCs/>
          <w:color w:val="000000" w:themeColor="text1"/>
        </w:rPr>
      </w:pPr>
      <w:r w:rsidRPr="00B17CD4">
        <w:rPr>
          <w:b/>
          <w:bCs/>
          <w:color w:val="000000" w:themeColor="text1"/>
        </w:rPr>
        <w:t>3.1 Microscope configuration</w:t>
      </w:r>
    </w:p>
    <w:p w14:paraId="3D0F00CF" w14:textId="77777777" w:rsidR="00637AB7" w:rsidRPr="00B17CD4" w:rsidRDefault="00637AB7" w:rsidP="0011114B">
      <w:pPr>
        <w:spacing w:line="0" w:lineRule="atLeast"/>
        <w:rPr>
          <w:color w:val="000000" w:themeColor="text1"/>
        </w:rPr>
      </w:pPr>
    </w:p>
    <w:p w14:paraId="039EE556" w14:textId="77777777" w:rsidR="00637AB7" w:rsidRPr="00B17CD4" w:rsidRDefault="00B90DB7" w:rsidP="0011114B">
      <w:pPr>
        <w:spacing w:line="0" w:lineRule="atLeast"/>
        <w:rPr>
          <w:color w:val="000000" w:themeColor="text1"/>
        </w:rPr>
      </w:pPr>
      <w:r w:rsidRPr="00B17CD4">
        <w:rPr>
          <w:color w:val="000000" w:themeColor="text1"/>
        </w:rPr>
        <w:t>3.1.1. Ensure that a microscope equipped with an environmental chamber is available.</w:t>
      </w:r>
    </w:p>
    <w:p w14:paraId="01D0C972" w14:textId="77777777" w:rsidR="00637AB7" w:rsidRPr="00B17CD4" w:rsidRDefault="00637AB7" w:rsidP="0011114B">
      <w:pPr>
        <w:spacing w:line="0" w:lineRule="atLeast"/>
        <w:rPr>
          <w:color w:val="000000" w:themeColor="text1"/>
        </w:rPr>
      </w:pPr>
    </w:p>
    <w:p w14:paraId="41CCCC8B" w14:textId="77777777" w:rsidR="00637AB7" w:rsidRPr="00B17CD4" w:rsidRDefault="00B90DB7" w:rsidP="0011114B">
      <w:pPr>
        <w:spacing w:line="0" w:lineRule="atLeast"/>
        <w:rPr>
          <w:color w:val="000000" w:themeColor="text1"/>
        </w:rPr>
      </w:pPr>
      <w:r w:rsidRPr="00B17CD4">
        <w:rPr>
          <w:color w:val="000000" w:themeColor="text1"/>
        </w:rPr>
        <w:t>3.1.2. Set the environmental chamber temperature to 37°C.</w:t>
      </w:r>
    </w:p>
    <w:p w14:paraId="68CFB7D4" w14:textId="77777777" w:rsidR="00637AB7" w:rsidRPr="00B17CD4" w:rsidRDefault="00637AB7" w:rsidP="0011114B">
      <w:pPr>
        <w:spacing w:line="0" w:lineRule="atLeast"/>
        <w:rPr>
          <w:color w:val="000000" w:themeColor="text1"/>
        </w:rPr>
      </w:pPr>
    </w:p>
    <w:p w14:paraId="03CC2DDD" w14:textId="77777777" w:rsidR="00637AB7" w:rsidRPr="00B17CD4" w:rsidRDefault="00B90DB7" w:rsidP="0011114B">
      <w:pPr>
        <w:spacing w:line="0" w:lineRule="atLeast"/>
        <w:rPr>
          <w:color w:val="000000" w:themeColor="text1"/>
        </w:rPr>
      </w:pPr>
      <w:r w:rsidRPr="00B17CD4">
        <w:rPr>
          <w:color w:val="000000" w:themeColor="text1"/>
        </w:rPr>
        <w:t>3.1.3. Set the microscope to the 20× objective lens.</w:t>
      </w:r>
    </w:p>
    <w:p w14:paraId="4B0835B3" w14:textId="77777777" w:rsidR="00637AB7" w:rsidRPr="00B17CD4" w:rsidRDefault="00637AB7" w:rsidP="0011114B">
      <w:pPr>
        <w:spacing w:line="0" w:lineRule="atLeast"/>
        <w:rPr>
          <w:b/>
          <w:bCs/>
          <w:color w:val="000000" w:themeColor="text1"/>
          <w:highlight w:val="yellow"/>
        </w:rPr>
      </w:pPr>
    </w:p>
    <w:p w14:paraId="1500F9A2" w14:textId="77777777" w:rsidR="00637AB7" w:rsidRPr="00B17CD4" w:rsidRDefault="00B90DB7" w:rsidP="0011114B">
      <w:pPr>
        <w:spacing w:line="0" w:lineRule="atLeast"/>
        <w:rPr>
          <w:b/>
          <w:bCs/>
          <w:color w:val="000000" w:themeColor="text1"/>
          <w:highlight w:val="yellow"/>
        </w:rPr>
      </w:pPr>
      <w:r w:rsidRPr="00B17CD4">
        <w:rPr>
          <w:b/>
          <w:bCs/>
          <w:color w:val="000000" w:themeColor="text1"/>
          <w:highlight w:val="yellow"/>
        </w:rPr>
        <w:t>3.2 Flow chamber assembly</w:t>
      </w:r>
    </w:p>
    <w:p w14:paraId="61757B04" w14:textId="77777777" w:rsidR="00637AB7" w:rsidRPr="00B17CD4" w:rsidRDefault="00637AB7" w:rsidP="0011114B">
      <w:pPr>
        <w:spacing w:line="0" w:lineRule="atLeast"/>
        <w:rPr>
          <w:color w:val="000000" w:themeColor="text1"/>
          <w:highlight w:val="yellow"/>
        </w:rPr>
      </w:pPr>
    </w:p>
    <w:p w14:paraId="72FD2703"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 Fill a 2.6 L glass dish with 1.5–2 L of deionized water to submerge the components of the rectangular parallel-plate flow chamber.</w:t>
      </w:r>
    </w:p>
    <w:p w14:paraId="74CE80C4" w14:textId="77777777" w:rsidR="00637AB7" w:rsidRPr="00B17CD4" w:rsidRDefault="00637AB7" w:rsidP="0011114B">
      <w:pPr>
        <w:spacing w:line="0" w:lineRule="atLeast"/>
        <w:rPr>
          <w:color w:val="000000" w:themeColor="text1"/>
          <w:highlight w:val="yellow"/>
        </w:rPr>
      </w:pPr>
    </w:p>
    <w:p w14:paraId="312EE7F3"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3.2.2. Assemble the bottom portion of the flow chamber that holds the slide and gasket.</w:t>
      </w:r>
    </w:p>
    <w:p w14:paraId="6F851BC8" w14:textId="77777777" w:rsidR="00637AB7" w:rsidRPr="00B17CD4" w:rsidRDefault="00637AB7" w:rsidP="0011114B">
      <w:pPr>
        <w:spacing w:line="0" w:lineRule="atLeast"/>
        <w:rPr>
          <w:color w:val="000000" w:themeColor="text1"/>
          <w:highlight w:val="yellow"/>
        </w:rPr>
      </w:pPr>
    </w:p>
    <w:p w14:paraId="6087C4EF"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3.2.3. Position the bottom piece of the parallel-plate flow chamber with the indentation for the slide and gasket facing upward.</w:t>
      </w:r>
    </w:p>
    <w:p w14:paraId="539AF9A3" w14:textId="77777777" w:rsidR="00637AB7" w:rsidRPr="00B17CD4" w:rsidRDefault="00637AB7" w:rsidP="0011114B">
      <w:pPr>
        <w:spacing w:line="0" w:lineRule="atLeast"/>
        <w:rPr>
          <w:color w:val="000000" w:themeColor="text1"/>
          <w:highlight w:val="yellow"/>
        </w:rPr>
      </w:pPr>
    </w:p>
    <w:p w14:paraId="7B67C2DE"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3.2.4. Insert the coated microscope slide with the coated surface facing upward.</w:t>
      </w:r>
    </w:p>
    <w:p w14:paraId="56ABCAFD" w14:textId="77777777" w:rsidR="00637AB7" w:rsidRPr="00B17CD4" w:rsidRDefault="00637AB7" w:rsidP="0011114B">
      <w:pPr>
        <w:spacing w:line="0" w:lineRule="atLeast"/>
        <w:rPr>
          <w:color w:val="000000" w:themeColor="text1"/>
          <w:highlight w:val="yellow"/>
        </w:rPr>
      </w:pPr>
    </w:p>
    <w:p w14:paraId="17972DFE"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3.2.5. Place the gasket on top of the microscope slide.</w:t>
      </w:r>
    </w:p>
    <w:p w14:paraId="1DCC3A33" w14:textId="77777777" w:rsidR="00637AB7" w:rsidRPr="00B17CD4" w:rsidRDefault="00637AB7" w:rsidP="0011114B">
      <w:pPr>
        <w:spacing w:line="0" w:lineRule="atLeast"/>
        <w:rPr>
          <w:color w:val="000000" w:themeColor="text1"/>
          <w:highlight w:val="yellow"/>
        </w:rPr>
      </w:pPr>
    </w:p>
    <w:p w14:paraId="3EE17099"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3.2.6. Attach the bottom piece of the parallel-plate flow chamber to the top piece containing the inlet and outlet.</w:t>
      </w:r>
    </w:p>
    <w:p w14:paraId="69A96EA7" w14:textId="77777777" w:rsidR="00637AB7" w:rsidRPr="00B17CD4" w:rsidRDefault="00637AB7" w:rsidP="0011114B">
      <w:pPr>
        <w:spacing w:line="0" w:lineRule="atLeast"/>
        <w:rPr>
          <w:color w:val="000000" w:themeColor="text1"/>
          <w:highlight w:val="yellow"/>
        </w:rPr>
      </w:pPr>
    </w:p>
    <w:p w14:paraId="2406EB0A"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3.2.7. Seal the parallel-plate flow chamber using six #8-32 × 3/4-inch flat-head machine screws with countersinks.</w:t>
      </w:r>
    </w:p>
    <w:p w14:paraId="3873A777" w14:textId="77777777" w:rsidR="00637AB7" w:rsidRPr="00B17CD4" w:rsidRDefault="00637AB7" w:rsidP="0011114B">
      <w:pPr>
        <w:spacing w:line="0" w:lineRule="atLeast"/>
        <w:rPr>
          <w:color w:val="000000" w:themeColor="text1"/>
          <w:highlight w:val="yellow"/>
        </w:rPr>
      </w:pPr>
    </w:p>
    <w:p w14:paraId="47EC48FC"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3.2.8. Prepare one 2-foot-long silicone tube with a 1/16-inch inner diameter and 1/8-inch outer diameter for connection to the inlet of the microfluidic device.</w:t>
      </w:r>
    </w:p>
    <w:p w14:paraId="4EB8D3B2" w14:textId="77777777" w:rsidR="00637AB7" w:rsidRPr="00B17CD4" w:rsidRDefault="00637AB7" w:rsidP="0011114B">
      <w:pPr>
        <w:spacing w:line="0" w:lineRule="atLeast"/>
        <w:rPr>
          <w:color w:val="000000" w:themeColor="text1"/>
          <w:highlight w:val="yellow"/>
        </w:rPr>
      </w:pPr>
    </w:p>
    <w:p w14:paraId="239E3FF0"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 xml:space="preserve">3.2.8.1. Attach a female </w:t>
      </w:r>
      <w:proofErr w:type="spellStart"/>
      <w:r w:rsidRPr="00B17CD4">
        <w:rPr>
          <w:color w:val="000000" w:themeColor="text1"/>
          <w:highlight w:val="yellow"/>
        </w:rPr>
        <w:t>luer</w:t>
      </w:r>
      <w:proofErr w:type="spellEnd"/>
      <w:r w:rsidRPr="00B17CD4">
        <w:rPr>
          <w:color w:val="000000" w:themeColor="text1"/>
          <w:highlight w:val="yellow"/>
        </w:rPr>
        <w:t>-lock adapter with a 1/16-inch hose-barb fitting to one end of the silicone tube.</w:t>
      </w:r>
    </w:p>
    <w:p w14:paraId="09079FBA" w14:textId="77777777" w:rsidR="00637AB7" w:rsidRPr="00B17CD4" w:rsidRDefault="00637AB7" w:rsidP="0011114B">
      <w:pPr>
        <w:spacing w:line="0" w:lineRule="atLeast"/>
        <w:rPr>
          <w:color w:val="000000" w:themeColor="text1"/>
          <w:highlight w:val="yellow"/>
        </w:rPr>
      </w:pPr>
    </w:p>
    <w:p w14:paraId="04874544"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 xml:space="preserve">3.2.8.2. Attach a male </w:t>
      </w:r>
      <w:proofErr w:type="spellStart"/>
      <w:r w:rsidRPr="00B17CD4">
        <w:rPr>
          <w:color w:val="000000" w:themeColor="text1"/>
          <w:highlight w:val="yellow"/>
        </w:rPr>
        <w:t>luer</w:t>
      </w:r>
      <w:proofErr w:type="spellEnd"/>
      <w:r w:rsidRPr="00B17CD4">
        <w:rPr>
          <w:color w:val="000000" w:themeColor="text1"/>
          <w:highlight w:val="yellow"/>
        </w:rPr>
        <w:t>-taper connector with a 1/16-inch hose-barb fitting to the other end of the silicone tube.</w:t>
      </w:r>
    </w:p>
    <w:p w14:paraId="5478F900" w14:textId="77777777" w:rsidR="00637AB7" w:rsidRPr="00B17CD4" w:rsidRDefault="00637AB7" w:rsidP="0011114B">
      <w:pPr>
        <w:spacing w:line="0" w:lineRule="atLeast"/>
        <w:rPr>
          <w:color w:val="000000" w:themeColor="text1"/>
          <w:highlight w:val="yellow"/>
        </w:rPr>
      </w:pPr>
    </w:p>
    <w:p w14:paraId="3FF550CA"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 xml:space="preserve">3.2.9. Fill a 10–30 mL syringe with deionized water and attach the syringe to the female </w:t>
      </w:r>
      <w:proofErr w:type="spellStart"/>
      <w:r w:rsidRPr="00B17CD4">
        <w:rPr>
          <w:color w:val="000000" w:themeColor="text1"/>
          <w:highlight w:val="yellow"/>
        </w:rPr>
        <w:t>luer</w:t>
      </w:r>
      <w:proofErr w:type="spellEnd"/>
      <w:r w:rsidRPr="00B17CD4">
        <w:rPr>
          <w:color w:val="000000" w:themeColor="text1"/>
          <w:highlight w:val="yellow"/>
        </w:rPr>
        <w:t>-lock adapter connected to the tubing. Purge the air from the tubing.</w:t>
      </w:r>
    </w:p>
    <w:p w14:paraId="41291C6A" w14:textId="77777777" w:rsidR="00637AB7" w:rsidRPr="00B17CD4" w:rsidRDefault="00637AB7" w:rsidP="0011114B">
      <w:pPr>
        <w:spacing w:line="0" w:lineRule="atLeast"/>
        <w:rPr>
          <w:color w:val="000000" w:themeColor="text1"/>
          <w:highlight w:val="yellow"/>
        </w:rPr>
      </w:pPr>
    </w:p>
    <w:p w14:paraId="6133EFD7"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3.2.10. Attach the silicone tubing connected to the syringe to the inlet of the microfluidic device.</w:t>
      </w:r>
    </w:p>
    <w:p w14:paraId="2084E313" w14:textId="77777777" w:rsidR="00637AB7" w:rsidRPr="00B17CD4" w:rsidRDefault="00637AB7" w:rsidP="0011114B">
      <w:pPr>
        <w:spacing w:line="0" w:lineRule="atLeast"/>
        <w:rPr>
          <w:b/>
          <w:bCs/>
          <w:color w:val="000000" w:themeColor="text1"/>
          <w:highlight w:val="yellow"/>
        </w:rPr>
      </w:pPr>
    </w:p>
    <w:p w14:paraId="25080CD2" w14:textId="77777777" w:rsidR="00637AB7" w:rsidRPr="00B17CD4" w:rsidRDefault="00B90DB7" w:rsidP="0011114B">
      <w:pPr>
        <w:spacing w:line="0" w:lineRule="atLeast"/>
        <w:rPr>
          <w:color w:val="000000" w:themeColor="text1"/>
          <w:highlight w:val="yellow"/>
        </w:rPr>
      </w:pPr>
      <w:r w:rsidRPr="00B17CD4">
        <w:rPr>
          <w:b/>
          <w:bCs/>
          <w:color w:val="000000" w:themeColor="text1"/>
          <w:highlight w:val="yellow"/>
        </w:rPr>
        <w:t>NOTE:</w:t>
      </w:r>
      <w:r w:rsidRPr="00B17CD4">
        <w:rPr>
          <w:color w:val="000000" w:themeColor="text1"/>
          <w:highlight w:val="yellow"/>
        </w:rPr>
        <w:t xml:space="preserve"> The inlet side of the microfluidic device is the side where the flow stream first encounters the artery-like channel-width region of the gasket.</w:t>
      </w:r>
    </w:p>
    <w:p w14:paraId="40E0A19E" w14:textId="77777777" w:rsidR="00637AB7" w:rsidRPr="00B17CD4" w:rsidRDefault="00637AB7" w:rsidP="0011114B">
      <w:pPr>
        <w:spacing w:line="0" w:lineRule="atLeast"/>
        <w:rPr>
          <w:color w:val="000000" w:themeColor="text1"/>
          <w:highlight w:val="yellow"/>
        </w:rPr>
      </w:pPr>
    </w:p>
    <w:p w14:paraId="04A4EF43"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3.2.11. Prepare a second 2-foot-long silicone tube with a 1/16-inch inner diameter and 1/8-inch outer diameter for connection to the outlet of the microfluidic device.</w:t>
      </w:r>
    </w:p>
    <w:p w14:paraId="467B8E0B" w14:textId="77777777" w:rsidR="00637AB7" w:rsidRPr="00B17CD4" w:rsidRDefault="00637AB7" w:rsidP="0011114B">
      <w:pPr>
        <w:spacing w:line="0" w:lineRule="atLeast"/>
        <w:rPr>
          <w:color w:val="000000" w:themeColor="text1"/>
          <w:highlight w:val="yellow"/>
        </w:rPr>
      </w:pPr>
    </w:p>
    <w:p w14:paraId="0D051863"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 xml:space="preserve">3.2.11.1. Attach a male </w:t>
      </w:r>
      <w:proofErr w:type="spellStart"/>
      <w:r w:rsidRPr="00B17CD4">
        <w:rPr>
          <w:color w:val="000000" w:themeColor="text1"/>
          <w:highlight w:val="yellow"/>
        </w:rPr>
        <w:t>luer</w:t>
      </w:r>
      <w:proofErr w:type="spellEnd"/>
      <w:r w:rsidRPr="00B17CD4">
        <w:rPr>
          <w:color w:val="000000" w:themeColor="text1"/>
          <w:highlight w:val="yellow"/>
        </w:rPr>
        <w:t>-taper connector with a 1/16-inch hose-barb fitting to one end of the silicone tube.</w:t>
      </w:r>
    </w:p>
    <w:p w14:paraId="17854005" w14:textId="77777777" w:rsidR="00637AB7" w:rsidRPr="00B17CD4" w:rsidRDefault="00637AB7" w:rsidP="0011114B">
      <w:pPr>
        <w:spacing w:line="0" w:lineRule="atLeast"/>
        <w:rPr>
          <w:color w:val="000000" w:themeColor="text1"/>
          <w:highlight w:val="yellow"/>
        </w:rPr>
      </w:pPr>
    </w:p>
    <w:p w14:paraId="6DF5C02D"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3.2.12. Attach the second silicone tube to the outlet of the microfluidic device.</w:t>
      </w:r>
    </w:p>
    <w:p w14:paraId="07DA7FAD" w14:textId="77777777" w:rsidR="00637AB7" w:rsidRPr="00B17CD4" w:rsidRDefault="00637AB7" w:rsidP="0011114B">
      <w:pPr>
        <w:spacing w:line="0" w:lineRule="atLeast"/>
        <w:rPr>
          <w:b/>
          <w:bCs/>
          <w:color w:val="000000" w:themeColor="text1"/>
          <w:highlight w:val="yellow"/>
        </w:rPr>
      </w:pPr>
    </w:p>
    <w:p w14:paraId="6460D71A" w14:textId="77777777" w:rsidR="00637AB7" w:rsidRPr="00B17CD4" w:rsidRDefault="00B90DB7" w:rsidP="0011114B">
      <w:pPr>
        <w:spacing w:line="0" w:lineRule="atLeast"/>
        <w:rPr>
          <w:color w:val="000000" w:themeColor="text1"/>
          <w:highlight w:val="yellow"/>
        </w:rPr>
      </w:pPr>
      <w:r w:rsidRPr="00B17CD4">
        <w:rPr>
          <w:b/>
          <w:bCs/>
          <w:color w:val="000000" w:themeColor="text1"/>
          <w:highlight w:val="yellow"/>
        </w:rPr>
        <w:t>NOTE:</w:t>
      </w:r>
      <w:r w:rsidRPr="00B17CD4">
        <w:rPr>
          <w:color w:val="000000" w:themeColor="text1"/>
          <w:highlight w:val="yellow"/>
        </w:rPr>
        <w:t xml:space="preserve"> The outlet side of the microfluidic device is the side where the flow stream first encounters the vein-like channel-width region of the gasket.</w:t>
      </w:r>
    </w:p>
    <w:p w14:paraId="7228F6AE" w14:textId="77777777" w:rsidR="00637AB7" w:rsidRPr="00B17CD4" w:rsidRDefault="00637AB7" w:rsidP="0011114B">
      <w:pPr>
        <w:spacing w:line="0" w:lineRule="atLeast"/>
        <w:rPr>
          <w:color w:val="000000" w:themeColor="text1"/>
          <w:highlight w:val="yellow"/>
        </w:rPr>
      </w:pPr>
    </w:p>
    <w:p w14:paraId="288C632E"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3.2.13. Use the syringe containing deionized water to purge the microfluidic device. Ensure that no air bubbles remain within the microfluidic channel or the inlet and outlet tubing.</w:t>
      </w:r>
    </w:p>
    <w:p w14:paraId="2CC599D4" w14:textId="77777777" w:rsidR="00637AB7" w:rsidRPr="00B17CD4" w:rsidRDefault="00637AB7" w:rsidP="0011114B">
      <w:pPr>
        <w:spacing w:line="0" w:lineRule="atLeast"/>
        <w:rPr>
          <w:color w:val="000000" w:themeColor="text1"/>
          <w:highlight w:val="yellow"/>
        </w:rPr>
      </w:pPr>
    </w:p>
    <w:p w14:paraId="33AB23BF"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3.2.14. Secure the assembled microfluidic device onto the microscope stage.</w:t>
      </w:r>
    </w:p>
    <w:p w14:paraId="47872609" w14:textId="77777777" w:rsidR="00637AB7" w:rsidRPr="00B17CD4" w:rsidRDefault="00637AB7" w:rsidP="0011114B">
      <w:pPr>
        <w:spacing w:line="0" w:lineRule="atLeast"/>
        <w:rPr>
          <w:color w:val="000000" w:themeColor="text1"/>
          <w:highlight w:val="yellow"/>
        </w:rPr>
      </w:pPr>
    </w:p>
    <w:p w14:paraId="26CB0455"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3.2.15. Place a 50 mL beaker within the microscope environmental chamber and position the outlet tubing in the beaker to collect the flow-through.</w:t>
      </w:r>
    </w:p>
    <w:p w14:paraId="5571FB48" w14:textId="77777777" w:rsidR="00637AB7" w:rsidRPr="00B17CD4" w:rsidRDefault="00637AB7" w:rsidP="0011114B">
      <w:pPr>
        <w:spacing w:line="0" w:lineRule="atLeast"/>
        <w:rPr>
          <w:color w:val="000000" w:themeColor="text1"/>
          <w:highlight w:val="yellow"/>
        </w:rPr>
      </w:pPr>
    </w:p>
    <w:p w14:paraId="10C1E129"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3.2.16. Clamp both the inlet and outlet tubing with paper clips to establish a zero-flow state.</w:t>
      </w:r>
    </w:p>
    <w:p w14:paraId="78E799DD" w14:textId="77777777" w:rsidR="00637AB7" w:rsidRPr="00B17CD4" w:rsidRDefault="00637AB7" w:rsidP="0011114B">
      <w:pPr>
        <w:spacing w:line="0" w:lineRule="atLeast"/>
        <w:rPr>
          <w:color w:val="000000" w:themeColor="text1"/>
          <w:highlight w:val="yellow"/>
        </w:rPr>
      </w:pPr>
    </w:p>
    <w:p w14:paraId="6806A76C"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3.2.17. Allow the microfluidic device to equilibrate to the environmental chamber temperature for 10–15 min.</w:t>
      </w:r>
    </w:p>
    <w:p w14:paraId="6251C90D" w14:textId="77777777" w:rsidR="00637AB7" w:rsidRPr="00B17CD4" w:rsidRDefault="00637AB7" w:rsidP="0011114B">
      <w:pPr>
        <w:spacing w:line="0" w:lineRule="atLeast"/>
        <w:rPr>
          <w:color w:val="000000" w:themeColor="text1"/>
          <w:highlight w:val="yellow"/>
        </w:rPr>
      </w:pPr>
    </w:p>
    <w:p w14:paraId="769AEA5C"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3.2.18. Focus the microscope on the microfluidic channel, using the marker outlines on the slide as a guide to locate the endothelial ligand-coated regions.</w:t>
      </w:r>
    </w:p>
    <w:p w14:paraId="301DC82E" w14:textId="77777777" w:rsidR="00637AB7" w:rsidRPr="00B17CD4" w:rsidRDefault="00637AB7" w:rsidP="0011114B">
      <w:pPr>
        <w:spacing w:line="0" w:lineRule="atLeast"/>
        <w:rPr>
          <w:b/>
          <w:bCs/>
          <w:color w:val="000000" w:themeColor="text1"/>
          <w:highlight w:val="yellow"/>
        </w:rPr>
      </w:pPr>
    </w:p>
    <w:p w14:paraId="019550D3" w14:textId="77777777" w:rsidR="00637AB7" w:rsidRPr="00B17CD4" w:rsidRDefault="00B90DB7" w:rsidP="0011114B">
      <w:pPr>
        <w:spacing w:line="0" w:lineRule="atLeast"/>
        <w:rPr>
          <w:b/>
          <w:bCs/>
          <w:color w:val="000000" w:themeColor="text1"/>
          <w:highlight w:val="yellow"/>
        </w:rPr>
      </w:pPr>
      <w:r w:rsidRPr="00B17CD4">
        <w:rPr>
          <w:b/>
          <w:bCs/>
          <w:color w:val="000000" w:themeColor="text1"/>
          <w:highlight w:val="yellow"/>
        </w:rPr>
        <w:t>3.3 Cell Preparation</w:t>
      </w:r>
    </w:p>
    <w:p w14:paraId="584A6666" w14:textId="77777777" w:rsidR="00637AB7" w:rsidRPr="00B17CD4" w:rsidRDefault="00637AB7" w:rsidP="0011114B">
      <w:pPr>
        <w:spacing w:line="0" w:lineRule="atLeast"/>
        <w:rPr>
          <w:b/>
          <w:bCs/>
          <w:color w:val="000000" w:themeColor="text1"/>
          <w:highlight w:val="yellow"/>
        </w:rPr>
      </w:pPr>
    </w:p>
    <w:p w14:paraId="3947364A" w14:textId="6566328E" w:rsidR="00637AB7" w:rsidRPr="00B17CD4" w:rsidRDefault="00B90DB7" w:rsidP="0011114B">
      <w:pPr>
        <w:spacing w:line="0" w:lineRule="atLeast"/>
        <w:rPr>
          <w:color w:val="000000" w:themeColor="text1"/>
          <w:highlight w:val="yellow"/>
        </w:rPr>
      </w:pPr>
      <w:r w:rsidRPr="00B17CD4">
        <w:rPr>
          <w:b/>
          <w:bCs/>
          <w:color w:val="000000" w:themeColor="text1"/>
          <w:highlight w:val="yellow"/>
        </w:rPr>
        <w:t>NOTE:</w:t>
      </w:r>
      <w:r w:rsidRPr="00B17CD4">
        <w:rPr>
          <w:color w:val="000000" w:themeColor="text1"/>
          <w:highlight w:val="yellow"/>
        </w:rPr>
        <w:t xml:space="preserve"> Differentiate HL-60 cells with 1.25% DMSO for 5 days before performing the experiment to ensure cell attachment to the coated endothelial ligands during the migration assays. Differentiate a total volume of 8 mL of cell suspension in a 25 cm² tissue culture flask at a cell density of 1 × 10⁶ cells</w:t>
      </w:r>
      <w:r w:rsidR="00274B19" w:rsidRPr="00B17CD4">
        <w:rPr>
          <w:color w:val="000000" w:themeColor="text1"/>
          <w:highlight w:val="yellow"/>
        </w:rPr>
        <w:t xml:space="preserve"> </w:t>
      </w:r>
      <w:r w:rsidRPr="00B17CD4">
        <w:rPr>
          <w:color w:val="000000" w:themeColor="text1"/>
          <w:highlight w:val="yellow"/>
        </w:rPr>
        <w:t>mL</w:t>
      </w:r>
      <w:r w:rsidR="00274B19" w:rsidRPr="00B17CD4">
        <w:rPr>
          <w:color w:val="000000" w:themeColor="text1"/>
          <w:highlight w:val="yellow"/>
          <w:vertAlign w:val="superscript"/>
        </w:rPr>
        <w:t>−1</w:t>
      </w:r>
      <w:r w:rsidRPr="00B17CD4">
        <w:rPr>
          <w:color w:val="000000" w:themeColor="text1"/>
          <w:highlight w:val="yellow"/>
        </w:rPr>
        <w:t xml:space="preserve"> to ensure a sufficient number of cells for all experiments. Use cells at no more than 8 passages and with at least 50% viability.</w:t>
      </w:r>
    </w:p>
    <w:p w14:paraId="7BFA9503" w14:textId="77777777" w:rsidR="00637AB7" w:rsidRPr="00B17CD4" w:rsidRDefault="00637AB7" w:rsidP="0011114B">
      <w:pPr>
        <w:spacing w:line="0" w:lineRule="atLeast"/>
        <w:rPr>
          <w:color w:val="000000" w:themeColor="text1"/>
          <w:highlight w:val="yellow"/>
        </w:rPr>
      </w:pPr>
    </w:p>
    <w:p w14:paraId="57339604" w14:textId="77777777" w:rsidR="00637AB7" w:rsidRPr="0011114B" w:rsidRDefault="00B90DB7" w:rsidP="0011114B">
      <w:pPr>
        <w:spacing w:line="0" w:lineRule="atLeast"/>
        <w:rPr>
          <w:color w:val="000000" w:themeColor="text1"/>
        </w:rPr>
      </w:pPr>
      <w:r w:rsidRPr="00B17CD4">
        <w:rPr>
          <w:color w:val="000000" w:themeColor="text1"/>
          <w:highlight w:val="yellow"/>
        </w:rPr>
        <w:lastRenderedPageBreak/>
        <w:t xml:space="preserve">3.3.1. Aliquot a volume of cell suspension containing at least 3 × 10⁶ total cells, typically 1–5 mL depending on the culture density, from the 25 cm² tissue culture flask into a sterile collection tube. Centrifuge the cells at 120 × </w:t>
      </w:r>
      <w:r w:rsidRPr="00B17CD4">
        <w:rPr>
          <w:i/>
          <w:iCs/>
          <w:color w:val="000000" w:themeColor="text1"/>
          <w:highlight w:val="yellow"/>
        </w:rPr>
        <w:t>g</w:t>
      </w:r>
      <w:r w:rsidRPr="00B17CD4">
        <w:rPr>
          <w:color w:val="000000" w:themeColor="text1"/>
          <w:highlight w:val="yellow"/>
        </w:rPr>
        <w:t xml:space="preserve"> for 5 min at room temperature.</w:t>
      </w:r>
    </w:p>
    <w:p w14:paraId="710EF017" w14:textId="77777777" w:rsidR="00637AB7" w:rsidRPr="0011114B" w:rsidRDefault="00637AB7" w:rsidP="0011114B">
      <w:pPr>
        <w:spacing w:line="0" w:lineRule="atLeast"/>
        <w:rPr>
          <w:color w:val="000000" w:themeColor="text1"/>
        </w:rPr>
      </w:pPr>
    </w:p>
    <w:p w14:paraId="651D9DFC" w14:textId="77777777" w:rsidR="00637AB7" w:rsidRPr="0011114B" w:rsidRDefault="00B90DB7" w:rsidP="0011114B">
      <w:pPr>
        <w:spacing w:line="0" w:lineRule="atLeast"/>
        <w:rPr>
          <w:color w:val="000000" w:themeColor="text1"/>
        </w:rPr>
      </w:pPr>
      <w:r w:rsidRPr="0011114B">
        <w:rPr>
          <w:color w:val="000000" w:themeColor="text1"/>
        </w:rPr>
        <w:t xml:space="preserve">3.3.2. </w:t>
      </w:r>
      <w:r w:rsidRPr="0011114B">
        <w:rPr>
          <w:b/>
          <w:bCs/>
          <w:color w:val="000000" w:themeColor="text1"/>
        </w:rPr>
        <w:t>Optional:</w:t>
      </w:r>
      <w:r w:rsidRPr="0011114B">
        <w:rPr>
          <w:color w:val="000000" w:themeColor="text1"/>
        </w:rPr>
        <w:t xml:space="preserve"> Aspirate the supernatant and resuspend the cell pellet in 200 </w:t>
      </w:r>
      <w:proofErr w:type="spellStart"/>
      <w:r w:rsidRPr="0011114B">
        <w:rPr>
          <w:color w:val="000000" w:themeColor="text1"/>
        </w:rPr>
        <w:t>μL</w:t>
      </w:r>
      <w:proofErr w:type="spellEnd"/>
      <w:r w:rsidRPr="0011114B">
        <w:rPr>
          <w:color w:val="000000" w:themeColor="text1"/>
        </w:rPr>
        <w:t xml:space="preserve"> of IMDM supplemented with 10% fetal bovine serum and 1% penicillin/streptomycin. Add 5 </w:t>
      </w:r>
      <w:proofErr w:type="spellStart"/>
      <w:r w:rsidRPr="0011114B">
        <w:rPr>
          <w:color w:val="000000" w:themeColor="text1"/>
        </w:rPr>
        <w:t>μL</w:t>
      </w:r>
      <w:proofErr w:type="spellEnd"/>
      <w:r w:rsidRPr="0011114B">
        <w:rPr>
          <w:color w:val="000000" w:themeColor="text1"/>
        </w:rPr>
        <w:t xml:space="preserve"> of purified anti-CD11b blocking antibody to the cell suspension and incubate for 30 min at 37°C.</w:t>
      </w:r>
    </w:p>
    <w:p w14:paraId="3C42C1A9" w14:textId="77777777" w:rsidR="00637AB7" w:rsidRPr="0011114B" w:rsidRDefault="00637AB7" w:rsidP="0011114B">
      <w:pPr>
        <w:spacing w:line="0" w:lineRule="atLeast"/>
        <w:rPr>
          <w:color w:val="000000" w:themeColor="text1"/>
        </w:rPr>
      </w:pPr>
    </w:p>
    <w:p w14:paraId="680C468F"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3.3.3. Aspirate the supernatant and resuspend the cell pellet in 3 mL of IMDM supplemented with 10% fetal bovine serum and 1% penicillin/streptomycin. Ensure that the cells are thoroughly resuspended.</w:t>
      </w:r>
    </w:p>
    <w:p w14:paraId="39FBD7CE" w14:textId="77777777" w:rsidR="00637AB7" w:rsidRPr="00B17CD4" w:rsidRDefault="00637AB7" w:rsidP="0011114B">
      <w:pPr>
        <w:spacing w:line="0" w:lineRule="atLeast"/>
        <w:rPr>
          <w:color w:val="000000" w:themeColor="text1"/>
          <w:highlight w:val="yellow"/>
        </w:rPr>
      </w:pPr>
    </w:p>
    <w:p w14:paraId="0D92DD58" w14:textId="77777777" w:rsidR="00637AB7" w:rsidRPr="0011114B" w:rsidRDefault="00B90DB7" w:rsidP="0011114B">
      <w:pPr>
        <w:spacing w:line="0" w:lineRule="atLeast"/>
        <w:rPr>
          <w:color w:val="000000" w:themeColor="text1"/>
        </w:rPr>
      </w:pPr>
      <w:r w:rsidRPr="00B17CD4">
        <w:rPr>
          <w:color w:val="000000" w:themeColor="text1"/>
          <w:highlight w:val="yellow"/>
        </w:rPr>
        <w:t>3.3.4. Add 2–4 drops of nuclear live-cell imaging reagent to the cell suspension and incubate for 5 min at room temperature.</w:t>
      </w:r>
    </w:p>
    <w:p w14:paraId="564234D6" w14:textId="77777777" w:rsidR="00637AB7" w:rsidRPr="0011114B" w:rsidRDefault="00637AB7" w:rsidP="0011114B">
      <w:pPr>
        <w:spacing w:line="0" w:lineRule="atLeast"/>
        <w:rPr>
          <w:b/>
          <w:bCs/>
          <w:color w:val="000000" w:themeColor="text1"/>
        </w:rPr>
      </w:pPr>
    </w:p>
    <w:p w14:paraId="44F1D49A" w14:textId="77777777" w:rsidR="00637AB7" w:rsidRPr="00B17CD4" w:rsidRDefault="00B90DB7" w:rsidP="0011114B">
      <w:pPr>
        <w:spacing w:line="0" w:lineRule="atLeast"/>
        <w:rPr>
          <w:color w:val="000000" w:themeColor="text1"/>
          <w:highlight w:val="yellow"/>
        </w:rPr>
      </w:pPr>
      <w:r w:rsidRPr="00B17CD4">
        <w:rPr>
          <w:b/>
          <w:bCs/>
          <w:color w:val="000000" w:themeColor="text1"/>
          <w:highlight w:val="yellow"/>
        </w:rPr>
        <w:t>NOTE:</w:t>
      </w:r>
      <w:r w:rsidRPr="00B17CD4">
        <w:rPr>
          <w:color w:val="000000" w:themeColor="text1"/>
          <w:highlight w:val="yellow"/>
        </w:rPr>
        <w:t xml:space="preserve"> This labeling step is optional and is used to enhance imaging and tracking of migrating cells during data collection.</w:t>
      </w:r>
    </w:p>
    <w:p w14:paraId="0C75F024" w14:textId="77777777" w:rsidR="00637AB7" w:rsidRPr="00B17CD4" w:rsidRDefault="00637AB7" w:rsidP="0011114B">
      <w:pPr>
        <w:spacing w:line="0" w:lineRule="atLeast"/>
        <w:rPr>
          <w:color w:val="000000" w:themeColor="text1"/>
          <w:highlight w:val="yellow"/>
        </w:rPr>
      </w:pPr>
    </w:p>
    <w:p w14:paraId="238A408A"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 xml:space="preserve">3.3.5. Draw the 3 mL cell suspension into a sterile 3 mL syringe with a </w:t>
      </w:r>
      <w:proofErr w:type="spellStart"/>
      <w:r w:rsidRPr="00B17CD4">
        <w:rPr>
          <w:color w:val="000000" w:themeColor="text1"/>
          <w:highlight w:val="yellow"/>
        </w:rPr>
        <w:t>luer</w:t>
      </w:r>
      <w:proofErr w:type="spellEnd"/>
      <w:r w:rsidRPr="00B17CD4">
        <w:rPr>
          <w:color w:val="000000" w:themeColor="text1"/>
          <w:highlight w:val="yellow"/>
        </w:rPr>
        <w:t>-lock connector. Purge all air bubbles from the syringe before perfusing the cells through the microfluidic device.</w:t>
      </w:r>
    </w:p>
    <w:p w14:paraId="09DAAF19" w14:textId="77777777" w:rsidR="00637AB7" w:rsidRPr="00B17CD4" w:rsidRDefault="00637AB7" w:rsidP="0011114B">
      <w:pPr>
        <w:spacing w:line="0" w:lineRule="atLeast"/>
        <w:rPr>
          <w:b/>
          <w:bCs/>
          <w:color w:val="000000" w:themeColor="text1"/>
          <w:highlight w:val="yellow"/>
        </w:rPr>
      </w:pPr>
    </w:p>
    <w:p w14:paraId="257C1811" w14:textId="77777777" w:rsidR="00637AB7" w:rsidRPr="00B17CD4" w:rsidRDefault="00B90DB7" w:rsidP="0011114B">
      <w:pPr>
        <w:spacing w:line="0" w:lineRule="atLeast"/>
        <w:rPr>
          <w:color w:val="000000" w:themeColor="text1"/>
          <w:highlight w:val="yellow"/>
        </w:rPr>
      </w:pPr>
      <w:r w:rsidRPr="00B17CD4">
        <w:rPr>
          <w:b/>
          <w:bCs/>
          <w:color w:val="000000" w:themeColor="text1"/>
          <w:highlight w:val="yellow"/>
        </w:rPr>
        <w:t>NOTE:</w:t>
      </w:r>
      <w:r w:rsidRPr="00B17CD4">
        <w:rPr>
          <w:color w:val="000000" w:themeColor="text1"/>
          <w:highlight w:val="yellow"/>
        </w:rPr>
        <w:t xml:space="preserve"> Remove small air bubbles whenever possible because they may affect the migration experiment.</w:t>
      </w:r>
    </w:p>
    <w:p w14:paraId="24B410AE" w14:textId="77777777" w:rsidR="00637AB7" w:rsidRPr="00B17CD4" w:rsidRDefault="00637AB7" w:rsidP="0011114B">
      <w:pPr>
        <w:spacing w:line="0" w:lineRule="atLeast"/>
        <w:rPr>
          <w:color w:val="000000" w:themeColor="text1"/>
          <w:highlight w:val="yellow"/>
        </w:rPr>
      </w:pPr>
    </w:p>
    <w:p w14:paraId="2AF0A826"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3.3.6. Remove the syringe connected to the inlet tubing of the microfluidic device while keeping both the inlet and outlet tubing clamped.</w:t>
      </w:r>
    </w:p>
    <w:p w14:paraId="6D6F7179" w14:textId="77777777" w:rsidR="00637AB7" w:rsidRPr="00B17CD4" w:rsidRDefault="00637AB7" w:rsidP="0011114B">
      <w:pPr>
        <w:spacing w:line="0" w:lineRule="atLeast"/>
        <w:rPr>
          <w:b/>
          <w:bCs/>
          <w:color w:val="000000" w:themeColor="text1"/>
          <w:highlight w:val="yellow"/>
        </w:rPr>
      </w:pPr>
    </w:p>
    <w:p w14:paraId="67612D95" w14:textId="77777777" w:rsidR="00637AB7" w:rsidRPr="00B17CD4" w:rsidRDefault="00B90DB7" w:rsidP="0011114B">
      <w:pPr>
        <w:spacing w:line="0" w:lineRule="atLeast"/>
        <w:rPr>
          <w:color w:val="000000" w:themeColor="text1"/>
          <w:highlight w:val="yellow"/>
        </w:rPr>
      </w:pPr>
      <w:r w:rsidRPr="00B17CD4">
        <w:rPr>
          <w:b/>
          <w:bCs/>
          <w:color w:val="000000" w:themeColor="text1"/>
          <w:highlight w:val="yellow"/>
        </w:rPr>
        <w:t>NOTE:</w:t>
      </w:r>
      <w:r w:rsidRPr="00B17CD4">
        <w:rPr>
          <w:color w:val="000000" w:themeColor="text1"/>
          <w:highlight w:val="yellow"/>
        </w:rPr>
        <w:t xml:space="preserve"> If either clamp is accidentally removed while the syringe is disconnected, reconnect the syringe and purge any air that entered the microfluidic device before introducing the cell suspension.</w:t>
      </w:r>
    </w:p>
    <w:p w14:paraId="161EAC6F" w14:textId="77777777" w:rsidR="00637AB7" w:rsidRPr="00B17CD4" w:rsidRDefault="00637AB7" w:rsidP="0011114B">
      <w:pPr>
        <w:spacing w:line="0" w:lineRule="atLeast"/>
        <w:rPr>
          <w:color w:val="000000" w:themeColor="text1"/>
          <w:highlight w:val="yellow"/>
        </w:rPr>
      </w:pPr>
    </w:p>
    <w:p w14:paraId="31C9E91B"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 xml:space="preserve">3.3.7. Attach the 3 mL syringe containing the cell suspension to the inlet tubing of the microfluidic device. Ensure that the syringe is securely fastened to the </w:t>
      </w:r>
      <w:proofErr w:type="spellStart"/>
      <w:r w:rsidRPr="00B17CD4">
        <w:rPr>
          <w:color w:val="000000" w:themeColor="text1"/>
          <w:highlight w:val="yellow"/>
        </w:rPr>
        <w:t>luer</w:t>
      </w:r>
      <w:proofErr w:type="spellEnd"/>
      <w:r w:rsidRPr="00B17CD4">
        <w:rPr>
          <w:color w:val="000000" w:themeColor="text1"/>
          <w:highlight w:val="yellow"/>
        </w:rPr>
        <w:t>-lock connector.</w:t>
      </w:r>
    </w:p>
    <w:p w14:paraId="2A006EED" w14:textId="77777777" w:rsidR="00637AB7" w:rsidRPr="00B17CD4" w:rsidRDefault="00637AB7" w:rsidP="0011114B">
      <w:pPr>
        <w:spacing w:line="0" w:lineRule="atLeast"/>
        <w:rPr>
          <w:color w:val="000000" w:themeColor="text1"/>
          <w:highlight w:val="yellow"/>
        </w:rPr>
      </w:pPr>
    </w:p>
    <w:p w14:paraId="6DAC43D3"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3.3.8. Remove the clamps from the inlet and outlet tubing and gently depress the syringe to perfuse the 3 mL cell suspension through the microfluidic device. Monitor the flow using the microscope to ensure that the microfluidic channel is filled with cells.</w:t>
      </w:r>
    </w:p>
    <w:p w14:paraId="04B2EBAB" w14:textId="77777777" w:rsidR="00637AB7" w:rsidRPr="00B17CD4" w:rsidRDefault="00637AB7" w:rsidP="0011114B">
      <w:pPr>
        <w:spacing w:line="0" w:lineRule="atLeast"/>
        <w:rPr>
          <w:color w:val="000000" w:themeColor="text1"/>
          <w:highlight w:val="yellow"/>
        </w:rPr>
      </w:pPr>
    </w:p>
    <w:p w14:paraId="5F07B5E4"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3.3.9. Clamp both the inlet and outlet tubing while keeping the cell suspension syringe attached to establish a zero-flow state.</w:t>
      </w:r>
    </w:p>
    <w:p w14:paraId="45D9E390" w14:textId="77777777" w:rsidR="00637AB7" w:rsidRPr="00B17CD4" w:rsidRDefault="00637AB7" w:rsidP="0011114B">
      <w:pPr>
        <w:spacing w:line="0" w:lineRule="atLeast"/>
        <w:rPr>
          <w:color w:val="000000" w:themeColor="text1"/>
          <w:highlight w:val="yellow"/>
        </w:rPr>
      </w:pPr>
    </w:p>
    <w:p w14:paraId="52FBEF31"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3.3.10. Incubate the cells in the microfluidic device for 30–45 min to allow the cells to attach to the ICAM-1-coated surface.</w:t>
      </w:r>
    </w:p>
    <w:p w14:paraId="26140983" w14:textId="77777777" w:rsidR="00637AB7" w:rsidRPr="00B17CD4" w:rsidRDefault="00637AB7" w:rsidP="0011114B">
      <w:pPr>
        <w:spacing w:line="0" w:lineRule="atLeast"/>
        <w:rPr>
          <w:b/>
          <w:bCs/>
          <w:color w:val="000000" w:themeColor="text1"/>
          <w:highlight w:val="yellow"/>
        </w:rPr>
      </w:pPr>
    </w:p>
    <w:p w14:paraId="69BDB0D7" w14:textId="77777777" w:rsidR="00637AB7" w:rsidRPr="00B17CD4" w:rsidRDefault="00B90DB7" w:rsidP="0011114B">
      <w:pPr>
        <w:spacing w:line="0" w:lineRule="atLeast"/>
        <w:rPr>
          <w:b/>
          <w:bCs/>
          <w:color w:val="000000" w:themeColor="text1"/>
          <w:highlight w:val="yellow"/>
        </w:rPr>
      </w:pPr>
      <w:r w:rsidRPr="00B17CD4">
        <w:rPr>
          <w:b/>
          <w:bCs/>
          <w:color w:val="000000" w:themeColor="text1"/>
          <w:highlight w:val="yellow"/>
        </w:rPr>
        <w:lastRenderedPageBreak/>
        <w:t>3.4 Migration Experiment</w:t>
      </w:r>
    </w:p>
    <w:p w14:paraId="2D362889" w14:textId="77777777" w:rsidR="00637AB7" w:rsidRPr="00B17CD4" w:rsidRDefault="00637AB7" w:rsidP="0011114B">
      <w:pPr>
        <w:spacing w:line="0" w:lineRule="atLeast"/>
        <w:rPr>
          <w:b/>
          <w:bCs/>
          <w:color w:val="000000" w:themeColor="text1"/>
          <w:highlight w:val="yellow"/>
        </w:rPr>
      </w:pPr>
    </w:p>
    <w:p w14:paraId="11BDCFFC" w14:textId="77777777" w:rsidR="00637AB7" w:rsidRPr="00B17CD4" w:rsidRDefault="00B90DB7" w:rsidP="0011114B">
      <w:pPr>
        <w:spacing w:line="0" w:lineRule="atLeast"/>
        <w:rPr>
          <w:color w:val="000000" w:themeColor="text1"/>
          <w:highlight w:val="yellow"/>
        </w:rPr>
      </w:pPr>
      <w:r w:rsidRPr="00B17CD4">
        <w:rPr>
          <w:b/>
          <w:bCs/>
          <w:color w:val="000000" w:themeColor="text1"/>
          <w:highlight w:val="yellow"/>
        </w:rPr>
        <w:t>NOTE:</w:t>
      </w:r>
      <w:r w:rsidRPr="00B17CD4">
        <w:rPr>
          <w:color w:val="000000" w:themeColor="text1"/>
          <w:highlight w:val="yellow"/>
        </w:rPr>
        <w:t xml:space="preserve"> Use a microscope with a motorized stage and environmental chamber for optimal execution of the following procedures.</w:t>
      </w:r>
    </w:p>
    <w:p w14:paraId="39E0C393" w14:textId="77777777" w:rsidR="00637AB7" w:rsidRPr="00B17CD4" w:rsidRDefault="00637AB7" w:rsidP="0011114B">
      <w:pPr>
        <w:spacing w:line="0" w:lineRule="atLeast"/>
        <w:rPr>
          <w:color w:val="000000" w:themeColor="text1"/>
          <w:highlight w:val="yellow"/>
        </w:rPr>
      </w:pPr>
    </w:p>
    <w:p w14:paraId="7EBBADBF"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3.4.1. Prepare a 30 mL syringe filled with serum-free IMDM and purge all air bubbles before use.</w:t>
      </w:r>
    </w:p>
    <w:p w14:paraId="0105864E" w14:textId="77777777" w:rsidR="00637AB7" w:rsidRPr="00B17CD4" w:rsidRDefault="00637AB7" w:rsidP="0011114B">
      <w:pPr>
        <w:spacing w:line="0" w:lineRule="atLeast"/>
        <w:rPr>
          <w:color w:val="000000" w:themeColor="text1"/>
          <w:highlight w:val="yellow"/>
        </w:rPr>
      </w:pPr>
    </w:p>
    <w:p w14:paraId="4BFE1303"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3.4.2. Remove the 3 mL cell suspension syringe connected to the inlet tubing of the microfluidic device while keeping both the inlet and outlet tubing clamped.</w:t>
      </w:r>
    </w:p>
    <w:p w14:paraId="6D2C282A" w14:textId="77777777" w:rsidR="00637AB7" w:rsidRPr="00B17CD4" w:rsidRDefault="00637AB7" w:rsidP="0011114B">
      <w:pPr>
        <w:spacing w:line="0" w:lineRule="atLeast"/>
        <w:rPr>
          <w:color w:val="000000" w:themeColor="text1"/>
          <w:highlight w:val="yellow"/>
        </w:rPr>
      </w:pPr>
    </w:p>
    <w:p w14:paraId="520DC2E6"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 xml:space="preserve">3.4.3. Attach the 30 mL medium-filled syringe to the inlet tubing of the microfluidic device. Ensure that the syringe is securely fastened to the </w:t>
      </w:r>
      <w:proofErr w:type="spellStart"/>
      <w:r w:rsidRPr="00B17CD4">
        <w:rPr>
          <w:color w:val="000000" w:themeColor="text1"/>
          <w:highlight w:val="yellow"/>
        </w:rPr>
        <w:t>luer</w:t>
      </w:r>
      <w:proofErr w:type="spellEnd"/>
      <w:r w:rsidRPr="00B17CD4">
        <w:rPr>
          <w:color w:val="000000" w:themeColor="text1"/>
          <w:highlight w:val="yellow"/>
        </w:rPr>
        <w:t>-lock connector.</w:t>
      </w:r>
    </w:p>
    <w:p w14:paraId="74FAE444" w14:textId="77777777" w:rsidR="00637AB7" w:rsidRPr="00B17CD4" w:rsidRDefault="00637AB7" w:rsidP="0011114B">
      <w:pPr>
        <w:spacing w:line="0" w:lineRule="atLeast"/>
        <w:rPr>
          <w:color w:val="000000" w:themeColor="text1"/>
          <w:highlight w:val="yellow"/>
        </w:rPr>
      </w:pPr>
    </w:p>
    <w:p w14:paraId="5814086D" w14:textId="77777777" w:rsidR="00637AB7" w:rsidRPr="00B17CD4" w:rsidRDefault="00B90DB7" w:rsidP="0011114B">
      <w:pPr>
        <w:spacing w:line="0" w:lineRule="atLeast"/>
        <w:rPr>
          <w:color w:val="000000" w:themeColor="text1"/>
          <w:highlight w:val="yellow"/>
        </w:rPr>
      </w:pPr>
      <w:r w:rsidRPr="00B17CD4">
        <w:rPr>
          <w:color w:val="000000" w:themeColor="text1"/>
          <w:highlight w:val="yellow"/>
        </w:rPr>
        <w:t>3.4.4. Remove the clamps from both the inlet and outlet tubing.</w:t>
      </w:r>
    </w:p>
    <w:p w14:paraId="13942407" w14:textId="77777777" w:rsidR="00637AB7" w:rsidRPr="00B17CD4" w:rsidRDefault="00637AB7" w:rsidP="0011114B">
      <w:pPr>
        <w:spacing w:line="0" w:lineRule="atLeast"/>
        <w:rPr>
          <w:color w:val="000000" w:themeColor="text1"/>
          <w:highlight w:val="yellow"/>
        </w:rPr>
      </w:pPr>
    </w:p>
    <w:p w14:paraId="3536DFA2" w14:textId="77777777" w:rsidR="00637AB7" w:rsidRPr="0011114B" w:rsidRDefault="00B90DB7" w:rsidP="0011114B">
      <w:pPr>
        <w:spacing w:line="0" w:lineRule="atLeast"/>
        <w:rPr>
          <w:color w:val="000000" w:themeColor="text1"/>
        </w:rPr>
      </w:pPr>
      <w:r w:rsidRPr="00B17CD4">
        <w:rPr>
          <w:color w:val="000000" w:themeColor="text1"/>
          <w:highlight w:val="yellow"/>
        </w:rPr>
        <w:t>3.4.5. Attach the 30 mL syringe to the syringe pump using a single-syringe setup. Configure the syringe pump for a 30 mL syringe.</w:t>
      </w:r>
    </w:p>
    <w:p w14:paraId="152E2172" w14:textId="77777777" w:rsidR="00637AB7" w:rsidRPr="0011114B" w:rsidRDefault="00637AB7" w:rsidP="0011114B">
      <w:pPr>
        <w:spacing w:line="0" w:lineRule="atLeast"/>
        <w:rPr>
          <w:color w:val="000000" w:themeColor="text1"/>
        </w:rPr>
      </w:pPr>
    </w:p>
    <w:p w14:paraId="25C5D2DB" w14:textId="2AEE52D5" w:rsidR="00637AB7" w:rsidRPr="002D5300" w:rsidRDefault="00B90DB7" w:rsidP="0011114B">
      <w:pPr>
        <w:spacing w:line="0" w:lineRule="atLeast"/>
        <w:rPr>
          <w:color w:val="000000" w:themeColor="text1"/>
          <w:highlight w:val="yellow"/>
        </w:rPr>
      </w:pPr>
      <w:r w:rsidRPr="002D5300">
        <w:rPr>
          <w:color w:val="000000" w:themeColor="text1"/>
          <w:highlight w:val="yellow"/>
        </w:rPr>
        <w:t>3.4.6. Calculate the volumetric flow rate (</w:t>
      </w:r>
      <m:oMath>
        <m:r>
          <w:rPr>
            <w:rFonts w:ascii="Cambria Math" w:hAnsi="Cambria Math"/>
            <w:color w:val="000000" w:themeColor="text1"/>
            <w:highlight w:val="yellow"/>
          </w:rPr>
          <m:t>Q</m:t>
        </m:r>
      </m:oMath>
      <w:r w:rsidRPr="002D5300">
        <w:rPr>
          <w:color w:val="000000" w:themeColor="text1"/>
          <w:highlight w:val="yellow"/>
        </w:rPr>
        <w:t>) required to produce a shear rate</w:t>
      </w:r>
      <w:r w:rsidR="003D1CE0" w:rsidRPr="002D5300">
        <w:rPr>
          <w:color w:val="000000" w:themeColor="text1"/>
          <w:highlight w:val="yellow"/>
        </w:rPr>
        <w:t xml:space="preserve"> (</w:t>
      </w:r>
      <m:oMath>
        <m:r>
          <w:rPr>
            <w:rFonts w:ascii="Cambria Math" w:hAnsi="Cambria Math"/>
            <w:color w:val="000000" w:themeColor="text1"/>
            <w:highlight w:val="yellow"/>
          </w:rPr>
          <m:t>γ</m:t>
        </m:r>
      </m:oMath>
      <w:r w:rsidR="003D1CE0" w:rsidRPr="002D5300">
        <w:rPr>
          <w:color w:val="000000" w:themeColor="text1"/>
          <w:highlight w:val="yellow"/>
        </w:rPr>
        <w:t>)</w:t>
      </w:r>
      <w:r w:rsidRPr="002D5300">
        <w:rPr>
          <w:color w:val="000000" w:themeColor="text1"/>
          <w:highlight w:val="yellow"/>
        </w:rPr>
        <w:t xml:space="preserve"> of 800 s</w:t>
      </w:r>
      <w:r w:rsidR="001179A8" w:rsidRPr="002D5300">
        <w:rPr>
          <w:color w:val="000000" w:themeColor="text1"/>
          <w:highlight w:val="yellow"/>
          <w:vertAlign w:val="superscript"/>
        </w:rPr>
        <w:t>−1</w:t>
      </w:r>
      <w:r w:rsidRPr="002D5300">
        <w:rPr>
          <w:color w:val="000000" w:themeColor="text1"/>
          <w:highlight w:val="yellow"/>
        </w:rPr>
        <w:t xml:space="preserve"> using the following equation:</w:t>
      </w:r>
    </w:p>
    <w:p w14:paraId="3136D721" w14:textId="77777777" w:rsidR="00637AB7" w:rsidRPr="002D5300" w:rsidRDefault="00637AB7" w:rsidP="0011114B">
      <w:pPr>
        <w:spacing w:line="0" w:lineRule="atLeast"/>
        <w:rPr>
          <w:color w:val="000000" w:themeColor="text1"/>
          <w:highlight w:val="yellow"/>
        </w:rPr>
      </w:pPr>
    </w:p>
    <w:p w14:paraId="1FE7CFFA" w14:textId="77777777" w:rsidR="00637AB7" w:rsidRPr="002D5300" w:rsidRDefault="00B90DB7" w:rsidP="0011114B">
      <w:pPr>
        <w:spacing w:line="0" w:lineRule="atLeast"/>
        <w:rPr>
          <w:color w:val="000000" w:themeColor="text1"/>
          <w:highlight w:val="yellow"/>
        </w:rPr>
      </w:pPr>
      <m:oMathPara>
        <m:oMath>
          <m:r>
            <w:rPr>
              <w:rFonts w:ascii="Cambria Math" w:hAnsi="Cambria Math"/>
              <w:color w:val="000000" w:themeColor="text1"/>
              <w:highlight w:val="yellow"/>
            </w:rPr>
            <m:t>γ=</m:t>
          </m:r>
          <m:f>
            <m:fPr>
              <m:ctrlPr>
                <w:rPr>
                  <w:rFonts w:ascii="Cambria Math" w:hAnsi="Cambria Math"/>
                  <w:i/>
                  <w:color w:val="000000" w:themeColor="text1"/>
                  <w:highlight w:val="yellow"/>
                </w:rPr>
              </m:ctrlPr>
            </m:fPr>
            <m:num>
              <m:r>
                <w:rPr>
                  <w:rFonts w:ascii="Cambria Math" w:hAnsi="Cambria Math"/>
                  <w:color w:val="000000" w:themeColor="text1"/>
                  <w:highlight w:val="yellow"/>
                </w:rPr>
                <m:t>6Q</m:t>
              </m:r>
            </m:num>
            <m:den>
              <m:sSup>
                <m:sSupPr>
                  <m:ctrlPr>
                    <w:rPr>
                      <w:rFonts w:ascii="Cambria Math" w:hAnsi="Cambria Math"/>
                      <w:i/>
                      <w:color w:val="000000" w:themeColor="text1"/>
                      <w:highlight w:val="yellow"/>
                    </w:rPr>
                  </m:ctrlPr>
                </m:sSupPr>
                <m:e>
                  <m:r>
                    <w:rPr>
                      <w:rFonts w:ascii="Cambria Math" w:hAnsi="Cambria Math"/>
                      <w:color w:val="000000" w:themeColor="text1"/>
                      <w:highlight w:val="yellow"/>
                    </w:rPr>
                    <m:t>h</m:t>
                  </m:r>
                </m:e>
                <m:sup>
                  <m:r>
                    <w:rPr>
                      <w:rFonts w:ascii="Cambria Math" w:hAnsi="Cambria Math"/>
                      <w:color w:val="000000" w:themeColor="text1"/>
                      <w:highlight w:val="yellow"/>
                    </w:rPr>
                    <m:t>2</m:t>
                  </m:r>
                </m:sup>
              </m:sSup>
              <m:r>
                <w:rPr>
                  <w:rFonts w:ascii="Cambria Math" w:hAnsi="Cambria Math"/>
                  <w:color w:val="000000" w:themeColor="text1"/>
                  <w:highlight w:val="yellow"/>
                </w:rPr>
                <m:t>w</m:t>
              </m:r>
            </m:den>
          </m:f>
        </m:oMath>
      </m:oMathPara>
    </w:p>
    <w:p w14:paraId="1B226C22" w14:textId="77777777" w:rsidR="00637AB7" w:rsidRPr="002D5300" w:rsidRDefault="00637AB7" w:rsidP="0011114B">
      <w:pPr>
        <w:spacing w:line="0" w:lineRule="atLeast"/>
        <w:rPr>
          <w:color w:val="000000" w:themeColor="text1"/>
          <w:highlight w:val="yellow"/>
        </w:rPr>
      </w:pPr>
    </w:p>
    <w:p w14:paraId="129B24AE" w14:textId="77777777" w:rsidR="00637AB7" w:rsidRPr="002D5300" w:rsidRDefault="00B90DB7" w:rsidP="0011114B">
      <w:pPr>
        <w:spacing w:line="0" w:lineRule="atLeast"/>
        <w:rPr>
          <w:color w:val="000000" w:themeColor="text1"/>
          <w:highlight w:val="yellow"/>
        </w:rPr>
      </w:pPr>
      <w:r w:rsidRPr="002D5300">
        <w:rPr>
          <w:color w:val="000000" w:themeColor="text1"/>
          <w:highlight w:val="yellow"/>
        </w:rPr>
        <w:t>where the volumetric flow rate (</w:t>
      </w:r>
      <m:oMath>
        <m:r>
          <w:rPr>
            <w:rFonts w:ascii="Cambria Math" w:hAnsi="Cambria Math"/>
            <w:color w:val="000000" w:themeColor="text1"/>
            <w:highlight w:val="yellow"/>
          </w:rPr>
          <m:t>Q</m:t>
        </m:r>
      </m:oMath>
      <w:r w:rsidRPr="002D5300">
        <w:rPr>
          <w:color w:val="000000" w:themeColor="text1"/>
          <w:highlight w:val="yellow"/>
        </w:rPr>
        <w:t xml:space="preserve">), channel height (the thickness of the gasket; </w:t>
      </w:r>
      <m:oMath>
        <m:r>
          <w:rPr>
            <w:rFonts w:ascii="Cambria Math" w:hAnsi="Cambria Math"/>
            <w:color w:val="000000" w:themeColor="text1"/>
            <w:highlight w:val="yellow"/>
          </w:rPr>
          <m:t>h</m:t>
        </m:r>
      </m:oMath>
      <w:r w:rsidRPr="002D5300">
        <w:rPr>
          <w:color w:val="000000" w:themeColor="text1"/>
          <w:highlight w:val="yellow"/>
        </w:rPr>
        <w:t>), and channel width (</w:t>
      </w:r>
      <m:oMath>
        <m:r>
          <w:rPr>
            <w:rFonts w:ascii="Cambria Math" w:hAnsi="Cambria Math"/>
            <w:color w:val="000000" w:themeColor="text1"/>
            <w:highlight w:val="yellow"/>
          </w:rPr>
          <m:t>w</m:t>
        </m:r>
      </m:oMath>
      <w:r w:rsidRPr="002D5300">
        <w:rPr>
          <w:color w:val="000000" w:themeColor="text1"/>
          <w:highlight w:val="yellow"/>
        </w:rPr>
        <w:t>) are defined according to the variables in the equation.</w:t>
      </w:r>
    </w:p>
    <w:p w14:paraId="64DACFE5" w14:textId="77777777" w:rsidR="00637AB7" w:rsidRPr="002D5300" w:rsidRDefault="00637AB7" w:rsidP="0011114B">
      <w:pPr>
        <w:spacing w:line="0" w:lineRule="atLeast"/>
        <w:rPr>
          <w:b/>
          <w:bCs/>
          <w:color w:val="000000" w:themeColor="text1"/>
          <w:highlight w:val="yellow"/>
        </w:rPr>
      </w:pPr>
    </w:p>
    <w:p w14:paraId="3966763C" w14:textId="77777777" w:rsidR="00637AB7" w:rsidRPr="002D5300" w:rsidRDefault="00B90DB7" w:rsidP="0011114B">
      <w:pPr>
        <w:spacing w:line="0" w:lineRule="atLeast"/>
        <w:rPr>
          <w:color w:val="000000" w:themeColor="text1"/>
          <w:highlight w:val="yellow"/>
        </w:rPr>
      </w:pPr>
      <w:r w:rsidRPr="002D5300">
        <w:rPr>
          <w:b/>
          <w:bCs/>
          <w:color w:val="000000" w:themeColor="text1"/>
          <w:highlight w:val="yellow"/>
        </w:rPr>
        <w:t>NOTE:</w:t>
      </w:r>
      <w:r w:rsidRPr="002D5300">
        <w:rPr>
          <w:color w:val="000000" w:themeColor="text1"/>
          <w:highlight w:val="yellow"/>
        </w:rPr>
        <w:t xml:space="preserve"> Use the gasket thickness specified in step 1.2.11 as the channel height.</w:t>
      </w:r>
    </w:p>
    <w:p w14:paraId="2AD2A0CF" w14:textId="77777777" w:rsidR="00637AB7" w:rsidRPr="002D5300" w:rsidRDefault="00637AB7" w:rsidP="0011114B">
      <w:pPr>
        <w:spacing w:line="0" w:lineRule="atLeast"/>
        <w:rPr>
          <w:color w:val="000000" w:themeColor="text1"/>
          <w:highlight w:val="yellow"/>
        </w:rPr>
      </w:pPr>
    </w:p>
    <w:p w14:paraId="6D6FE3D6" w14:textId="77777777" w:rsidR="00637AB7" w:rsidRPr="002D5300" w:rsidRDefault="00B90DB7" w:rsidP="0011114B">
      <w:pPr>
        <w:spacing w:line="0" w:lineRule="atLeast"/>
        <w:rPr>
          <w:color w:val="000000" w:themeColor="text1"/>
          <w:highlight w:val="yellow"/>
        </w:rPr>
      </w:pPr>
      <w:r w:rsidRPr="002D5300">
        <w:rPr>
          <w:color w:val="000000" w:themeColor="text1"/>
          <w:highlight w:val="yellow"/>
        </w:rPr>
        <w:t>3.4.7. Enter the calculated volumetric flow rate into the syringe pump and activate the pump to initiate flow.</w:t>
      </w:r>
    </w:p>
    <w:p w14:paraId="7884833F" w14:textId="77777777" w:rsidR="00637AB7" w:rsidRPr="002D5300" w:rsidRDefault="00637AB7" w:rsidP="0011114B">
      <w:pPr>
        <w:spacing w:line="0" w:lineRule="atLeast"/>
        <w:rPr>
          <w:b/>
          <w:bCs/>
          <w:color w:val="000000" w:themeColor="text1"/>
          <w:highlight w:val="yellow"/>
        </w:rPr>
      </w:pPr>
    </w:p>
    <w:p w14:paraId="0EAC077E" w14:textId="77777777" w:rsidR="00637AB7" w:rsidRPr="002D5300" w:rsidRDefault="00B90DB7" w:rsidP="0011114B">
      <w:pPr>
        <w:spacing w:line="0" w:lineRule="atLeast"/>
        <w:rPr>
          <w:color w:val="000000" w:themeColor="text1"/>
          <w:highlight w:val="yellow"/>
        </w:rPr>
      </w:pPr>
      <w:r w:rsidRPr="002D5300">
        <w:rPr>
          <w:b/>
          <w:bCs/>
          <w:color w:val="000000" w:themeColor="text1"/>
          <w:highlight w:val="yellow"/>
        </w:rPr>
        <w:t>NOTE:</w:t>
      </w:r>
      <w:r w:rsidRPr="002D5300">
        <w:rPr>
          <w:color w:val="000000" w:themeColor="text1"/>
          <w:highlight w:val="yellow"/>
        </w:rPr>
        <w:t xml:space="preserve"> Adjust the volumetric flow rate according to the channel width being imaged to achieve the target shear rate.</w:t>
      </w:r>
    </w:p>
    <w:p w14:paraId="78A82D22" w14:textId="77777777" w:rsidR="00637AB7" w:rsidRPr="002D5300" w:rsidRDefault="00637AB7" w:rsidP="0011114B">
      <w:pPr>
        <w:spacing w:line="0" w:lineRule="atLeast"/>
        <w:rPr>
          <w:color w:val="000000" w:themeColor="text1"/>
          <w:highlight w:val="yellow"/>
        </w:rPr>
      </w:pPr>
    </w:p>
    <w:p w14:paraId="66D872AD" w14:textId="77777777" w:rsidR="00637AB7" w:rsidRPr="002D5300" w:rsidRDefault="00B90DB7" w:rsidP="0011114B">
      <w:pPr>
        <w:spacing w:line="0" w:lineRule="atLeast"/>
        <w:rPr>
          <w:color w:val="000000" w:themeColor="text1"/>
          <w:highlight w:val="yellow"/>
        </w:rPr>
      </w:pPr>
      <w:r w:rsidRPr="002D5300">
        <w:rPr>
          <w:color w:val="000000" w:themeColor="text1"/>
          <w:highlight w:val="yellow"/>
        </w:rPr>
        <w:t>3.4.8. Incubate the microfluidic device under shear flow for 10 min before selecting fields for imaging.</w:t>
      </w:r>
    </w:p>
    <w:p w14:paraId="6C0D5044" w14:textId="77777777" w:rsidR="001179A8" w:rsidRPr="002D5300" w:rsidRDefault="001179A8" w:rsidP="0011114B">
      <w:pPr>
        <w:spacing w:line="0" w:lineRule="atLeast"/>
        <w:rPr>
          <w:color w:val="000000" w:themeColor="text1"/>
          <w:highlight w:val="yellow"/>
        </w:rPr>
      </w:pPr>
    </w:p>
    <w:p w14:paraId="56B37F77" w14:textId="01105EB1" w:rsidR="00637AB7" w:rsidRPr="0011114B" w:rsidRDefault="00B90DB7" w:rsidP="0011114B">
      <w:pPr>
        <w:spacing w:line="0" w:lineRule="atLeast"/>
        <w:rPr>
          <w:color w:val="000000" w:themeColor="text1"/>
        </w:rPr>
      </w:pPr>
      <w:r w:rsidRPr="002D5300">
        <w:rPr>
          <w:color w:val="000000" w:themeColor="text1"/>
          <w:highlight w:val="yellow"/>
        </w:rPr>
        <w:t xml:space="preserve">3.4.9. Configure the microscope image-acquisition software to acquire </w:t>
      </w:r>
      <w:proofErr w:type="spellStart"/>
      <w:r w:rsidRPr="002D5300">
        <w:rPr>
          <w:color w:val="000000" w:themeColor="text1"/>
          <w:highlight w:val="yellow"/>
        </w:rPr>
        <w:t>multiposition</w:t>
      </w:r>
      <w:proofErr w:type="spellEnd"/>
      <w:r w:rsidRPr="002D5300">
        <w:rPr>
          <w:color w:val="000000" w:themeColor="text1"/>
          <w:highlight w:val="yellow"/>
        </w:rPr>
        <w:t xml:space="preserve"> time-lapse images for generation of a time-lapse video.</w:t>
      </w:r>
    </w:p>
    <w:p w14:paraId="3F2DEA32" w14:textId="77777777" w:rsidR="00637AB7" w:rsidRPr="0011114B" w:rsidRDefault="00637AB7" w:rsidP="0011114B">
      <w:pPr>
        <w:spacing w:line="0" w:lineRule="atLeast"/>
        <w:rPr>
          <w:color w:val="000000" w:themeColor="text1"/>
        </w:rPr>
      </w:pPr>
    </w:p>
    <w:p w14:paraId="5F7E6491" w14:textId="77777777" w:rsidR="00637AB7" w:rsidRPr="0011114B" w:rsidRDefault="00B90DB7" w:rsidP="0011114B">
      <w:pPr>
        <w:spacing w:line="0" w:lineRule="atLeast"/>
        <w:rPr>
          <w:color w:val="000000" w:themeColor="text1"/>
        </w:rPr>
      </w:pPr>
      <w:r w:rsidRPr="0011114B">
        <w:rPr>
          <w:color w:val="000000" w:themeColor="text1"/>
        </w:rPr>
        <w:t>3.4.9.1. Navigate the microscope stage and select coordinates for 12–16 representative fields across the channel width currently being imaged.</w:t>
      </w:r>
    </w:p>
    <w:p w14:paraId="0EE4F7CE" w14:textId="77777777" w:rsidR="00637AB7" w:rsidRPr="0011114B" w:rsidRDefault="00637AB7" w:rsidP="0011114B">
      <w:pPr>
        <w:spacing w:line="0" w:lineRule="atLeast"/>
        <w:rPr>
          <w:b/>
          <w:bCs/>
          <w:color w:val="000000" w:themeColor="text1"/>
        </w:rPr>
      </w:pPr>
    </w:p>
    <w:p w14:paraId="0103473F" w14:textId="77777777" w:rsidR="00637AB7" w:rsidRPr="0011114B" w:rsidRDefault="00B90DB7" w:rsidP="0011114B">
      <w:pPr>
        <w:spacing w:line="0" w:lineRule="atLeast"/>
        <w:rPr>
          <w:color w:val="000000" w:themeColor="text1"/>
        </w:rPr>
      </w:pPr>
      <w:r w:rsidRPr="0011114B">
        <w:rPr>
          <w:b/>
          <w:bCs/>
          <w:color w:val="000000" w:themeColor="text1"/>
        </w:rPr>
        <w:lastRenderedPageBreak/>
        <w:t>NOTE:</w:t>
      </w:r>
      <w:r w:rsidRPr="0011114B">
        <w:rPr>
          <w:color w:val="000000" w:themeColor="text1"/>
        </w:rPr>
        <w:t xml:space="preserve"> The focal position may vary among imaging locations. If supported by the image-acquisition software, set the focal position individually for each selected field.</w:t>
      </w:r>
    </w:p>
    <w:p w14:paraId="75D0F235" w14:textId="77777777" w:rsidR="00637AB7" w:rsidRPr="0011114B" w:rsidRDefault="00637AB7" w:rsidP="0011114B">
      <w:pPr>
        <w:spacing w:line="0" w:lineRule="atLeast"/>
        <w:rPr>
          <w:color w:val="000000" w:themeColor="text1"/>
        </w:rPr>
      </w:pPr>
    </w:p>
    <w:p w14:paraId="6BE8CF8B" w14:textId="77777777" w:rsidR="00637AB7" w:rsidRPr="0011114B" w:rsidRDefault="00B90DB7" w:rsidP="0011114B">
      <w:pPr>
        <w:spacing w:line="0" w:lineRule="atLeast"/>
        <w:rPr>
          <w:color w:val="000000" w:themeColor="text1"/>
        </w:rPr>
      </w:pPr>
      <w:r w:rsidRPr="0011114B">
        <w:rPr>
          <w:color w:val="000000" w:themeColor="text1"/>
        </w:rPr>
        <w:t>3.4.9.2. Program the software to acquire an image at each selected coordinate every 1 min for 30 min. Initiate image acquisition.</w:t>
      </w:r>
    </w:p>
    <w:p w14:paraId="5D6EE947" w14:textId="77777777" w:rsidR="00637AB7" w:rsidRPr="0011114B" w:rsidRDefault="00637AB7" w:rsidP="0011114B">
      <w:pPr>
        <w:spacing w:line="0" w:lineRule="atLeast"/>
        <w:rPr>
          <w:color w:val="000000" w:themeColor="text1"/>
        </w:rPr>
      </w:pPr>
    </w:p>
    <w:p w14:paraId="02F82449" w14:textId="77777777" w:rsidR="00637AB7" w:rsidRPr="0011114B" w:rsidRDefault="00B90DB7" w:rsidP="0011114B">
      <w:pPr>
        <w:spacing w:line="0" w:lineRule="atLeast"/>
        <w:rPr>
          <w:color w:val="000000" w:themeColor="text1"/>
        </w:rPr>
      </w:pPr>
      <w:r w:rsidRPr="0011114B">
        <w:rPr>
          <w:color w:val="000000" w:themeColor="text1"/>
        </w:rPr>
        <w:t>3.4.9.3. Save all representative fields as the raw microscopy data file.</w:t>
      </w:r>
    </w:p>
    <w:p w14:paraId="0494AFAF" w14:textId="77777777" w:rsidR="00637AB7" w:rsidRPr="0011114B" w:rsidRDefault="00637AB7" w:rsidP="0011114B">
      <w:pPr>
        <w:spacing w:line="0" w:lineRule="atLeast"/>
        <w:rPr>
          <w:color w:val="000000" w:themeColor="text1"/>
        </w:rPr>
      </w:pPr>
    </w:p>
    <w:p w14:paraId="572471AA" w14:textId="77777777" w:rsidR="00637AB7" w:rsidRPr="0011114B" w:rsidRDefault="00B90DB7" w:rsidP="0011114B">
      <w:pPr>
        <w:spacing w:line="0" w:lineRule="atLeast"/>
        <w:rPr>
          <w:color w:val="000000" w:themeColor="text1"/>
        </w:rPr>
      </w:pPr>
      <w:r w:rsidRPr="0011114B">
        <w:rPr>
          <w:color w:val="000000" w:themeColor="text1"/>
        </w:rPr>
        <w:t xml:space="preserve">3.4.10. Repeat steps </w:t>
      </w:r>
      <w:r w:rsidRPr="0011114B">
        <w:rPr>
          <w:b/>
          <w:bCs/>
          <w:color w:val="000000" w:themeColor="text1"/>
        </w:rPr>
        <w:t>3.4.6–3.4.9.3</w:t>
      </w:r>
      <w:r w:rsidRPr="0011114B">
        <w:rPr>
          <w:color w:val="000000" w:themeColor="text1"/>
        </w:rPr>
        <w:t xml:space="preserve"> to generate time-lapse images for each channel width.</w:t>
      </w:r>
    </w:p>
    <w:p w14:paraId="2C297438" w14:textId="77777777" w:rsidR="00637AB7" w:rsidRPr="0011114B" w:rsidRDefault="00637AB7" w:rsidP="0011114B">
      <w:pPr>
        <w:spacing w:line="0" w:lineRule="atLeast"/>
        <w:rPr>
          <w:color w:val="000000" w:themeColor="text1"/>
        </w:rPr>
      </w:pPr>
    </w:p>
    <w:p w14:paraId="4D5C615C" w14:textId="77777777" w:rsidR="00637AB7" w:rsidRPr="0011114B" w:rsidRDefault="00B90DB7" w:rsidP="0011114B">
      <w:pPr>
        <w:spacing w:line="0" w:lineRule="atLeast"/>
        <w:rPr>
          <w:color w:val="000000" w:themeColor="text1"/>
        </w:rPr>
      </w:pPr>
      <w:r w:rsidRPr="0011114B">
        <w:rPr>
          <w:color w:val="000000" w:themeColor="text1"/>
        </w:rPr>
        <w:t xml:space="preserve">3.4.11. Image the 50 </w:t>
      </w:r>
      <w:proofErr w:type="spellStart"/>
      <w:r w:rsidRPr="0011114B">
        <w:rPr>
          <w:color w:val="000000" w:themeColor="text1"/>
        </w:rPr>
        <w:t>μm</w:t>
      </w:r>
      <w:proofErr w:type="spellEnd"/>
      <w:r w:rsidRPr="0011114B">
        <w:rPr>
          <w:color w:val="000000" w:themeColor="text1"/>
        </w:rPr>
        <w:t xml:space="preserve"> channel width first, followed by the 1.25 and 2.5 mm channel widths.</w:t>
      </w:r>
    </w:p>
    <w:p w14:paraId="6C0FD82B" w14:textId="77777777" w:rsidR="00637AB7" w:rsidRPr="0011114B" w:rsidRDefault="00637AB7" w:rsidP="0011114B">
      <w:pPr>
        <w:spacing w:line="0" w:lineRule="atLeast"/>
        <w:rPr>
          <w:b/>
          <w:bCs/>
          <w:color w:val="000000" w:themeColor="text1"/>
        </w:rPr>
      </w:pPr>
    </w:p>
    <w:p w14:paraId="36E4C9FB" w14:textId="455695C2"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This imaging order allows cells in the larger channel-width regions to remain under a shear rate below 800 s</w:t>
      </w:r>
      <w:r w:rsidR="001179A8" w:rsidRPr="0011114B">
        <w:rPr>
          <w:color w:val="000000" w:themeColor="text1"/>
          <w:vertAlign w:val="superscript"/>
        </w:rPr>
        <w:t>−1</w:t>
      </w:r>
      <w:r w:rsidRPr="0011114B">
        <w:rPr>
          <w:color w:val="000000" w:themeColor="text1"/>
        </w:rPr>
        <w:t xml:space="preserve"> before live-cell imaging at the target shear rate.</w:t>
      </w:r>
    </w:p>
    <w:p w14:paraId="02256C71" w14:textId="77777777" w:rsidR="00637AB7" w:rsidRPr="0011114B" w:rsidRDefault="00637AB7" w:rsidP="0011114B">
      <w:pPr>
        <w:spacing w:line="0" w:lineRule="atLeast"/>
        <w:rPr>
          <w:b/>
          <w:bCs/>
          <w:color w:val="000000" w:themeColor="text1"/>
        </w:rPr>
      </w:pPr>
    </w:p>
    <w:p w14:paraId="70BDDEC0" w14:textId="77777777" w:rsidR="00637AB7" w:rsidRPr="0011114B" w:rsidRDefault="00B90DB7" w:rsidP="0011114B">
      <w:pPr>
        <w:spacing w:line="0" w:lineRule="atLeast"/>
        <w:rPr>
          <w:b/>
          <w:bCs/>
          <w:color w:val="000000" w:themeColor="text1"/>
        </w:rPr>
      </w:pPr>
      <w:r w:rsidRPr="0011114B">
        <w:rPr>
          <w:b/>
          <w:bCs/>
          <w:color w:val="000000" w:themeColor="text1"/>
        </w:rPr>
        <w:t>4. Trajectory Analysis</w:t>
      </w:r>
    </w:p>
    <w:p w14:paraId="3F175254" w14:textId="77777777" w:rsidR="00637AB7" w:rsidRPr="0011114B" w:rsidRDefault="00637AB7" w:rsidP="0011114B">
      <w:pPr>
        <w:spacing w:line="0" w:lineRule="atLeast"/>
        <w:rPr>
          <w:b/>
          <w:bCs/>
          <w:color w:val="000000" w:themeColor="text1"/>
        </w:rPr>
      </w:pPr>
    </w:p>
    <w:p w14:paraId="7CBE448B" w14:textId="77777777" w:rsidR="00637AB7" w:rsidRPr="0011114B" w:rsidRDefault="00B90DB7" w:rsidP="0011114B">
      <w:pPr>
        <w:spacing w:line="0" w:lineRule="atLeast"/>
        <w:rPr>
          <w:b/>
          <w:bCs/>
          <w:color w:val="000000" w:themeColor="text1"/>
        </w:rPr>
      </w:pPr>
      <w:r w:rsidRPr="0011114B">
        <w:rPr>
          <w:b/>
          <w:bCs/>
          <w:color w:val="000000" w:themeColor="text1"/>
        </w:rPr>
        <w:t>4.1 File import and series selection</w:t>
      </w:r>
    </w:p>
    <w:p w14:paraId="2A587525" w14:textId="77777777" w:rsidR="00637AB7" w:rsidRPr="0011114B" w:rsidRDefault="00637AB7" w:rsidP="0011114B">
      <w:pPr>
        <w:spacing w:line="0" w:lineRule="atLeast"/>
        <w:rPr>
          <w:color w:val="000000" w:themeColor="text1"/>
        </w:rPr>
      </w:pPr>
    </w:p>
    <w:p w14:paraId="1E92CE9B" w14:textId="77777777" w:rsidR="00637AB7" w:rsidRPr="0011114B" w:rsidRDefault="00B90DB7" w:rsidP="0011114B">
      <w:pPr>
        <w:spacing w:line="0" w:lineRule="atLeast"/>
        <w:rPr>
          <w:color w:val="000000" w:themeColor="text1"/>
        </w:rPr>
      </w:pPr>
      <w:r w:rsidRPr="0011114B">
        <w:rPr>
          <w:color w:val="000000" w:themeColor="text1"/>
        </w:rPr>
        <w:t xml:space="preserve">4.1.1. Launch ImageJ and select </w:t>
      </w:r>
      <w:r w:rsidRPr="0011114B">
        <w:rPr>
          <w:b/>
          <w:bCs/>
          <w:color w:val="000000" w:themeColor="text1"/>
        </w:rPr>
        <w:t>File | Open</w:t>
      </w:r>
      <w:r w:rsidRPr="0011114B">
        <w:rPr>
          <w:color w:val="000000" w:themeColor="text1"/>
        </w:rPr>
        <w:t>. Select the raw microscopy data file to be analyzed.</w:t>
      </w:r>
    </w:p>
    <w:p w14:paraId="010CD2B3" w14:textId="77777777" w:rsidR="00637AB7" w:rsidRPr="0011114B" w:rsidRDefault="00637AB7" w:rsidP="0011114B">
      <w:pPr>
        <w:spacing w:line="0" w:lineRule="atLeast"/>
        <w:rPr>
          <w:color w:val="000000" w:themeColor="text1"/>
        </w:rPr>
      </w:pPr>
    </w:p>
    <w:p w14:paraId="63FBCDF4" w14:textId="77777777" w:rsidR="00637AB7" w:rsidRPr="0011114B" w:rsidRDefault="00B90DB7" w:rsidP="0011114B">
      <w:pPr>
        <w:spacing w:line="0" w:lineRule="atLeast"/>
        <w:rPr>
          <w:color w:val="000000" w:themeColor="text1"/>
        </w:rPr>
      </w:pPr>
      <w:r w:rsidRPr="0011114B">
        <w:rPr>
          <w:color w:val="000000" w:themeColor="text1"/>
        </w:rPr>
        <w:t xml:space="preserve">4.1.2. Select </w:t>
      </w:r>
      <w:proofErr w:type="spellStart"/>
      <w:r w:rsidRPr="0011114B">
        <w:rPr>
          <w:b/>
          <w:bCs/>
          <w:color w:val="000000" w:themeColor="text1"/>
        </w:rPr>
        <w:t>Select</w:t>
      </w:r>
      <w:proofErr w:type="spellEnd"/>
      <w:r w:rsidRPr="0011114B">
        <w:rPr>
          <w:b/>
          <w:bCs/>
          <w:color w:val="000000" w:themeColor="text1"/>
        </w:rPr>
        <w:t xml:space="preserve"> All</w:t>
      </w:r>
      <w:r w:rsidRPr="0011114B">
        <w:rPr>
          <w:color w:val="000000" w:themeColor="text1"/>
        </w:rPr>
        <w:t xml:space="preserve"> to import all imaged series into ImageJ.</w:t>
      </w:r>
    </w:p>
    <w:p w14:paraId="4E18FAEF" w14:textId="77777777" w:rsidR="00637AB7" w:rsidRPr="0011114B" w:rsidRDefault="00637AB7" w:rsidP="0011114B">
      <w:pPr>
        <w:spacing w:line="0" w:lineRule="atLeast"/>
        <w:rPr>
          <w:color w:val="000000" w:themeColor="text1"/>
        </w:rPr>
      </w:pPr>
    </w:p>
    <w:p w14:paraId="2F5F7A58" w14:textId="77777777" w:rsidR="00637AB7" w:rsidRPr="0011114B" w:rsidRDefault="00B90DB7" w:rsidP="0011114B">
      <w:pPr>
        <w:spacing w:line="0" w:lineRule="atLeast"/>
        <w:rPr>
          <w:color w:val="000000" w:themeColor="text1"/>
        </w:rPr>
      </w:pPr>
      <w:r w:rsidRPr="0011114B">
        <w:rPr>
          <w:color w:val="000000" w:themeColor="text1"/>
        </w:rPr>
        <w:t xml:space="preserve">4.1.3. Select </w:t>
      </w:r>
      <w:r w:rsidRPr="0011114B">
        <w:rPr>
          <w:b/>
          <w:bCs/>
          <w:color w:val="000000" w:themeColor="text1"/>
        </w:rPr>
        <w:t>Analyze | Set Scale</w:t>
      </w:r>
      <w:r w:rsidRPr="0011114B">
        <w:rPr>
          <w:color w:val="000000" w:themeColor="text1"/>
        </w:rPr>
        <w:t xml:space="preserve">. Ensure that the </w:t>
      </w:r>
      <w:r w:rsidRPr="0011114B">
        <w:rPr>
          <w:b/>
          <w:bCs/>
          <w:color w:val="000000" w:themeColor="text1"/>
        </w:rPr>
        <w:t>Distance in Pixels</w:t>
      </w:r>
      <w:r w:rsidRPr="0011114B">
        <w:rPr>
          <w:color w:val="000000" w:themeColor="text1"/>
        </w:rPr>
        <w:t xml:space="preserve">, </w:t>
      </w:r>
      <w:r w:rsidRPr="0011114B">
        <w:rPr>
          <w:b/>
          <w:bCs/>
          <w:color w:val="000000" w:themeColor="text1"/>
        </w:rPr>
        <w:t>Known Distance</w:t>
      </w:r>
      <w:r w:rsidRPr="0011114B">
        <w:rPr>
          <w:color w:val="000000" w:themeColor="text1"/>
        </w:rPr>
        <w:t xml:space="preserve">, and </w:t>
      </w:r>
      <w:r w:rsidRPr="0011114B">
        <w:rPr>
          <w:b/>
          <w:bCs/>
          <w:color w:val="000000" w:themeColor="text1"/>
        </w:rPr>
        <w:t>Unit of Length</w:t>
      </w:r>
      <w:r w:rsidRPr="0011114B">
        <w:rPr>
          <w:color w:val="000000" w:themeColor="text1"/>
        </w:rPr>
        <w:t xml:space="preserve"> values correspond to the calibration of the objective lens used during live-cell imaging, and select </w:t>
      </w:r>
      <w:r w:rsidRPr="0011114B">
        <w:rPr>
          <w:b/>
          <w:bCs/>
          <w:color w:val="000000" w:themeColor="text1"/>
        </w:rPr>
        <w:t>Global</w:t>
      </w:r>
      <w:r w:rsidRPr="0011114B">
        <w:rPr>
          <w:color w:val="000000" w:themeColor="text1"/>
        </w:rPr>
        <w:t xml:space="preserve"> to apply the same scale to all series.</w:t>
      </w:r>
    </w:p>
    <w:p w14:paraId="7CE53B6F" w14:textId="77777777" w:rsidR="00637AB7" w:rsidRPr="0011114B" w:rsidRDefault="00637AB7" w:rsidP="0011114B">
      <w:pPr>
        <w:spacing w:line="0" w:lineRule="atLeast"/>
        <w:rPr>
          <w:color w:val="000000" w:themeColor="text1"/>
        </w:rPr>
      </w:pPr>
    </w:p>
    <w:p w14:paraId="01261DBE" w14:textId="77777777" w:rsidR="00637AB7" w:rsidRPr="0011114B" w:rsidRDefault="00B90DB7" w:rsidP="0011114B">
      <w:pPr>
        <w:spacing w:line="0" w:lineRule="atLeast"/>
        <w:rPr>
          <w:color w:val="000000" w:themeColor="text1"/>
        </w:rPr>
      </w:pPr>
      <w:r w:rsidRPr="0011114B">
        <w:rPr>
          <w:color w:val="000000" w:themeColor="text1"/>
        </w:rPr>
        <w:t xml:space="preserve">4.1.4. Select </w:t>
      </w:r>
      <w:r w:rsidRPr="0011114B">
        <w:rPr>
          <w:b/>
          <w:bCs/>
          <w:color w:val="000000" w:themeColor="text1"/>
        </w:rPr>
        <w:t>Plugins | Tracking | Manual Tracking</w:t>
      </w:r>
      <w:r w:rsidRPr="0011114B">
        <w:rPr>
          <w:color w:val="000000" w:themeColor="text1"/>
        </w:rPr>
        <w:t xml:space="preserve"> to launch the Manual Tracking plug-in.</w:t>
      </w:r>
    </w:p>
    <w:p w14:paraId="2E4FC4C9" w14:textId="77777777" w:rsidR="00637AB7" w:rsidRPr="0011114B" w:rsidRDefault="00637AB7" w:rsidP="0011114B">
      <w:pPr>
        <w:spacing w:line="0" w:lineRule="atLeast"/>
        <w:rPr>
          <w:color w:val="000000" w:themeColor="text1"/>
        </w:rPr>
      </w:pPr>
    </w:p>
    <w:p w14:paraId="453D26CA" w14:textId="77777777" w:rsidR="00637AB7" w:rsidRPr="0011114B" w:rsidRDefault="00B90DB7" w:rsidP="0011114B">
      <w:pPr>
        <w:spacing w:line="0" w:lineRule="atLeast"/>
        <w:rPr>
          <w:color w:val="000000" w:themeColor="text1"/>
        </w:rPr>
      </w:pPr>
      <w:r w:rsidRPr="0011114B">
        <w:rPr>
          <w:color w:val="000000" w:themeColor="text1"/>
        </w:rPr>
        <w:t xml:space="preserve">4.1.5. Set </w:t>
      </w:r>
      <w:r w:rsidRPr="0011114B">
        <w:rPr>
          <w:b/>
          <w:bCs/>
          <w:color w:val="000000" w:themeColor="text1"/>
        </w:rPr>
        <w:t>Time Interval</w:t>
      </w:r>
      <w:r w:rsidRPr="0011114B">
        <w:rPr>
          <w:color w:val="000000" w:themeColor="text1"/>
        </w:rPr>
        <w:t xml:space="preserve"> to 1 min before initiating tracking. Leave all remaining parameters unchanged from their default settings.</w:t>
      </w:r>
    </w:p>
    <w:p w14:paraId="5605FB92" w14:textId="77777777" w:rsidR="00637AB7" w:rsidRPr="0011114B" w:rsidRDefault="00637AB7" w:rsidP="0011114B">
      <w:pPr>
        <w:spacing w:line="0" w:lineRule="atLeast"/>
        <w:rPr>
          <w:color w:val="000000" w:themeColor="text1"/>
        </w:rPr>
      </w:pPr>
    </w:p>
    <w:p w14:paraId="3E90ECA7" w14:textId="77777777" w:rsidR="00637AB7" w:rsidRPr="0011114B" w:rsidRDefault="00B90DB7" w:rsidP="0011114B">
      <w:pPr>
        <w:spacing w:line="0" w:lineRule="atLeast"/>
        <w:rPr>
          <w:color w:val="000000" w:themeColor="text1"/>
        </w:rPr>
      </w:pPr>
      <w:r w:rsidRPr="0011114B">
        <w:rPr>
          <w:color w:val="000000" w:themeColor="text1"/>
        </w:rPr>
        <w:t>4.1.6. Adjust the frame slider at the bottom of the image-stack window to position the time-lapse sequence at the first frame.</w:t>
      </w:r>
    </w:p>
    <w:p w14:paraId="58D389A0" w14:textId="77777777" w:rsidR="00637AB7" w:rsidRPr="0011114B" w:rsidRDefault="00637AB7" w:rsidP="0011114B">
      <w:pPr>
        <w:spacing w:line="0" w:lineRule="atLeast"/>
        <w:rPr>
          <w:color w:val="000000" w:themeColor="text1"/>
        </w:rPr>
      </w:pPr>
    </w:p>
    <w:p w14:paraId="4653997D" w14:textId="77777777" w:rsidR="00637AB7" w:rsidRPr="0011114B" w:rsidRDefault="00B90DB7" w:rsidP="0011114B">
      <w:pPr>
        <w:spacing w:line="0" w:lineRule="atLeast"/>
        <w:rPr>
          <w:color w:val="000000" w:themeColor="text1"/>
        </w:rPr>
      </w:pPr>
      <w:r w:rsidRPr="0011114B">
        <w:rPr>
          <w:color w:val="000000" w:themeColor="text1"/>
        </w:rPr>
        <w:t xml:space="preserve">4.1.6.1. Select the centroid of a single cell and track the movement of the centroid through all 30 frames. Use </w:t>
      </w:r>
      <w:r w:rsidRPr="0011114B">
        <w:rPr>
          <w:b/>
          <w:bCs/>
          <w:color w:val="000000" w:themeColor="text1"/>
        </w:rPr>
        <w:t>Add Track</w:t>
      </w:r>
      <w:r w:rsidRPr="0011114B">
        <w:rPr>
          <w:color w:val="000000" w:themeColor="text1"/>
        </w:rPr>
        <w:t xml:space="preserve"> to initiate each track and allow the plug-in to display the trace line after tracking all 30 frames.</w:t>
      </w:r>
    </w:p>
    <w:p w14:paraId="10342C80" w14:textId="77777777" w:rsidR="00637AB7" w:rsidRPr="0011114B" w:rsidRDefault="00637AB7" w:rsidP="0011114B">
      <w:pPr>
        <w:spacing w:line="0" w:lineRule="atLeast"/>
        <w:rPr>
          <w:b/>
          <w:bCs/>
          <w:color w:val="000000" w:themeColor="text1"/>
        </w:rPr>
      </w:pPr>
    </w:p>
    <w:p w14:paraId="3C9BE70B"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Selecting </w:t>
      </w:r>
      <w:r w:rsidRPr="0011114B">
        <w:rPr>
          <w:b/>
          <w:bCs/>
          <w:color w:val="000000" w:themeColor="text1"/>
        </w:rPr>
        <w:t>Add Track</w:t>
      </w:r>
      <w:r w:rsidRPr="0011114B">
        <w:rPr>
          <w:color w:val="000000" w:themeColor="text1"/>
        </w:rPr>
        <w:t xml:space="preserve"> automatically returns the time-lapse sequence to the first frame.</w:t>
      </w:r>
    </w:p>
    <w:p w14:paraId="43FB61D8" w14:textId="77777777" w:rsidR="00637AB7" w:rsidRPr="0011114B" w:rsidRDefault="00637AB7" w:rsidP="0011114B">
      <w:pPr>
        <w:spacing w:line="0" w:lineRule="atLeast"/>
        <w:rPr>
          <w:color w:val="000000" w:themeColor="text1"/>
        </w:rPr>
      </w:pPr>
    </w:p>
    <w:p w14:paraId="1DE574EF" w14:textId="77777777" w:rsidR="00637AB7" w:rsidRPr="0011114B" w:rsidRDefault="00B90DB7" w:rsidP="0011114B">
      <w:pPr>
        <w:spacing w:line="0" w:lineRule="atLeast"/>
        <w:rPr>
          <w:color w:val="000000" w:themeColor="text1"/>
        </w:rPr>
      </w:pPr>
      <w:r w:rsidRPr="0011114B">
        <w:rPr>
          <w:color w:val="000000" w:themeColor="text1"/>
        </w:rPr>
        <w:t>4.1.6.2. Track only individual cells and exclude cell clusters from trajectory analysis.</w:t>
      </w:r>
    </w:p>
    <w:p w14:paraId="06C3CA06" w14:textId="77777777" w:rsidR="00637AB7" w:rsidRPr="0011114B" w:rsidRDefault="00637AB7" w:rsidP="0011114B">
      <w:pPr>
        <w:spacing w:line="0" w:lineRule="atLeast"/>
        <w:rPr>
          <w:color w:val="000000" w:themeColor="text1"/>
        </w:rPr>
      </w:pPr>
    </w:p>
    <w:p w14:paraId="2029E973" w14:textId="77777777" w:rsidR="00637AB7" w:rsidRPr="0011114B" w:rsidRDefault="00B90DB7" w:rsidP="0011114B">
      <w:pPr>
        <w:spacing w:line="0" w:lineRule="atLeast"/>
        <w:rPr>
          <w:color w:val="000000" w:themeColor="text1"/>
        </w:rPr>
      </w:pPr>
      <w:r w:rsidRPr="0011114B">
        <w:rPr>
          <w:color w:val="000000" w:themeColor="text1"/>
        </w:rPr>
        <w:t xml:space="preserve">4.1.7. Repeat step 4.1.6.1 for the cells to be tracked in each series until all series have been </w:t>
      </w:r>
      <w:r w:rsidRPr="0011114B">
        <w:rPr>
          <w:color w:val="000000" w:themeColor="text1"/>
        </w:rPr>
        <w:lastRenderedPageBreak/>
        <w:t>analyzed.</w:t>
      </w:r>
    </w:p>
    <w:p w14:paraId="02EDAD22" w14:textId="77777777" w:rsidR="00637AB7" w:rsidRPr="0011114B" w:rsidRDefault="00637AB7" w:rsidP="0011114B">
      <w:pPr>
        <w:spacing w:line="0" w:lineRule="atLeast"/>
        <w:rPr>
          <w:color w:val="000000" w:themeColor="text1"/>
        </w:rPr>
      </w:pPr>
    </w:p>
    <w:p w14:paraId="0031F0A8" w14:textId="4C862BCF" w:rsidR="00247A6A" w:rsidRPr="0011114B" w:rsidRDefault="00965C57" w:rsidP="0011114B">
      <w:pPr>
        <w:spacing w:line="0" w:lineRule="atLeast"/>
        <w:rPr>
          <w:color w:val="000000" w:themeColor="text1"/>
        </w:rPr>
      </w:pPr>
      <w:r w:rsidRPr="0011114B">
        <w:rPr>
          <w:color w:val="000000" w:themeColor="text1"/>
        </w:rPr>
        <w:t>4.1.7.1. Exclude individual cells that do not migrate more than one cell diameter or are not present in all 30 frames of the time-lapse video from trajectory analysis. Analyze approximately 15 fields, with 7–8 individual cells per field, to obtain a minimum of 50 analyzed cell tracks per experiment. Exclude datasets containing fewer than 50 tracks at the end of the time-lapse sequence.</w:t>
      </w:r>
    </w:p>
    <w:p w14:paraId="7F2CF28C" w14:textId="77777777" w:rsidR="00965C57" w:rsidRPr="0011114B" w:rsidRDefault="00965C57" w:rsidP="0011114B">
      <w:pPr>
        <w:spacing w:line="0" w:lineRule="atLeast"/>
        <w:rPr>
          <w:color w:val="000000" w:themeColor="text1"/>
        </w:rPr>
      </w:pPr>
    </w:p>
    <w:p w14:paraId="75C9CFAC" w14:textId="67226713" w:rsidR="00965C57" w:rsidRPr="0011114B" w:rsidRDefault="00965C57" w:rsidP="0011114B">
      <w:pPr>
        <w:spacing w:line="0" w:lineRule="atLeast"/>
        <w:rPr>
          <w:color w:val="000000" w:themeColor="text1"/>
        </w:rPr>
      </w:pPr>
      <w:r w:rsidRPr="0011114B">
        <w:rPr>
          <w:color w:val="000000" w:themeColor="text1"/>
        </w:rPr>
        <w:t>4.1.7.2. Perform cell tracking and data analysis blinded to the experimental condition for the vein-like and artery-like regions. Note that blinding is not possible for the capillary-like region because its narrower channel width is visually distinguishable.</w:t>
      </w:r>
    </w:p>
    <w:p w14:paraId="2A7384B8" w14:textId="77777777" w:rsidR="00247A6A" w:rsidRPr="0011114B" w:rsidRDefault="00247A6A" w:rsidP="0011114B">
      <w:pPr>
        <w:spacing w:line="0" w:lineRule="atLeast"/>
        <w:rPr>
          <w:color w:val="000000" w:themeColor="text1"/>
        </w:rPr>
      </w:pPr>
    </w:p>
    <w:p w14:paraId="052F0332"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The Manual Tracking plug-in generates a file containing the track number (</w:t>
      </w:r>
      <w:r w:rsidRPr="0011114B">
        <w:rPr>
          <w:b/>
          <w:bCs/>
          <w:color w:val="000000" w:themeColor="text1"/>
        </w:rPr>
        <w:t>Track n°</w:t>
      </w:r>
      <w:r w:rsidRPr="0011114B">
        <w:rPr>
          <w:color w:val="000000" w:themeColor="text1"/>
        </w:rPr>
        <w:t>), which identifies each tracked cell; slice number (</w:t>
      </w:r>
      <w:r w:rsidRPr="0011114B">
        <w:rPr>
          <w:b/>
          <w:bCs/>
          <w:color w:val="000000" w:themeColor="text1"/>
        </w:rPr>
        <w:t>Slice n°</w:t>
      </w:r>
      <w:r w:rsidRPr="0011114B">
        <w:rPr>
          <w:color w:val="000000" w:themeColor="text1"/>
        </w:rPr>
        <w:t>), which identifies the frame in which the centroid was selected; X and Y positional values for the centroid at each frame; distance; and velocity.</w:t>
      </w:r>
    </w:p>
    <w:p w14:paraId="779A45A4" w14:textId="77777777" w:rsidR="00637AB7" w:rsidRPr="0011114B" w:rsidRDefault="00637AB7" w:rsidP="0011114B">
      <w:pPr>
        <w:spacing w:line="0" w:lineRule="atLeast"/>
        <w:rPr>
          <w:color w:val="000000" w:themeColor="text1"/>
        </w:rPr>
      </w:pPr>
    </w:p>
    <w:p w14:paraId="746E926C" w14:textId="77777777" w:rsidR="00637AB7" w:rsidRPr="0011114B" w:rsidRDefault="00B90DB7" w:rsidP="0011114B">
      <w:pPr>
        <w:spacing w:line="0" w:lineRule="atLeast"/>
        <w:rPr>
          <w:color w:val="000000" w:themeColor="text1"/>
        </w:rPr>
      </w:pPr>
      <w:r w:rsidRPr="0011114B">
        <w:rPr>
          <w:color w:val="000000" w:themeColor="text1"/>
        </w:rPr>
        <w:t xml:space="preserve">4.1.8. In the generated track file, select </w:t>
      </w:r>
      <w:r w:rsidRPr="0011114B">
        <w:rPr>
          <w:b/>
          <w:bCs/>
          <w:color w:val="000000" w:themeColor="text1"/>
        </w:rPr>
        <w:t>File | Save As</w:t>
      </w:r>
      <w:r w:rsidRPr="0011114B">
        <w:rPr>
          <w:color w:val="000000" w:themeColor="text1"/>
        </w:rPr>
        <w:t>, enter the desired file name, and save the track file in Excel (.xlsx) format.</w:t>
      </w:r>
    </w:p>
    <w:p w14:paraId="50F41E29" w14:textId="77777777" w:rsidR="00637AB7" w:rsidRPr="0011114B" w:rsidRDefault="00637AB7" w:rsidP="0011114B">
      <w:pPr>
        <w:spacing w:line="0" w:lineRule="atLeast"/>
        <w:rPr>
          <w:color w:val="000000" w:themeColor="text1"/>
        </w:rPr>
      </w:pPr>
    </w:p>
    <w:p w14:paraId="4035FE82" w14:textId="77777777" w:rsidR="00637AB7" w:rsidRPr="0011114B" w:rsidRDefault="00B90DB7" w:rsidP="0011114B">
      <w:pPr>
        <w:spacing w:line="0" w:lineRule="atLeast"/>
        <w:rPr>
          <w:color w:val="000000" w:themeColor="text1"/>
        </w:rPr>
      </w:pPr>
      <w:r w:rsidRPr="0011114B">
        <w:rPr>
          <w:color w:val="000000" w:themeColor="text1"/>
        </w:rPr>
        <w:t>4.1.9. Import the exported track file into the custom-written MATLAB script. Use the script to calculate the average migration index, percentage of cells migrating upstream, motility coefficient, persistence time, and speed of all cells in the track file and to plot the cell trajectories.</w:t>
      </w:r>
    </w:p>
    <w:p w14:paraId="7271A57A" w14:textId="77777777" w:rsidR="00637AB7" w:rsidRPr="0011114B" w:rsidRDefault="00637AB7" w:rsidP="0011114B">
      <w:pPr>
        <w:spacing w:line="0" w:lineRule="atLeast"/>
        <w:rPr>
          <w:color w:val="000000" w:themeColor="text1"/>
        </w:rPr>
      </w:pPr>
    </w:p>
    <w:p w14:paraId="0CE63AE0" w14:textId="678F3E1C" w:rsidR="00637AB7" w:rsidRPr="0011114B" w:rsidRDefault="00B90DB7" w:rsidP="0011114B">
      <w:pPr>
        <w:spacing w:line="0" w:lineRule="atLeast"/>
        <w:rPr>
          <w:color w:val="000000" w:themeColor="text1"/>
        </w:rPr>
      </w:pPr>
      <w:r w:rsidRPr="0011114B">
        <w:rPr>
          <w:color w:val="000000" w:themeColor="text1"/>
        </w:rPr>
        <w:t xml:space="preserve">4.1.9.1. </w:t>
      </w:r>
      <w:r w:rsidR="00152D74" w:rsidRPr="0011114B">
        <w:rPr>
          <w:color w:val="000000" w:themeColor="text1"/>
        </w:rPr>
        <w:t xml:space="preserve">Use the custom MATLAB script previously described in </w:t>
      </w:r>
      <w:proofErr w:type="spellStart"/>
      <w:r w:rsidR="00152D74" w:rsidRPr="0011114B">
        <w:rPr>
          <w:color w:val="000000" w:themeColor="text1"/>
        </w:rPr>
        <w:t>Amoabediny</w:t>
      </w:r>
      <w:proofErr w:type="spellEnd"/>
      <w:r w:rsidR="00152D74" w:rsidRPr="0011114B">
        <w:rPr>
          <w:color w:val="000000" w:themeColor="text1"/>
        </w:rPr>
        <w:t xml:space="preserve"> et al.</w:t>
      </w:r>
      <w:r w:rsidR="00152D74" w:rsidRPr="0011114B">
        <w:rPr>
          <w:color w:val="000000" w:themeColor="text1"/>
          <w:vertAlign w:val="superscript"/>
        </w:rPr>
        <w:t>19</w:t>
      </w:r>
      <w:r w:rsidR="00152D74" w:rsidRPr="0011114B">
        <w:rPr>
          <w:color w:val="000000" w:themeColor="text1"/>
        </w:rPr>
        <w:t>.</w:t>
      </w:r>
    </w:p>
    <w:p w14:paraId="776D5918" w14:textId="77777777" w:rsidR="00637AB7" w:rsidRPr="0011114B" w:rsidRDefault="00637AB7" w:rsidP="0011114B">
      <w:pPr>
        <w:spacing w:line="0" w:lineRule="atLeast"/>
        <w:rPr>
          <w:b/>
          <w:bCs/>
          <w:color w:val="000000" w:themeColor="text1"/>
        </w:rPr>
      </w:pPr>
    </w:p>
    <w:p w14:paraId="38FFF6FD"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The migration index (MI) is defined by the following equation:</w:t>
      </w:r>
    </w:p>
    <w:p w14:paraId="4EB318C2" w14:textId="77777777" w:rsidR="00637AB7" w:rsidRPr="0011114B" w:rsidRDefault="00637AB7" w:rsidP="0011114B">
      <w:pPr>
        <w:spacing w:line="0" w:lineRule="atLeast"/>
        <w:rPr>
          <w:b/>
          <w:bCs/>
          <w:color w:val="000000" w:themeColor="text1"/>
        </w:rPr>
      </w:pPr>
    </w:p>
    <w:p w14:paraId="47C9A3F1" w14:textId="77777777" w:rsidR="00637AB7" w:rsidRPr="0011114B" w:rsidRDefault="00B90DB7" w:rsidP="0011114B">
      <w:pPr>
        <w:pStyle w:val="ListParagraph"/>
        <w:spacing w:after="0" w:line="0" w:lineRule="atLeast"/>
        <w:ind w:left="1440"/>
        <w:jc w:val="both"/>
        <w:rPr>
          <w:rFonts w:ascii="Calibri" w:hAnsi="Calibri" w:cs="Calibri"/>
          <w:color w:val="000000" w:themeColor="text1"/>
          <w:sz w:val="24"/>
          <w:szCs w:val="24"/>
        </w:rPr>
      </w:pPr>
      <m:oMathPara>
        <m:oMath>
          <m:r>
            <w:rPr>
              <w:rFonts w:ascii="Cambria Math" w:hAnsi="Cambria Math" w:cs="Calibri"/>
              <w:color w:val="000000" w:themeColor="text1"/>
              <w:sz w:val="24"/>
              <w:szCs w:val="24"/>
            </w:rPr>
            <m:t>MI</m:t>
          </m:r>
          <m:r>
            <m:rPr>
              <m:sty m:val="p"/>
            </m:rPr>
            <w:rPr>
              <w:rFonts w:ascii="Cambria Math" w:hAnsi="Cambria Math" w:cs="Calibri"/>
              <w:color w:val="000000" w:themeColor="text1"/>
              <w:sz w:val="24"/>
              <w:szCs w:val="24"/>
            </w:rPr>
            <m:t xml:space="preserve"> = </m:t>
          </m:r>
          <m:f>
            <m:fPr>
              <m:ctrlPr>
                <w:rPr>
                  <w:rFonts w:ascii="Cambria Math" w:hAnsi="Cambria Math" w:cs="Calibri"/>
                  <w:color w:val="000000" w:themeColor="text1"/>
                  <w:sz w:val="24"/>
                  <w:szCs w:val="24"/>
                </w:rPr>
              </m:ctrlPr>
            </m:fPr>
            <m:num>
              <m:sSub>
                <m:sSubPr>
                  <m:ctrlPr>
                    <w:rPr>
                      <w:rFonts w:ascii="Cambria Math" w:hAnsi="Cambria Math" w:cs="Calibri"/>
                      <w:color w:val="000000" w:themeColor="text1"/>
                      <w:sz w:val="24"/>
                      <w:szCs w:val="24"/>
                    </w:rPr>
                  </m:ctrlPr>
                </m:sSubPr>
                <m:e>
                  <m:r>
                    <w:rPr>
                      <w:rFonts w:ascii="Cambria Math" w:hAnsi="Cambria Math" w:cs="Calibri"/>
                      <w:color w:val="000000" w:themeColor="text1"/>
                      <w:sz w:val="24"/>
                      <w:szCs w:val="24"/>
                    </w:rPr>
                    <m:t>x</m:t>
                  </m:r>
                </m:e>
                <m:sub>
                  <m:r>
                    <w:rPr>
                      <w:rFonts w:ascii="Cambria Math" w:hAnsi="Cambria Math" w:cs="Calibri"/>
                      <w:color w:val="000000" w:themeColor="text1"/>
                      <w:sz w:val="24"/>
                      <w:szCs w:val="24"/>
                      <w:vertAlign w:val="subscript"/>
                    </w:rPr>
                    <m:t>i</m:t>
                  </m:r>
                  <m:r>
                    <m:rPr>
                      <m:sty m:val="p"/>
                    </m:rPr>
                    <w:rPr>
                      <w:rFonts w:ascii="Cambria Math" w:hAnsi="Cambria Math" w:cs="Calibri"/>
                      <w:color w:val="000000" w:themeColor="text1"/>
                      <w:sz w:val="24"/>
                      <w:szCs w:val="24"/>
                      <w:vertAlign w:val="subscript"/>
                    </w:rPr>
                    <m:t>,</m:t>
                  </m:r>
                  <m:r>
                    <w:rPr>
                      <w:rFonts w:ascii="Cambria Math" w:hAnsi="Cambria Math" w:cs="Calibri"/>
                      <w:color w:val="000000" w:themeColor="text1"/>
                      <w:sz w:val="24"/>
                      <w:szCs w:val="24"/>
                      <w:vertAlign w:val="subscript"/>
                    </w:rPr>
                    <m:t>end</m:t>
                  </m:r>
                </m:sub>
              </m:sSub>
              <m:r>
                <m:rPr>
                  <m:sty m:val="p"/>
                </m:rPr>
                <w:rPr>
                  <w:rFonts w:ascii="Cambria Math" w:hAnsi="Cambria Math" w:cs="Calibri"/>
                  <w:color w:val="000000" w:themeColor="text1"/>
                  <w:sz w:val="24"/>
                  <w:szCs w:val="24"/>
                </w:rPr>
                <m:t xml:space="preserve"> -</m:t>
              </m:r>
              <m:sSub>
                <m:sSubPr>
                  <m:ctrlPr>
                    <w:rPr>
                      <w:rFonts w:ascii="Cambria Math" w:hAnsi="Cambria Math" w:cs="Calibri"/>
                      <w:color w:val="000000" w:themeColor="text1"/>
                      <w:sz w:val="24"/>
                      <w:szCs w:val="24"/>
                    </w:rPr>
                  </m:ctrlPr>
                </m:sSubPr>
                <m:e>
                  <m:r>
                    <w:rPr>
                      <w:rFonts w:ascii="Cambria Math" w:hAnsi="Cambria Math" w:cs="Calibri"/>
                      <w:color w:val="000000" w:themeColor="text1"/>
                      <w:sz w:val="24"/>
                      <w:szCs w:val="24"/>
                    </w:rPr>
                    <m:t>x</m:t>
                  </m:r>
                </m:e>
                <m:sub>
                  <m:r>
                    <w:rPr>
                      <w:rFonts w:ascii="Cambria Math" w:hAnsi="Cambria Math" w:cs="Calibri"/>
                      <w:color w:val="000000" w:themeColor="text1"/>
                      <w:sz w:val="24"/>
                      <w:szCs w:val="24"/>
                      <w:vertAlign w:val="subscript"/>
                    </w:rPr>
                    <m:t>i</m:t>
                  </m:r>
                  <m:r>
                    <m:rPr>
                      <m:sty m:val="p"/>
                    </m:rPr>
                    <w:rPr>
                      <w:rFonts w:ascii="Cambria Math" w:hAnsi="Cambria Math" w:cs="Calibri"/>
                      <w:color w:val="000000" w:themeColor="text1"/>
                      <w:sz w:val="24"/>
                      <w:szCs w:val="24"/>
                      <w:vertAlign w:val="subscript"/>
                    </w:rPr>
                    <m:t>,</m:t>
                  </m:r>
                  <m:r>
                    <w:rPr>
                      <w:rFonts w:ascii="Cambria Math" w:hAnsi="Cambria Math" w:cs="Calibri"/>
                      <w:color w:val="000000" w:themeColor="text1"/>
                      <w:sz w:val="24"/>
                      <w:szCs w:val="24"/>
                      <w:vertAlign w:val="subscript"/>
                    </w:rPr>
                    <m:t>initial</m:t>
                  </m:r>
                </m:sub>
              </m:sSub>
            </m:num>
            <m:den>
              <m:sSub>
                <m:sSubPr>
                  <m:ctrlPr>
                    <w:rPr>
                      <w:rFonts w:ascii="Cambria Math" w:hAnsi="Cambria Math" w:cs="Calibri"/>
                      <w:i/>
                      <w:iCs/>
                      <w:color w:val="000000" w:themeColor="text1"/>
                      <w:sz w:val="24"/>
                      <w:szCs w:val="24"/>
                    </w:rPr>
                  </m:ctrlPr>
                </m:sSubPr>
                <m:e>
                  <m:r>
                    <w:rPr>
                      <w:rFonts w:ascii="Cambria Math" w:hAnsi="Cambria Math" w:cs="Calibri"/>
                      <w:color w:val="000000" w:themeColor="text1"/>
                      <w:sz w:val="24"/>
                      <w:szCs w:val="24"/>
                    </w:rPr>
                    <m:t>D</m:t>
                  </m:r>
                </m:e>
                <m:sub>
                  <m:r>
                    <w:rPr>
                      <w:rFonts w:ascii="Cambria Math" w:hAnsi="Cambria Math" w:cs="Calibri"/>
                      <w:color w:val="000000" w:themeColor="text1"/>
                      <w:sz w:val="24"/>
                      <w:szCs w:val="24"/>
                    </w:rPr>
                    <m:t>L</m:t>
                  </m:r>
                </m:sub>
              </m:sSub>
            </m:den>
          </m:f>
        </m:oMath>
      </m:oMathPara>
    </w:p>
    <w:p w14:paraId="1DA329BF" w14:textId="77777777" w:rsidR="00637AB7" w:rsidRPr="0011114B" w:rsidRDefault="00637AB7" w:rsidP="0011114B">
      <w:pPr>
        <w:spacing w:line="0" w:lineRule="atLeast"/>
        <w:rPr>
          <w:color w:val="000000" w:themeColor="text1"/>
        </w:rPr>
      </w:pPr>
    </w:p>
    <w:p w14:paraId="17854C05" w14:textId="77777777" w:rsidR="00637AB7" w:rsidRPr="0011114B" w:rsidRDefault="00B90DB7" w:rsidP="0011114B">
      <w:pPr>
        <w:spacing w:line="0" w:lineRule="atLeast"/>
        <w:rPr>
          <w:color w:val="000000" w:themeColor="text1"/>
        </w:rPr>
      </w:pPr>
      <w:r w:rsidRPr="0011114B">
        <w:rPr>
          <w:color w:val="000000" w:themeColor="text1"/>
        </w:rPr>
        <w:t>The MI is calculated as the ratio of the difference between the initial (</w:t>
      </w:r>
      <m:oMath>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vertAlign w:val="subscript"/>
              </w:rPr>
              <m:t>i</m:t>
            </m:r>
            <m:r>
              <m:rPr>
                <m:sty m:val="p"/>
              </m:rPr>
              <w:rPr>
                <w:rFonts w:ascii="Cambria Math" w:hAnsi="Cambria Math"/>
                <w:color w:val="000000" w:themeColor="text1"/>
                <w:vertAlign w:val="subscript"/>
              </w:rPr>
              <m:t>,</m:t>
            </m:r>
            <m:r>
              <w:rPr>
                <w:rFonts w:ascii="Cambria Math" w:hAnsi="Cambria Math"/>
                <w:color w:val="000000" w:themeColor="text1"/>
                <w:vertAlign w:val="subscript"/>
              </w:rPr>
              <m:t>initial</m:t>
            </m:r>
          </m:sub>
        </m:sSub>
        <m:r>
          <m:rPr>
            <m:sty m:val="p"/>
          </m:rPr>
          <w:rPr>
            <w:rFonts w:ascii="Cambria Math" w:hAnsi="Cambria Math"/>
            <w:color w:val="000000" w:themeColor="text1"/>
          </w:rPr>
          <m:t xml:space="preserve"> </m:t>
        </m:r>
      </m:oMath>
      <w:r w:rsidRPr="0011114B">
        <w:rPr>
          <w:color w:val="000000" w:themeColor="text1"/>
        </w:rPr>
        <w:t>) and final x-displacement (</w:t>
      </w:r>
      <m:oMath>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vertAlign w:val="subscript"/>
              </w:rPr>
              <m:t>i</m:t>
            </m:r>
            <m:r>
              <m:rPr>
                <m:sty m:val="p"/>
              </m:rPr>
              <w:rPr>
                <w:rFonts w:ascii="Cambria Math" w:hAnsi="Cambria Math"/>
                <w:color w:val="000000" w:themeColor="text1"/>
                <w:vertAlign w:val="subscript"/>
              </w:rPr>
              <m:t>,</m:t>
            </m:r>
            <m:r>
              <w:rPr>
                <w:rFonts w:ascii="Cambria Math" w:hAnsi="Cambria Math"/>
                <w:color w:val="000000" w:themeColor="text1"/>
                <w:vertAlign w:val="subscript"/>
              </w:rPr>
              <m:t>end</m:t>
            </m:r>
          </m:sub>
        </m:sSub>
      </m:oMath>
      <w:r w:rsidRPr="0011114B">
        <w:rPr>
          <w:color w:val="000000" w:themeColor="text1"/>
        </w:rPr>
        <w:t>) to the total path length of the cell (</w:t>
      </w:r>
      <m:oMath>
        <m:sSub>
          <m:sSubPr>
            <m:ctrlPr>
              <w:rPr>
                <w:rFonts w:ascii="Cambria Math" w:hAnsi="Cambria Math"/>
                <w:i/>
                <w:iCs/>
                <w:color w:val="000000" w:themeColor="text1"/>
              </w:rPr>
            </m:ctrlPr>
          </m:sSubPr>
          <m:e>
            <m:r>
              <w:rPr>
                <w:rFonts w:ascii="Cambria Math" w:hAnsi="Cambria Math"/>
                <w:color w:val="000000" w:themeColor="text1"/>
              </w:rPr>
              <m:t>D</m:t>
            </m:r>
          </m:e>
          <m:sub>
            <m:r>
              <w:rPr>
                <w:rFonts w:ascii="Cambria Math" w:hAnsi="Cambria Math"/>
                <w:color w:val="000000" w:themeColor="text1"/>
              </w:rPr>
              <m:t>L</m:t>
            </m:r>
          </m:sub>
        </m:sSub>
      </m:oMath>
      <w:r w:rsidRPr="0011114B">
        <w:rPr>
          <w:color w:val="000000" w:themeColor="text1"/>
        </w:rPr>
        <w:t>). A positive MI indicates migration in the direction of shear flow (downstream migration), whereas a negative MI indicates migration against the direction of shear flow (upstream migration). Consider MI values between −0.05 and 0.05 to represent undirected migration.</w:t>
      </w:r>
    </w:p>
    <w:p w14:paraId="6FC2282A" w14:textId="77777777" w:rsidR="00637AB7" w:rsidRPr="0011114B" w:rsidRDefault="00637AB7" w:rsidP="0011114B">
      <w:pPr>
        <w:spacing w:line="0" w:lineRule="atLeast"/>
        <w:rPr>
          <w:b/>
          <w:bCs/>
          <w:color w:val="000000" w:themeColor="text1"/>
        </w:rPr>
      </w:pPr>
    </w:p>
    <w:p w14:paraId="068BD6FC" w14:textId="77777777" w:rsidR="00637AB7" w:rsidRPr="0011114B" w:rsidRDefault="00B90DB7" w:rsidP="0011114B">
      <w:pPr>
        <w:spacing w:line="0" w:lineRule="atLeast"/>
        <w:rPr>
          <w:color w:val="000000" w:themeColor="text1"/>
        </w:rPr>
      </w:pPr>
      <w:r w:rsidRPr="0011114B">
        <w:rPr>
          <w:b/>
          <w:bCs/>
          <w:color w:val="000000" w:themeColor="text1"/>
        </w:rPr>
        <w:t>NOTE 1:</w:t>
      </w:r>
      <w:r w:rsidRPr="0011114B">
        <w:rPr>
          <w:color w:val="000000" w:themeColor="text1"/>
        </w:rPr>
        <w:t xml:space="preserve"> Persistence time is defined as the time a cell remains moving without changing direction.</w:t>
      </w:r>
    </w:p>
    <w:p w14:paraId="3DC3419C" w14:textId="77777777" w:rsidR="00637AB7" w:rsidRPr="0011114B" w:rsidRDefault="00637AB7" w:rsidP="0011114B">
      <w:pPr>
        <w:spacing w:line="0" w:lineRule="atLeast"/>
        <w:rPr>
          <w:b/>
          <w:bCs/>
          <w:color w:val="000000" w:themeColor="text1"/>
        </w:rPr>
      </w:pPr>
    </w:p>
    <w:p w14:paraId="06B8E321" w14:textId="77777777" w:rsidR="00637AB7" w:rsidRPr="0011114B" w:rsidRDefault="00B90DB7" w:rsidP="0011114B">
      <w:pPr>
        <w:spacing w:line="0" w:lineRule="atLeast"/>
        <w:rPr>
          <w:color w:val="000000" w:themeColor="text1"/>
        </w:rPr>
      </w:pPr>
      <w:r w:rsidRPr="0011114B">
        <w:rPr>
          <w:b/>
          <w:bCs/>
          <w:color w:val="000000" w:themeColor="text1"/>
        </w:rPr>
        <w:t>NOTE 2:</w:t>
      </w:r>
      <w:r w:rsidRPr="0011114B">
        <w:rPr>
          <w:color w:val="000000" w:themeColor="text1"/>
        </w:rPr>
        <w:t xml:space="preserve"> Speed (</w:t>
      </w:r>
      <m:oMath>
        <m:r>
          <w:rPr>
            <w:rFonts w:ascii="Cambria Math" w:hAnsi="Cambria Math"/>
            <w:color w:val="000000" w:themeColor="text1"/>
          </w:rPr>
          <m:t>S</m:t>
        </m:r>
      </m:oMath>
      <w:r w:rsidRPr="0011114B">
        <w:rPr>
          <w:color w:val="000000" w:themeColor="text1"/>
        </w:rPr>
        <w:t>) is defined by the following equation:</w:t>
      </w:r>
    </w:p>
    <w:p w14:paraId="7DEE1A36" w14:textId="77777777" w:rsidR="00637AB7" w:rsidRPr="0011114B" w:rsidRDefault="00637AB7" w:rsidP="0011114B">
      <w:pPr>
        <w:spacing w:line="0" w:lineRule="atLeast"/>
        <w:rPr>
          <w:b/>
          <w:bCs/>
          <w:color w:val="000000" w:themeColor="text1"/>
        </w:rPr>
      </w:pPr>
    </w:p>
    <w:p w14:paraId="327096C9" w14:textId="77777777" w:rsidR="00637AB7" w:rsidRPr="0011114B" w:rsidRDefault="00B90DB7" w:rsidP="0011114B">
      <w:pPr>
        <w:spacing w:line="0" w:lineRule="atLeast"/>
        <w:rPr>
          <w:color w:val="000000" w:themeColor="text1"/>
        </w:rPr>
      </w:pPr>
      <m:oMathPara>
        <m:oMath>
          <m:r>
            <w:rPr>
              <w:rFonts w:ascii="Cambria Math" w:hAnsi="Cambria Math"/>
              <w:color w:val="000000" w:themeColor="text1"/>
            </w:rPr>
            <m:t>S</m:t>
          </m:r>
          <m:r>
            <m:rPr>
              <m:sty m:val="p"/>
            </m:rPr>
            <w:rPr>
              <w:rFonts w:ascii="Cambria Math" w:hAnsi="Cambria Math"/>
              <w:color w:val="000000" w:themeColor="text1"/>
            </w:rPr>
            <m:t>=</m:t>
          </m:r>
          <m:f>
            <m:fPr>
              <m:ctrlPr>
                <w:rPr>
                  <w:rFonts w:ascii="Cambria Math" w:hAnsi="Cambria Math"/>
                  <w:i/>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D</m:t>
                  </m:r>
                </m:e>
                <m:sub>
                  <m:r>
                    <w:rPr>
                      <w:rFonts w:ascii="Cambria Math" w:hAnsi="Cambria Math"/>
                      <w:color w:val="000000" w:themeColor="text1"/>
                    </w:rPr>
                    <m:t>L</m:t>
                  </m:r>
                </m:sub>
              </m:sSub>
              <m:ctrlPr>
                <w:rPr>
                  <w:rFonts w:ascii="Cambria Math" w:eastAsiaTheme="minorEastAsia" w:hAnsi="Cambria Math"/>
                  <w:i/>
                  <w:iCs/>
                  <w:color w:val="000000" w:themeColor="text1"/>
                </w:rPr>
              </m:ctrlPr>
            </m:num>
            <m:den>
              <m:r>
                <w:rPr>
                  <w:rFonts w:ascii="Cambria Math" w:eastAsiaTheme="minorEastAsia" w:hAnsi="Cambria Math"/>
                  <w:color w:val="000000" w:themeColor="text1"/>
                </w:rPr>
                <m:t>P</m:t>
              </m:r>
            </m:den>
          </m:f>
        </m:oMath>
      </m:oMathPara>
    </w:p>
    <w:p w14:paraId="24555897" w14:textId="77777777" w:rsidR="00637AB7" w:rsidRPr="0011114B" w:rsidRDefault="00637AB7" w:rsidP="0011114B">
      <w:pPr>
        <w:spacing w:line="0" w:lineRule="atLeast"/>
        <w:rPr>
          <w:color w:val="000000" w:themeColor="text1"/>
        </w:rPr>
      </w:pPr>
    </w:p>
    <w:p w14:paraId="79345BD7" w14:textId="77777777" w:rsidR="00637AB7" w:rsidRPr="0011114B" w:rsidRDefault="00B90DB7" w:rsidP="0011114B">
      <w:pPr>
        <w:spacing w:line="0" w:lineRule="atLeast"/>
        <w:rPr>
          <w:color w:val="000000" w:themeColor="text1"/>
        </w:rPr>
      </w:pPr>
      <w:r w:rsidRPr="0011114B">
        <w:rPr>
          <w:color w:val="000000" w:themeColor="text1"/>
        </w:rPr>
        <w:lastRenderedPageBreak/>
        <w:t>where the variables represent the total path length (</w:t>
      </w:r>
      <m:oMath>
        <m:sSub>
          <m:sSubPr>
            <m:ctrlPr>
              <w:rPr>
                <w:rFonts w:ascii="Cambria Math" w:hAnsi="Cambria Math"/>
                <w:i/>
                <w:iCs/>
                <w:color w:val="000000" w:themeColor="text1"/>
              </w:rPr>
            </m:ctrlPr>
          </m:sSubPr>
          <m:e>
            <m:r>
              <w:rPr>
                <w:rFonts w:ascii="Cambria Math" w:hAnsi="Cambria Math"/>
                <w:color w:val="000000" w:themeColor="text1"/>
              </w:rPr>
              <m:t>D</m:t>
            </m:r>
          </m:e>
          <m:sub>
            <m:r>
              <w:rPr>
                <w:rFonts w:ascii="Cambria Math" w:hAnsi="Cambria Math"/>
                <w:color w:val="000000" w:themeColor="text1"/>
              </w:rPr>
              <m:t>L</m:t>
            </m:r>
          </m:sub>
        </m:sSub>
      </m:oMath>
      <w:r w:rsidRPr="0011114B">
        <w:rPr>
          <w:color w:val="000000" w:themeColor="text1"/>
        </w:rPr>
        <w:t>) and persistence time (</w:t>
      </w:r>
      <m:oMath>
        <m:r>
          <w:rPr>
            <w:rFonts w:ascii="Cambria Math" w:eastAsiaTheme="minorEastAsia" w:hAnsi="Cambria Math"/>
            <w:color w:val="000000" w:themeColor="text1"/>
          </w:rPr>
          <m:t>P</m:t>
        </m:r>
      </m:oMath>
      <w:r w:rsidRPr="0011114B">
        <w:rPr>
          <w:color w:val="000000" w:themeColor="text1"/>
        </w:rPr>
        <w:t>) as defined in the equation.</w:t>
      </w:r>
    </w:p>
    <w:p w14:paraId="68B42FC7" w14:textId="77777777" w:rsidR="00637AB7" w:rsidRPr="0011114B" w:rsidRDefault="00637AB7" w:rsidP="0011114B">
      <w:pPr>
        <w:spacing w:line="0" w:lineRule="atLeast"/>
        <w:rPr>
          <w:b/>
          <w:bCs/>
          <w:color w:val="000000" w:themeColor="text1"/>
        </w:rPr>
      </w:pPr>
    </w:p>
    <w:p w14:paraId="6399DC0D" w14:textId="77777777" w:rsidR="00637AB7" w:rsidRPr="0011114B" w:rsidRDefault="00B90DB7" w:rsidP="0011114B">
      <w:pPr>
        <w:spacing w:line="0" w:lineRule="atLeast"/>
        <w:rPr>
          <w:color w:val="000000" w:themeColor="text1"/>
        </w:rPr>
      </w:pPr>
      <w:r w:rsidRPr="0011114B">
        <w:rPr>
          <w:b/>
          <w:bCs/>
          <w:color w:val="000000" w:themeColor="text1"/>
        </w:rPr>
        <w:t>NOTE:</w:t>
      </w:r>
      <w:r w:rsidRPr="0011114B">
        <w:rPr>
          <w:color w:val="000000" w:themeColor="text1"/>
        </w:rPr>
        <w:t xml:space="preserve"> The motility coefficient (</w:t>
      </w:r>
      <w:r w:rsidRPr="0011114B">
        <w:rPr>
          <w:i/>
          <w:iCs/>
          <w:color w:val="000000" w:themeColor="text1"/>
        </w:rPr>
        <w:t>μ</w:t>
      </w:r>
      <w:r w:rsidRPr="0011114B">
        <w:rPr>
          <w:color w:val="000000" w:themeColor="text1"/>
        </w:rPr>
        <w:t>) is defined by the following equation:</w:t>
      </w:r>
    </w:p>
    <w:p w14:paraId="209BDB1B" w14:textId="77777777" w:rsidR="00637AB7" w:rsidRPr="0011114B" w:rsidRDefault="00637AB7" w:rsidP="0011114B">
      <w:pPr>
        <w:spacing w:line="0" w:lineRule="atLeast"/>
        <w:rPr>
          <w:b/>
          <w:bCs/>
          <w:color w:val="000000" w:themeColor="text1"/>
        </w:rPr>
      </w:pPr>
    </w:p>
    <w:p w14:paraId="4A917B2C" w14:textId="06025F06" w:rsidR="00637AB7" w:rsidRPr="0011114B" w:rsidRDefault="00B90DB7" w:rsidP="0011114B">
      <w:pPr>
        <w:spacing w:line="0" w:lineRule="atLeast"/>
        <w:rPr>
          <w:rFonts w:eastAsiaTheme="minorEastAsia"/>
          <w:color w:val="000000" w:themeColor="text1"/>
        </w:rPr>
      </w:pPr>
      <m:oMathPara>
        <m:oMath>
          <m:r>
            <w:rPr>
              <w:rFonts w:ascii="Cambria Math" w:hAnsi="Cambria Math"/>
              <w:color w:val="000000" w:themeColor="text1"/>
            </w:rPr>
            <m:t>μ</m:t>
          </m:r>
          <m:r>
            <m:rPr>
              <m:sty m:val="p"/>
            </m:rP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1</m:t>
              </m:r>
            </m:num>
            <m:den>
              <m:r>
                <m:rPr>
                  <m:sty m:val="p"/>
                </m:rPr>
                <w:rPr>
                  <w:rFonts w:ascii="Cambria Math" w:hAnsi="Cambria Math"/>
                  <w:color w:val="000000" w:themeColor="text1"/>
                </w:rPr>
                <m:t>2</m:t>
              </m:r>
            </m:den>
          </m:f>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2</m:t>
              </m:r>
            </m:sup>
          </m:sSup>
          <m:r>
            <w:rPr>
              <w:rFonts w:ascii="Cambria Math" w:hAnsi="Cambria Math"/>
              <w:color w:val="000000" w:themeColor="text1"/>
            </w:rPr>
            <m:t>P</m:t>
          </m:r>
        </m:oMath>
      </m:oMathPara>
    </w:p>
    <w:p w14:paraId="2885881C" w14:textId="77777777" w:rsidR="00637AB7" w:rsidRPr="0011114B" w:rsidRDefault="00637AB7" w:rsidP="0011114B">
      <w:pPr>
        <w:spacing w:line="0" w:lineRule="atLeast"/>
        <w:rPr>
          <w:color w:val="000000" w:themeColor="text1"/>
        </w:rPr>
      </w:pPr>
    </w:p>
    <w:p w14:paraId="104ED84D" w14:textId="28C67C3E" w:rsidR="001179A8" w:rsidRPr="0011114B" w:rsidRDefault="00B90DB7" w:rsidP="0011114B">
      <w:pPr>
        <w:spacing w:line="0" w:lineRule="atLeast"/>
        <w:rPr>
          <w:b/>
          <w:bCs/>
          <w:color w:val="000000" w:themeColor="text1"/>
          <w:lang w:val="en-IN"/>
        </w:rPr>
      </w:pPr>
      <w:r w:rsidRPr="0011114B">
        <w:rPr>
          <w:b/>
          <w:bCs/>
          <w:color w:val="000000" w:themeColor="text1"/>
          <w:lang w:val="en-IN"/>
        </w:rPr>
        <w:t>RESULTS:</w:t>
      </w:r>
    </w:p>
    <w:p w14:paraId="3BCCB6F3" w14:textId="0CA46DC6" w:rsidR="001179A8" w:rsidRPr="0011114B" w:rsidRDefault="00B90DB7" w:rsidP="0011114B">
      <w:pPr>
        <w:spacing w:line="0" w:lineRule="atLeast"/>
        <w:rPr>
          <w:color w:val="000000" w:themeColor="text1"/>
          <w:lang w:val="en-IN"/>
        </w:rPr>
      </w:pPr>
      <w:r w:rsidRPr="0011114B">
        <w:rPr>
          <w:color w:val="000000" w:themeColor="text1"/>
          <w:lang w:val="en-IN"/>
        </w:rPr>
        <w:t xml:space="preserve">The objective of this protocol was to measure changes in the directional migration of differentiated HL-60 cells under shear flow across different channel widths, including conditions in which CD11b was blocked. Representative migration trajectories are shown in </w:t>
      </w:r>
      <w:r w:rsidRPr="0011114B">
        <w:rPr>
          <w:b/>
          <w:bCs/>
          <w:color w:val="000000" w:themeColor="text1"/>
          <w:lang w:val="en-IN"/>
        </w:rPr>
        <w:t>Figure 2</w:t>
      </w:r>
      <w:r w:rsidRPr="0011114B">
        <w:rPr>
          <w:color w:val="000000" w:themeColor="text1"/>
          <w:lang w:val="en-IN"/>
        </w:rPr>
        <w:t>. In the isotype control condition (</w:t>
      </w:r>
      <w:r w:rsidRPr="0011114B">
        <w:rPr>
          <w:b/>
          <w:bCs/>
          <w:color w:val="000000" w:themeColor="text1"/>
          <w:lang w:val="en-IN"/>
        </w:rPr>
        <w:t>Figure 2A</w:t>
      </w:r>
      <w:r w:rsidRPr="0011114B">
        <w:rPr>
          <w:color w:val="000000" w:themeColor="text1"/>
          <w:lang w:val="en-IN"/>
        </w:rPr>
        <w:t>), the trajectories were predominantly downstream across the 1.25 mm, 0.05 mm, and 2.5 mm channel-width regions, as indicated by the greater density of blue traces relative to red traces. In the anti-CD11b condition (</w:t>
      </w:r>
      <w:r w:rsidRPr="0011114B">
        <w:rPr>
          <w:b/>
          <w:bCs/>
          <w:color w:val="000000" w:themeColor="text1"/>
          <w:lang w:val="en-IN"/>
        </w:rPr>
        <w:t>Figure 2B</w:t>
      </w:r>
      <w:r w:rsidRPr="0011114B">
        <w:rPr>
          <w:color w:val="000000" w:themeColor="text1"/>
          <w:lang w:val="en-IN"/>
        </w:rPr>
        <w:t xml:space="preserve">), a greater density of red traces was observed in the 1.25 mm and 2.5 mm channel-width regions, indicating increased upstream migration relative to the corresponding isotype controls. In contrast, the 0.05 mm channel-width region retained a greater density of blue traces, indicating predominantly downstream migration under this condition. Representative time-lapse recordings of these conditions are provided in </w:t>
      </w:r>
      <w:r w:rsidRPr="0011114B">
        <w:rPr>
          <w:b/>
          <w:bCs/>
          <w:color w:val="000000" w:themeColor="text1"/>
          <w:lang w:val="en-IN"/>
        </w:rPr>
        <w:t>Supplementary Videos 1–6</w:t>
      </w:r>
      <w:r w:rsidRPr="0011114B">
        <w:rPr>
          <w:color w:val="000000" w:themeColor="text1"/>
          <w:lang w:val="en-IN"/>
        </w:rPr>
        <w:t>, with isotype control and anti-CD11b-treated cells shown for the 1.25 mm (</w:t>
      </w:r>
      <w:r w:rsidRPr="0011114B">
        <w:rPr>
          <w:b/>
          <w:bCs/>
          <w:color w:val="000000" w:themeColor="text1"/>
          <w:lang w:val="en-IN"/>
        </w:rPr>
        <w:t>Supplementary Videos 1 and 2</w:t>
      </w:r>
      <w:r w:rsidRPr="0011114B">
        <w:rPr>
          <w:color w:val="000000" w:themeColor="text1"/>
          <w:lang w:val="en-IN"/>
        </w:rPr>
        <w:t>), 0.05 mm (</w:t>
      </w:r>
      <w:r w:rsidRPr="0011114B">
        <w:rPr>
          <w:b/>
          <w:bCs/>
          <w:color w:val="000000" w:themeColor="text1"/>
          <w:lang w:val="en-IN"/>
        </w:rPr>
        <w:t>Supplementary Videos 3 and 4</w:t>
      </w:r>
      <w:r w:rsidRPr="0011114B">
        <w:rPr>
          <w:color w:val="000000" w:themeColor="text1"/>
          <w:lang w:val="en-IN"/>
        </w:rPr>
        <w:t>), and 2.5 mm (</w:t>
      </w:r>
      <w:r w:rsidRPr="0011114B">
        <w:rPr>
          <w:b/>
          <w:bCs/>
          <w:color w:val="000000" w:themeColor="text1"/>
          <w:lang w:val="en-IN"/>
        </w:rPr>
        <w:t>Supplementary Videos 5 and 6</w:t>
      </w:r>
      <w:r w:rsidRPr="0011114B">
        <w:rPr>
          <w:color w:val="000000" w:themeColor="text1"/>
          <w:lang w:val="en-IN"/>
        </w:rPr>
        <w:t>) channel-width regions.</w:t>
      </w:r>
    </w:p>
    <w:p w14:paraId="2B900EF5" w14:textId="77777777" w:rsidR="001179A8" w:rsidRPr="0011114B" w:rsidRDefault="001179A8" w:rsidP="0011114B">
      <w:pPr>
        <w:spacing w:line="0" w:lineRule="atLeast"/>
        <w:rPr>
          <w:color w:val="000000" w:themeColor="text1"/>
          <w:lang w:val="en-IN"/>
        </w:rPr>
      </w:pPr>
    </w:p>
    <w:p w14:paraId="3E2E4939" w14:textId="44F1276A" w:rsidR="001179A8" w:rsidRPr="0011114B" w:rsidRDefault="00B90DB7" w:rsidP="0011114B">
      <w:pPr>
        <w:spacing w:line="0" w:lineRule="atLeast"/>
        <w:rPr>
          <w:color w:val="000000" w:themeColor="text1"/>
          <w:lang w:val="en-IN"/>
        </w:rPr>
      </w:pPr>
      <w:r w:rsidRPr="0011114B">
        <w:rPr>
          <w:color w:val="000000" w:themeColor="text1"/>
          <w:lang w:val="en-IN"/>
        </w:rPr>
        <w:t xml:space="preserve">[Place </w:t>
      </w:r>
      <w:r w:rsidRPr="0011114B">
        <w:rPr>
          <w:b/>
          <w:bCs/>
          <w:color w:val="000000" w:themeColor="text1"/>
          <w:lang w:val="en-IN"/>
        </w:rPr>
        <w:t>Figure 2</w:t>
      </w:r>
      <w:r w:rsidRPr="0011114B">
        <w:rPr>
          <w:color w:val="000000" w:themeColor="text1"/>
          <w:lang w:val="en-IN"/>
        </w:rPr>
        <w:t xml:space="preserve"> here.]</w:t>
      </w:r>
    </w:p>
    <w:p w14:paraId="3A5D5DB9" w14:textId="77777777" w:rsidR="001179A8" w:rsidRPr="0011114B" w:rsidRDefault="001179A8" w:rsidP="0011114B">
      <w:pPr>
        <w:spacing w:line="0" w:lineRule="atLeast"/>
        <w:rPr>
          <w:color w:val="000000" w:themeColor="text1"/>
          <w:lang w:val="en-IN"/>
        </w:rPr>
      </w:pPr>
    </w:p>
    <w:p w14:paraId="37934BDD" w14:textId="3C519756" w:rsidR="001179A8" w:rsidRPr="0011114B" w:rsidRDefault="00B90DB7" w:rsidP="0011114B">
      <w:pPr>
        <w:spacing w:line="0" w:lineRule="atLeast"/>
        <w:rPr>
          <w:color w:val="000000" w:themeColor="text1"/>
          <w:lang w:val="en-IN"/>
        </w:rPr>
      </w:pPr>
      <w:r w:rsidRPr="0011114B">
        <w:rPr>
          <w:color w:val="000000" w:themeColor="text1"/>
          <w:lang w:val="en-IN"/>
        </w:rPr>
        <w:t>Quantitative analysis of the migration trajectories further demonstrated these differences in directionality. In the 1.25 mm and 2.5 mm channel-width regions, CD11b-blocked cells showed negative MI values, indicating migration against the direction of shear flow at 800 s</w:t>
      </w:r>
      <w:r w:rsidRPr="0011114B">
        <w:rPr>
          <w:color w:val="000000" w:themeColor="text1"/>
          <w:vertAlign w:val="superscript"/>
          <w:lang w:val="en-IN"/>
        </w:rPr>
        <w:t>−1</w:t>
      </w:r>
      <w:r w:rsidRPr="0011114B">
        <w:rPr>
          <w:color w:val="000000" w:themeColor="text1"/>
          <w:lang w:val="en-IN"/>
        </w:rPr>
        <w:t xml:space="preserve"> (</w:t>
      </w:r>
      <w:r w:rsidRPr="0011114B">
        <w:rPr>
          <w:b/>
          <w:bCs/>
          <w:color w:val="000000" w:themeColor="text1"/>
          <w:lang w:val="en-IN"/>
        </w:rPr>
        <w:t>Figure 3A</w:t>
      </w:r>
      <w:r w:rsidRPr="0011114B">
        <w:rPr>
          <w:color w:val="000000" w:themeColor="text1"/>
          <w:lang w:val="en-IN"/>
        </w:rPr>
        <w:t>). In the 0.05 mm channel-width region, the mean MI remained positive under both isotype control and anti-CD11b conditions, and the difference between these conditions was not significant (</w:t>
      </w:r>
      <w:r w:rsidRPr="0011114B">
        <w:rPr>
          <w:b/>
          <w:bCs/>
          <w:color w:val="000000" w:themeColor="text1"/>
          <w:lang w:val="en-IN"/>
        </w:rPr>
        <w:t>Figure 3A</w:t>
      </w:r>
      <w:r w:rsidRPr="0011114B">
        <w:rPr>
          <w:color w:val="000000" w:themeColor="text1"/>
          <w:lang w:val="en-IN"/>
        </w:rPr>
        <w:t>). Analysis of the percentage of cells migrating upstream showed a significant increase following CD11b blockade in the 1.25 and 2.5 mm channel-width regions, whereas no significant difference was observed between anti-CD11b-treated cells and the isotype control in the 0.05 mm channel-width region (</w:t>
      </w:r>
      <w:r w:rsidRPr="0011114B">
        <w:rPr>
          <w:b/>
          <w:bCs/>
          <w:color w:val="000000" w:themeColor="text1"/>
          <w:lang w:val="en-IN"/>
        </w:rPr>
        <w:t>Figure 3B</w:t>
      </w:r>
      <w:r w:rsidRPr="0011114B">
        <w:rPr>
          <w:color w:val="000000" w:themeColor="text1"/>
          <w:lang w:val="en-IN"/>
        </w:rPr>
        <w:t>). Thus, in the narrow 0.05 mm channel, the induction of upstream migration following CD11b blockade was weakened relative to the wider channel-width regions but was not completely absent.</w:t>
      </w:r>
    </w:p>
    <w:p w14:paraId="1CC58DEC" w14:textId="77777777" w:rsidR="001179A8" w:rsidRPr="0011114B" w:rsidRDefault="001179A8" w:rsidP="0011114B">
      <w:pPr>
        <w:spacing w:line="0" w:lineRule="atLeast"/>
        <w:rPr>
          <w:color w:val="000000" w:themeColor="text1"/>
          <w:lang w:val="en-IN"/>
        </w:rPr>
      </w:pPr>
    </w:p>
    <w:p w14:paraId="5DBD2569" w14:textId="663B0CDF" w:rsidR="001179A8" w:rsidRPr="0011114B" w:rsidRDefault="00B90DB7" w:rsidP="0011114B">
      <w:pPr>
        <w:spacing w:line="0" w:lineRule="atLeast"/>
        <w:rPr>
          <w:color w:val="000000" w:themeColor="text1"/>
          <w:lang w:val="en-IN"/>
        </w:rPr>
      </w:pPr>
      <w:r w:rsidRPr="0011114B">
        <w:rPr>
          <w:color w:val="000000" w:themeColor="text1"/>
          <w:lang w:val="en-IN"/>
        </w:rPr>
        <w:t xml:space="preserve">[Place </w:t>
      </w:r>
      <w:r w:rsidRPr="0011114B">
        <w:rPr>
          <w:b/>
          <w:bCs/>
          <w:color w:val="000000" w:themeColor="text1"/>
          <w:lang w:val="en-IN"/>
        </w:rPr>
        <w:t>Figure 3</w:t>
      </w:r>
      <w:r w:rsidRPr="0011114B">
        <w:rPr>
          <w:color w:val="000000" w:themeColor="text1"/>
          <w:lang w:val="en-IN"/>
        </w:rPr>
        <w:t xml:space="preserve"> here.]</w:t>
      </w:r>
    </w:p>
    <w:p w14:paraId="652F6805" w14:textId="77777777" w:rsidR="001179A8" w:rsidRPr="0011114B" w:rsidRDefault="001179A8" w:rsidP="0011114B">
      <w:pPr>
        <w:spacing w:line="0" w:lineRule="atLeast"/>
        <w:rPr>
          <w:color w:val="000000" w:themeColor="text1"/>
          <w:lang w:val="en-IN"/>
        </w:rPr>
      </w:pPr>
    </w:p>
    <w:p w14:paraId="079B5679" w14:textId="78438A2B" w:rsidR="006E4797" w:rsidRPr="0011114B" w:rsidRDefault="00B90DB7" w:rsidP="0011114B">
      <w:pPr>
        <w:spacing w:line="0" w:lineRule="atLeast"/>
        <w:rPr>
          <w:color w:val="000000" w:themeColor="text1"/>
          <w:lang w:val="en-IN"/>
        </w:rPr>
      </w:pPr>
      <w:r w:rsidRPr="0011114B">
        <w:rPr>
          <w:color w:val="000000" w:themeColor="text1"/>
          <w:lang w:val="en-IN"/>
        </w:rPr>
        <w:t>Additional motility parameters were also evaluated. No significant differences were observed between the isotype control and anti-CD11b conditions in random motility coefficient (</w:t>
      </w:r>
      <w:r w:rsidRPr="0011114B">
        <w:rPr>
          <w:b/>
          <w:bCs/>
          <w:color w:val="000000" w:themeColor="text1"/>
          <w:lang w:val="en-IN"/>
        </w:rPr>
        <w:t xml:space="preserve">Supplementary Figure </w:t>
      </w:r>
      <w:r w:rsidR="003D0429" w:rsidRPr="0011114B">
        <w:rPr>
          <w:b/>
          <w:bCs/>
          <w:color w:val="000000" w:themeColor="text1"/>
          <w:lang w:val="en-IN"/>
        </w:rPr>
        <w:t>1</w:t>
      </w:r>
      <w:r w:rsidRPr="0011114B">
        <w:rPr>
          <w:b/>
          <w:bCs/>
          <w:color w:val="000000" w:themeColor="text1"/>
          <w:lang w:val="en-IN"/>
        </w:rPr>
        <w:t>A</w:t>
      </w:r>
      <w:r w:rsidRPr="0011114B">
        <w:rPr>
          <w:color w:val="000000" w:themeColor="text1"/>
          <w:lang w:val="en-IN"/>
        </w:rPr>
        <w:t>), speed (</w:t>
      </w:r>
      <w:r w:rsidRPr="0011114B">
        <w:rPr>
          <w:b/>
          <w:bCs/>
          <w:color w:val="000000" w:themeColor="text1"/>
          <w:lang w:val="en-IN"/>
        </w:rPr>
        <w:t xml:space="preserve">Supplementary Figure </w:t>
      </w:r>
      <w:r w:rsidR="003D0429" w:rsidRPr="0011114B">
        <w:rPr>
          <w:b/>
          <w:bCs/>
          <w:color w:val="000000" w:themeColor="text1"/>
          <w:lang w:val="en-IN"/>
        </w:rPr>
        <w:t>1</w:t>
      </w:r>
      <w:r w:rsidRPr="0011114B">
        <w:rPr>
          <w:b/>
          <w:bCs/>
          <w:color w:val="000000" w:themeColor="text1"/>
          <w:lang w:val="en-IN"/>
        </w:rPr>
        <w:t>B</w:t>
      </w:r>
      <w:r w:rsidRPr="0011114B">
        <w:rPr>
          <w:color w:val="000000" w:themeColor="text1"/>
          <w:lang w:val="en-IN"/>
        </w:rPr>
        <w:t>), or persistence time (</w:t>
      </w:r>
      <w:r w:rsidRPr="0011114B">
        <w:rPr>
          <w:b/>
          <w:bCs/>
          <w:color w:val="000000" w:themeColor="text1"/>
          <w:lang w:val="en-IN"/>
        </w:rPr>
        <w:t xml:space="preserve">Supplementary Figure </w:t>
      </w:r>
      <w:r w:rsidR="003D0429" w:rsidRPr="0011114B">
        <w:rPr>
          <w:b/>
          <w:bCs/>
          <w:color w:val="000000" w:themeColor="text1"/>
          <w:lang w:val="en-IN"/>
        </w:rPr>
        <w:t>1</w:t>
      </w:r>
      <w:r w:rsidRPr="0011114B">
        <w:rPr>
          <w:b/>
          <w:bCs/>
          <w:color w:val="000000" w:themeColor="text1"/>
          <w:lang w:val="en-IN"/>
        </w:rPr>
        <w:t>C</w:t>
      </w:r>
      <w:r w:rsidRPr="0011114B">
        <w:rPr>
          <w:color w:val="000000" w:themeColor="text1"/>
          <w:lang w:val="en-IN"/>
        </w:rPr>
        <w:t xml:space="preserve">) across the three channel-width regions. Together, these representative outcomes show that successful execution of the protocol enables comparison of </w:t>
      </w:r>
      <w:r w:rsidRPr="0011114B">
        <w:rPr>
          <w:color w:val="000000" w:themeColor="text1"/>
          <w:lang w:val="en-IN"/>
        </w:rPr>
        <w:lastRenderedPageBreak/>
        <w:t>directional migration and motility parameters across multiple channel geometries under controlled shear flow. The 0.05 mm channel-width condition provides an example of a reduced upstream-migration response relative to the 1.25 mm and 2.5 mm regions, demonstrating the range of migration outcomes that can be quantified using this platform. The underlying mechanism responsible for the reduced upstream-migration response in the 0.05 mm region remains to be determined.</w:t>
      </w:r>
    </w:p>
    <w:p w14:paraId="3C0C5534" w14:textId="77777777" w:rsidR="001179A8" w:rsidRPr="0011114B" w:rsidRDefault="001179A8" w:rsidP="0011114B">
      <w:pPr>
        <w:spacing w:line="0" w:lineRule="atLeast"/>
        <w:rPr>
          <w:color w:val="000000" w:themeColor="text1"/>
        </w:rPr>
      </w:pPr>
    </w:p>
    <w:p w14:paraId="033F5D80" w14:textId="77777777" w:rsidR="00BB0A7C" w:rsidRPr="0011114B" w:rsidRDefault="00B90DB7" w:rsidP="0011114B">
      <w:pPr>
        <w:spacing w:line="0" w:lineRule="atLeast"/>
        <w:rPr>
          <w:b/>
          <w:bCs/>
          <w:color w:val="000000" w:themeColor="text1"/>
        </w:rPr>
      </w:pPr>
      <w:r w:rsidRPr="0011114B">
        <w:rPr>
          <w:b/>
          <w:bCs/>
          <w:color w:val="000000" w:themeColor="text1"/>
        </w:rPr>
        <w:t>FIGURE AND TABLE LEGENDS:</w:t>
      </w:r>
    </w:p>
    <w:p w14:paraId="30F2AD60" w14:textId="77777777" w:rsidR="00BB0A7C" w:rsidRPr="0011114B" w:rsidRDefault="00B90DB7" w:rsidP="0011114B">
      <w:pPr>
        <w:spacing w:line="0" w:lineRule="atLeast"/>
        <w:rPr>
          <w:color w:val="000000" w:themeColor="text1"/>
        </w:rPr>
      </w:pPr>
      <w:r w:rsidRPr="0011114B">
        <w:rPr>
          <w:b/>
          <w:bCs/>
          <w:color w:val="000000" w:themeColor="text1"/>
        </w:rPr>
        <w:t>Figure 1. Microfluidic device and channel geometry used for cell migration experiments.</w:t>
      </w:r>
      <w:r w:rsidRPr="0011114B">
        <w:rPr>
          <w:color w:val="000000" w:themeColor="text1"/>
        </w:rPr>
        <w:t xml:space="preserve"> (A) Exploded schematic of the microfluidic device assembly. (B) Schematic of the device showing the three channel-width regions used to model artery-like (1.25 mm), capillary-like (0.05 mm), and vein-like (2.5 mm) geometries. The device is used to examine the upstream migration of differentiated HL-60 cells under shear flow, including control and CD11b-blocked conditions.</w:t>
      </w:r>
    </w:p>
    <w:p w14:paraId="68F2065B" w14:textId="77777777" w:rsidR="00BB0A7C" w:rsidRPr="0011114B" w:rsidRDefault="00BB0A7C" w:rsidP="0011114B">
      <w:pPr>
        <w:spacing w:line="0" w:lineRule="atLeast"/>
        <w:rPr>
          <w:color w:val="000000" w:themeColor="text1"/>
        </w:rPr>
      </w:pPr>
    </w:p>
    <w:p w14:paraId="27EAB0AB" w14:textId="6196EEB7" w:rsidR="00BB0A7C" w:rsidRPr="0011114B" w:rsidRDefault="00B90DB7" w:rsidP="0011114B">
      <w:pPr>
        <w:spacing w:line="0" w:lineRule="atLeast"/>
        <w:rPr>
          <w:color w:val="000000" w:themeColor="text1"/>
        </w:rPr>
      </w:pPr>
      <w:r w:rsidRPr="0011114B">
        <w:rPr>
          <w:b/>
          <w:bCs/>
          <w:color w:val="000000" w:themeColor="text1"/>
        </w:rPr>
        <w:t>Figure 2. Migration trajectories of differentiated HL-60 cells across different channel-width regions under shear flow.</w:t>
      </w:r>
      <w:r w:rsidRPr="0011114B">
        <w:rPr>
          <w:color w:val="000000" w:themeColor="text1"/>
        </w:rPr>
        <w:t xml:space="preserve"> Cell trajectories of (A) isotype control and (B) anti-CD11b-treated differentiated HL-60 cells on surfaces coated with 2.5 </w:t>
      </w:r>
      <w:proofErr w:type="spellStart"/>
      <w:r w:rsidRPr="0011114B">
        <w:rPr>
          <w:color w:val="000000" w:themeColor="text1"/>
        </w:rPr>
        <w:t>μg</w:t>
      </w:r>
      <w:proofErr w:type="spellEnd"/>
      <w:r w:rsidR="00274B19" w:rsidRPr="0011114B">
        <w:rPr>
          <w:color w:val="000000" w:themeColor="text1"/>
        </w:rPr>
        <w:t xml:space="preserve"> </w:t>
      </w:r>
      <w:r w:rsidRPr="0011114B">
        <w:rPr>
          <w:color w:val="000000" w:themeColor="text1"/>
        </w:rPr>
        <w:t>mL</w:t>
      </w:r>
      <w:r w:rsidR="00274B19" w:rsidRPr="0011114B">
        <w:rPr>
          <w:color w:val="000000" w:themeColor="text1"/>
          <w:vertAlign w:val="superscript"/>
        </w:rPr>
        <w:t>−1</w:t>
      </w:r>
      <w:r w:rsidRPr="0011114B">
        <w:rPr>
          <w:color w:val="000000" w:themeColor="text1"/>
        </w:rPr>
        <w:t xml:space="preserve"> ICAM-1 at a shear rate of 800 s</w:t>
      </w:r>
      <w:r w:rsidR="001179A8" w:rsidRPr="0011114B">
        <w:rPr>
          <w:color w:val="000000" w:themeColor="text1"/>
          <w:vertAlign w:val="superscript"/>
        </w:rPr>
        <w:t>−1</w:t>
      </w:r>
      <w:r w:rsidRPr="0011114B">
        <w:rPr>
          <w:color w:val="000000" w:themeColor="text1"/>
        </w:rPr>
        <w:t xml:space="preserve"> are shown for the artery-like (1.25 mm), capillary-like (0.05 mm), and vein-like (2.5 mm) channel-width regions. Blue traces indicate downstream migration (with flow), and red traces indicate upstream migration (against flow). Arrows indicate the direction of flow from left to right. Displacement in the X- and Y-directions is shown in </w:t>
      </w:r>
      <w:proofErr w:type="spellStart"/>
      <w:r w:rsidRPr="0011114B">
        <w:rPr>
          <w:color w:val="000000" w:themeColor="text1"/>
        </w:rPr>
        <w:t>μm</w:t>
      </w:r>
      <w:proofErr w:type="spellEnd"/>
      <w:r w:rsidRPr="0011114B">
        <w:rPr>
          <w:color w:val="000000" w:themeColor="text1"/>
        </w:rPr>
        <w:t xml:space="preserve">. </w:t>
      </w:r>
      <w:r w:rsidRPr="0011114B">
        <w:rPr>
          <w:i/>
          <w:iCs/>
          <w:color w:val="000000" w:themeColor="text1"/>
        </w:rPr>
        <w:t>n</w:t>
      </w:r>
      <w:r w:rsidRPr="0011114B">
        <w:rPr>
          <w:color w:val="000000" w:themeColor="text1"/>
        </w:rPr>
        <w:t xml:space="preserve"> = 5 independent experiments, with at least 50 cells analyzed per experiment for each channel width under each condition.</w:t>
      </w:r>
    </w:p>
    <w:p w14:paraId="71886144" w14:textId="77777777" w:rsidR="00BB0A7C" w:rsidRPr="0011114B" w:rsidRDefault="00BB0A7C" w:rsidP="0011114B">
      <w:pPr>
        <w:spacing w:line="0" w:lineRule="atLeast"/>
        <w:rPr>
          <w:color w:val="000000" w:themeColor="text1"/>
        </w:rPr>
      </w:pPr>
    </w:p>
    <w:p w14:paraId="2F93E0B6" w14:textId="5FB6E4BE" w:rsidR="00BB0A7C" w:rsidRPr="0011114B" w:rsidRDefault="00B90DB7" w:rsidP="0011114B">
      <w:pPr>
        <w:spacing w:line="0" w:lineRule="atLeast"/>
        <w:rPr>
          <w:color w:val="000000" w:themeColor="text1"/>
        </w:rPr>
      </w:pPr>
      <w:r w:rsidRPr="0011114B">
        <w:rPr>
          <w:b/>
          <w:bCs/>
          <w:color w:val="000000" w:themeColor="text1"/>
        </w:rPr>
        <w:t>Figure 3. Effect of CD11b blockade on the directional migration of differentiated HL-60 cells across different channel widths.</w:t>
      </w:r>
      <w:r w:rsidRPr="0011114B">
        <w:rPr>
          <w:color w:val="000000" w:themeColor="text1"/>
        </w:rPr>
        <w:t xml:space="preserve"> (A) Migration index (MI) of isotype control and anti-CD11b-treated differentiated HL-60 cells in the 1.25 mm, 0.05 mm, and 2.5 mm channel-width regions. Negative MI values indicate upstream migration against the direction of flow, whereas positive MI values indicate downstream migration with the direction of flow. (B) Percentage of isotype control and anti-CD11b-treated differentiated HL-60 cells migrating upstream in each channel-width region. Experiments were performed at a shear rate of 800 s</w:t>
      </w:r>
      <w:r w:rsidR="001179A8" w:rsidRPr="0011114B">
        <w:rPr>
          <w:color w:val="000000" w:themeColor="text1"/>
          <w:vertAlign w:val="superscript"/>
        </w:rPr>
        <w:t>−1</w:t>
      </w:r>
      <w:r w:rsidRPr="0011114B">
        <w:rPr>
          <w:color w:val="000000" w:themeColor="text1"/>
        </w:rPr>
        <w:t xml:space="preserve"> on surfaces coated with 2.5 </w:t>
      </w:r>
      <w:proofErr w:type="spellStart"/>
      <w:r w:rsidRPr="0011114B">
        <w:rPr>
          <w:color w:val="000000" w:themeColor="text1"/>
        </w:rPr>
        <w:t>μg</w:t>
      </w:r>
      <w:proofErr w:type="spellEnd"/>
      <w:r w:rsidR="00274B19" w:rsidRPr="0011114B">
        <w:rPr>
          <w:color w:val="000000" w:themeColor="text1"/>
        </w:rPr>
        <w:t xml:space="preserve"> </w:t>
      </w:r>
      <w:r w:rsidRPr="0011114B">
        <w:rPr>
          <w:color w:val="000000" w:themeColor="text1"/>
        </w:rPr>
        <w:t>mL</w:t>
      </w:r>
      <w:r w:rsidR="00274B19" w:rsidRPr="0011114B">
        <w:rPr>
          <w:color w:val="000000" w:themeColor="text1"/>
          <w:vertAlign w:val="superscript"/>
        </w:rPr>
        <w:t>−1</w:t>
      </w:r>
      <w:r w:rsidRPr="0011114B">
        <w:rPr>
          <w:color w:val="000000" w:themeColor="text1"/>
        </w:rPr>
        <w:t xml:space="preserve"> ICAM-1. </w:t>
      </w:r>
      <w:r w:rsidRPr="0011114B">
        <w:rPr>
          <w:i/>
          <w:iCs/>
          <w:color w:val="000000" w:themeColor="text1"/>
        </w:rPr>
        <w:t>n</w:t>
      </w:r>
      <w:r w:rsidRPr="0011114B">
        <w:rPr>
          <w:color w:val="000000" w:themeColor="text1"/>
        </w:rPr>
        <w:t xml:space="preserve"> = 5 independent experiments, with at least 50 cells analyzed per experiment for each channel width under each condition. </w:t>
      </w:r>
      <w:r w:rsidR="008D3D60" w:rsidRPr="0011114B">
        <w:rPr>
          <w:color w:val="000000" w:themeColor="text1"/>
        </w:rPr>
        <w:t>Statistically significant differences were determined using one-way ANOVA. Data are presented as mean ± SD.</w:t>
      </w:r>
    </w:p>
    <w:p w14:paraId="47BD8096" w14:textId="77777777" w:rsidR="00BB0A7C" w:rsidRPr="0011114B" w:rsidRDefault="00BB0A7C" w:rsidP="0011114B">
      <w:pPr>
        <w:spacing w:line="0" w:lineRule="atLeast"/>
        <w:rPr>
          <w:color w:val="000000" w:themeColor="text1"/>
        </w:rPr>
      </w:pPr>
    </w:p>
    <w:p w14:paraId="179C2884" w14:textId="2B2DF320" w:rsidR="00C701F8" w:rsidRPr="0011114B" w:rsidRDefault="00B90DB7" w:rsidP="0011114B">
      <w:pPr>
        <w:spacing w:line="0" w:lineRule="atLeast"/>
        <w:rPr>
          <w:b/>
          <w:bCs/>
          <w:color w:val="000000" w:themeColor="text1"/>
        </w:rPr>
      </w:pPr>
      <w:r w:rsidRPr="0011114B">
        <w:rPr>
          <w:b/>
          <w:bCs/>
          <w:color w:val="000000" w:themeColor="text1"/>
        </w:rPr>
        <w:t>SUPPLEMENTARY FILES:</w:t>
      </w:r>
    </w:p>
    <w:p w14:paraId="1D0CFD42" w14:textId="1FF84A92" w:rsidR="00C701F8" w:rsidRPr="0011114B" w:rsidRDefault="00B90DB7" w:rsidP="0011114B">
      <w:pPr>
        <w:spacing w:line="0" w:lineRule="atLeast"/>
        <w:rPr>
          <w:color w:val="000000" w:themeColor="text1"/>
          <w:lang w:val="en-IN"/>
        </w:rPr>
      </w:pPr>
      <w:r w:rsidRPr="0011114B">
        <w:rPr>
          <w:b/>
          <w:bCs/>
          <w:color w:val="000000" w:themeColor="text1"/>
          <w:lang w:val="en-IN"/>
        </w:rPr>
        <w:t>Supplementary Video 1. Migration of isotype control differentiated HL-60 cells in the 1.25 mm channel-width region.</w:t>
      </w:r>
      <w:r w:rsidRPr="0011114B">
        <w:rPr>
          <w:color w:val="000000" w:themeColor="text1"/>
          <w:lang w:val="en-IN"/>
        </w:rPr>
        <w:t xml:space="preserve"> Representative time-lapse video showing migration of isotype control differentiated HL-60 cells in the artery-like 1.25 mm channel-width region under shear flow. Scale bar, 100 </w:t>
      </w:r>
      <w:proofErr w:type="spellStart"/>
      <w:r w:rsidRPr="0011114B">
        <w:rPr>
          <w:color w:val="000000" w:themeColor="text1"/>
          <w:lang w:val="en-IN"/>
        </w:rPr>
        <w:t>μm</w:t>
      </w:r>
      <w:proofErr w:type="spellEnd"/>
      <w:r w:rsidRPr="0011114B">
        <w:rPr>
          <w:color w:val="000000" w:themeColor="text1"/>
          <w:lang w:val="en-IN"/>
        </w:rPr>
        <w:t>.</w:t>
      </w:r>
    </w:p>
    <w:p w14:paraId="41063D1A" w14:textId="77777777" w:rsidR="00C701F8" w:rsidRPr="0011114B" w:rsidRDefault="00C701F8" w:rsidP="0011114B">
      <w:pPr>
        <w:spacing w:line="0" w:lineRule="atLeast"/>
        <w:rPr>
          <w:color w:val="000000" w:themeColor="text1"/>
          <w:lang w:val="en-IN"/>
        </w:rPr>
      </w:pPr>
    </w:p>
    <w:p w14:paraId="165C8088" w14:textId="6C0D894B" w:rsidR="00C701F8" w:rsidRPr="0011114B" w:rsidRDefault="00B90DB7" w:rsidP="0011114B">
      <w:pPr>
        <w:spacing w:line="0" w:lineRule="atLeast"/>
        <w:rPr>
          <w:color w:val="000000" w:themeColor="text1"/>
          <w:lang w:val="en-IN"/>
        </w:rPr>
      </w:pPr>
      <w:r w:rsidRPr="0011114B">
        <w:rPr>
          <w:b/>
          <w:bCs/>
          <w:color w:val="000000" w:themeColor="text1"/>
          <w:lang w:val="en-IN"/>
        </w:rPr>
        <w:t>Supplementary Video 2. Migration of anti-CD11b-treated differentiated HL-60 cells in the 1.25 mm channel-width region.</w:t>
      </w:r>
      <w:r w:rsidRPr="0011114B">
        <w:rPr>
          <w:color w:val="000000" w:themeColor="text1"/>
          <w:lang w:val="en-IN"/>
        </w:rPr>
        <w:t xml:space="preserve"> Representative time-lapse video showing migration of anti-CD11b-treated differentiated HL-60 cells in the artery-like 1.25 mm channel-width region under shear flow. Scale bar, 100 </w:t>
      </w:r>
      <w:proofErr w:type="spellStart"/>
      <w:r w:rsidRPr="0011114B">
        <w:rPr>
          <w:color w:val="000000" w:themeColor="text1"/>
          <w:lang w:val="en-IN"/>
        </w:rPr>
        <w:t>μm</w:t>
      </w:r>
      <w:proofErr w:type="spellEnd"/>
      <w:r w:rsidRPr="0011114B">
        <w:rPr>
          <w:color w:val="000000" w:themeColor="text1"/>
          <w:lang w:val="en-IN"/>
        </w:rPr>
        <w:t>.</w:t>
      </w:r>
    </w:p>
    <w:p w14:paraId="6D86DFC7" w14:textId="77777777" w:rsidR="00C701F8" w:rsidRPr="0011114B" w:rsidRDefault="00C701F8" w:rsidP="0011114B">
      <w:pPr>
        <w:spacing w:line="0" w:lineRule="atLeast"/>
        <w:rPr>
          <w:color w:val="000000" w:themeColor="text1"/>
          <w:lang w:val="en-IN"/>
        </w:rPr>
      </w:pPr>
    </w:p>
    <w:p w14:paraId="75BB93AE" w14:textId="3EF84C84" w:rsidR="00C701F8" w:rsidRPr="0011114B" w:rsidRDefault="00B90DB7" w:rsidP="0011114B">
      <w:pPr>
        <w:spacing w:line="0" w:lineRule="atLeast"/>
        <w:rPr>
          <w:color w:val="000000" w:themeColor="text1"/>
          <w:lang w:val="en-IN"/>
        </w:rPr>
      </w:pPr>
      <w:r w:rsidRPr="0011114B">
        <w:rPr>
          <w:b/>
          <w:bCs/>
          <w:color w:val="000000" w:themeColor="text1"/>
          <w:lang w:val="en-IN"/>
        </w:rPr>
        <w:t>Supplementary Video 3. Migration of isotype control differentiated HL-60 cells in the 0.05 mm channel-width region.</w:t>
      </w:r>
      <w:r w:rsidRPr="0011114B">
        <w:rPr>
          <w:color w:val="000000" w:themeColor="text1"/>
          <w:lang w:val="en-IN"/>
        </w:rPr>
        <w:t xml:space="preserve"> Representative time-lapse video showing migration of isotype control differentiated HL-60 cells in the capillary-like 0.05 mm channel-width region under shear flow. Scale bar, 100 </w:t>
      </w:r>
      <w:proofErr w:type="spellStart"/>
      <w:r w:rsidRPr="0011114B">
        <w:rPr>
          <w:color w:val="000000" w:themeColor="text1"/>
          <w:lang w:val="en-IN"/>
        </w:rPr>
        <w:t>μm</w:t>
      </w:r>
      <w:proofErr w:type="spellEnd"/>
      <w:r w:rsidRPr="0011114B">
        <w:rPr>
          <w:color w:val="000000" w:themeColor="text1"/>
          <w:lang w:val="en-IN"/>
        </w:rPr>
        <w:t>.</w:t>
      </w:r>
    </w:p>
    <w:p w14:paraId="3201069E" w14:textId="77777777" w:rsidR="00C701F8" w:rsidRPr="0011114B" w:rsidRDefault="00C701F8" w:rsidP="0011114B">
      <w:pPr>
        <w:spacing w:line="0" w:lineRule="atLeast"/>
        <w:rPr>
          <w:color w:val="000000" w:themeColor="text1"/>
          <w:lang w:val="en-IN"/>
        </w:rPr>
      </w:pPr>
    </w:p>
    <w:p w14:paraId="381D75D8" w14:textId="240B84DA" w:rsidR="00C701F8" w:rsidRPr="0011114B" w:rsidRDefault="00B90DB7" w:rsidP="0011114B">
      <w:pPr>
        <w:spacing w:line="0" w:lineRule="atLeast"/>
        <w:rPr>
          <w:color w:val="000000" w:themeColor="text1"/>
          <w:lang w:val="en-IN"/>
        </w:rPr>
      </w:pPr>
      <w:r w:rsidRPr="0011114B">
        <w:rPr>
          <w:b/>
          <w:bCs/>
          <w:color w:val="000000" w:themeColor="text1"/>
          <w:lang w:val="en-IN"/>
        </w:rPr>
        <w:t>Supplementary Video 4. Migration of anti-CD11b-treated differentiated HL-60 cells in the 0.05 mm channel-width region.</w:t>
      </w:r>
      <w:r w:rsidRPr="0011114B">
        <w:rPr>
          <w:color w:val="000000" w:themeColor="text1"/>
          <w:lang w:val="en-IN"/>
        </w:rPr>
        <w:t xml:space="preserve"> Representative time-lapse video showing migration of anti-CD11b-treated differentiated HL-60 cells in the capillary-like 0.05 mm channel-width region under shear flow. Scale bar, 100 </w:t>
      </w:r>
      <w:proofErr w:type="spellStart"/>
      <w:r w:rsidRPr="0011114B">
        <w:rPr>
          <w:color w:val="000000" w:themeColor="text1"/>
          <w:lang w:val="en-IN"/>
        </w:rPr>
        <w:t>μm</w:t>
      </w:r>
      <w:proofErr w:type="spellEnd"/>
      <w:r w:rsidRPr="0011114B">
        <w:rPr>
          <w:color w:val="000000" w:themeColor="text1"/>
          <w:lang w:val="en-IN"/>
        </w:rPr>
        <w:t>.</w:t>
      </w:r>
    </w:p>
    <w:p w14:paraId="02D33A3C" w14:textId="77777777" w:rsidR="00C701F8" w:rsidRPr="0011114B" w:rsidRDefault="00C701F8" w:rsidP="0011114B">
      <w:pPr>
        <w:spacing w:line="0" w:lineRule="atLeast"/>
        <w:rPr>
          <w:color w:val="000000" w:themeColor="text1"/>
          <w:lang w:val="en-IN"/>
        </w:rPr>
      </w:pPr>
    </w:p>
    <w:p w14:paraId="5D3EAE38" w14:textId="1FDB7007" w:rsidR="00C701F8" w:rsidRPr="0011114B" w:rsidRDefault="00B90DB7" w:rsidP="0011114B">
      <w:pPr>
        <w:spacing w:line="0" w:lineRule="atLeast"/>
        <w:rPr>
          <w:color w:val="000000" w:themeColor="text1"/>
          <w:lang w:val="en-IN"/>
        </w:rPr>
      </w:pPr>
      <w:r w:rsidRPr="0011114B">
        <w:rPr>
          <w:b/>
          <w:bCs/>
          <w:color w:val="000000" w:themeColor="text1"/>
          <w:lang w:val="en-IN"/>
        </w:rPr>
        <w:t>Supplementary Video 5. Migration of isotype control differentiated HL-60 cells in the 2.5 mm channel-width region.</w:t>
      </w:r>
      <w:r w:rsidRPr="0011114B">
        <w:rPr>
          <w:color w:val="000000" w:themeColor="text1"/>
          <w:lang w:val="en-IN"/>
        </w:rPr>
        <w:t xml:space="preserve"> Representative time-lapse video showing migration of isotype control differentiated HL-60 cells in the vein-like 2.5 mm channel-width region under shear flow. Scale bar, 100 </w:t>
      </w:r>
      <w:proofErr w:type="spellStart"/>
      <w:r w:rsidRPr="0011114B">
        <w:rPr>
          <w:color w:val="000000" w:themeColor="text1"/>
          <w:lang w:val="en-IN"/>
        </w:rPr>
        <w:t>μm</w:t>
      </w:r>
      <w:proofErr w:type="spellEnd"/>
      <w:r w:rsidRPr="0011114B">
        <w:rPr>
          <w:color w:val="000000" w:themeColor="text1"/>
          <w:lang w:val="en-IN"/>
        </w:rPr>
        <w:t>.</w:t>
      </w:r>
    </w:p>
    <w:p w14:paraId="57063395" w14:textId="77777777" w:rsidR="00C701F8" w:rsidRPr="0011114B" w:rsidRDefault="00C701F8" w:rsidP="0011114B">
      <w:pPr>
        <w:spacing w:line="0" w:lineRule="atLeast"/>
        <w:rPr>
          <w:color w:val="000000" w:themeColor="text1"/>
          <w:lang w:val="en-IN"/>
        </w:rPr>
      </w:pPr>
    </w:p>
    <w:p w14:paraId="51689060" w14:textId="37470033" w:rsidR="00C701F8" w:rsidRPr="0011114B" w:rsidRDefault="00B90DB7" w:rsidP="0011114B">
      <w:pPr>
        <w:spacing w:line="0" w:lineRule="atLeast"/>
        <w:rPr>
          <w:color w:val="000000" w:themeColor="text1"/>
          <w:lang w:val="en-IN"/>
        </w:rPr>
      </w:pPr>
      <w:r w:rsidRPr="0011114B">
        <w:rPr>
          <w:b/>
          <w:bCs/>
          <w:color w:val="000000" w:themeColor="text1"/>
          <w:lang w:val="en-IN"/>
        </w:rPr>
        <w:t>Supplementary Video 6. Migration of anti-CD11b-treated differentiated HL-60 cells in the 2.5 mm channel-width region.</w:t>
      </w:r>
      <w:r w:rsidRPr="0011114B">
        <w:rPr>
          <w:color w:val="000000" w:themeColor="text1"/>
          <w:lang w:val="en-IN"/>
        </w:rPr>
        <w:t xml:space="preserve"> Representative time-lapse video showing migration of anti-CD11b-treated differentiated HL-60 cells in the vein-like 2.5 mm channel-width region under shear flow. Scale bar, 100 </w:t>
      </w:r>
      <w:proofErr w:type="spellStart"/>
      <w:r w:rsidRPr="0011114B">
        <w:rPr>
          <w:color w:val="000000" w:themeColor="text1"/>
          <w:lang w:val="en-IN"/>
        </w:rPr>
        <w:t>μm</w:t>
      </w:r>
      <w:proofErr w:type="spellEnd"/>
      <w:r w:rsidRPr="0011114B">
        <w:rPr>
          <w:color w:val="000000" w:themeColor="text1"/>
          <w:lang w:val="en-IN"/>
        </w:rPr>
        <w:t>.</w:t>
      </w:r>
    </w:p>
    <w:p w14:paraId="79E92ABE" w14:textId="77777777" w:rsidR="005E4734" w:rsidRPr="0011114B" w:rsidRDefault="005E4734" w:rsidP="0011114B">
      <w:pPr>
        <w:spacing w:line="0" w:lineRule="atLeast"/>
        <w:rPr>
          <w:color w:val="000000" w:themeColor="text1"/>
          <w:lang w:val="en-IN"/>
        </w:rPr>
      </w:pPr>
    </w:p>
    <w:p w14:paraId="640DBD11" w14:textId="1313DFD3" w:rsidR="00C67BB4" w:rsidRPr="0011114B" w:rsidRDefault="00B90DB7" w:rsidP="0011114B">
      <w:pPr>
        <w:spacing w:line="0" w:lineRule="atLeast"/>
        <w:rPr>
          <w:color w:val="000000" w:themeColor="text1"/>
          <w:lang w:val="en-IN"/>
        </w:rPr>
      </w:pPr>
      <w:r w:rsidRPr="0011114B">
        <w:rPr>
          <w:b/>
          <w:bCs/>
          <w:color w:val="000000" w:themeColor="text1"/>
        </w:rPr>
        <w:t>Supplementary Figure 1. Motility characteristics of differentiated HL-60 cells across different channel widths.</w:t>
      </w:r>
      <w:r w:rsidRPr="0011114B">
        <w:rPr>
          <w:color w:val="000000" w:themeColor="text1"/>
        </w:rPr>
        <w:t xml:space="preserve"> (A) Motility coefficient (μm²</w:t>
      </w:r>
      <w:r w:rsidR="00274B19" w:rsidRPr="0011114B">
        <w:rPr>
          <w:color w:val="000000" w:themeColor="text1"/>
        </w:rPr>
        <w:t xml:space="preserve"> </w:t>
      </w:r>
      <w:r w:rsidRPr="0011114B">
        <w:rPr>
          <w:color w:val="000000" w:themeColor="text1"/>
        </w:rPr>
        <w:t>min</w:t>
      </w:r>
      <w:r w:rsidR="00274B19" w:rsidRPr="0011114B">
        <w:rPr>
          <w:color w:val="000000" w:themeColor="text1"/>
          <w:vertAlign w:val="superscript"/>
        </w:rPr>
        <w:t>−1</w:t>
      </w:r>
      <w:r w:rsidRPr="0011114B">
        <w:rPr>
          <w:color w:val="000000" w:themeColor="text1"/>
        </w:rPr>
        <w:t>), (B) speed (</w:t>
      </w:r>
      <w:proofErr w:type="spellStart"/>
      <w:r w:rsidRPr="0011114B">
        <w:rPr>
          <w:color w:val="000000" w:themeColor="text1"/>
        </w:rPr>
        <w:t>μm</w:t>
      </w:r>
      <w:proofErr w:type="spellEnd"/>
      <w:r w:rsidR="00274B19" w:rsidRPr="0011114B">
        <w:rPr>
          <w:color w:val="000000" w:themeColor="text1"/>
        </w:rPr>
        <w:t xml:space="preserve"> </w:t>
      </w:r>
      <w:r w:rsidRPr="0011114B">
        <w:rPr>
          <w:color w:val="000000" w:themeColor="text1"/>
        </w:rPr>
        <w:t>min</w:t>
      </w:r>
      <w:r w:rsidR="00274B19" w:rsidRPr="0011114B">
        <w:rPr>
          <w:color w:val="000000" w:themeColor="text1"/>
          <w:vertAlign w:val="superscript"/>
        </w:rPr>
        <w:t>−1</w:t>
      </w:r>
      <w:r w:rsidRPr="0011114B">
        <w:rPr>
          <w:color w:val="000000" w:themeColor="text1"/>
        </w:rPr>
        <w:t>), and (C) persistence time (min) of isotype control and anti-CD11b-treated differentiated HL-60 cells in the 1.25 mm, 0.05 mm, and 2.5 mm channel-width regions. Experiments were performed at a shear rate of 800 s</w:t>
      </w:r>
      <w:r w:rsidR="001179A8" w:rsidRPr="0011114B">
        <w:rPr>
          <w:color w:val="000000" w:themeColor="text1"/>
          <w:vertAlign w:val="superscript"/>
        </w:rPr>
        <w:t>−1</w:t>
      </w:r>
      <w:r w:rsidRPr="0011114B">
        <w:rPr>
          <w:color w:val="000000" w:themeColor="text1"/>
        </w:rPr>
        <w:t xml:space="preserve"> on surfaces coated with 2.5 </w:t>
      </w:r>
      <w:proofErr w:type="spellStart"/>
      <w:r w:rsidRPr="0011114B">
        <w:rPr>
          <w:color w:val="000000" w:themeColor="text1"/>
        </w:rPr>
        <w:t>μg</w:t>
      </w:r>
      <w:proofErr w:type="spellEnd"/>
      <w:r w:rsidR="00274B19" w:rsidRPr="0011114B">
        <w:rPr>
          <w:color w:val="000000" w:themeColor="text1"/>
        </w:rPr>
        <w:t xml:space="preserve"> </w:t>
      </w:r>
      <w:r w:rsidRPr="0011114B">
        <w:rPr>
          <w:color w:val="000000" w:themeColor="text1"/>
        </w:rPr>
        <w:t>mL</w:t>
      </w:r>
      <w:r w:rsidR="00274B19" w:rsidRPr="0011114B">
        <w:rPr>
          <w:color w:val="000000" w:themeColor="text1"/>
          <w:vertAlign w:val="superscript"/>
        </w:rPr>
        <w:t>−1</w:t>
      </w:r>
      <w:r w:rsidRPr="0011114B">
        <w:rPr>
          <w:color w:val="000000" w:themeColor="text1"/>
        </w:rPr>
        <w:t xml:space="preserve"> ICAM-1. </w:t>
      </w:r>
      <w:r w:rsidRPr="0011114B">
        <w:rPr>
          <w:i/>
          <w:iCs/>
          <w:color w:val="000000" w:themeColor="text1"/>
        </w:rPr>
        <w:t>n</w:t>
      </w:r>
      <w:r w:rsidRPr="0011114B">
        <w:rPr>
          <w:color w:val="000000" w:themeColor="text1"/>
        </w:rPr>
        <w:t xml:space="preserve"> = 5 independent experiments, with at least 50 cells analyzed per experiment for each channel width under each condition. </w:t>
      </w:r>
      <w:r w:rsidR="008D3D60" w:rsidRPr="0011114B">
        <w:rPr>
          <w:color w:val="000000" w:themeColor="text1"/>
        </w:rPr>
        <w:t>Error bars represent mean ± SD, and statistical significance was determined using one-way ANOVA.</w:t>
      </w:r>
    </w:p>
    <w:p w14:paraId="432D4DE1" w14:textId="7CDF74F3" w:rsidR="00A32221" w:rsidRPr="0011114B" w:rsidRDefault="00B90DB7" w:rsidP="0011114B">
      <w:pPr>
        <w:spacing w:line="0" w:lineRule="atLeast"/>
        <w:rPr>
          <w:color w:val="000000" w:themeColor="text1"/>
        </w:rPr>
      </w:pPr>
      <w:r w:rsidRPr="0011114B">
        <w:rPr>
          <w:b/>
          <w:bCs/>
          <w:color w:val="000000" w:themeColor="text1"/>
        </w:rPr>
        <w:fldChar w:fldCharType="begin"/>
      </w:r>
      <w:r w:rsidRPr="0011114B">
        <w:rPr>
          <w:b/>
          <w:bCs/>
          <w:color w:val="000000" w:themeColor="text1"/>
        </w:rPr>
        <w:instrText xml:space="preserve"> LINK Excel.Sheet.12 "Book1" "Sheet1!R1C1:R23C4" \a \f 5 \h  \* MERGEFORMAT </w:instrText>
      </w:r>
      <w:r w:rsidRPr="0011114B">
        <w:rPr>
          <w:b/>
          <w:bCs/>
          <w:color w:val="000000" w:themeColor="text1"/>
        </w:rPr>
        <w:fldChar w:fldCharType="separate"/>
      </w:r>
    </w:p>
    <w:p w14:paraId="7C0B6465" w14:textId="0A5175C3" w:rsidR="006E4797" w:rsidRPr="0011114B" w:rsidRDefault="00B90DB7" w:rsidP="0011114B">
      <w:pPr>
        <w:spacing w:line="0" w:lineRule="atLeast"/>
        <w:rPr>
          <w:b/>
          <w:bCs/>
          <w:color w:val="000000" w:themeColor="text1"/>
        </w:rPr>
      </w:pPr>
      <w:r w:rsidRPr="0011114B">
        <w:rPr>
          <w:b/>
          <w:bCs/>
          <w:color w:val="000000" w:themeColor="text1"/>
        </w:rPr>
        <w:fldChar w:fldCharType="end"/>
      </w:r>
      <w:r w:rsidR="00551D82" w:rsidRPr="0011114B">
        <w:rPr>
          <w:b/>
          <w:color w:val="000000" w:themeColor="text1"/>
        </w:rPr>
        <w:t>DISCUSSION:</w:t>
      </w:r>
    </w:p>
    <w:p w14:paraId="57CC267D" w14:textId="5864C0AB" w:rsidR="000E44DF" w:rsidRPr="0011114B" w:rsidRDefault="00B90DB7" w:rsidP="0011114B">
      <w:pPr>
        <w:spacing w:line="0" w:lineRule="atLeast"/>
        <w:rPr>
          <w:color w:val="000000" w:themeColor="text1"/>
          <w:lang w:val="en-IN"/>
        </w:rPr>
      </w:pPr>
      <w:r w:rsidRPr="0011114B">
        <w:rPr>
          <w:color w:val="000000" w:themeColor="text1"/>
          <w:lang w:val="en-IN"/>
        </w:rPr>
        <w:t xml:space="preserve">The overall reproducibility and operational reliability of this microfluidic platform rely on three critical components: precise device microfabrication to maintain the intended fluid dynamics, uniform surface biofunctionalization, and adequate cell viability and functionality. In terms of microfabrication and microfluidics, the precision of the laser cutter is essential for producing uniform channels across the different channel-width regions. Channel uniformity is important for maintaining the intended laminar flow path, because obstructions or irregularities in the gasket may generate unintended flow disturbances or pressure gradients. The thickness of the gasket is also a critical component of the microfluidic system because it contributes to the channel height and must allow the rectangular parallel-plate flow chamber to form an effective seal. Proper sealing of the parallel-plate flow chamber is necessary to generate a uniform flow path localized to the channel fabricated within the gasket. Eliminating air bubbles and preventing unsteady flow profiles are also important because these perturbations can alter the migratory </w:t>
      </w:r>
      <w:proofErr w:type="spellStart"/>
      <w:r w:rsidRPr="0011114B">
        <w:rPr>
          <w:color w:val="000000" w:themeColor="text1"/>
          <w:lang w:val="en-IN"/>
        </w:rPr>
        <w:t>behavior</w:t>
      </w:r>
      <w:proofErr w:type="spellEnd"/>
      <w:r w:rsidRPr="0011114B">
        <w:rPr>
          <w:color w:val="000000" w:themeColor="text1"/>
          <w:lang w:val="en-IN"/>
        </w:rPr>
        <w:t xml:space="preserve"> of cells within the device. Surface biofunctionalization is another critical component of the migration assay described in this protocol. </w:t>
      </w:r>
      <w:r w:rsidR="003C47BB" w:rsidRPr="0011114B">
        <w:rPr>
          <w:color w:val="000000" w:themeColor="text1"/>
          <w:lang w:val="en-IN"/>
        </w:rPr>
        <w:t>Importantly,</w:t>
      </w:r>
      <w:r w:rsidRPr="0011114B">
        <w:rPr>
          <w:color w:val="000000" w:themeColor="text1"/>
          <w:lang w:val="en-IN"/>
        </w:rPr>
        <w:t xml:space="preserve"> ensure that ICAM-1, or another endothelial ligand </w:t>
      </w:r>
      <w:r w:rsidRPr="0011114B">
        <w:rPr>
          <w:color w:val="000000" w:themeColor="text1"/>
          <w:lang w:val="en-IN"/>
        </w:rPr>
        <w:lastRenderedPageBreak/>
        <w:t xml:space="preserve">of choice, is distributed as evenly as possible throughout the marked areas of the microscope slide at the optimized concentration of 2.5 </w:t>
      </w:r>
      <w:proofErr w:type="spellStart"/>
      <w:r w:rsidRPr="0011114B">
        <w:rPr>
          <w:color w:val="000000" w:themeColor="text1"/>
          <w:lang w:val="en-IN"/>
        </w:rPr>
        <w:t>μg</w:t>
      </w:r>
      <w:proofErr w:type="spellEnd"/>
      <w:r w:rsidRPr="0011114B">
        <w:rPr>
          <w:color w:val="000000" w:themeColor="text1"/>
          <w:lang w:val="en-IN"/>
        </w:rPr>
        <w:t xml:space="preserve"> mL</w:t>
      </w:r>
      <w:r w:rsidRPr="0011114B">
        <w:rPr>
          <w:color w:val="000000" w:themeColor="text1"/>
          <w:vertAlign w:val="superscript"/>
          <w:lang w:val="en-IN"/>
        </w:rPr>
        <w:t>−1 7</w:t>
      </w:r>
      <w:r w:rsidRPr="0011114B">
        <w:rPr>
          <w:color w:val="000000" w:themeColor="text1"/>
          <w:lang w:val="en-IN"/>
        </w:rPr>
        <w:t xml:space="preserve">. Previous work demonstrated that the ICAM-1 concentration influences HL-60 cell motility, and concentrations lower or higher than 2.5 </w:t>
      </w:r>
      <w:proofErr w:type="spellStart"/>
      <w:r w:rsidRPr="0011114B">
        <w:rPr>
          <w:color w:val="000000" w:themeColor="text1"/>
          <w:lang w:val="en-IN"/>
        </w:rPr>
        <w:t>μg</w:t>
      </w:r>
      <w:proofErr w:type="spellEnd"/>
      <w:r w:rsidRPr="0011114B">
        <w:rPr>
          <w:color w:val="000000" w:themeColor="text1"/>
          <w:lang w:val="en-IN"/>
        </w:rPr>
        <w:t xml:space="preserve"> mL</w:t>
      </w:r>
      <w:r w:rsidRPr="0011114B">
        <w:rPr>
          <w:color w:val="000000" w:themeColor="text1"/>
          <w:vertAlign w:val="superscript"/>
          <w:lang w:val="en-IN"/>
        </w:rPr>
        <w:t>−1</w:t>
      </w:r>
      <w:r w:rsidRPr="0011114B">
        <w:rPr>
          <w:color w:val="000000" w:themeColor="text1"/>
          <w:lang w:val="en-IN"/>
        </w:rPr>
        <w:t xml:space="preserve"> may reduce motility and make directional migration more difficult to distinguish</w:t>
      </w:r>
      <w:r w:rsidRPr="0011114B">
        <w:rPr>
          <w:color w:val="000000" w:themeColor="text1"/>
          <w:vertAlign w:val="superscript"/>
          <w:lang w:val="en-IN"/>
        </w:rPr>
        <w:t>7</w:t>
      </w:r>
      <w:r w:rsidRPr="0011114B">
        <w:rPr>
          <w:color w:val="000000" w:themeColor="text1"/>
          <w:lang w:val="en-IN"/>
        </w:rPr>
        <w:t xml:space="preserve">. It is likewise important to maintain an even distribution of Protein A/G binding sites on the microscope slide; therefore, the Protein A/G concentration is maintained at 2 </w:t>
      </w:r>
      <w:proofErr w:type="spellStart"/>
      <w:r w:rsidRPr="0011114B">
        <w:rPr>
          <w:color w:val="000000" w:themeColor="text1"/>
          <w:lang w:val="en-IN"/>
        </w:rPr>
        <w:t>μg</w:t>
      </w:r>
      <w:proofErr w:type="spellEnd"/>
      <w:r w:rsidRPr="0011114B">
        <w:rPr>
          <w:color w:val="000000" w:themeColor="text1"/>
          <w:lang w:val="en-IN"/>
        </w:rPr>
        <w:t xml:space="preserve"> mL</w:t>
      </w:r>
      <w:r w:rsidRPr="0011114B">
        <w:rPr>
          <w:color w:val="000000" w:themeColor="text1"/>
          <w:vertAlign w:val="superscript"/>
          <w:lang w:val="en-IN"/>
        </w:rPr>
        <w:t>−1 7,17</w:t>
      </w:r>
      <w:r w:rsidRPr="0011114B">
        <w:rPr>
          <w:color w:val="000000" w:themeColor="text1"/>
          <w:lang w:val="en-IN"/>
        </w:rPr>
        <w:t xml:space="preserve">. </w:t>
      </w:r>
      <w:r w:rsidR="00E11EBB" w:rsidRPr="0011114B">
        <w:rPr>
          <w:color w:val="000000" w:themeColor="text1"/>
        </w:rPr>
        <w:t>Identical coating conditions were used without direct measurement of site density. Previous work has shown that these conditions yield a site density of approximately 122 sites/μm².</w:t>
      </w:r>
      <w:r w:rsidR="00806469" w:rsidRPr="0011114B">
        <w:rPr>
          <w:color w:val="000000" w:themeColor="text1"/>
          <w:vertAlign w:val="superscript"/>
        </w:rPr>
        <w:t xml:space="preserve"> </w:t>
      </w:r>
      <w:r w:rsidRPr="0011114B">
        <w:rPr>
          <w:color w:val="000000" w:themeColor="text1"/>
          <w:lang w:val="en-IN"/>
        </w:rPr>
        <w:t>Thorough surface blocking is also important for minimizing nonspecific cellular adhesion to the underlying microscope slide so that migration primarily reflects interactions with the coated ligand. Finally, adequate cell viability and functionality are prerequisites for obtaining a sufficient number of migrating cells within each channel-width region and generating enough trajectories for downstream analysis. As specified in the Cell Preparation section of the Protocol, differentiated HL-60 cells are prepared within the defined passage, differentiation-time, and viability criteria before use in the migration assay. Maintaining these operational criteria is important because reduced viability or altered cellular condition may decrease attachment and migration and limit the number of imaging fields that yield usable trajectories.</w:t>
      </w:r>
    </w:p>
    <w:p w14:paraId="50CBB991" w14:textId="77777777" w:rsidR="000E44DF" w:rsidRPr="0011114B" w:rsidRDefault="000E44DF" w:rsidP="0011114B">
      <w:pPr>
        <w:spacing w:line="0" w:lineRule="atLeast"/>
        <w:rPr>
          <w:color w:val="000000" w:themeColor="text1"/>
          <w:lang w:val="en-IN"/>
        </w:rPr>
      </w:pPr>
    </w:p>
    <w:p w14:paraId="4DED748F" w14:textId="76541AC1" w:rsidR="000E44DF" w:rsidRPr="0011114B" w:rsidRDefault="00B90DB7" w:rsidP="0011114B">
      <w:pPr>
        <w:spacing w:line="0" w:lineRule="atLeast"/>
        <w:rPr>
          <w:color w:val="000000" w:themeColor="text1"/>
          <w:lang w:val="en-IN"/>
        </w:rPr>
      </w:pPr>
      <w:r w:rsidRPr="0011114B">
        <w:rPr>
          <w:color w:val="000000" w:themeColor="text1"/>
          <w:lang w:val="en-IN"/>
        </w:rPr>
        <w:t xml:space="preserve">The key troubleshooting considerations for this microfluidic platform involve two principal areas of operation: device hydrodynamics and live-cell biological outputs. Fluid leakage may occur when an effective seal is not maintained within the microfluidic device. Indicators of leakage include increased air-bubble formation within the device and flow patterns that deviate from the intended horizontal flow path. If leakage occurs, the screws sealing the parallel-plate flow chamber should be checked to ensure that they are properly secured. The inlet and outlet tubing and their adapters should also be examined for deformation, damage, or incomplete connection, and the </w:t>
      </w:r>
      <w:proofErr w:type="spellStart"/>
      <w:r w:rsidRPr="0011114B">
        <w:rPr>
          <w:color w:val="000000" w:themeColor="text1"/>
          <w:lang w:val="en-IN"/>
        </w:rPr>
        <w:t>luer</w:t>
      </w:r>
      <w:proofErr w:type="spellEnd"/>
      <w:r w:rsidRPr="0011114B">
        <w:rPr>
          <w:color w:val="000000" w:themeColor="text1"/>
          <w:lang w:val="en-IN"/>
        </w:rPr>
        <w:t>-lock connection to the loading syringe should be checked. After correcting a leakage problem, the tubing and microfluidic channel can be purged with serum-free medium to remove trapped air before the migration experiment is resumed. The flow rate used during purging should remain low enough to avoid disturbing cells already attached to the microscope-slide surface. When unexpectedly low numbers of attached or migrating cells are observed, cell viability should be evaluated first. If cell viability meets the criterion specified in the Protocol, insufficient attachment may instead reflect a problem with surface preparation. In this situation, the slide can be removed and replaced with a newly coated slide prepared according to the surface-coating procedure. The concentrations of Protein A/G, ICAM-1, or both may also require optimization when the protocol is adapted to different applications, although such modifications should be evaluated carefully because ligand density can influence cell motility</w:t>
      </w:r>
      <w:r w:rsidR="003C47BB" w:rsidRPr="0011114B">
        <w:rPr>
          <w:color w:val="000000" w:themeColor="text1"/>
          <w:vertAlign w:val="superscript"/>
          <w:lang w:val="en-IN"/>
        </w:rPr>
        <w:t>7,1</w:t>
      </w:r>
      <w:r w:rsidR="00C05158" w:rsidRPr="0011114B">
        <w:rPr>
          <w:color w:val="000000" w:themeColor="text1"/>
          <w:vertAlign w:val="superscript"/>
          <w:lang w:val="en-IN"/>
        </w:rPr>
        <w:t>9</w:t>
      </w:r>
      <w:r w:rsidRPr="0011114B">
        <w:rPr>
          <w:color w:val="000000" w:themeColor="text1"/>
          <w:lang w:val="en-IN"/>
        </w:rPr>
        <w:t>. Once the basic workflow is functioning reproducibly, the platform can be modified for additional studies of immune-cell migration in the endothelial environment. The parameterizable gasket design allows users to introduce customized geometric patterns into the channel architecture to examine different flow geometries. The substrate surface can likewise be modified to incorporate other endothelial ligands that participate in the leukocyte adhesion cascade. For example, VCAM-1 contributes to the directional migration of leukocytes on endothelial surfaces</w:t>
      </w:r>
      <w:r w:rsidR="003C47BB" w:rsidRPr="0011114B">
        <w:rPr>
          <w:color w:val="000000" w:themeColor="text1"/>
          <w:vertAlign w:val="superscript"/>
          <w:lang w:val="en-IN"/>
        </w:rPr>
        <w:t>6,7,9</w:t>
      </w:r>
      <w:r w:rsidRPr="0011114B">
        <w:rPr>
          <w:color w:val="000000" w:themeColor="text1"/>
          <w:lang w:val="en-IN"/>
        </w:rPr>
        <w:t xml:space="preserve">. Accordingly, the platform can be adapted to incorporate heterogeneous ligand presentations, and the coated surfaces can also be modified to include chemokines to model endothelial chemokine </w:t>
      </w:r>
      <w:r w:rsidRPr="0011114B">
        <w:rPr>
          <w:color w:val="000000" w:themeColor="text1"/>
          <w:lang w:val="en-IN"/>
        </w:rPr>
        <w:lastRenderedPageBreak/>
        <w:t>presentation during inflammatory conditions</w:t>
      </w:r>
      <w:r w:rsidR="003C47BB" w:rsidRPr="0011114B">
        <w:rPr>
          <w:color w:val="000000" w:themeColor="text1"/>
          <w:vertAlign w:val="superscript"/>
          <w:lang w:val="en-IN"/>
        </w:rPr>
        <w:t>7,9</w:t>
      </w:r>
      <w:r w:rsidRPr="0011114B">
        <w:rPr>
          <w:color w:val="000000" w:themeColor="text1"/>
          <w:lang w:val="en-IN"/>
        </w:rPr>
        <w:t>.</w:t>
      </w:r>
    </w:p>
    <w:p w14:paraId="226029C7" w14:textId="77777777" w:rsidR="003C47BB" w:rsidRPr="0011114B" w:rsidRDefault="003C47BB" w:rsidP="0011114B">
      <w:pPr>
        <w:spacing w:line="0" w:lineRule="atLeast"/>
        <w:rPr>
          <w:color w:val="000000" w:themeColor="text1"/>
          <w:lang w:val="en-IN"/>
        </w:rPr>
      </w:pPr>
    </w:p>
    <w:p w14:paraId="299D620D" w14:textId="14154386" w:rsidR="000E44DF" w:rsidRPr="0011114B" w:rsidRDefault="00B90DB7" w:rsidP="0011114B">
      <w:pPr>
        <w:spacing w:line="0" w:lineRule="atLeast"/>
        <w:rPr>
          <w:color w:val="000000" w:themeColor="text1"/>
          <w:lang w:val="en-IN"/>
        </w:rPr>
      </w:pPr>
      <w:r w:rsidRPr="0011114B">
        <w:rPr>
          <w:color w:val="000000" w:themeColor="text1"/>
          <w:lang w:val="en-IN"/>
        </w:rPr>
        <w:t>Despite the ability of this microfluidic platform to isolate selected features of immune-cell migration under shear flow, several limitations restrict its current physiological scope and provide opportunities for future optimization. One limitation is the stiffness of the substrate that interfaces with the cells and coated endothelial ligands. Vascular stiffening occurs in inflammatory conditions and has been associated with inflammatory mediators that alter vascular function</w:t>
      </w:r>
      <w:r w:rsidR="00C05158" w:rsidRPr="0011114B">
        <w:rPr>
          <w:color w:val="000000" w:themeColor="text1"/>
          <w:vertAlign w:val="superscript"/>
          <w:lang w:val="en-IN"/>
        </w:rPr>
        <w:t>20</w:t>
      </w:r>
      <w:r w:rsidRPr="0011114B">
        <w:rPr>
          <w:color w:val="000000" w:themeColor="text1"/>
          <w:lang w:val="en-IN"/>
        </w:rPr>
        <w:t xml:space="preserve">. The geometry of the parallel-plate flow chamber is optimized for microscope slides and therefore limits the range of substrate stiffnesses that can be incorporated into the current configuration. This limitation restricts experiments designed to evaluate </w:t>
      </w:r>
      <w:proofErr w:type="spellStart"/>
      <w:r w:rsidRPr="0011114B">
        <w:rPr>
          <w:color w:val="000000" w:themeColor="text1"/>
          <w:lang w:val="en-IN"/>
        </w:rPr>
        <w:t>mechanotransduction</w:t>
      </w:r>
      <w:proofErr w:type="spellEnd"/>
      <w:r w:rsidRPr="0011114B">
        <w:rPr>
          <w:color w:val="000000" w:themeColor="text1"/>
          <w:lang w:val="en-IN"/>
        </w:rPr>
        <w:t xml:space="preserve"> responses to substrate elasticity, which has been shown to affect immune-cell migration</w:t>
      </w:r>
      <w:r w:rsidR="009811DC" w:rsidRPr="0011114B">
        <w:rPr>
          <w:color w:val="000000" w:themeColor="text1"/>
          <w:vertAlign w:val="superscript"/>
          <w:lang w:val="en-IN"/>
        </w:rPr>
        <w:t>2</w:t>
      </w:r>
      <w:r w:rsidR="00C05158" w:rsidRPr="0011114B">
        <w:rPr>
          <w:color w:val="000000" w:themeColor="text1"/>
          <w:vertAlign w:val="superscript"/>
          <w:lang w:val="en-IN"/>
        </w:rPr>
        <w:t>1</w:t>
      </w:r>
      <w:r w:rsidRPr="0011114B">
        <w:rPr>
          <w:color w:val="000000" w:themeColor="text1"/>
          <w:lang w:val="en-IN"/>
        </w:rPr>
        <w:t>. A second limitation is that the method has not been optimized for endothelial monolayers in the different channel-width regions. The current platform therefore examines simplified receptor-ligand interactions and does not fully reproduce the heterogeneity, membrane properties, glycocalyx, or multiple adhesion molecules present on an intact endothelial surface</w:t>
      </w:r>
      <w:r w:rsidR="003C47BB" w:rsidRPr="0011114B">
        <w:rPr>
          <w:color w:val="000000" w:themeColor="text1"/>
          <w:vertAlign w:val="superscript"/>
          <w:lang w:val="en-IN"/>
        </w:rPr>
        <w:t>6</w:t>
      </w:r>
      <w:r w:rsidRPr="0011114B">
        <w:rPr>
          <w:color w:val="000000" w:themeColor="text1"/>
          <w:lang w:val="en-IN"/>
        </w:rPr>
        <w:t xml:space="preserve">. The surface can be modified with additional ligands or chemokines, as described above, but incorporating an endothelial monolayer would require further platform optimization. A third limitation is that the narrowest channel used in the present device is 0.05 mm wide, whereas physiological capillaries are approximately 0.005–0.01 mm wide. Consequently, the 0.05 mm region does not physically confine differentiated HL-60 cells to the same extent as a physiological capillary and should be interpreted as a narrow capillary-like geometry rather than a model of true capillary-scale cellular confinement. In addition, the current platform uses a single fluidic channel containing multiple channel widths. </w:t>
      </w:r>
      <w:r w:rsidR="003C47BB" w:rsidRPr="0011114B">
        <w:rPr>
          <w:color w:val="000000" w:themeColor="text1"/>
          <w:lang w:val="en-IN"/>
        </w:rPr>
        <w:t>Consequently</w:t>
      </w:r>
      <w:r w:rsidRPr="0011114B">
        <w:rPr>
          <w:color w:val="000000" w:themeColor="text1"/>
          <w:lang w:val="en-IN"/>
        </w:rPr>
        <w:t>, the volumetric flow rate must be adjusted for the channel-width region being imaged in order to achieve the target shear rate. The recommended imaging sequence described in the Protocol minimizes the exposure of the larger-width regions to higher flow conditions before their acquisition; however, the cells in different regions are still sequentially exposed to different flow rates before imaging. Future platform designs could incorporate separate channels or capillary-like networks to enable different geometries to be studied while maintaining a single inlet flow condition.</w:t>
      </w:r>
    </w:p>
    <w:p w14:paraId="42D17D7E" w14:textId="77777777" w:rsidR="003C47BB" w:rsidRPr="0011114B" w:rsidRDefault="003C47BB" w:rsidP="0011114B">
      <w:pPr>
        <w:spacing w:line="0" w:lineRule="atLeast"/>
        <w:rPr>
          <w:color w:val="000000" w:themeColor="text1"/>
          <w:lang w:val="en-IN"/>
        </w:rPr>
      </w:pPr>
    </w:p>
    <w:p w14:paraId="15C746DF" w14:textId="607CBAE7" w:rsidR="000E44DF" w:rsidRPr="0011114B" w:rsidRDefault="00B90DB7" w:rsidP="0011114B">
      <w:pPr>
        <w:spacing w:line="0" w:lineRule="atLeast"/>
        <w:rPr>
          <w:color w:val="000000" w:themeColor="text1"/>
          <w:lang w:val="en-IN"/>
        </w:rPr>
      </w:pPr>
      <w:r w:rsidRPr="0011114B">
        <w:rPr>
          <w:color w:val="000000" w:themeColor="text1"/>
          <w:lang w:val="en-IN"/>
        </w:rPr>
        <w:t xml:space="preserve">The significance of this method lies in extending traditional parallel-plate flow-chamber approaches by incorporating structural configurability into a relatively accessible fabrication workflow. Previous studies examining the migratory </w:t>
      </w:r>
      <w:proofErr w:type="spellStart"/>
      <w:r w:rsidRPr="0011114B">
        <w:rPr>
          <w:color w:val="000000" w:themeColor="text1"/>
          <w:lang w:val="en-IN"/>
        </w:rPr>
        <w:t>behavior</w:t>
      </w:r>
      <w:proofErr w:type="spellEnd"/>
      <w:r w:rsidRPr="0011114B">
        <w:rPr>
          <w:color w:val="000000" w:themeColor="text1"/>
          <w:lang w:val="en-IN"/>
        </w:rPr>
        <w:t xml:space="preserve"> of neutrophils, macrophages, and CD4</w:t>
      </w:r>
      <w:r w:rsidRPr="0011114B">
        <w:rPr>
          <w:color w:val="000000" w:themeColor="text1"/>
          <w:vertAlign w:val="superscript"/>
          <w:lang w:val="en-IN"/>
        </w:rPr>
        <w:t>+</w:t>
      </w:r>
      <w:r w:rsidRPr="0011114B">
        <w:rPr>
          <w:color w:val="000000" w:themeColor="text1"/>
          <w:lang w:val="en-IN"/>
        </w:rPr>
        <w:t xml:space="preserve"> T lymphocytes used single-channel rectangular parallel-plate flow chambers that largely represented venous-type environments</w:t>
      </w:r>
      <w:r w:rsidR="003C47BB" w:rsidRPr="0011114B">
        <w:rPr>
          <w:color w:val="000000" w:themeColor="text1"/>
          <w:vertAlign w:val="superscript"/>
          <w:lang w:val="en-IN"/>
        </w:rPr>
        <w:t>7,9,2</w:t>
      </w:r>
      <w:r w:rsidR="00C05158" w:rsidRPr="0011114B">
        <w:rPr>
          <w:color w:val="000000" w:themeColor="text1"/>
          <w:vertAlign w:val="superscript"/>
          <w:lang w:val="en-IN"/>
        </w:rPr>
        <w:t>2</w:t>
      </w:r>
      <w:r w:rsidRPr="0011114B">
        <w:rPr>
          <w:color w:val="000000" w:themeColor="text1"/>
          <w:lang w:val="en-IN"/>
        </w:rPr>
        <w:t>. The current platform adds multiple channel-width regions within a single fluidic circuit, thereby enabling comparative measurements of directional migration across different geometries on the same coated microscope slide. Although the present results focus on differentiated HL-60 cells, it remains to be determined how other immune-cell types behave in the same channel configurations. The current data also show that the change in directional migration associated with CD11b blockade is not accompanied by significant differences in the additional measured motility parameters, including random motility coefficient, speed, and persistence time (</w:t>
      </w:r>
      <w:r w:rsidR="003C47BB" w:rsidRPr="0011114B">
        <w:rPr>
          <w:b/>
          <w:bCs/>
          <w:color w:val="000000" w:themeColor="text1"/>
          <w:lang w:val="en-IN"/>
        </w:rPr>
        <w:t xml:space="preserve">Supplementary </w:t>
      </w:r>
      <w:r w:rsidRPr="0011114B">
        <w:rPr>
          <w:b/>
          <w:bCs/>
          <w:color w:val="000000" w:themeColor="text1"/>
          <w:lang w:val="en-IN"/>
        </w:rPr>
        <w:t xml:space="preserve">Figure </w:t>
      </w:r>
      <w:r w:rsidR="003C47BB" w:rsidRPr="0011114B">
        <w:rPr>
          <w:b/>
          <w:bCs/>
          <w:color w:val="000000" w:themeColor="text1"/>
          <w:lang w:val="en-IN"/>
        </w:rPr>
        <w:t>1</w:t>
      </w:r>
      <w:r w:rsidRPr="0011114B">
        <w:rPr>
          <w:color w:val="000000" w:themeColor="text1"/>
          <w:lang w:val="en-IN"/>
        </w:rPr>
        <w:t xml:space="preserve">). This observation indicates that the directional response measured by MI and the percentage of cells migrating upstream </w:t>
      </w:r>
      <w:r w:rsidRPr="0011114B">
        <w:rPr>
          <w:color w:val="000000" w:themeColor="text1"/>
          <w:lang w:val="en-IN"/>
        </w:rPr>
        <w:lastRenderedPageBreak/>
        <w:t>can change even when these additional motility parameters do not show significant differences under the conditions examined. The platform also provides a benchtop alternative to fabrication strategies based on traditional cleanroom lithography. Previous studies have demonstrated that soft lithography and photolithography can produce precise, narrow geometries for investigating immune-cell migration</w:t>
      </w:r>
      <w:r w:rsidR="003C47BB" w:rsidRPr="0011114B">
        <w:rPr>
          <w:color w:val="000000" w:themeColor="text1"/>
          <w:vertAlign w:val="superscript"/>
          <w:lang w:val="en-IN"/>
        </w:rPr>
        <w:t>2</w:t>
      </w:r>
      <w:r w:rsidR="00C05158" w:rsidRPr="0011114B">
        <w:rPr>
          <w:color w:val="000000" w:themeColor="text1"/>
          <w:vertAlign w:val="superscript"/>
          <w:lang w:val="en-IN"/>
        </w:rPr>
        <w:t>3</w:t>
      </w:r>
      <w:r w:rsidRPr="0011114B">
        <w:rPr>
          <w:color w:val="000000" w:themeColor="text1"/>
          <w:lang w:val="en-IN"/>
        </w:rPr>
        <w:t xml:space="preserve">. Traditional microfluidic fabrication commonly relies on silicon-wafer </w:t>
      </w:r>
      <w:proofErr w:type="spellStart"/>
      <w:r w:rsidRPr="0011114B">
        <w:rPr>
          <w:color w:val="000000" w:themeColor="text1"/>
          <w:lang w:val="en-IN"/>
        </w:rPr>
        <w:t>molds</w:t>
      </w:r>
      <w:proofErr w:type="spellEnd"/>
      <w:r w:rsidRPr="0011114B">
        <w:rPr>
          <w:color w:val="000000" w:themeColor="text1"/>
          <w:lang w:val="en-IN"/>
        </w:rPr>
        <w:t>, cleanroom access, specialized chemical and material processes, and extensive technical training</w:t>
      </w:r>
      <w:r w:rsidR="003C47BB" w:rsidRPr="0011114B">
        <w:rPr>
          <w:color w:val="000000" w:themeColor="text1"/>
          <w:vertAlign w:val="superscript"/>
          <w:lang w:val="en-IN"/>
        </w:rPr>
        <w:t>2</w:t>
      </w:r>
      <w:r w:rsidR="00C05158" w:rsidRPr="0011114B">
        <w:rPr>
          <w:color w:val="000000" w:themeColor="text1"/>
          <w:vertAlign w:val="superscript"/>
          <w:lang w:val="en-IN"/>
        </w:rPr>
        <w:t>4</w:t>
      </w:r>
      <w:r w:rsidRPr="0011114B">
        <w:rPr>
          <w:color w:val="000000" w:themeColor="text1"/>
          <w:lang w:val="en-IN"/>
        </w:rPr>
        <w:t>. In contrast, the direct laser-cutting workflow described here allows the gasket geometry to be generated rapidly from a computer-aided design file using the fabrication parameters specified in the Protocol. This approach does not achieve the micron-scale resolution obtainable with conventional lithographic methods, but it provides a practical method for rapidly modifying larger channel geometries without requiring cleanroom fabrication.</w:t>
      </w:r>
    </w:p>
    <w:p w14:paraId="727247E3" w14:textId="77777777" w:rsidR="003C47BB" w:rsidRPr="0011114B" w:rsidRDefault="003C47BB" w:rsidP="0011114B">
      <w:pPr>
        <w:spacing w:line="0" w:lineRule="atLeast"/>
        <w:rPr>
          <w:color w:val="000000" w:themeColor="text1"/>
          <w:lang w:val="en-IN"/>
        </w:rPr>
      </w:pPr>
    </w:p>
    <w:p w14:paraId="0BEB38EC" w14:textId="2C1B0E8E" w:rsidR="006E4797" w:rsidRPr="0011114B" w:rsidRDefault="00B90DB7" w:rsidP="0011114B">
      <w:pPr>
        <w:spacing w:line="0" w:lineRule="atLeast"/>
        <w:rPr>
          <w:color w:val="000000" w:themeColor="text1"/>
          <w:lang w:val="en-IN"/>
        </w:rPr>
      </w:pPr>
      <w:r w:rsidRPr="0011114B">
        <w:rPr>
          <w:color w:val="000000" w:themeColor="text1"/>
          <w:lang w:val="en-IN"/>
        </w:rPr>
        <w:t>Ultimately, this protocol provides a parameterizable microfluidic platform for investigating selected mechanical features associated with leukocyte migration and trafficking. Under the conditions examined here, CD11b-blocked differentiated HL-60 cells showed predominantly upstream migration in the 1.25 mm artery-like and 2.5 mm vein-like regions, whereas the induction of upstream migration was markedly weakened in the narrow 0.05 mm capillary-like region and was not completely absent. These findings demonstrate that the directional response associated with CD11b blockade differs across the channel-width regions of the device, while the mechanism underlying this difference remains to be determined. The configurability of the gasket and overall device may support applications involving other specialized vascular geometries and flow environments. For example, leukocyte trafficking within hepatic sinusoids involves biophysical conditions that differ from those of post-capillary HEVs. Immune-cell recruitment in hepatic sinusoids occurs within a leaky capillary vasculature characterized by relatively low shear and low-velocity flow</w:t>
      </w:r>
      <w:r w:rsidR="003C47BB" w:rsidRPr="0011114B">
        <w:rPr>
          <w:color w:val="000000" w:themeColor="text1"/>
          <w:vertAlign w:val="superscript"/>
          <w:lang w:val="en-IN"/>
        </w:rPr>
        <w:t>2</w:t>
      </w:r>
      <w:r w:rsidR="00C05158" w:rsidRPr="0011114B">
        <w:rPr>
          <w:color w:val="000000" w:themeColor="text1"/>
          <w:vertAlign w:val="superscript"/>
          <w:lang w:val="en-IN"/>
        </w:rPr>
        <w:t>5</w:t>
      </w:r>
      <w:r w:rsidRPr="0011114B">
        <w:rPr>
          <w:color w:val="000000" w:themeColor="text1"/>
          <w:lang w:val="en-IN"/>
        </w:rPr>
        <w:t xml:space="preserve">. Accordingly, future adaptations of the platform may allow selected geometric and flow features of such environments to be </w:t>
      </w:r>
      <w:proofErr w:type="spellStart"/>
      <w:r w:rsidRPr="0011114B">
        <w:rPr>
          <w:color w:val="000000" w:themeColor="text1"/>
          <w:lang w:val="en-IN"/>
        </w:rPr>
        <w:t>modeled</w:t>
      </w:r>
      <w:proofErr w:type="spellEnd"/>
      <w:r w:rsidRPr="0011114B">
        <w:rPr>
          <w:color w:val="000000" w:themeColor="text1"/>
          <w:lang w:val="en-IN"/>
        </w:rPr>
        <w:t xml:space="preserve"> while retaining the controlled live-cell imaging and trajectory-analysis workflow described here. More broadly, the ability to modify channel geometry, surface ligand composition, and flow conditions provides a framework for extending this protocol to additional questions involving immune-cell trafficking under controlled mechanical conditions. In summary, this protocol provides an accessible and adaptable microfluidic approach for conducting live-cell migration assays across different channel geometries under controlled shear flow while also clearly defining the current limitations associated with substrate properties, endothelial complexity, channel resolution, and sequential flow-rate adjustment.</w:t>
      </w:r>
    </w:p>
    <w:p w14:paraId="61389F32" w14:textId="77777777" w:rsidR="00E87E00" w:rsidRPr="0011114B" w:rsidRDefault="00E87E00" w:rsidP="0011114B">
      <w:pPr>
        <w:pBdr>
          <w:top w:val="nil"/>
          <w:left w:val="nil"/>
          <w:bottom w:val="nil"/>
          <w:right w:val="nil"/>
          <w:between w:val="nil"/>
        </w:pBdr>
        <w:spacing w:line="0" w:lineRule="atLeast"/>
        <w:rPr>
          <w:bCs/>
          <w:color w:val="000000" w:themeColor="text1"/>
        </w:rPr>
      </w:pPr>
    </w:p>
    <w:p w14:paraId="5817FE92" w14:textId="559DEB97" w:rsidR="001C6678" w:rsidRPr="0011114B" w:rsidRDefault="00B90DB7" w:rsidP="0011114B">
      <w:pPr>
        <w:pBdr>
          <w:top w:val="nil"/>
          <w:left w:val="nil"/>
          <w:bottom w:val="nil"/>
          <w:right w:val="nil"/>
          <w:between w:val="nil"/>
        </w:pBdr>
        <w:spacing w:line="0" w:lineRule="atLeast"/>
        <w:rPr>
          <w:b/>
          <w:bCs/>
          <w:color w:val="000000" w:themeColor="text1"/>
          <w:lang w:val="en-IN"/>
        </w:rPr>
      </w:pPr>
      <w:r w:rsidRPr="0011114B">
        <w:rPr>
          <w:b/>
          <w:bCs/>
          <w:color w:val="000000" w:themeColor="text1"/>
          <w:lang w:val="en-IN"/>
        </w:rPr>
        <w:t>ACKNOWLEDGMENTS:</w:t>
      </w:r>
    </w:p>
    <w:p w14:paraId="2B8DFACF" w14:textId="3B1A2F3A" w:rsidR="001C6678" w:rsidRPr="0011114B" w:rsidRDefault="00B90DB7" w:rsidP="0011114B">
      <w:pPr>
        <w:pBdr>
          <w:top w:val="nil"/>
          <w:left w:val="nil"/>
          <w:bottom w:val="nil"/>
          <w:right w:val="nil"/>
          <w:between w:val="nil"/>
        </w:pBdr>
        <w:spacing w:line="0" w:lineRule="atLeast"/>
        <w:rPr>
          <w:bCs/>
          <w:color w:val="000000" w:themeColor="text1"/>
          <w:lang w:val="en-IN"/>
        </w:rPr>
      </w:pPr>
      <w:r w:rsidRPr="0011114B">
        <w:rPr>
          <w:bCs/>
          <w:color w:val="000000" w:themeColor="text1"/>
          <w:lang w:val="en-IN"/>
        </w:rPr>
        <w:t>This work was funded by 26AIREA1570355 and R</w:t>
      </w:r>
      <w:r w:rsidR="00806469" w:rsidRPr="0011114B">
        <w:rPr>
          <w:bCs/>
          <w:color w:val="000000" w:themeColor="text1"/>
          <w:lang w:val="en-IN"/>
        </w:rPr>
        <w:t>0</w:t>
      </w:r>
      <w:r w:rsidRPr="0011114B">
        <w:rPr>
          <w:bCs/>
          <w:color w:val="000000" w:themeColor="text1"/>
          <w:lang w:val="en-IN"/>
        </w:rPr>
        <w:t>1 GM143357 to ABJ. We thank Prof. Daniel A. Hammer and Dr. Adam D. Suppes for constructive discussions regarding the effect of confinement on upstream migration.</w:t>
      </w:r>
    </w:p>
    <w:p w14:paraId="6B004C40" w14:textId="77777777" w:rsidR="001C6678" w:rsidRPr="0011114B" w:rsidRDefault="001C6678" w:rsidP="0011114B">
      <w:pPr>
        <w:pBdr>
          <w:top w:val="nil"/>
          <w:left w:val="nil"/>
          <w:bottom w:val="nil"/>
          <w:right w:val="nil"/>
          <w:between w:val="nil"/>
        </w:pBdr>
        <w:spacing w:line="0" w:lineRule="atLeast"/>
        <w:rPr>
          <w:bCs/>
          <w:color w:val="000000" w:themeColor="text1"/>
          <w:lang w:val="en-IN"/>
        </w:rPr>
      </w:pPr>
    </w:p>
    <w:p w14:paraId="00DBB3E4" w14:textId="329F1028" w:rsidR="001C6678" w:rsidRPr="0011114B" w:rsidRDefault="00B90DB7" w:rsidP="0011114B">
      <w:pPr>
        <w:pBdr>
          <w:top w:val="nil"/>
          <w:left w:val="nil"/>
          <w:bottom w:val="nil"/>
          <w:right w:val="nil"/>
          <w:between w:val="nil"/>
        </w:pBdr>
        <w:spacing w:line="0" w:lineRule="atLeast"/>
        <w:rPr>
          <w:b/>
          <w:bCs/>
          <w:color w:val="000000" w:themeColor="text1"/>
          <w:lang w:val="en-IN"/>
        </w:rPr>
      </w:pPr>
      <w:r w:rsidRPr="0011114B">
        <w:rPr>
          <w:b/>
          <w:bCs/>
          <w:color w:val="000000" w:themeColor="text1"/>
          <w:lang w:val="en-IN"/>
        </w:rPr>
        <w:t>DISCLOSURES:</w:t>
      </w:r>
    </w:p>
    <w:p w14:paraId="626D7603" w14:textId="1C2833DF" w:rsidR="001C6678" w:rsidRPr="0011114B" w:rsidRDefault="00B90DB7" w:rsidP="0011114B">
      <w:pPr>
        <w:pBdr>
          <w:top w:val="nil"/>
          <w:left w:val="nil"/>
          <w:bottom w:val="nil"/>
          <w:right w:val="nil"/>
          <w:between w:val="nil"/>
        </w:pBdr>
        <w:spacing w:line="0" w:lineRule="atLeast"/>
        <w:rPr>
          <w:bCs/>
          <w:color w:val="000000" w:themeColor="text1"/>
          <w:lang w:val="en-IN"/>
        </w:rPr>
      </w:pPr>
      <w:r w:rsidRPr="0011114B">
        <w:rPr>
          <w:bCs/>
          <w:color w:val="000000" w:themeColor="text1"/>
          <w:lang w:val="en-IN"/>
        </w:rPr>
        <w:t>The authors declare no competing interests.</w:t>
      </w:r>
    </w:p>
    <w:p w14:paraId="0A495C73" w14:textId="77777777" w:rsidR="001C6678" w:rsidRPr="0011114B" w:rsidRDefault="001C6678" w:rsidP="0011114B">
      <w:pPr>
        <w:pBdr>
          <w:top w:val="nil"/>
          <w:left w:val="nil"/>
          <w:bottom w:val="nil"/>
          <w:right w:val="nil"/>
          <w:between w:val="nil"/>
        </w:pBdr>
        <w:spacing w:line="0" w:lineRule="atLeast"/>
        <w:rPr>
          <w:bCs/>
          <w:color w:val="000000" w:themeColor="text1"/>
        </w:rPr>
      </w:pPr>
    </w:p>
    <w:p w14:paraId="10CFAB61" w14:textId="4663AD31" w:rsidR="00106CFA" w:rsidRPr="0011114B" w:rsidRDefault="00B90DB7" w:rsidP="0011114B">
      <w:pPr>
        <w:pBdr>
          <w:top w:val="nil"/>
          <w:left w:val="nil"/>
          <w:bottom w:val="nil"/>
          <w:right w:val="nil"/>
          <w:between w:val="nil"/>
        </w:pBdr>
        <w:spacing w:line="0" w:lineRule="atLeast"/>
        <w:rPr>
          <w:b/>
          <w:color w:val="000000" w:themeColor="text1"/>
        </w:rPr>
      </w:pPr>
      <w:r w:rsidRPr="0011114B">
        <w:rPr>
          <w:b/>
          <w:color w:val="000000" w:themeColor="text1"/>
        </w:rPr>
        <w:t>REFERENCES:</w:t>
      </w:r>
    </w:p>
    <w:p w14:paraId="0817B86F" w14:textId="73FF9345"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lastRenderedPageBreak/>
        <w:t xml:space="preserve">Buffone A, et al. Not all (cells) who wander are lost: upstream migration as a pervasive mode of amoeboid cell motility. </w:t>
      </w:r>
      <w:r w:rsidRPr="0011114B">
        <w:rPr>
          <w:rFonts w:ascii="Calibri" w:hAnsi="Calibri" w:cs="Calibri"/>
          <w:bCs/>
          <w:i/>
          <w:iCs/>
          <w:color w:val="000000" w:themeColor="text1"/>
          <w:sz w:val="24"/>
          <w:szCs w:val="24"/>
          <w:lang w:val="en-IN"/>
        </w:rPr>
        <w:t>Front Cell Dev Biol.</w:t>
      </w:r>
      <w:r w:rsidRPr="0011114B">
        <w:rPr>
          <w:rFonts w:ascii="Calibri" w:hAnsi="Calibri" w:cs="Calibri"/>
          <w:bCs/>
          <w:color w:val="000000" w:themeColor="text1"/>
          <w:sz w:val="24"/>
          <w:szCs w:val="24"/>
          <w:lang w:val="en-IN"/>
        </w:rPr>
        <w:t xml:space="preserve"> 2023;11:1291201. </w:t>
      </w:r>
    </w:p>
    <w:p w14:paraId="110B2FAD" w14:textId="5AD02142"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Carney TJ, et al. Advancing chronic disease practice through the CDC Data Modernization Initiative. </w:t>
      </w:r>
      <w:r w:rsidRPr="0011114B">
        <w:rPr>
          <w:rFonts w:ascii="Calibri" w:hAnsi="Calibri" w:cs="Calibri"/>
          <w:bCs/>
          <w:i/>
          <w:iCs/>
          <w:color w:val="000000" w:themeColor="text1"/>
          <w:sz w:val="24"/>
          <w:szCs w:val="24"/>
          <w:lang w:val="en-IN"/>
        </w:rPr>
        <w:t>Prev Chronic Dis.</w:t>
      </w:r>
      <w:r w:rsidRPr="0011114B">
        <w:rPr>
          <w:rFonts w:ascii="Calibri" w:hAnsi="Calibri" w:cs="Calibri"/>
          <w:bCs/>
          <w:color w:val="000000" w:themeColor="text1"/>
          <w:sz w:val="24"/>
          <w:szCs w:val="24"/>
          <w:lang w:val="en-IN"/>
        </w:rPr>
        <w:t xml:space="preserve"> 2023;20:E110. </w:t>
      </w:r>
    </w:p>
    <w:p w14:paraId="7530BFE9" w14:textId="15DB96B0"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Buffone A, et al. Silencing α1,3-fucosyltransferases in human leukocytes reveals a role for FUT9 enzyme during E-selectin-mediated cell adhesion. </w:t>
      </w:r>
      <w:r w:rsidRPr="0011114B">
        <w:rPr>
          <w:rFonts w:ascii="Calibri" w:hAnsi="Calibri" w:cs="Calibri"/>
          <w:bCs/>
          <w:i/>
          <w:iCs/>
          <w:color w:val="000000" w:themeColor="text1"/>
          <w:sz w:val="24"/>
          <w:szCs w:val="24"/>
          <w:lang w:val="en-IN"/>
        </w:rPr>
        <w:t xml:space="preserve">J </w:t>
      </w:r>
      <w:proofErr w:type="spellStart"/>
      <w:r w:rsidRPr="0011114B">
        <w:rPr>
          <w:rFonts w:ascii="Calibri" w:hAnsi="Calibri" w:cs="Calibri"/>
          <w:bCs/>
          <w:i/>
          <w:iCs/>
          <w:color w:val="000000" w:themeColor="text1"/>
          <w:sz w:val="24"/>
          <w:szCs w:val="24"/>
          <w:lang w:val="en-IN"/>
        </w:rPr>
        <w:t>Biol</w:t>
      </w:r>
      <w:proofErr w:type="spellEnd"/>
      <w:r w:rsidRPr="0011114B">
        <w:rPr>
          <w:rFonts w:ascii="Calibri" w:hAnsi="Calibri" w:cs="Calibri"/>
          <w:bCs/>
          <w:i/>
          <w:iCs/>
          <w:color w:val="000000" w:themeColor="text1"/>
          <w:sz w:val="24"/>
          <w:szCs w:val="24"/>
          <w:lang w:val="en-IN"/>
        </w:rPr>
        <w:t xml:space="preserve"> Chem.</w:t>
      </w:r>
      <w:r w:rsidRPr="0011114B">
        <w:rPr>
          <w:rFonts w:ascii="Calibri" w:hAnsi="Calibri" w:cs="Calibri"/>
          <w:bCs/>
          <w:color w:val="000000" w:themeColor="text1"/>
          <w:sz w:val="24"/>
          <w:szCs w:val="24"/>
          <w:lang w:val="en-IN"/>
        </w:rPr>
        <w:t xml:space="preserve"> 2013;288(3):1620-1633. </w:t>
      </w:r>
    </w:p>
    <w:p w14:paraId="6A3F3318" w14:textId="68A7679E"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Mondal N, et al. ST3Gal-4 is the primary </w:t>
      </w:r>
      <w:proofErr w:type="spellStart"/>
      <w:r w:rsidRPr="0011114B">
        <w:rPr>
          <w:rFonts w:ascii="Calibri" w:hAnsi="Calibri" w:cs="Calibri"/>
          <w:bCs/>
          <w:color w:val="000000" w:themeColor="text1"/>
          <w:sz w:val="24"/>
          <w:szCs w:val="24"/>
          <w:lang w:val="en-IN"/>
        </w:rPr>
        <w:t>sialyltransferase</w:t>
      </w:r>
      <w:proofErr w:type="spellEnd"/>
      <w:r w:rsidRPr="0011114B">
        <w:rPr>
          <w:rFonts w:ascii="Calibri" w:hAnsi="Calibri" w:cs="Calibri"/>
          <w:bCs/>
          <w:color w:val="000000" w:themeColor="text1"/>
          <w:sz w:val="24"/>
          <w:szCs w:val="24"/>
          <w:lang w:val="en-IN"/>
        </w:rPr>
        <w:t xml:space="preserve"> regulating the synthesis of E-, P-, and L-selectin ligands on human myeloid leukocytes. </w:t>
      </w:r>
      <w:r w:rsidRPr="0011114B">
        <w:rPr>
          <w:rFonts w:ascii="Calibri" w:hAnsi="Calibri" w:cs="Calibri"/>
          <w:bCs/>
          <w:i/>
          <w:iCs/>
          <w:color w:val="000000" w:themeColor="text1"/>
          <w:sz w:val="24"/>
          <w:szCs w:val="24"/>
          <w:lang w:val="en-IN"/>
        </w:rPr>
        <w:t>Blood.</w:t>
      </w:r>
      <w:r w:rsidRPr="0011114B">
        <w:rPr>
          <w:rFonts w:ascii="Calibri" w:hAnsi="Calibri" w:cs="Calibri"/>
          <w:bCs/>
          <w:color w:val="000000" w:themeColor="text1"/>
          <w:sz w:val="24"/>
          <w:szCs w:val="24"/>
          <w:lang w:val="en-IN"/>
        </w:rPr>
        <w:t xml:space="preserve"> 2015;125(4):687-696. </w:t>
      </w:r>
    </w:p>
    <w:p w14:paraId="15981DD3" w14:textId="5FBE6EDB"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Buffone A Jr, et al. Leukocyte-borne α(1,3)-fucose is a negative regulator of β2-integrin-dependent recruitment in lung inflammation. </w:t>
      </w:r>
      <w:r w:rsidRPr="0011114B">
        <w:rPr>
          <w:rFonts w:ascii="Calibri" w:hAnsi="Calibri" w:cs="Calibri"/>
          <w:bCs/>
          <w:i/>
          <w:iCs/>
          <w:color w:val="000000" w:themeColor="text1"/>
          <w:sz w:val="24"/>
          <w:szCs w:val="24"/>
          <w:lang w:val="en-IN"/>
        </w:rPr>
        <w:t xml:space="preserve">J </w:t>
      </w:r>
      <w:proofErr w:type="spellStart"/>
      <w:r w:rsidRPr="0011114B">
        <w:rPr>
          <w:rFonts w:ascii="Calibri" w:hAnsi="Calibri" w:cs="Calibri"/>
          <w:bCs/>
          <w:i/>
          <w:iCs/>
          <w:color w:val="000000" w:themeColor="text1"/>
          <w:sz w:val="24"/>
          <w:szCs w:val="24"/>
          <w:lang w:val="en-IN"/>
        </w:rPr>
        <w:t>Leukoc</w:t>
      </w:r>
      <w:proofErr w:type="spellEnd"/>
      <w:r w:rsidRPr="0011114B">
        <w:rPr>
          <w:rFonts w:ascii="Calibri" w:hAnsi="Calibri" w:cs="Calibri"/>
          <w:bCs/>
          <w:i/>
          <w:iCs/>
          <w:color w:val="000000" w:themeColor="text1"/>
          <w:sz w:val="24"/>
          <w:szCs w:val="24"/>
          <w:lang w:val="en-IN"/>
        </w:rPr>
        <w:t xml:space="preserve"> Biol.</w:t>
      </w:r>
      <w:r w:rsidRPr="0011114B">
        <w:rPr>
          <w:rFonts w:ascii="Calibri" w:hAnsi="Calibri" w:cs="Calibri"/>
          <w:bCs/>
          <w:color w:val="000000" w:themeColor="text1"/>
          <w:sz w:val="24"/>
          <w:szCs w:val="24"/>
          <w:lang w:val="en-IN"/>
        </w:rPr>
        <w:t xml:space="preserve"> 2017;101(2):459-470. </w:t>
      </w:r>
    </w:p>
    <w:p w14:paraId="07BCF608" w14:textId="5B703C35"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Buffone A, Anderson NR, Hammer DA. Migration against the direction of flow is LFA-1-dependent in human hematopoietic stem and progenitor cells. </w:t>
      </w:r>
      <w:r w:rsidRPr="0011114B">
        <w:rPr>
          <w:rFonts w:ascii="Calibri" w:hAnsi="Calibri" w:cs="Calibri"/>
          <w:bCs/>
          <w:i/>
          <w:iCs/>
          <w:color w:val="000000" w:themeColor="text1"/>
          <w:sz w:val="24"/>
          <w:szCs w:val="24"/>
          <w:lang w:val="en-IN"/>
        </w:rPr>
        <w:t>J Cell Sci.</w:t>
      </w:r>
      <w:r w:rsidRPr="0011114B">
        <w:rPr>
          <w:rFonts w:ascii="Calibri" w:hAnsi="Calibri" w:cs="Calibri"/>
          <w:bCs/>
          <w:color w:val="000000" w:themeColor="text1"/>
          <w:sz w:val="24"/>
          <w:szCs w:val="24"/>
          <w:lang w:val="en-IN"/>
        </w:rPr>
        <w:t xml:space="preserve"> 2018;131(1):jcs205575. </w:t>
      </w:r>
    </w:p>
    <w:p w14:paraId="7737443B" w14:textId="50D31C89"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Buffone A, Anderson NR, Hammer DA. Human neutrophils will crawl upstream on ICAM-1 if Mac-1 is blocked. </w:t>
      </w:r>
      <w:proofErr w:type="spellStart"/>
      <w:r w:rsidRPr="0011114B">
        <w:rPr>
          <w:rFonts w:ascii="Calibri" w:hAnsi="Calibri" w:cs="Calibri"/>
          <w:bCs/>
          <w:i/>
          <w:iCs/>
          <w:color w:val="000000" w:themeColor="text1"/>
          <w:sz w:val="24"/>
          <w:szCs w:val="24"/>
          <w:lang w:val="en-IN"/>
        </w:rPr>
        <w:t>Biophys</w:t>
      </w:r>
      <w:proofErr w:type="spellEnd"/>
      <w:r w:rsidRPr="0011114B">
        <w:rPr>
          <w:rFonts w:ascii="Calibri" w:hAnsi="Calibri" w:cs="Calibri"/>
          <w:bCs/>
          <w:i/>
          <w:iCs/>
          <w:color w:val="000000" w:themeColor="text1"/>
          <w:sz w:val="24"/>
          <w:szCs w:val="24"/>
          <w:lang w:val="en-IN"/>
        </w:rPr>
        <w:t xml:space="preserve"> J.</w:t>
      </w:r>
      <w:r w:rsidRPr="0011114B">
        <w:rPr>
          <w:rFonts w:ascii="Calibri" w:hAnsi="Calibri" w:cs="Calibri"/>
          <w:bCs/>
          <w:color w:val="000000" w:themeColor="text1"/>
          <w:sz w:val="24"/>
          <w:szCs w:val="24"/>
          <w:lang w:val="en-IN"/>
        </w:rPr>
        <w:t xml:space="preserve"> 2019;117(8):1393-1404. </w:t>
      </w:r>
    </w:p>
    <w:p w14:paraId="1E417589" w14:textId="179F3674"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Roy NH, et al. LFA-1 signals to promote actin polymerization and upstream migration in T cells. </w:t>
      </w:r>
      <w:r w:rsidRPr="0011114B">
        <w:rPr>
          <w:rFonts w:ascii="Calibri" w:hAnsi="Calibri" w:cs="Calibri"/>
          <w:bCs/>
          <w:i/>
          <w:iCs/>
          <w:color w:val="000000" w:themeColor="text1"/>
          <w:sz w:val="24"/>
          <w:szCs w:val="24"/>
          <w:lang w:val="en-IN"/>
        </w:rPr>
        <w:t>J Cell Sci.</w:t>
      </w:r>
      <w:r w:rsidRPr="0011114B">
        <w:rPr>
          <w:rFonts w:ascii="Calibri" w:hAnsi="Calibri" w:cs="Calibri"/>
          <w:bCs/>
          <w:color w:val="000000" w:themeColor="text1"/>
          <w:sz w:val="24"/>
          <w:szCs w:val="24"/>
          <w:lang w:val="en-IN"/>
        </w:rPr>
        <w:t xml:space="preserve"> 2020;133(17):jcs248328. </w:t>
      </w:r>
    </w:p>
    <w:p w14:paraId="5046C40A" w14:textId="161E8F4F"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Anderson NR, Buffone A, Hammer DA. T lymphocytes migrate upstream after completing the leukocyte adhesion cascade. </w:t>
      </w:r>
      <w:r w:rsidRPr="0011114B">
        <w:rPr>
          <w:rFonts w:ascii="Calibri" w:hAnsi="Calibri" w:cs="Calibri"/>
          <w:bCs/>
          <w:i/>
          <w:iCs/>
          <w:color w:val="000000" w:themeColor="text1"/>
          <w:sz w:val="24"/>
          <w:szCs w:val="24"/>
          <w:lang w:val="en-IN"/>
        </w:rPr>
        <w:t xml:space="preserve">Cell </w:t>
      </w:r>
      <w:proofErr w:type="spellStart"/>
      <w:r w:rsidRPr="0011114B">
        <w:rPr>
          <w:rFonts w:ascii="Calibri" w:hAnsi="Calibri" w:cs="Calibri"/>
          <w:bCs/>
          <w:i/>
          <w:iCs/>
          <w:color w:val="000000" w:themeColor="text1"/>
          <w:sz w:val="24"/>
          <w:szCs w:val="24"/>
          <w:lang w:val="en-IN"/>
        </w:rPr>
        <w:t>Adh</w:t>
      </w:r>
      <w:proofErr w:type="spellEnd"/>
      <w:r w:rsidRPr="0011114B">
        <w:rPr>
          <w:rFonts w:ascii="Calibri" w:hAnsi="Calibri" w:cs="Calibri"/>
          <w:bCs/>
          <w:i/>
          <w:iCs/>
          <w:color w:val="000000" w:themeColor="text1"/>
          <w:sz w:val="24"/>
          <w:szCs w:val="24"/>
          <w:lang w:val="en-IN"/>
        </w:rPr>
        <w:t xml:space="preserve"> </w:t>
      </w:r>
      <w:proofErr w:type="spellStart"/>
      <w:r w:rsidRPr="0011114B">
        <w:rPr>
          <w:rFonts w:ascii="Calibri" w:hAnsi="Calibri" w:cs="Calibri"/>
          <w:bCs/>
          <w:i/>
          <w:iCs/>
          <w:color w:val="000000" w:themeColor="text1"/>
          <w:sz w:val="24"/>
          <w:szCs w:val="24"/>
          <w:lang w:val="en-IN"/>
        </w:rPr>
        <w:t>Migr</w:t>
      </w:r>
      <w:proofErr w:type="spellEnd"/>
      <w:r w:rsidRPr="0011114B">
        <w:rPr>
          <w:rFonts w:ascii="Calibri" w:hAnsi="Calibri" w:cs="Calibri"/>
          <w:bCs/>
          <w:i/>
          <w:iCs/>
          <w:color w:val="000000" w:themeColor="text1"/>
          <w:sz w:val="24"/>
          <w:szCs w:val="24"/>
          <w:lang w:val="en-IN"/>
        </w:rPr>
        <w:t>.</w:t>
      </w:r>
      <w:r w:rsidRPr="0011114B">
        <w:rPr>
          <w:rFonts w:ascii="Calibri" w:hAnsi="Calibri" w:cs="Calibri"/>
          <w:bCs/>
          <w:color w:val="000000" w:themeColor="text1"/>
          <w:sz w:val="24"/>
          <w:szCs w:val="24"/>
          <w:lang w:val="en-IN"/>
        </w:rPr>
        <w:t xml:space="preserve"> 2019;13(1):163-168. </w:t>
      </w:r>
    </w:p>
    <w:p w14:paraId="45DB811C" w14:textId="7CBD6B84"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Hermida MDR, Malta R, De SSM, Dos-Santos WLC. Selecting the right gate to identify relevant cells for your assay: a study of thioglycollate-elicited peritoneal exudate cells in mice. </w:t>
      </w:r>
      <w:r w:rsidRPr="0011114B">
        <w:rPr>
          <w:rFonts w:ascii="Calibri" w:hAnsi="Calibri" w:cs="Calibri"/>
          <w:bCs/>
          <w:i/>
          <w:iCs/>
          <w:color w:val="000000" w:themeColor="text1"/>
          <w:sz w:val="24"/>
          <w:szCs w:val="24"/>
          <w:lang w:val="en-IN"/>
        </w:rPr>
        <w:t>BMC Res Notes.</w:t>
      </w:r>
      <w:r w:rsidRPr="0011114B">
        <w:rPr>
          <w:rFonts w:ascii="Calibri" w:hAnsi="Calibri" w:cs="Calibri"/>
          <w:bCs/>
          <w:color w:val="000000" w:themeColor="text1"/>
          <w:sz w:val="24"/>
          <w:szCs w:val="24"/>
          <w:lang w:val="en-IN"/>
        </w:rPr>
        <w:t xml:space="preserve"> 2017;10(1):695. </w:t>
      </w:r>
    </w:p>
    <w:p w14:paraId="10F4E1F9" w14:textId="6B8B6349"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proofErr w:type="spellStart"/>
      <w:r w:rsidRPr="0011114B">
        <w:rPr>
          <w:rFonts w:ascii="Calibri" w:hAnsi="Calibri" w:cs="Calibri"/>
          <w:bCs/>
          <w:color w:val="000000" w:themeColor="text1"/>
          <w:sz w:val="24"/>
          <w:szCs w:val="24"/>
          <w:lang w:val="en-IN"/>
        </w:rPr>
        <w:t>Wenceslau</w:t>
      </w:r>
      <w:proofErr w:type="spellEnd"/>
      <w:r w:rsidRPr="0011114B">
        <w:rPr>
          <w:rFonts w:ascii="Calibri" w:hAnsi="Calibri" w:cs="Calibri"/>
          <w:bCs/>
          <w:color w:val="000000" w:themeColor="text1"/>
          <w:sz w:val="24"/>
          <w:szCs w:val="24"/>
          <w:lang w:val="en-IN"/>
        </w:rPr>
        <w:t xml:space="preserve"> CF, et al. Guidelines for the measurement of vascular function and structure in isolated arteries and veins. </w:t>
      </w:r>
      <w:r w:rsidRPr="0011114B">
        <w:rPr>
          <w:rFonts w:ascii="Calibri" w:hAnsi="Calibri" w:cs="Calibri"/>
          <w:bCs/>
          <w:i/>
          <w:iCs/>
          <w:color w:val="000000" w:themeColor="text1"/>
          <w:sz w:val="24"/>
          <w:szCs w:val="24"/>
          <w:lang w:val="en-IN"/>
        </w:rPr>
        <w:t xml:space="preserve">Am J </w:t>
      </w:r>
      <w:proofErr w:type="spellStart"/>
      <w:r w:rsidRPr="0011114B">
        <w:rPr>
          <w:rFonts w:ascii="Calibri" w:hAnsi="Calibri" w:cs="Calibri"/>
          <w:bCs/>
          <w:i/>
          <w:iCs/>
          <w:color w:val="000000" w:themeColor="text1"/>
          <w:sz w:val="24"/>
          <w:szCs w:val="24"/>
          <w:lang w:val="en-IN"/>
        </w:rPr>
        <w:t>Physiol</w:t>
      </w:r>
      <w:proofErr w:type="spellEnd"/>
      <w:r w:rsidRPr="0011114B">
        <w:rPr>
          <w:rFonts w:ascii="Calibri" w:hAnsi="Calibri" w:cs="Calibri"/>
          <w:bCs/>
          <w:i/>
          <w:iCs/>
          <w:color w:val="000000" w:themeColor="text1"/>
          <w:sz w:val="24"/>
          <w:szCs w:val="24"/>
          <w:lang w:val="en-IN"/>
        </w:rPr>
        <w:t xml:space="preserve"> Heart </w:t>
      </w:r>
      <w:proofErr w:type="spellStart"/>
      <w:r w:rsidRPr="0011114B">
        <w:rPr>
          <w:rFonts w:ascii="Calibri" w:hAnsi="Calibri" w:cs="Calibri"/>
          <w:bCs/>
          <w:i/>
          <w:iCs/>
          <w:color w:val="000000" w:themeColor="text1"/>
          <w:sz w:val="24"/>
          <w:szCs w:val="24"/>
          <w:lang w:val="en-IN"/>
        </w:rPr>
        <w:t>Circ</w:t>
      </w:r>
      <w:proofErr w:type="spellEnd"/>
      <w:r w:rsidRPr="0011114B">
        <w:rPr>
          <w:rFonts w:ascii="Calibri" w:hAnsi="Calibri" w:cs="Calibri"/>
          <w:bCs/>
          <w:i/>
          <w:iCs/>
          <w:color w:val="000000" w:themeColor="text1"/>
          <w:sz w:val="24"/>
          <w:szCs w:val="24"/>
          <w:lang w:val="en-IN"/>
        </w:rPr>
        <w:t xml:space="preserve"> Physiol.</w:t>
      </w:r>
      <w:r w:rsidRPr="0011114B">
        <w:rPr>
          <w:rFonts w:ascii="Calibri" w:hAnsi="Calibri" w:cs="Calibri"/>
          <w:bCs/>
          <w:color w:val="000000" w:themeColor="text1"/>
          <w:sz w:val="24"/>
          <w:szCs w:val="24"/>
          <w:lang w:val="en-IN"/>
        </w:rPr>
        <w:t xml:space="preserve"> 2021;321(1):H77-H111. </w:t>
      </w:r>
    </w:p>
    <w:p w14:paraId="1D8DB5EC" w14:textId="7460CFD5"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Redenbach DM, English D, Hogg JC. The nature of leukocyte shape changes in the pulmonary capillaries. </w:t>
      </w:r>
      <w:r w:rsidRPr="0011114B">
        <w:rPr>
          <w:rFonts w:ascii="Calibri" w:hAnsi="Calibri" w:cs="Calibri"/>
          <w:bCs/>
          <w:i/>
          <w:iCs/>
          <w:color w:val="000000" w:themeColor="text1"/>
          <w:sz w:val="24"/>
          <w:szCs w:val="24"/>
          <w:lang w:val="en-IN"/>
        </w:rPr>
        <w:t xml:space="preserve">Am J </w:t>
      </w:r>
      <w:proofErr w:type="spellStart"/>
      <w:r w:rsidRPr="0011114B">
        <w:rPr>
          <w:rFonts w:ascii="Calibri" w:hAnsi="Calibri" w:cs="Calibri"/>
          <w:bCs/>
          <w:i/>
          <w:iCs/>
          <w:color w:val="000000" w:themeColor="text1"/>
          <w:sz w:val="24"/>
          <w:szCs w:val="24"/>
          <w:lang w:val="en-IN"/>
        </w:rPr>
        <w:t>Physiol</w:t>
      </w:r>
      <w:proofErr w:type="spellEnd"/>
      <w:r w:rsidRPr="0011114B">
        <w:rPr>
          <w:rFonts w:ascii="Calibri" w:hAnsi="Calibri" w:cs="Calibri"/>
          <w:bCs/>
          <w:i/>
          <w:iCs/>
          <w:color w:val="000000" w:themeColor="text1"/>
          <w:sz w:val="24"/>
          <w:szCs w:val="24"/>
          <w:lang w:val="en-IN"/>
        </w:rPr>
        <w:t xml:space="preserve"> Lung Cell Mol Physiol.</w:t>
      </w:r>
      <w:r w:rsidRPr="0011114B">
        <w:rPr>
          <w:rFonts w:ascii="Calibri" w:hAnsi="Calibri" w:cs="Calibri"/>
          <w:bCs/>
          <w:color w:val="000000" w:themeColor="text1"/>
          <w:sz w:val="24"/>
          <w:szCs w:val="24"/>
          <w:lang w:val="en-IN"/>
        </w:rPr>
        <w:t xml:space="preserve"> 1997;273(4):L733-L740. </w:t>
      </w:r>
    </w:p>
    <w:p w14:paraId="6088D581" w14:textId="4A7C67ED"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Smith LA, Aranda-Espinoza H, Haun JB, Hammer DA. Interplay between shear stress and adhesion on neutrophil locomotion. </w:t>
      </w:r>
      <w:proofErr w:type="spellStart"/>
      <w:r w:rsidRPr="0011114B">
        <w:rPr>
          <w:rFonts w:ascii="Calibri" w:hAnsi="Calibri" w:cs="Calibri"/>
          <w:bCs/>
          <w:i/>
          <w:iCs/>
          <w:color w:val="000000" w:themeColor="text1"/>
          <w:sz w:val="24"/>
          <w:szCs w:val="24"/>
          <w:lang w:val="en-IN"/>
        </w:rPr>
        <w:t>Biophys</w:t>
      </w:r>
      <w:proofErr w:type="spellEnd"/>
      <w:r w:rsidRPr="0011114B">
        <w:rPr>
          <w:rFonts w:ascii="Calibri" w:hAnsi="Calibri" w:cs="Calibri"/>
          <w:bCs/>
          <w:i/>
          <w:iCs/>
          <w:color w:val="000000" w:themeColor="text1"/>
          <w:sz w:val="24"/>
          <w:szCs w:val="24"/>
          <w:lang w:val="en-IN"/>
        </w:rPr>
        <w:t xml:space="preserve"> J.</w:t>
      </w:r>
      <w:r w:rsidRPr="0011114B">
        <w:rPr>
          <w:rFonts w:ascii="Calibri" w:hAnsi="Calibri" w:cs="Calibri"/>
          <w:bCs/>
          <w:color w:val="000000" w:themeColor="text1"/>
          <w:sz w:val="24"/>
          <w:szCs w:val="24"/>
          <w:lang w:val="en-IN"/>
        </w:rPr>
        <w:t xml:space="preserve"> 2007;92(2):632-640. </w:t>
      </w:r>
    </w:p>
    <w:p w14:paraId="7C73AD98" w14:textId="4EF3959C"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Ley K, </w:t>
      </w:r>
      <w:proofErr w:type="spellStart"/>
      <w:r w:rsidRPr="0011114B">
        <w:rPr>
          <w:rFonts w:ascii="Calibri" w:hAnsi="Calibri" w:cs="Calibri"/>
          <w:bCs/>
          <w:color w:val="000000" w:themeColor="text1"/>
          <w:sz w:val="24"/>
          <w:szCs w:val="24"/>
          <w:lang w:val="en-IN"/>
        </w:rPr>
        <w:t>Laudanna</w:t>
      </w:r>
      <w:proofErr w:type="spellEnd"/>
      <w:r w:rsidRPr="0011114B">
        <w:rPr>
          <w:rFonts w:ascii="Calibri" w:hAnsi="Calibri" w:cs="Calibri"/>
          <w:bCs/>
          <w:color w:val="000000" w:themeColor="text1"/>
          <w:sz w:val="24"/>
          <w:szCs w:val="24"/>
          <w:lang w:val="en-IN"/>
        </w:rPr>
        <w:t xml:space="preserve"> C, </w:t>
      </w:r>
      <w:proofErr w:type="spellStart"/>
      <w:r w:rsidRPr="0011114B">
        <w:rPr>
          <w:rFonts w:ascii="Calibri" w:hAnsi="Calibri" w:cs="Calibri"/>
          <w:bCs/>
          <w:color w:val="000000" w:themeColor="text1"/>
          <w:sz w:val="24"/>
          <w:szCs w:val="24"/>
          <w:lang w:val="en-IN"/>
        </w:rPr>
        <w:t>Cybulsky</w:t>
      </w:r>
      <w:proofErr w:type="spellEnd"/>
      <w:r w:rsidRPr="0011114B">
        <w:rPr>
          <w:rFonts w:ascii="Calibri" w:hAnsi="Calibri" w:cs="Calibri"/>
          <w:bCs/>
          <w:color w:val="000000" w:themeColor="text1"/>
          <w:sz w:val="24"/>
          <w:szCs w:val="24"/>
          <w:lang w:val="en-IN"/>
        </w:rPr>
        <w:t xml:space="preserve"> MI, </w:t>
      </w:r>
      <w:proofErr w:type="spellStart"/>
      <w:r w:rsidRPr="0011114B">
        <w:rPr>
          <w:rFonts w:ascii="Calibri" w:hAnsi="Calibri" w:cs="Calibri"/>
          <w:bCs/>
          <w:color w:val="000000" w:themeColor="text1"/>
          <w:sz w:val="24"/>
          <w:szCs w:val="24"/>
          <w:lang w:val="en-IN"/>
        </w:rPr>
        <w:t>Nourshargh</w:t>
      </w:r>
      <w:proofErr w:type="spellEnd"/>
      <w:r w:rsidRPr="0011114B">
        <w:rPr>
          <w:rFonts w:ascii="Calibri" w:hAnsi="Calibri" w:cs="Calibri"/>
          <w:bCs/>
          <w:color w:val="000000" w:themeColor="text1"/>
          <w:sz w:val="24"/>
          <w:szCs w:val="24"/>
          <w:lang w:val="en-IN"/>
        </w:rPr>
        <w:t xml:space="preserve"> S. Getting to the site of inflammation: the leukocyte adhesion cascade updated. </w:t>
      </w:r>
      <w:r w:rsidRPr="0011114B">
        <w:rPr>
          <w:rFonts w:ascii="Calibri" w:hAnsi="Calibri" w:cs="Calibri"/>
          <w:bCs/>
          <w:i/>
          <w:iCs/>
          <w:color w:val="000000" w:themeColor="text1"/>
          <w:sz w:val="24"/>
          <w:szCs w:val="24"/>
          <w:lang w:val="en-IN"/>
        </w:rPr>
        <w:t>Nat Rev Immunol.</w:t>
      </w:r>
      <w:r w:rsidRPr="0011114B">
        <w:rPr>
          <w:rFonts w:ascii="Calibri" w:hAnsi="Calibri" w:cs="Calibri"/>
          <w:bCs/>
          <w:color w:val="000000" w:themeColor="text1"/>
          <w:sz w:val="24"/>
          <w:szCs w:val="24"/>
          <w:lang w:val="en-IN"/>
        </w:rPr>
        <w:t xml:space="preserve"> 2007;7(9):678-689. </w:t>
      </w:r>
    </w:p>
    <w:p w14:paraId="7CD7AA75" w14:textId="2773FB51"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Therrien A, et al. Recruitment of activated neutrophils correlates with disease severity in adult Crohn's disease. </w:t>
      </w:r>
      <w:r w:rsidRPr="0011114B">
        <w:rPr>
          <w:rFonts w:ascii="Calibri" w:hAnsi="Calibri" w:cs="Calibri"/>
          <w:bCs/>
          <w:i/>
          <w:iCs/>
          <w:color w:val="000000" w:themeColor="text1"/>
          <w:sz w:val="24"/>
          <w:szCs w:val="24"/>
          <w:lang w:val="en-IN"/>
        </w:rPr>
        <w:t>Clin Exp Immunol.</w:t>
      </w:r>
      <w:r w:rsidRPr="0011114B">
        <w:rPr>
          <w:rFonts w:ascii="Calibri" w:hAnsi="Calibri" w:cs="Calibri"/>
          <w:bCs/>
          <w:color w:val="000000" w:themeColor="text1"/>
          <w:sz w:val="24"/>
          <w:szCs w:val="24"/>
          <w:lang w:val="en-IN"/>
        </w:rPr>
        <w:t xml:space="preserve"> 2019;195(2):251-264. </w:t>
      </w:r>
    </w:p>
    <w:p w14:paraId="78B34FA6" w14:textId="746BBE1F"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Ma W, et al. Advances in acute respiratory distress syndrome: focusing on heterogeneity, pathophysiology, and therapeutic strategies. </w:t>
      </w:r>
      <w:r w:rsidRPr="0011114B">
        <w:rPr>
          <w:rFonts w:ascii="Calibri" w:hAnsi="Calibri" w:cs="Calibri"/>
          <w:bCs/>
          <w:i/>
          <w:iCs/>
          <w:color w:val="000000" w:themeColor="text1"/>
          <w:sz w:val="24"/>
          <w:szCs w:val="24"/>
          <w:lang w:val="en-IN"/>
        </w:rPr>
        <w:t xml:space="preserve">Signal </w:t>
      </w:r>
      <w:proofErr w:type="spellStart"/>
      <w:r w:rsidRPr="0011114B">
        <w:rPr>
          <w:rFonts w:ascii="Calibri" w:hAnsi="Calibri" w:cs="Calibri"/>
          <w:bCs/>
          <w:i/>
          <w:iCs/>
          <w:color w:val="000000" w:themeColor="text1"/>
          <w:sz w:val="24"/>
          <w:szCs w:val="24"/>
          <w:lang w:val="en-IN"/>
        </w:rPr>
        <w:t>Transduct</w:t>
      </w:r>
      <w:proofErr w:type="spellEnd"/>
      <w:r w:rsidRPr="0011114B">
        <w:rPr>
          <w:rFonts w:ascii="Calibri" w:hAnsi="Calibri" w:cs="Calibri"/>
          <w:bCs/>
          <w:i/>
          <w:iCs/>
          <w:color w:val="000000" w:themeColor="text1"/>
          <w:sz w:val="24"/>
          <w:szCs w:val="24"/>
          <w:lang w:val="en-IN"/>
        </w:rPr>
        <w:t xml:space="preserve"> Target Ther.</w:t>
      </w:r>
      <w:r w:rsidRPr="0011114B">
        <w:rPr>
          <w:rFonts w:ascii="Calibri" w:hAnsi="Calibri" w:cs="Calibri"/>
          <w:bCs/>
          <w:color w:val="000000" w:themeColor="text1"/>
          <w:sz w:val="24"/>
          <w:szCs w:val="24"/>
          <w:lang w:val="en-IN"/>
        </w:rPr>
        <w:t xml:space="preserve"> 2025;10(1):75. </w:t>
      </w:r>
    </w:p>
    <w:p w14:paraId="12038AF8" w14:textId="7D794260"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Sinha N, Subedi N, Tel J. Integrating immunology and microfluidics for single immune cell analysis. </w:t>
      </w:r>
      <w:r w:rsidRPr="0011114B">
        <w:rPr>
          <w:rFonts w:ascii="Calibri" w:hAnsi="Calibri" w:cs="Calibri"/>
          <w:bCs/>
          <w:i/>
          <w:iCs/>
          <w:color w:val="000000" w:themeColor="text1"/>
          <w:sz w:val="24"/>
          <w:szCs w:val="24"/>
          <w:lang w:val="en-IN"/>
        </w:rPr>
        <w:t>Front Immunol.</w:t>
      </w:r>
      <w:r w:rsidRPr="0011114B">
        <w:rPr>
          <w:rFonts w:ascii="Calibri" w:hAnsi="Calibri" w:cs="Calibri"/>
          <w:bCs/>
          <w:color w:val="000000" w:themeColor="text1"/>
          <w:sz w:val="24"/>
          <w:szCs w:val="24"/>
          <w:lang w:val="en-IN"/>
        </w:rPr>
        <w:t xml:space="preserve"> 2018;9:2373. </w:t>
      </w:r>
    </w:p>
    <w:p w14:paraId="2CF702B8" w14:textId="2E47E1E5"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Ren J, et al. Vorticity-facilitated platelet aggregation: a high expansion-ratio stenotic microfluidic platform unravels the role of complex flow dynamics in arterial thrombosis. </w:t>
      </w:r>
      <w:r w:rsidRPr="0011114B">
        <w:rPr>
          <w:rFonts w:ascii="Calibri" w:hAnsi="Calibri" w:cs="Calibri"/>
          <w:bCs/>
          <w:i/>
          <w:iCs/>
          <w:color w:val="000000" w:themeColor="text1"/>
          <w:sz w:val="24"/>
          <w:szCs w:val="24"/>
          <w:lang w:val="en-IN"/>
        </w:rPr>
        <w:t xml:space="preserve">Adv </w:t>
      </w:r>
      <w:proofErr w:type="spellStart"/>
      <w:r w:rsidRPr="0011114B">
        <w:rPr>
          <w:rFonts w:ascii="Calibri" w:hAnsi="Calibri" w:cs="Calibri"/>
          <w:bCs/>
          <w:i/>
          <w:iCs/>
          <w:color w:val="000000" w:themeColor="text1"/>
          <w:sz w:val="24"/>
          <w:szCs w:val="24"/>
          <w:lang w:val="en-IN"/>
        </w:rPr>
        <w:t>Healthc</w:t>
      </w:r>
      <w:proofErr w:type="spellEnd"/>
      <w:r w:rsidRPr="0011114B">
        <w:rPr>
          <w:rFonts w:ascii="Calibri" w:hAnsi="Calibri" w:cs="Calibri"/>
          <w:bCs/>
          <w:i/>
          <w:iCs/>
          <w:color w:val="000000" w:themeColor="text1"/>
          <w:sz w:val="24"/>
          <w:szCs w:val="24"/>
          <w:lang w:val="en-IN"/>
        </w:rPr>
        <w:t xml:space="preserve"> Mater.</w:t>
      </w:r>
      <w:r w:rsidRPr="0011114B">
        <w:rPr>
          <w:rFonts w:ascii="Calibri" w:hAnsi="Calibri" w:cs="Calibri"/>
          <w:bCs/>
          <w:color w:val="000000" w:themeColor="text1"/>
          <w:sz w:val="24"/>
          <w:szCs w:val="24"/>
          <w:lang w:val="en-IN"/>
        </w:rPr>
        <w:t xml:space="preserve"> 2025;14(28):2500436. </w:t>
      </w:r>
    </w:p>
    <w:p w14:paraId="1B301048" w14:textId="49ED9F27"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proofErr w:type="spellStart"/>
      <w:r w:rsidRPr="0011114B">
        <w:rPr>
          <w:rFonts w:ascii="Calibri" w:hAnsi="Calibri" w:cs="Calibri"/>
          <w:bCs/>
          <w:color w:val="000000" w:themeColor="text1"/>
          <w:sz w:val="24"/>
          <w:szCs w:val="24"/>
          <w:lang w:val="en-IN"/>
        </w:rPr>
        <w:t>Amoabediny</w:t>
      </w:r>
      <w:proofErr w:type="spellEnd"/>
      <w:r w:rsidRPr="0011114B">
        <w:rPr>
          <w:rFonts w:ascii="Calibri" w:hAnsi="Calibri" w:cs="Calibri"/>
          <w:bCs/>
          <w:color w:val="000000" w:themeColor="text1"/>
          <w:sz w:val="24"/>
          <w:szCs w:val="24"/>
          <w:lang w:val="en-IN"/>
        </w:rPr>
        <w:t xml:space="preserve"> Z, Mittal A, Guin S, Buffone A Jr. Let's get rolling: precise control of microfluidic assay conditions to recapitulate selectin-mediated rolling interactions of the leukocyte adhesion cascade. </w:t>
      </w:r>
      <w:r w:rsidRPr="0011114B">
        <w:rPr>
          <w:rFonts w:ascii="Calibri" w:hAnsi="Calibri" w:cs="Calibri"/>
          <w:bCs/>
          <w:i/>
          <w:iCs/>
          <w:color w:val="000000" w:themeColor="text1"/>
          <w:sz w:val="24"/>
          <w:szCs w:val="24"/>
          <w:lang w:val="en-IN"/>
        </w:rPr>
        <w:t>Curr Protoc.</w:t>
      </w:r>
      <w:r w:rsidRPr="0011114B">
        <w:rPr>
          <w:rFonts w:ascii="Calibri" w:hAnsi="Calibri" w:cs="Calibri"/>
          <w:bCs/>
          <w:color w:val="000000" w:themeColor="text1"/>
          <w:sz w:val="24"/>
          <w:szCs w:val="24"/>
          <w:lang w:val="en-IN"/>
        </w:rPr>
        <w:t xml:space="preserve"> 2024;4(4):e1022. </w:t>
      </w:r>
    </w:p>
    <w:p w14:paraId="1DED5FEB" w14:textId="42DFBA8B"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Vlachopoulos C, et al. Acute systemic inflammation increases arterial stiffness and decreases wave reflections in healthy individuals. </w:t>
      </w:r>
      <w:r w:rsidRPr="0011114B">
        <w:rPr>
          <w:rFonts w:ascii="Calibri" w:hAnsi="Calibri" w:cs="Calibri"/>
          <w:bCs/>
          <w:i/>
          <w:iCs/>
          <w:color w:val="000000" w:themeColor="text1"/>
          <w:sz w:val="24"/>
          <w:szCs w:val="24"/>
          <w:lang w:val="en-IN"/>
        </w:rPr>
        <w:t>Circulation.</w:t>
      </w:r>
      <w:r w:rsidRPr="0011114B">
        <w:rPr>
          <w:rFonts w:ascii="Calibri" w:hAnsi="Calibri" w:cs="Calibri"/>
          <w:bCs/>
          <w:color w:val="000000" w:themeColor="text1"/>
          <w:sz w:val="24"/>
          <w:szCs w:val="24"/>
          <w:lang w:val="en-IN"/>
        </w:rPr>
        <w:t xml:space="preserve"> 2005;112(14):2193-2200. </w:t>
      </w:r>
    </w:p>
    <w:p w14:paraId="368571F8" w14:textId="0A72CEC1"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lastRenderedPageBreak/>
        <w:t xml:space="preserve">Oakes PW, et al. Neutrophil morphology and migration are affected by substrate elasticity. </w:t>
      </w:r>
      <w:r w:rsidRPr="0011114B">
        <w:rPr>
          <w:rFonts w:ascii="Calibri" w:hAnsi="Calibri" w:cs="Calibri"/>
          <w:bCs/>
          <w:i/>
          <w:iCs/>
          <w:color w:val="000000" w:themeColor="text1"/>
          <w:sz w:val="24"/>
          <w:szCs w:val="24"/>
          <w:lang w:val="en-IN"/>
        </w:rPr>
        <w:t>Blood.</w:t>
      </w:r>
      <w:r w:rsidRPr="0011114B">
        <w:rPr>
          <w:rFonts w:ascii="Calibri" w:hAnsi="Calibri" w:cs="Calibri"/>
          <w:bCs/>
          <w:color w:val="000000" w:themeColor="text1"/>
          <w:sz w:val="24"/>
          <w:szCs w:val="24"/>
          <w:lang w:val="en-IN"/>
        </w:rPr>
        <w:t xml:space="preserve"> 2009;114(7):1387-1395. </w:t>
      </w:r>
    </w:p>
    <w:p w14:paraId="38720864" w14:textId="7E4975BE"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Mittal A, et al. Inhibition of Mac-1 allows human macrophages to migrate against the direction of shear flow on ICAM-1. </w:t>
      </w:r>
      <w:r w:rsidRPr="0011114B">
        <w:rPr>
          <w:rFonts w:ascii="Calibri" w:hAnsi="Calibri" w:cs="Calibri"/>
          <w:bCs/>
          <w:i/>
          <w:iCs/>
          <w:color w:val="000000" w:themeColor="text1"/>
          <w:sz w:val="24"/>
          <w:szCs w:val="24"/>
          <w:lang w:val="en-IN"/>
        </w:rPr>
        <w:t xml:space="preserve">Mol </w:t>
      </w:r>
      <w:proofErr w:type="spellStart"/>
      <w:r w:rsidRPr="0011114B">
        <w:rPr>
          <w:rFonts w:ascii="Calibri" w:hAnsi="Calibri" w:cs="Calibri"/>
          <w:bCs/>
          <w:i/>
          <w:iCs/>
          <w:color w:val="000000" w:themeColor="text1"/>
          <w:sz w:val="24"/>
          <w:szCs w:val="24"/>
          <w:lang w:val="en-IN"/>
        </w:rPr>
        <w:t>Biol</w:t>
      </w:r>
      <w:proofErr w:type="spellEnd"/>
      <w:r w:rsidRPr="0011114B">
        <w:rPr>
          <w:rFonts w:ascii="Calibri" w:hAnsi="Calibri" w:cs="Calibri"/>
          <w:bCs/>
          <w:i/>
          <w:iCs/>
          <w:color w:val="000000" w:themeColor="text1"/>
          <w:sz w:val="24"/>
          <w:szCs w:val="24"/>
          <w:lang w:val="en-IN"/>
        </w:rPr>
        <w:t xml:space="preserve"> Cell.</w:t>
      </w:r>
      <w:r w:rsidRPr="0011114B">
        <w:rPr>
          <w:rFonts w:ascii="Calibri" w:hAnsi="Calibri" w:cs="Calibri"/>
          <w:bCs/>
          <w:color w:val="000000" w:themeColor="text1"/>
          <w:sz w:val="24"/>
          <w:szCs w:val="24"/>
          <w:lang w:val="en-IN"/>
        </w:rPr>
        <w:t xml:space="preserve"> 2024;35(10):br18. </w:t>
      </w:r>
    </w:p>
    <w:p w14:paraId="09B8C13E" w14:textId="048BD7C9"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Rowat AC, et al. Nuclear envelope composition determines the ability of neutrophil-type cells to passage through micron-scale constrictions. </w:t>
      </w:r>
      <w:r w:rsidRPr="0011114B">
        <w:rPr>
          <w:rFonts w:ascii="Calibri" w:hAnsi="Calibri" w:cs="Calibri"/>
          <w:bCs/>
          <w:i/>
          <w:iCs/>
          <w:color w:val="000000" w:themeColor="text1"/>
          <w:sz w:val="24"/>
          <w:szCs w:val="24"/>
          <w:lang w:val="en-IN"/>
        </w:rPr>
        <w:t xml:space="preserve">J </w:t>
      </w:r>
      <w:proofErr w:type="spellStart"/>
      <w:r w:rsidRPr="0011114B">
        <w:rPr>
          <w:rFonts w:ascii="Calibri" w:hAnsi="Calibri" w:cs="Calibri"/>
          <w:bCs/>
          <w:i/>
          <w:iCs/>
          <w:color w:val="000000" w:themeColor="text1"/>
          <w:sz w:val="24"/>
          <w:szCs w:val="24"/>
          <w:lang w:val="en-IN"/>
        </w:rPr>
        <w:t>Biol</w:t>
      </w:r>
      <w:proofErr w:type="spellEnd"/>
      <w:r w:rsidRPr="0011114B">
        <w:rPr>
          <w:rFonts w:ascii="Calibri" w:hAnsi="Calibri" w:cs="Calibri"/>
          <w:bCs/>
          <w:i/>
          <w:iCs/>
          <w:color w:val="000000" w:themeColor="text1"/>
          <w:sz w:val="24"/>
          <w:szCs w:val="24"/>
          <w:lang w:val="en-IN"/>
        </w:rPr>
        <w:t xml:space="preserve"> Chem.</w:t>
      </w:r>
      <w:r w:rsidRPr="0011114B">
        <w:rPr>
          <w:rFonts w:ascii="Calibri" w:hAnsi="Calibri" w:cs="Calibri"/>
          <w:bCs/>
          <w:color w:val="000000" w:themeColor="text1"/>
          <w:sz w:val="24"/>
          <w:szCs w:val="24"/>
          <w:lang w:val="en-IN"/>
        </w:rPr>
        <w:t xml:space="preserve"> 2013;288(12):8610-8618. </w:t>
      </w:r>
    </w:p>
    <w:p w14:paraId="0FDA23FE" w14:textId="05E4CF59"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lang w:val="en-IN"/>
        </w:rPr>
      </w:pPr>
      <w:r w:rsidRPr="0011114B">
        <w:rPr>
          <w:rFonts w:ascii="Calibri" w:hAnsi="Calibri" w:cs="Calibri"/>
          <w:bCs/>
          <w:color w:val="000000" w:themeColor="text1"/>
          <w:sz w:val="24"/>
          <w:szCs w:val="24"/>
          <w:lang w:val="en-IN"/>
        </w:rPr>
        <w:t xml:space="preserve">Colson P, </w:t>
      </w:r>
      <w:proofErr w:type="spellStart"/>
      <w:r w:rsidRPr="0011114B">
        <w:rPr>
          <w:rFonts w:ascii="Calibri" w:hAnsi="Calibri" w:cs="Calibri"/>
          <w:bCs/>
          <w:color w:val="000000" w:themeColor="text1"/>
          <w:sz w:val="24"/>
          <w:szCs w:val="24"/>
          <w:lang w:val="en-IN"/>
        </w:rPr>
        <w:t>Henrist</w:t>
      </w:r>
      <w:proofErr w:type="spellEnd"/>
      <w:r w:rsidRPr="0011114B">
        <w:rPr>
          <w:rFonts w:ascii="Calibri" w:hAnsi="Calibri" w:cs="Calibri"/>
          <w:bCs/>
          <w:color w:val="000000" w:themeColor="text1"/>
          <w:sz w:val="24"/>
          <w:szCs w:val="24"/>
          <w:lang w:val="en-IN"/>
        </w:rPr>
        <w:t xml:space="preserve"> C, Cloots R. Nanosphere lithography: a powerful method for the controlled manufacturing of nanomaterials. </w:t>
      </w:r>
      <w:r w:rsidRPr="0011114B">
        <w:rPr>
          <w:rFonts w:ascii="Calibri" w:hAnsi="Calibri" w:cs="Calibri"/>
          <w:bCs/>
          <w:i/>
          <w:iCs/>
          <w:color w:val="000000" w:themeColor="text1"/>
          <w:sz w:val="24"/>
          <w:szCs w:val="24"/>
          <w:lang w:val="en-IN"/>
        </w:rPr>
        <w:t>J Nanomater.</w:t>
      </w:r>
      <w:r w:rsidRPr="0011114B">
        <w:rPr>
          <w:rFonts w:ascii="Calibri" w:hAnsi="Calibri" w:cs="Calibri"/>
          <w:bCs/>
          <w:color w:val="000000" w:themeColor="text1"/>
          <w:sz w:val="24"/>
          <w:szCs w:val="24"/>
          <w:lang w:val="en-IN"/>
        </w:rPr>
        <w:t xml:space="preserve"> 2013;2013(1):948510. </w:t>
      </w:r>
    </w:p>
    <w:p w14:paraId="0850C4FA" w14:textId="5A3FCB7B" w:rsidR="00E7594E" w:rsidRPr="0011114B" w:rsidRDefault="00E7594E" w:rsidP="0011114B">
      <w:pPr>
        <w:pStyle w:val="ListParagraph"/>
        <w:numPr>
          <w:ilvl w:val="0"/>
          <w:numId w:val="35"/>
        </w:numPr>
        <w:pBdr>
          <w:top w:val="nil"/>
          <w:left w:val="nil"/>
          <w:bottom w:val="nil"/>
          <w:right w:val="nil"/>
          <w:between w:val="nil"/>
        </w:pBdr>
        <w:spacing w:after="0" w:line="0" w:lineRule="atLeast"/>
        <w:ind w:left="357" w:hanging="357"/>
        <w:jc w:val="both"/>
        <w:rPr>
          <w:rFonts w:ascii="Calibri" w:hAnsi="Calibri" w:cs="Calibri"/>
          <w:bCs/>
          <w:color w:val="000000" w:themeColor="text1"/>
          <w:sz w:val="24"/>
          <w:szCs w:val="24"/>
        </w:rPr>
      </w:pPr>
      <w:r w:rsidRPr="0011114B">
        <w:rPr>
          <w:rFonts w:ascii="Calibri" w:hAnsi="Calibri" w:cs="Calibri"/>
          <w:bCs/>
          <w:color w:val="000000" w:themeColor="text1"/>
          <w:sz w:val="24"/>
          <w:szCs w:val="24"/>
          <w:lang w:val="en-IN"/>
        </w:rPr>
        <w:t xml:space="preserve">Robinson MW, Harmon C, </w:t>
      </w:r>
      <w:proofErr w:type="spellStart"/>
      <w:r w:rsidRPr="0011114B">
        <w:rPr>
          <w:rFonts w:ascii="Calibri" w:hAnsi="Calibri" w:cs="Calibri"/>
          <w:bCs/>
          <w:color w:val="000000" w:themeColor="text1"/>
          <w:sz w:val="24"/>
          <w:szCs w:val="24"/>
          <w:lang w:val="en-IN"/>
        </w:rPr>
        <w:t>O'Farrelly</w:t>
      </w:r>
      <w:proofErr w:type="spellEnd"/>
      <w:r w:rsidRPr="0011114B">
        <w:rPr>
          <w:rFonts w:ascii="Calibri" w:hAnsi="Calibri" w:cs="Calibri"/>
          <w:bCs/>
          <w:color w:val="000000" w:themeColor="text1"/>
          <w:sz w:val="24"/>
          <w:szCs w:val="24"/>
          <w:lang w:val="en-IN"/>
        </w:rPr>
        <w:t xml:space="preserve"> C. Liver immunology and its role in inflammation and homeostasis. </w:t>
      </w:r>
      <w:r w:rsidRPr="0011114B">
        <w:rPr>
          <w:rFonts w:ascii="Calibri" w:hAnsi="Calibri" w:cs="Calibri"/>
          <w:bCs/>
          <w:i/>
          <w:iCs/>
          <w:color w:val="000000" w:themeColor="text1"/>
          <w:sz w:val="24"/>
          <w:szCs w:val="24"/>
          <w:lang w:val="en-IN"/>
        </w:rPr>
        <w:t>Cell Mol Immunol.</w:t>
      </w:r>
      <w:r w:rsidRPr="0011114B">
        <w:rPr>
          <w:rFonts w:ascii="Calibri" w:hAnsi="Calibri" w:cs="Calibri"/>
          <w:bCs/>
          <w:color w:val="000000" w:themeColor="text1"/>
          <w:sz w:val="24"/>
          <w:szCs w:val="24"/>
          <w:lang w:val="en-IN"/>
        </w:rPr>
        <w:t xml:space="preserve"> 2016;13(3):267-276.</w:t>
      </w:r>
    </w:p>
    <w:sectPr w:rsidR="00E7594E" w:rsidRPr="0011114B" w:rsidSect="001179A8">
      <w:headerReference w:type="even" r:id="rId9"/>
      <w:headerReference w:type="default" r:id="rId10"/>
      <w:footerReference w:type="even" r:id="rId11"/>
      <w:footerReference w:type="default" r:id="rId12"/>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C94490" w14:textId="77777777" w:rsidR="009462FD" w:rsidRDefault="009462FD">
      <w:r>
        <w:separator/>
      </w:r>
    </w:p>
  </w:endnote>
  <w:endnote w:type="continuationSeparator" w:id="0">
    <w:p w14:paraId="648A53AC" w14:textId="77777777" w:rsidR="009462FD" w:rsidRDefault="00946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55566475"/>
      <w:docPartObj>
        <w:docPartGallery w:val="Page Numbers (Bottom of Page)"/>
        <w:docPartUnique/>
      </w:docPartObj>
    </w:sdtPr>
    <w:sdtEndPr>
      <w:rPr>
        <w:noProof/>
      </w:rPr>
    </w:sdtEndPr>
    <w:sdtContent>
      <w:p w14:paraId="0FCB0BCE" w14:textId="05110F23" w:rsidR="001179A8" w:rsidRDefault="00B90DB7" w:rsidP="001179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61FE75" w14:textId="77777777" w:rsidR="009462FD" w:rsidRDefault="009462FD">
      <w:r>
        <w:separator/>
      </w:r>
    </w:p>
  </w:footnote>
  <w:footnote w:type="continuationSeparator" w:id="0">
    <w:p w14:paraId="3AC3CB82" w14:textId="77777777" w:rsidR="009462FD" w:rsidRDefault="00946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51B6D" w14:textId="52092750" w:rsidR="00A9219F" w:rsidRPr="0021480B" w:rsidRDefault="00A9219F" w:rsidP="002148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A85F59"/>
    <w:multiLevelType w:val="hybridMultilevel"/>
    <w:tmpl w:val="8D5EE084"/>
    <w:lvl w:ilvl="0" w:tplc="A950F474">
      <w:start w:val="1"/>
      <w:numFmt w:val="decimal"/>
      <w:lvlText w:val="%1."/>
      <w:lvlJc w:val="left"/>
      <w:pPr>
        <w:ind w:left="720" w:hanging="360"/>
      </w:pPr>
      <w:rPr>
        <w:rFonts w:hint="default"/>
      </w:rPr>
    </w:lvl>
    <w:lvl w:ilvl="1" w:tplc="AA284018" w:tentative="1">
      <w:start w:val="1"/>
      <w:numFmt w:val="lowerLetter"/>
      <w:lvlText w:val="%2."/>
      <w:lvlJc w:val="left"/>
      <w:pPr>
        <w:ind w:left="1440" w:hanging="360"/>
      </w:pPr>
    </w:lvl>
    <w:lvl w:ilvl="2" w:tplc="399C7B0C" w:tentative="1">
      <w:start w:val="1"/>
      <w:numFmt w:val="lowerRoman"/>
      <w:lvlText w:val="%3."/>
      <w:lvlJc w:val="right"/>
      <w:pPr>
        <w:ind w:left="2160" w:hanging="180"/>
      </w:pPr>
    </w:lvl>
    <w:lvl w:ilvl="3" w:tplc="1CB6CAEE" w:tentative="1">
      <w:start w:val="1"/>
      <w:numFmt w:val="decimal"/>
      <w:lvlText w:val="%4."/>
      <w:lvlJc w:val="left"/>
      <w:pPr>
        <w:ind w:left="2880" w:hanging="360"/>
      </w:pPr>
    </w:lvl>
    <w:lvl w:ilvl="4" w:tplc="A1F0ED08" w:tentative="1">
      <w:start w:val="1"/>
      <w:numFmt w:val="lowerLetter"/>
      <w:lvlText w:val="%5."/>
      <w:lvlJc w:val="left"/>
      <w:pPr>
        <w:ind w:left="3600" w:hanging="360"/>
      </w:pPr>
    </w:lvl>
    <w:lvl w:ilvl="5" w:tplc="0AFEF04C" w:tentative="1">
      <w:start w:val="1"/>
      <w:numFmt w:val="lowerRoman"/>
      <w:lvlText w:val="%6."/>
      <w:lvlJc w:val="right"/>
      <w:pPr>
        <w:ind w:left="4320" w:hanging="180"/>
      </w:pPr>
    </w:lvl>
    <w:lvl w:ilvl="6" w:tplc="265C1038" w:tentative="1">
      <w:start w:val="1"/>
      <w:numFmt w:val="decimal"/>
      <w:lvlText w:val="%7."/>
      <w:lvlJc w:val="left"/>
      <w:pPr>
        <w:ind w:left="5040" w:hanging="360"/>
      </w:pPr>
    </w:lvl>
    <w:lvl w:ilvl="7" w:tplc="9D0C3D84" w:tentative="1">
      <w:start w:val="1"/>
      <w:numFmt w:val="lowerLetter"/>
      <w:lvlText w:val="%8."/>
      <w:lvlJc w:val="left"/>
      <w:pPr>
        <w:ind w:left="5760" w:hanging="360"/>
      </w:pPr>
    </w:lvl>
    <w:lvl w:ilvl="8" w:tplc="67823FB0"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F968B742">
      <w:start w:val="1"/>
      <w:numFmt w:val="bullet"/>
      <w:lvlText w:val=""/>
      <w:lvlJc w:val="left"/>
      <w:pPr>
        <w:ind w:left="360" w:hanging="360"/>
      </w:pPr>
      <w:rPr>
        <w:rFonts w:ascii="Symbol" w:hAnsi="Symbol" w:hint="default"/>
        <w:sz w:val="28"/>
        <w:szCs w:val="28"/>
      </w:rPr>
    </w:lvl>
    <w:lvl w:ilvl="1" w:tplc="0DD4ECF6" w:tentative="1">
      <w:start w:val="1"/>
      <w:numFmt w:val="bullet"/>
      <w:lvlText w:val="o"/>
      <w:lvlJc w:val="left"/>
      <w:pPr>
        <w:ind w:left="1440" w:hanging="360"/>
      </w:pPr>
      <w:rPr>
        <w:rFonts w:ascii="Courier New" w:hAnsi="Courier New" w:cs="Courier New" w:hint="default"/>
      </w:rPr>
    </w:lvl>
    <w:lvl w:ilvl="2" w:tplc="37120F02" w:tentative="1">
      <w:start w:val="1"/>
      <w:numFmt w:val="bullet"/>
      <w:lvlText w:val=""/>
      <w:lvlJc w:val="left"/>
      <w:pPr>
        <w:ind w:left="2160" w:hanging="360"/>
      </w:pPr>
      <w:rPr>
        <w:rFonts w:ascii="Wingdings" w:hAnsi="Wingdings" w:hint="default"/>
      </w:rPr>
    </w:lvl>
    <w:lvl w:ilvl="3" w:tplc="3FC03AE6" w:tentative="1">
      <w:start w:val="1"/>
      <w:numFmt w:val="bullet"/>
      <w:lvlText w:val=""/>
      <w:lvlJc w:val="left"/>
      <w:pPr>
        <w:ind w:left="2880" w:hanging="360"/>
      </w:pPr>
      <w:rPr>
        <w:rFonts w:ascii="Symbol" w:hAnsi="Symbol" w:hint="default"/>
      </w:rPr>
    </w:lvl>
    <w:lvl w:ilvl="4" w:tplc="102CA7A8" w:tentative="1">
      <w:start w:val="1"/>
      <w:numFmt w:val="bullet"/>
      <w:lvlText w:val="o"/>
      <w:lvlJc w:val="left"/>
      <w:pPr>
        <w:ind w:left="3600" w:hanging="360"/>
      </w:pPr>
      <w:rPr>
        <w:rFonts w:ascii="Courier New" w:hAnsi="Courier New" w:cs="Courier New" w:hint="default"/>
      </w:rPr>
    </w:lvl>
    <w:lvl w:ilvl="5" w:tplc="5450D8E6" w:tentative="1">
      <w:start w:val="1"/>
      <w:numFmt w:val="bullet"/>
      <w:lvlText w:val=""/>
      <w:lvlJc w:val="left"/>
      <w:pPr>
        <w:ind w:left="4320" w:hanging="360"/>
      </w:pPr>
      <w:rPr>
        <w:rFonts w:ascii="Wingdings" w:hAnsi="Wingdings" w:hint="default"/>
      </w:rPr>
    </w:lvl>
    <w:lvl w:ilvl="6" w:tplc="A1642116" w:tentative="1">
      <w:start w:val="1"/>
      <w:numFmt w:val="bullet"/>
      <w:lvlText w:val=""/>
      <w:lvlJc w:val="left"/>
      <w:pPr>
        <w:ind w:left="5040" w:hanging="360"/>
      </w:pPr>
      <w:rPr>
        <w:rFonts w:ascii="Symbol" w:hAnsi="Symbol" w:hint="default"/>
      </w:rPr>
    </w:lvl>
    <w:lvl w:ilvl="7" w:tplc="C1AA334E" w:tentative="1">
      <w:start w:val="1"/>
      <w:numFmt w:val="bullet"/>
      <w:lvlText w:val="o"/>
      <w:lvlJc w:val="left"/>
      <w:pPr>
        <w:ind w:left="5760" w:hanging="360"/>
      </w:pPr>
      <w:rPr>
        <w:rFonts w:ascii="Courier New" w:hAnsi="Courier New" w:cs="Courier New" w:hint="default"/>
      </w:rPr>
    </w:lvl>
    <w:lvl w:ilvl="8" w:tplc="A538E23C"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93BAE7F2">
      <w:start w:val="1"/>
      <w:numFmt w:val="decimal"/>
      <w:lvlText w:val="%1."/>
      <w:lvlJc w:val="left"/>
      <w:pPr>
        <w:ind w:left="720" w:hanging="360"/>
      </w:pPr>
    </w:lvl>
    <w:lvl w:ilvl="1" w:tplc="B284DFE0" w:tentative="1">
      <w:start w:val="1"/>
      <w:numFmt w:val="lowerLetter"/>
      <w:lvlText w:val="%2."/>
      <w:lvlJc w:val="left"/>
      <w:pPr>
        <w:ind w:left="1440" w:hanging="360"/>
      </w:pPr>
    </w:lvl>
    <w:lvl w:ilvl="2" w:tplc="45ECD2CE" w:tentative="1">
      <w:start w:val="1"/>
      <w:numFmt w:val="lowerRoman"/>
      <w:lvlText w:val="%3."/>
      <w:lvlJc w:val="right"/>
      <w:pPr>
        <w:ind w:left="2160" w:hanging="180"/>
      </w:pPr>
    </w:lvl>
    <w:lvl w:ilvl="3" w:tplc="E55C96BE" w:tentative="1">
      <w:start w:val="1"/>
      <w:numFmt w:val="decimal"/>
      <w:lvlText w:val="%4."/>
      <w:lvlJc w:val="left"/>
      <w:pPr>
        <w:ind w:left="2880" w:hanging="360"/>
      </w:pPr>
    </w:lvl>
    <w:lvl w:ilvl="4" w:tplc="76FE8678" w:tentative="1">
      <w:start w:val="1"/>
      <w:numFmt w:val="lowerLetter"/>
      <w:lvlText w:val="%5."/>
      <w:lvlJc w:val="left"/>
      <w:pPr>
        <w:ind w:left="3600" w:hanging="360"/>
      </w:pPr>
    </w:lvl>
    <w:lvl w:ilvl="5" w:tplc="2278CFDA" w:tentative="1">
      <w:start w:val="1"/>
      <w:numFmt w:val="lowerRoman"/>
      <w:lvlText w:val="%6."/>
      <w:lvlJc w:val="right"/>
      <w:pPr>
        <w:ind w:left="4320" w:hanging="180"/>
      </w:pPr>
    </w:lvl>
    <w:lvl w:ilvl="6" w:tplc="87309E46" w:tentative="1">
      <w:start w:val="1"/>
      <w:numFmt w:val="decimal"/>
      <w:lvlText w:val="%7."/>
      <w:lvlJc w:val="left"/>
      <w:pPr>
        <w:ind w:left="5040" w:hanging="360"/>
      </w:pPr>
    </w:lvl>
    <w:lvl w:ilvl="7" w:tplc="844E2466" w:tentative="1">
      <w:start w:val="1"/>
      <w:numFmt w:val="lowerLetter"/>
      <w:lvlText w:val="%8."/>
      <w:lvlJc w:val="left"/>
      <w:pPr>
        <w:ind w:left="5760" w:hanging="360"/>
      </w:pPr>
    </w:lvl>
    <w:lvl w:ilvl="8" w:tplc="CE4E0238"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E8FCB17C">
      <w:start w:val="1"/>
      <w:numFmt w:val="decimal"/>
      <w:lvlText w:val="%1."/>
      <w:lvlJc w:val="left"/>
      <w:pPr>
        <w:ind w:left="720" w:hanging="360"/>
      </w:pPr>
    </w:lvl>
    <w:lvl w:ilvl="1" w:tplc="7F705E8A" w:tentative="1">
      <w:start w:val="1"/>
      <w:numFmt w:val="lowerLetter"/>
      <w:lvlText w:val="%2."/>
      <w:lvlJc w:val="left"/>
      <w:pPr>
        <w:ind w:left="1440" w:hanging="360"/>
      </w:pPr>
    </w:lvl>
    <w:lvl w:ilvl="2" w:tplc="4C605476" w:tentative="1">
      <w:start w:val="1"/>
      <w:numFmt w:val="lowerRoman"/>
      <w:lvlText w:val="%3."/>
      <w:lvlJc w:val="right"/>
      <w:pPr>
        <w:ind w:left="2160" w:hanging="180"/>
      </w:pPr>
    </w:lvl>
    <w:lvl w:ilvl="3" w:tplc="85FC76AE" w:tentative="1">
      <w:start w:val="1"/>
      <w:numFmt w:val="decimal"/>
      <w:lvlText w:val="%4."/>
      <w:lvlJc w:val="left"/>
      <w:pPr>
        <w:ind w:left="2880" w:hanging="360"/>
      </w:pPr>
    </w:lvl>
    <w:lvl w:ilvl="4" w:tplc="62D27D4A" w:tentative="1">
      <w:start w:val="1"/>
      <w:numFmt w:val="lowerLetter"/>
      <w:lvlText w:val="%5."/>
      <w:lvlJc w:val="left"/>
      <w:pPr>
        <w:ind w:left="3600" w:hanging="360"/>
      </w:pPr>
    </w:lvl>
    <w:lvl w:ilvl="5" w:tplc="F0C8CE0E" w:tentative="1">
      <w:start w:val="1"/>
      <w:numFmt w:val="lowerRoman"/>
      <w:lvlText w:val="%6."/>
      <w:lvlJc w:val="right"/>
      <w:pPr>
        <w:ind w:left="4320" w:hanging="180"/>
      </w:pPr>
    </w:lvl>
    <w:lvl w:ilvl="6" w:tplc="867CEDC8" w:tentative="1">
      <w:start w:val="1"/>
      <w:numFmt w:val="decimal"/>
      <w:lvlText w:val="%7."/>
      <w:lvlJc w:val="left"/>
      <w:pPr>
        <w:ind w:left="5040" w:hanging="360"/>
      </w:pPr>
    </w:lvl>
    <w:lvl w:ilvl="7" w:tplc="9022D61E" w:tentative="1">
      <w:start w:val="1"/>
      <w:numFmt w:val="lowerLetter"/>
      <w:lvlText w:val="%8."/>
      <w:lvlJc w:val="left"/>
      <w:pPr>
        <w:ind w:left="5760" w:hanging="360"/>
      </w:pPr>
    </w:lvl>
    <w:lvl w:ilvl="8" w:tplc="BEF8AE18" w:tentative="1">
      <w:start w:val="1"/>
      <w:numFmt w:val="lowerRoman"/>
      <w:lvlText w:val="%9."/>
      <w:lvlJc w:val="right"/>
      <w:pPr>
        <w:ind w:left="6480" w:hanging="180"/>
      </w:pPr>
    </w:lvl>
  </w:abstractNum>
  <w:abstractNum w:abstractNumId="4" w15:restartNumberingAfterBreak="0">
    <w:nsid w:val="23007153"/>
    <w:multiLevelType w:val="hybridMultilevel"/>
    <w:tmpl w:val="A9C22598"/>
    <w:lvl w:ilvl="0" w:tplc="2D8A8BFE">
      <w:start w:val="1"/>
      <w:numFmt w:val="decimal"/>
      <w:lvlText w:val="%1."/>
      <w:lvlJc w:val="left"/>
      <w:pPr>
        <w:ind w:left="360" w:hanging="360"/>
      </w:pPr>
    </w:lvl>
    <w:lvl w:ilvl="1" w:tplc="11322630" w:tentative="1">
      <w:start w:val="1"/>
      <w:numFmt w:val="lowerLetter"/>
      <w:lvlText w:val="%2."/>
      <w:lvlJc w:val="left"/>
      <w:pPr>
        <w:ind w:left="1080" w:hanging="360"/>
      </w:pPr>
    </w:lvl>
    <w:lvl w:ilvl="2" w:tplc="679EAED2" w:tentative="1">
      <w:start w:val="1"/>
      <w:numFmt w:val="lowerRoman"/>
      <w:lvlText w:val="%3."/>
      <w:lvlJc w:val="right"/>
      <w:pPr>
        <w:ind w:left="1800" w:hanging="180"/>
      </w:pPr>
    </w:lvl>
    <w:lvl w:ilvl="3" w:tplc="2C96CE88" w:tentative="1">
      <w:start w:val="1"/>
      <w:numFmt w:val="decimal"/>
      <w:lvlText w:val="%4."/>
      <w:lvlJc w:val="left"/>
      <w:pPr>
        <w:ind w:left="2520" w:hanging="360"/>
      </w:pPr>
    </w:lvl>
    <w:lvl w:ilvl="4" w:tplc="F7B6BFC8" w:tentative="1">
      <w:start w:val="1"/>
      <w:numFmt w:val="lowerLetter"/>
      <w:lvlText w:val="%5."/>
      <w:lvlJc w:val="left"/>
      <w:pPr>
        <w:ind w:left="3240" w:hanging="360"/>
      </w:pPr>
    </w:lvl>
    <w:lvl w:ilvl="5" w:tplc="F6247C1E" w:tentative="1">
      <w:start w:val="1"/>
      <w:numFmt w:val="lowerRoman"/>
      <w:lvlText w:val="%6."/>
      <w:lvlJc w:val="right"/>
      <w:pPr>
        <w:ind w:left="3960" w:hanging="180"/>
      </w:pPr>
    </w:lvl>
    <w:lvl w:ilvl="6" w:tplc="EF4AA762" w:tentative="1">
      <w:start w:val="1"/>
      <w:numFmt w:val="decimal"/>
      <w:lvlText w:val="%7."/>
      <w:lvlJc w:val="left"/>
      <w:pPr>
        <w:ind w:left="4680" w:hanging="360"/>
      </w:pPr>
    </w:lvl>
    <w:lvl w:ilvl="7" w:tplc="E0D85174" w:tentative="1">
      <w:start w:val="1"/>
      <w:numFmt w:val="lowerLetter"/>
      <w:lvlText w:val="%8."/>
      <w:lvlJc w:val="left"/>
      <w:pPr>
        <w:ind w:left="5400" w:hanging="360"/>
      </w:pPr>
    </w:lvl>
    <w:lvl w:ilvl="8" w:tplc="3FCE4976" w:tentative="1">
      <w:start w:val="1"/>
      <w:numFmt w:val="lowerRoman"/>
      <w:lvlText w:val="%9."/>
      <w:lvlJc w:val="right"/>
      <w:pPr>
        <w:ind w:left="6120" w:hanging="180"/>
      </w:pPr>
    </w:lvl>
  </w:abstractNum>
  <w:abstractNum w:abstractNumId="5" w15:restartNumberingAfterBreak="0">
    <w:nsid w:val="240A5F44"/>
    <w:multiLevelType w:val="hybridMultilevel"/>
    <w:tmpl w:val="87FAFC60"/>
    <w:lvl w:ilvl="0" w:tplc="E2906022">
      <w:start w:val="1"/>
      <w:numFmt w:val="decimal"/>
      <w:lvlText w:val="%1."/>
      <w:lvlJc w:val="left"/>
      <w:pPr>
        <w:ind w:left="720" w:hanging="360"/>
      </w:pPr>
    </w:lvl>
    <w:lvl w:ilvl="1" w:tplc="86280B2A" w:tentative="1">
      <w:start w:val="1"/>
      <w:numFmt w:val="lowerLetter"/>
      <w:lvlText w:val="%2."/>
      <w:lvlJc w:val="left"/>
      <w:pPr>
        <w:ind w:left="1440" w:hanging="360"/>
      </w:pPr>
    </w:lvl>
    <w:lvl w:ilvl="2" w:tplc="C784B640" w:tentative="1">
      <w:start w:val="1"/>
      <w:numFmt w:val="lowerRoman"/>
      <w:lvlText w:val="%3."/>
      <w:lvlJc w:val="right"/>
      <w:pPr>
        <w:ind w:left="2160" w:hanging="180"/>
      </w:pPr>
    </w:lvl>
    <w:lvl w:ilvl="3" w:tplc="280A6E88" w:tentative="1">
      <w:start w:val="1"/>
      <w:numFmt w:val="decimal"/>
      <w:lvlText w:val="%4."/>
      <w:lvlJc w:val="left"/>
      <w:pPr>
        <w:ind w:left="2880" w:hanging="360"/>
      </w:pPr>
    </w:lvl>
    <w:lvl w:ilvl="4" w:tplc="C5C6CBA8" w:tentative="1">
      <w:start w:val="1"/>
      <w:numFmt w:val="lowerLetter"/>
      <w:lvlText w:val="%5."/>
      <w:lvlJc w:val="left"/>
      <w:pPr>
        <w:ind w:left="3600" w:hanging="360"/>
      </w:pPr>
    </w:lvl>
    <w:lvl w:ilvl="5" w:tplc="9544F792" w:tentative="1">
      <w:start w:val="1"/>
      <w:numFmt w:val="lowerRoman"/>
      <w:lvlText w:val="%6."/>
      <w:lvlJc w:val="right"/>
      <w:pPr>
        <w:ind w:left="4320" w:hanging="180"/>
      </w:pPr>
    </w:lvl>
    <w:lvl w:ilvl="6" w:tplc="3A22B1BA" w:tentative="1">
      <w:start w:val="1"/>
      <w:numFmt w:val="decimal"/>
      <w:lvlText w:val="%7."/>
      <w:lvlJc w:val="left"/>
      <w:pPr>
        <w:ind w:left="5040" w:hanging="360"/>
      </w:pPr>
    </w:lvl>
    <w:lvl w:ilvl="7" w:tplc="B414D312" w:tentative="1">
      <w:start w:val="1"/>
      <w:numFmt w:val="lowerLetter"/>
      <w:lvlText w:val="%8."/>
      <w:lvlJc w:val="left"/>
      <w:pPr>
        <w:ind w:left="5760" w:hanging="360"/>
      </w:pPr>
    </w:lvl>
    <w:lvl w:ilvl="8" w:tplc="07F8346C"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C68606C"/>
    <w:multiLevelType w:val="hybridMultilevel"/>
    <w:tmpl w:val="8D06A2BC"/>
    <w:lvl w:ilvl="0" w:tplc="9E50F8B8">
      <w:start w:val="1"/>
      <w:numFmt w:val="decimal"/>
      <w:lvlText w:val="%1."/>
      <w:lvlJc w:val="left"/>
      <w:pPr>
        <w:ind w:left="2070" w:hanging="360"/>
      </w:pPr>
      <w:rPr>
        <w:b w:val="0"/>
        <w:bCs w:val="0"/>
      </w:rPr>
    </w:lvl>
    <w:lvl w:ilvl="1" w:tplc="71A659CA" w:tentative="1">
      <w:start w:val="1"/>
      <w:numFmt w:val="lowerLetter"/>
      <w:lvlText w:val="%2."/>
      <w:lvlJc w:val="left"/>
      <w:pPr>
        <w:ind w:left="2790" w:hanging="360"/>
      </w:pPr>
    </w:lvl>
    <w:lvl w:ilvl="2" w:tplc="272886BC" w:tentative="1">
      <w:start w:val="1"/>
      <w:numFmt w:val="lowerRoman"/>
      <w:lvlText w:val="%3."/>
      <w:lvlJc w:val="right"/>
      <w:pPr>
        <w:ind w:left="3510" w:hanging="180"/>
      </w:pPr>
    </w:lvl>
    <w:lvl w:ilvl="3" w:tplc="43801080" w:tentative="1">
      <w:start w:val="1"/>
      <w:numFmt w:val="decimal"/>
      <w:lvlText w:val="%4."/>
      <w:lvlJc w:val="left"/>
      <w:pPr>
        <w:ind w:left="4230" w:hanging="360"/>
      </w:pPr>
    </w:lvl>
    <w:lvl w:ilvl="4" w:tplc="753E3C82" w:tentative="1">
      <w:start w:val="1"/>
      <w:numFmt w:val="lowerLetter"/>
      <w:lvlText w:val="%5."/>
      <w:lvlJc w:val="left"/>
      <w:pPr>
        <w:ind w:left="4950" w:hanging="360"/>
      </w:pPr>
    </w:lvl>
    <w:lvl w:ilvl="5" w:tplc="CC2EBE00" w:tentative="1">
      <w:start w:val="1"/>
      <w:numFmt w:val="lowerRoman"/>
      <w:lvlText w:val="%6."/>
      <w:lvlJc w:val="right"/>
      <w:pPr>
        <w:ind w:left="5670" w:hanging="180"/>
      </w:pPr>
    </w:lvl>
    <w:lvl w:ilvl="6" w:tplc="AD54EDF0" w:tentative="1">
      <w:start w:val="1"/>
      <w:numFmt w:val="decimal"/>
      <w:lvlText w:val="%7."/>
      <w:lvlJc w:val="left"/>
      <w:pPr>
        <w:ind w:left="6390" w:hanging="360"/>
      </w:pPr>
    </w:lvl>
    <w:lvl w:ilvl="7" w:tplc="A70285EE" w:tentative="1">
      <w:start w:val="1"/>
      <w:numFmt w:val="lowerLetter"/>
      <w:lvlText w:val="%8."/>
      <w:lvlJc w:val="left"/>
      <w:pPr>
        <w:ind w:left="7110" w:hanging="360"/>
      </w:pPr>
    </w:lvl>
    <w:lvl w:ilvl="8" w:tplc="6606946A" w:tentative="1">
      <w:start w:val="1"/>
      <w:numFmt w:val="lowerRoman"/>
      <w:lvlText w:val="%9."/>
      <w:lvlJc w:val="right"/>
      <w:pPr>
        <w:ind w:left="7830" w:hanging="180"/>
      </w:pPr>
    </w:lvl>
  </w:abstractNum>
  <w:abstractNum w:abstractNumId="9" w15:restartNumberingAfterBreak="0">
    <w:nsid w:val="2D1373D0"/>
    <w:multiLevelType w:val="hybridMultilevel"/>
    <w:tmpl w:val="64823644"/>
    <w:lvl w:ilvl="0" w:tplc="F6B64922">
      <w:start w:val="1"/>
      <w:numFmt w:val="bullet"/>
      <w:lvlText w:val=""/>
      <w:lvlJc w:val="left"/>
      <w:pPr>
        <w:ind w:left="720" w:hanging="360"/>
      </w:pPr>
      <w:rPr>
        <w:rFonts w:ascii="Symbol" w:hAnsi="Symbol" w:hint="default"/>
      </w:rPr>
    </w:lvl>
    <w:lvl w:ilvl="1" w:tplc="EF80BFE4" w:tentative="1">
      <w:start w:val="1"/>
      <w:numFmt w:val="bullet"/>
      <w:lvlText w:val="o"/>
      <w:lvlJc w:val="left"/>
      <w:pPr>
        <w:ind w:left="1440" w:hanging="360"/>
      </w:pPr>
      <w:rPr>
        <w:rFonts w:ascii="Courier New" w:hAnsi="Courier New" w:cs="Courier New" w:hint="default"/>
      </w:rPr>
    </w:lvl>
    <w:lvl w:ilvl="2" w:tplc="34FC2702" w:tentative="1">
      <w:start w:val="1"/>
      <w:numFmt w:val="bullet"/>
      <w:lvlText w:val=""/>
      <w:lvlJc w:val="left"/>
      <w:pPr>
        <w:ind w:left="2160" w:hanging="360"/>
      </w:pPr>
      <w:rPr>
        <w:rFonts w:ascii="Wingdings" w:hAnsi="Wingdings" w:hint="default"/>
      </w:rPr>
    </w:lvl>
    <w:lvl w:ilvl="3" w:tplc="0104414E" w:tentative="1">
      <w:start w:val="1"/>
      <w:numFmt w:val="bullet"/>
      <w:lvlText w:val=""/>
      <w:lvlJc w:val="left"/>
      <w:pPr>
        <w:ind w:left="2880" w:hanging="360"/>
      </w:pPr>
      <w:rPr>
        <w:rFonts w:ascii="Symbol" w:hAnsi="Symbol" w:hint="default"/>
      </w:rPr>
    </w:lvl>
    <w:lvl w:ilvl="4" w:tplc="A9A225DA" w:tentative="1">
      <w:start w:val="1"/>
      <w:numFmt w:val="bullet"/>
      <w:lvlText w:val="o"/>
      <w:lvlJc w:val="left"/>
      <w:pPr>
        <w:ind w:left="3600" w:hanging="360"/>
      </w:pPr>
      <w:rPr>
        <w:rFonts w:ascii="Courier New" w:hAnsi="Courier New" w:cs="Courier New" w:hint="default"/>
      </w:rPr>
    </w:lvl>
    <w:lvl w:ilvl="5" w:tplc="64A6B80A" w:tentative="1">
      <w:start w:val="1"/>
      <w:numFmt w:val="bullet"/>
      <w:lvlText w:val=""/>
      <w:lvlJc w:val="left"/>
      <w:pPr>
        <w:ind w:left="4320" w:hanging="360"/>
      </w:pPr>
      <w:rPr>
        <w:rFonts w:ascii="Wingdings" w:hAnsi="Wingdings" w:hint="default"/>
      </w:rPr>
    </w:lvl>
    <w:lvl w:ilvl="6" w:tplc="F77A8790" w:tentative="1">
      <w:start w:val="1"/>
      <w:numFmt w:val="bullet"/>
      <w:lvlText w:val=""/>
      <w:lvlJc w:val="left"/>
      <w:pPr>
        <w:ind w:left="5040" w:hanging="360"/>
      </w:pPr>
      <w:rPr>
        <w:rFonts w:ascii="Symbol" w:hAnsi="Symbol" w:hint="default"/>
      </w:rPr>
    </w:lvl>
    <w:lvl w:ilvl="7" w:tplc="2C5C4866" w:tentative="1">
      <w:start w:val="1"/>
      <w:numFmt w:val="bullet"/>
      <w:lvlText w:val="o"/>
      <w:lvlJc w:val="left"/>
      <w:pPr>
        <w:ind w:left="5760" w:hanging="360"/>
      </w:pPr>
      <w:rPr>
        <w:rFonts w:ascii="Courier New" w:hAnsi="Courier New" w:cs="Courier New" w:hint="default"/>
      </w:rPr>
    </w:lvl>
    <w:lvl w:ilvl="8" w:tplc="CFEE9BDA"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E07ABC"/>
    <w:multiLevelType w:val="hybridMultilevel"/>
    <w:tmpl w:val="DF8229D0"/>
    <w:lvl w:ilvl="0" w:tplc="94421876">
      <w:start w:val="1"/>
      <w:numFmt w:val="decimal"/>
      <w:lvlText w:val="%1."/>
      <w:lvlJc w:val="left"/>
      <w:pPr>
        <w:ind w:left="720" w:hanging="360"/>
      </w:pPr>
    </w:lvl>
    <w:lvl w:ilvl="1" w:tplc="C4D47A28" w:tentative="1">
      <w:start w:val="1"/>
      <w:numFmt w:val="lowerLetter"/>
      <w:lvlText w:val="%2."/>
      <w:lvlJc w:val="left"/>
      <w:pPr>
        <w:ind w:left="1440" w:hanging="360"/>
      </w:pPr>
    </w:lvl>
    <w:lvl w:ilvl="2" w:tplc="B83C8D50" w:tentative="1">
      <w:start w:val="1"/>
      <w:numFmt w:val="lowerRoman"/>
      <w:lvlText w:val="%3."/>
      <w:lvlJc w:val="right"/>
      <w:pPr>
        <w:ind w:left="2160" w:hanging="180"/>
      </w:pPr>
    </w:lvl>
    <w:lvl w:ilvl="3" w:tplc="ADEE117A" w:tentative="1">
      <w:start w:val="1"/>
      <w:numFmt w:val="decimal"/>
      <w:lvlText w:val="%4."/>
      <w:lvlJc w:val="left"/>
      <w:pPr>
        <w:ind w:left="2880" w:hanging="360"/>
      </w:pPr>
    </w:lvl>
    <w:lvl w:ilvl="4" w:tplc="CE7273F4" w:tentative="1">
      <w:start w:val="1"/>
      <w:numFmt w:val="lowerLetter"/>
      <w:lvlText w:val="%5."/>
      <w:lvlJc w:val="left"/>
      <w:pPr>
        <w:ind w:left="3600" w:hanging="360"/>
      </w:pPr>
    </w:lvl>
    <w:lvl w:ilvl="5" w:tplc="E3C23A58" w:tentative="1">
      <w:start w:val="1"/>
      <w:numFmt w:val="lowerRoman"/>
      <w:lvlText w:val="%6."/>
      <w:lvlJc w:val="right"/>
      <w:pPr>
        <w:ind w:left="4320" w:hanging="180"/>
      </w:pPr>
    </w:lvl>
    <w:lvl w:ilvl="6" w:tplc="9632807E" w:tentative="1">
      <w:start w:val="1"/>
      <w:numFmt w:val="decimal"/>
      <w:lvlText w:val="%7."/>
      <w:lvlJc w:val="left"/>
      <w:pPr>
        <w:ind w:left="5040" w:hanging="360"/>
      </w:pPr>
    </w:lvl>
    <w:lvl w:ilvl="7" w:tplc="DE12163E" w:tentative="1">
      <w:start w:val="1"/>
      <w:numFmt w:val="lowerLetter"/>
      <w:lvlText w:val="%8."/>
      <w:lvlJc w:val="left"/>
      <w:pPr>
        <w:ind w:left="5760" w:hanging="360"/>
      </w:pPr>
    </w:lvl>
    <w:lvl w:ilvl="8" w:tplc="B7BC31F8"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65F1690"/>
    <w:multiLevelType w:val="multilevel"/>
    <w:tmpl w:val="F4503E6C"/>
    <w:lvl w:ilvl="0">
      <w:start w:val="1"/>
      <w:numFmt w:val="decimal"/>
      <w:lvlText w:val="%1."/>
      <w:lvlJc w:val="left"/>
      <w:pPr>
        <w:ind w:left="360" w:hanging="360"/>
      </w:pPr>
      <w:rPr>
        <w:rFonts w:asciiTheme="majorHAnsi" w:hAnsiTheme="majorHAnsi" w:cstheme="majorHAnsi" w:hint="default"/>
        <w:b/>
        <w:bCs/>
      </w:rPr>
    </w:lvl>
    <w:lvl w:ilvl="1">
      <w:start w:val="1"/>
      <w:numFmt w:val="decimal"/>
      <w:lvlText w:val="%1.%2"/>
      <w:lvlJc w:val="left"/>
      <w:pPr>
        <w:ind w:left="864" w:hanging="504"/>
      </w:pPr>
      <w:rPr>
        <w:rFonts w:ascii="Calibri" w:hAnsi="Calibri" w:hint="default"/>
        <w:b w:val="0"/>
        <w:i w:val="0"/>
        <w:sz w:val="24"/>
      </w:rPr>
    </w:lvl>
    <w:lvl w:ilvl="2">
      <w:start w:val="1"/>
      <w:numFmt w:val="decimal"/>
      <w:lvlText w:val="%1.%2.%3"/>
      <w:lvlJc w:val="left"/>
      <w:pPr>
        <w:ind w:left="1440" w:hanging="720"/>
      </w:pPr>
      <w:rPr>
        <w:rFonts w:hint="default"/>
      </w:rPr>
    </w:lvl>
    <w:lvl w:ilvl="3">
      <w:start w:val="1"/>
      <w:numFmt w:val="decimal"/>
      <w:lvlText w:val="%1.%2.%3.%4"/>
      <w:lvlJc w:val="left"/>
      <w:pPr>
        <w:ind w:left="2016" w:hanging="936"/>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8044557C">
      <w:start w:val="1"/>
      <w:numFmt w:val="bullet"/>
      <w:lvlText w:val=""/>
      <w:lvlJc w:val="left"/>
      <w:pPr>
        <w:ind w:left="720" w:hanging="360"/>
      </w:pPr>
      <w:rPr>
        <w:rFonts w:ascii="Symbol" w:hAnsi="Symbol" w:hint="default"/>
      </w:rPr>
    </w:lvl>
    <w:lvl w:ilvl="1" w:tplc="DFEAABBC" w:tentative="1">
      <w:start w:val="1"/>
      <w:numFmt w:val="bullet"/>
      <w:lvlText w:val="o"/>
      <w:lvlJc w:val="left"/>
      <w:pPr>
        <w:ind w:left="1440" w:hanging="360"/>
      </w:pPr>
      <w:rPr>
        <w:rFonts w:ascii="Courier New" w:hAnsi="Courier New" w:cs="Courier New" w:hint="default"/>
      </w:rPr>
    </w:lvl>
    <w:lvl w:ilvl="2" w:tplc="FBE2BBAA" w:tentative="1">
      <w:start w:val="1"/>
      <w:numFmt w:val="bullet"/>
      <w:lvlText w:val=""/>
      <w:lvlJc w:val="left"/>
      <w:pPr>
        <w:ind w:left="2160" w:hanging="360"/>
      </w:pPr>
      <w:rPr>
        <w:rFonts w:ascii="Wingdings" w:hAnsi="Wingdings" w:hint="default"/>
      </w:rPr>
    </w:lvl>
    <w:lvl w:ilvl="3" w:tplc="EB722892" w:tentative="1">
      <w:start w:val="1"/>
      <w:numFmt w:val="bullet"/>
      <w:lvlText w:val=""/>
      <w:lvlJc w:val="left"/>
      <w:pPr>
        <w:ind w:left="2880" w:hanging="360"/>
      </w:pPr>
      <w:rPr>
        <w:rFonts w:ascii="Symbol" w:hAnsi="Symbol" w:hint="default"/>
      </w:rPr>
    </w:lvl>
    <w:lvl w:ilvl="4" w:tplc="DFF6A410" w:tentative="1">
      <w:start w:val="1"/>
      <w:numFmt w:val="bullet"/>
      <w:lvlText w:val="o"/>
      <w:lvlJc w:val="left"/>
      <w:pPr>
        <w:ind w:left="3600" w:hanging="360"/>
      </w:pPr>
      <w:rPr>
        <w:rFonts w:ascii="Courier New" w:hAnsi="Courier New" w:cs="Courier New" w:hint="default"/>
      </w:rPr>
    </w:lvl>
    <w:lvl w:ilvl="5" w:tplc="970C4EF0" w:tentative="1">
      <w:start w:val="1"/>
      <w:numFmt w:val="bullet"/>
      <w:lvlText w:val=""/>
      <w:lvlJc w:val="left"/>
      <w:pPr>
        <w:ind w:left="4320" w:hanging="360"/>
      </w:pPr>
      <w:rPr>
        <w:rFonts w:ascii="Wingdings" w:hAnsi="Wingdings" w:hint="default"/>
      </w:rPr>
    </w:lvl>
    <w:lvl w:ilvl="6" w:tplc="DF08BFC8" w:tentative="1">
      <w:start w:val="1"/>
      <w:numFmt w:val="bullet"/>
      <w:lvlText w:val=""/>
      <w:lvlJc w:val="left"/>
      <w:pPr>
        <w:ind w:left="5040" w:hanging="360"/>
      </w:pPr>
      <w:rPr>
        <w:rFonts w:ascii="Symbol" w:hAnsi="Symbol" w:hint="default"/>
      </w:rPr>
    </w:lvl>
    <w:lvl w:ilvl="7" w:tplc="E7507B68" w:tentative="1">
      <w:start w:val="1"/>
      <w:numFmt w:val="bullet"/>
      <w:lvlText w:val="o"/>
      <w:lvlJc w:val="left"/>
      <w:pPr>
        <w:ind w:left="5760" w:hanging="360"/>
      </w:pPr>
      <w:rPr>
        <w:rFonts w:ascii="Courier New" w:hAnsi="Courier New" w:cs="Courier New" w:hint="default"/>
      </w:rPr>
    </w:lvl>
    <w:lvl w:ilvl="8" w:tplc="AC06DBB2"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31414D7"/>
    <w:multiLevelType w:val="multilevel"/>
    <w:tmpl w:val="5AAA8198"/>
    <w:lvl w:ilvl="0">
      <w:start w:val="3"/>
      <w:numFmt w:val="decimal"/>
      <w:lvlText w:val="%1"/>
      <w:lvlJc w:val="left"/>
      <w:pPr>
        <w:ind w:left="450" w:hanging="450"/>
      </w:pPr>
      <w:rPr>
        <w:rFonts w:hint="default"/>
      </w:rPr>
    </w:lvl>
    <w:lvl w:ilvl="1">
      <w:start w:val="1"/>
      <w:numFmt w:val="decimal"/>
      <w:lvlText w:val="%1.%2"/>
      <w:lvlJc w:val="left"/>
      <w:pPr>
        <w:ind w:left="882" w:hanging="45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20" w15:restartNumberingAfterBreak="0">
    <w:nsid w:val="477504F9"/>
    <w:multiLevelType w:val="hybridMultilevel"/>
    <w:tmpl w:val="B936CE44"/>
    <w:lvl w:ilvl="0" w:tplc="CD3E4E86">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CA1260"/>
    <w:multiLevelType w:val="multilevel"/>
    <w:tmpl w:val="57A6D3E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0FC11D4"/>
    <w:multiLevelType w:val="hybridMultilevel"/>
    <w:tmpl w:val="84D43CAC"/>
    <w:lvl w:ilvl="0" w:tplc="11DA3186">
      <w:start w:val="1"/>
      <w:numFmt w:val="bullet"/>
      <w:lvlText w:val=""/>
      <w:lvlJc w:val="left"/>
      <w:pPr>
        <w:ind w:left="360" w:hanging="360"/>
      </w:pPr>
      <w:rPr>
        <w:rFonts w:ascii="Symbol" w:hAnsi="Symbol" w:hint="default"/>
        <w:sz w:val="28"/>
        <w:szCs w:val="28"/>
      </w:rPr>
    </w:lvl>
    <w:lvl w:ilvl="1" w:tplc="41B2BBC2" w:tentative="1">
      <w:start w:val="1"/>
      <w:numFmt w:val="bullet"/>
      <w:lvlText w:val="o"/>
      <w:lvlJc w:val="left"/>
      <w:pPr>
        <w:ind w:left="1080" w:hanging="360"/>
      </w:pPr>
      <w:rPr>
        <w:rFonts w:ascii="Courier New" w:hAnsi="Courier New" w:cs="Courier New" w:hint="default"/>
      </w:rPr>
    </w:lvl>
    <w:lvl w:ilvl="2" w:tplc="8800FECE" w:tentative="1">
      <w:start w:val="1"/>
      <w:numFmt w:val="bullet"/>
      <w:lvlText w:val=""/>
      <w:lvlJc w:val="left"/>
      <w:pPr>
        <w:ind w:left="1800" w:hanging="360"/>
      </w:pPr>
      <w:rPr>
        <w:rFonts w:ascii="Wingdings" w:hAnsi="Wingdings" w:hint="default"/>
      </w:rPr>
    </w:lvl>
    <w:lvl w:ilvl="3" w:tplc="D1322442" w:tentative="1">
      <w:start w:val="1"/>
      <w:numFmt w:val="bullet"/>
      <w:lvlText w:val=""/>
      <w:lvlJc w:val="left"/>
      <w:pPr>
        <w:ind w:left="2520" w:hanging="360"/>
      </w:pPr>
      <w:rPr>
        <w:rFonts w:ascii="Symbol" w:hAnsi="Symbol" w:hint="default"/>
      </w:rPr>
    </w:lvl>
    <w:lvl w:ilvl="4" w:tplc="56600C22" w:tentative="1">
      <w:start w:val="1"/>
      <w:numFmt w:val="bullet"/>
      <w:lvlText w:val="o"/>
      <w:lvlJc w:val="left"/>
      <w:pPr>
        <w:ind w:left="3240" w:hanging="360"/>
      </w:pPr>
      <w:rPr>
        <w:rFonts w:ascii="Courier New" w:hAnsi="Courier New" w:cs="Courier New" w:hint="default"/>
      </w:rPr>
    </w:lvl>
    <w:lvl w:ilvl="5" w:tplc="B2C0060E" w:tentative="1">
      <w:start w:val="1"/>
      <w:numFmt w:val="bullet"/>
      <w:lvlText w:val=""/>
      <w:lvlJc w:val="left"/>
      <w:pPr>
        <w:ind w:left="3960" w:hanging="360"/>
      </w:pPr>
      <w:rPr>
        <w:rFonts w:ascii="Wingdings" w:hAnsi="Wingdings" w:hint="default"/>
      </w:rPr>
    </w:lvl>
    <w:lvl w:ilvl="6" w:tplc="A8A8B634" w:tentative="1">
      <w:start w:val="1"/>
      <w:numFmt w:val="bullet"/>
      <w:lvlText w:val=""/>
      <w:lvlJc w:val="left"/>
      <w:pPr>
        <w:ind w:left="4680" w:hanging="360"/>
      </w:pPr>
      <w:rPr>
        <w:rFonts w:ascii="Symbol" w:hAnsi="Symbol" w:hint="default"/>
      </w:rPr>
    </w:lvl>
    <w:lvl w:ilvl="7" w:tplc="876837EA" w:tentative="1">
      <w:start w:val="1"/>
      <w:numFmt w:val="bullet"/>
      <w:lvlText w:val="o"/>
      <w:lvlJc w:val="left"/>
      <w:pPr>
        <w:ind w:left="5400" w:hanging="360"/>
      </w:pPr>
      <w:rPr>
        <w:rFonts w:ascii="Courier New" w:hAnsi="Courier New" w:cs="Courier New" w:hint="default"/>
      </w:rPr>
    </w:lvl>
    <w:lvl w:ilvl="8" w:tplc="7BD8A962" w:tentative="1">
      <w:start w:val="1"/>
      <w:numFmt w:val="bullet"/>
      <w:lvlText w:val=""/>
      <w:lvlJc w:val="left"/>
      <w:pPr>
        <w:ind w:left="6120" w:hanging="360"/>
      </w:pPr>
      <w:rPr>
        <w:rFonts w:ascii="Wingdings" w:hAnsi="Wingdings" w:hint="default"/>
      </w:rPr>
    </w:lvl>
  </w:abstractNum>
  <w:abstractNum w:abstractNumId="25" w15:restartNumberingAfterBreak="0">
    <w:nsid w:val="54190236"/>
    <w:multiLevelType w:val="hybridMultilevel"/>
    <w:tmpl w:val="DED8A5C8"/>
    <w:lvl w:ilvl="0" w:tplc="FF88C2B0">
      <w:start w:val="1"/>
      <w:numFmt w:val="decimal"/>
      <w:lvlText w:val="%1."/>
      <w:lvlJc w:val="left"/>
      <w:pPr>
        <w:ind w:left="720" w:hanging="360"/>
      </w:pPr>
      <w:rPr>
        <w:rFonts w:hint="default"/>
      </w:rPr>
    </w:lvl>
    <w:lvl w:ilvl="1" w:tplc="6CFC6194">
      <w:start w:val="1"/>
      <w:numFmt w:val="decimal"/>
      <w:lvlText w:val="%2."/>
      <w:lvlJc w:val="left"/>
      <w:pPr>
        <w:ind w:left="1440" w:hanging="360"/>
      </w:pPr>
    </w:lvl>
    <w:lvl w:ilvl="2" w:tplc="C406AA70" w:tentative="1">
      <w:start w:val="1"/>
      <w:numFmt w:val="lowerRoman"/>
      <w:lvlText w:val="%3."/>
      <w:lvlJc w:val="right"/>
      <w:pPr>
        <w:ind w:left="2160" w:hanging="180"/>
      </w:pPr>
    </w:lvl>
    <w:lvl w:ilvl="3" w:tplc="28CC8302" w:tentative="1">
      <w:start w:val="1"/>
      <w:numFmt w:val="decimal"/>
      <w:lvlText w:val="%4."/>
      <w:lvlJc w:val="left"/>
      <w:pPr>
        <w:ind w:left="2880" w:hanging="360"/>
      </w:pPr>
    </w:lvl>
    <w:lvl w:ilvl="4" w:tplc="56C6688C" w:tentative="1">
      <w:start w:val="1"/>
      <w:numFmt w:val="lowerLetter"/>
      <w:lvlText w:val="%5."/>
      <w:lvlJc w:val="left"/>
      <w:pPr>
        <w:ind w:left="3600" w:hanging="360"/>
      </w:pPr>
    </w:lvl>
    <w:lvl w:ilvl="5" w:tplc="31E455B8" w:tentative="1">
      <w:start w:val="1"/>
      <w:numFmt w:val="lowerRoman"/>
      <w:lvlText w:val="%6."/>
      <w:lvlJc w:val="right"/>
      <w:pPr>
        <w:ind w:left="4320" w:hanging="180"/>
      </w:pPr>
    </w:lvl>
    <w:lvl w:ilvl="6" w:tplc="C7DA7E72" w:tentative="1">
      <w:start w:val="1"/>
      <w:numFmt w:val="decimal"/>
      <w:lvlText w:val="%7."/>
      <w:lvlJc w:val="left"/>
      <w:pPr>
        <w:ind w:left="5040" w:hanging="360"/>
      </w:pPr>
    </w:lvl>
    <w:lvl w:ilvl="7" w:tplc="7D48A0B4" w:tentative="1">
      <w:start w:val="1"/>
      <w:numFmt w:val="lowerLetter"/>
      <w:lvlText w:val="%8."/>
      <w:lvlJc w:val="left"/>
      <w:pPr>
        <w:ind w:left="5760" w:hanging="360"/>
      </w:pPr>
    </w:lvl>
    <w:lvl w:ilvl="8" w:tplc="C180BDC6" w:tentative="1">
      <w:start w:val="1"/>
      <w:numFmt w:val="lowerRoman"/>
      <w:lvlText w:val="%9."/>
      <w:lvlJc w:val="right"/>
      <w:pPr>
        <w:ind w:left="6480" w:hanging="180"/>
      </w:pPr>
    </w:lvl>
  </w:abstractNum>
  <w:abstractNum w:abstractNumId="26" w15:restartNumberingAfterBreak="0">
    <w:nsid w:val="6192598C"/>
    <w:multiLevelType w:val="hybridMultilevel"/>
    <w:tmpl w:val="32AEC7F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7" w15:restartNumberingAfterBreak="0">
    <w:nsid w:val="642405BA"/>
    <w:multiLevelType w:val="hybridMultilevel"/>
    <w:tmpl w:val="2BB05BF2"/>
    <w:lvl w:ilvl="0" w:tplc="056AFC12">
      <w:start w:val="7"/>
      <w:numFmt w:val="bullet"/>
      <w:lvlText w:val="-"/>
      <w:lvlJc w:val="left"/>
      <w:pPr>
        <w:ind w:left="1800" w:hanging="360"/>
      </w:pPr>
      <w:rPr>
        <w:rFonts w:ascii="Calibri" w:eastAsiaTheme="minorEastAsia" w:hAnsi="Calibri" w:cs="Calibri" w:hint="default"/>
      </w:rPr>
    </w:lvl>
    <w:lvl w:ilvl="1" w:tplc="FB6AD200" w:tentative="1">
      <w:start w:val="1"/>
      <w:numFmt w:val="bullet"/>
      <w:lvlText w:val="o"/>
      <w:lvlJc w:val="left"/>
      <w:pPr>
        <w:ind w:left="2520" w:hanging="360"/>
      </w:pPr>
      <w:rPr>
        <w:rFonts w:ascii="Courier New" w:hAnsi="Courier New" w:cs="Courier New" w:hint="default"/>
      </w:rPr>
    </w:lvl>
    <w:lvl w:ilvl="2" w:tplc="0BB2F07A" w:tentative="1">
      <w:start w:val="1"/>
      <w:numFmt w:val="bullet"/>
      <w:lvlText w:val=""/>
      <w:lvlJc w:val="left"/>
      <w:pPr>
        <w:ind w:left="3240" w:hanging="360"/>
      </w:pPr>
      <w:rPr>
        <w:rFonts w:ascii="Wingdings" w:hAnsi="Wingdings" w:hint="default"/>
      </w:rPr>
    </w:lvl>
    <w:lvl w:ilvl="3" w:tplc="30A6C0A4" w:tentative="1">
      <w:start w:val="1"/>
      <w:numFmt w:val="bullet"/>
      <w:lvlText w:val=""/>
      <w:lvlJc w:val="left"/>
      <w:pPr>
        <w:ind w:left="3960" w:hanging="360"/>
      </w:pPr>
      <w:rPr>
        <w:rFonts w:ascii="Symbol" w:hAnsi="Symbol" w:hint="default"/>
      </w:rPr>
    </w:lvl>
    <w:lvl w:ilvl="4" w:tplc="D1925E64" w:tentative="1">
      <w:start w:val="1"/>
      <w:numFmt w:val="bullet"/>
      <w:lvlText w:val="o"/>
      <w:lvlJc w:val="left"/>
      <w:pPr>
        <w:ind w:left="4680" w:hanging="360"/>
      </w:pPr>
      <w:rPr>
        <w:rFonts w:ascii="Courier New" w:hAnsi="Courier New" w:cs="Courier New" w:hint="default"/>
      </w:rPr>
    </w:lvl>
    <w:lvl w:ilvl="5" w:tplc="BFE4175C" w:tentative="1">
      <w:start w:val="1"/>
      <w:numFmt w:val="bullet"/>
      <w:lvlText w:val=""/>
      <w:lvlJc w:val="left"/>
      <w:pPr>
        <w:ind w:left="5400" w:hanging="360"/>
      </w:pPr>
      <w:rPr>
        <w:rFonts w:ascii="Wingdings" w:hAnsi="Wingdings" w:hint="default"/>
      </w:rPr>
    </w:lvl>
    <w:lvl w:ilvl="6" w:tplc="81449736" w:tentative="1">
      <w:start w:val="1"/>
      <w:numFmt w:val="bullet"/>
      <w:lvlText w:val=""/>
      <w:lvlJc w:val="left"/>
      <w:pPr>
        <w:ind w:left="6120" w:hanging="360"/>
      </w:pPr>
      <w:rPr>
        <w:rFonts w:ascii="Symbol" w:hAnsi="Symbol" w:hint="default"/>
      </w:rPr>
    </w:lvl>
    <w:lvl w:ilvl="7" w:tplc="942C02D4" w:tentative="1">
      <w:start w:val="1"/>
      <w:numFmt w:val="bullet"/>
      <w:lvlText w:val="o"/>
      <w:lvlJc w:val="left"/>
      <w:pPr>
        <w:ind w:left="6840" w:hanging="360"/>
      </w:pPr>
      <w:rPr>
        <w:rFonts w:ascii="Courier New" w:hAnsi="Courier New" w:cs="Courier New" w:hint="default"/>
      </w:rPr>
    </w:lvl>
    <w:lvl w:ilvl="8" w:tplc="D0E435F2" w:tentative="1">
      <w:start w:val="1"/>
      <w:numFmt w:val="bullet"/>
      <w:lvlText w:val=""/>
      <w:lvlJc w:val="left"/>
      <w:pPr>
        <w:ind w:left="7560" w:hanging="360"/>
      </w:pPr>
      <w:rPr>
        <w:rFonts w:ascii="Wingdings" w:hAnsi="Wingdings" w:hint="default"/>
      </w:rPr>
    </w:lvl>
  </w:abstractNum>
  <w:abstractNum w:abstractNumId="2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B1D0C4A"/>
    <w:multiLevelType w:val="hybridMultilevel"/>
    <w:tmpl w:val="6AFE3318"/>
    <w:lvl w:ilvl="0" w:tplc="242AC390">
      <w:numFmt w:val="bullet"/>
      <w:lvlText w:val=""/>
      <w:lvlJc w:val="left"/>
      <w:pPr>
        <w:ind w:left="720" w:hanging="360"/>
      </w:pPr>
      <w:rPr>
        <w:rFonts w:ascii="Calibri" w:eastAsia="Calibri" w:hAnsi="Calibri" w:cs="Calibri" w:hint="default"/>
      </w:rPr>
    </w:lvl>
    <w:lvl w:ilvl="1" w:tplc="F15AC836" w:tentative="1">
      <w:start w:val="1"/>
      <w:numFmt w:val="bullet"/>
      <w:lvlText w:val="o"/>
      <w:lvlJc w:val="left"/>
      <w:pPr>
        <w:ind w:left="1440" w:hanging="360"/>
      </w:pPr>
      <w:rPr>
        <w:rFonts w:ascii="Courier New" w:hAnsi="Courier New" w:cs="Courier New" w:hint="default"/>
      </w:rPr>
    </w:lvl>
    <w:lvl w:ilvl="2" w:tplc="584CE198" w:tentative="1">
      <w:start w:val="1"/>
      <w:numFmt w:val="bullet"/>
      <w:lvlText w:val=""/>
      <w:lvlJc w:val="left"/>
      <w:pPr>
        <w:ind w:left="2160" w:hanging="360"/>
      </w:pPr>
      <w:rPr>
        <w:rFonts w:ascii="Wingdings" w:hAnsi="Wingdings" w:hint="default"/>
      </w:rPr>
    </w:lvl>
    <w:lvl w:ilvl="3" w:tplc="03BC7C06" w:tentative="1">
      <w:start w:val="1"/>
      <w:numFmt w:val="bullet"/>
      <w:lvlText w:val=""/>
      <w:lvlJc w:val="left"/>
      <w:pPr>
        <w:ind w:left="2880" w:hanging="360"/>
      </w:pPr>
      <w:rPr>
        <w:rFonts w:ascii="Symbol" w:hAnsi="Symbol" w:hint="default"/>
      </w:rPr>
    </w:lvl>
    <w:lvl w:ilvl="4" w:tplc="6B7C03A6" w:tentative="1">
      <w:start w:val="1"/>
      <w:numFmt w:val="bullet"/>
      <w:lvlText w:val="o"/>
      <w:lvlJc w:val="left"/>
      <w:pPr>
        <w:ind w:left="3600" w:hanging="360"/>
      </w:pPr>
      <w:rPr>
        <w:rFonts w:ascii="Courier New" w:hAnsi="Courier New" w:cs="Courier New" w:hint="default"/>
      </w:rPr>
    </w:lvl>
    <w:lvl w:ilvl="5" w:tplc="44A007C2" w:tentative="1">
      <w:start w:val="1"/>
      <w:numFmt w:val="bullet"/>
      <w:lvlText w:val=""/>
      <w:lvlJc w:val="left"/>
      <w:pPr>
        <w:ind w:left="4320" w:hanging="360"/>
      </w:pPr>
      <w:rPr>
        <w:rFonts w:ascii="Wingdings" w:hAnsi="Wingdings" w:hint="default"/>
      </w:rPr>
    </w:lvl>
    <w:lvl w:ilvl="6" w:tplc="05DC41C2" w:tentative="1">
      <w:start w:val="1"/>
      <w:numFmt w:val="bullet"/>
      <w:lvlText w:val=""/>
      <w:lvlJc w:val="left"/>
      <w:pPr>
        <w:ind w:left="5040" w:hanging="360"/>
      </w:pPr>
      <w:rPr>
        <w:rFonts w:ascii="Symbol" w:hAnsi="Symbol" w:hint="default"/>
      </w:rPr>
    </w:lvl>
    <w:lvl w:ilvl="7" w:tplc="0A76A05E" w:tentative="1">
      <w:start w:val="1"/>
      <w:numFmt w:val="bullet"/>
      <w:lvlText w:val="o"/>
      <w:lvlJc w:val="left"/>
      <w:pPr>
        <w:ind w:left="5760" w:hanging="360"/>
      </w:pPr>
      <w:rPr>
        <w:rFonts w:ascii="Courier New" w:hAnsi="Courier New" w:cs="Courier New" w:hint="default"/>
      </w:rPr>
    </w:lvl>
    <w:lvl w:ilvl="8" w:tplc="D276A054" w:tentative="1">
      <w:start w:val="1"/>
      <w:numFmt w:val="bullet"/>
      <w:lvlText w:val=""/>
      <w:lvlJc w:val="left"/>
      <w:pPr>
        <w:ind w:left="6480" w:hanging="360"/>
      </w:pPr>
      <w:rPr>
        <w:rFonts w:ascii="Wingdings" w:hAnsi="Wingdings" w:hint="default"/>
      </w:rPr>
    </w:lvl>
  </w:abstractNum>
  <w:abstractNum w:abstractNumId="30"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47B6BC2"/>
    <w:multiLevelType w:val="hybridMultilevel"/>
    <w:tmpl w:val="36F6EDBE"/>
    <w:lvl w:ilvl="0" w:tplc="02AE059C">
      <w:start w:val="1"/>
      <w:numFmt w:val="bullet"/>
      <w:lvlText w:val=""/>
      <w:lvlJc w:val="left"/>
      <w:pPr>
        <w:ind w:left="720" w:hanging="360"/>
      </w:pPr>
      <w:rPr>
        <w:rFonts w:ascii="Symbol" w:hAnsi="Symbol" w:hint="default"/>
      </w:rPr>
    </w:lvl>
    <w:lvl w:ilvl="1" w:tplc="86EA5C44" w:tentative="1">
      <w:start w:val="1"/>
      <w:numFmt w:val="bullet"/>
      <w:lvlText w:val="o"/>
      <w:lvlJc w:val="left"/>
      <w:pPr>
        <w:ind w:left="1440" w:hanging="360"/>
      </w:pPr>
      <w:rPr>
        <w:rFonts w:ascii="Courier New" w:hAnsi="Courier New" w:cs="Courier New" w:hint="default"/>
      </w:rPr>
    </w:lvl>
    <w:lvl w:ilvl="2" w:tplc="FAAE9006" w:tentative="1">
      <w:start w:val="1"/>
      <w:numFmt w:val="bullet"/>
      <w:lvlText w:val=""/>
      <w:lvlJc w:val="left"/>
      <w:pPr>
        <w:ind w:left="2160" w:hanging="360"/>
      </w:pPr>
      <w:rPr>
        <w:rFonts w:ascii="Wingdings" w:hAnsi="Wingdings" w:hint="default"/>
      </w:rPr>
    </w:lvl>
    <w:lvl w:ilvl="3" w:tplc="C324ACE0" w:tentative="1">
      <w:start w:val="1"/>
      <w:numFmt w:val="bullet"/>
      <w:lvlText w:val=""/>
      <w:lvlJc w:val="left"/>
      <w:pPr>
        <w:ind w:left="2880" w:hanging="360"/>
      </w:pPr>
      <w:rPr>
        <w:rFonts w:ascii="Symbol" w:hAnsi="Symbol" w:hint="default"/>
      </w:rPr>
    </w:lvl>
    <w:lvl w:ilvl="4" w:tplc="8A8CC4F8" w:tentative="1">
      <w:start w:val="1"/>
      <w:numFmt w:val="bullet"/>
      <w:lvlText w:val="o"/>
      <w:lvlJc w:val="left"/>
      <w:pPr>
        <w:ind w:left="3600" w:hanging="360"/>
      </w:pPr>
      <w:rPr>
        <w:rFonts w:ascii="Courier New" w:hAnsi="Courier New" w:cs="Courier New" w:hint="default"/>
      </w:rPr>
    </w:lvl>
    <w:lvl w:ilvl="5" w:tplc="1436D766" w:tentative="1">
      <w:start w:val="1"/>
      <w:numFmt w:val="bullet"/>
      <w:lvlText w:val=""/>
      <w:lvlJc w:val="left"/>
      <w:pPr>
        <w:ind w:left="4320" w:hanging="360"/>
      </w:pPr>
      <w:rPr>
        <w:rFonts w:ascii="Wingdings" w:hAnsi="Wingdings" w:hint="default"/>
      </w:rPr>
    </w:lvl>
    <w:lvl w:ilvl="6" w:tplc="17AA5882" w:tentative="1">
      <w:start w:val="1"/>
      <w:numFmt w:val="bullet"/>
      <w:lvlText w:val=""/>
      <w:lvlJc w:val="left"/>
      <w:pPr>
        <w:ind w:left="5040" w:hanging="360"/>
      </w:pPr>
      <w:rPr>
        <w:rFonts w:ascii="Symbol" w:hAnsi="Symbol" w:hint="default"/>
      </w:rPr>
    </w:lvl>
    <w:lvl w:ilvl="7" w:tplc="0958E752" w:tentative="1">
      <w:start w:val="1"/>
      <w:numFmt w:val="bullet"/>
      <w:lvlText w:val="o"/>
      <w:lvlJc w:val="left"/>
      <w:pPr>
        <w:ind w:left="5760" w:hanging="360"/>
      </w:pPr>
      <w:rPr>
        <w:rFonts w:ascii="Courier New" w:hAnsi="Courier New" w:cs="Courier New" w:hint="default"/>
      </w:rPr>
    </w:lvl>
    <w:lvl w:ilvl="8" w:tplc="D64A5D24" w:tentative="1">
      <w:start w:val="1"/>
      <w:numFmt w:val="bullet"/>
      <w:lvlText w:val=""/>
      <w:lvlJc w:val="left"/>
      <w:pPr>
        <w:ind w:left="6480" w:hanging="360"/>
      </w:pPr>
      <w:rPr>
        <w:rFonts w:ascii="Wingdings" w:hAnsi="Wingdings" w:hint="default"/>
      </w:rPr>
    </w:lvl>
  </w:abstractNum>
  <w:abstractNum w:abstractNumId="32" w15:restartNumberingAfterBreak="0">
    <w:nsid w:val="76393B59"/>
    <w:multiLevelType w:val="hybridMultilevel"/>
    <w:tmpl w:val="F3F6EE64"/>
    <w:lvl w:ilvl="0" w:tplc="D98A119A">
      <w:start w:val="1"/>
      <w:numFmt w:val="decimal"/>
      <w:lvlText w:val="%1."/>
      <w:lvlJc w:val="left"/>
      <w:pPr>
        <w:ind w:left="720" w:hanging="360"/>
      </w:pPr>
      <w:rPr>
        <w:rFonts w:hint="default"/>
      </w:rPr>
    </w:lvl>
    <w:lvl w:ilvl="1" w:tplc="C7CC64CC">
      <w:start w:val="1"/>
      <w:numFmt w:val="decimal"/>
      <w:lvlText w:val="%2."/>
      <w:lvlJc w:val="left"/>
      <w:pPr>
        <w:ind w:left="1440" w:hanging="360"/>
      </w:pPr>
    </w:lvl>
    <w:lvl w:ilvl="2" w:tplc="86D630EC">
      <w:start w:val="1"/>
      <w:numFmt w:val="lowerRoman"/>
      <w:lvlText w:val="%3."/>
      <w:lvlJc w:val="right"/>
      <w:pPr>
        <w:ind w:left="2160" w:hanging="180"/>
      </w:pPr>
    </w:lvl>
    <w:lvl w:ilvl="3" w:tplc="5C0A4A2A" w:tentative="1">
      <w:start w:val="1"/>
      <w:numFmt w:val="decimal"/>
      <w:lvlText w:val="%4."/>
      <w:lvlJc w:val="left"/>
      <w:pPr>
        <w:ind w:left="2880" w:hanging="360"/>
      </w:pPr>
    </w:lvl>
    <w:lvl w:ilvl="4" w:tplc="C0A8788A" w:tentative="1">
      <w:start w:val="1"/>
      <w:numFmt w:val="lowerLetter"/>
      <w:lvlText w:val="%5."/>
      <w:lvlJc w:val="left"/>
      <w:pPr>
        <w:ind w:left="3600" w:hanging="360"/>
      </w:pPr>
    </w:lvl>
    <w:lvl w:ilvl="5" w:tplc="AAAE73D0" w:tentative="1">
      <w:start w:val="1"/>
      <w:numFmt w:val="lowerRoman"/>
      <w:lvlText w:val="%6."/>
      <w:lvlJc w:val="right"/>
      <w:pPr>
        <w:ind w:left="4320" w:hanging="180"/>
      </w:pPr>
    </w:lvl>
    <w:lvl w:ilvl="6" w:tplc="5FE41096" w:tentative="1">
      <w:start w:val="1"/>
      <w:numFmt w:val="decimal"/>
      <w:lvlText w:val="%7."/>
      <w:lvlJc w:val="left"/>
      <w:pPr>
        <w:ind w:left="5040" w:hanging="360"/>
      </w:pPr>
    </w:lvl>
    <w:lvl w:ilvl="7" w:tplc="BDC2570C" w:tentative="1">
      <w:start w:val="1"/>
      <w:numFmt w:val="lowerLetter"/>
      <w:lvlText w:val="%8."/>
      <w:lvlJc w:val="left"/>
      <w:pPr>
        <w:ind w:left="5760" w:hanging="360"/>
      </w:pPr>
    </w:lvl>
    <w:lvl w:ilvl="8" w:tplc="C4CE9F48" w:tentative="1">
      <w:start w:val="1"/>
      <w:numFmt w:val="lowerRoman"/>
      <w:lvlText w:val="%9."/>
      <w:lvlJc w:val="right"/>
      <w:pPr>
        <w:ind w:left="6480" w:hanging="180"/>
      </w:pPr>
    </w:lvl>
  </w:abstractNum>
  <w:abstractNum w:abstractNumId="33" w15:restartNumberingAfterBreak="0">
    <w:nsid w:val="7980701F"/>
    <w:multiLevelType w:val="hybridMultilevel"/>
    <w:tmpl w:val="EDCE8ABC"/>
    <w:lvl w:ilvl="0" w:tplc="80607EB6">
      <w:start w:val="1"/>
      <w:numFmt w:val="decimal"/>
      <w:lvlText w:val="%1."/>
      <w:lvlJc w:val="left"/>
      <w:pPr>
        <w:ind w:left="720" w:hanging="360"/>
      </w:pPr>
    </w:lvl>
    <w:lvl w:ilvl="1" w:tplc="A830B530" w:tentative="1">
      <w:start w:val="1"/>
      <w:numFmt w:val="lowerLetter"/>
      <w:lvlText w:val="%2."/>
      <w:lvlJc w:val="left"/>
      <w:pPr>
        <w:ind w:left="1440" w:hanging="360"/>
      </w:pPr>
    </w:lvl>
    <w:lvl w:ilvl="2" w:tplc="9A16C56E" w:tentative="1">
      <w:start w:val="1"/>
      <w:numFmt w:val="lowerRoman"/>
      <w:lvlText w:val="%3."/>
      <w:lvlJc w:val="right"/>
      <w:pPr>
        <w:ind w:left="2160" w:hanging="180"/>
      </w:pPr>
    </w:lvl>
    <w:lvl w:ilvl="3" w:tplc="93025B26" w:tentative="1">
      <w:start w:val="1"/>
      <w:numFmt w:val="decimal"/>
      <w:lvlText w:val="%4."/>
      <w:lvlJc w:val="left"/>
      <w:pPr>
        <w:ind w:left="2880" w:hanging="360"/>
      </w:pPr>
    </w:lvl>
    <w:lvl w:ilvl="4" w:tplc="234A4188" w:tentative="1">
      <w:start w:val="1"/>
      <w:numFmt w:val="lowerLetter"/>
      <w:lvlText w:val="%5."/>
      <w:lvlJc w:val="left"/>
      <w:pPr>
        <w:ind w:left="3600" w:hanging="360"/>
      </w:pPr>
    </w:lvl>
    <w:lvl w:ilvl="5" w:tplc="9266B7EA" w:tentative="1">
      <w:start w:val="1"/>
      <w:numFmt w:val="lowerRoman"/>
      <w:lvlText w:val="%6."/>
      <w:lvlJc w:val="right"/>
      <w:pPr>
        <w:ind w:left="4320" w:hanging="180"/>
      </w:pPr>
    </w:lvl>
    <w:lvl w:ilvl="6" w:tplc="428C6F5C" w:tentative="1">
      <w:start w:val="1"/>
      <w:numFmt w:val="decimal"/>
      <w:lvlText w:val="%7."/>
      <w:lvlJc w:val="left"/>
      <w:pPr>
        <w:ind w:left="5040" w:hanging="360"/>
      </w:pPr>
    </w:lvl>
    <w:lvl w:ilvl="7" w:tplc="7F7E622C" w:tentative="1">
      <w:start w:val="1"/>
      <w:numFmt w:val="lowerLetter"/>
      <w:lvlText w:val="%8."/>
      <w:lvlJc w:val="left"/>
      <w:pPr>
        <w:ind w:left="5760" w:hanging="360"/>
      </w:pPr>
    </w:lvl>
    <w:lvl w:ilvl="8" w:tplc="9058EBD2" w:tentative="1">
      <w:start w:val="1"/>
      <w:numFmt w:val="lowerRoman"/>
      <w:lvlText w:val="%9."/>
      <w:lvlJc w:val="right"/>
      <w:pPr>
        <w:ind w:left="6480" w:hanging="180"/>
      </w:pPr>
    </w:lvl>
  </w:abstractNum>
  <w:abstractNum w:abstractNumId="34" w15:restartNumberingAfterBreak="0">
    <w:nsid w:val="7D353ED5"/>
    <w:multiLevelType w:val="multilevel"/>
    <w:tmpl w:val="68E0CB28"/>
    <w:lvl w:ilvl="0">
      <w:start w:val="3"/>
      <w:numFmt w:val="decimal"/>
      <w:lvlText w:val="%1"/>
      <w:lvlJc w:val="left"/>
      <w:pPr>
        <w:ind w:left="660" w:hanging="660"/>
      </w:pPr>
      <w:rPr>
        <w:rFonts w:hint="default"/>
      </w:rPr>
    </w:lvl>
    <w:lvl w:ilvl="1">
      <w:start w:val="4"/>
      <w:numFmt w:val="decimal"/>
      <w:lvlText w:val="%1.%2"/>
      <w:lvlJc w:val="left"/>
      <w:pPr>
        <w:ind w:left="1140" w:hanging="660"/>
      </w:pPr>
      <w:rPr>
        <w:rFonts w:hint="default"/>
      </w:rPr>
    </w:lvl>
    <w:lvl w:ilvl="2">
      <w:start w:val="9"/>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5" w15:restartNumberingAfterBreak="0">
    <w:nsid w:val="7F4B2A91"/>
    <w:multiLevelType w:val="hybridMultilevel"/>
    <w:tmpl w:val="4228634E"/>
    <w:lvl w:ilvl="0" w:tplc="254A0B64">
      <w:start w:val="1"/>
      <w:numFmt w:val="decimal"/>
      <w:lvlText w:val="%1."/>
      <w:lvlJc w:val="left"/>
      <w:pPr>
        <w:ind w:left="720" w:hanging="360"/>
      </w:pPr>
      <w:rPr>
        <w:rFonts w:hint="default"/>
      </w:rPr>
    </w:lvl>
    <w:lvl w:ilvl="1" w:tplc="7DDA9F38">
      <w:start w:val="1"/>
      <w:numFmt w:val="decimal"/>
      <w:lvlText w:val="%2."/>
      <w:lvlJc w:val="left"/>
      <w:pPr>
        <w:ind w:left="1440" w:hanging="360"/>
      </w:pPr>
    </w:lvl>
    <w:lvl w:ilvl="2" w:tplc="D1C2ACA6" w:tentative="1">
      <w:start w:val="1"/>
      <w:numFmt w:val="lowerRoman"/>
      <w:lvlText w:val="%3."/>
      <w:lvlJc w:val="right"/>
      <w:pPr>
        <w:ind w:left="2160" w:hanging="180"/>
      </w:pPr>
    </w:lvl>
    <w:lvl w:ilvl="3" w:tplc="0A8ACA90" w:tentative="1">
      <w:start w:val="1"/>
      <w:numFmt w:val="decimal"/>
      <w:lvlText w:val="%4."/>
      <w:lvlJc w:val="left"/>
      <w:pPr>
        <w:ind w:left="2880" w:hanging="360"/>
      </w:pPr>
    </w:lvl>
    <w:lvl w:ilvl="4" w:tplc="9B522A04" w:tentative="1">
      <w:start w:val="1"/>
      <w:numFmt w:val="lowerLetter"/>
      <w:lvlText w:val="%5."/>
      <w:lvlJc w:val="left"/>
      <w:pPr>
        <w:ind w:left="3600" w:hanging="360"/>
      </w:pPr>
    </w:lvl>
    <w:lvl w:ilvl="5" w:tplc="64AA58EC" w:tentative="1">
      <w:start w:val="1"/>
      <w:numFmt w:val="lowerRoman"/>
      <w:lvlText w:val="%6."/>
      <w:lvlJc w:val="right"/>
      <w:pPr>
        <w:ind w:left="4320" w:hanging="180"/>
      </w:pPr>
    </w:lvl>
    <w:lvl w:ilvl="6" w:tplc="DD3CDE4C" w:tentative="1">
      <w:start w:val="1"/>
      <w:numFmt w:val="decimal"/>
      <w:lvlText w:val="%7."/>
      <w:lvlJc w:val="left"/>
      <w:pPr>
        <w:ind w:left="5040" w:hanging="360"/>
      </w:pPr>
    </w:lvl>
    <w:lvl w:ilvl="7" w:tplc="B4D2551E" w:tentative="1">
      <w:start w:val="1"/>
      <w:numFmt w:val="lowerLetter"/>
      <w:lvlText w:val="%8."/>
      <w:lvlJc w:val="left"/>
      <w:pPr>
        <w:ind w:left="5760" w:hanging="360"/>
      </w:pPr>
    </w:lvl>
    <w:lvl w:ilvl="8" w:tplc="B7EC8B66" w:tentative="1">
      <w:start w:val="1"/>
      <w:numFmt w:val="lowerRoman"/>
      <w:lvlText w:val="%9."/>
      <w:lvlJc w:val="right"/>
      <w:pPr>
        <w:ind w:left="6480" w:hanging="180"/>
      </w:pPr>
    </w:lvl>
  </w:abstractNum>
  <w:num w:numId="1" w16cid:durableId="1752123839">
    <w:abstractNumId w:val="12"/>
  </w:num>
  <w:num w:numId="2" w16cid:durableId="1984042491">
    <w:abstractNumId w:val="18"/>
  </w:num>
  <w:num w:numId="3" w16cid:durableId="118914537">
    <w:abstractNumId w:val="30"/>
  </w:num>
  <w:num w:numId="4" w16cid:durableId="1932934919">
    <w:abstractNumId w:val="6"/>
  </w:num>
  <w:num w:numId="5" w16cid:durableId="584412448">
    <w:abstractNumId w:val="22"/>
  </w:num>
  <w:num w:numId="6" w16cid:durableId="1692337555">
    <w:abstractNumId w:val="28"/>
  </w:num>
  <w:num w:numId="7" w16cid:durableId="1668751632">
    <w:abstractNumId w:val="13"/>
  </w:num>
  <w:num w:numId="8" w16cid:durableId="1699504584">
    <w:abstractNumId w:val="16"/>
  </w:num>
  <w:num w:numId="9" w16cid:durableId="1471939920">
    <w:abstractNumId w:val="7"/>
  </w:num>
  <w:num w:numId="10" w16cid:durableId="1456294289">
    <w:abstractNumId w:val="15"/>
  </w:num>
  <w:num w:numId="11" w16cid:durableId="1090856223">
    <w:abstractNumId w:val="21"/>
  </w:num>
  <w:num w:numId="12" w16cid:durableId="347753210">
    <w:abstractNumId w:val="10"/>
  </w:num>
  <w:num w:numId="13" w16cid:durableId="62803357">
    <w:abstractNumId w:val="33"/>
  </w:num>
  <w:num w:numId="14" w16cid:durableId="571625102">
    <w:abstractNumId w:val="31"/>
  </w:num>
  <w:num w:numId="15" w16cid:durableId="1783526964">
    <w:abstractNumId w:val="11"/>
  </w:num>
  <w:num w:numId="16" w16cid:durableId="985014971">
    <w:abstractNumId w:val="5"/>
  </w:num>
  <w:num w:numId="17" w16cid:durableId="1511211528">
    <w:abstractNumId w:val="3"/>
  </w:num>
  <w:num w:numId="18" w16cid:durableId="1311205117">
    <w:abstractNumId w:val="17"/>
  </w:num>
  <w:num w:numId="19" w16cid:durableId="81266712">
    <w:abstractNumId w:val="9"/>
  </w:num>
  <w:num w:numId="20" w16cid:durableId="1802188761">
    <w:abstractNumId w:val="24"/>
  </w:num>
  <w:num w:numId="21" w16cid:durableId="225191431">
    <w:abstractNumId w:val="1"/>
  </w:num>
  <w:num w:numId="22" w16cid:durableId="475996718">
    <w:abstractNumId w:val="2"/>
  </w:num>
  <w:num w:numId="23" w16cid:durableId="738289035">
    <w:abstractNumId w:val="32"/>
  </w:num>
  <w:num w:numId="24" w16cid:durableId="506601934">
    <w:abstractNumId w:val="35"/>
  </w:num>
  <w:num w:numId="25" w16cid:durableId="248542460">
    <w:abstractNumId w:val="0"/>
  </w:num>
  <w:num w:numId="26" w16cid:durableId="1945729912">
    <w:abstractNumId w:val="25"/>
  </w:num>
  <w:num w:numId="27" w16cid:durableId="1214343283">
    <w:abstractNumId w:val="27"/>
  </w:num>
  <w:num w:numId="28" w16cid:durableId="244917434">
    <w:abstractNumId w:val="8"/>
  </w:num>
  <w:num w:numId="29" w16cid:durableId="1842164123">
    <w:abstractNumId w:val="14"/>
  </w:num>
  <w:num w:numId="30" w16cid:durableId="2014599136">
    <w:abstractNumId w:val="23"/>
  </w:num>
  <w:num w:numId="31" w16cid:durableId="358701768">
    <w:abstractNumId w:val="19"/>
  </w:num>
  <w:num w:numId="32" w16cid:durableId="621037731">
    <w:abstractNumId w:val="34"/>
  </w:num>
  <w:num w:numId="33" w16cid:durableId="1041856203">
    <w:abstractNumId w:val="4"/>
  </w:num>
  <w:num w:numId="34" w16cid:durableId="1000230880">
    <w:abstractNumId w:val="29"/>
  </w:num>
  <w:num w:numId="35" w16cid:durableId="1923758175">
    <w:abstractNumId w:val="26"/>
  </w:num>
  <w:num w:numId="36" w16cid:durableId="16853323">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5wdxd9m5ppf2ed02op0zv5pf9rfrdxpxvs&quot;&gt;Revision Library&lt;record-ids&gt;&lt;item&gt;25&lt;/item&gt;&lt;/record-ids&gt;&lt;/item&gt;&lt;/Libraries&gt;"/>
  </w:docVars>
  <w:rsids>
    <w:rsidRoot w:val="006E4797"/>
    <w:rsid w:val="0000515B"/>
    <w:rsid w:val="00011457"/>
    <w:rsid w:val="00012F5A"/>
    <w:rsid w:val="000133FC"/>
    <w:rsid w:val="00013652"/>
    <w:rsid w:val="0001483A"/>
    <w:rsid w:val="00023D69"/>
    <w:rsid w:val="00034DD1"/>
    <w:rsid w:val="0004355D"/>
    <w:rsid w:val="00057B67"/>
    <w:rsid w:val="00061E0E"/>
    <w:rsid w:val="0007506F"/>
    <w:rsid w:val="00076815"/>
    <w:rsid w:val="00080DB3"/>
    <w:rsid w:val="00081F44"/>
    <w:rsid w:val="00082A5F"/>
    <w:rsid w:val="000A45BA"/>
    <w:rsid w:val="000A49F2"/>
    <w:rsid w:val="000B41B6"/>
    <w:rsid w:val="000C78FF"/>
    <w:rsid w:val="000D3211"/>
    <w:rsid w:val="000E2ABF"/>
    <w:rsid w:val="000E3F21"/>
    <w:rsid w:val="000E44DF"/>
    <w:rsid w:val="000E4C51"/>
    <w:rsid w:val="000E70DE"/>
    <w:rsid w:val="000F7A0C"/>
    <w:rsid w:val="00103043"/>
    <w:rsid w:val="00103AFD"/>
    <w:rsid w:val="001045B5"/>
    <w:rsid w:val="00106CFA"/>
    <w:rsid w:val="0011114B"/>
    <w:rsid w:val="00117766"/>
    <w:rsid w:val="001179A8"/>
    <w:rsid w:val="00123080"/>
    <w:rsid w:val="001304A9"/>
    <w:rsid w:val="00147CBA"/>
    <w:rsid w:val="00152D74"/>
    <w:rsid w:val="0015327B"/>
    <w:rsid w:val="0015684E"/>
    <w:rsid w:val="001624E4"/>
    <w:rsid w:val="00166085"/>
    <w:rsid w:val="001667C6"/>
    <w:rsid w:val="001676B6"/>
    <w:rsid w:val="00174940"/>
    <w:rsid w:val="00181A81"/>
    <w:rsid w:val="0018412F"/>
    <w:rsid w:val="00187E22"/>
    <w:rsid w:val="00194C04"/>
    <w:rsid w:val="00194CE8"/>
    <w:rsid w:val="001959A2"/>
    <w:rsid w:val="001A1CA1"/>
    <w:rsid w:val="001A3D0F"/>
    <w:rsid w:val="001A49F2"/>
    <w:rsid w:val="001A4BBB"/>
    <w:rsid w:val="001C03D2"/>
    <w:rsid w:val="001C6678"/>
    <w:rsid w:val="001D1578"/>
    <w:rsid w:val="001D3B73"/>
    <w:rsid w:val="001E35BB"/>
    <w:rsid w:val="001F3109"/>
    <w:rsid w:val="00210DAA"/>
    <w:rsid w:val="00210DD6"/>
    <w:rsid w:val="0021287F"/>
    <w:rsid w:val="00214319"/>
    <w:rsid w:val="0021480B"/>
    <w:rsid w:val="00216774"/>
    <w:rsid w:val="00220C44"/>
    <w:rsid w:val="00231F3E"/>
    <w:rsid w:val="00232840"/>
    <w:rsid w:val="0023296D"/>
    <w:rsid w:val="00232DDC"/>
    <w:rsid w:val="00233644"/>
    <w:rsid w:val="00236CC8"/>
    <w:rsid w:val="00246244"/>
    <w:rsid w:val="00247A6A"/>
    <w:rsid w:val="00252077"/>
    <w:rsid w:val="00266B48"/>
    <w:rsid w:val="00273AC5"/>
    <w:rsid w:val="00273EDD"/>
    <w:rsid w:val="00274B19"/>
    <w:rsid w:val="002855D4"/>
    <w:rsid w:val="002A0AE5"/>
    <w:rsid w:val="002A65FC"/>
    <w:rsid w:val="002B0670"/>
    <w:rsid w:val="002B2574"/>
    <w:rsid w:val="002D5300"/>
    <w:rsid w:val="002E3F68"/>
    <w:rsid w:val="003001E3"/>
    <w:rsid w:val="00307F97"/>
    <w:rsid w:val="00310939"/>
    <w:rsid w:val="0031658E"/>
    <w:rsid w:val="00330E6C"/>
    <w:rsid w:val="00333D4B"/>
    <w:rsid w:val="00345A90"/>
    <w:rsid w:val="00351087"/>
    <w:rsid w:val="003523A5"/>
    <w:rsid w:val="00352C0A"/>
    <w:rsid w:val="003548DA"/>
    <w:rsid w:val="00356228"/>
    <w:rsid w:val="00356880"/>
    <w:rsid w:val="003674B2"/>
    <w:rsid w:val="00380A92"/>
    <w:rsid w:val="00387CDA"/>
    <w:rsid w:val="00390254"/>
    <w:rsid w:val="003A5297"/>
    <w:rsid w:val="003C47BB"/>
    <w:rsid w:val="003D0429"/>
    <w:rsid w:val="003D1CE0"/>
    <w:rsid w:val="003D67E2"/>
    <w:rsid w:val="003E0FD2"/>
    <w:rsid w:val="003F4C17"/>
    <w:rsid w:val="0040579A"/>
    <w:rsid w:val="00414ADE"/>
    <w:rsid w:val="00421031"/>
    <w:rsid w:val="004361C8"/>
    <w:rsid w:val="00436F4D"/>
    <w:rsid w:val="0045332B"/>
    <w:rsid w:val="00461A45"/>
    <w:rsid w:val="004620C9"/>
    <w:rsid w:val="00462991"/>
    <w:rsid w:val="00464AD9"/>
    <w:rsid w:val="004872BE"/>
    <w:rsid w:val="0049229C"/>
    <w:rsid w:val="004939EE"/>
    <w:rsid w:val="004969D3"/>
    <w:rsid w:val="004A400B"/>
    <w:rsid w:val="004B7325"/>
    <w:rsid w:val="004C0985"/>
    <w:rsid w:val="004C1ED9"/>
    <w:rsid w:val="004D362E"/>
    <w:rsid w:val="004D3650"/>
    <w:rsid w:val="004F6AD9"/>
    <w:rsid w:val="0050699F"/>
    <w:rsid w:val="00513CCF"/>
    <w:rsid w:val="005153FB"/>
    <w:rsid w:val="00516914"/>
    <w:rsid w:val="00521043"/>
    <w:rsid w:val="00545EB9"/>
    <w:rsid w:val="00550E98"/>
    <w:rsid w:val="00551D82"/>
    <w:rsid w:val="0055344F"/>
    <w:rsid w:val="005734D7"/>
    <w:rsid w:val="00575E55"/>
    <w:rsid w:val="00585BF5"/>
    <w:rsid w:val="00590F66"/>
    <w:rsid w:val="005911EE"/>
    <w:rsid w:val="005A17A6"/>
    <w:rsid w:val="005A4904"/>
    <w:rsid w:val="005A637B"/>
    <w:rsid w:val="005B0F9A"/>
    <w:rsid w:val="005D7D69"/>
    <w:rsid w:val="005E1EE7"/>
    <w:rsid w:val="005E4734"/>
    <w:rsid w:val="005F0963"/>
    <w:rsid w:val="005F5A2B"/>
    <w:rsid w:val="00604100"/>
    <w:rsid w:val="00606A30"/>
    <w:rsid w:val="00615035"/>
    <w:rsid w:val="00620842"/>
    <w:rsid w:val="00622578"/>
    <w:rsid w:val="006239A1"/>
    <w:rsid w:val="00625336"/>
    <w:rsid w:val="00634672"/>
    <w:rsid w:val="00637AB7"/>
    <w:rsid w:val="00647209"/>
    <w:rsid w:val="00647875"/>
    <w:rsid w:val="00653625"/>
    <w:rsid w:val="006578AE"/>
    <w:rsid w:val="00663CFB"/>
    <w:rsid w:val="0066573D"/>
    <w:rsid w:val="00670D54"/>
    <w:rsid w:val="00671517"/>
    <w:rsid w:val="006755EE"/>
    <w:rsid w:val="006824BF"/>
    <w:rsid w:val="00685641"/>
    <w:rsid w:val="006A128D"/>
    <w:rsid w:val="006A38A7"/>
    <w:rsid w:val="006A6821"/>
    <w:rsid w:val="006B2727"/>
    <w:rsid w:val="006B78CC"/>
    <w:rsid w:val="006C15B5"/>
    <w:rsid w:val="006C7ECD"/>
    <w:rsid w:val="006E1EFC"/>
    <w:rsid w:val="006E300E"/>
    <w:rsid w:val="006E4797"/>
    <w:rsid w:val="006E7815"/>
    <w:rsid w:val="006E7C64"/>
    <w:rsid w:val="00702ADE"/>
    <w:rsid w:val="0070444F"/>
    <w:rsid w:val="00713793"/>
    <w:rsid w:val="00714BE0"/>
    <w:rsid w:val="00714F01"/>
    <w:rsid w:val="00736371"/>
    <w:rsid w:val="007407F6"/>
    <w:rsid w:val="00751D3D"/>
    <w:rsid w:val="00755514"/>
    <w:rsid w:val="00761D7E"/>
    <w:rsid w:val="007627AD"/>
    <w:rsid w:val="00766D71"/>
    <w:rsid w:val="0077172D"/>
    <w:rsid w:val="00774ACF"/>
    <w:rsid w:val="007948D2"/>
    <w:rsid w:val="00794919"/>
    <w:rsid w:val="007A341D"/>
    <w:rsid w:val="007A4BBA"/>
    <w:rsid w:val="007B488F"/>
    <w:rsid w:val="007B72A4"/>
    <w:rsid w:val="007D2678"/>
    <w:rsid w:val="007D6BE0"/>
    <w:rsid w:val="007F13E9"/>
    <w:rsid w:val="007F2030"/>
    <w:rsid w:val="007F5EB0"/>
    <w:rsid w:val="007F7EAD"/>
    <w:rsid w:val="00806469"/>
    <w:rsid w:val="0081497C"/>
    <w:rsid w:val="00833B96"/>
    <w:rsid w:val="00835857"/>
    <w:rsid w:val="008425A4"/>
    <w:rsid w:val="008461C6"/>
    <w:rsid w:val="00847017"/>
    <w:rsid w:val="0085421A"/>
    <w:rsid w:val="00854698"/>
    <w:rsid w:val="00854D45"/>
    <w:rsid w:val="0085548D"/>
    <w:rsid w:val="00876AF5"/>
    <w:rsid w:val="00894950"/>
    <w:rsid w:val="00897D35"/>
    <w:rsid w:val="008A0BC1"/>
    <w:rsid w:val="008A4859"/>
    <w:rsid w:val="008A7A39"/>
    <w:rsid w:val="008B2D50"/>
    <w:rsid w:val="008B35D2"/>
    <w:rsid w:val="008B5676"/>
    <w:rsid w:val="008C201F"/>
    <w:rsid w:val="008C3DD7"/>
    <w:rsid w:val="008D293E"/>
    <w:rsid w:val="008D3D60"/>
    <w:rsid w:val="008E19AC"/>
    <w:rsid w:val="008E536B"/>
    <w:rsid w:val="008F11F2"/>
    <w:rsid w:val="008F1B78"/>
    <w:rsid w:val="008F24A4"/>
    <w:rsid w:val="008F3061"/>
    <w:rsid w:val="00901C81"/>
    <w:rsid w:val="00911EF7"/>
    <w:rsid w:val="00916D49"/>
    <w:rsid w:val="009309CE"/>
    <w:rsid w:val="009313BE"/>
    <w:rsid w:val="00936E08"/>
    <w:rsid w:val="00937FF8"/>
    <w:rsid w:val="009409EA"/>
    <w:rsid w:val="009462FD"/>
    <w:rsid w:val="009532B4"/>
    <w:rsid w:val="0096026E"/>
    <w:rsid w:val="00965C57"/>
    <w:rsid w:val="009811DC"/>
    <w:rsid w:val="009839EB"/>
    <w:rsid w:val="00990704"/>
    <w:rsid w:val="00994F50"/>
    <w:rsid w:val="009A4D69"/>
    <w:rsid w:val="009A6D92"/>
    <w:rsid w:val="009A7683"/>
    <w:rsid w:val="009B108A"/>
    <w:rsid w:val="009B3B00"/>
    <w:rsid w:val="009C2260"/>
    <w:rsid w:val="009C2BA8"/>
    <w:rsid w:val="009D6162"/>
    <w:rsid w:val="009E0E19"/>
    <w:rsid w:val="00A048D8"/>
    <w:rsid w:val="00A1684A"/>
    <w:rsid w:val="00A32221"/>
    <w:rsid w:val="00A35853"/>
    <w:rsid w:val="00A43E1A"/>
    <w:rsid w:val="00A47C0D"/>
    <w:rsid w:val="00A52ED0"/>
    <w:rsid w:val="00A54E9D"/>
    <w:rsid w:val="00A576DF"/>
    <w:rsid w:val="00A57CC8"/>
    <w:rsid w:val="00A61636"/>
    <w:rsid w:val="00A624BE"/>
    <w:rsid w:val="00A7116A"/>
    <w:rsid w:val="00A9219F"/>
    <w:rsid w:val="00AA211B"/>
    <w:rsid w:val="00AB1865"/>
    <w:rsid w:val="00AB1CC5"/>
    <w:rsid w:val="00AB4038"/>
    <w:rsid w:val="00AB4C71"/>
    <w:rsid w:val="00AE790C"/>
    <w:rsid w:val="00B116F6"/>
    <w:rsid w:val="00B17362"/>
    <w:rsid w:val="00B17CD4"/>
    <w:rsid w:val="00B25BE7"/>
    <w:rsid w:val="00B44196"/>
    <w:rsid w:val="00B569C9"/>
    <w:rsid w:val="00B66177"/>
    <w:rsid w:val="00B81064"/>
    <w:rsid w:val="00B86087"/>
    <w:rsid w:val="00B87681"/>
    <w:rsid w:val="00B9028E"/>
    <w:rsid w:val="00B90DB7"/>
    <w:rsid w:val="00BB0A7C"/>
    <w:rsid w:val="00BB1BCC"/>
    <w:rsid w:val="00BD0CFF"/>
    <w:rsid w:val="00BD3767"/>
    <w:rsid w:val="00BE22A2"/>
    <w:rsid w:val="00BE2769"/>
    <w:rsid w:val="00C05158"/>
    <w:rsid w:val="00C05A6F"/>
    <w:rsid w:val="00C11D93"/>
    <w:rsid w:val="00C16A0D"/>
    <w:rsid w:val="00C27C71"/>
    <w:rsid w:val="00C32378"/>
    <w:rsid w:val="00C331C5"/>
    <w:rsid w:val="00C366E0"/>
    <w:rsid w:val="00C42B4F"/>
    <w:rsid w:val="00C42E52"/>
    <w:rsid w:val="00C54707"/>
    <w:rsid w:val="00C550F3"/>
    <w:rsid w:val="00C55113"/>
    <w:rsid w:val="00C652D8"/>
    <w:rsid w:val="00C67BB4"/>
    <w:rsid w:val="00C701F8"/>
    <w:rsid w:val="00C77022"/>
    <w:rsid w:val="00C80CED"/>
    <w:rsid w:val="00C875D1"/>
    <w:rsid w:val="00C93A03"/>
    <w:rsid w:val="00C957E5"/>
    <w:rsid w:val="00CA56A8"/>
    <w:rsid w:val="00CB1713"/>
    <w:rsid w:val="00CB1783"/>
    <w:rsid w:val="00CB7A17"/>
    <w:rsid w:val="00CB7DF4"/>
    <w:rsid w:val="00CC7BBD"/>
    <w:rsid w:val="00CC7BFD"/>
    <w:rsid w:val="00CD2A3C"/>
    <w:rsid w:val="00CD7738"/>
    <w:rsid w:val="00CE34C3"/>
    <w:rsid w:val="00CF30D3"/>
    <w:rsid w:val="00CF683A"/>
    <w:rsid w:val="00D025E6"/>
    <w:rsid w:val="00D07A90"/>
    <w:rsid w:val="00D1073E"/>
    <w:rsid w:val="00D151F9"/>
    <w:rsid w:val="00D2510B"/>
    <w:rsid w:val="00D51D91"/>
    <w:rsid w:val="00D52141"/>
    <w:rsid w:val="00D5645C"/>
    <w:rsid w:val="00D56576"/>
    <w:rsid w:val="00D57F1F"/>
    <w:rsid w:val="00D60FDF"/>
    <w:rsid w:val="00D6529A"/>
    <w:rsid w:val="00D661BB"/>
    <w:rsid w:val="00D738A6"/>
    <w:rsid w:val="00D86D57"/>
    <w:rsid w:val="00D876CF"/>
    <w:rsid w:val="00D959E7"/>
    <w:rsid w:val="00D97029"/>
    <w:rsid w:val="00DA154A"/>
    <w:rsid w:val="00DA281E"/>
    <w:rsid w:val="00DA3C5C"/>
    <w:rsid w:val="00DB6C93"/>
    <w:rsid w:val="00DC0E61"/>
    <w:rsid w:val="00DC18A7"/>
    <w:rsid w:val="00DD0D2A"/>
    <w:rsid w:val="00DF7033"/>
    <w:rsid w:val="00E03054"/>
    <w:rsid w:val="00E060F5"/>
    <w:rsid w:val="00E11EBB"/>
    <w:rsid w:val="00E206DC"/>
    <w:rsid w:val="00E401D5"/>
    <w:rsid w:val="00E40D17"/>
    <w:rsid w:val="00E43828"/>
    <w:rsid w:val="00E71F6D"/>
    <w:rsid w:val="00E72828"/>
    <w:rsid w:val="00E7594E"/>
    <w:rsid w:val="00E75BA0"/>
    <w:rsid w:val="00E87E00"/>
    <w:rsid w:val="00E87E50"/>
    <w:rsid w:val="00E90369"/>
    <w:rsid w:val="00EA2A6D"/>
    <w:rsid w:val="00EB1E68"/>
    <w:rsid w:val="00EC0649"/>
    <w:rsid w:val="00EC1EF1"/>
    <w:rsid w:val="00EC57F0"/>
    <w:rsid w:val="00EC6F1C"/>
    <w:rsid w:val="00EF242A"/>
    <w:rsid w:val="00EF3FA2"/>
    <w:rsid w:val="00F22FB1"/>
    <w:rsid w:val="00F231D9"/>
    <w:rsid w:val="00F35BD7"/>
    <w:rsid w:val="00F36869"/>
    <w:rsid w:val="00F37222"/>
    <w:rsid w:val="00F41DE1"/>
    <w:rsid w:val="00F50278"/>
    <w:rsid w:val="00F511BF"/>
    <w:rsid w:val="00F54E6B"/>
    <w:rsid w:val="00F63B8D"/>
    <w:rsid w:val="00F65451"/>
    <w:rsid w:val="00F711F6"/>
    <w:rsid w:val="00F72213"/>
    <w:rsid w:val="00F86805"/>
    <w:rsid w:val="00F91398"/>
    <w:rsid w:val="00FA3B53"/>
    <w:rsid w:val="00FA6C9C"/>
    <w:rsid w:val="00FB0130"/>
    <w:rsid w:val="00FB56E1"/>
    <w:rsid w:val="00FE416A"/>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0F7A0C"/>
    <w:pPr>
      <w:jc w:val="center"/>
    </w:pPr>
  </w:style>
  <w:style w:type="character" w:customStyle="1" w:styleId="EndNoteBibliographyTitleChar">
    <w:name w:val="EndNote Bibliography Title Char"/>
    <w:basedOn w:val="DefaultParagraphFont"/>
    <w:link w:val="EndNoteBibliographyTitle"/>
    <w:rsid w:val="000F7A0C"/>
  </w:style>
  <w:style w:type="paragraph" w:customStyle="1" w:styleId="EndNoteBibliography">
    <w:name w:val="EndNote Bibliography"/>
    <w:basedOn w:val="Normal"/>
    <w:link w:val="EndNoteBibliographyChar"/>
    <w:rsid w:val="000F7A0C"/>
  </w:style>
  <w:style w:type="character" w:customStyle="1" w:styleId="EndNoteBibliographyChar">
    <w:name w:val="EndNote Bibliography Char"/>
    <w:basedOn w:val="DefaultParagraphFont"/>
    <w:link w:val="EndNoteBibliography"/>
    <w:rsid w:val="000F7A0C"/>
  </w:style>
  <w:style w:type="table" w:styleId="TableGrid">
    <w:name w:val="Table Grid"/>
    <w:basedOn w:val="TableNormal"/>
    <w:uiPriority w:val="39"/>
    <w:rsid w:val="00A32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7D35"/>
    <w:pPr>
      <w:tabs>
        <w:tab w:val="center" w:pos="4680"/>
        <w:tab w:val="right" w:pos="9360"/>
      </w:tabs>
    </w:pPr>
  </w:style>
  <w:style w:type="character" w:customStyle="1" w:styleId="HeaderChar">
    <w:name w:val="Header Char"/>
    <w:basedOn w:val="DefaultParagraphFont"/>
    <w:link w:val="Header"/>
    <w:uiPriority w:val="99"/>
    <w:rsid w:val="00897D35"/>
  </w:style>
  <w:style w:type="paragraph" w:styleId="BodyText">
    <w:name w:val="Body Text"/>
    <w:basedOn w:val="Normal"/>
    <w:link w:val="BodyTextChar"/>
    <w:uiPriority w:val="1"/>
    <w:qFormat/>
    <w:rsid w:val="006B78CC"/>
    <w:pPr>
      <w:autoSpaceDE w:val="0"/>
      <w:autoSpaceDN w:val="0"/>
    </w:pPr>
    <w:rPr>
      <w:rFonts w:ascii="Times New Roman" w:eastAsia="Times New Roman" w:hAnsi="Times New Roman" w:cs="Times New Roman"/>
      <w:sz w:val="22"/>
      <w:szCs w:val="22"/>
    </w:rPr>
  </w:style>
  <w:style w:type="character" w:customStyle="1" w:styleId="BodyTextChar">
    <w:name w:val="Body Text Char"/>
    <w:basedOn w:val="DefaultParagraphFont"/>
    <w:link w:val="BodyText"/>
    <w:uiPriority w:val="1"/>
    <w:rsid w:val="006B78CC"/>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A0BC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2574@njit.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3D3C6-E6A3-47FF-9F57-8BD8253D5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7971</Words>
  <Characters>45435</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2026-09-16T14:42:00Z</dcterms:created>
  <dcterms:modified xsi:type="dcterms:W3CDTF">2026-09-16T14:46:00Z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