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9D09" w14:textId="77777777" w:rsidR="00B83B5B" w:rsidRPr="000271C1" w:rsidRDefault="00000000" w:rsidP="000271C1">
      <w:pPr>
        <w:spacing w:after="0"/>
      </w:pPr>
      <w:r w:rsidRPr="000271C1">
        <w:rPr>
          <w:b/>
        </w:rPr>
        <w:t>TITLE</w:t>
      </w:r>
    </w:p>
    <w:p w14:paraId="116619DF" w14:textId="77777777" w:rsidR="00B83B5B" w:rsidRDefault="00000000" w:rsidP="000271C1">
      <w:pPr>
        <w:spacing w:after="0"/>
      </w:pPr>
      <w:r w:rsidRPr="000271C1">
        <w:t>Orthokeratology Plus Traditional Chinese Medicine Fumigation in Children with Unilateral Myopic Anisometropia</w:t>
      </w:r>
    </w:p>
    <w:p w14:paraId="6BAE24CB" w14:textId="77777777" w:rsidR="00091E41" w:rsidRPr="000271C1" w:rsidRDefault="00091E41" w:rsidP="000271C1">
      <w:pPr>
        <w:spacing w:after="0"/>
      </w:pPr>
    </w:p>
    <w:p w14:paraId="14FB3673" w14:textId="77777777" w:rsidR="00B83B5B" w:rsidRPr="000271C1" w:rsidRDefault="00000000" w:rsidP="000271C1">
      <w:pPr>
        <w:spacing w:after="0"/>
      </w:pPr>
      <w:r w:rsidRPr="000271C1">
        <w:rPr>
          <w:b/>
        </w:rPr>
        <w:t>AUTHORS AND AFFILIATIONS</w:t>
      </w:r>
    </w:p>
    <w:p w14:paraId="1813E101" w14:textId="77777777" w:rsidR="00091E41" w:rsidRPr="0022587F" w:rsidRDefault="00091E41" w:rsidP="00091E41">
      <w:pPr>
        <w:spacing w:after="0"/>
      </w:pPr>
      <w:r w:rsidRPr="0022587F">
        <w:t xml:space="preserve">Chang Zhang, </w:t>
      </w:r>
      <w:proofErr w:type="spellStart"/>
      <w:r w:rsidRPr="0022587F">
        <w:t>ZhenXian</w:t>
      </w:r>
      <w:proofErr w:type="spellEnd"/>
      <w:r w:rsidRPr="0022587F">
        <w:t xml:space="preserve"> Hu, Xin Zhang, Yu Ding, </w:t>
      </w:r>
      <w:proofErr w:type="spellStart"/>
      <w:r w:rsidRPr="0022587F">
        <w:t>Shuangqin</w:t>
      </w:r>
      <w:proofErr w:type="spellEnd"/>
      <w:r w:rsidRPr="0022587F">
        <w:t xml:space="preserve"> Lin, </w:t>
      </w:r>
      <w:proofErr w:type="spellStart"/>
      <w:r w:rsidRPr="0022587F">
        <w:t>Chenliang</w:t>
      </w:r>
      <w:proofErr w:type="spellEnd"/>
      <w:r w:rsidRPr="0022587F">
        <w:t xml:space="preserve"> He*</w:t>
      </w:r>
    </w:p>
    <w:p w14:paraId="4DABACCB" w14:textId="77777777" w:rsidR="00091E41" w:rsidRDefault="00091E41" w:rsidP="00091E41">
      <w:pPr>
        <w:spacing w:after="0"/>
      </w:pPr>
    </w:p>
    <w:p w14:paraId="4E10C1E2" w14:textId="77777777" w:rsidR="00091E41" w:rsidRPr="0022587F" w:rsidRDefault="00091E41" w:rsidP="00091E41">
      <w:pPr>
        <w:spacing w:after="0"/>
      </w:pPr>
      <w:r>
        <w:rPr>
          <w:vertAlign w:val="superscript"/>
        </w:rPr>
        <w:t>1</w:t>
      </w:r>
      <w:r w:rsidRPr="0022587F">
        <w:t xml:space="preserve">Department of Ophthalmology, </w:t>
      </w:r>
      <w:proofErr w:type="spellStart"/>
      <w:r w:rsidRPr="0022587F">
        <w:t>Tongde</w:t>
      </w:r>
      <w:proofErr w:type="spellEnd"/>
      <w:r w:rsidRPr="0022587F">
        <w:t xml:space="preserve"> Hospital of Zhejiang Province, No. 234 </w:t>
      </w:r>
      <w:proofErr w:type="spellStart"/>
      <w:r w:rsidRPr="0022587F">
        <w:t>Gucui</w:t>
      </w:r>
      <w:proofErr w:type="spellEnd"/>
      <w:r w:rsidRPr="0022587F">
        <w:t xml:space="preserve"> Road, Hangzhou, Zhejiang Province, China</w:t>
      </w:r>
    </w:p>
    <w:p w14:paraId="73EAE8A5" w14:textId="77777777" w:rsidR="00091E41" w:rsidRDefault="00091E41" w:rsidP="00091E41">
      <w:pPr>
        <w:spacing w:after="0"/>
      </w:pPr>
    </w:p>
    <w:p w14:paraId="15EBF136" w14:textId="477EC230" w:rsidR="00091E41" w:rsidRPr="0022587F" w:rsidRDefault="00091E41" w:rsidP="00091E41">
      <w:pPr>
        <w:spacing w:after="0"/>
        <w:rPr>
          <w:b/>
          <w:bCs/>
        </w:rPr>
      </w:pPr>
      <w:r w:rsidRPr="0022587F">
        <w:rPr>
          <w:b/>
          <w:bCs/>
        </w:rPr>
        <w:t xml:space="preserve">*Email address of the Corresponding </w:t>
      </w:r>
      <w:r w:rsidR="006B71C2">
        <w:rPr>
          <w:b/>
          <w:bCs/>
        </w:rPr>
        <w:t>author</w:t>
      </w:r>
      <w:r w:rsidRPr="0022587F">
        <w:rPr>
          <w:b/>
          <w:bCs/>
        </w:rPr>
        <w:t xml:space="preserve">: </w:t>
      </w:r>
    </w:p>
    <w:p w14:paraId="1791746B" w14:textId="77777777" w:rsidR="00091E41" w:rsidRPr="0022587F" w:rsidRDefault="00091E41" w:rsidP="00091E41">
      <w:pPr>
        <w:spacing w:after="0"/>
      </w:pPr>
      <w:proofErr w:type="spellStart"/>
      <w:r w:rsidRPr="0022587F">
        <w:t>Chenliang</w:t>
      </w:r>
      <w:proofErr w:type="spellEnd"/>
      <w:r w:rsidRPr="0022587F">
        <w:t xml:space="preserve"> He</w:t>
      </w:r>
      <w:r>
        <w:tab/>
      </w:r>
      <w:r>
        <w:tab/>
      </w:r>
      <w:r>
        <w:tab/>
      </w:r>
      <w:r>
        <w:tab/>
      </w:r>
      <w:r w:rsidRPr="0022587F">
        <w:t>wangbin654_wb@163.com</w:t>
      </w:r>
    </w:p>
    <w:p w14:paraId="422BF181" w14:textId="77777777" w:rsidR="00091E41" w:rsidRDefault="00091E41" w:rsidP="00091E41">
      <w:pPr>
        <w:spacing w:after="0"/>
      </w:pPr>
    </w:p>
    <w:p w14:paraId="2ADCCA64" w14:textId="77777777" w:rsidR="00091E41" w:rsidRPr="0022587F" w:rsidRDefault="00091E41" w:rsidP="00091E41">
      <w:pPr>
        <w:spacing w:after="0"/>
        <w:rPr>
          <w:b/>
          <w:bCs/>
        </w:rPr>
      </w:pPr>
      <w:r w:rsidRPr="0022587F">
        <w:rPr>
          <w:b/>
          <w:bCs/>
        </w:rPr>
        <w:t xml:space="preserve">Email address of co-authors: </w:t>
      </w:r>
    </w:p>
    <w:p w14:paraId="734D20B6" w14:textId="2FE6B199" w:rsidR="00091E41" w:rsidRPr="00194C28" w:rsidRDefault="00091E41" w:rsidP="00091E41">
      <w:pPr>
        <w:spacing w:after="0"/>
        <w:rPr>
          <w:lang w:val="de-DE"/>
        </w:rPr>
      </w:pPr>
      <w:r w:rsidRPr="00194C28">
        <w:rPr>
          <w:lang w:val="de-DE"/>
        </w:rPr>
        <w:t>Chang Zhang</w:t>
      </w:r>
      <w:r w:rsidRPr="00194C28">
        <w:rPr>
          <w:lang w:val="de-DE"/>
        </w:rPr>
        <w:tab/>
      </w:r>
      <w:r w:rsidRPr="00194C28">
        <w:rPr>
          <w:lang w:val="de-DE"/>
        </w:rPr>
        <w:tab/>
      </w:r>
      <w:r w:rsidRPr="00194C28">
        <w:rPr>
          <w:lang w:val="de-DE"/>
        </w:rPr>
        <w:tab/>
      </w:r>
      <w:r w:rsidRPr="00194C28">
        <w:rPr>
          <w:lang w:val="de-DE"/>
        </w:rPr>
        <w:tab/>
        <w:t>zhangchang654@163.com</w:t>
      </w:r>
    </w:p>
    <w:p w14:paraId="70ECE3C5" w14:textId="4A4CE487" w:rsidR="00091E41" w:rsidRPr="00194C28" w:rsidRDefault="00091E41" w:rsidP="00091E41">
      <w:pPr>
        <w:spacing w:after="0"/>
        <w:rPr>
          <w:lang w:val="de-DE"/>
        </w:rPr>
      </w:pPr>
      <w:r w:rsidRPr="00194C28">
        <w:rPr>
          <w:lang w:val="de-DE"/>
        </w:rPr>
        <w:t>ZhenXian Hu</w:t>
      </w:r>
      <w:r w:rsidRPr="00194C28">
        <w:rPr>
          <w:lang w:val="de-DE"/>
        </w:rPr>
        <w:tab/>
      </w:r>
      <w:r w:rsidRPr="00194C28">
        <w:rPr>
          <w:lang w:val="de-DE"/>
        </w:rPr>
        <w:tab/>
      </w:r>
      <w:r w:rsidRPr="00194C28">
        <w:rPr>
          <w:lang w:val="de-DE"/>
        </w:rPr>
        <w:tab/>
      </w:r>
      <w:r w:rsidRPr="00194C28">
        <w:rPr>
          <w:lang w:val="de-DE"/>
        </w:rPr>
        <w:tab/>
        <w:t>huzhenxian654_hzx@163.com</w:t>
      </w:r>
    </w:p>
    <w:p w14:paraId="4AEAEDEF" w14:textId="6189172D" w:rsidR="00091E41" w:rsidRDefault="00091E41" w:rsidP="00091E41">
      <w:pPr>
        <w:spacing w:after="0"/>
      </w:pPr>
      <w:r w:rsidRPr="0022587F">
        <w:t>Xin Zhang</w:t>
      </w:r>
      <w:r>
        <w:tab/>
      </w:r>
      <w:r>
        <w:tab/>
      </w:r>
      <w:r>
        <w:tab/>
      </w:r>
      <w:r>
        <w:tab/>
      </w:r>
      <w:r w:rsidRPr="005A6089">
        <w:t>zhangxin654_zx@163.com</w:t>
      </w:r>
    </w:p>
    <w:p w14:paraId="31B6BCEC" w14:textId="6311F3FA" w:rsidR="00091E41" w:rsidRDefault="00091E41" w:rsidP="00091E41">
      <w:pPr>
        <w:spacing w:after="0"/>
      </w:pPr>
      <w:r w:rsidRPr="0022587F">
        <w:t>Yu Ding</w:t>
      </w:r>
      <w:r>
        <w:tab/>
      </w:r>
      <w:r>
        <w:tab/>
      </w:r>
      <w:r>
        <w:tab/>
      </w:r>
      <w:r>
        <w:tab/>
      </w:r>
      <w:r w:rsidRPr="005A6089">
        <w:t>yuan1987ye@163.com</w:t>
      </w:r>
    </w:p>
    <w:p w14:paraId="4A7A6E12" w14:textId="631FA1A7" w:rsidR="00091E41" w:rsidRDefault="00091E41" w:rsidP="00091E41">
      <w:pPr>
        <w:spacing w:after="0"/>
      </w:pPr>
      <w:proofErr w:type="spellStart"/>
      <w:r w:rsidRPr="0022587F">
        <w:t>Shuangqin</w:t>
      </w:r>
      <w:proofErr w:type="spellEnd"/>
      <w:r w:rsidRPr="0022587F">
        <w:t xml:space="preserve"> Lin</w:t>
      </w:r>
      <w:r>
        <w:tab/>
      </w:r>
      <w:r>
        <w:tab/>
      </w:r>
      <w:r>
        <w:tab/>
      </w:r>
      <w:r>
        <w:tab/>
      </w:r>
      <w:r w:rsidRPr="005A6089">
        <w:t>linshuangqin654@163.com</w:t>
      </w:r>
    </w:p>
    <w:p w14:paraId="0232E113" w14:textId="77777777" w:rsidR="00091E41" w:rsidRDefault="00091E41" w:rsidP="000271C1">
      <w:pPr>
        <w:spacing w:after="0"/>
        <w:rPr>
          <w:b/>
        </w:rPr>
      </w:pPr>
    </w:p>
    <w:p w14:paraId="2ED584CE" w14:textId="64196F72" w:rsidR="000262EB" w:rsidRDefault="000262EB" w:rsidP="000271C1">
      <w:pPr>
        <w:spacing w:after="0"/>
        <w:rPr>
          <w:b/>
        </w:rPr>
      </w:pPr>
      <w:r>
        <w:rPr>
          <w:b/>
        </w:rPr>
        <w:t>Keywords:</w:t>
      </w:r>
    </w:p>
    <w:p w14:paraId="7FF1913E" w14:textId="41D2783C" w:rsidR="000262EB" w:rsidRPr="000262EB" w:rsidRDefault="000262EB" w:rsidP="000271C1">
      <w:pPr>
        <w:spacing w:after="0"/>
        <w:rPr>
          <w:bCs/>
        </w:rPr>
      </w:pPr>
      <w:r w:rsidRPr="000262EB">
        <w:rPr>
          <w:bCs/>
        </w:rPr>
        <w:t>orthokeratology; unilateral myopic anisometropia; Traditional Chinese Medicine fumigation; axial length; myopia control; dry-eye outcomes</w:t>
      </w:r>
    </w:p>
    <w:p w14:paraId="739CA246" w14:textId="77777777" w:rsidR="000262EB" w:rsidRDefault="000262EB" w:rsidP="000271C1">
      <w:pPr>
        <w:spacing w:after="0"/>
        <w:rPr>
          <w:b/>
        </w:rPr>
      </w:pPr>
    </w:p>
    <w:p w14:paraId="2B77BE89" w14:textId="03FD7DF3" w:rsidR="00B83B5B" w:rsidRPr="000271C1" w:rsidRDefault="00000000" w:rsidP="000271C1">
      <w:pPr>
        <w:spacing w:after="0"/>
      </w:pPr>
      <w:r w:rsidRPr="000271C1">
        <w:rPr>
          <w:b/>
        </w:rPr>
        <w:t>SUMMARY</w:t>
      </w:r>
      <w:r w:rsidR="00091E41">
        <w:rPr>
          <w:b/>
        </w:rPr>
        <w:t>:</w:t>
      </w:r>
    </w:p>
    <w:p w14:paraId="300A435B" w14:textId="185D4439" w:rsidR="00091E41" w:rsidRDefault="00091E41" w:rsidP="000271C1">
      <w:pPr>
        <w:spacing w:after="0"/>
      </w:pPr>
      <w:r w:rsidRPr="00091E41">
        <w:t>This retrospective, nonrandomized cohort study evaluated monocular orthokeratology plus Traditional Chinese Medicine fumigation in 101 children with unilateral myopic anisometropia. The combination group showed consistently lower axial elongation in the initially non-myopic fellow eye, whereas smaller myopic-eye differences were less robust. Ocular-surface and refractive-event outcomes remained exploratory.</w:t>
      </w:r>
    </w:p>
    <w:p w14:paraId="2C4F7AD2" w14:textId="77777777" w:rsidR="00091E41" w:rsidRPr="000271C1" w:rsidRDefault="00091E41" w:rsidP="000271C1">
      <w:pPr>
        <w:spacing w:after="0"/>
      </w:pPr>
    </w:p>
    <w:p w14:paraId="2FD8B830" w14:textId="77777777" w:rsidR="00B83B5B" w:rsidRPr="000271C1" w:rsidRDefault="00000000" w:rsidP="000271C1">
      <w:pPr>
        <w:spacing w:after="0"/>
      </w:pPr>
      <w:r w:rsidRPr="000271C1">
        <w:rPr>
          <w:b/>
        </w:rPr>
        <w:t>ABSTRACT</w:t>
      </w:r>
    </w:p>
    <w:p w14:paraId="40C63F36" w14:textId="77777777" w:rsidR="00091E41" w:rsidRDefault="00091E41" w:rsidP="000271C1">
      <w:pPr>
        <w:spacing w:after="0"/>
      </w:pPr>
      <w:r w:rsidRPr="00091E41">
        <w:t xml:space="preserve">This retrospective, nonrandomized cohort study evaluated whether monocular orthokeratology (Ortho-K) combined with Traditional Chinese Medicine (TCM) fumigation was associated with longitudinal ocular outcomes in children with unilateral myopic anisometropia. A total of 101 eligible children were analyzed: 33 in the Ortho-K + Fumigation group, 33 in the Ortho-K group, and 35 in the Spectacle group. The primary outcome was change in axial length (ΔAL) of the initially non-myopic fellow eye. All available post-baseline measurements were analyzed using generalized estimating equations (GEE), with linear mixed-effects and complete-case analyses used to assess robustness to missing follow-up. Fellow-eye ΔAL showed a significant group-by-time interaction (P &lt; 0.001). Compared with Ortho-K alone, the combination group had lower ΔAL at 3, 6, 12, and 18 months (all Bonferroni-adjusted P &lt; 0.001), and both sensitivity analyses supported the primary finding. In the myopic eye, smaller differences between the Ortho-K + Fumigation and Ortho-K groups were significant in the primary GEE at all four visits but were not </w:t>
      </w:r>
      <w:r w:rsidRPr="00091E41">
        <w:lastRenderedPageBreak/>
        <w:t>fully stable in sensitivity analyses. Baseline-adjusted 18-month analyses of secondary dry-eye outcomes showed group differences in tear film break-up time (TBUT), Schirmer I test, and Ocular Surface Disease Index (OSDI), but not corneal fluorescein staining (CFS). Myopia onset did not differ significantly overall, whereas rapid myopic shift showed a modest overall difference; no categorical pairwise comparison remained significant after Bonferroni correction. These results are hypothesis-generating and do not establish causality, prevention, generalized ocular-surface benefit, or long-term safety.</w:t>
      </w:r>
    </w:p>
    <w:p w14:paraId="2E3F3A97" w14:textId="77777777" w:rsidR="00091E41" w:rsidRDefault="00091E41" w:rsidP="000271C1">
      <w:pPr>
        <w:spacing w:after="0"/>
      </w:pPr>
    </w:p>
    <w:p w14:paraId="433B9563" w14:textId="52DFF96C" w:rsidR="00B83B5B" w:rsidRPr="000271C1" w:rsidRDefault="00000000" w:rsidP="000271C1">
      <w:pPr>
        <w:spacing w:after="0"/>
      </w:pPr>
      <w:r w:rsidRPr="000271C1">
        <w:rPr>
          <w:b/>
        </w:rPr>
        <w:t>INTRODUCTION</w:t>
      </w:r>
      <w:r w:rsidR="00091E41">
        <w:rPr>
          <w:b/>
        </w:rPr>
        <w:t>:</w:t>
      </w:r>
    </w:p>
    <w:p w14:paraId="45A177E7" w14:textId="023C4C08" w:rsidR="00091E41" w:rsidRDefault="00091E41" w:rsidP="00091E41">
      <w:pPr>
        <w:spacing w:after="0"/>
      </w:pPr>
      <w:r w:rsidRPr="00091E41">
        <w:t>The prevalence of myopia has increased rapidly worldwide, making it an important public health concern with substantial socioeconomic implications¹</w:t>
      </w:r>
      <w:r w:rsidRPr="00091E41">
        <w:rPr>
          <w:vertAlign w:val="superscript"/>
        </w:rPr>
        <w:t>–</w:t>
      </w:r>
      <w:r w:rsidRPr="00091E41">
        <w:t>³</w:t>
      </w:r>
      <w:r>
        <w:t>.</w:t>
      </w:r>
      <w:r w:rsidRPr="00091E41">
        <w:t xml:space="preserve"> Unilateral myopic anisometropia (UMA), characterized by definite myopia in one eye and low hyperopia or emmetropia in the fellow eye, creates a particular management challenge because refractive development may remain asymmetric over time⁴</w:t>
      </w:r>
      <w:r>
        <w:t>.</w:t>
      </w:r>
    </w:p>
    <w:p w14:paraId="442DBEB2" w14:textId="77777777" w:rsidR="00091E41" w:rsidRPr="00091E41" w:rsidRDefault="00091E41" w:rsidP="00091E41">
      <w:pPr>
        <w:spacing w:after="0"/>
      </w:pPr>
    </w:p>
    <w:p w14:paraId="5E81B1EE" w14:textId="1A0AE7A4" w:rsidR="00091E41" w:rsidRDefault="00091E41" w:rsidP="00091E41">
      <w:pPr>
        <w:spacing w:after="0"/>
      </w:pPr>
      <w:r w:rsidRPr="00091E41">
        <w:t>Orthokeratology (Ortho-K) is an established optical strategy for slowing axial elongation in myopic eyes. In children with myopic anisometropia, Ortho-K-treated eyes have shown slower axial growth than untreated fellow eyes⁵</w:t>
      </w:r>
      <w:r>
        <w:t>.</w:t>
      </w:r>
      <w:r w:rsidRPr="00091E41">
        <w:t xml:space="preserve"> Preventing or delaying myopic shift in the initially non-myopic fellow eye is also clinically important, but evidence supporting early optical intervention in that eye remains limited. Outdoor activity is one of the better-established nonpharmacologic strategies for reducing incident childhood myopia⁶˒⁷</w:t>
      </w:r>
      <w:r>
        <w:t>.</w:t>
      </w:r>
    </w:p>
    <w:p w14:paraId="18AA1A85" w14:textId="77777777" w:rsidR="00091E41" w:rsidRPr="00091E41" w:rsidRDefault="00091E41" w:rsidP="00091E41">
      <w:pPr>
        <w:spacing w:after="0"/>
      </w:pPr>
    </w:p>
    <w:p w14:paraId="3093EF92" w14:textId="759696B8" w:rsidR="00091E41" w:rsidRDefault="00091E41" w:rsidP="00091E41">
      <w:pPr>
        <w:spacing w:after="0"/>
      </w:pPr>
      <w:r w:rsidRPr="00091E41">
        <w:t>Ocular-surface tolerability is another consideration in children wearing Ortho-K lenses. Tear-film disturbance and subjective discomfort have been reported during Ortho-K treatment⁸˒⁹</w:t>
      </w:r>
      <w:r>
        <w:t>.</w:t>
      </w:r>
      <w:r w:rsidRPr="00091E41">
        <w:t xml:space="preserve"> Traditional Chinese Medicine (TCM) fumigation has been used as a noninvasive ocular intervention and has been described in previous clinical work on childhood myopia¹⁰</w:t>
      </w:r>
      <w:r>
        <w:t>.</w:t>
      </w:r>
      <w:r w:rsidRPr="00091E41">
        <w:t xml:space="preserve"> However, evidence regarding its association with axial growth in the contralateral, initially non-myopic eye when used together with monocular Ortho-K remains limited.</w:t>
      </w:r>
    </w:p>
    <w:p w14:paraId="1E44509B" w14:textId="77777777" w:rsidR="00091E41" w:rsidRPr="00091E41" w:rsidRDefault="00091E41" w:rsidP="00091E41">
      <w:pPr>
        <w:spacing w:after="0"/>
      </w:pPr>
    </w:p>
    <w:p w14:paraId="365A9466" w14:textId="4F45A489" w:rsidR="00091E41" w:rsidRDefault="00091E41" w:rsidP="00091E41">
      <w:pPr>
        <w:spacing w:after="0"/>
      </w:pPr>
      <w:r w:rsidRPr="00091E41">
        <w:t xml:space="preserve">The primary hypothesis was that children receiving monocular Ortho-K combined with TCM fumigation would show a different longitudinal pattern of axial elongation in the initially non-myopic fellow eye compared with children receiving monocular Ortho-K alone or spectacle correction. The prespecified primary outcome was </w:t>
      </w:r>
      <w:r w:rsidR="006B71C2">
        <w:t xml:space="preserve">the </w:t>
      </w:r>
      <w:r w:rsidRPr="00091E41">
        <w:t>change in axial length (ΔAL) of the initially non-myopic fellow eye over 18 months. Secondary outcomes included myopic-eye ΔAL, dry-eye-related parameters, myopia onset, rapid myopic shift, and ocular safety. Because treatment allocation was based on patient and guardian choice, the study was designed and interpreted as a retrospective, nonrandomized cohort study.</w:t>
      </w:r>
      <w:r w:rsidR="006B71C2">
        <w:t xml:space="preserve"> The process overview is represented in </w:t>
      </w:r>
      <w:r w:rsidR="006B71C2" w:rsidRPr="006B71C2">
        <w:rPr>
          <w:b/>
          <w:bCs/>
        </w:rPr>
        <w:t>Figure 1</w:t>
      </w:r>
      <w:r w:rsidR="006B71C2">
        <w:t xml:space="preserve">. </w:t>
      </w:r>
    </w:p>
    <w:p w14:paraId="25A8D3AC" w14:textId="77777777" w:rsidR="00091E41" w:rsidRDefault="00091E41" w:rsidP="00091E41">
      <w:pPr>
        <w:spacing w:after="0"/>
      </w:pPr>
    </w:p>
    <w:p w14:paraId="0095A00B" w14:textId="6DE8D09E" w:rsidR="006B71C2" w:rsidRDefault="006B71C2" w:rsidP="00091E41">
      <w:pPr>
        <w:spacing w:after="0"/>
      </w:pPr>
      <w:r>
        <w:t xml:space="preserve">[Place </w:t>
      </w:r>
      <w:r w:rsidRPr="006B71C2">
        <w:rPr>
          <w:b/>
          <w:bCs/>
        </w:rPr>
        <w:t>Figure 1</w:t>
      </w:r>
      <w:r>
        <w:t xml:space="preserve"> here]</w:t>
      </w:r>
    </w:p>
    <w:p w14:paraId="247A2AB8" w14:textId="77777777" w:rsidR="006B71C2" w:rsidRPr="00091E41" w:rsidRDefault="006B71C2" w:rsidP="00091E41">
      <w:pPr>
        <w:spacing w:after="0"/>
      </w:pPr>
    </w:p>
    <w:p w14:paraId="2ACC1F86" w14:textId="50E5329E" w:rsidR="00B83B5B" w:rsidRPr="000271C1" w:rsidRDefault="00000000" w:rsidP="000271C1">
      <w:pPr>
        <w:spacing w:after="0"/>
      </w:pPr>
      <w:r w:rsidRPr="000271C1">
        <w:rPr>
          <w:b/>
        </w:rPr>
        <w:t>PROTOCOL</w:t>
      </w:r>
      <w:r w:rsidR="00091E41">
        <w:rPr>
          <w:b/>
        </w:rPr>
        <w:t>:</w:t>
      </w:r>
    </w:p>
    <w:p w14:paraId="537F5EE2" w14:textId="42F37E06" w:rsidR="00091E41" w:rsidRPr="00091E41" w:rsidRDefault="00091E41" w:rsidP="00091E41">
      <w:pPr>
        <w:spacing w:after="0"/>
        <w:rPr>
          <w:bCs/>
        </w:rPr>
      </w:pPr>
      <w:r w:rsidRPr="00091E41">
        <w:rPr>
          <w:bCs/>
        </w:rPr>
        <w:t xml:space="preserve">This study adhered to the tenets of the Declaration of Helsinki and was approved by the Ethics Committee of </w:t>
      </w:r>
      <w:proofErr w:type="spellStart"/>
      <w:r w:rsidRPr="00091E41">
        <w:rPr>
          <w:bCs/>
        </w:rPr>
        <w:t>Tongde</w:t>
      </w:r>
      <w:proofErr w:type="spellEnd"/>
      <w:r w:rsidRPr="00091E41">
        <w:rPr>
          <w:bCs/>
        </w:rPr>
        <w:t xml:space="preserve"> Hospital (Approval No. </w:t>
      </w:r>
      <w:proofErr w:type="spellStart"/>
      <w:r w:rsidRPr="00091E41">
        <w:rPr>
          <w:bCs/>
        </w:rPr>
        <w:t>Zhetongdelunlishen</w:t>
      </w:r>
      <w:proofErr w:type="spellEnd"/>
      <w:r w:rsidRPr="00091E41">
        <w:rPr>
          <w:bCs/>
        </w:rPr>
        <w:t xml:space="preserve"> 2025 Scientific Research No. 389-JY). Because the study was retrospective and used anonymized clinical data, the ethics </w:t>
      </w:r>
      <w:r w:rsidRPr="00091E41">
        <w:rPr>
          <w:bCs/>
        </w:rPr>
        <w:lastRenderedPageBreak/>
        <w:t>committee waived the requirement for written informed consent. According to the available clinical documentation, the study procedures were explained to participants and guardians, and verbal consent was documented.</w:t>
      </w:r>
      <w:r w:rsidR="00FD034A">
        <w:rPr>
          <w:bCs/>
        </w:rPr>
        <w:t xml:space="preserve"> </w:t>
      </w:r>
      <w:r w:rsidR="003E3EBC">
        <w:rPr>
          <w:bCs/>
        </w:rPr>
        <w:t xml:space="preserve">The research tools used in this protocol are listed in the </w:t>
      </w:r>
      <w:r w:rsidR="003E3EBC" w:rsidRPr="003E3EBC">
        <w:rPr>
          <w:b/>
        </w:rPr>
        <w:t>Ta</w:t>
      </w:r>
      <w:r w:rsidR="003E3EBC">
        <w:rPr>
          <w:b/>
        </w:rPr>
        <w:t>b</w:t>
      </w:r>
      <w:r w:rsidR="003E3EBC" w:rsidRPr="003E3EBC">
        <w:rPr>
          <w:b/>
        </w:rPr>
        <w:t>le of Materials</w:t>
      </w:r>
      <w:r w:rsidR="003E3EBC">
        <w:rPr>
          <w:bCs/>
        </w:rPr>
        <w:t xml:space="preserve">. </w:t>
      </w:r>
    </w:p>
    <w:p w14:paraId="6759E6A1" w14:textId="77777777" w:rsidR="00091E41" w:rsidRPr="00091E41" w:rsidRDefault="00091E41" w:rsidP="00091E41">
      <w:pPr>
        <w:spacing w:after="0"/>
        <w:rPr>
          <w:bCs/>
        </w:rPr>
      </w:pPr>
    </w:p>
    <w:p w14:paraId="5867DA91" w14:textId="2BEB046C" w:rsidR="00091E41" w:rsidRPr="00091E41" w:rsidRDefault="00091E41" w:rsidP="00091E41">
      <w:pPr>
        <w:spacing w:after="0"/>
        <w:rPr>
          <w:b/>
          <w:bCs/>
        </w:rPr>
      </w:pPr>
      <w:r w:rsidRPr="00091E41">
        <w:rPr>
          <w:b/>
          <w:bCs/>
        </w:rPr>
        <w:t xml:space="preserve">1. Study </w:t>
      </w:r>
      <w:r w:rsidR="003E3EBC" w:rsidRPr="00091E41">
        <w:rPr>
          <w:b/>
          <w:bCs/>
        </w:rPr>
        <w:t>design and participants</w:t>
      </w:r>
    </w:p>
    <w:p w14:paraId="2338DE0B" w14:textId="77777777" w:rsidR="00091E41" w:rsidRDefault="00091E41" w:rsidP="00091E41">
      <w:pPr>
        <w:spacing w:after="0"/>
        <w:rPr>
          <w:bCs/>
        </w:rPr>
      </w:pPr>
      <w:r w:rsidRPr="00FD034A">
        <w:rPr>
          <w:bCs/>
        </w:rPr>
        <w:t xml:space="preserve">This retrospective, nonrandomized cohort study used medical-record data from children with unilateral myopic anisometropia who attended </w:t>
      </w:r>
      <w:proofErr w:type="spellStart"/>
      <w:r w:rsidRPr="00FD034A">
        <w:rPr>
          <w:bCs/>
        </w:rPr>
        <w:t>Tongde</w:t>
      </w:r>
      <w:proofErr w:type="spellEnd"/>
      <w:r w:rsidRPr="00FD034A">
        <w:rPr>
          <w:bCs/>
        </w:rPr>
        <w:t xml:space="preserve"> Hospital of Zhejiang Province between July 2023 and July 2025. Treatment was selected during routine clinical care by the children and their parents or guardians; participants were not randomly assigned. A total of 105 source records were identified. After the confirmed eligibility criteria were reapplied during final source-data verification, 101 children were included in the final analysis: 33 in the Ortho-K + Fumigation group, 33 in the Ortho-K group, and 35 in the Spectacle group.</w:t>
      </w:r>
    </w:p>
    <w:p w14:paraId="4A64694D" w14:textId="77777777" w:rsidR="00FD034A" w:rsidRPr="00FD034A" w:rsidRDefault="00FD034A" w:rsidP="00091E41">
      <w:pPr>
        <w:spacing w:after="0"/>
        <w:rPr>
          <w:bCs/>
        </w:rPr>
      </w:pPr>
    </w:p>
    <w:p w14:paraId="57AB1F04" w14:textId="77777777" w:rsidR="00091E41" w:rsidRDefault="00091E41" w:rsidP="00091E41">
      <w:pPr>
        <w:spacing w:after="0"/>
        <w:rPr>
          <w:bCs/>
        </w:rPr>
      </w:pPr>
      <w:r w:rsidRPr="00FD034A">
        <w:rPr>
          <w:bCs/>
        </w:rPr>
        <w:t>The primary outcome for sample-size planning was the 18-month change in axial length of the initially non-myopic fellow eye. A pilot-based calculation using G*Power, an anticipated effect size of 0.70, 80% power, and a two-sided α of 0.05 indicated a minimum of 33 participants per group. The source dataset initially contained 35 records per group; after application of the confirmed fellow-eye eligibility threshold, the final eligible cohort contained 33, 33, and 35 participants in the Ortho-K + Fumigation, Ortho-K, and Spectacle groups, respectively.</w:t>
      </w:r>
    </w:p>
    <w:p w14:paraId="0BCEA76F" w14:textId="77777777" w:rsidR="00FD034A" w:rsidRPr="00FD034A" w:rsidRDefault="00FD034A" w:rsidP="00091E41">
      <w:pPr>
        <w:spacing w:after="0"/>
        <w:rPr>
          <w:bCs/>
        </w:rPr>
      </w:pPr>
    </w:p>
    <w:p w14:paraId="5AD1C02E" w14:textId="77777777" w:rsidR="00091E41" w:rsidRDefault="00091E41" w:rsidP="00091E41">
      <w:pPr>
        <w:spacing w:after="0"/>
        <w:rPr>
          <w:bCs/>
        </w:rPr>
      </w:pPr>
      <w:r w:rsidRPr="00FD034A">
        <w:rPr>
          <w:bCs/>
        </w:rPr>
        <w:t xml:space="preserve">The confirmed clinical eligibility criteria applied to the final analysis were age 8 to &lt;18 years; baseline cycloplegic autorefraction showing spherical equivalent refraction (SER) from −4.00 D to −0.50 D in the myopic eye and −0.25 D to +2.00 D in the contralateral, initially non-myopic eye; cycloplegic cylinder magnitude &lt;1.50 D in both eyes; monocular best-corrected distance visual acuity of 0.00 </w:t>
      </w:r>
      <w:proofErr w:type="spellStart"/>
      <w:r w:rsidRPr="00FD034A">
        <w:rPr>
          <w:bCs/>
        </w:rPr>
        <w:t>logMAR</w:t>
      </w:r>
      <w:proofErr w:type="spellEnd"/>
      <w:r w:rsidRPr="00FD034A">
        <w:rPr>
          <w:bCs/>
        </w:rPr>
        <w:t xml:space="preserve"> (6/6) or better; and a baseline examination plus at least one post-baseline follow-up with the measurements required for the relevant longitudinal analysis. Missing later visits were not used as a baseline exclusion criterion. Four source records, including two from the Ortho-K + Fumigation group and two from the Ortho-K group, had fellow-eye baseline SER of −0.37 D and therefore did not meet the confirmed fellow-eye threshold; these records were excluded from all final analyses. Exclusion criteria also included prior myopia-control treatment, strabismus, nystagmus, ocular or systemic pathology likely to influence study measurements, or abnormal intraocular pressure.</w:t>
      </w:r>
    </w:p>
    <w:p w14:paraId="3B288F3E" w14:textId="77777777" w:rsidR="00FD034A" w:rsidRPr="00FD034A" w:rsidRDefault="00FD034A" w:rsidP="00091E41">
      <w:pPr>
        <w:spacing w:after="0"/>
        <w:rPr>
          <w:bCs/>
        </w:rPr>
      </w:pPr>
    </w:p>
    <w:p w14:paraId="3BC69BD9" w14:textId="43C5BDB7" w:rsidR="00091E41" w:rsidRPr="00091E41" w:rsidRDefault="00091E41" w:rsidP="00091E41">
      <w:pPr>
        <w:spacing w:after="0"/>
        <w:rPr>
          <w:b/>
          <w:bCs/>
        </w:rPr>
      </w:pPr>
      <w:r w:rsidRPr="00091E41">
        <w:rPr>
          <w:b/>
          <w:bCs/>
        </w:rPr>
        <w:t xml:space="preserve">2. Outcome </w:t>
      </w:r>
      <w:r w:rsidR="00C02FAB">
        <w:rPr>
          <w:b/>
          <w:bCs/>
        </w:rPr>
        <w:t>m</w:t>
      </w:r>
      <w:r w:rsidRPr="00091E41">
        <w:rPr>
          <w:b/>
          <w:bCs/>
        </w:rPr>
        <w:t>easurements</w:t>
      </w:r>
    </w:p>
    <w:p w14:paraId="4D55A654" w14:textId="77777777" w:rsidR="00091E41" w:rsidRDefault="00091E41" w:rsidP="00091E41">
      <w:pPr>
        <w:spacing w:after="0"/>
        <w:rPr>
          <w:bCs/>
        </w:rPr>
      </w:pPr>
      <w:r w:rsidRPr="00FD034A">
        <w:rPr>
          <w:bCs/>
        </w:rPr>
        <w:t>Axial length (AL), change in axial length (ΔAL), and spherical equivalent refraction (SER) were the principal ocular measurements. AL was measured using partial coherence interferometry, and the recorded value was based on repeated measurements obtained according to the clinical protocol. ΔAL was calculated as follow-up AL minus baseline AL. Refraction was assessed during routine clinical care and converted to SER.</w:t>
      </w:r>
    </w:p>
    <w:p w14:paraId="3046531B" w14:textId="77777777" w:rsidR="00FD034A" w:rsidRPr="00FD034A" w:rsidRDefault="00FD034A" w:rsidP="00091E41">
      <w:pPr>
        <w:spacing w:after="0"/>
        <w:rPr>
          <w:bCs/>
        </w:rPr>
      </w:pPr>
    </w:p>
    <w:p w14:paraId="69DABDD4" w14:textId="77777777" w:rsidR="00091E41" w:rsidRDefault="00091E41" w:rsidP="00091E41">
      <w:pPr>
        <w:spacing w:after="0"/>
        <w:rPr>
          <w:bCs/>
        </w:rPr>
      </w:pPr>
      <w:r w:rsidRPr="00FD034A">
        <w:rPr>
          <w:bCs/>
        </w:rPr>
        <w:t>Dry-eye-related outcomes included tear film break-up time (TBUT), Schirmer I test without anesthesia, Ocular Surface Disease Index (OSDI), and corneal fluorescein staining (CFS). These assessments were performed by the same experienced examiner, who was blinded to treatment-</w:t>
      </w:r>
      <w:r w:rsidRPr="00FD034A">
        <w:rPr>
          <w:bCs/>
        </w:rPr>
        <w:lastRenderedPageBreak/>
        <w:t>group allocation.</w:t>
      </w:r>
    </w:p>
    <w:p w14:paraId="6FE51EA8" w14:textId="77777777" w:rsidR="00FD034A" w:rsidRPr="00FD034A" w:rsidRDefault="00FD034A" w:rsidP="00091E41">
      <w:pPr>
        <w:spacing w:after="0"/>
        <w:rPr>
          <w:bCs/>
        </w:rPr>
      </w:pPr>
    </w:p>
    <w:p w14:paraId="07B15BA4" w14:textId="77777777" w:rsidR="00091E41" w:rsidRDefault="00091E41" w:rsidP="00091E41">
      <w:pPr>
        <w:spacing w:after="0"/>
        <w:rPr>
          <w:bCs/>
        </w:rPr>
      </w:pPr>
      <w:r w:rsidRPr="00FD034A">
        <w:rPr>
          <w:bCs/>
        </w:rPr>
        <w:t>Myopia onset in the initially non-myopic fellow eye was defined as SER ≤ −0.50 D at any observed post-baseline visit. Rapid myopic shift was reconstructed directly from the fellow-eye longitudinal SER records and was defined as a decrease in SER of at least 0.50 D between any two observed visits separated by no more than 12 months. Serious ocular adverse events, treatment discontinuations related to serious adverse events, and serious-event-related treatment interruptions were identified from the available medical records.</w:t>
      </w:r>
    </w:p>
    <w:p w14:paraId="15B1AE1F" w14:textId="77777777" w:rsidR="00FD034A" w:rsidRPr="00FD034A" w:rsidRDefault="00FD034A" w:rsidP="00091E41">
      <w:pPr>
        <w:spacing w:after="0"/>
        <w:rPr>
          <w:bCs/>
        </w:rPr>
      </w:pPr>
    </w:p>
    <w:p w14:paraId="3A154C17" w14:textId="5603884C" w:rsidR="00091E41" w:rsidRPr="00194C28" w:rsidRDefault="00091E41" w:rsidP="00091E41">
      <w:pPr>
        <w:spacing w:after="0"/>
        <w:rPr>
          <w:b/>
          <w:bCs/>
          <w:highlight w:val="yellow"/>
        </w:rPr>
      </w:pPr>
      <w:r w:rsidRPr="00194C28">
        <w:rPr>
          <w:b/>
          <w:bCs/>
          <w:highlight w:val="yellow"/>
        </w:rPr>
        <w:t xml:space="preserve">3. Preparation of the TCM </w:t>
      </w:r>
      <w:r w:rsidR="00C02FAB" w:rsidRPr="00194C28">
        <w:rPr>
          <w:b/>
          <w:bCs/>
          <w:highlight w:val="yellow"/>
        </w:rPr>
        <w:t>fumigation formulation</w:t>
      </w:r>
    </w:p>
    <w:p w14:paraId="5E14D9F5" w14:textId="77777777" w:rsidR="00091E41" w:rsidRPr="00194C28" w:rsidRDefault="00091E41" w:rsidP="00091E41">
      <w:pPr>
        <w:spacing w:after="0"/>
        <w:rPr>
          <w:bCs/>
          <w:highlight w:val="yellow"/>
        </w:rPr>
      </w:pPr>
      <w:r w:rsidRPr="00194C28">
        <w:rPr>
          <w:bCs/>
          <w:highlight w:val="yellow"/>
        </w:rPr>
        <w:t xml:space="preserve">The TCM formulation was based on the traditional therapeutic rationale of warming heart yang, supplementing Qi and blood, and strengthening the liver and kidney¹¹–¹³. The formulation contained, in parts by weight, </w:t>
      </w:r>
      <w:r w:rsidRPr="00194C28">
        <w:rPr>
          <w:bCs/>
          <w:i/>
          <w:iCs/>
          <w:highlight w:val="yellow"/>
        </w:rPr>
        <w:t>Senecio scandens</w:t>
      </w:r>
      <w:r w:rsidRPr="00194C28">
        <w:rPr>
          <w:bCs/>
          <w:highlight w:val="yellow"/>
        </w:rPr>
        <w:t xml:space="preserve"> (1), </w:t>
      </w:r>
      <w:r w:rsidRPr="00194C28">
        <w:rPr>
          <w:bCs/>
          <w:i/>
          <w:iCs/>
          <w:highlight w:val="yellow"/>
        </w:rPr>
        <w:t xml:space="preserve">Dictamnus </w:t>
      </w:r>
      <w:proofErr w:type="spellStart"/>
      <w:r w:rsidRPr="00194C28">
        <w:rPr>
          <w:bCs/>
          <w:i/>
          <w:iCs/>
          <w:highlight w:val="yellow"/>
        </w:rPr>
        <w:t>dasycarpus</w:t>
      </w:r>
      <w:proofErr w:type="spellEnd"/>
      <w:r w:rsidRPr="00194C28">
        <w:rPr>
          <w:bCs/>
          <w:highlight w:val="yellow"/>
        </w:rPr>
        <w:t xml:space="preserve"> (1), </w:t>
      </w:r>
      <w:r w:rsidRPr="00194C28">
        <w:rPr>
          <w:bCs/>
          <w:i/>
          <w:iCs/>
          <w:highlight w:val="yellow"/>
        </w:rPr>
        <w:t>Sophora flavescens</w:t>
      </w:r>
      <w:r w:rsidRPr="00194C28">
        <w:rPr>
          <w:bCs/>
          <w:highlight w:val="yellow"/>
        </w:rPr>
        <w:t xml:space="preserve"> (3), </w:t>
      </w:r>
      <w:proofErr w:type="spellStart"/>
      <w:r w:rsidRPr="00194C28">
        <w:rPr>
          <w:bCs/>
          <w:i/>
          <w:iCs/>
          <w:highlight w:val="yellow"/>
        </w:rPr>
        <w:t>Lycium</w:t>
      </w:r>
      <w:proofErr w:type="spellEnd"/>
      <w:r w:rsidRPr="00194C28">
        <w:rPr>
          <w:bCs/>
          <w:i/>
          <w:iCs/>
          <w:highlight w:val="yellow"/>
        </w:rPr>
        <w:t xml:space="preserve"> </w:t>
      </w:r>
      <w:proofErr w:type="spellStart"/>
      <w:r w:rsidRPr="00194C28">
        <w:rPr>
          <w:bCs/>
          <w:i/>
          <w:iCs/>
          <w:highlight w:val="yellow"/>
        </w:rPr>
        <w:t>barbarum</w:t>
      </w:r>
      <w:proofErr w:type="spellEnd"/>
      <w:r w:rsidRPr="00194C28">
        <w:rPr>
          <w:bCs/>
          <w:highlight w:val="yellow"/>
        </w:rPr>
        <w:t xml:space="preserve"> (3), </w:t>
      </w:r>
      <w:r w:rsidRPr="00194C28">
        <w:rPr>
          <w:bCs/>
          <w:i/>
          <w:iCs/>
          <w:highlight w:val="yellow"/>
        </w:rPr>
        <w:t>Chrysanthemum indicum</w:t>
      </w:r>
      <w:r w:rsidRPr="00194C28">
        <w:rPr>
          <w:bCs/>
          <w:highlight w:val="yellow"/>
        </w:rPr>
        <w:t xml:space="preserve"> (1), </w:t>
      </w:r>
      <w:r w:rsidRPr="00194C28">
        <w:rPr>
          <w:bCs/>
          <w:i/>
          <w:iCs/>
          <w:highlight w:val="yellow"/>
        </w:rPr>
        <w:t>Morus alba</w:t>
      </w:r>
      <w:r w:rsidRPr="00194C28">
        <w:rPr>
          <w:bCs/>
          <w:highlight w:val="yellow"/>
        </w:rPr>
        <w:t xml:space="preserve"> (1), </w:t>
      </w:r>
      <w:r w:rsidRPr="00194C28">
        <w:rPr>
          <w:bCs/>
          <w:i/>
          <w:iCs/>
          <w:highlight w:val="yellow"/>
        </w:rPr>
        <w:t xml:space="preserve">Taraxacum </w:t>
      </w:r>
      <w:proofErr w:type="spellStart"/>
      <w:r w:rsidRPr="00194C28">
        <w:rPr>
          <w:bCs/>
          <w:i/>
          <w:iCs/>
          <w:highlight w:val="yellow"/>
        </w:rPr>
        <w:t>mongolicum</w:t>
      </w:r>
      <w:proofErr w:type="spellEnd"/>
      <w:r w:rsidRPr="00194C28">
        <w:rPr>
          <w:bCs/>
          <w:highlight w:val="yellow"/>
        </w:rPr>
        <w:t xml:space="preserve"> (1), </w:t>
      </w:r>
      <w:r w:rsidRPr="00194C28">
        <w:rPr>
          <w:bCs/>
          <w:i/>
          <w:iCs/>
          <w:highlight w:val="yellow"/>
        </w:rPr>
        <w:t>Angelica sinensis</w:t>
      </w:r>
      <w:r w:rsidRPr="00194C28">
        <w:rPr>
          <w:bCs/>
          <w:highlight w:val="yellow"/>
        </w:rPr>
        <w:t xml:space="preserve"> (1), </w:t>
      </w:r>
      <w:proofErr w:type="spellStart"/>
      <w:r w:rsidRPr="00194C28">
        <w:rPr>
          <w:bCs/>
          <w:i/>
          <w:iCs/>
          <w:highlight w:val="yellow"/>
        </w:rPr>
        <w:t>Ligusticum</w:t>
      </w:r>
      <w:proofErr w:type="spellEnd"/>
      <w:r w:rsidRPr="00194C28">
        <w:rPr>
          <w:bCs/>
          <w:i/>
          <w:iCs/>
          <w:highlight w:val="yellow"/>
        </w:rPr>
        <w:t xml:space="preserve"> chuanxiong</w:t>
      </w:r>
      <w:r w:rsidRPr="00194C28">
        <w:rPr>
          <w:bCs/>
          <w:highlight w:val="yellow"/>
        </w:rPr>
        <w:t xml:space="preserve"> (1), and </w:t>
      </w:r>
      <w:r w:rsidRPr="00194C28">
        <w:rPr>
          <w:bCs/>
          <w:i/>
          <w:iCs/>
          <w:highlight w:val="yellow"/>
        </w:rPr>
        <w:t>Cuscuta chinensis</w:t>
      </w:r>
      <w:r w:rsidRPr="00194C28">
        <w:rPr>
          <w:bCs/>
          <w:highlight w:val="yellow"/>
        </w:rPr>
        <w:t xml:space="preserve"> (2).</w:t>
      </w:r>
    </w:p>
    <w:p w14:paraId="3E577236" w14:textId="77777777" w:rsidR="00C02FAB" w:rsidRPr="00194C28" w:rsidRDefault="00C02FAB" w:rsidP="00091E41">
      <w:pPr>
        <w:spacing w:after="0"/>
        <w:rPr>
          <w:bCs/>
          <w:highlight w:val="yellow"/>
        </w:rPr>
      </w:pPr>
    </w:p>
    <w:p w14:paraId="60FA7068" w14:textId="77777777" w:rsidR="00091E41" w:rsidRPr="00194C28" w:rsidRDefault="00091E41" w:rsidP="00091E41">
      <w:pPr>
        <w:spacing w:after="0"/>
        <w:rPr>
          <w:bCs/>
          <w:highlight w:val="yellow"/>
        </w:rPr>
      </w:pPr>
      <w:r w:rsidRPr="00194C28">
        <w:rPr>
          <w:bCs/>
          <w:i/>
          <w:iCs/>
          <w:highlight w:val="yellow"/>
        </w:rPr>
        <w:t>Chrysanthemum indicum</w:t>
      </w:r>
      <w:r w:rsidRPr="00194C28">
        <w:rPr>
          <w:bCs/>
          <w:highlight w:val="yellow"/>
        </w:rPr>
        <w:t xml:space="preserve">, </w:t>
      </w:r>
      <w:r w:rsidRPr="00194C28">
        <w:rPr>
          <w:bCs/>
          <w:i/>
          <w:iCs/>
          <w:highlight w:val="yellow"/>
        </w:rPr>
        <w:t>Angelica sinensis</w:t>
      </w:r>
      <w:r w:rsidRPr="00194C28">
        <w:rPr>
          <w:bCs/>
          <w:highlight w:val="yellow"/>
        </w:rPr>
        <w:t xml:space="preserve">, and </w:t>
      </w:r>
      <w:proofErr w:type="spellStart"/>
      <w:r w:rsidRPr="00194C28">
        <w:rPr>
          <w:bCs/>
          <w:i/>
          <w:iCs/>
          <w:highlight w:val="yellow"/>
        </w:rPr>
        <w:t>Ligusticum</w:t>
      </w:r>
      <w:proofErr w:type="spellEnd"/>
      <w:r w:rsidRPr="00194C28">
        <w:rPr>
          <w:bCs/>
          <w:i/>
          <w:iCs/>
          <w:highlight w:val="yellow"/>
        </w:rPr>
        <w:t xml:space="preserve"> chuanxiong</w:t>
      </w:r>
      <w:r w:rsidRPr="00194C28">
        <w:rPr>
          <w:bCs/>
          <w:highlight w:val="yellow"/>
        </w:rPr>
        <w:t xml:space="preserve"> were processed by steam distillation to obtain the first liquid. The remaining herbal residue was combined with the other ingredients, soaked, heated for decoction, purified, and concentrated to obtain the second liquid. The two liquids were mixed and allowed to stand. The supernatant was then collected and centrifuged at 1,500 × g for 15 min. The resulting supernatant was filled and sterilized to produce the concentrated fumigation liquid¹⁰.</w:t>
      </w:r>
    </w:p>
    <w:p w14:paraId="6AE8B6AD" w14:textId="77777777" w:rsidR="00FD034A" w:rsidRPr="00194C28" w:rsidRDefault="00FD034A" w:rsidP="00091E41">
      <w:pPr>
        <w:spacing w:after="0"/>
        <w:rPr>
          <w:bCs/>
          <w:highlight w:val="yellow"/>
        </w:rPr>
      </w:pPr>
    </w:p>
    <w:p w14:paraId="02B72EE9" w14:textId="77777777" w:rsidR="00091E41" w:rsidRPr="00194C28" w:rsidRDefault="00091E41" w:rsidP="00775C91">
      <w:pPr>
        <w:rPr>
          <w:highlight w:val="yellow"/>
        </w:rPr>
      </w:pPr>
      <w:r w:rsidRPr="00194C28">
        <w:rPr>
          <w:highlight w:val="yellow"/>
        </w:rPr>
        <w:t>For each treatment session, 10 mL of concentrated liquid was diluted with 50 mL of purified water and placed in the reservoir of an ultrasonic atomization fumigation device. The mist was delivered through a mask positioned approximately 15–20 cm from the eyes. Each session lasted approximately 15–20 min, and participants were instructed to keep both eyes open and blink gently to facilitate uniform ocular-surface exposure. The mist temperature was maintained at approximately 37–42 °C.</w:t>
      </w:r>
    </w:p>
    <w:p w14:paraId="2DFEFD48" w14:textId="77777777" w:rsidR="00FD034A" w:rsidRPr="00194C28" w:rsidRDefault="00FD034A" w:rsidP="00091E41">
      <w:pPr>
        <w:spacing w:after="0"/>
        <w:rPr>
          <w:bCs/>
          <w:highlight w:val="yellow"/>
        </w:rPr>
      </w:pPr>
    </w:p>
    <w:p w14:paraId="488F4E0D" w14:textId="77777777" w:rsidR="00091E41" w:rsidRPr="00194C28" w:rsidRDefault="00091E41" w:rsidP="00091E41">
      <w:pPr>
        <w:spacing w:after="0"/>
        <w:rPr>
          <w:bCs/>
          <w:highlight w:val="yellow"/>
        </w:rPr>
      </w:pPr>
      <w:r w:rsidRPr="00194C28">
        <w:rPr>
          <w:bCs/>
          <w:highlight w:val="yellow"/>
        </w:rPr>
        <w:t>Because the study was retrospective, several technical and batch-level details were not consistently recoverable from the historical records, including exact extraction/decoction temperature and duration, centrifugation temperature, sterilization temperature and duration, complete supplier and batch-specific quality-control documentation, storage logs for every preparation, and the manufacturer/model, operating frequency, power, and quantitative output of the ultrasonic device. Treatment-room temperature and relative humidity were also not continuously recorded. These limitations are reported transparently rather than by retrospectively estimating unavailable parameters.</w:t>
      </w:r>
    </w:p>
    <w:p w14:paraId="5F290031" w14:textId="77777777" w:rsidR="00FD034A" w:rsidRPr="00194C28" w:rsidRDefault="00FD034A" w:rsidP="00091E41">
      <w:pPr>
        <w:spacing w:after="0"/>
        <w:rPr>
          <w:bCs/>
          <w:highlight w:val="yellow"/>
        </w:rPr>
      </w:pPr>
    </w:p>
    <w:p w14:paraId="3CB22569" w14:textId="0149559F" w:rsidR="00091E41" w:rsidRPr="00194C28" w:rsidRDefault="00091E41" w:rsidP="00091E41">
      <w:pPr>
        <w:spacing w:after="0"/>
        <w:rPr>
          <w:b/>
          <w:bCs/>
          <w:highlight w:val="yellow"/>
        </w:rPr>
      </w:pPr>
      <w:r w:rsidRPr="00194C28">
        <w:rPr>
          <w:b/>
          <w:bCs/>
          <w:highlight w:val="yellow"/>
        </w:rPr>
        <w:t xml:space="preserve">4. Interventions and </w:t>
      </w:r>
      <w:r w:rsidR="00C02FAB" w:rsidRPr="00194C28">
        <w:rPr>
          <w:b/>
          <w:bCs/>
          <w:highlight w:val="yellow"/>
        </w:rPr>
        <w:t>f</w:t>
      </w:r>
      <w:r w:rsidRPr="00194C28">
        <w:rPr>
          <w:b/>
          <w:bCs/>
          <w:highlight w:val="yellow"/>
        </w:rPr>
        <w:t>ollow-up</w:t>
      </w:r>
    </w:p>
    <w:p w14:paraId="19521213" w14:textId="77777777" w:rsidR="00091E41" w:rsidRPr="00194C28" w:rsidRDefault="00091E41" w:rsidP="00091E41">
      <w:pPr>
        <w:spacing w:after="0"/>
        <w:rPr>
          <w:bCs/>
          <w:highlight w:val="yellow"/>
        </w:rPr>
      </w:pPr>
      <w:r w:rsidRPr="00194C28">
        <w:rPr>
          <w:bCs/>
          <w:highlight w:val="yellow"/>
        </w:rPr>
        <w:t xml:space="preserve">Participants were classified according to their initial treatment choice. In the Ortho-K + Fumigation group, the myopic eye was fitted with Ortho-K lenses and worn for approximately 8–10 h nightly. TCM fumigation was administered twice weekly, generally between 7:00 PM and </w:t>
      </w:r>
      <w:r w:rsidRPr="00194C28">
        <w:rPr>
          <w:bCs/>
          <w:highlight w:val="yellow"/>
        </w:rPr>
        <w:lastRenderedPageBreak/>
        <w:t>9:00 PM, under parental supervision for 18 months. The initially non-myopic fellow eye received no Ortho-K correction.</w:t>
      </w:r>
    </w:p>
    <w:p w14:paraId="6C6047A1" w14:textId="77777777" w:rsidR="00FD034A" w:rsidRPr="00194C28" w:rsidRDefault="00FD034A" w:rsidP="00091E41">
      <w:pPr>
        <w:spacing w:after="0"/>
        <w:rPr>
          <w:bCs/>
          <w:highlight w:val="yellow"/>
        </w:rPr>
      </w:pPr>
    </w:p>
    <w:p w14:paraId="7C8C3013" w14:textId="77777777" w:rsidR="00091E41" w:rsidRPr="00194C28" w:rsidRDefault="00091E41" w:rsidP="00091E41">
      <w:pPr>
        <w:spacing w:after="0"/>
        <w:rPr>
          <w:bCs/>
          <w:highlight w:val="yellow"/>
        </w:rPr>
      </w:pPr>
      <w:r w:rsidRPr="00194C28">
        <w:rPr>
          <w:bCs/>
          <w:highlight w:val="yellow"/>
        </w:rPr>
        <w:t>In the Ortho-K group, the myopic eye was treated with Ortho-K using the same clinical fitting approach, while the fellow eye received no TCM fumigation. In the Spectacle group, the myopic eye was corrected with single-vision spectacles; fellow-eye correction was provided according to refractive status and clinical need. No Ortho-K, low-dose atropine, or TCM fumigation was used in the Spectacle group.</w:t>
      </w:r>
    </w:p>
    <w:p w14:paraId="4AB0B6DF" w14:textId="77777777" w:rsidR="00FD034A" w:rsidRPr="00194C28" w:rsidRDefault="00FD034A" w:rsidP="00091E41">
      <w:pPr>
        <w:spacing w:after="0"/>
        <w:rPr>
          <w:bCs/>
          <w:highlight w:val="yellow"/>
        </w:rPr>
      </w:pPr>
    </w:p>
    <w:p w14:paraId="1E5835E8" w14:textId="77777777" w:rsidR="00FD034A" w:rsidRDefault="00091E41" w:rsidP="00091E41">
      <w:pPr>
        <w:spacing w:after="0"/>
        <w:rPr>
          <w:bCs/>
        </w:rPr>
      </w:pPr>
      <w:r w:rsidRPr="00194C28">
        <w:rPr>
          <w:bCs/>
          <w:highlight w:val="yellow"/>
        </w:rPr>
        <w:t>Follow-up examinations were scheduled at baseline and at 3, 6, 12, and 18 months. Because this was a retrospective record-based cohort, some follow-up visits were missing. Participants with an eligible baseline examination were retained if they had at least one post-baseline observation relevant to the analysis; longitudinal models used the available repeated measurements. Quantitative objective adherence measures for nightly Ortho-K wear and repeated fumigation were not systematically available in the retrospective records</w:t>
      </w:r>
      <w:r w:rsidR="00FD034A" w:rsidRPr="00194C28">
        <w:rPr>
          <w:bCs/>
          <w:highlight w:val="yellow"/>
        </w:rPr>
        <w:t>.</w:t>
      </w:r>
    </w:p>
    <w:p w14:paraId="2A81E16A" w14:textId="77777777" w:rsidR="00FD034A" w:rsidRDefault="00FD034A" w:rsidP="00091E41">
      <w:pPr>
        <w:spacing w:after="0"/>
        <w:rPr>
          <w:bCs/>
        </w:rPr>
      </w:pPr>
    </w:p>
    <w:p w14:paraId="640E9C9B" w14:textId="18407A4D" w:rsidR="00091E41" w:rsidRPr="00091E41" w:rsidRDefault="00091E41" w:rsidP="00091E41">
      <w:pPr>
        <w:spacing w:after="0"/>
        <w:rPr>
          <w:b/>
          <w:bCs/>
        </w:rPr>
      </w:pPr>
      <w:r w:rsidRPr="00091E41">
        <w:rPr>
          <w:b/>
          <w:bCs/>
        </w:rPr>
        <w:t xml:space="preserve">5. Statistical </w:t>
      </w:r>
      <w:r w:rsidR="00C02FAB">
        <w:rPr>
          <w:b/>
          <w:bCs/>
        </w:rPr>
        <w:t>a</w:t>
      </w:r>
      <w:r w:rsidRPr="00091E41">
        <w:rPr>
          <w:b/>
          <w:bCs/>
        </w:rPr>
        <w:t>nalysis</w:t>
      </w:r>
    </w:p>
    <w:p w14:paraId="1F9AC8EB" w14:textId="7D12AF8E" w:rsidR="00091E41" w:rsidRDefault="00091E41" w:rsidP="00091E41">
      <w:pPr>
        <w:spacing w:after="0"/>
        <w:rPr>
          <w:bCs/>
        </w:rPr>
      </w:pPr>
      <w:r w:rsidRPr="00FD034A">
        <w:rPr>
          <w:bCs/>
        </w:rPr>
        <w:t xml:space="preserve">Statistical analyses were specified using </w:t>
      </w:r>
      <w:r w:rsidR="005A6089">
        <w:rPr>
          <w:bCs/>
        </w:rPr>
        <w:t xml:space="preserve">statistical </w:t>
      </w:r>
      <w:r w:rsidR="00CC2ED9">
        <w:rPr>
          <w:bCs/>
        </w:rPr>
        <w:t xml:space="preserve">software. </w:t>
      </w:r>
      <w:r w:rsidRPr="00FD034A">
        <w:rPr>
          <w:bCs/>
        </w:rPr>
        <w:t xml:space="preserve"> Continuous variables were assessed for distributional characteristics and are presented as mean ± standard deviation (SD) when summarized in the tables; categorical variables are presented as number and percentage.</w:t>
      </w:r>
    </w:p>
    <w:p w14:paraId="073AE5F1" w14:textId="77777777" w:rsidR="00FD034A" w:rsidRPr="00FD034A" w:rsidRDefault="00FD034A" w:rsidP="00091E41">
      <w:pPr>
        <w:spacing w:after="0"/>
        <w:rPr>
          <w:bCs/>
        </w:rPr>
      </w:pPr>
    </w:p>
    <w:p w14:paraId="101A9459" w14:textId="77777777" w:rsidR="00091E41" w:rsidRDefault="00091E41" w:rsidP="00091E41">
      <w:pPr>
        <w:spacing w:after="0"/>
        <w:rPr>
          <w:bCs/>
        </w:rPr>
      </w:pPr>
      <w:r w:rsidRPr="00FD034A">
        <w:rPr>
          <w:bCs/>
        </w:rPr>
        <w:t>Baseline characteristics were compared among the three treatment groups using one-way analysis of variance (ANOVA) for normally distributed continuous variables and the Kruskal-Wallis test for non-normally distributed continuous variables. Categorical variables were compared using the chi-square test or Fisher exact test, as appropriate.</w:t>
      </w:r>
    </w:p>
    <w:p w14:paraId="6C62C757" w14:textId="77777777" w:rsidR="00FD034A" w:rsidRPr="00FD034A" w:rsidRDefault="00FD034A" w:rsidP="00091E41">
      <w:pPr>
        <w:spacing w:after="0"/>
        <w:rPr>
          <w:bCs/>
        </w:rPr>
      </w:pPr>
    </w:p>
    <w:p w14:paraId="66B9DDEA" w14:textId="77777777" w:rsidR="00091E41" w:rsidRDefault="00091E41" w:rsidP="00091E41">
      <w:pPr>
        <w:spacing w:after="0"/>
        <w:rPr>
          <w:bCs/>
        </w:rPr>
      </w:pPr>
      <w:r w:rsidRPr="00FD034A">
        <w:rPr>
          <w:bCs/>
        </w:rPr>
        <w:t>The prespecified primary outcome was ΔAL of the initially non-myopic fellow eye during the 18-month follow-up. Post-baseline ΔAL values at 3, 6, 12, and 18 months were analyzed using generalized estimating equations (GEE) with a Gaussian distribution and identity link function. Participant identification number was specified as the subject variable, and an exchangeable working correlation structure with robust standard errors was used to account for within-participant correlations. Time was treated as a categorical variable, and treatment group, time, and the group-by-time interaction were included in the model. All available observed post-baseline measurements were retained rather than restricting the primary analysis to complete cases.</w:t>
      </w:r>
    </w:p>
    <w:p w14:paraId="6B61AEDD" w14:textId="77777777" w:rsidR="00FD034A" w:rsidRPr="00FD034A" w:rsidRDefault="00FD034A" w:rsidP="00091E41">
      <w:pPr>
        <w:spacing w:after="0"/>
        <w:rPr>
          <w:bCs/>
        </w:rPr>
      </w:pPr>
    </w:p>
    <w:p w14:paraId="03835412" w14:textId="77777777" w:rsidR="00091E41" w:rsidRDefault="00091E41" w:rsidP="00091E41">
      <w:pPr>
        <w:spacing w:after="0"/>
        <w:rPr>
          <w:bCs/>
        </w:rPr>
      </w:pPr>
      <w:r w:rsidRPr="00FD034A">
        <w:rPr>
          <w:bCs/>
        </w:rPr>
        <w:t>The initially non-myopic fellow eye and the myopic eye were analyzed in separate longitudinal models so that measurements from the two eyes of the same participant were not treated as independent observations within a single model. To evaluate the influence of incomplete follow-up, two sensitivity analyses were performed: a maximum-likelihood linear mixed-effects model with a participant-level random intercept and a complete-case GEE restricted to children with observed ΔAL at all four post-baseline visits.</w:t>
      </w:r>
    </w:p>
    <w:p w14:paraId="3D6A6272" w14:textId="77777777" w:rsidR="00FD034A" w:rsidRPr="00FD034A" w:rsidRDefault="00FD034A" w:rsidP="00091E41">
      <w:pPr>
        <w:spacing w:after="0"/>
        <w:rPr>
          <w:bCs/>
        </w:rPr>
      </w:pPr>
    </w:p>
    <w:p w14:paraId="603CE5E4" w14:textId="77777777" w:rsidR="00091E41" w:rsidRDefault="00091E41" w:rsidP="00091E41">
      <w:pPr>
        <w:spacing w:after="0"/>
        <w:rPr>
          <w:bCs/>
        </w:rPr>
      </w:pPr>
      <w:r w:rsidRPr="00FD034A">
        <w:rPr>
          <w:bCs/>
        </w:rPr>
        <w:t xml:space="preserve">When a significant overall group-by-time interaction was identified, model-based pairwise </w:t>
      </w:r>
      <w:r w:rsidRPr="00FD034A">
        <w:rPr>
          <w:bCs/>
        </w:rPr>
        <w:lastRenderedPageBreak/>
        <w:t>comparisons among treatment groups were performed at each follow-up visit, and the three comparisons were adjusted using the Bonferroni method. Dry-eye-related outcomes were treated as secondary exploratory outcomes. Because baseline TBUT and CFS differed among groups, 18-month dry-eye outcomes were analyzed using analysis of covariance (ANCOVA), with the corresponding baseline value as a covariate and heteroskedasticity-robust standard errors; Bonferroni adjustment was applied to pairwise contrasts. A rank-based change-score sensitivity analysis was also performed for CFS.</w:t>
      </w:r>
    </w:p>
    <w:p w14:paraId="042C140C" w14:textId="77777777" w:rsidR="00FD034A" w:rsidRPr="00FD034A" w:rsidRDefault="00FD034A" w:rsidP="00091E41">
      <w:pPr>
        <w:spacing w:after="0"/>
        <w:rPr>
          <w:bCs/>
        </w:rPr>
      </w:pPr>
    </w:p>
    <w:p w14:paraId="1B4C543E" w14:textId="77777777" w:rsidR="00091E41" w:rsidRPr="00FD034A" w:rsidRDefault="00091E41" w:rsidP="00091E41">
      <w:pPr>
        <w:spacing w:after="0"/>
        <w:rPr>
          <w:bCs/>
        </w:rPr>
      </w:pPr>
      <w:r w:rsidRPr="00FD034A">
        <w:rPr>
          <w:bCs/>
        </w:rPr>
        <w:t>Myopia-onset and reconstructed rapid-myopic-shift event counts were compared descriptively using Pearson chi-square or Fisher exact tests with Bonferroni-adjusted pairwise comparisons. Because follow-up was incomplete for some participants, censoring-aware log-rank analyses were used as sensitivity analyses, with participants without an event censored at their last observed fellow-eye SER visit. All tests were two-sided, and P &lt; 0.05 was considered statistically significant after adjustment, where applicable.</w:t>
      </w:r>
    </w:p>
    <w:p w14:paraId="66C0C3C5" w14:textId="77777777" w:rsidR="00091E41" w:rsidRPr="000271C1" w:rsidRDefault="00091E41" w:rsidP="000271C1">
      <w:pPr>
        <w:spacing w:after="0"/>
      </w:pPr>
    </w:p>
    <w:p w14:paraId="10D87BC3" w14:textId="77777777" w:rsidR="00FD034A" w:rsidRDefault="00FD034A" w:rsidP="000271C1">
      <w:pPr>
        <w:spacing w:after="0"/>
        <w:rPr>
          <w:b/>
        </w:rPr>
      </w:pPr>
      <w:r>
        <w:rPr>
          <w:b/>
        </w:rPr>
        <w:t>RESULTS:</w:t>
      </w:r>
    </w:p>
    <w:p w14:paraId="31393FD9" w14:textId="11707BA0" w:rsidR="00FD034A" w:rsidRPr="00FD034A" w:rsidRDefault="00FD034A" w:rsidP="00FD034A">
      <w:pPr>
        <w:spacing w:after="0"/>
        <w:rPr>
          <w:b/>
        </w:rPr>
      </w:pPr>
      <w:r w:rsidRPr="00FD034A">
        <w:rPr>
          <w:b/>
        </w:rPr>
        <w:t xml:space="preserve">Baseline </w:t>
      </w:r>
      <w:r w:rsidR="00C02FAB">
        <w:rPr>
          <w:b/>
        </w:rPr>
        <w:t>c</w:t>
      </w:r>
      <w:r w:rsidRPr="00FD034A">
        <w:rPr>
          <w:b/>
        </w:rPr>
        <w:t>haracteristics</w:t>
      </w:r>
    </w:p>
    <w:p w14:paraId="7C533AC6" w14:textId="77777777" w:rsidR="00FD034A" w:rsidRPr="00FD034A" w:rsidRDefault="00FD034A" w:rsidP="00FD034A">
      <w:pPr>
        <w:spacing w:after="0"/>
        <w:rPr>
          <w:bCs/>
        </w:rPr>
      </w:pPr>
      <w:r w:rsidRPr="00FD034A">
        <w:rPr>
          <w:bCs/>
        </w:rPr>
        <w:t xml:space="preserve">A total of 101 Chinese children with unilateral myopic anisometropia were included: 33 in the Ortho-K + Fumigation group, 33 in the Ortho-K group, and 35 in the Spectacle group. Baseline demographic and ocular characteristics are summarized in </w:t>
      </w:r>
      <w:r w:rsidRPr="00FD034A">
        <w:rPr>
          <w:b/>
        </w:rPr>
        <w:t>Table 1</w:t>
      </w:r>
      <w:r w:rsidRPr="00FD034A">
        <w:rPr>
          <w:bCs/>
        </w:rPr>
        <w:t>. No statistically significant differences were identified among the three groups for the listed baseline demographic or ocular variables. Baseline spherical equivalent refraction (SER) in the myopic eye was −1.63 ± 0.47 D in the Ortho-K + Fumigation group, −1.66 ± 0.48 D in the Ortho-K group, and −1.63 ± 0.40 D in the Spectacle group (P = 0.939). In the initially non-myopic fellow eye, baseline SER was +0.32 ± 0.27 D, +0.24 ± 0.39 D, and +0.40 ± 0.36 D, respectively (P = 0.200). Observed axial-length follow-up counts at 3, 6, 12, and 18 months were 32/33/32/31, 32/32/32/31, and 35/34/33/30 in the three groups, respectively. A total of 87 children had complete axial-length data at all four post-baseline visits.</w:t>
      </w:r>
    </w:p>
    <w:p w14:paraId="2002C10E" w14:textId="77777777" w:rsidR="00FD034A" w:rsidRPr="00FD034A" w:rsidRDefault="00FD034A" w:rsidP="00FD034A">
      <w:pPr>
        <w:spacing w:after="0"/>
        <w:rPr>
          <w:b/>
        </w:rPr>
      </w:pPr>
    </w:p>
    <w:p w14:paraId="5078D10C" w14:textId="4831B0E8" w:rsidR="00FD034A" w:rsidRPr="00FD034A" w:rsidRDefault="00FD034A" w:rsidP="00FD034A">
      <w:pPr>
        <w:spacing w:after="0"/>
        <w:rPr>
          <w:b/>
        </w:rPr>
      </w:pPr>
      <w:r w:rsidRPr="00FD034A">
        <w:rPr>
          <w:b/>
        </w:rPr>
        <w:t xml:space="preserve">Longitudinal </w:t>
      </w:r>
      <w:r w:rsidR="00C02FAB" w:rsidRPr="00FD034A">
        <w:rPr>
          <w:b/>
        </w:rPr>
        <w:t>changes in axial length in the initially non-myopic fellow eye</w:t>
      </w:r>
    </w:p>
    <w:p w14:paraId="45F88DF4" w14:textId="77777777" w:rsidR="00FD034A" w:rsidRPr="00FD034A" w:rsidRDefault="00FD034A" w:rsidP="00FD034A">
      <w:pPr>
        <w:spacing w:after="0"/>
        <w:rPr>
          <w:bCs/>
        </w:rPr>
      </w:pPr>
      <w:r w:rsidRPr="00FD034A">
        <w:rPr>
          <w:bCs/>
        </w:rPr>
        <w:t>Axial elongation increased over time in the initially non-myopic fellow eye in all three groups (</w:t>
      </w:r>
      <w:r w:rsidRPr="00FD034A">
        <w:rPr>
          <w:b/>
        </w:rPr>
        <w:t>Table 2</w:t>
      </w:r>
      <w:r w:rsidRPr="00FD034A">
        <w:rPr>
          <w:bCs/>
        </w:rPr>
        <w:t>). Mean ΔAL values in the Ortho-K + Fumigation group were 0.04 ± 0.03 mm at 3 months, 0.09 ± 0.04 mm at 6 months, 0.15 ± 0.04 mm at 12 months, and 0.20 ± 0.05 mm at 18 months. Corresponding values in the Ortho-K group were 0.10 ± 0.03, 0.18 ± 0.04, 0.32 ± 0.06, and 0.44 ± 0.09 mm, respectively, and those in the Spectacle group were 0.11 ± 0.03, 0.20 ± 0.05, 0.35 ± 0.08, and 0.47 ± 0.10 mm, respectively.</w:t>
      </w:r>
    </w:p>
    <w:p w14:paraId="6B6AA640" w14:textId="77777777" w:rsidR="00FD034A" w:rsidRPr="00FD034A" w:rsidRDefault="00FD034A" w:rsidP="00FD034A">
      <w:pPr>
        <w:spacing w:after="0"/>
        <w:rPr>
          <w:bCs/>
        </w:rPr>
      </w:pPr>
    </w:p>
    <w:p w14:paraId="7578D291" w14:textId="77777777" w:rsidR="00FD034A" w:rsidRPr="00FD034A" w:rsidRDefault="00FD034A" w:rsidP="00FD034A">
      <w:pPr>
        <w:spacing w:after="0"/>
        <w:rPr>
          <w:bCs/>
        </w:rPr>
      </w:pPr>
      <w:r w:rsidRPr="00FD034A">
        <w:rPr>
          <w:bCs/>
        </w:rPr>
        <w:t xml:space="preserve">The primary GEE showed a significant group-by-time interaction for fellow-eye ΔAL (Wald χ² = 251.92, </w:t>
      </w:r>
      <w:proofErr w:type="spellStart"/>
      <w:r w:rsidRPr="00FD034A">
        <w:rPr>
          <w:bCs/>
        </w:rPr>
        <w:t>df</w:t>
      </w:r>
      <w:proofErr w:type="spellEnd"/>
      <w:r w:rsidRPr="00FD034A">
        <w:rPr>
          <w:bCs/>
        </w:rPr>
        <w:t xml:space="preserve"> = 6, P &lt; 0.001). Compared with Ortho-K alone, the Ortho-K + Fumigation group had lower fellow-eye ΔAL at 3, 6, 12, and 18 months, with model-based mean differences of −0.059, −0.094, −0.170, and −0.232 mm, respectively (all Bonferroni-adjusted P &lt; 0.001). The Ortho-K + Fumigation group also had lower fellow-eye ΔAL than the Spectacle group at all four visits (all adjusted P &lt; 0.001), whereas the Ortho-K and Spectacle groups did not differ significantly at any visit after correction. The maximum-likelihood mixed-effects model and the complete-case GEE </w:t>
      </w:r>
      <w:r w:rsidRPr="00FD034A">
        <w:rPr>
          <w:bCs/>
        </w:rPr>
        <w:lastRenderedPageBreak/>
        <w:t>yielded the same direction and statistical significance for the Ortho-K + Fumigation versus Ortho-K fellow-eye contrast at all four visits, supporting robustness of the primary finding to the missing-data strategy.</w:t>
      </w:r>
    </w:p>
    <w:p w14:paraId="3733057A" w14:textId="77777777" w:rsidR="00FD034A" w:rsidRPr="00FD034A" w:rsidRDefault="00FD034A" w:rsidP="00FD034A">
      <w:pPr>
        <w:spacing w:after="0"/>
        <w:rPr>
          <w:b/>
        </w:rPr>
      </w:pPr>
    </w:p>
    <w:p w14:paraId="5292AD87" w14:textId="3111EFC7" w:rsidR="00FD034A" w:rsidRPr="00FD034A" w:rsidRDefault="00FD034A" w:rsidP="00FD034A">
      <w:pPr>
        <w:spacing w:after="0"/>
        <w:rPr>
          <w:b/>
        </w:rPr>
      </w:pPr>
      <w:r w:rsidRPr="00FD034A">
        <w:rPr>
          <w:b/>
        </w:rPr>
        <w:t xml:space="preserve">Longitudinal </w:t>
      </w:r>
      <w:r w:rsidR="006B71C2" w:rsidRPr="00FD034A">
        <w:rPr>
          <w:b/>
        </w:rPr>
        <w:t>changes in axial length in the myopic eye</w:t>
      </w:r>
    </w:p>
    <w:p w14:paraId="60180781" w14:textId="77777777" w:rsidR="00FD034A" w:rsidRPr="00FD034A" w:rsidRDefault="00FD034A" w:rsidP="00FD034A">
      <w:pPr>
        <w:spacing w:after="0"/>
        <w:rPr>
          <w:bCs/>
        </w:rPr>
      </w:pPr>
      <w:r w:rsidRPr="00FD034A">
        <w:rPr>
          <w:bCs/>
        </w:rPr>
        <w:t>In the myopic eye, mean ΔAL values in the Ortho-K + Fumigation group were 0.03 ± 0.03, 0.06 ± 0.04, 0.11 ± 0.06, and 0.16 ± 0.07 mm at 3, 6, 12, and 18 months, respectively (</w:t>
      </w:r>
      <w:r w:rsidRPr="00FD034A">
        <w:rPr>
          <w:b/>
        </w:rPr>
        <w:t>Table 2</w:t>
      </w:r>
      <w:r w:rsidRPr="00FD034A">
        <w:rPr>
          <w:bCs/>
        </w:rPr>
        <w:t>). Corresponding values in the Ortho-K group were 0.05 ± 0.03, 0.09 ± 0.04, 0.15 ± 0.06, and 0.23 ± 0.09 mm, respectively, whereas values in the Spectacle group were 0.12 ± 0.03, 0.22 ± 0.05, 0.36 ± 0.08, and 0.51 ± 0.10 mm, respectively.</w:t>
      </w:r>
    </w:p>
    <w:p w14:paraId="14E4DC8C" w14:textId="77777777" w:rsidR="00FD034A" w:rsidRPr="00FD034A" w:rsidRDefault="00FD034A" w:rsidP="00FD034A">
      <w:pPr>
        <w:spacing w:after="0"/>
        <w:rPr>
          <w:bCs/>
        </w:rPr>
      </w:pPr>
    </w:p>
    <w:p w14:paraId="2AEDA3ED" w14:textId="77777777" w:rsidR="00FD034A" w:rsidRPr="00FD034A" w:rsidRDefault="00FD034A" w:rsidP="00FD034A">
      <w:pPr>
        <w:spacing w:after="0"/>
        <w:rPr>
          <w:bCs/>
        </w:rPr>
      </w:pPr>
      <w:r w:rsidRPr="00FD034A">
        <w:rPr>
          <w:bCs/>
        </w:rPr>
        <w:t xml:space="preserve">The myopic-eye GEE also showed a significant group-by-time interaction (Wald χ² = 222.76, </w:t>
      </w:r>
      <w:proofErr w:type="spellStart"/>
      <w:r w:rsidRPr="00FD034A">
        <w:rPr>
          <w:bCs/>
        </w:rPr>
        <w:t>df</w:t>
      </w:r>
      <w:proofErr w:type="spellEnd"/>
      <w:r w:rsidRPr="00FD034A">
        <w:rPr>
          <w:bCs/>
        </w:rPr>
        <w:t xml:space="preserve"> = 6, P &lt; 0.001), driven primarily by greater axial elongation in the Spectacle group. The Ortho-K + Fumigation versus Ortho-K comparison was significant in the primary GEE at 3, 6, 12, and 18 months (Bonferroni-adjusted P = 0.038, 0.003, 0.005, and 0.001, respectively). These smaller differences between the two Ortho-K-based groups were less stable than the primary fellow-eye finding. The mixed-effects sensitivity model did not confirm the 3- or 6-month contrasts, whereas the 12- and 18-month contrasts remained significant. Complete-case GEE confirmed the 6-, 12-, and 18-month contrasts but not the 3-month contrast. Both Ortho-K-based groups had lower myopic-eye ΔAL than the Spectacle group at all follow-up visits (all adjusted P &lt; 0.001 in the primary GEE).</w:t>
      </w:r>
    </w:p>
    <w:p w14:paraId="79B6965B" w14:textId="77777777" w:rsidR="00FD034A" w:rsidRPr="00FD034A" w:rsidRDefault="00FD034A" w:rsidP="00FD034A">
      <w:pPr>
        <w:spacing w:after="0"/>
        <w:rPr>
          <w:b/>
        </w:rPr>
      </w:pPr>
    </w:p>
    <w:p w14:paraId="306E894F" w14:textId="012EB6B7" w:rsidR="00FD034A" w:rsidRPr="00FD034A" w:rsidRDefault="00FD034A" w:rsidP="00FD034A">
      <w:pPr>
        <w:spacing w:after="0"/>
        <w:rPr>
          <w:b/>
        </w:rPr>
      </w:pPr>
      <w:r w:rsidRPr="00FD034A">
        <w:rPr>
          <w:b/>
        </w:rPr>
        <w:t>Dry-</w:t>
      </w:r>
      <w:r w:rsidR="006B71C2" w:rsidRPr="00FD034A">
        <w:rPr>
          <w:b/>
        </w:rPr>
        <w:t>eye-related outcomes</w:t>
      </w:r>
    </w:p>
    <w:p w14:paraId="1B967817" w14:textId="77777777" w:rsidR="00FD034A" w:rsidRPr="00FD034A" w:rsidRDefault="00FD034A" w:rsidP="00FD034A">
      <w:pPr>
        <w:spacing w:after="0"/>
        <w:rPr>
          <w:bCs/>
        </w:rPr>
      </w:pPr>
      <w:r w:rsidRPr="00FD034A">
        <w:rPr>
          <w:bCs/>
        </w:rPr>
        <w:t xml:space="preserve">Dry-eye-related parameters are summarized in </w:t>
      </w:r>
      <w:r w:rsidRPr="00FD034A">
        <w:rPr>
          <w:b/>
        </w:rPr>
        <w:t>Table 3</w:t>
      </w:r>
      <w:r w:rsidRPr="00FD034A">
        <w:rPr>
          <w:bCs/>
        </w:rPr>
        <w:t>. Baseline tear film break-up time (TBUT) differed among the three groups (P &lt; 0.001), as did baseline corneal fluorescein staining (CFS) (P = 0.007), whereas baseline Schirmer I test values (P = 0.182) and Ocular Surface Disease Index (OSDI) scores (P = 0.426) did not. Because of these baseline imbalances, interpretation was based on baseline-adjusted 18-month between-group analyses rather than within-group significance testing.</w:t>
      </w:r>
    </w:p>
    <w:p w14:paraId="7689BC68" w14:textId="77777777" w:rsidR="00FD034A" w:rsidRPr="00FD034A" w:rsidRDefault="00FD034A" w:rsidP="00FD034A">
      <w:pPr>
        <w:spacing w:after="0"/>
        <w:rPr>
          <w:bCs/>
        </w:rPr>
      </w:pPr>
    </w:p>
    <w:p w14:paraId="1D0DC883" w14:textId="77777777" w:rsidR="00FD034A" w:rsidRPr="00FD034A" w:rsidRDefault="00FD034A" w:rsidP="00FD034A">
      <w:pPr>
        <w:spacing w:after="0"/>
        <w:rPr>
          <w:bCs/>
        </w:rPr>
      </w:pPr>
      <w:r w:rsidRPr="00FD034A">
        <w:rPr>
          <w:bCs/>
        </w:rPr>
        <w:t>At 18 months, raw mean TBUT values were 14.2 ± 3.1 s, 11.5 ± 2.3 s, and 12.3 ± 2.0 s in the Ortho-K + Fumigation, Ortho-K, and Spectacle groups, respectively. Baseline-adjusted ANCOVA showed a significant overall group effect for TBUT (P &lt; 0.001). The Ortho-K + Fumigation group had higher adjusted TBUT than both the Ortho-K and Spectacle groups (both Bonferroni-adjusted P &lt; 0.001). For OSDI, raw 18-month means were 6.5 ± 5.8, 13.1 ± 7.9, and 7.8 ± 6.5, respectively, and the adjusted overall group effect was significant (P &lt; 0.001). The Ortho-K + Fumigation group had lower adjusted OSDI than the Ortho-K group (adjusted P &lt; 0.001) and the Spectacle group (adjusted P = 0.036).</w:t>
      </w:r>
    </w:p>
    <w:p w14:paraId="34D1FE44" w14:textId="77777777" w:rsidR="00FD034A" w:rsidRPr="00FD034A" w:rsidRDefault="00FD034A" w:rsidP="00FD034A">
      <w:pPr>
        <w:spacing w:after="0"/>
        <w:rPr>
          <w:bCs/>
        </w:rPr>
      </w:pPr>
    </w:p>
    <w:p w14:paraId="771444C6" w14:textId="77777777" w:rsidR="00FD034A" w:rsidRPr="00FD034A" w:rsidRDefault="00FD034A" w:rsidP="00FD034A">
      <w:pPr>
        <w:spacing w:after="0"/>
        <w:rPr>
          <w:bCs/>
        </w:rPr>
      </w:pPr>
      <w:r w:rsidRPr="00FD034A">
        <w:rPr>
          <w:bCs/>
        </w:rPr>
        <w:t xml:space="preserve">The baseline-adjusted overall group effect for the Schirmer I test was also statistically significant (P = 0.041). The Ortho-K + Fumigation versus Ortho-K contrast remained significant after Bonferroni adjustment (P = 0.038), whereas Ortho-K + Fumigation versus Spectacle (P = 0.267) and Ortho-K versus Spectacle (P = 1.000) were not significant. CFS showed no significant adjusted overall group effect (P = 0.198), and no CFS pairwise comparison was significant. A rank-based </w:t>
      </w:r>
      <w:r w:rsidRPr="00FD034A">
        <w:rPr>
          <w:bCs/>
        </w:rPr>
        <w:lastRenderedPageBreak/>
        <w:t>sensitivity analysis of CFS change was also non-significant (P = 0.162). These secondary analyses identified exploratory signals in TBUT, Schirmer I test, and OSDI but did not establish a generalized ocular-surface treatment effect, particularly given baseline imbalance, nonrandom allocation, multiple secondary endpoints, and incomplete 18-month follow-up.</w:t>
      </w:r>
    </w:p>
    <w:p w14:paraId="5F9F6A78" w14:textId="77777777" w:rsidR="00FD034A" w:rsidRPr="00FD034A" w:rsidRDefault="00FD034A" w:rsidP="00FD034A">
      <w:pPr>
        <w:spacing w:after="0"/>
        <w:rPr>
          <w:b/>
        </w:rPr>
      </w:pPr>
    </w:p>
    <w:p w14:paraId="69461659" w14:textId="74578F57" w:rsidR="00FD034A" w:rsidRPr="00FD034A" w:rsidRDefault="00FD034A" w:rsidP="00FD034A">
      <w:pPr>
        <w:spacing w:after="0"/>
        <w:rPr>
          <w:b/>
        </w:rPr>
      </w:pPr>
      <w:r w:rsidRPr="00FD034A">
        <w:rPr>
          <w:b/>
        </w:rPr>
        <w:t>Myopia Onset and Rapid Myopic Shift in the Initially Non-Myopic Fellow Eye</w:t>
      </w:r>
    </w:p>
    <w:p w14:paraId="40D45224" w14:textId="77777777" w:rsidR="00FD034A" w:rsidRPr="00FD034A" w:rsidRDefault="00FD034A" w:rsidP="00FD034A">
      <w:pPr>
        <w:spacing w:after="0"/>
        <w:rPr>
          <w:bCs/>
        </w:rPr>
      </w:pPr>
      <w:r w:rsidRPr="00FD034A">
        <w:rPr>
          <w:bCs/>
        </w:rPr>
        <w:t xml:space="preserve">Myopia-onset and rapid-myopic-shift outcomes are summarized in </w:t>
      </w:r>
      <w:r w:rsidRPr="00FD034A">
        <w:rPr>
          <w:b/>
        </w:rPr>
        <w:t>Table 4</w:t>
      </w:r>
      <w:r w:rsidRPr="00FD034A">
        <w:rPr>
          <w:bCs/>
        </w:rPr>
        <w:t xml:space="preserve">. Myopia onset, reconstructed from the fellow-eye longitudinal SER records, occurred in 3 of 33 participants (9.1%) in the Ortho-K + Fumigation group, 9 of 33 (27.3%) in the Ortho-K group, and 11 of 35 (31.4%) in the Spectacle group. The crude three-group comparison did not reach statistical significance (χ² = 5.38, </w:t>
      </w:r>
      <w:proofErr w:type="spellStart"/>
      <w:r w:rsidRPr="00FD034A">
        <w:rPr>
          <w:bCs/>
        </w:rPr>
        <w:t>df</w:t>
      </w:r>
      <w:proofErr w:type="spellEnd"/>
      <w:r w:rsidRPr="00FD034A">
        <w:rPr>
          <w:bCs/>
        </w:rPr>
        <w:t xml:space="preserve"> = 2, P = 0.068), and the censoring-aware log-rank sensitivity analysis yielded a similar result (P = 0.074). No pairwise comparison was significant after Bonferroni correction.</w:t>
      </w:r>
    </w:p>
    <w:p w14:paraId="2C5FF896" w14:textId="77777777" w:rsidR="00FD034A" w:rsidRPr="00FD034A" w:rsidRDefault="00FD034A" w:rsidP="00FD034A">
      <w:pPr>
        <w:spacing w:after="0"/>
        <w:rPr>
          <w:bCs/>
        </w:rPr>
      </w:pPr>
    </w:p>
    <w:p w14:paraId="78D04D3C" w14:textId="77777777" w:rsidR="00FD034A" w:rsidRPr="00FD034A" w:rsidRDefault="00FD034A" w:rsidP="00FD034A">
      <w:pPr>
        <w:spacing w:after="0"/>
        <w:rPr>
          <w:bCs/>
        </w:rPr>
      </w:pPr>
      <w:r w:rsidRPr="00FD034A">
        <w:rPr>
          <w:bCs/>
        </w:rPr>
        <w:t xml:space="preserve">Rapid myopic shift was reconstructed independently from the observed fellow-eye SER trajectories and occurred in 2 of 33 participants (6.1%) in the Ortho-K + Fumigation group, 9 of 33 (27.3%) in the Ortho-K group, and 10 of 35 (28.6%) in the Spectacle group. The crude overall comparison was significant (χ² = 6.48, </w:t>
      </w:r>
      <w:proofErr w:type="spellStart"/>
      <w:r w:rsidRPr="00FD034A">
        <w:rPr>
          <w:bCs/>
        </w:rPr>
        <w:t>df</w:t>
      </w:r>
      <w:proofErr w:type="spellEnd"/>
      <w:r w:rsidRPr="00FD034A">
        <w:rPr>
          <w:bCs/>
        </w:rPr>
        <w:t xml:space="preserve"> = 2, P = 0.039), and the log-rank sensitivity analysis yielded P = 0.046. However, none of the three pairwise comparisons remained significant after Bonferroni adjustment. These categorical outcomes were considered exploratory and do not establish prevention.</w:t>
      </w:r>
    </w:p>
    <w:p w14:paraId="6A2FE038" w14:textId="77777777" w:rsidR="00FD034A" w:rsidRDefault="00FD034A" w:rsidP="00FD034A">
      <w:pPr>
        <w:spacing w:after="0"/>
        <w:rPr>
          <w:b/>
        </w:rPr>
      </w:pPr>
    </w:p>
    <w:p w14:paraId="7218B3D0" w14:textId="55BE9A01" w:rsidR="006B71C2" w:rsidRDefault="006B71C2" w:rsidP="006B71C2">
      <w:pPr>
        <w:spacing w:after="0"/>
      </w:pPr>
      <w:r>
        <w:t xml:space="preserve">[Place </w:t>
      </w:r>
      <w:r>
        <w:rPr>
          <w:b/>
          <w:bCs/>
        </w:rPr>
        <w:t>Table</w:t>
      </w:r>
      <w:r w:rsidRPr="006B71C2">
        <w:rPr>
          <w:b/>
          <w:bCs/>
        </w:rPr>
        <w:t xml:space="preserve"> 1</w:t>
      </w:r>
      <w:r>
        <w:t xml:space="preserve"> here]</w:t>
      </w:r>
    </w:p>
    <w:p w14:paraId="79A21A4C" w14:textId="77777777" w:rsidR="006B71C2" w:rsidRDefault="006B71C2" w:rsidP="00FD034A">
      <w:pPr>
        <w:spacing w:after="0"/>
        <w:rPr>
          <w:b/>
        </w:rPr>
      </w:pPr>
    </w:p>
    <w:p w14:paraId="1A506BC9" w14:textId="1C557346" w:rsidR="006B71C2" w:rsidRDefault="006B71C2" w:rsidP="006B71C2">
      <w:pPr>
        <w:spacing w:after="0"/>
      </w:pPr>
      <w:r>
        <w:t xml:space="preserve">[Place </w:t>
      </w:r>
      <w:r>
        <w:rPr>
          <w:b/>
          <w:bCs/>
        </w:rPr>
        <w:t>Table</w:t>
      </w:r>
      <w:r w:rsidRPr="006B71C2">
        <w:rPr>
          <w:b/>
          <w:bCs/>
        </w:rPr>
        <w:t xml:space="preserve"> </w:t>
      </w:r>
      <w:r>
        <w:rPr>
          <w:b/>
          <w:bCs/>
        </w:rPr>
        <w:t xml:space="preserve">2 </w:t>
      </w:r>
      <w:r>
        <w:t>here]</w:t>
      </w:r>
    </w:p>
    <w:p w14:paraId="5D6EF95C" w14:textId="77777777" w:rsidR="006B71C2" w:rsidRDefault="006B71C2" w:rsidP="00FD034A">
      <w:pPr>
        <w:spacing w:after="0"/>
        <w:rPr>
          <w:b/>
        </w:rPr>
      </w:pPr>
    </w:p>
    <w:p w14:paraId="4C922720" w14:textId="584C1251" w:rsidR="006B71C2" w:rsidRDefault="006B71C2" w:rsidP="006B71C2">
      <w:pPr>
        <w:spacing w:after="0"/>
      </w:pPr>
      <w:r>
        <w:t xml:space="preserve">[Place </w:t>
      </w:r>
      <w:r>
        <w:rPr>
          <w:b/>
          <w:bCs/>
        </w:rPr>
        <w:t>Table</w:t>
      </w:r>
      <w:r w:rsidRPr="006B71C2">
        <w:rPr>
          <w:b/>
          <w:bCs/>
        </w:rPr>
        <w:t xml:space="preserve"> </w:t>
      </w:r>
      <w:r>
        <w:rPr>
          <w:b/>
          <w:bCs/>
        </w:rPr>
        <w:t>3</w:t>
      </w:r>
      <w:r>
        <w:t xml:space="preserve"> here]</w:t>
      </w:r>
    </w:p>
    <w:p w14:paraId="2DB33B19" w14:textId="77777777" w:rsidR="006B71C2" w:rsidRDefault="006B71C2" w:rsidP="00FD034A">
      <w:pPr>
        <w:spacing w:after="0"/>
        <w:rPr>
          <w:b/>
        </w:rPr>
      </w:pPr>
    </w:p>
    <w:p w14:paraId="258C0987" w14:textId="2C405C59" w:rsidR="006B71C2" w:rsidRDefault="006B71C2" w:rsidP="006B71C2">
      <w:pPr>
        <w:spacing w:after="0"/>
      </w:pPr>
      <w:r>
        <w:t xml:space="preserve">[Place </w:t>
      </w:r>
      <w:r>
        <w:rPr>
          <w:b/>
          <w:bCs/>
        </w:rPr>
        <w:t>Table</w:t>
      </w:r>
      <w:r w:rsidRPr="006B71C2">
        <w:rPr>
          <w:b/>
          <w:bCs/>
        </w:rPr>
        <w:t xml:space="preserve"> </w:t>
      </w:r>
      <w:r>
        <w:rPr>
          <w:b/>
          <w:bCs/>
        </w:rPr>
        <w:t>4</w:t>
      </w:r>
      <w:r>
        <w:t xml:space="preserve"> here]</w:t>
      </w:r>
    </w:p>
    <w:p w14:paraId="295AD3DD" w14:textId="77777777" w:rsidR="006B71C2" w:rsidRPr="00FD034A" w:rsidRDefault="006B71C2" w:rsidP="00FD034A">
      <w:pPr>
        <w:spacing w:after="0"/>
        <w:rPr>
          <w:b/>
        </w:rPr>
      </w:pPr>
    </w:p>
    <w:p w14:paraId="743D9CFB" w14:textId="64D7DE47" w:rsidR="00FD034A" w:rsidRPr="00FD034A" w:rsidRDefault="00FD034A" w:rsidP="00FD034A">
      <w:pPr>
        <w:spacing w:after="0"/>
        <w:rPr>
          <w:b/>
        </w:rPr>
      </w:pPr>
      <w:r w:rsidRPr="00FD034A">
        <w:rPr>
          <w:b/>
        </w:rPr>
        <w:t>Safety</w:t>
      </w:r>
    </w:p>
    <w:p w14:paraId="4189BF5B" w14:textId="397AB317" w:rsidR="00FD034A" w:rsidRDefault="00FD034A" w:rsidP="00FD034A">
      <w:pPr>
        <w:spacing w:after="0"/>
        <w:rPr>
          <w:bCs/>
        </w:rPr>
      </w:pPr>
      <w:r w:rsidRPr="00FD034A">
        <w:rPr>
          <w:bCs/>
        </w:rPr>
        <w:t xml:space="preserve">No serious ocular adverse events were documented during the 18-month follow-up. No participant discontinued treatment </w:t>
      </w:r>
      <w:r w:rsidR="006B71C2">
        <w:rPr>
          <w:bCs/>
        </w:rPr>
        <w:t>due to a serious adverse event, and no serious-event-related treatment interruption was documented</w:t>
      </w:r>
      <w:r w:rsidRPr="00FD034A">
        <w:rPr>
          <w:bCs/>
        </w:rPr>
        <w:t xml:space="preserve"> in the available medical records.</w:t>
      </w:r>
    </w:p>
    <w:p w14:paraId="4CADF558" w14:textId="77777777" w:rsidR="00FD034A" w:rsidRDefault="00FD034A" w:rsidP="00FD034A">
      <w:pPr>
        <w:spacing w:after="0"/>
        <w:rPr>
          <w:bCs/>
        </w:rPr>
      </w:pPr>
    </w:p>
    <w:p w14:paraId="37A077D9" w14:textId="77777777" w:rsidR="00CC2ED9" w:rsidRPr="000271C1" w:rsidRDefault="00CC2ED9" w:rsidP="00CC2ED9">
      <w:pPr>
        <w:spacing w:after="0"/>
      </w:pPr>
      <w:r w:rsidRPr="000271C1">
        <w:rPr>
          <w:b/>
        </w:rPr>
        <w:t>DATA AVAILABILITY</w:t>
      </w:r>
      <w:r>
        <w:rPr>
          <w:b/>
        </w:rPr>
        <w:t>:</w:t>
      </w:r>
    </w:p>
    <w:p w14:paraId="222281D9" w14:textId="7C8DAA61" w:rsidR="00CC2ED9" w:rsidRDefault="00CC2ED9" w:rsidP="00CC2ED9">
      <w:pPr>
        <w:spacing w:after="0"/>
      </w:pPr>
      <w:r w:rsidRPr="008F6582">
        <w:t xml:space="preserve">The deidentified source dataset underlying the analyses and results reported in this study is provided </w:t>
      </w:r>
      <w:r w:rsidRPr="008F6582">
        <w:rPr>
          <w:i/>
          <w:iCs/>
        </w:rPr>
        <w:t>via</w:t>
      </w:r>
      <w:r>
        <w:t xml:space="preserve"> </w:t>
      </w:r>
      <w:r w:rsidRPr="008F6582">
        <w:rPr>
          <w:b/>
          <w:bCs/>
        </w:rPr>
        <w:t>Supplementary File 1</w:t>
      </w:r>
      <w:r w:rsidRPr="008F6582">
        <w:t xml:space="preserve"> and includes baseline characteristics, longitudinal ocular measurements, dry-eye-related outcomes, refractive-event outcomes, and safety data. The source dataset contains 105 screened records, with the final 101-participant</w:t>
      </w:r>
      <w:r>
        <w:t>s</w:t>
      </w:r>
      <w:r w:rsidRPr="008F6582">
        <w:t xml:space="preserve"> analytic cohort identified by the prespecified eligibility criteria.</w:t>
      </w:r>
    </w:p>
    <w:p w14:paraId="3BCB1BC4" w14:textId="77777777" w:rsidR="00CC2ED9" w:rsidRDefault="00CC2ED9" w:rsidP="00FD034A">
      <w:pPr>
        <w:spacing w:after="0"/>
        <w:rPr>
          <w:bCs/>
        </w:rPr>
      </w:pPr>
    </w:p>
    <w:p w14:paraId="4492201B" w14:textId="09140CAC" w:rsidR="00B83B5B" w:rsidRPr="000271C1" w:rsidRDefault="00000000" w:rsidP="00FD034A">
      <w:pPr>
        <w:spacing w:after="0"/>
      </w:pPr>
      <w:r w:rsidRPr="000271C1">
        <w:rPr>
          <w:b/>
        </w:rPr>
        <w:t>FIGURE AND TABLE LEGENDS</w:t>
      </w:r>
      <w:r w:rsidR="00CC2ED9">
        <w:rPr>
          <w:b/>
        </w:rPr>
        <w:t>:</w:t>
      </w:r>
    </w:p>
    <w:p w14:paraId="19C01F2B" w14:textId="3C32E53B" w:rsidR="00FD034A" w:rsidRDefault="00FD034A" w:rsidP="00FD034A">
      <w:pPr>
        <w:spacing w:after="0"/>
      </w:pPr>
      <w:r w:rsidRPr="00FD034A">
        <w:rPr>
          <w:b/>
          <w:bCs/>
        </w:rPr>
        <w:t>Figure 1</w:t>
      </w:r>
      <w:r>
        <w:rPr>
          <w:b/>
          <w:bCs/>
        </w:rPr>
        <w:t>:</w:t>
      </w:r>
      <w:r w:rsidRPr="00FD034A">
        <w:rPr>
          <w:b/>
          <w:bCs/>
        </w:rPr>
        <w:t xml:space="preserve"> Overview of the study protocol.</w:t>
      </w:r>
      <w:r w:rsidRPr="00FD034A">
        <w:t xml:space="preserve"> Schematic of the retrospective, nonrandomized cohort </w:t>
      </w:r>
      <w:r w:rsidRPr="00FD034A">
        <w:lastRenderedPageBreak/>
        <w:t>study. A total of 105 source records were identified; after reapplication of the confirmed eligibility criteria, 101 children were included in the final analysis (Ortho-K + Fumigation, n = 33; Ortho-K, n = 33; Spectacle, n = 35). Follow-up examinations were scheduled at baseline and at 3, 6, 12, and 18 months. Some later visits were missing, and all available post-baseline observations were retained in the primary longitudinal analysis. Assessments included axial length (AL), spherical equivalent refraction (SER), best-corrected visual acuity (BCVA), dry-eye-related parameters, myopia onset, rapid myopic shift, and adverse events. The prespecified primary outcome was longitudinal change in axial length (ΔAL) of the initially non-myopic fellow eye. The primary generalized estimating equation (GEE) model included treatment group, categorical time, and group-by-time interaction, with robust standard errors and Bonferroni-adjusted pairwise comparisons. Missing-data sensitivity analyses used a maximum-likelihood linear mixed-effects model and complete-case GEE.</w:t>
      </w:r>
    </w:p>
    <w:p w14:paraId="6D7C2976" w14:textId="77777777" w:rsidR="00FD034A" w:rsidRPr="00FD034A" w:rsidRDefault="00FD034A" w:rsidP="00FD034A">
      <w:pPr>
        <w:spacing w:after="0"/>
      </w:pPr>
    </w:p>
    <w:p w14:paraId="7A787B46" w14:textId="70886309" w:rsidR="00FD034A" w:rsidRDefault="00FD034A" w:rsidP="00FD034A">
      <w:pPr>
        <w:spacing w:after="0"/>
      </w:pPr>
      <w:r w:rsidRPr="00FD034A">
        <w:rPr>
          <w:b/>
          <w:bCs/>
        </w:rPr>
        <w:t>Table 1</w:t>
      </w:r>
      <w:r>
        <w:rPr>
          <w:b/>
          <w:bCs/>
        </w:rPr>
        <w:t>:</w:t>
      </w:r>
      <w:r w:rsidRPr="00FD034A">
        <w:rPr>
          <w:b/>
          <w:bCs/>
        </w:rPr>
        <w:t xml:space="preserve"> Baseline </w:t>
      </w:r>
      <w:r w:rsidR="00E52D5F" w:rsidRPr="00FD034A">
        <w:rPr>
          <w:b/>
          <w:bCs/>
        </w:rPr>
        <w:t>characteristics and demographic data of participants</w:t>
      </w:r>
      <w:r w:rsidRPr="00FD034A">
        <w:rPr>
          <w:b/>
          <w:bCs/>
        </w:rPr>
        <w:t>.</w:t>
      </w:r>
      <w:r w:rsidRPr="00FD034A">
        <w:t xml:space="preserve"> Baseline comparisons among the three treatment groups were performed using one-way analysis of variance (ANOVA) or the Kruskal-Wallis test for continuous variables and the chi-square test or Fisher exact test for categorical variables, as appropriate. The final cohort met the confirmed eligibility criteria of age 8 to &lt;18 years, myopic-eye SER from −4.00 D to −0.50 D, and initially non-myopic fellow-eye SER from −0.25 D to +2.00 D. Missing later follow-up visits were not a baseline exclusion criterion.</w:t>
      </w:r>
    </w:p>
    <w:p w14:paraId="78DC94C7" w14:textId="77777777" w:rsidR="00FD034A" w:rsidRPr="00FD034A" w:rsidRDefault="00FD034A" w:rsidP="00FD034A">
      <w:pPr>
        <w:spacing w:after="0"/>
      </w:pPr>
    </w:p>
    <w:p w14:paraId="7B1E37A5" w14:textId="02D7E10F" w:rsidR="00FD034A" w:rsidRDefault="00FD034A" w:rsidP="00FD034A">
      <w:pPr>
        <w:spacing w:after="0"/>
      </w:pPr>
      <w:r w:rsidRPr="00FD034A">
        <w:rPr>
          <w:b/>
          <w:bCs/>
        </w:rPr>
        <w:t>Table 2</w:t>
      </w:r>
      <w:r>
        <w:rPr>
          <w:b/>
          <w:bCs/>
        </w:rPr>
        <w:t>:</w:t>
      </w:r>
      <w:r w:rsidRPr="00FD034A">
        <w:rPr>
          <w:b/>
          <w:bCs/>
        </w:rPr>
        <w:t xml:space="preserve"> Longitudinal </w:t>
      </w:r>
      <w:r w:rsidR="00E52D5F" w:rsidRPr="00FD034A">
        <w:rPr>
          <w:b/>
          <w:bCs/>
        </w:rPr>
        <w:t>changes in axial length at 3, 6, 12, and 18 months.</w:t>
      </w:r>
      <w:r w:rsidRPr="00FD034A">
        <w:t xml:space="preserve"> Post-baseline longitudinal ΔAL was analyzed using GEE with all available observed visits. Pairwise comparisons at each follow-up visit were adjusted using the Bonferroni method. Missing-data sensitivity analyses used a maximum-likelihood linear mixed-effects model and complete-case GEE.</w:t>
      </w:r>
    </w:p>
    <w:p w14:paraId="6E6FAA15" w14:textId="77777777" w:rsidR="00FD034A" w:rsidRPr="00FD034A" w:rsidRDefault="00FD034A" w:rsidP="00FD034A">
      <w:pPr>
        <w:spacing w:after="0"/>
      </w:pPr>
    </w:p>
    <w:p w14:paraId="5149A1A9" w14:textId="48A25719" w:rsidR="00FD034A" w:rsidRDefault="00FD034A" w:rsidP="00FD034A">
      <w:pPr>
        <w:spacing w:after="0"/>
      </w:pPr>
      <w:r w:rsidRPr="00FD034A">
        <w:rPr>
          <w:b/>
          <w:bCs/>
        </w:rPr>
        <w:t>Table 3</w:t>
      </w:r>
      <w:r>
        <w:rPr>
          <w:b/>
          <w:bCs/>
        </w:rPr>
        <w:t>:</w:t>
      </w:r>
      <w:r w:rsidRPr="00FD034A">
        <w:rPr>
          <w:b/>
          <w:bCs/>
        </w:rPr>
        <w:t xml:space="preserve"> Dry-</w:t>
      </w:r>
      <w:r w:rsidR="00E52D5F" w:rsidRPr="00FD034A">
        <w:rPr>
          <w:b/>
          <w:bCs/>
        </w:rPr>
        <w:t>eye-related outcomes at baseline and 18 months</w:t>
      </w:r>
      <w:r w:rsidRPr="00FD034A">
        <w:rPr>
          <w:b/>
          <w:bCs/>
        </w:rPr>
        <w:t>.</w:t>
      </w:r>
      <w:r w:rsidRPr="00FD034A">
        <w:t xml:space="preserve"> Baseline tear film break-up time (TBUT) and corneal fluorescein staining (CFS) differed among groups; therefore, 18-month between-group comparisons were performed using baseline-adjusted analysis of covariance (ANCOVA) with robust standard errors and Bonferroni-adjusted pairwise contrasts. Adjusted overall group effects were significant for TBUT, Schirmer I test, and Ocular Surface Disease Index (OSDI), but not for CFS. A rank-based change-score sensitivity analysis was also performed for CFS.</w:t>
      </w:r>
    </w:p>
    <w:p w14:paraId="7046848C" w14:textId="77777777" w:rsidR="00FD034A" w:rsidRPr="00FD034A" w:rsidRDefault="00FD034A" w:rsidP="00FD034A">
      <w:pPr>
        <w:spacing w:after="0"/>
      </w:pPr>
    </w:p>
    <w:p w14:paraId="10CBBFD1" w14:textId="39BBA2AB" w:rsidR="00FD034A" w:rsidRDefault="00FD034A" w:rsidP="00FD034A">
      <w:pPr>
        <w:spacing w:after="0"/>
      </w:pPr>
      <w:r w:rsidRPr="00FD034A">
        <w:rPr>
          <w:b/>
          <w:bCs/>
        </w:rPr>
        <w:t>Table 4</w:t>
      </w:r>
      <w:r>
        <w:rPr>
          <w:b/>
          <w:bCs/>
        </w:rPr>
        <w:t>:</w:t>
      </w:r>
      <w:r w:rsidRPr="00FD034A">
        <w:rPr>
          <w:b/>
          <w:bCs/>
        </w:rPr>
        <w:t xml:space="preserve"> Myopia </w:t>
      </w:r>
      <w:r w:rsidR="00E52D5F" w:rsidRPr="00FD034A">
        <w:rPr>
          <w:b/>
          <w:bCs/>
        </w:rPr>
        <w:t>onset and rapid myopic shift in the initially non-myopic fellow eye</w:t>
      </w:r>
      <w:r w:rsidRPr="00FD034A">
        <w:rPr>
          <w:b/>
          <w:bCs/>
        </w:rPr>
        <w:t>.</w:t>
      </w:r>
      <w:r w:rsidRPr="00FD034A">
        <w:t xml:space="preserve"> Both outcomes were reconstructed from observed fellow-eye SER measurements. Crude categorical comparisons used the chi-square test or Fisher exact test with Bonferroni-adjusted pairwise comparisons. Log-rank analyses with censoring at the last observed SER visit were used as sensitivity analyses for incomplete follow-up.</w:t>
      </w:r>
    </w:p>
    <w:p w14:paraId="20E0E654" w14:textId="77777777" w:rsidR="008F6582" w:rsidRDefault="008F6582" w:rsidP="00FD034A">
      <w:pPr>
        <w:spacing w:after="0"/>
      </w:pPr>
    </w:p>
    <w:p w14:paraId="072F1C79" w14:textId="0A3FD660" w:rsidR="00E72759" w:rsidRPr="00E72759" w:rsidRDefault="00E72759" w:rsidP="00FD034A">
      <w:pPr>
        <w:spacing w:after="0"/>
        <w:rPr>
          <w:b/>
          <w:bCs/>
        </w:rPr>
      </w:pPr>
      <w:r w:rsidRPr="00E72759">
        <w:rPr>
          <w:b/>
          <w:bCs/>
        </w:rPr>
        <w:t>Supplementary File 1: The deidentified source dataset for this protocol.</w:t>
      </w:r>
    </w:p>
    <w:p w14:paraId="1FA8787D" w14:textId="77777777" w:rsidR="00E72759" w:rsidRDefault="00E72759" w:rsidP="00FD034A">
      <w:pPr>
        <w:spacing w:after="0"/>
      </w:pPr>
    </w:p>
    <w:p w14:paraId="400D012B" w14:textId="49D33A33" w:rsidR="008F6582" w:rsidRPr="008F6582" w:rsidRDefault="008F6582" w:rsidP="00FD034A">
      <w:pPr>
        <w:spacing w:after="0"/>
        <w:rPr>
          <w:b/>
          <w:bCs/>
        </w:rPr>
      </w:pPr>
      <w:r w:rsidRPr="008F6582">
        <w:rPr>
          <w:b/>
          <w:bCs/>
        </w:rPr>
        <w:t>DISCUSSION:</w:t>
      </w:r>
    </w:p>
    <w:p w14:paraId="55357CA6" w14:textId="77777777" w:rsidR="008F6582" w:rsidRDefault="008F6582" w:rsidP="008F6582">
      <w:pPr>
        <w:spacing w:after="0"/>
      </w:pPr>
      <w:r w:rsidRPr="008F6582">
        <w:t xml:space="preserve">The principal between-group finding in this retrospective, nonrandomized cohort study remained concentrated in the initially non-myopic fellow eye. The Ortho-K + Fumigation group showed </w:t>
      </w:r>
      <w:r w:rsidRPr="008F6582">
        <w:lastRenderedPageBreak/>
        <w:t>consistently lower fellow-eye ΔAL than the Ortho-K group at all four post-baseline visits in the primary GEE, and this pattern was preserved in both mixed-effects and complete-case sensitivity analyses. Smaller myopic-eye differences between the two Ortho-K-based groups were significant at all four visits in the primary GEE, but the 3- and 6-month contrasts were less consistent across missing-data sensitivity analyses, whereas the 12- and 18-month contrasts were more stable. Accordingly, the fellow-eye result remains the principal hypothesis-generating association, whereas the myopic-eye contrasts should be interpreted as secondary and less robust. Because treatment allocation was based on patient and guardian choice, none of these findings establishes a causal effect of TCM fumigation. The retrospective and nonrandomized design creates an important risk of selection bias and residual confounding. Families who selected combined Ortho-K and TCM fumigation may have differed systematically from those selecting Ortho-K alone or spectacles in treatment adherence, outdoor exposure, near-work behavior, parental awareness of myopia control, healthcare-seeking behavior, and socioeconomic circumstances. Several of these variables were not systematically documented in the medical records and therefore could not be comprehensively adjusted. GEE accounts for within-participant correlation over time but does not eliminate confounding arising from nonrandom treatment allocation. The results should therefore not be interpreted causally.</w:t>
      </w:r>
    </w:p>
    <w:p w14:paraId="40CC9F59" w14:textId="77777777" w:rsidR="008F6582" w:rsidRPr="008F6582" w:rsidRDefault="008F6582" w:rsidP="008F6582">
      <w:pPr>
        <w:spacing w:after="0"/>
      </w:pPr>
    </w:p>
    <w:p w14:paraId="7FFBE037" w14:textId="2D278CE0" w:rsidR="008F6582" w:rsidRDefault="008F6582" w:rsidP="008F6582">
      <w:pPr>
        <w:spacing w:after="0"/>
      </w:pPr>
      <w:r w:rsidRPr="008F6582">
        <w:t xml:space="preserve">The myopic-eye findings remain broadly consistent with the established role of orthokeratology as a myopia-control intervention. A recent systematic review and meta-analysis by Queirós </w:t>
      </w:r>
      <w:r w:rsidR="00705EE9" w:rsidRPr="00705EE9">
        <w:rPr>
          <w:i/>
          <w:iCs/>
        </w:rPr>
        <w:t xml:space="preserve">et al. </w:t>
      </w:r>
      <w:r w:rsidRPr="008F6582">
        <w:t>compared orthokeratology with conventional spectacles and other myopia-control strategies, including atropine, multifocal soft contact lenses, spectacle lens designs, and combination interventions¹⁴. In the present study, both Ortho-K-based groups had substantially lower myopic-eye axial elongation than the Spectacle group. The primary GEE also identified smaller Ortho-K + Fumigation versus Ortho-K differences at all four visits, but the 3- and 6-month differences were not reproduced in the mixed-effects sensitivity model. These secondary findings therefore do not provide a stable basis for claiming clinically meaningful superiority of the combined approach over Ortho-K alone in the treated myopic eye. The fellow-eye finding warrants particular caution. The initially non-myopic fellow eye received no Ortho-K correction in either Ortho-K-based group, yet cumulative axial elongation was lower in the combination group at all observed post-baseline visits. The current study cannot determine whether this association represents a specific effect of TCM fumigation, an interaction between fumigation and Ortho-K, differences in treatment adherence or behavior, or other unmeasured confounding. The absence of a fumigation-only group also prevents separation of an independent fumigation effect from a possible interaction with Ortho-K.</w:t>
      </w:r>
    </w:p>
    <w:p w14:paraId="1512AD75" w14:textId="77777777" w:rsidR="008F6582" w:rsidRPr="008F6582" w:rsidRDefault="008F6582" w:rsidP="008F6582">
      <w:pPr>
        <w:spacing w:after="0"/>
      </w:pPr>
    </w:p>
    <w:p w14:paraId="7CD59E1B" w14:textId="37C104BA" w:rsidR="008F6582" w:rsidRDefault="008F6582" w:rsidP="008F6582">
      <w:pPr>
        <w:spacing w:after="0"/>
      </w:pPr>
      <w:r w:rsidRPr="008F6582">
        <w:t>Potential binocular interactions should also be considered. Although a fellow-eye design reduces some shared genetic and environmental variability, the two eyes of the same child cannot necessarily be considered biologically independent. Binocular visual experience, ocular dominance, accommodative behavior, peripheral defocus, neural signaling, and other interocular regulatory processes may influence ocular growth¹⁵</w:t>
      </w:r>
      <w:r w:rsidRPr="008F6582">
        <w:rPr>
          <w:vertAlign w:val="superscript"/>
        </w:rPr>
        <w:t>–</w:t>
      </w:r>
      <w:r w:rsidRPr="008F6582">
        <w:t xml:space="preserve">¹⁹. Analyzing the two eyes in separate longitudinal models avoids treating them as independent statistical observations in a single model, but it does not exclude biological interaction between the eyes. Accordingly, the fellow-eye association should not be interpreted as evidence of a direct contralateral pharmacologic or </w:t>
      </w:r>
      <w:r w:rsidRPr="008F6582">
        <w:lastRenderedPageBreak/>
        <w:t>physiologic effect of TCM fumigation. The biological mechanism underlying the fellow-eye association remains uncertain. The concepts of warming heart yang, supplementing Qi and blood, and strengthening the liver and kidney describe the traditional therapeutic rationale for the formulation¹¹</w:t>
      </w:r>
      <w:r w:rsidRPr="008F6582">
        <w:rPr>
          <w:vertAlign w:val="superscript"/>
        </w:rPr>
        <w:t>–</w:t>
      </w:r>
      <w:r w:rsidRPr="008F6582">
        <w:t>¹³˒²⁰</w:t>
      </w:r>
      <w:r w:rsidRPr="008F6582">
        <w:rPr>
          <w:vertAlign w:val="superscript"/>
        </w:rPr>
        <w:t>–</w:t>
      </w:r>
      <w:r w:rsidRPr="008F6582">
        <w:t>²³, but they should not be presented as established modern ophthalmic mechanisms of axial-growth control. Local warming and ocular-surface exposure during fumigation could plausibly influence tear-film or ocular-surface physiology, and TCM-related ocular interventions have been investigated in other contexts²⁴</w:t>
      </w:r>
      <w:r w:rsidRPr="008F6582">
        <w:rPr>
          <w:vertAlign w:val="superscript"/>
        </w:rPr>
        <w:t>–</w:t>
      </w:r>
      <w:r w:rsidRPr="008F6582">
        <w:t>²⁶. However, the present study did not measure a mechanistic pathway capable of explaining reduced axial growth in the contralateral eye. Neural, accommodative, binocular, systemic, and behavioral explanations</w:t>
      </w:r>
      <w:r>
        <w:t>, therefore,</w:t>
      </w:r>
      <w:r w:rsidRPr="008F6582">
        <w:t xml:space="preserve"> remain hypothetical. Treatment adherence is another important source of uncertainty. The effectiveness of Ortho-K depends on regular overnight wear, and any potential effect associated with fumigation would likewise depend on frequency and consistency of treatment. Objective quantitative adherence data were not systematically available in the retrospective records. Families choosing the combined intervention may also have been more engaged with myopia-control recommendations. Future prospective studies should therefore incorporate standardized or objective adherence monitoring for both Ortho-K wear and fumigation.</w:t>
      </w:r>
    </w:p>
    <w:p w14:paraId="481F4621" w14:textId="77777777" w:rsidR="008F6582" w:rsidRPr="008F6582" w:rsidRDefault="008F6582" w:rsidP="008F6582">
      <w:pPr>
        <w:spacing w:after="0"/>
      </w:pPr>
    </w:p>
    <w:p w14:paraId="2A1F6307" w14:textId="77777777" w:rsidR="008F6582" w:rsidRDefault="008F6582" w:rsidP="008F6582">
      <w:pPr>
        <w:spacing w:after="0"/>
      </w:pPr>
      <w:r w:rsidRPr="008F6582">
        <w:t>The reconstructed categorical refractive outcomes support a cautious interpretation. Myopia onset was numerically less frequent in the combination group, but neither the crude three-group comparison nor the censoring-aware log-rank analysis reached P &lt; 0.05. Rapid myopic shift was also less frequent in the combination group and showed a significant overall comparison in both crude and log-rank analyses; however, no individual pairwise comparison remained significant after Bonferroni correction. These data therefore do not establish that TCM fumigation prevented myopia onset or rapid myopic progression. The dry-eye findings also require restrained interpretation. Baseline TBUT and CFS were imbalanced among groups, so within-group before-after significance is not an adequate basis for treatment inference. After adjustment for the corresponding baseline value, 18-month group differences were detected for TBUT, Schirmer I test, and OSDI, whereas CFS did not show a significant adjusted overall group effect. For the Schirmer I test, only the Ortho-K + Fumigation versus Ortho-K contrast remained significant after Bonferroni correction. OSDI is subjective and may reflect lens-related discomfort, foreign-body sensation, irritation, reporting behavior, or other factors rather than objective tear-film dysfunction alone. Because the dry-eye outcomes were secondary exploratory endpoints, were not the basis of sample-size planning, and arose in a nonrandomized cohort with incomplete follow-up, the results should be considered signals requiring prospective confirmation rather than evidence of generalized ocular-surface efficacy⁸˒⁹˒²⁴˒²⁵˒²⁷.</w:t>
      </w:r>
    </w:p>
    <w:p w14:paraId="0B1A833B" w14:textId="77777777" w:rsidR="008F6582" w:rsidRPr="008F6582" w:rsidRDefault="008F6582" w:rsidP="008F6582">
      <w:pPr>
        <w:spacing w:after="0"/>
      </w:pPr>
    </w:p>
    <w:p w14:paraId="1126C8B4" w14:textId="6BF4EA2F" w:rsidR="008F6582" w:rsidRDefault="008F6582" w:rsidP="008F6582">
      <w:pPr>
        <w:spacing w:after="0"/>
      </w:pPr>
      <w:r w:rsidRPr="008F6582">
        <w:t xml:space="preserve">No serious ocular adverse events, treatment discontinuations due to serious adverse events, or serious-event-related treatment interruptions were documented. This observation is reassuring but should not be interpreted as definitive evidence of long-term safety. Retrospective medical records may incompletely capture mild or transient adverse effects, and the safety of repeated ocular fumigation over longer periods remains to be established using standardized prospective adverse-event surveillance. The 18-month follow-up period provides short- to intermediate-term information but does not establish whether the observed fellow-eye association would persist </w:t>
      </w:r>
      <w:r w:rsidRPr="008F6582">
        <w:lastRenderedPageBreak/>
        <w:t xml:space="preserve">with longer treatment or after treatment discontinuation. Possible rebound or catch-up axial growth after cessation was not evaluated. In addition, all participants were Chinese children with unilateral myopic anisometropia, limiting generalizability to other ethnic populations, children with bilateral myopia, and populations with different refractive profiles. Several limitations should therefore be considered together. The retrospective, nonrandomized design introduces selection bias and residual confounding. Quantitative </w:t>
      </w:r>
      <w:r>
        <w:t>data on adherence, outdoor exposure, near-work behavior, and socioeconomic factors were not available in sufficient detail</w:t>
      </w:r>
      <w:r w:rsidRPr="008F6582">
        <w:t>. Follow-up was incomplete for some participants, with 18-month axial-length observations available for 31, 31, and 30 children across the three groups; although mixed-effects and complete-case sensitivity analyses supported the primary fellow-eye result, no missing-data method can eliminate bias if missingness depends on unmeasured factors. The final source-data audit required correction of the earlier manuscript eligibility wording and exclusion of four records with fellow-eye baseline SER of −0.37 D after the confirmed −0.25 D lower threshold was reapplied; the resulting analytic groups contained 33, 33, and 35 participants. Potential binocular interactions were not directly measured, and the absence of a fumigation-only group prevents determination of an independent or synergistic fumigation effect. The sample size remained modest, limiting precision for secondary and categorical endpoints. Baseline imbalance was present for some dry-eye outcomes. The 18-month duration does not establish long-term durability. Batch-specific quality-control information, complete storage documentation, some preparation parameters, detailed ultrasonic-device settings, and environmental treatment conditions were incompletely documented because of the retrospective design. Finally, the study population was restricted to Chinese children with unilateral myopic anisometropia.</w:t>
      </w:r>
    </w:p>
    <w:p w14:paraId="697F14D5" w14:textId="77777777" w:rsidR="008F6582" w:rsidRPr="008F6582" w:rsidRDefault="008F6582" w:rsidP="008F6582">
      <w:pPr>
        <w:spacing w:after="0"/>
      </w:pPr>
    </w:p>
    <w:p w14:paraId="17EE6DF8" w14:textId="77777777" w:rsidR="008F6582" w:rsidRDefault="008F6582" w:rsidP="008F6582">
      <w:pPr>
        <w:spacing w:after="0"/>
      </w:pPr>
      <w:r w:rsidRPr="008F6582">
        <w:t>In conclusion, monocular Ortho-K combined with TCM fumigation was associated with consistently lower axial elongation of the initially non-myopic fellow eye than monocular Ortho-K alone across the observed 18-month follow-up, and this primary association was robust to mixed-effects and complete-case sensitivity analyses. Smaller myopic-eye differences in the primary GEE were less consistent across sensitivity analyses, particularly at 3 and 6 months. Baseline-adjusted exploratory dry-eye analyses identified group differences in TBUT, Schirmer I test, and OSDI, but not CFS. Myopia onset was not significantly different overall; rapid myopic shift showed a modest overall difference, but no pairwise comparison remained significant after multiplicity correction. These findings are hypothesis-generating and do not establish causality, prevention, generalized ocular-surface efficacy, or long-term safety. Larger prospective randomized studies with objective adherence monitoring, standardized fumigation preparation and device parameters, longer follow-up, and evaluation of potential binocular and biological mechanisms are needed before this combined approach can be recommended for routine clinical practice.</w:t>
      </w:r>
    </w:p>
    <w:p w14:paraId="5479B4EE" w14:textId="77777777" w:rsidR="008F6582" w:rsidRPr="008F6582" w:rsidRDefault="008F6582" w:rsidP="008F6582">
      <w:pPr>
        <w:spacing w:after="0"/>
      </w:pPr>
    </w:p>
    <w:p w14:paraId="3D730E44" w14:textId="279AE7E3" w:rsidR="00B83B5B" w:rsidRPr="000271C1" w:rsidRDefault="00000000" w:rsidP="000271C1">
      <w:pPr>
        <w:spacing w:after="0"/>
      </w:pPr>
      <w:r w:rsidRPr="000271C1">
        <w:rPr>
          <w:b/>
        </w:rPr>
        <w:t>ACKNOWLEDGMENTS</w:t>
      </w:r>
      <w:r w:rsidR="008F6582">
        <w:rPr>
          <w:b/>
        </w:rPr>
        <w:t>:</w:t>
      </w:r>
    </w:p>
    <w:p w14:paraId="01F72B90" w14:textId="77777777" w:rsidR="00B83B5B" w:rsidRDefault="00000000" w:rsidP="000271C1">
      <w:pPr>
        <w:spacing w:after="0"/>
      </w:pPr>
      <w:r w:rsidRPr="000271C1">
        <w:t>This study was supported by a grant from the Zhejiang Provincial Administration of Traditional Chinese Medicine (Project No.: 2026ZL0233, approved in 2025).</w:t>
      </w:r>
    </w:p>
    <w:p w14:paraId="40549250" w14:textId="77777777" w:rsidR="008F6582" w:rsidRPr="000271C1" w:rsidRDefault="008F6582" w:rsidP="000271C1">
      <w:pPr>
        <w:spacing w:after="0"/>
      </w:pPr>
    </w:p>
    <w:p w14:paraId="024ED329" w14:textId="62FEB51A" w:rsidR="00B83B5B" w:rsidRPr="000271C1" w:rsidRDefault="00000000" w:rsidP="000271C1">
      <w:pPr>
        <w:spacing w:after="0"/>
      </w:pPr>
      <w:r w:rsidRPr="000271C1">
        <w:rPr>
          <w:b/>
        </w:rPr>
        <w:t>DISCLOSURES</w:t>
      </w:r>
      <w:r w:rsidR="008F6582">
        <w:rPr>
          <w:b/>
        </w:rPr>
        <w:t>:</w:t>
      </w:r>
    </w:p>
    <w:p w14:paraId="67EC92A9" w14:textId="3FC78DFF" w:rsidR="008F6582" w:rsidRDefault="00000000" w:rsidP="000271C1">
      <w:pPr>
        <w:spacing w:after="0"/>
      </w:pPr>
      <w:r w:rsidRPr="000271C1">
        <w:t>The authors declare that they have no competing interests.</w:t>
      </w:r>
      <w:r w:rsidR="008F6582">
        <w:t xml:space="preserve"> </w:t>
      </w:r>
      <w:r w:rsidRPr="000271C1">
        <w:t xml:space="preserve">OpenAI ChatGPT was used during </w:t>
      </w:r>
      <w:r w:rsidRPr="000271C1">
        <w:lastRenderedPageBreak/>
        <w:t xml:space="preserve">manuscript revision for language editing, organization, drafting assistance, and preparation of Figure 1. The authors reviewed and verified all scientific content, statistical results, references, interpretations, final wording, and figure content and take full responsibility for the submitted manuscript. </w:t>
      </w:r>
    </w:p>
    <w:p w14:paraId="45CA82A0" w14:textId="77777777" w:rsidR="008F6582" w:rsidRPr="000271C1" w:rsidRDefault="008F6582" w:rsidP="000271C1">
      <w:pPr>
        <w:spacing w:after="0"/>
      </w:pPr>
    </w:p>
    <w:p w14:paraId="59DBC2B6" w14:textId="72CB2D76" w:rsidR="00B83B5B" w:rsidRPr="000271C1" w:rsidRDefault="00000000" w:rsidP="000271C1">
      <w:pPr>
        <w:spacing w:after="0"/>
      </w:pPr>
      <w:r w:rsidRPr="000271C1">
        <w:rPr>
          <w:b/>
        </w:rPr>
        <w:t>AUTHOR CONTRIBUTIONS</w:t>
      </w:r>
      <w:r w:rsidR="008F6582">
        <w:rPr>
          <w:b/>
        </w:rPr>
        <w:t>:</w:t>
      </w:r>
    </w:p>
    <w:p w14:paraId="2529BF99" w14:textId="77777777" w:rsidR="008F6582" w:rsidRDefault="008F6582" w:rsidP="000271C1">
      <w:pPr>
        <w:spacing w:after="0"/>
      </w:pPr>
      <w:r w:rsidRPr="008F6582">
        <w:t xml:space="preserve">Chang Zhang and </w:t>
      </w:r>
      <w:proofErr w:type="spellStart"/>
      <w:r w:rsidRPr="008F6582">
        <w:t>Chenliang</w:t>
      </w:r>
      <w:proofErr w:type="spellEnd"/>
      <w:r w:rsidRPr="008F6582">
        <w:t xml:space="preserve"> He were responsible for study conception and execution. Data acquisition and curation were performed by Chang Zhang, </w:t>
      </w:r>
      <w:proofErr w:type="spellStart"/>
      <w:r w:rsidRPr="008F6582">
        <w:t>ZhenXian</w:t>
      </w:r>
      <w:proofErr w:type="spellEnd"/>
      <w:r w:rsidRPr="008F6582">
        <w:t xml:space="preserve"> Hu, and Xin Zhang. Data interpretation and analysis were performed by </w:t>
      </w:r>
      <w:proofErr w:type="spellStart"/>
      <w:r w:rsidRPr="008F6582">
        <w:t>Shuangqin</w:t>
      </w:r>
      <w:proofErr w:type="spellEnd"/>
      <w:r w:rsidRPr="008F6582">
        <w:t xml:space="preserve"> Lin and Chang Zhang. The initial manuscript was drafted by Chang Zhang and </w:t>
      </w:r>
      <w:proofErr w:type="spellStart"/>
      <w:r w:rsidRPr="008F6582">
        <w:t>ZhenXian</w:t>
      </w:r>
      <w:proofErr w:type="spellEnd"/>
      <w:r w:rsidRPr="008F6582">
        <w:t xml:space="preserve"> Hu and critically reviewed by the co-authors. All authors reviewed and approved the final manuscript.</w:t>
      </w:r>
    </w:p>
    <w:p w14:paraId="0D657B84" w14:textId="77777777" w:rsidR="008F6582" w:rsidRDefault="008F6582" w:rsidP="000271C1">
      <w:pPr>
        <w:spacing w:after="0"/>
      </w:pPr>
    </w:p>
    <w:p w14:paraId="7CBD5703" w14:textId="77777777" w:rsidR="008F6582" w:rsidRDefault="008F6582" w:rsidP="000271C1">
      <w:pPr>
        <w:spacing w:after="0"/>
      </w:pPr>
    </w:p>
    <w:p w14:paraId="130E9A82" w14:textId="3E8BAA0C" w:rsidR="00B83B5B" w:rsidRDefault="00705EE9" w:rsidP="000271C1">
      <w:pPr>
        <w:spacing w:after="0"/>
        <w:rPr>
          <w:b/>
        </w:rPr>
      </w:pPr>
      <w:r>
        <w:rPr>
          <w:b/>
        </w:rPr>
        <w:t>REFERENCES:</w:t>
      </w:r>
    </w:p>
    <w:p w14:paraId="44A47411" w14:textId="7B317663"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Holden BA, Fricke TR, Wilson DA, Jong M, Naidoo KS, </w:t>
      </w:r>
      <w:proofErr w:type="spellStart"/>
      <w:r w:rsidRPr="00705EE9">
        <w:rPr>
          <w:rFonts w:ascii="Calibri" w:hAnsi="Calibri" w:cs="Calibri"/>
          <w:sz w:val="24"/>
          <w:szCs w:val="24"/>
        </w:rPr>
        <w:t>Sankaridurg</w:t>
      </w:r>
      <w:proofErr w:type="spellEnd"/>
      <w:r w:rsidRPr="00705EE9">
        <w:rPr>
          <w:rFonts w:ascii="Calibri" w:hAnsi="Calibri" w:cs="Calibri"/>
          <w:sz w:val="24"/>
          <w:szCs w:val="24"/>
        </w:rPr>
        <w:t xml:space="preserve"> P, </w:t>
      </w:r>
      <w:r w:rsidRPr="00705EE9">
        <w:rPr>
          <w:rFonts w:ascii="Calibri" w:hAnsi="Calibri" w:cs="Calibri"/>
          <w:i/>
          <w:iCs/>
          <w:sz w:val="24"/>
          <w:szCs w:val="24"/>
        </w:rPr>
        <w:t xml:space="preserve">et al. </w:t>
      </w:r>
      <w:r w:rsidRPr="00705EE9">
        <w:rPr>
          <w:rFonts w:ascii="Calibri" w:hAnsi="Calibri" w:cs="Calibri"/>
          <w:sz w:val="24"/>
          <w:szCs w:val="24"/>
        </w:rPr>
        <w:t xml:space="preserve">Global prevalence of myopia and high myopia and temporal trends from 2000 through 2050. Ophthalmology. </w:t>
      </w:r>
      <w:proofErr w:type="gramStart"/>
      <w:r w:rsidRPr="00705EE9">
        <w:rPr>
          <w:rFonts w:ascii="Calibri" w:hAnsi="Calibri" w:cs="Calibri"/>
          <w:sz w:val="24"/>
          <w:szCs w:val="24"/>
        </w:rPr>
        <w:t>2016;123:1036</w:t>
      </w:r>
      <w:proofErr w:type="gramEnd"/>
      <w:r w:rsidRPr="00705EE9">
        <w:rPr>
          <w:rFonts w:ascii="Calibri" w:hAnsi="Calibri" w:cs="Calibri"/>
          <w:sz w:val="24"/>
          <w:szCs w:val="24"/>
        </w:rPr>
        <w:t>–42.</w:t>
      </w:r>
    </w:p>
    <w:p w14:paraId="74059134" w14:textId="5DAB4A28"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Naidoo KS, Fricke TR, Frick KD, Jong M, Naduvilath TJ, Resnikoff S, </w:t>
      </w:r>
      <w:r w:rsidRPr="00705EE9">
        <w:rPr>
          <w:rFonts w:ascii="Calibri" w:hAnsi="Calibri" w:cs="Calibri"/>
          <w:i/>
          <w:iCs/>
          <w:sz w:val="24"/>
          <w:szCs w:val="24"/>
        </w:rPr>
        <w:t xml:space="preserve">et al. </w:t>
      </w:r>
      <w:r w:rsidRPr="00705EE9">
        <w:rPr>
          <w:rFonts w:ascii="Calibri" w:hAnsi="Calibri" w:cs="Calibri"/>
          <w:sz w:val="24"/>
          <w:szCs w:val="24"/>
        </w:rPr>
        <w:t xml:space="preserve">Potential lost productivity resulting from the global burden of myopia: systematic review, meta-analysis, and modeling. Ophthalmology. </w:t>
      </w:r>
      <w:proofErr w:type="gramStart"/>
      <w:r w:rsidRPr="00705EE9">
        <w:rPr>
          <w:rFonts w:ascii="Calibri" w:hAnsi="Calibri" w:cs="Calibri"/>
          <w:sz w:val="24"/>
          <w:szCs w:val="24"/>
        </w:rPr>
        <w:t>2019;126:338</w:t>
      </w:r>
      <w:proofErr w:type="gramEnd"/>
      <w:r w:rsidRPr="00705EE9">
        <w:rPr>
          <w:rFonts w:ascii="Calibri" w:hAnsi="Calibri" w:cs="Calibri"/>
          <w:sz w:val="24"/>
          <w:szCs w:val="24"/>
        </w:rPr>
        <w:t>–46.</w:t>
      </w:r>
    </w:p>
    <w:p w14:paraId="14A080B6" w14:textId="77A097F6"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Morgan IG, French AN, Ashby RS, Guo X, Ding X, He M, </w:t>
      </w:r>
      <w:r w:rsidRPr="00705EE9">
        <w:rPr>
          <w:rFonts w:ascii="Calibri" w:hAnsi="Calibri" w:cs="Calibri"/>
          <w:i/>
          <w:iCs/>
          <w:sz w:val="24"/>
          <w:szCs w:val="24"/>
        </w:rPr>
        <w:t xml:space="preserve">et al. </w:t>
      </w:r>
      <w:r w:rsidRPr="00705EE9">
        <w:rPr>
          <w:rFonts w:ascii="Calibri" w:hAnsi="Calibri" w:cs="Calibri"/>
          <w:sz w:val="24"/>
          <w:szCs w:val="24"/>
        </w:rPr>
        <w:t xml:space="preserve">The epidemics of myopia: </w:t>
      </w:r>
      <w:proofErr w:type="spellStart"/>
      <w:r w:rsidRPr="00705EE9">
        <w:rPr>
          <w:rFonts w:ascii="Calibri" w:hAnsi="Calibri" w:cs="Calibri"/>
          <w:sz w:val="24"/>
          <w:szCs w:val="24"/>
        </w:rPr>
        <w:t>aetiology</w:t>
      </w:r>
      <w:proofErr w:type="spellEnd"/>
      <w:r w:rsidRPr="00705EE9">
        <w:rPr>
          <w:rFonts w:ascii="Calibri" w:hAnsi="Calibri" w:cs="Calibri"/>
          <w:sz w:val="24"/>
          <w:szCs w:val="24"/>
        </w:rPr>
        <w:t xml:space="preserve"> and prevention. Prog Retin Eye Res. </w:t>
      </w:r>
      <w:proofErr w:type="gramStart"/>
      <w:r w:rsidRPr="00705EE9">
        <w:rPr>
          <w:rFonts w:ascii="Calibri" w:hAnsi="Calibri" w:cs="Calibri"/>
          <w:sz w:val="24"/>
          <w:szCs w:val="24"/>
        </w:rPr>
        <w:t>2018;62:134</w:t>
      </w:r>
      <w:proofErr w:type="gramEnd"/>
      <w:r w:rsidRPr="00705EE9">
        <w:rPr>
          <w:rFonts w:ascii="Calibri" w:hAnsi="Calibri" w:cs="Calibri"/>
          <w:sz w:val="24"/>
          <w:szCs w:val="24"/>
        </w:rPr>
        <w:t>–49.</w:t>
      </w:r>
    </w:p>
    <w:p w14:paraId="6C7693AA"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Tong L, Chan YH, Gazzard G, Tan D, Saw SM. Longitudinal study of anisometropia in Singaporean school children. Invest </w:t>
      </w:r>
      <w:proofErr w:type="spellStart"/>
      <w:r w:rsidRPr="00705EE9">
        <w:rPr>
          <w:rFonts w:ascii="Calibri" w:hAnsi="Calibri" w:cs="Calibri"/>
          <w:sz w:val="24"/>
          <w:szCs w:val="24"/>
        </w:rPr>
        <w:t>Ophthalmol</w:t>
      </w:r>
      <w:proofErr w:type="spellEnd"/>
      <w:r w:rsidRPr="00705EE9">
        <w:rPr>
          <w:rFonts w:ascii="Calibri" w:hAnsi="Calibri" w:cs="Calibri"/>
          <w:sz w:val="24"/>
          <w:szCs w:val="24"/>
        </w:rPr>
        <w:t xml:space="preserve"> Vis Sci. </w:t>
      </w:r>
      <w:proofErr w:type="gramStart"/>
      <w:r w:rsidRPr="00705EE9">
        <w:rPr>
          <w:rFonts w:ascii="Calibri" w:hAnsi="Calibri" w:cs="Calibri"/>
          <w:sz w:val="24"/>
          <w:szCs w:val="24"/>
        </w:rPr>
        <w:t>2006;47:3247</w:t>
      </w:r>
      <w:proofErr w:type="gramEnd"/>
      <w:r w:rsidRPr="00705EE9">
        <w:rPr>
          <w:rFonts w:ascii="Calibri" w:hAnsi="Calibri" w:cs="Calibri"/>
          <w:sz w:val="24"/>
          <w:szCs w:val="24"/>
        </w:rPr>
        <w:t>–52.</w:t>
      </w:r>
    </w:p>
    <w:p w14:paraId="1C0BE0E3"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Chen Z, Zhou J, Qu X, Zhou X, Xue F, Shanghai Orthokeratology Study (SOS) Group. Effects of orthokeratology on axial length growth in myopic </w:t>
      </w:r>
      <w:proofErr w:type="spellStart"/>
      <w:r w:rsidRPr="00705EE9">
        <w:rPr>
          <w:rFonts w:ascii="Calibri" w:hAnsi="Calibri" w:cs="Calibri"/>
          <w:sz w:val="24"/>
          <w:szCs w:val="24"/>
        </w:rPr>
        <w:t>anisometropes</w:t>
      </w:r>
      <w:proofErr w:type="spellEnd"/>
      <w:r w:rsidRPr="00705EE9">
        <w:rPr>
          <w:rFonts w:ascii="Calibri" w:hAnsi="Calibri" w:cs="Calibri"/>
          <w:sz w:val="24"/>
          <w:szCs w:val="24"/>
        </w:rPr>
        <w:t xml:space="preserve">. </w:t>
      </w:r>
      <w:proofErr w:type="spellStart"/>
      <w:r w:rsidRPr="00705EE9">
        <w:rPr>
          <w:rFonts w:ascii="Calibri" w:hAnsi="Calibri" w:cs="Calibri"/>
          <w:sz w:val="24"/>
          <w:szCs w:val="24"/>
        </w:rPr>
        <w:t>Cont</w:t>
      </w:r>
      <w:proofErr w:type="spellEnd"/>
      <w:r w:rsidRPr="00705EE9">
        <w:rPr>
          <w:rFonts w:ascii="Calibri" w:hAnsi="Calibri" w:cs="Calibri"/>
          <w:sz w:val="24"/>
          <w:szCs w:val="24"/>
        </w:rPr>
        <w:t xml:space="preserve"> Lens Anterior Eye. </w:t>
      </w:r>
      <w:proofErr w:type="gramStart"/>
      <w:r w:rsidRPr="00705EE9">
        <w:rPr>
          <w:rFonts w:ascii="Calibri" w:hAnsi="Calibri" w:cs="Calibri"/>
          <w:sz w:val="24"/>
          <w:szCs w:val="24"/>
        </w:rPr>
        <w:t>2018;41:263</w:t>
      </w:r>
      <w:proofErr w:type="gramEnd"/>
      <w:r w:rsidRPr="00705EE9">
        <w:rPr>
          <w:rFonts w:ascii="Calibri" w:hAnsi="Calibri" w:cs="Calibri"/>
          <w:sz w:val="24"/>
          <w:szCs w:val="24"/>
        </w:rPr>
        <w:t>–6.</w:t>
      </w:r>
    </w:p>
    <w:p w14:paraId="0EBF2F52" w14:textId="06358685"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He X, </w:t>
      </w:r>
      <w:proofErr w:type="spellStart"/>
      <w:r w:rsidRPr="00705EE9">
        <w:rPr>
          <w:rFonts w:ascii="Calibri" w:hAnsi="Calibri" w:cs="Calibri"/>
          <w:sz w:val="24"/>
          <w:szCs w:val="24"/>
        </w:rPr>
        <w:t>Sankaridurg</w:t>
      </w:r>
      <w:proofErr w:type="spellEnd"/>
      <w:r w:rsidRPr="00705EE9">
        <w:rPr>
          <w:rFonts w:ascii="Calibri" w:hAnsi="Calibri" w:cs="Calibri"/>
          <w:sz w:val="24"/>
          <w:szCs w:val="24"/>
        </w:rPr>
        <w:t xml:space="preserve"> P, Wang J, Chen J, Naduvilath T, He M, </w:t>
      </w:r>
      <w:r w:rsidRPr="00705EE9">
        <w:rPr>
          <w:rFonts w:ascii="Calibri" w:hAnsi="Calibri" w:cs="Calibri"/>
          <w:i/>
          <w:iCs/>
          <w:sz w:val="24"/>
          <w:szCs w:val="24"/>
        </w:rPr>
        <w:t xml:space="preserve">et al. </w:t>
      </w:r>
      <w:r w:rsidRPr="00705EE9">
        <w:rPr>
          <w:rFonts w:ascii="Calibri" w:hAnsi="Calibri" w:cs="Calibri"/>
          <w:sz w:val="24"/>
          <w:szCs w:val="24"/>
        </w:rPr>
        <w:t xml:space="preserve">Time outdoors in reducing myopia: a school-based cluster randomized trial with objective monitoring of outdoor time and light intensity. Ophthalmology. </w:t>
      </w:r>
      <w:proofErr w:type="gramStart"/>
      <w:r w:rsidRPr="00705EE9">
        <w:rPr>
          <w:rFonts w:ascii="Calibri" w:hAnsi="Calibri" w:cs="Calibri"/>
          <w:sz w:val="24"/>
          <w:szCs w:val="24"/>
        </w:rPr>
        <w:t>2022;129:1245</w:t>
      </w:r>
      <w:proofErr w:type="gramEnd"/>
      <w:r w:rsidRPr="00705EE9">
        <w:rPr>
          <w:rFonts w:ascii="Calibri" w:hAnsi="Calibri" w:cs="Calibri"/>
          <w:sz w:val="24"/>
          <w:szCs w:val="24"/>
        </w:rPr>
        <w:t>–54.</w:t>
      </w:r>
    </w:p>
    <w:p w14:paraId="578721DF" w14:textId="2C5B8ADC"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194C28">
        <w:rPr>
          <w:rFonts w:ascii="Calibri" w:hAnsi="Calibri" w:cs="Calibri"/>
          <w:sz w:val="24"/>
          <w:szCs w:val="24"/>
          <w:lang w:val="de-DE"/>
        </w:rPr>
        <w:t xml:space="preserve">He M, Xiang F, Zeng Y, Mai J, Chen Q, Zhang J, </w:t>
      </w:r>
      <w:r w:rsidRPr="00194C28">
        <w:rPr>
          <w:rFonts w:ascii="Calibri" w:hAnsi="Calibri" w:cs="Calibri"/>
          <w:i/>
          <w:iCs/>
          <w:sz w:val="24"/>
          <w:szCs w:val="24"/>
          <w:lang w:val="de-DE"/>
        </w:rPr>
        <w:t xml:space="preserve">et al. </w:t>
      </w:r>
      <w:r w:rsidRPr="00705EE9">
        <w:rPr>
          <w:rFonts w:ascii="Calibri" w:hAnsi="Calibri" w:cs="Calibri"/>
          <w:sz w:val="24"/>
          <w:szCs w:val="24"/>
        </w:rPr>
        <w:t xml:space="preserve">Effect of time spent outdoors at school on the development of myopia among children in China: a randomized clinical trial. JAMA. </w:t>
      </w:r>
      <w:proofErr w:type="gramStart"/>
      <w:r w:rsidRPr="00705EE9">
        <w:rPr>
          <w:rFonts w:ascii="Calibri" w:hAnsi="Calibri" w:cs="Calibri"/>
          <w:sz w:val="24"/>
          <w:szCs w:val="24"/>
        </w:rPr>
        <w:t>2015;314:1142</w:t>
      </w:r>
      <w:proofErr w:type="gramEnd"/>
      <w:r w:rsidRPr="00705EE9">
        <w:rPr>
          <w:rFonts w:ascii="Calibri" w:hAnsi="Calibri" w:cs="Calibri"/>
          <w:sz w:val="24"/>
          <w:szCs w:val="24"/>
        </w:rPr>
        <w:t>–8.</w:t>
      </w:r>
    </w:p>
    <w:p w14:paraId="762B53FB"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Tao Z, Wang J, Zhu M, Lin Z, Zhao J, Tang Y, Deng H. Does orthokeratology wearing affect the tear quality of children? Front </w:t>
      </w:r>
      <w:proofErr w:type="spellStart"/>
      <w:r w:rsidRPr="00705EE9">
        <w:rPr>
          <w:rFonts w:ascii="Calibri" w:hAnsi="Calibri" w:cs="Calibri"/>
          <w:sz w:val="24"/>
          <w:szCs w:val="24"/>
        </w:rPr>
        <w:t>Pediatr</w:t>
      </w:r>
      <w:proofErr w:type="spellEnd"/>
      <w:r w:rsidRPr="00705EE9">
        <w:rPr>
          <w:rFonts w:ascii="Calibri" w:hAnsi="Calibri" w:cs="Calibri"/>
          <w:sz w:val="24"/>
          <w:szCs w:val="24"/>
        </w:rPr>
        <w:t xml:space="preserve">. </w:t>
      </w:r>
      <w:proofErr w:type="gramStart"/>
      <w:r w:rsidRPr="00705EE9">
        <w:rPr>
          <w:rFonts w:ascii="Calibri" w:hAnsi="Calibri" w:cs="Calibri"/>
          <w:sz w:val="24"/>
          <w:szCs w:val="24"/>
        </w:rPr>
        <w:t>2022;9:773484</w:t>
      </w:r>
      <w:proofErr w:type="gramEnd"/>
      <w:r w:rsidRPr="00705EE9">
        <w:rPr>
          <w:rFonts w:ascii="Calibri" w:hAnsi="Calibri" w:cs="Calibri"/>
          <w:sz w:val="24"/>
          <w:szCs w:val="24"/>
        </w:rPr>
        <w:t>. doi:10.3389/fped.2021.773484.</w:t>
      </w:r>
    </w:p>
    <w:p w14:paraId="7741BA91"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Yang B, Ma X, Liu L, Cho P. Vision-related quality of life of Chinese children undergoing orthokeratology treatment compared to single vision spectacles. </w:t>
      </w:r>
      <w:proofErr w:type="spellStart"/>
      <w:r w:rsidRPr="00705EE9">
        <w:rPr>
          <w:rFonts w:ascii="Calibri" w:hAnsi="Calibri" w:cs="Calibri"/>
          <w:sz w:val="24"/>
          <w:szCs w:val="24"/>
        </w:rPr>
        <w:t>Cont</w:t>
      </w:r>
      <w:proofErr w:type="spellEnd"/>
      <w:r w:rsidRPr="00705EE9">
        <w:rPr>
          <w:rFonts w:ascii="Calibri" w:hAnsi="Calibri" w:cs="Calibri"/>
          <w:sz w:val="24"/>
          <w:szCs w:val="24"/>
        </w:rPr>
        <w:t xml:space="preserve"> Lens Anterior Eye. </w:t>
      </w:r>
      <w:proofErr w:type="gramStart"/>
      <w:r w:rsidRPr="00705EE9">
        <w:rPr>
          <w:rFonts w:ascii="Calibri" w:hAnsi="Calibri" w:cs="Calibri"/>
          <w:sz w:val="24"/>
          <w:szCs w:val="24"/>
        </w:rPr>
        <w:t>2021;44:101350</w:t>
      </w:r>
      <w:proofErr w:type="gramEnd"/>
      <w:r w:rsidRPr="00705EE9">
        <w:rPr>
          <w:rFonts w:ascii="Calibri" w:hAnsi="Calibri" w:cs="Calibri"/>
          <w:sz w:val="24"/>
          <w:szCs w:val="24"/>
        </w:rPr>
        <w:t xml:space="preserve">. </w:t>
      </w:r>
      <w:proofErr w:type="gramStart"/>
      <w:r w:rsidRPr="00705EE9">
        <w:rPr>
          <w:rFonts w:ascii="Calibri" w:hAnsi="Calibri" w:cs="Calibri"/>
          <w:sz w:val="24"/>
          <w:szCs w:val="24"/>
        </w:rPr>
        <w:t>doi:10.1016/j.clae</w:t>
      </w:r>
      <w:proofErr w:type="gramEnd"/>
      <w:r w:rsidRPr="00705EE9">
        <w:rPr>
          <w:rFonts w:ascii="Calibri" w:hAnsi="Calibri" w:cs="Calibri"/>
          <w:sz w:val="24"/>
          <w:szCs w:val="24"/>
        </w:rPr>
        <w:t>.2020.07.001.</w:t>
      </w:r>
    </w:p>
    <w:p w14:paraId="2F9F4C94"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Guan W, Zhang G, Li Y, Li Q, Wang L. Homemade Chinese herbal fumigation eye patch prevents myopia in children and adolescents. Am J </w:t>
      </w:r>
      <w:proofErr w:type="spellStart"/>
      <w:r w:rsidRPr="00705EE9">
        <w:rPr>
          <w:rFonts w:ascii="Calibri" w:hAnsi="Calibri" w:cs="Calibri"/>
          <w:sz w:val="24"/>
          <w:szCs w:val="24"/>
        </w:rPr>
        <w:t>Transl</w:t>
      </w:r>
      <w:proofErr w:type="spellEnd"/>
      <w:r w:rsidRPr="00705EE9">
        <w:rPr>
          <w:rFonts w:ascii="Calibri" w:hAnsi="Calibri" w:cs="Calibri"/>
          <w:sz w:val="24"/>
          <w:szCs w:val="24"/>
        </w:rPr>
        <w:t xml:space="preserve"> Res. </w:t>
      </w:r>
      <w:proofErr w:type="gramStart"/>
      <w:r w:rsidRPr="00705EE9">
        <w:rPr>
          <w:rFonts w:ascii="Calibri" w:hAnsi="Calibri" w:cs="Calibri"/>
          <w:sz w:val="24"/>
          <w:szCs w:val="24"/>
        </w:rPr>
        <w:t>2023;15:2765</w:t>
      </w:r>
      <w:proofErr w:type="gramEnd"/>
      <w:r w:rsidRPr="00705EE9">
        <w:rPr>
          <w:rFonts w:ascii="Calibri" w:hAnsi="Calibri" w:cs="Calibri"/>
          <w:sz w:val="24"/>
          <w:szCs w:val="24"/>
        </w:rPr>
        <w:t>–72.</w:t>
      </w:r>
    </w:p>
    <w:p w14:paraId="0D49A601"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lastRenderedPageBreak/>
        <w:t xml:space="preserve">Yang X, Xu L, Zhong F, Zhu Y. Data mining-based detection of acupuncture treatment on juvenile myopia. J </w:t>
      </w:r>
      <w:proofErr w:type="spellStart"/>
      <w:r w:rsidRPr="00705EE9">
        <w:rPr>
          <w:rFonts w:ascii="Calibri" w:hAnsi="Calibri" w:cs="Calibri"/>
          <w:sz w:val="24"/>
          <w:szCs w:val="24"/>
        </w:rPr>
        <w:t>Tradit</w:t>
      </w:r>
      <w:proofErr w:type="spellEnd"/>
      <w:r w:rsidRPr="00705EE9">
        <w:rPr>
          <w:rFonts w:ascii="Calibri" w:hAnsi="Calibri" w:cs="Calibri"/>
          <w:sz w:val="24"/>
          <w:szCs w:val="24"/>
        </w:rPr>
        <w:t xml:space="preserve"> Chin Med. </w:t>
      </w:r>
      <w:proofErr w:type="gramStart"/>
      <w:r w:rsidRPr="00705EE9">
        <w:rPr>
          <w:rFonts w:ascii="Calibri" w:hAnsi="Calibri" w:cs="Calibri"/>
          <w:sz w:val="24"/>
          <w:szCs w:val="24"/>
        </w:rPr>
        <w:t>2012;32:372</w:t>
      </w:r>
      <w:proofErr w:type="gramEnd"/>
      <w:r w:rsidRPr="00705EE9">
        <w:rPr>
          <w:rFonts w:ascii="Calibri" w:hAnsi="Calibri" w:cs="Calibri"/>
          <w:sz w:val="24"/>
          <w:szCs w:val="24"/>
        </w:rPr>
        <w:t>–6.</w:t>
      </w:r>
    </w:p>
    <w:p w14:paraId="5D723ED7" w14:textId="173FBB7A"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Tian X, Sun Z, Li Y, Jiang X, Li X, Yu P. Efficacy and safety of traditional Chinese medicine decoction in the treatment of adolescent myopia: a protocol for systematic review and network meta-analysis. Medicine (Baltimore). 2022;101</w:t>
      </w:r>
      <w:r w:rsidR="000262EB">
        <w:rPr>
          <w:rFonts w:ascii="Calibri" w:hAnsi="Calibri" w:cs="Calibri"/>
          <w:sz w:val="24"/>
          <w:szCs w:val="24"/>
        </w:rPr>
        <w:t xml:space="preserve">: </w:t>
      </w:r>
      <w:r w:rsidR="000262EB" w:rsidRPr="000262EB">
        <w:rPr>
          <w:rFonts w:ascii="Calibri" w:hAnsi="Calibri" w:cs="Calibri"/>
          <w:sz w:val="24"/>
          <w:szCs w:val="24"/>
        </w:rPr>
        <w:t>e28733.</w:t>
      </w:r>
      <w:r w:rsidRPr="00705EE9">
        <w:rPr>
          <w:rFonts w:ascii="Calibri" w:hAnsi="Calibri" w:cs="Calibri"/>
          <w:sz w:val="24"/>
          <w:szCs w:val="24"/>
        </w:rPr>
        <w:t xml:space="preserve"> doi:10.1097/MD.0000000000028733.</w:t>
      </w:r>
    </w:p>
    <w:p w14:paraId="02E1AD14"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Zhou Y, Li W, Wei Y. Discussion on the contribution of thousand golden prescriptions to the art of </w:t>
      </w:r>
      <w:proofErr w:type="spellStart"/>
      <w:r w:rsidRPr="00705EE9">
        <w:rPr>
          <w:rFonts w:ascii="Calibri" w:hAnsi="Calibri" w:cs="Calibri"/>
          <w:sz w:val="24"/>
          <w:szCs w:val="24"/>
        </w:rPr>
        <w:t>tuina</w:t>
      </w:r>
      <w:proofErr w:type="spellEnd"/>
      <w:r w:rsidRPr="00705EE9">
        <w:rPr>
          <w:rFonts w:ascii="Calibri" w:hAnsi="Calibri" w:cs="Calibri"/>
          <w:sz w:val="24"/>
          <w:szCs w:val="24"/>
        </w:rPr>
        <w:t xml:space="preserve">. Zhonghua Yi Shi Za Zhi. </w:t>
      </w:r>
      <w:proofErr w:type="gramStart"/>
      <w:r w:rsidRPr="00705EE9">
        <w:rPr>
          <w:rFonts w:ascii="Calibri" w:hAnsi="Calibri" w:cs="Calibri"/>
          <w:sz w:val="24"/>
          <w:szCs w:val="24"/>
        </w:rPr>
        <w:t>2000;30:26</w:t>
      </w:r>
      <w:proofErr w:type="gramEnd"/>
      <w:r w:rsidRPr="00705EE9">
        <w:rPr>
          <w:rFonts w:ascii="Calibri" w:hAnsi="Calibri" w:cs="Calibri"/>
          <w:sz w:val="24"/>
          <w:szCs w:val="24"/>
        </w:rPr>
        <w:t>–7.</w:t>
      </w:r>
    </w:p>
    <w:p w14:paraId="26B98C1E"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Queirós A, Mota-Silva I, Pinheiro I. Efficacy of orthokeratology in controlling axial elongation in myopic children and adolescents: a systematic review and meta-analysis of comparative interventions. J Clin Med. 2026;15(15):5776. doi:10.3390/jcm15155776.</w:t>
      </w:r>
    </w:p>
    <w:p w14:paraId="3741290D"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Chakraborty R, Ostrin LA, Benavente-Perez A, </w:t>
      </w:r>
      <w:proofErr w:type="spellStart"/>
      <w:r w:rsidRPr="00705EE9">
        <w:rPr>
          <w:rFonts w:ascii="Calibri" w:hAnsi="Calibri" w:cs="Calibri"/>
          <w:sz w:val="24"/>
          <w:szCs w:val="24"/>
        </w:rPr>
        <w:t>Verkicharla</w:t>
      </w:r>
      <w:proofErr w:type="spellEnd"/>
      <w:r w:rsidRPr="00705EE9">
        <w:rPr>
          <w:rFonts w:ascii="Calibri" w:hAnsi="Calibri" w:cs="Calibri"/>
          <w:sz w:val="24"/>
          <w:szCs w:val="24"/>
        </w:rPr>
        <w:t xml:space="preserve"> PK. Optical mechanisms regulating </w:t>
      </w:r>
      <w:proofErr w:type="spellStart"/>
      <w:r w:rsidRPr="00705EE9">
        <w:rPr>
          <w:rFonts w:ascii="Calibri" w:hAnsi="Calibri" w:cs="Calibri"/>
          <w:sz w:val="24"/>
          <w:szCs w:val="24"/>
        </w:rPr>
        <w:t>emmetropisation</w:t>
      </w:r>
      <w:proofErr w:type="spellEnd"/>
      <w:r w:rsidRPr="00705EE9">
        <w:rPr>
          <w:rFonts w:ascii="Calibri" w:hAnsi="Calibri" w:cs="Calibri"/>
          <w:sz w:val="24"/>
          <w:szCs w:val="24"/>
        </w:rPr>
        <w:t xml:space="preserve"> and refractive errors: evidence from animal models. Clin Exp </w:t>
      </w:r>
      <w:proofErr w:type="spellStart"/>
      <w:r w:rsidRPr="00705EE9">
        <w:rPr>
          <w:rFonts w:ascii="Calibri" w:hAnsi="Calibri" w:cs="Calibri"/>
          <w:sz w:val="24"/>
          <w:szCs w:val="24"/>
        </w:rPr>
        <w:t>Optom</w:t>
      </w:r>
      <w:proofErr w:type="spellEnd"/>
      <w:r w:rsidRPr="00705EE9">
        <w:rPr>
          <w:rFonts w:ascii="Calibri" w:hAnsi="Calibri" w:cs="Calibri"/>
          <w:sz w:val="24"/>
          <w:szCs w:val="24"/>
        </w:rPr>
        <w:t xml:space="preserve">. </w:t>
      </w:r>
      <w:proofErr w:type="gramStart"/>
      <w:r w:rsidRPr="00705EE9">
        <w:rPr>
          <w:rFonts w:ascii="Calibri" w:hAnsi="Calibri" w:cs="Calibri"/>
          <w:sz w:val="24"/>
          <w:szCs w:val="24"/>
        </w:rPr>
        <w:t>2020;103:55</w:t>
      </w:r>
      <w:proofErr w:type="gramEnd"/>
      <w:r w:rsidRPr="00705EE9">
        <w:rPr>
          <w:rFonts w:ascii="Calibri" w:hAnsi="Calibri" w:cs="Calibri"/>
          <w:sz w:val="24"/>
          <w:szCs w:val="24"/>
        </w:rPr>
        <w:t>–67.</w:t>
      </w:r>
    </w:p>
    <w:p w14:paraId="59D0B382" w14:textId="22F5DB49"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Woods J, Guthrie SE, Keir N, Dillehay S, Tyson M, Griffin R, </w:t>
      </w:r>
      <w:r w:rsidRPr="00705EE9">
        <w:rPr>
          <w:rFonts w:ascii="Calibri" w:hAnsi="Calibri" w:cs="Calibri"/>
          <w:i/>
          <w:iCs/>
          <w:sz w:val="24"/>
          <w:szCs w:val="24"/>
        </w:rPr>
        <w:t xml:space="preserve">et al. </w:t>
      </w:r>
      <w:r w:rsidRPr="00705EE9">
        <w:rPr>
          <w:rFonts w:ascii="Calibri" w:hAnsi="Calibri" w:cs="Calibri"/>
          <w:sz w:val="24"/>
          <w:szCs w:val="24"/>
        </w:rPr>
        <w:t xml:space="preserve">Inhibition of defocus-induced myopia in chickens. Invest </w:t>
      </w:r>
      <w:proofErr w:type="spellStart"/>
      <w:r w:rsidRPr="00705EE9">
        <w:rPr>
          <w:rFonts w:ascii="Calibri" w:hAnsi="Calibri" w:cs="Calibri"/>
          <w:sz w:val="24"/>
          <w:szCs w:val="24"/>
        </w:rPr>
        <w:t>Ophthalmol</w:t>
      </w:r>
      <w:proofErr w:type="spellEnd"/>
      <w:r w:rsidRPr="00705EE9">
        <w:rPr>
          <w:rFonts w:ascii="Calibri" w:hAnsi="Calibri" w:cs="Calibri"/>
          <w:sz w:val="24"/>
          <w:szCs w:val="24"/>
        </w:rPr>
        <w:t xml:space="preserve"> Vis Sci. </w:t>
      </w:r>
      <w:proofErr w:type="gramStart"/>
      <w:r w:rsidRPr="00705EE9">
        <w:rPr>
          <w:rFonts w:ascii="Calibri" w:hAnsi="Calibri" w:cs="Calibri"/>
          <w:sz w:val="24"/>
          <w:szCs w:val="24"/>
        </w:rPr>
        <w:t>2013;54:2662</w:t>
      </w:r>
      <w:proofErr w:type="gramEnd"/>
      <w:r w:rsidRPr="00705EE9">
        <w:rPr>
          <w:rFonts w:ascii="Calibri" w:hAnsi="Calibri" w:cs="Calibri"/>
          <w:sz w:val="24"/>
          <w:szCs w:val="24"/>
        </w:rPr>
        <w:t>–8.</w:t>
      </w:r>
    </w:p>
    <w:p w14:paraId="36836F9F"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Irving EL, Yakobchuk-Stanger C. Myopia progression control lens reverses induced myopia in chicks. Ophthalmic </w:t>
      </w:r>
      <w:proofErr w:type="spellStart"/>
      <w:r w:rsidRPr="00705EE9">
        <w:rPr>
          <w:rFonts w:ascii="Calibri" w:hAnsi="Calibri" w:cs="Calibri"/>
          <w:sz w:val="24"/>
          <w:szCs w:val="24"/>
        </w:rPr>
        <w:t>Physiol</w:t>
      </w:r>
      <w:proofErr w:type="spellEnd"/>
      <w:r w:rsidRPr="00705EE9">
        <w:rPr>
          <w:rFonts w:ascii="Calibri" w:hAnsi="Calibri" w:cs="Calibri"/>
          <w:sz w:val="24"/>
          <w:szCs w:val="24"/>
        </w:rPr>
        <w:t xml:space="preserve"> Opt. </w:t>
      </w:r>
      <w:proofErr w:type="gramStart"/>
      <w:r w:rsidRPr="00705EE9">
        <w:rPr>
          <w:rFonts w:ascii="Calibri" w:hAnsi="Calibri" w:cs="Calibri"/>
          <w:sz w:val="24"/>
          <w:szCs w:val="24"/>
        </w:rPr>
        <w:t>2017;37:576</w:t>
      </w:r>
      <w:proofErr w:type="gramEnd"/>
      <w:r w:rsidRPr="00705EE9">
        <w:rPr>
          <w:rFonts w:ascii="Calibri" w:hAnsi="Calibri" w:cs="Calibri"/>
          <w:sz w:val="24"/>
          <w:szCs w:val="24"/>
        </w:rPr>
        <w:t>–84.</w:t>
      </w:r>
    </w:p>
    <w:p w14:paraId="6B5E0817" w14:textId="53A424EA"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Bao J, Yang A, Huang Y, Li X, Pan Y, Ding C, </w:t>
      </w:r>
      <w:r w:rsidRPr="00705EE9">
        <w:rPr>
          <w:rFonts w:ascii="Calibri" w:hAnsi="Calibri" w:cs="Calibri"/>
          <w:i/>
          <w:iCs/>
          <w:sz w:val="24"/>
          <w:szCs w:val="24"/>
        </w:rPr>
        <w:t xml:space="preserve">et al. </w:t>
      </w:r>
      <w:r w:rsidRPr="00705EE9">
        <w:rPr>
          <w:rFonts w:ascii="Calibri" w:hAnsi="Calibri" w:cs="Calibri"/>
          <w:sz w:val="24"/>
          <w:szCs w:val="24"/>
        </w:rPr>
        <w:t xml:space="preserve">One-year myopia control efficacy of spectacle lenses with aspherical </w:t>
      </w:r>
      <w:proofErr w:type="spellStart"/>
      <w:r w:rsidRPr="00705EE9">
        <w:rPr>
          <w:rFonts w:ascii="Calibri" w:hAnsi="Calibri" w:cs="Calibri"/>
          <w:sz w:val="24"/>
          <w:szCs w:val="24"/>
        </w:rPr>
        <w:t>lenslets</w:t>
      </w:r>
      <w:proofErr w:type="spellEnd"/>
      <w:r w:rsidRPr="00705EE9">
        <w:rPr>
          <w:rFonts w:ascii="Calibri" w:hAnsi="Calibri" w:cs="Calibri"/>
          <w:sz w:val="24"/>
          <w:szCs w:val="24"/>
        </w:rPr>
        <w:t xml:space="preserve">. Br J Ophthalmol. </w:t>
      </w:r>
      <w:proofErr w:type="gramStart"/>
      <w:r w:rsidRPr="00705EE9">
        <w:rPr>
          <w:rFonts w:ascii="Calibri" w:hAnsi="Calibri" w:cs="Calibri"/>
          <w:sz w:val="24"/>
          <w:szCs w:val="24"/>
        </w:rPr>
        <w:t>2022;106:1171</w:t>
      </w:r>
      <w:proofErr w:type="gramEnd"/>
      <w:r w:rsidRPr="00705EE9">
        <w:rPr>
          <w:rFonts w:ascii="Calibri" w:hAnsi="Calibri" w:cs="Calibri"/>
          <w:sz w:val="24"/>
          <w:szCs w:val="24"/>
        </w:rPr>
        <w:t>–6.</w:t>
      </w:r>
    </w:p>
    <w:p w14:paraId="116958B0" w14:textId="506669C0"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proofErr w:type="spellStart"/>
      <w:r w:rsidRPr="00705EE9">
        <w:rPr>
          <w:rFonts w:ascii="Calibri" w:hAnsi="Calibri" w:cs="Calibri"/>
          <w:sz w:val="24"/>
          <w:szCs w:val="24"/>
        </w:rPr>
        <w:t>Sankaridurg</w:t>
      </w:r>
      <w:proofErr w:type="spellEnd"/>
      <w:r w:rsidRPr="00705EE9">
        <w:rPr>
          <w:rFonts w:ascii="Calibri" w:hAnsi="Calibri" w:cs="Calibri"/>
          <w:sz w:val="24"/>
          <w:szCs w:val="24"/>
        </w:rPr>
        <w:t xml:space="preserve"> P, Holden B, Smith EL 3rd, Naduvilath T, Chen X, de la Jara PL, </w:t>
      </w:r>
      <w:r w:rsidRPr="00705EE9">
        <w:rPr>
          <w:rFonts w:ascii="Calibri" w:hAnsi="Calibri" w:cs="Calibri"/>
          <w:i/>
          <w:iCs/>
          <w:sz w:val="24"/>
          <w:szCs w:val="24"/>
        </w:rPr>
        <w:t xml:space="preserve">et al. </w:t>
      </w:r>
      <w:r w:rsidRPr="00705EE9">
        <w:rPr>
          <w:rFonts w:ascii="Calibri" w:hAnsi="Calibri" w:cs="Calibri"/>
          <w:sz w:val="24"/>
          <w:szCs w:val="24"/>
        </w:rPr>
        <w:t xml:space="preserve">Decrease in rate of myopia progression with a contact lens designed to reduce relative peripheral hyperopia: one-year results. Invest </w:t>
      </w:r>
      <w:proofErr w:type="spellStart"/>
      <w:r w:rsidRPr="00705EE9">
        <w:rPr>
          <w:rFonts w:ascii="Calibri" w:hAnsi="Calibri" w:cs="Calibri"/>
          <w:sz w:val="24"/>
          <w:szCs w:val="24"/>
        </w:rPr>
        <w:t>Ophthalmol</w:t>
      </w:r>
      <w:proofErr w:type="spellEnd"/>
      <w:r w:rsidRPr="00705EE9">
        <w:rPr>
          <w:rFonts w:ascii="Calibri" w:hAnsi="Calibri" w:cs="Calibri"/>
          <w:sz w:val="24"/>
          <w:szCs w:val="24"/>
        </w:rPr>
        <w:t xml:space="preserve"> Vis Sci. </w:t>
      </w:r>
      <w:proofErr w:type="gramStart"/>
      <w:r w:rsidRPr="00705EE9">
        <w:rPr>
          <w:rFonts w:ascii="Calibri" w:hAnsi="Calibri" w:cs="Calibri"/>
          <w:sz w:val="24"/>
          <w:szCs w:val="24"/>
        </w:rPr>
        <w:t>2011;52:9362</w:t>
      </w:r>
      <w:proofErr w:type="gramEnd"/>
      <w:r w:rsidRPr="00705EE9">
        <w:rPr>
          <w:rFonts w:ascii="Calibri" w:hAnsi="Calibri" w:cs="Calibri"/>
          <w:sz w:val="24"/>
          <w:szCs w:val="24"/>
        </w:rPr>
        <w:t>–7.</w:t>
      </w:r>
    </w:p>
    <w:p w14:paraId="117C1502" w14:textId="3C282B3D"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Shang X, Chen L, Litscher G, Sun Y, Pan C, Liu CZ, </w:t>
      </w:r>
      <w:r w:rsidRPr="00705EE9">
        <w:rPr>
          <w:rFonts w:ascii="Calibri" w:hAnsi="Calibri" w:cs="Calibri"/>
          <w:i/>
          <w:iCs/>
          <w:sz w:val="24"/>
          <w:szCs w:val="24"/>
        </w:rPr>
        <w:t xml:space="preserve">et al. </w:t>
      </w:r>
      <w:r w:rsidRPr="00705EE9">
        <w:rPr>
          <w:rFonts w:ascii="Calibri" w:hAnsi="Calibri" w:cs="Calibri"/>
          <w:sz w:val="24"/>
          <w:szCs w:val="24"/>
        </w:rPr>
        <w:t xml:space="preserve">Acupuncture and lifestyle myopia in primary school children-results from a transcontinental pilot study performed in comparison to moxibustion. Medicines (Basel). </w:t>
      </w:r>
      <w:proofErr w:type="gramStart"/>
      <w:r w:rsidRPr="00705EE9">
        <w:rPr>
          <w:rFonts w:ascii="Calibri" w:hAnsi="Calibri" w:cs="Calibri"/>
          <w:sz w:val="24"/>
          <w:szCs w:val="24"/>
        </w:rPr>
        <w:t>2018;5:95</w:t>
      </w:r>
      <w:proofErr w:type="gramEnd"/>
      <w:r w:rsidRPr="00705EE9">
        <w:rPr>
          <w:rFonts w:ascii="Calibri" w:hAnsi="Calibri" w:cs="Calibri"/>
          <w:sz w:val="24"/>
          <w:szCs w:val="24"/>
        </w:rPr>
        <w:t>. doi:10.3390/medicines5030095.</w:t>
      </w:r>
    </w:p>
    <w:p w14:paraId="603EA2A0" w14:textId="2FE12556"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Wang Y, Gao YX, Sun Q, Bu Q, Shi J, Zhang YN, </w:t>
      </w:r>
      <w:r w:rsidRPr="00705EE9">
        <w:rPr>
          <w:rFonts w:ascii="Calibri" w:hAnsi="Calibri" w:cs="Calibri"/>
          <w:i/>
          <w:iCs/>
          <w:sz w:val="24"/>
          <w:szCs w:val="24"/>
        </w:rPr>
        <w:t xml:space="preserve">et al. </w:t>
      </w:r>
      <w:r w:rsidRPr="00705EE9">
        <w:rPr>
          <w:rFonts w:ascii="Calibri" w:hAnsi="Calibri" w:cs="Calibri"/>
          <w:sz w:val="24"/>
          <w:szCs w:val="24"/>
        </w:rPr>
        <w:t xml:space="preserve">Acupuncture for adolescents with mild-to-moderate myopia: study protocol for a randomized controlled trial. Trials. </w:t>
      </w:r>
      <w:proofErr w:type="gramStart"/>
      <w:r w:rsidRPr="00705EE9">
        <w:rPr>
          <w:rFonts w:ascii="Calibri" w:hAnsi="Calibri" w:cs="Calibri"/>
          <w:sz w:val="24"/>
          <w:szCs w:val="24"/>
        </w:rPr>
        <w:t>2014;15:477</w:t>
      </w:r>
      <w:proofErr w:type="gramEnd"/>
      <w:r w:rsidRPr="00705EE9">
        <w:rPr>
          <w:rFonts w:ascii="Calibri" w:hAnsi="Calibri" w:cs="Calibri"/>
          <w:sz w:val="24"/>
          <w:szCs w:val="24"/>
        </w:rPr>
        <w:t>. doi:10.1186/1745-6215-15-477.</w:t>
      </w:r>
    </w:p>
    <w:p w14:paraId="5DF1B71B"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Li Y, Zhang O, Liang W, Li C. Effect of auricular pressing treatment on myopia in children. J </w:t>
      </w:r>
      <w:proofErr w:type="spellStart"/>
      <w:r w:rsidRPr="00705EE9">
        <w:rPr>
          <w:rFonts w:ascii="Calibri" w:hAnsi="Calibri" w:cs="Calibri"/>
          <w:sz w:val="24"/>
          <w:szCs w:val="24"/>
        </w:rPr>
        <w:t>Tradit</w:t>
      </w:r>
      <w:proofErr w:type="spellEnd"/>
      <w:r w:rsidRPr="00705EE9">
        <w:rPr>
          <w:rFonts w:ascii="Calibri" w:hAnsi="Calibri" w:cs="Calibri"/>
          <w:sz w:val="24"/>
          <w:szCs w:val="24"/>
        </w:rPr>
        <w:t xml:space="preserve"> Chin Med. </w:t>
      </w:r>
      <w:proofErr w:type="gramStart"/>
      <w:r w:rsidRPr="00705EE9">
        <w:rPr>
          <w:rFonts w:ascii="Calibri" w:hAnsi="Calibri" w:cs="Calibri"/>
          <w:sz w:val="24"/>
          <w:szCs w:val="24"/>
        </w:rPr>
        <w:t>2015;35:281</w:t>
      </w:r>
      <w:proofErr w:type="gramEnd"/>
      <w:r w:rsidRPr="00705EE9">
        <w:rPr>
          <w:rFonts w:ascii="Calibri" w:hAnsi="Calibri" w:cs="Calibri"/>
          <w:sz w:val="24"/>
          <w:szCs w:val="24"/>
        </w:rPr>
        <w:t>–4.</w:t>
      </w:r>
    </w:p>
    <w:p w14:paraId="1D0A5EA1"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Wei ML, Liu JP, Li N, Liu M. Acupuncture for slowing the progression of myopia in children and adolescents. Cochrane Database Syst Rev. </w:t>
      </w:r>
      <w:proofErr w:type="gramStart"/>
      <w:r w:rsidRPr="00705EE9">
        <w:rPr>
          <w:rFonts w:ascii="Calibri" w:hAnsi="Calibri" w:cs="Calibri"/>
          <w:sz w:val="24"/>
          <w:szCs w:val="24"/>
        </w:rPr>
        <w:t>2011;CD</w:t>
      </w:r>
      <w:proofErr w:type="gramEnd"/>
      <w:r w:rsidRPr="00705EE9">
        <w:rPr>
          <w:rFonts w:ascii="Calibri" w:hAnsi="Calibri" w:cs="Calibri"/>
          <w:sz w:val="24"/>
          <w:szCs w:val="24"/>
        </w:rPr>
        <w:t xml:space="preserve">007842. </w:t>
      </w:r>
      <w:proofErr w:type="gramStart"/>
      <w:r w:rsidRPr="00705EE9">
        <w:rPr>
          <w:rFonts w:ascii="Calibri" w:hAnsi="Calibri" w:cs="Calibri"/>
          <w:sz w:val="24"/>
          <w:szCs w:val="24"/>
        </w:rPr>
        <w:t>doi:10.1002/14651858.CD007842.pub2</w:t>
      </w:r>
      <w:proofErr w:type="gramEnd"/>
      <w:r w:rsidRPr="00705EE9">
        <w:rPr>
          <w:rFonts w:ascii="Calibri" w:hAnsi="Calibri" w:cs="Calibri"/>
          <w:sz w:val="24"/>
          <w:szCs w:val="24"/>
        </w:rPr>
        <w:t>.</w:t>
      </w:r>
    </w:p>
    <w:p w14:paraId="31DCF578" w14:textId="77777777"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194C28">
        <w:rPr>
          <w:rFonts w:ascii="Calibri" w:hAnsi="Calibri" w:cs="Calibri"/>
          <w:sz w:val="24"/>
          <w:szCs w:val="24"/>
          <w:lang w:val="de-DE"/>
        </w:rPr>
        <w:t xml:space="preserve">Ma JX, Lu JM, Ma HX. </w:t>
      </w:r>
      <w:r w:rsidRPr="00705EE9">
        <w:rPr>
          <w:rFonts w:ascii="Calibri" w:hAnsi="Calibri" w:cs="Calibri"/>
          <w:sz w:val="24"/>
          <w:szCs w:val="24"/>
        </w:rPr>
        <w:t>Clinical efficacy and safety evaluation of Chinese herbal fumigation combined with meibomian gland massage in patients with meibomian gland dysfunction-related dry eye. Sichuan Journal of Traditional Chinese Medicine. 2022;(2):40. [in Chinese].</w:t>
      </w:r>
    </w:p>
    <w:p w14:paraId="04C1D22A" w14:textId="2C55DDEE" w:rsidR="00705EE9" w:rsidRPr="00705EE9"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lastRenderedPageBreak/>
        <w:t xml:space="preserve">Liu Q, Nan Y, Yang Y, Li X, Jiang W, Jiao T, </w:t>
      </w:r>
      <w:r w:rsidRPr="00705EE9">
        <w:rPr>
          <w:rFonts w:ascii="Calibri" w:hAnsi="Calibri" w:cs="Calibri"/>
          <w:i/>
          <w:iCs/>
          <w:sz w:val="24"/>
          <w:szCs w:val="24"/>
        </w:rPr>
        <w:t xml:space="preserve">et al. </w:t>
      </w:r>
      <w:r w:rsidRPr="00705EE9">
        <w:rPr>
          <w:rFonts w:ascii="Calibri" w:hAnsi="Calibri" w:cs="Calibri"/>
          <w:sz w:val="24"/>
          <w:szCs w:val="24"/>
        </w:rPr>
        <w:t xml:space="preserve">Exploring the role of </w:t>
      </w:r>
      <w:proofErr w:type="spellStart"/>
      <w:r w:rsidRPr="00705EE9">
        <w:rPr>
          <w:rFonts w:ascii="Calibri" w:hAnsi="Calibri" w:cs="Calibri"/>
          <w:sz w:val="24"/>
          <w:szCs w:val="24"/>
        </w:rPr>
        <w:t>Lycium</w:t>
      </w:r>
      <w:proofErr w:type="spellEnd"/>
      <w:r w:rsidRPr="00705EE9">
        <w:rPr>
          <w:rFonts w:ascii="Calibri" w:hAnsi="Calibri" w:cs="Calibri"/>
          <w:sz w:val="24"/>
          <w:szCs w:val="24"/>
        </w:rPr>
        <w:t xml:space="preserve"> </w:t>
      </w:r>
      <w:proofErr w:type="spellStart"/>
      <w:r w:rsidRPr="00705EE9">
        <w:rPr>
          <w:rFonts w:ascii="Calibri" w:hAnsi="Calibri" w:cs="Calibri"/>
          <w:sz w:val="24"/>
          <w:szCs w:val="24"/>
        </w:rPr>
        <w:t>barbarum</w:t>
      </w:r>
      <w:proofErr w:type="spellEnd"/>
      <w:r w:rsidRPr="00705EE9">
        <w:rPr>
          <w:rFonts w:ascii="Calibri" w:hAnsi="Calibri" w:cs="Calibri"/>
          <w:sz w:val="24"/>
          <w:szCs w:val="24"/>
        </w:rPr>
        <w:t xml:space="preserve"> polysaccharide in corneal injury repair and investigating the relevant mechanisms through </w:t>
      </w:r>
      <w:r w:rsidRPr="006563CF">
        <w:rPr>
          <w:rFonts w:ascii="Calibri" w:hAnsi="Calibri" w:cs="Calibri"/>
          <w:i/>
          <w:iCs/>
          <w:sz w:val="24"/>
          <w:szCs w:val="24"/>
        </w:rPr>
        <w:t>in vivo</w:t>
      </w:r>
      <w:r w:rsidRPr="00705EE9">
        <w:rPr>
          <w:rFonts w:ascii="Calibri" w:hAnsi="Calibri" w:cs="Calibri"/>
          <w:sz w:val="24"/>
          <w:szCs w:val="24"/>
        </w:rPr>
        <w:t xml:space="preserve"> and </w:t>
      </w:r>
      <w:r w:rsidRPr="006563CF">
        <w:rPr>
          <w:rFonts w:ascii="Calibri" w:hAnsi="Calibri" w:cs="Calibri"/>
          <w:i/>
          <w:iCs/>
          <w:sz w:val="24"/>
          <w:szCs w:val="24"/>
        </w:rPr>
        <w:t>in vitro</w:t>
      </w:r>
      <w:r w:rsidRPr="00705EE9">
        <w:rPr>
          <w:rFonts w:ascii="Calibri" w:hAnsi="Calibri" w:cs="Calibri"/>
          <w:sz w:val="24"/>
          <w:szCs w:val="24"/>
        </w:rPr>
        <w:t xml:space="preserve"> experiments. Molecules. </w:t>
      </w:r>
      <w:proofErr w:type="gramStart"/>
      <w:r w:rsidRPr="00705EE9">
        <w:rPr>
          <w:rFonts w:ascii="Calibri" w:hAnsi="Calibri" w:cs="Calibri"/>
          <w:sz w:val="24"/>
          <w:szCs w:val="24"/>
        </w:rPr>
        <w:t>2024;29:49</w:t>
      </w:r>
      <w:proofErr w:type="gramEnd"/>
      <w:r w:rsidRPr="00705EE9">
        <w:rPr>
          <w:rFonts w:ascii="Calibri" w:hAnsi="Calibri" w:cs="Calibri"/>
          <w:sz w:val="24"/>
          <w:szCs w:val="24"/>
        </w:rPr>
        <w:t>. doi:10.3390/molecules29010049.</w:t>
      </w:r>
    </w:p>
    <w:p w14:paraId="1AA8595F" w14:textId="42577D83" w:rsidR="00705EE9" w:rsidRPr="000262EB" w:rsidRDefault="00705EE9" w:rsidP="00705EE9">
      <w:pPr>
        <w:pStyle w:val="ListParagraph"/>
        <w:numPr>
          <w:ilvl w:val="0"/>
          <w:numId w:val="34"/>
        </w:numPr>
        <w:spacing w:after="0"/>
        <w:ind w:left="0" w:firstLine="0"/>
        <w:jc w:val="both"/>
        <w:rPr>
          <w:rFonts w:ascii="Calibri" w:hAnsi="Calibri" w:cs="Calibri"/>
          <w:sz w:val="24"/>
          <w:szCs w:val="24"/>
        </w:rPr>
      </w:pPr>
      <w:r w:rsidRPr="00705EE9">
        <w:rPr>
          <w:rFonts w:ascii="Calibri" w:hAnsi="Calibri" w:cs="Calibri"/>
          <w:sz w:val="24"/>
          <w:szCs w:val="24"/>
        </w:rPr>
        <w:t xml:space="preserve">Tang Y, Wei X, Huang Y, Huang J, Jin W, Lu Y, </w:t>
      </w:r>
      <w:r w:rsidRPr="00705EE9">
        <w:rPr>
          <w:rFonts w:ascii="Calibri" w:hAnsi="Calibri" w:cs="Calibri"/>
          <w:i/>
          <w:iCs/>
          <w:sz w:val="24"/>
          <w:szCs w:val="24"/>
        </w:rPr>
        <w:t xml:space="preserve">et al. </w:t>
      </w:r>
      <w:r w:rsidRPr="00705EE9">
        <w:rPr>
          <w:rFonts w:ascii="Calibri" w:hAnsi="Calibri" w:cs="Calibri"/>
          <w:sz w:val="24"/>
          <w:szCs w:val="24"/>
        </w:rPr>
        <w:t xml:space="preserve">Intervention effect of traditional Chinese medicine hot pressing combined with health education on adolescent visual fatigue. J </w:t>
      </w:r>
      <w:proofErr w:type="spellStart"/>
      <w:r w:rsidRPr="000262EB">
        <w:rPr>
          <w:rFonts w:ascii="Calibri" w:hAnsi="Calibri" w:cs="Calibri"/>
          <w:sz w:val="24"/>
          <w:szCs w:val="24"/>
        </w:rPr>
        <w:t>Healthc</w:t>
      </w:r>
      <w:proofErr w:type="spellEnd"/>
      <w:r w:rsidRPr="000262EB">
        <w:rPr>
          <w:rFonts w:ascii="Calibri" w:hAnsi="Calibri" w:cs="Calibri"/>
          <w:sz w:val="24"/>
          <w:szCs w:val="24"/>
        </w:rPr>
        <w:t xml:space="preserve"> Eng. </w:t>
      </w:r>
      <w:proofErr w:type="gramStart"/>
      <w:r w:rsidRPr="000262EB">
        <w:rPr>
          <w:rFonts w:ascii="Calibri" w:hAnsi="Calibri" w:cs="Calibri"/>
          <w:sz w:val="24"/>
          <w:szCs w:val="24"/>
        </w:rPr>
        <w:t>2022;2022:2450197</w:t>
      </w:r>
      <w:proofErr w:type="gramEnd"/>
      <w:r w:rsidRPr="000262EB">
        <w:rPr>
          <w:rFonts w:ascii="Calibri" w:hAnsi="Calibri" w:cs="Calibri"/>
          <w:sz w:val="24"/>
          <w:szCs w:val="24"/>
        </w:rPr>
        <w:t>. doi:10.1155/2022/2450197.</w:t>
      </w:r>
    </w:p>
    <w:p w14:paraId="081A2304" w14:textId="229B7A15" w:rsidR="00705EE9" w:rsidRPr="000262EB" w:rsidRDefault="00705EE9" w:rsidP="00705EE9">
      <w:pPr>
        <w:pStyle w:val="ListParagraph"/>
        <w:numPr>
          <w:ilvl w:val="0"/>
          <w:numId w:val="34"/>
        </w:numPr>
        <w:spacing w:after="0"/>
        <w:ind w:left="0" w:firstLine="0"/>
        <w:jc w:val="both"/>
        <w:rPr>
          <w:rFonts w:ascii="Calibri" w:hAnsi="Calibri" w:cs="Calibri"/>
          <w:sz w:val="28"/>
          <w:szCs w:val="28"/>
        </w:rPr>
      </w:pPr>
      <w:r w:rsidRPr="000262EB">
        <w:rPr>
          <w:rFonts w:ascii="Calibri" w:hAnsi="Calibri" w:cs="Calibri"/>
          <w:sz w:val="24"/>
          <w:szCs w:val="24"/>
        </w:rPr>
        <w:t xml:space="preserve">Chen SL, Hsueh KC, Tang PL. Association between dry eye and traditional Chinese medicine body constitutions: a Taiwanese </w:t>
      </w:r>
      <w:proofErr w:type="gramStart"/>
      <w:r w:rsidRPr="000262EB">
        <w:rPr>
          <w:rFonts w:ascii="Calibri" w:hAnsi="Calibri" w:cs="Calibri"/>
          <w:sz w:val="24"/>
          <w:szCs w:val="24"/>
        </w:rPr>
        <w:t>adults</w:t>
      </w:r>
      <w:proofErr w:type="gramEnd"/>
      <w:r w:rsidRPr="000262EB">
        <w:rPr>
          <w:rFonts w:ascii="Calibri" w:hAnsi="Calibri" w:cs="Calibri"/>
          <w:sz w:val="24"/>
          <w:szCs w:val="24"/>
        </w:rPr>
        <w:t xml:space="preserve"> study. Medicine (Baltimore). 2021;100</w:t>
      </w:r>
      <w:r w:rsidR="006A1D49">
        <w:rPr>
          <w:rFonts w:ascii="Calibri" w:hAnsi="Calibri" w:cs="Calibri"/>
          <w:sz w:val="24"/>
          <w:szCs w:val="24"/>
        </w:rPr>
        <w:t xml:space="preserve">: </w:t>
      </w:r>
      <w:r w:rsidR="006A1D49" w:rsidRPr="006A1D49">
        <w:rPr>
          <w:rFonts w:ascii="Calibri" w:hAnsi="Calibri" w:cs="Calibri"/>
          <w:sz w:val="24"/>
          <w:szCs w:val="24"/>
        </w:rPr>
        <w:t>e24265.</w:t>
      </w:r>
      <w:r w:rsidRPr="000262EB">
        <w:rPr>
          <w:rFonts w:ascii="Calibri" w:hAnsi="Calibri" w:cs="Calibri"/>
          <w:sz w:val="24"/>
          <w:szCs w:val="24"/>
        </w:rPr>
        <w:t xml:space="preserve"> doi:10.1097/MD.0000000000024265.</w:t>
      </w:r>
    </w:p>
    <w:sectPr w:rsidR="00705EE9" w:rsidRPr="000262EB" w:rsidSect="006D137E">
      <w:headerReference w:type="even" r:id="rId7"/>
      <w:headerReference w:type="default" r:id="rId8"/>
      <w:footerReference w:type="even" r:id="rId9"/>
      <w:headerReference w:type="first" r:id="rId10"/>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C5F4C" w14:textId="77777777" w:rsidR="003A0325" w:rsidRDefault="003A0325">
      <w:r>
        <w:separator/>
      </w:r>
    </w:p>
  </w:endnote>
  <w:endnote w:type="continuationSeparator" w:id="0">
    <w:p w14:paraId="6DF1AC2B" w14:textId="77777777" w:rsidR="003A0325" w:rsidRDefault="003A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906A"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2B620" w14:textId="77777777" w:rsidR="003A0325" w:rsidRDefault="003A0325">
      <w:r>
        <w:separator/>
      </w:r>
    </w:p>
  </w:footnote>
  <w:footnote w:type="continuationSeparator" w:id="0">
    <w:p w14:paraId="3291AAA2" w14:textId="77777777" w:rsidR="003A0325" w:rsidRDefault="003A0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DF6A"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D26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320B" w14:textId="7EE6786B"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515E7D"/>
    <w:multiLevelType w:val="hybridMultilevel"/>
    <w:tmpl w:val="65364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623657">
    <w:abstractNumId w:val="13"/>
  </w:num>
  <w:num w:numId="2" w16cid:durableId="821117000">
    <w:abstractNumId w:val="22"/>
  </w:num>
  <w:num w:numId="3" w16cid:durableId="1835099423">
    <w:abstractNumId w:val="31"/>
  </w:num>
  <w:num w:numId="4" w16cid:durableId="1983389177">
    <w:abstractNumId w:val="7"/>
  </w:num>
  <w:num w:numId="5" w16cid:durableId="1870416528">
    <w:abstractNumId w:val="25"/>
  </w:num>
  <w:num w:numId="6" w16cid:durableId="1542283809">
    <w:abstractNumId w:val="29"/>
  </w:num>
  <w:num w:numId="7" w16cid:durableId="484904073">
    <w:abstractNumId w:val="15"/>
  </w:num>
  <w:num w:numId="8" w16cid:durableId="352151785">
    <w:abstractNumId w:val="20"/>
  </w:num>
  <w:num w:numId="9" w16cid:durableId="706683507">
    <w:abstractNumId w:val="9"/>
  </w:num>
  <w:num w:numId="10" w16cid:durableId="597561323">
    <w:abstractNumId w:val="17"/>
  </w:num>
  <w:num w:numId="11" w16cid:durableId="1540825441">
    <w:abstractNumId w:val="24"/>
  </w:num>
  <w:num w:numId="12" w16cid:durableId="902370474">
    <w:abstractNumId w:val="11"/>
  </w:num>
  <w:num w:numId="13" w16cid:durableId="1100880632">
    <w:abstractNumId w:val="33"/>
  </w:num>
  <w:num w:numId="14" w16cid:durableId="1940094301">
    <w:abstractNumId w:val="32"/>
  </w:num>
  <w:num w:numId="15" w16cid:durableId="527792292">
    <w:abstractNumId w:val="12"/>
  </w:num>
  <w:num w:numId="16" w16cid:durableId="1337072313">
    <w:abstractNumId w:val="6"/>
  </w:num>
  <w:num w:numId="17" w16cid:durableId="2089618828">
    <w:abstractNumId w:val="5"/>
  </w:num>
  <w:num w:numId="18" w16cid:durableId="1883320143">
    <w:abstractNumId w:val="21"/>
  </w:num>
  <w:num w:numId="19" w16cid:durableId="644625507">
    <w:abstractNumId w:val="10"/>
  </w:num>
  <w:num w:numId="20" w16cid:durableId="152722622">
    <w:abstractNumId w:val="26"/>
  </w:num>
  <w:num w:numId="21" w16cid:durableId="213011777">
    <w:abstractNumId w:val="1"/>
  </w:num>
  <w:num w:numId="22" w16cid:durableId="714501291">
    <w:abstractNumId w:val="2"/>
  </w:num>
  <w:num w:numId="23" w16cid:durableId="1441484312">
    <w:abstractNumId w:val="3"/>
  </w:num>
  <w:num w:numId="24" w16cid:durableId="464347050">
    <w:abstractNumId w:val="8"/>
  </w:num>
  <w:num w:numId="25" w16cid:durableId="520631190">
    <w:abstractNumId w:val="23"/>
  </w:num>
  <w:num w:numId="26" w16cid:durableId="786704312">
    <w:abstractNumId w:val="30"/>
  </w:num>
  <w:num w:numId="27" w16cid:durableId="341978394">
    <w:abstractNumId w:val="28"/>
  </w:num>
  <w:num w:numId="28" w16cid:durableId="775559149">
    <w:abstractNumId w:val="4"/>
  </w:num>
  <w:num w:numId="29" w16cid:durableId="1259212383">
    <w:abstractNumId w:val="14"/>
  </w:num>
  <w:num w:numId="30" w16cid:durableId="1500995703">
    <w:abstractNumId w:val="27"/>
  </w:num>
  <w:num w:numId="31" w16cid:durableId="454956016">
    <w:abstractNumId w:val="18"/>
  </w:num>
  <w:num w:numId="32" w16cid:durableId="1222711430">
    <w:abstractNumId w:val="19"/>
  </w:num>
  <w:num w:numId="33" w16cid:durableId="1597709319">
    <w:abstractNumId w:val="0"/>
  </w:num>
  <w:num w:numId="34" w16cid:durableId="1283271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262EB"/>
    <w:rsid w:val="000271C1"/>
    <w:rsid w:val="00034DD1"/>
    <w:rsid w:val="0004355D"/>
    <w:rsid w:val="00057B67"/>
    <w:rsid w:val="00061E0E"/>
    <w:rsid w:val="0007506F"/>
    <w:rsid w:val="00076815"/>
    <w:rsid w:val="00081F44"/>
    <w:rsid w:val="00082A5F"/>
    <w:rsid w:val="00091E41"/>
    <w:rsid w:val="000977F2"/>
    <w:rsid w:val="000B41B6"/>
    <w:rsid w:val="000D1F11"/>
    <w:rsid w:val="000E155E"/>
    <w:rsid w:val="000E2ABF"/>
    <w:rsid w:val="000E3F21"/>
    <w:rsid w:val="000E4C51"/>
    <w:rsid w:val="00116A38"/>
    <w:rsid w:val="00125A5E"/>
    <w:rsid w:val="00130F34"/>
    <w:rsid w:val="00147CBA"/>
    <w:rsid w:val="0015327B"/>
    <w:rsid w:val="001624E4"/>
    <w:rsid w:val="00165719"/>
    <w:rsid w:val="00167AED"/>
    <w:rsid w:val="001754C4"/>
    <w:rsid w:val="00181A81"/>
    <w:rsid w:val="00194C04"/>
    <w:rsid w:val="00194C28"/>
    <w:rsid w:val="00194CE8"/>
    <w:rsid w:val="001959A2"/>
    <w:rsid w:val="001A1CA1"/>
    <w:rsid w:val="001A77A3"/>
    <w:rsid w:val="001F3109"/>
    <w:rsid w:val="00200F9E"/>
    <w:rsid w:val="00210DD6"/>
    <w:rsid w:val="00214319"/>
    <w:rsid w:val="00227FB4"/>
    <w:rsid w:val="0023296D"/>
    <w:rsid w:val="00232DDC"/>
    <w:rsid w:val="00236096"/>
    <w:rsid w:val="002469CC"/>
    <w:rsid w:val="00252077"/>
    <w:rsid w:val="00273EDD"/>
    <w:rsid w:val="002755B4"/>
    <w:rsid w:val="002C763B"/>
    <w:rsid w:val="002C7F21"/>
    <w:rsid w:val="0031658E"/>
    <w:rsid w:val="00351087"/>
    <w:rsid w:val="003548DA"/>
    <w:rsid w:val="003640BC"/>
    <w:rsid w:val="00387CDA"/>
    <w:rsid w:val="003A0325"/>
    <w:rsid w:val="003A5297"/>
    <w:rsid w:val="003D67E2"/>
    <w:rsid w:val="003E3EBC"/>
    <w:rsid w:val="003E6F62"/>
    <w:rsid w:val="0040579A"/>
    <w:rsid w:val="00414ADE"/>
    <w:rsid w:val="00414BED"/>
    <w:rsid w:val="004361C8"/>
    <w:rsid w:val="00436F4D"/>
    <w:rsid w:val="004620C9"/>
    <w:rsid w:val="004939EE"/>
    <w:rsid w:val="004969D3"/>
    <w:rsid w:val="004C0985"/>
    <w:rsid w:val="004D362E"/>
    <w:rsid w:val="004F6AD9"/>
    <w:rsid w:val="00503B36"/>
    <w:rsid w:val="00513CCF"/>
    <w:rsid w:val="00516914"/>
    <w:rsid w:val="00551D82"/>
    <w:rsid w:val="005734D7"/>
    <w:rsid w:val="00575E55"/>
    <w:rsid w:val="00585BF5"/>
    <w:rsid w:val="00587B8E"/>
    <w:rsid w:val="005A6089"/>
    <w:rsid w:val="005A637B"/>
    <w:rsid w:val="005B338E"/>
    <w:rsid w:val="005E1EE7"/>
    <w:rsid w:val="00604100"/>
    <w:rsid w:val="00607BAA"/>
    <w:rsid w:val="00615035"/>
    <w:rsid w:val="00620842"/>
    <w:rsid w:val="00622578"/>
    <w:rsid w:val="00622D7F"/>
    <w:rsid w:val="006239A1"/>
    <w:rsid w:val="00634672"/>
    <w:rsid w:val="006563CF"/>
    <w:rsid w:val="006755EE"/>
    <w:rsid w:val="006824BF"/>
    <w:rsid w:val="006A1D49"/>
    <w:rsid w:val="006B71C2"/>
    <w:rsid w:val="006D137E"/>
    <w:rsid w:val="006E4797"/>
    <w:rsid w:val="006E7C64"/>
    <w:rsid w:val="00702ADE"/>
    <w:rsid w:val="0070444F"/>
    <w:rsid w:val="00705EE9"/>
    <w:rsid w:val="00714BE0"/>
    <w:rsid w:val="00723D0B"/>
    <w:rsid w:val="00736371"/>
    <w:rsid w:val="00751D3D"/>
    <w:rsid w:val="00775C91"/>
    <w:rsid w:val="00793AF3"/>
    <w:rsid w:val="007A4BBA"/>
    <w:rsid w:val="007B488F"/>
    <w:rsid w:val="007B72A4"/>
    <w:rsid w:val="007C151C"/>
    <w:rsid w:val="007C67AE"/>
    <w:rsid w:val="007D6BE0"/>
    <w:rsid w:val="007F13E9"/>
    <w:rsid w:val="007F2030"/>
    <w:rsid w:val="00833B96"/>
    <w:rsid w:val="008425A4"/>
    <w:rsid w:val="008461C6"/>
    <w:rsid w:val="0085421A"/>
    <w:rsid w:val="00855078"/>
    <w:rsid w:val="0085548D"/>
    <w:rsid w:val="008A4859"/>
    <w:rsid w:val="008A7B4B"/>
    <w:rsid w:val="008B2D50"/>
    <w:rsid w:val="008B35D2"/>
    <w:rsid w:val="008C693A"/>
    <w:rsid w:val="008C7208"/>
    <w:rsid w:val="008D293E"/>
    <w:rsid w:val="008E19AC"/>
    <w:rsid w:val="008F6582"/>
    <w:rsid w:val="00911EF7"/>
    <w:rsid w:val="009409EA"/>
    <w:rsid w:val="009626C3"/>
    <w:rsid w:val="00994F50"/>
    <w:rsid w:val="00996733"/>
    <w:rsid w:val="009975CF"/>
    <w:rsid w:val="009F0C98"/>
    <w:rsid w:val="00A1684A"/>
    <w:rsid w:val="00A61636"/>
    <w:rsid w:val="00A624BE"/>
    <w:rsid w:val="00A6645F"/>
    <w:rsid w:val="00A87856"/>
    <w:rsid w:val="00AB4038"/>
    <w:rsid w:val="00AD2EC6"/>
    <w:rsid w:val="00AF5363"/>
    <w:rsid w:val="00B01F89"/>
    <w:rsid w:val="00B07E65"/>
    <w:rsid w:val="00B61B67"/>
    <w:rsid w:val="00B66177"/>
    <w:rsid w:val="00B81064"/>
    <w:rsid w:val="00B83B5B"/>
    <w:rsid w:val="00B87681"/>
    <w:rsid w:val="00BD3767"/>
    <w:rsid w:val="00BD5408"/>
    <w:rsid w:val="00BD541D"/>
    <w:rsid w:val="00BD6B87"/>
    <w:rsid w:val="00BE22A2"/>
    <w:rsid w:val="00BE2769"/>
    <w:rsid w:val="00BF0F01"/>
    <w:rsid w:val="00C02FAB"/>
    <w:rsid w:val="00C11D93"/>
    <w:rsid w:val="00C21A21"/>
    <w:rsid w:val="00C25105"/>
    <w:rsid w:val="00C27C71"/>
    <w:rsid w:val="00C361EA"/>
    <w:rsid w:val="00C366E0"/>
    <w:rsid w:val="00C53CDC"/>
    <w:rsid w:val="00C550F3"/>
    <w:rsid w:val="00C652D8"/>
    <w:rsid w:val="00C875D1"/>
    <w:rsid w:val="00CB1713"/>
    <w:rsid w:val="00CB1783"/>
    <w:rsid w:val="00CC2ED9"/>
    <w:rsid w:val="00CC6503"/>
    <w:rsid w:val="00D07A90"/>
    <w:rsid w:val="00D2510B"/>
    <w:rsid w:val="00D57F1F"/>
    <w:rsid w:val="00D661BB"/>
    <w:rsid w:val="00D86D57"/>
    <w:rsid w:val="00D959E7"/>
    <w:rsid w:val="00DA154A"/>
    <w:rsid w:val="00DA3C5C"/>
    <w:rsid w:val="00DA4D89"/>
    <w:rsid w:val="00DC0E61"/>
    <w:rsid w:val="00DC18A7"/>
    <w:rsid w:val="00DD0D2A"/>
    <w:rsid w:val="00DF7C91"/>
    <w:rsid w:val="00E01F9C"/>
    <w:rsid w:val="00E03054"/>
    <w:rsid w:val="00E07E65"/>
    <w:rsid w:val="00E235D5"/>
    <w:rsid w:val="00E401D5"/>
    <w:rsid w:val="00E52D5F"/>
    <w:rsid w:val="00E72759"/>
    <w:rsid w:val="00E81BFB"/>
    <w:rsid w:val="00EA6C37"/>
    <w:rsid w:val="00EB1E68"/>
    <w:rsid w:val="00EC0649"/>
    <w:rsid w:val="00EC57F0"/>
    <w:rsid w:val="00ED1092"/>
    <w:rsid w:val="00F1380A"/>
    <w:rsid w:val="00F22FB1"/>
    <w:rsid w:val="00F2691C"/>
    <w:rsid w:val="00F36869"/>
    <w:rsid w:val="00F41DE1"/>
    <w:rsid w:val="00F442A0"/>
    <w:rsid w:val="00F72213"/>
    <w:rsid w:val="00FA3B53"/>
    <w:rsid w:val="00FA6C9C"/>
    <w:rsid w:val="00FD034A"/>
    <w:rsid w:val="00FF304D"/>
    <w:rsid w:val="00FF4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7085A"/>
  <w15:docId w15:val="{A2ED570E-74BA-4F35-9D8A-C4F938F2B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UnresolvedMention">
    <w:name w:val="Unresolved Mention"/>
    <w:basedOn w:val="DefaultParagraphFont"/>
    <w:uiPriority w:val="99"/>
    <w:semiHidden/>
    <w:unhideWhenUsed/>
    <w:rsid w:val="00C21A21"/>
    <w:rPr>
      <w:color w:val="605E5C"/>
      <w:shd w:val="clear" w:color="auto" w:fill="E1DFDD"/>
    </w:rPr>
  </w:style>
  <w:style w:type="character" w:styleId="Strong">
    <w:name w:val="Strong"/>
    <w:basedOn w:val="DefaultParagraphFont"/>
    <w:uiPriority w:val="22"/>
    <w:qFormat/>
    <w:rsid w:val="00723D0B"/>
    <w:rPr>
      <w:b/>
      <w:bCs/>
    </w:rPr>
  </w:style>
  <w:style w:type="table" w:styleId="PlainTable2">
    <w:name w:val="Plain Table 2"/>
    <w:basedOn w:val="TableNormal"/>
    <w:uiPriority w:val="42"/>
    <w:rsid w:val="00723D0B"/>
    <w:pPr>
      <w:widowControl/>
      <w:jc w:val="left"/>
    </w:pPr>
    <w:rPr>
      <w:rFonts w:asciiTheme="minorHAnsi" w:hAnsiTheme="minorHAnsi" w:cstheme="minorBidi"/>
      <w:kern w:val="2"/>
      <w:sz w:val="21"/>
      <w:szCs w:val="22"/>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723D0B"/>
    <w:rPr>
      <w:rFonts w:asciiTheme="majorHAnsi" w:eastAsia="SimHei" w:hAnsiTheme="majorHAnsi" w:cstheme="majorBidi"/>
      <w:kern w:val="2"/>
      <w:sz w:val="20"/>
      <w:szCs w:val="20"/>
      <w:lang w:eastAsia="zh-CN"/>
    </w:rPr>
  </w:style>
  <w:style w:type="table" w:styleId="TableGrid">
    <w:name w:val="Table Grid"/>
    <w:basedOn w:val="TableNormal"/>
    <w:uiPriority w:val="39"/>
    <w:rsid w:val="00723D0B"/>
    <w:pPr>
      <w:widowControl/>
      <w:jc w:val="left"/>
    </w:pPr>
    <w:rPr>
      <w:rFonts w:asciiTheme="minorHAnsi"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23D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15</Pages>
  <Words>6646</Words>
  <Characters>37887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Vaishali Paul</dc:creator>
  <cp:lastModifiedBy>Swati Madhu</cp:lastModifiedBy>
  <cp:revision>20</cp:revision>
  <dcterms:created xsi:type="dcterms:W3CDTF">2026-08-20T13:01:00Z</dcterms:created>
  <dcterms:modified xsi:type="dcterms:W3CDTF">2026-08-27T09:56:00Z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