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957A1B" w14:textId="647FA99C" w:rsidR="000C3DAE" w:rsidRPr="00B72A96" w:rsidRDefault="00000000" w:rsidP="00BD5E4C">
      <w:pPr>
        <w:pBdr>
          <w:top w:val="nil"/>
          <w:left w:val="nil"/>
          <w:bottom w:val="nil"/>
          <w:right w:val="nil"/>
          <w:between w:val="nil"/>
        </w:pBdr>
        <w:contextualSpacing/>
        <w:mirrorIndents/>
        <w:jc w:val="left"/>
      </w:pPr>
      <w:r w:rsidRPr="00B72A96">
        <w:rPr>
          <w:b/>
          <w:bCs/>
        </w:rPr>
        <w:t>TITLE:</w:t>
      </w:r>
      <w:r w:rsidRPr="00B72A96">
        <w:t xml:space="preserve"> </w:t>
      </w:r>
    </w:p>
    <w:p w14:paraId="12207F33" w14:textId="390C65EF" w:rsidR="00B6189E" w:rsidRPr="00B72A96" w:rsidRDefault="00B6189E" w:rsidP="00BD5E4C">
      <w:pPr>
        <w:contextualSpacing/>
        <w:mirrorIndents/>
        <w:jc w:val="left"/>
      </w:pPr>
      <w:r w:rsidRPr="00B6189E">
        <w:rPr>
          <w:rFonts w:eastAsia="Roboto"/>
        </w:rPr>
        <w:t>A Robust Protocol for Germ Layer Differentiation of Human Pluripotent Stem Cells and Evaluation of Their Chromosome and Genomic Integrity</w:t>
      </w:r>
    </w:p>
    <w:p w14:paraId="78549F69" w14:textId="77777777" w:rsidR="000C3DAE" w:rsidRPr="00B72A96" w:rsidRDefault="000C3DAE" w:rsidP="00BD5E4C">
      <w:pPr>
        <w:contextualSpacing/>
        <w:mirrorIndents/>
        <w:jc w:val="left"/>
        <w:rPr>
          <w:b/>
          <w:bCs/>
        </w:rPr>
      </w:pPr>
    </w:p>
    <w:p w14:paraId="61747AD9" w14:textId="7E8D8F9D" w:rsidR="000C3DAE" w:rsidRPr="00B72A96" w:rsidRDefault="00000000" w:rsidP="00BD5E4C">
      <w:pPr>
        <w:contextualSpacing/>
        <w:mirrorIndents/>
        <w:jc w:val="left"/>
      </w:pPr>
      <w:r w:rsidRPr="00B72A96">
        <w:rPr>
          <w:b/>
          <w:bCs/>
        </w:rPr>
        <w:t xml:space="preserve">AUTHORS AND AFFILIATIONS: </w:t>
      </w:r>
    </w:p>
    <w:p w14:paraId="443A4D2F" w14:textId="30E03C61" w:rsidR="000C3DAE" w:rsidRPr="00B72A96" w:rsidRDefault="00000000" w:rsidP="00BD5E4C">
      <w:pPr>
        <w:pBdr>
          <w:top w:val="nil"/>
          <w:left w:val="nil"/>
          <w:bottom w:val="nil"/>
          <w:right w:val="nil"/>
          <w:between w:val="nil"/>
        </w:pBdr>
        <w:contextualSpacing/>
        <w:mirrorIndents/>
        <w:jc w:val="left"/>
        <w:rPr>
          <w:vertAlign w:val="superscript"/>
          <w:lang w:val="de-DE"/>
        </w:rPr>
      </w:pPr>
      <w:r w:rsidRPr="00B72A96">
        <w:rPr>
          <w:lang w:val="de-DE"/>
        </w:rPr>
        <w:t>Gayathri Vilangappurath</w:t>
      </w:r>
      <w:r w:rsidRPr="00B72A96">
        <w:rPr>
          <w:vertAlign w:val="superscript"/>
          <w:lang w:val="de-DE"/>
        </w:rPr>
        <w:t>1</w:t>
      </w:r>
      <w:r w:rsidR="008D7875" w:rsidRPr="00B72A96">
        <w:rPr>
          <w:lang w:val="de-DE"/>
        </w:rPr>
        <w:t>*</w:t>
      </w:r>
      <w:r w:rsidRPr="00B72A96">
        <w:rPr>
          <w:lang w:val="de-DE"/>
        </w:rPr>
        <w:t>, Özüm Begüm Böke</w:t>
      </w:r>
      <w:r w:rsidRPr="00B72A96">
        <w:rPr>
          <w:vertAlign w:val="superscript"/>
          <w:lang w:val="de-DE"/>
        </w:rPr>
        <w:t>1</w:t>
      </w:r>
      <w:r w:rsidR="008D7875" w:rsidRPr="00B72A96">
        <w:rPr>
          <w:lang w:val="de-DE"/>
        </w:rPr>
        <w:t>*</w:t>
      </w:r>
      <w:r w:rsidRPr="00B72A96">
        <w:rPr>
          <w:lang w:val="de-DE"/>
        </w:rPr>
        <w:t>, Anchel de Jaime-Soguero</w:t>
      </w:r>
      <w:r w:rsidRPr="00B72A96">
        <w:rPr>
          <w:vertAlign w:val="superscript"/>
          <w:lang w:val="de-DE"/>
        </w:rPr>
        <w:t>1</w:t>
      </w:r>
      <w:r w:rsidR="008D7875" w:rsidRPr="00B72A96">
        <w:rPr>
          <w:vertAlign w:val="superscript"/>
          <w:lang w:val="de-DE"/>
        </w:rPr>
        <w:t>#</w:t>
      </w:r>
    </w:p>
    <w:p w14:paraId="0BAFDE11" w14:textId="77777777" w:rsidR="000C3DAE" w:rsidRPr="00B72A96" w:rsidRDefault="000C3DAE" w:rsidP="00BD5E4C">
      <w:pPr>
        <w:pBdr>
          <w:top w:val="nil"/>
          <w:left w:val="nil"/>
          <w:bottom w:val="nil"/>
          <w:right w:val="nil"/>
          <w:between w:val="nil"/>
        </w:pBdr>
        <w:contextualSpacing/>
        <w:mirrorIndents/>
        <w:jc w:val="left"/>
        <w:rPr>
          <w:vertAlign w:val="superscript"/>
          <w:lang w:val="de-DE"/>
        </w:rPr>
      </w:pPr>
    </w:p>
    <w:p w14:paraId="36BFC4C8" w14:textId="20163939" w:rsidR="00BF4837" w:rsidRPr="00B72A96" w:rsidRDefault="00000000" w:rsidP="00BD5E4C">
      <w:pPr>
        <w:pBdr>
          <w:top w:val="nil"/>
          <w:left w:val="nil"/>
          <w:bottom w:val="nil"/>
          <w:right w:val="nil"/>
          <w:between w:val="nil"/>
        </w:pBdr>
        <w:contextualSpacing/>
        <w:mirrorIndents/>
        <w:jc w:val="left"/>
        <w:rPr>
          <w:lang w:val="de-DE"/>
        </w:rPr>
      </w:pPr>
      <w:r w:rsidRPr="00B72A96">
        <w:rPr>
          <w:vertAlign w:val="superscript"/>
          <w:lang w:val="de-DE"/>
        </w:rPr>
        <w:t>1</w:t>
      </w:r>
      <w:r w:rsidRPr="00B72A96">
        <w:t>Interdisciplinary Research Institute for Human and Molecular Biology (IRIBHM) – Jacques E. Dumont, Université Libre de Bruxelles (ULB), Brussels, Belgium</w:t>
      </w:r>
    </w:p>
    <w:p w14:paraId="59E25F61" w14:textId="77777777" w:rsidR="000C3DAE" w:rsidRPr="00B72A96" w:rsidRDefault="000C3DAE" w:rsidP="00BD5E4C">
      <w:pPr>
        <w:pBdr>
          <w:top w:val="nil"/>
          <w:left w:val="nil"/>
          <w:bottom w:val="nil"/>
          <w:right w:val="nil"/>
          <w:between w:val="nil"/>
        </w:pBdr>
        <w:contextualSpacing/>
        <w:mirrorIndents/>
        <w:jc w:val="left"/>
        <w:rPr>
          <w:lang w:val="de-DE"/>
        </w:rPr>
      </w:pPr>
    </w:p>
    <w:p w14:paraId="5C7201A6" w14:textId="3D1EFA5D" w:rsidR="000C3DAE" w:rsidRPr="00B72A96" w:rsidRDefault="00000000" w:rsidP="00BD5E4C">
      <w:pPr>
        <w:pBdr>
          <w:top w:val="nil"/>
          <w:left w:val="nil"/>
          <w:bottom w:val="nil"/>
          <w:right w:val="nil"/>
          <w:between w:val="nil"/>
        </w:pBdr>
        <w:contextualSpacing/>
        <w:mirrorIndents/>
        <w:jc w:val="left"/>
      </w:pPr>
      <w:r w:rsidRPr="00B72A96">
        <w:t>*These authors contributed equally</w:t>
      </w:r>
    </w:p>
    <w:p w14:paraId="47F22A7F" w14:textId="77777777" w:rsidR="008D7875" w:rsidRPr="00B72A96" w:rsidRDefault="008D7875" w:rsidP="00BD5E4C">
      <w:pPr>
        <w:pBdr>
          <w:top w:val="nil"/>
          <w:left w:val="nil"/>
          <w:bottom w:val="nil"/>
          <w:right w:val="nil"/>
          <w:between w:val="nil"/>
        </w:pBdr>
        <w:contextualSpacing/>
        <w:mirrorIndents/>
        <w:jc w:val="left"/>
      </w:pPr>
    </w:p>
    <w:p w14:paraId="03A78305" w14:textId="5B9626F8" w:rsidR="008D7875" w:rsidRPr="00B72A96" w:rsidRDefault="00000000" w:rsidP="00BD5E4C">
      <w:pPr>
        <w:pBdr>
          <w:top w:val="nil"/>
          <w:left w:val="nil"/>
          <w:bottom w:val="nil"/>
          <w:right w:val="nil"/>
          <w:between w:val="nil"/>
        </w:pBdr>
        <w:contextualSpacing/>
        <w:mirrorIndents/>
        <w:jc w:val="left"/>
      </w:pPr>
      <w:r w:rsidRPr="00B72A96">
        <w:t>Email addresses of the co-authors:</w:t>
      </w:r>
    </w:p>
    <w:p w14:paraId="644E1F27" w14:textId="547E8FEA" w:rsidR="008D7875" w:rsidRPr="00B72A96" w:rsidRDefault="00000000" w:rsidP="00BD5E4C">
      <w:pPr>
        <w:pBdr>
          <w:top w:val="nil"/>
          <w:left w:val="nil"/>
          <w:bottom w:val="nil"/>
          <w:right w:val="nil"/>
          <w:between w:val="nil"/>
        </w:pBdr>
        <w:contextualSpacing/>
        <w:mirrorIndents/>
        <w:jc w:val="left"/>
        <w:rPr>
          <w:vertAlign w:val="superscript"/>
          <w:lang w:val="de-DE"/>
        </w:rPr>
      </w:pPr>
      <w:r w:rsidRPr="00B72A96">
        <w:rPr>
          <w:lang w:val="de-DE"/>
        </w:rPr>
        <w:t xml:space="preserve">Gayathri Vilangappurath                        </w:t>
      </w:r>
      <w:r w:rsidRPr="00B72A96">
        <w:t>gayathri.vilangappurath@ulb.be</w:t>
      </w:r>
    </w:p>
    <w:p w14:paraId="34B82BD8" w14:textId="7D290104" w:rsidR="008D7875" w:rsidRPr="00B72A96" w:rsidRDefault="00000000" w:rsidP="00BD5E4C">
      <w:pPr>
        <w:pBdr>
          <w:top w:val="nil"/>
          <w:left w:val="nil"/>
          <w:bottom w:val="nil"/>
          <w:right w:val="nil"/>
          <w:between w:val="nil"/>
        </w:pBdr>
        <w:contextualSpacing/>
        <w:mirrorIndents/>
        <w:jc w:val="left"/>
      </w:pPr>
      <w:r w:rsidRPr="00B72A96">
        <w:rPr>
          <w:lang w:val="de-DE"/>
        </w:rPr>
        <w:t xml:space="preserve">Özüm Begüm Böke                                  </w:t>
      </w:r>
      <w:r w:rsidRPr="00B72A96">
        <w:t>ozum.begum.boke@ulb.be</w:t>
      </w:r>
    </w:p>
    <w:p w14:paraId="1CB62F59" w14:textId="77777777" w:rsidR="000C3DAE" w:rsidRPr="00B72A96" w:rsidRDefault="000C3DAE" w:rsidP="00BD5E4C">
      <w:pPr>
        <w:pBdr>
          <w:top w:val="nil"/>
          <w:left w:val="nil"/>
          <w:bottom w:val="nil"/>
          <w:right w:val="nil"/>
          <w:between w:val="nil"/>
        </w:pBdr>
        <w:contextualSpacing/>
        <w:mirrorIndents/>
        <w:jc w:val="left"/>
      </w:pPr>
    </w:p>
    <w:p w14:paraId="4DD483A3" w14:textId="1B8CF726" w:rsidR="008D7875" w:rsidRPr="00B72A96" w:rsidRDefault="00000000" w:rsidP="00BD5E4C">
      <w:pPr>
        <w:pBdr>
          <w:top w:val="nil"/>
          <w:left w:val="nil"/>
          <w:bottom w:val="nil"/>
          <w:right w:val="nil"/>
          <w:between w:val="nil"/>
        </w:pBdr>
        <w:contextualSpacing/>
        <w:mirrorIndents/>
        <w:jc w:val="left"/>
      </w:pPr>
      <w:r w:rsidRPr="00B72A96">
        <w:rPr>
          <w:vertAlign w:val="superscript"/>
        </w:rPr>
        <w:t>#</w:t>
      </w:r>
      <w:r w:rsidRPr="00B72A96">
        <w:t xml:space="preserve">Corresponding author: </w:t>
      </w:r>
    </w:p>
    <w:p w14:paraId="14432E58" w14:textId="2D312943" w:rsidR="000C3DAE" w:rsidRPr="00B72A96" w:rsidRDefault="00000000" w:rsidP="00BD5E4C">
      <w:pPr>
        <w:pBdr>
          <w:top w:val="nil"/>
          <w:left w:val="nil"/>
          <w:bottom w:val="nil"/>
          <w:right w:val="nil"/>
          <w:between w:val="nil"/>
        </w:pBdr>
        <w:contextualSpacing/>
        <w:mirrorIndents/>
        <w:jc w:val="left"/>
      </w:pPr>
      <w:r w:rsidRPr="00B72A96">
        <w:t>Anchel de Jaime-</w:t>
      </w:r>
      <w:proofErr w:type="spellStart"/>
      <w:r w:rsidRPr="00B72A96">
        <w:t>Soguero</w:t>
      </w:r>
      <w:proofErr w:type="spellEnd"/>
      <w:r w:rsidRPr="00B72A96">
        <w:t xml:space="preserve"> </w:t>
      </w:r>
      <w:r w:rsidR="008D7875" w:rsidRPr="00B72A96">
        <w:t xml:space="preserve">                      </w:t>
      </w:r>
      <w:r w:rsidRPr="00B72A96">
        <w:t>anchel.de.jaime.soguero@ulb.be</w:t>
      </w:r>
    </w:p>
    <w:p w14:paraId="7055A49B" w14:textId="5208C8A7" w:rsidR="000C3DAE" w:rsidRPr="00B72A96" w:rsidRDefault="000C3DAE" w:rsidP="00BD5E4C">
      <w:pPr>
        <w:pBdr>
          <w:top w:val="nil"/>
          <w:left w:val="nil"/>
          <w:bottom w:val="nil"/>
          <w:right w:val="nil"/>
          <w:between w:val="nil"/>
        </w:pBdr>
        <w:contextualSpacing/>
        <w:mirrorIndents/>
        <w:jc w:val="left"/>
      </w:pPr>
    </w:p>
    <w:p w14:paraId="2098C8D2" w14:textId="2F58E815" w:rsidR="000C3DAE" w:rsidRPr="00B72A96" w:rsidRDefault="00000000" w:rsidP="00BD5E4C">
      <w:pPr>
        <w:contextualSpacing/>
        <w:mirrorIndents/>
      </w:pPr>
      <w:r w:rsidRPr="00B72A96">
        <w:rPr>
          <w:b/>
          <w:bCs/>
        </w:rPr>
        <w:t>SUMMARY:</w:t>
      </w:r>
      <w:r w:rsidRPr="00B72A96">
        <w:t xml:space="preserve"> </w:t>
      </w:r>
    </w:p>
    <w:p w14:paraId="205CD32B" w14:textId="59665E72" w:rsidR="000C3DAE" w:rsidRPr="00B72A96" w:rsidRDefault="00E83739" w:rsidP="00BD5E4C">
      <w:pPr>
        <w:contextualSpacing/>
        <w:mirrorIndents/>
      </w:pPr>
      <w:r w:rsidRPr="00B72A96">
        <w:t>The study presents a set of protocols to differentiate human primed pluripotent stem cells (</w:t>
      </w:r>
      <w:proofErr w:type="spellStart"/>
      <w:r w:rsidRPr="00B72A96">
        <w:t>hPSCs</w:t>
      </w:r>
      <w:proofErr w:type="spellEnd"/>
      <w:r w:rsidRPr="00B72A96">
        <w:t xml:space="preserve">) towards early post-implantation embryonic lineages, and to assess genomic and chromosomal (in)stability during </w:t>
      </w:r>
      <w:proofErr w:type="spellStart"/>
      <w:r w:rsidRPr="00B72A96">
        <w:t>hPSC</w:t>
      </w:r>
      <w:proofErr w:type="spellEnd"/>
      <w:r w:rsidRPr="00B72A96">
        <w:t xml:space="preserve"> culture, including through the quantification of single- and double-strand breaks, mitotic defects, or aneuploidy.</w:t>
      </w:r>
    </w:p>
    <w:p w14:paraId="241DD8E9" w14:textId="77777777" w:rsidR="000C3DAE" w:rsidRPr="00B72A96" w:rsidRDefault="000C3DAE" w:rsidP="00BD5E4C">
      <w:pPr>
        <w:contextualSpacing/>
        <w:mirrorIndents/>
      </w:pPr>
    </w:p>
    <w:p w14:paraId="281736A4" w14:textId="2178CCA9" w:rsidR="000C3DAE" w:rsidRPr="00B72A96" w:rsidRDefault="00000000" w:rsidP="00BD5E4C">
      <w:pPr>
        <w:contextualSpacing/>
        <w:mirrorIndents/>
      </w:pPr>
      <w:r w:rsidRPr="00B72A96">
        <w:rPr>
          <w:b/>
          <w:bCs/>
        </w:rPr>
        <w:t>ABSTRACT:</w:t>
      </w:r>
      <w:r w:rsidRPr="00B72A96">
        <w:t xml:space="preserve"> </w:t>
      </w:r>
    </w:p>
    <w:p w14:paraId="1D97FCCF" w14:textId="1D915A5B" w:rsidR="000C3DAE" w:rsidRPr="00B72A96" w:rsidRDefault="00000000" w:rsidP="00BD5E4C">
      <w:pPr>
        <w:contextualSpacing/>
        <w:mirrorIndents/>
      </w:pPr>
      <w:r w:rsidRPr="00B72A96">
        <w:t>Human pluripotent stem cells (</w:t>
      </w:r>
      <w:proofErr w:type="spellStart"/>
      <w:r w:rsidRPr="00B72A96">
        <w:t>hPSCs</w:t>
      </w:r>
      <w:proofErr w:type="spellEnd"/>
      <w:r w:rsidRPr="00B72A96">
        <w:t xml:space="preserve">) can differentiate into any cell type of the human body and represent a powerful </w:t>
      </w:r>
      <w:r w:rsidRPr="00B72A96">
        <w:rPr>
          <w:i/>
          <w:iCs/>
        </w:rPr>
        <w:t>in vitro</w:t>
      </w:r>
      <w:r w:rsidRPr="00B72A96">
        <w:t xml:space="preserve"> model to recapitulate early human development. However, their use in regenerative medicine and developmental studies is limited by their genomic and chromosomal instability acquired during long-term culture, often driven by the clonal advantage conferred by spontaneous gain or loss of chromosomes. Here, </w:t>
      </w:r>
      <w:r w:rsidR="00E83739" w:rsidRPr="00B72A96">
        <w:t>a</w:t>
      </w:r>
      <w:r w:rsidRPr="00B72A96">
        <w:t xml:space="preserve"> </w:t>
      </w:r>
      <w:r w:rsidR="00E83739" w:rsidRPr="00B72A96">
        <w:t xml:space="preserve">detailed </w:t>
      </w:r>
      <w:r w:rsidRPr="00B72A96">
        <w:t xml:space="preserve">culture </w:t>
      </w:r>
      <w:r w:rsidR="00E83739" w:rsidRPr="00B72A96">
        <w:t>condition that robustly recapitulates early differentiation and describes</w:t>
      </w:r>
      <w:r w:rsidRPr="00B72A96">
        <w:t xml:space="preserve"> methods to assess chromosomal and genomic (in)stability in </w:t>
      </w:r>
      <w:proofErr w:type="spellStart"/>
      <w:r w:rsidRPr="00B72A96">
        <w:t>hPSC</w:t>
      </w:r>
      <w:proofErr w:type="spellEnd"/>
      <w:r w:rsidRPr="00B72A96">
        <w:t xml:space="preserve"> cultures. First, </w:t>
      </w:r>
      <w:r w:rsidR="00E83739" w:rsidRPr="00B72A96">
        <w:t>the</w:t>
      </w:r>
      <w:r w:rsidRPr="00B72A96">
        <w:t xml:space="preserve"> cell culture approaches </w:t>
      </w:r>
      <w:r w:rsidR="00E83739" w:rsidRPr="00B72A96">
        <w:t xml:space="preserve">are described </w:t>
      </w:r>
      <w:r w:rsidRPr="00B72A96">
        <w:t>that enable controlled exit from pluripotency and homogeneous differentiation into primitive streak, neuroectoderm, paraxial/lateral mesoderm</w:t>
      </w:r>
      <w:r w:rsidR="00425809" w:rsidRPr="00B72A96">
        <w:t>,</w:t>
      </w:r>
      <w:r w:rsidRPr="00B72A96">
        <w:t xml:space="preserve"> and definitive endoderm-like cells. Second, a comprehensive set of protocols</w:t>
      </w:r>
      <w:r w:rsidR="00E83739" w:rsidRPr="00B72A96">
        <w:t xml:space="preserve"> is described</w:t>
      </w:r>
      <w:r w:rsidRPr="00B72A96">
        <w:t xml:space="preserve"> to assess genomic and chromosomal instability during routine pluripotent stem cell culture, including the detection of single- and double-strand breaks during S-phase, mitotic abnormalities (such as ultrafine bridges, lagging chromosomes or micronuclei) and their direct consequence–the emergence of aneuploidy after cell division. In summary, this work aims to standardize protocols to model early human post-implantation lineage commitment and to provide the tools required to assess routine karyotypic stability of </w:t>
      </w:r>
      <w:proofErr w:type="spellStart"/>
      <w:r w:rsidRPr="00B72A96">
        <w:t>hPSCs</w:t>
      </w:r>
      <w:proofErr w:type="spellEnd"/>
      <w:r w:rsidRPr="00B72A96">
        <w:t xml:space="preserve"> during </w:t>
      </w:r>
      <w:r w:rsidRPr="00B72A96">
        <w:rPr>
          <w:i/>
          <w:iCs/>
        </w:rPr>
        <w:t>in vitro</w:t>
      </w:r>
      <w:r w:rsidRPr="00B72A96">
        <w:t xml:space="preserve"> culture. </w:t>
      </w:r>
    </w:p>
    <w:p w14:paraId="6ACA52C2" w14:textId="77777777" w:rsidR="000C3DAE" w:rsidRPr="00B72A96" w:rsidRDefault="000C3DAE" w:rsidP="00BD5E4C">
      <w:pPr>
        <w:contextualSpacing/>
        <w:mirrorIndents/>
      </w:pPr>
    </w:p>
    <w:p w14:paraId="6ED5DA34" w14:textId="1A7B0ADB" w:rsidR="000C3DAE" w:rsidRPr="00B72A96" w:rsidRDefault="00000000" w:rsidP="00BD5E4C">
      <w:pPr>
        <w:contextualSpacing/>
        <w:mirrorIndents/>
      </w:pPr>
      <w:r w:rsidRPr="00B72A96">
        <w:rPr>
          <w:b/>
          <w:bCs/>
        </w:rPr>
        <w:t>INTRODUCTION</w:t>
      </w:r>
      <w:r w:rsidR="008D7875" w:rsidRPr="00B72A96">
        <w:rPr>
          <w:b/>
          <w:bCs/>
        </w:rPr>
        <w:t>:</w:t>
      </w:r>
      <w:r w:rsidRPr="00B72A96">
        <w:t xml:space="preserve"> </w:t>
      </w:r>
    </w:p>
    <w:p w14:paraId="1D20F54E" w14:textId="7875E1D8" w:rsidR="000C3DAE" w:rsidRPr="00B72A96" w:rsidRDefault="00000000" w:rsidP="00BD5E4C">
      <w:pPr>
        <w:contextualSpacing/>
        <w:mirrorIndents/>
      </w:pPr>
      <w:r w:rsidRPr="00B72A96">
        <w:lastRenderedPageBreak/>
        <w:t>Human pluripotency represents a developmental stage in which embryonic cells can give rise to all cell types of the future organism. Human pluripotent stem cells (</w:t>
      </w:r>
      <w:proofErr w:type="spellStart"/>
      <w:r w:rsidRPr="00B72A96">
        <w:t>hPSCs</w:t>
      </w:r>
      <w:proofErr w:type="spellEnd"/>
      <w:r w:rsidRPr="00B72A96">
        <w:t xml:space="preserve">) capture this state </w:t>
      </w:r>
      <w:r w:rsidRPr="00B72A96">
        <w:rPr>
          <w:i/>
          <w:iCs/>
        </w:rPr>
        <w:t>in vitro</w:t>
      </w:r>
      <w:r w:rsidRPr="00B72A96">
        <w:t xml:space="preserve"> and provide a powerful system to study human development and disease. Based on their origin, </w:t>
      </w:r>
      <w:proofErr w:type="spellStart"/>
      <w:r w:rsidRPr="00B72A96">
        <w:t>hPSCs</w:t>
      </w:r>
      <w:proofErr w:type="spellEnd"/>
      <w:r w:rsidRPr="00B72A96">
        <w:t xml:space="preserve"> can be subdivided into two groups. Human embryonic stem cells (</w:t>
      </w:r>
      <w:proofErr w:type="spellStart"/>
      <w:r w:rsidRPr="00B72A96">
        <w:t>hESCs</w:t>
      </w:r>
      <w:proofErr w:type="spellEnd"/>
      <w:r w:rsidRPr="00B72A96">
        <w:t>) were first derived in 1998 from the epiblast of preimplantation human embryos, establishing culture conditions that support pluripotency, long-term self-renewal, and differentiation into mature cell types of all three germ layers</w:t>
      </w:r>
      <w:r w:rsidR="00CD346D" w:rsidRPr="00B72A96">
        <w:rPr>
          <w:vertAlign w:val="superscript"/>
        </w:rPr>
        <w:fldChar w:fldCharType="begin" w:fldLock="1"/>
      </w:r>
      <w:r w:rsidR="00CD346D" w:rsidRPr="00B72A96">
        <w:rPr>
          <w:vertAlign w:val="superscript"/>
        </w:rPr>
        <w:instrText>ADDIN CSL_CITATION {"citationItems":[{"id":"ITEM-1","itemData":{"DOI":"10.1126/science.282.5391.1145","ISSN":"00368075","PMID":"9804556","abstract":"Human blastocyst-derived, pluripotent cell lines are described that have normal karyotypes, express high levels of telomerase activity, and express cell surface markers that characterize primate embryonic stem cells but do not characterize other early lineages. After undifferentiated proliferation in vitro for 4 to 5 months, these cells still maintained the developmental potential to form trophoblast and derivatives of all three embryonic germ layers, including gut epithelium (endoderm); cartilage, bone, smooth muscle, and striated muscle (mesoderm); and neural epithelium, embryonic ganglia, and stratified squamous epithelium (ectoderm). These cell lines should be useful in human developmental biology, drug discovery, and transplantation medicine.","author":[{"dropping-particle":"","family":"Thomson","given":"James A.","non-dropping-particle":"","parse-names":false,"suffix":""}],"container-title":"Science","id":"ITEM-1","issue":"5391","issued":{"date-parts":[["1998","11","6"]]},"page":"1145-1147","publisher":"American Association for the Advancement of Science","title":"Embryonic stem cell lines derived from human blastocysts","type":"article-journal","volume":"282"},"uris":["http://www.mendeley.com/documents/?uuid=58c7fd87-150c-3750-8202-dcf023c59fee"]}],"mendeley":{"formattedCitation":"&lt;sup&gt;1&lt;/sup&gt;","plainTextFormattedCitation":"1","previouslyFormattedCitation":"&lt;sup&gt;1&lt;/sup&gt;"},"properties":{"noteIndex":0},"schema":"https://github.com/citation-style-language/schema/raw/master/csl-citation.json"}</w:instrText>
      </w:r>
      <w:r w:rsidR="00CD346D" w:rsidRPr="00B72A96">
        <w:rPr>
          <w:vertAlign w:val="superscript"/>
        </w:rPr>
        <w:fldChar w:fldCharType="separate"/>
      </w:r>
      <w:r w:rsidR="00CD346D" w:rsidRPr="00B72A96">
        <w:rPr>
          <w:noProof/>
          <w:vertAlign w:val="superscript"/>
        </w:rPr>
        <w:t>1</w:t>
      </w:r>
      <w:r w:rsidR="00CD346D" w:rsidRPr="00B72A96">
        <w:rPr>
          <w:vertAlign w:val="superscript"/>
        </w:rPr>
        <w:fldChar w:fldCharType="end"/>
      </w:r>
      <w:r w:rsidRPr="00B72A96">
        <w:t>. In 200</w:t>
      </w:r>
      <w:r w:rsidR="00CD346D" w:rsidRPr="00B72A96">
        <w:t>7</w:t>
      </w:r>
      <w:r w:rsidRPr="00B72A96">
        <w:t>, Yamanaka and colleagues demonstrated that somatic cells could be reprogrammed to pluripotency by expression of OCT4, KLF4, MYC, and SOX2</w:t>
      </w:r>
      <w:r w:rsidR="00CD346D" w:rsidRPr="00B72A96">
        <w:rPr>
          <w:vertAlign w:val="superscript"/>
        </w:rPr>
        <w:fldChar w:fldCharType="begin" w:fldLock="1"/>
      </w:r>
      <w:r w:rsidR="000B4C3C" w:rsidRPr="00B72A96">
        <w:rPr>
          <w:vertAlign w:val="superscript"/>
        </w:rPr>
        <w:instrText>ADDIN CSL_CITATION {"citationItems":[{"id":"ITEM-1","itemData":{"DOI":"10.1016/j.cell.2007.11.019","ISSN":"00928674","PMID":"18035408","abstract":"Successful reprogramming of differentiated human somatic cells into a pluripotent state would allow creation of patient- and disease-specific stem cells. We previously reported generation of induced pluripotent stem (iPS) cells, capable of germline transmission, from mouse somatic cells by transduction of four defined transcription factors. Here, we demonstrate the generation of iPS cells from adult human dermal fibroblasts with the same four factors: Oct3/4, Sox2, Klf4, and c-Myc. Human iPS cells were similar to human embryonic stem (ES) cells in morphology, proliferation, surface antigens, gene expression, epigenetic status of pluripotent cell-specific genes, and telomerase activity. Furthermore, these cells could differentiate into cell types of the three germ layers in vitro and in teratomas. These findings demonstrate that iPS cells can be generated from adult human fibroblasts. © 2007 Elsevier Inc. All rights reserved.","author":[{"dropping-particle":"","family":"Takahashi","given":"Kazutoshi","non-dropping-particle":"","parse-names":false,"suffix":""},{"dropping-particle":"","family":"Tanabe","given":"Koji","non-dropping-particle":"","parse-names":false,"suffix":""},{"dropping-particle":"","family":"Ohnuki","given":"Mari","non-dropping-particle":"","parse-names":false,"suffix":""},{"dropping-particle":"","family":"Narita","given":"Megumi","non-dropping-particle":"","parse-names":false,"suffix":""},{"dropping-particle":"","family":"Ichisaka","given":"Tomoko","non-dropping-particle":"","parse-names":false,"suffix":""},{"dropping-particle":"","family":"Tomoda","given":"Kiichiro","non-dropping-particle":"","parse-names":false,"suffix":""},{"dropping-particle":"","family":"Yamanaka","given":"Shinya","non-dropping-particle":"","parse-names":false,"suffix":""}],"container-title":"Cell","id":"ITEM-1","issue":"5","issued":{"date-parts":[["2007"]]},"page":"861-872","title":"Induction of Pluripotent Stem Cells from Adult Human Fibroblasts by Defined Factors","type":"article-journal","volume":"131"},"uris":["http://www.mendeley.com/documents/?uuid=80794c23-0bc4-4bdd-a135-ff7350ad9c0f"]}],"mendeley":{"formattedCitation":"&lt;sup&gt;2&lt;/sup&gt;","plainTextFormattedCitation":"2","previouslyFormattedCitation":"&lt;sup&gt;2&lt;/sup&gt;"},"properties":{"noteIndex":0},"schema":"https://github.com/citation-style-language/schema/raw/master/csl-citation.json"}</w:instrText>
      </w:r>
      <w:r w:rsidR="00CD346D" w:rsidRPr="00B72A96">
        <w:rPr>
          <w:vertAlign w:val="superscript"/>
        </w:rPr>
        <w:fldChar w:fldCharType="separate"/>
      </w:r>
      <w:r w:rsidR="00CD346D" w:rsidRPr="00B72A96">
        <w:rPr>
          <w:noProof/>
          <w:vertAlign w:val="superscript"/>
        </w:rPr>
        <w:t>2</w:t>
      </w:r>
      <w:r w:rsidR="00CD346D" w:rsidRPr="00B72A96">
        <w:rPr>
          <w:vertAlign w:val="superscript"/>
        </w:rPr>
        <w:fldChar w:fldCharType="end"/>
      </w:r>
      <w:r w:rsidRPr="00B72A96">
        <w:t>. These human induced pluripotent stem cells (</w:t>
      </w:r>
      <w:proofErr w:type="spellStart"/>
      <w:r w:rsidRPr="00B72A96">
        <w:t>hiPSCs</w:t>
      </w:r>
      <w:proofErr w:type="spellEnd"/>
      <w:r w:rsidRPr="00B72A96">
        <w:t xml:space="preserve">) display an “embryonic stem cell-like” transcriptional and epigenetic profile highly </w:t>
      </w:r>
      <w:proofErr w:type="gramStart"/>
      <w:r w:rsidRPr="00B72A96">
        <w:t>similar to</w:t>
      </w:r>
      <w:proofErr w:type="gramEnd"/>
      <w:r w:rsidRPr="00B72A96">
        <w:t xml:space="preserve"> </w:t>
      </w:r>
      <w:proofErr w:type="spellStart"/>
      <w:r w:rsidRPr="00B72A96">
        <w:t>hESCs</w:t>
      </w:r>
      <w:proofErr w:type="spellEnd"/>
      <w:r w:rsidRPr="00B72A96">
        <w:t xml:space="preserve"> and have opened new horizons towards personalized medicine (regenerative and cell therapy)</w:t>
      </w:r>
      <w:r w:rsidR="00B6189E">
        <w:t>,</w:t>
      </w:r>
      <w:r w:rsidRPr="00B72A96">
        <w:t xml:space="preserve"> given their isolation from the patient. </w:t>
      </w:r>
    </w:p>
    <w:p w14:paraId="146F60EB" w14:textId="77777777" w:rsidR="000C3DAE" w:rsidRPr="00B72A96" w:rsidRDefault="000C3DAE" w:rsidP="00BD5E4C">
      <w:pPr>
        <w:contextualSpacing/>
        <w:mirrorIndents/>
      </w:pPr>
    </w:p>
    <w:p w14:paraId="0FE5D7F6" w14:textId="2E17C248" w:rsidR="000C3DAE" w:rsidRPr="00B72A96" w:rsidRDefault="00000000" w:rsidP="00BD5E4C">
      <w:pPr>
        <w:contextualSpacing/>
        <w:mirrorIndents/>
      </w:pPr>
      <w:r w:rsidRPr="00B72A96">
        <w:t>From a developmental biology perspective, mammalian development has been widely studied using the mouse embryo as a reference. However, significant interspecies differences in morphogenesis, cell fate specification, and chromosomal stability highlight the need to complement these studies with human-specific models</w:t>
      </w:r>
      <w:r w:rsidR="000B4C3C" w:rsidRPr="00B72A96">
        <w:fldChar w:fldCharType="begin" w:fldLock="1"/>
      </w:r>
      <w:r w:rsidR="000B4C3C" w:rsidRPr="00B72A96">
        <w:instrText>ADDIN CSL_CITATION {"citationItems":[{"id":"ITEM-1","itemData":{"DOI":"10.1242/DEV.115451","ISSN":"0950-1991","PMID":"25516964","abstract":"Lessons learned from conserved vertebrate developmental pathways have catalyzed rapid advances in pluripotent stem cell differentiation towards therapeutically relevant cell types. The most highly conserved phases of development are associated with the early patterning of the body plan-the so-called phylotypic stage. Both prior to and after this stage there is much more divergence across species. Developmental differences between human and mouse at the blastocyst and early post-implantation stages might help explain the differences among the different stem cell lines derived from these embryos. A better understanding of these early stages of human development will aid our ability to generate and manipulate human stem cells and their derivatives.","author":[{"dropping-particle":"","family":"Rossant","given":"Janet","non-dropping-particle":"","parse-names":false,"suffix":""}],"container-title":"Development","id":"ITEM-1","issue":"1","issued":{"date-parts":[["2015","1","1"]]},"page":"9-12","publisher":"The Company of Biologists","title":"Mouse and human blastocyst-derived stem cells: vive les differences","type":"article-journal","volume":"142"},"uris":["http://www.mendeley.com/documents/?uuid=8a007f63-40f8-33f8-a517-4975ae11d65e"]},{"id":"ITEM-2","itemData":{"DOI":"10.1016/BS.CTDB.2019.10.002","ISBN":"9780128127988","ISSN":"0070-2153","PMID":"31959285","abstract":"Development of the mammalian embryo begins with formation of the totipotent zygote during fertilization. This initial cell is able to give rise to every embryonic tissue of the developing organism as well as all extra-embryonic lineages, such as the placenta and the yolk sac, which are essential for the initial patterning and support growth of the fetus until birth. As the embryo transits from pre- to post-implantation, major structural and transcriptional changes occur within the embryonic lineage to set up the basis for the subsequent phase of gastrulation. Fine-tuned coordination of cell division, morphogenesis and differentiation is essential to ultimately promote assembly of the future fetus. Here, we review the current knowledge of mammalian development of both mouse and human focusing on morphogenetic processes leading to the onset of gastrulation, when the embryonic anterior-posterior axis becomes established and the three germ layers start to be specified.","author":[{"dropping-particle":"","family":"Molè","given":"Matteo A.","non-dropping-particle":"","parse-names":false,"suffix":""},{"dropping-particle":"","family":"Weberling","given":"Antonia","non-dropping-particle":"","parse-names":false,"suffix":""},{"dropping-particle":"","family":"Zernicka-Goetz","given":"Magdalena","non-dropping-particle":"","parse-names":false,"suffix":""}],"container-title":"Current Topics in Developmental Biology","id":"ITEM-2","issued":{"date-parts":[["2020","1","1"]]},"page":"113-138","publisher":"Academic Press","title":"Comparative analysis of human and mouse development: From zygote to pre-gastrulation","type":"article-journal","volume":"136"},"uris":["http://www.mendeley.com/documents/?uuid=73636890-73ee-30c9-95d1-aee45cb61818"]}],"mendeley":{"formattedCitation":"&lt;sup&gt;3,4&lt;/sup&gt;","plainTextFormattedCitation":"3,4","previouslyFormattedCitation":"&lt;sup&gt;3,4&lt;/sup&gt;"},"properties":{"noteIndex":0},"schema":"https://github.com/citation-style-language/schema/raw/master/csl-citation.json"}</w:instrText>
      </w:r>
      <w:r w:rsidR="000B4C3C" w:rsidRPr="00B72A96">
        <w:fldChar w:fldCharType="separate"/>
      </w:r>
      <w:r w:rsidR="000B4C3C" w:rsidRPr="00B72A96">
        <w:rPr>
          <w:noProof/>
          <w:vertAlign w:val="superscript"/>
        </w:rPr>
        <w:t>3,4</w:t>
      </w:r>
      <w:r w:rsidR="000B4C3C" w:rsidRPr="00B72A96">
        <w:fldChar w:fldCharType="end"/>
      </w:r>
      <w:r w:rsidRPr="00B72A96">
        <w:t xml:space="preserve">. Human embryo research is legally and ethically restricted beyond 14 days post-fertilization, corresponding to the onset of gastrulation. As a result, </w:t>
      </w:r>
      <w:proofErr w:type="spellStart"/>
      <w:r w:rsidRPr="00B72A96">
        <w:t>hPSCs</w:t>
      </w:r>
      <w:proofErr w:type="spellEnd"/>
      <w:r w:rsidRPr="00B72A96">
        <w:t xml:space="preserve"> have emerged as a powerful </w:t>
      </w:r>
      <w:r w:rsidRPr="00B72A96">
        <w:rPr>
          <w:i/>
          <w:iCs/>
        </w:rPr>
        <w:t>in vitro</w:t>
      </w:r>
      <w:r w:rsidRPr="00B72A96">
        <w:t xml:space="preserve"> system to recapitulate aspects of early human embryonic development and cell fate choices in the absence of direct access to human embryos. During the last decades, research on cellular signaling, matrix support</w:t>
      </w:r>
      <w:r w:rsidR="00571C4B" w:rsidRPr="00B72A96">
        <w:t>,</w:t>
      </w:r>
      <w:r w:rsidRPr="00B72A96">
        <w:t xml:space="preserve"> and stem cell differentiation has paved the way for numerous protocols to generate robust early ge</w:t>
      </w:r>
      <w:r w:rsidR="004859F8" w:rsidRPr="00B72A96">
        <w:t>r</w:t>
      </w:r>
      <w:r w:rsidRPr="00B72A96">
        <w:t>m layers and mature cell types of diverse organs in two dimensions (2D) using PSCs, in a scalable manner</w:t>
      </w:r>
      <w:r w:rsidR="000B4C3C" w:rsidRPr="00B72A96">
        <w:fldChar w:fldCharType="begin" w:fldLock="1"/>
      </w:r>
      <w:r w:rsidR="000B4C3C" w:rsidRPr="00B72A96">
        <w:instrText>ADDIN CSL_CITATION {"citationItems":[{"id":"ITEM-1","itemData":{"DOI":"10.1016/J.STEM.2013.12.007","ISSN":"1934-5909","PMID":"24412311","abstract":"Human pluripotent stem cell (hPSC) differentiation typically yields heterogeneous populations. Knowledge of signals controlling embryonic lineage bifurcations could efficiently yield desired cell types through exclusion of alternate fates. Therefore, we revisited signals driving induction and anterior-posterior patterning of definitive endoderm to generate a coherent roadmap for endoderm differentiation. With striking temporal dynamics, BMP and Wnt initially specified anterior primitive streak (progenitor to endoderm), yet, 24 hr later, suppressed endoderm and induced mesoderm. At lineage bifurcations, cross-repressive signals separated mutually exclusive fates; TGF-β and BMP/MAPK respectively induced pancreas versus liver from endoderm by suppressing the alternate lineage. We systematically blockaded alternate fates throughout multiple consecutive bifurcations, thereby efficiently differentiating multiple hPSC lines exclusively into endoderm and its derivatives. Comprehensive transcriptional and chromatin mapping of highly pure endodermal populations revealed that endodermal enhancers existed in a surprising diversity of \"pre-enhancer\" states before activation, reflecting the establishment of a permissive chromatin landscape as a prelude to differentiation. © 2014 Elsevier Inc.","author":[{"dropping-particle":"","family":"Loh","given":"Kyle M.","non-dropping-particle":"","parse-names":false,"suffix":""},{"dropping-particle":"","family":"Ang","given":"Lay Teng","non-dropping-particle":"","parse-names":false,"suffix":""},{"dropping-particle":"","family":"Zhang","given":"Jingyao","non-dropping-particle":"","parse-names":false,"suffix":""},{"dropping-particle":"","family":"Kumar","given":"Vibhor","non-dropping-particle":"","parse-names":false,"suffix":""},{"dropping-particle":"","family":"Ang","given":"Jasmin","non-dropping-particle":"","parse-names":false,"suffix":""},{"dropping-particle":"","family":"Auyeong","given":"Jun Qiang","non-dropping-particle":"","parse-names":false,"suffix":""},{"dropping-particle":"","family":"Lee","given":"Kian Leong","non-dropping-particle":"","parse-names":false,"suffix":""},{"dropping-particle":"","family":"Choo","given":"Siew Hua","non-dropping-particle":"","parse-names":false,"suffix":""},{"dropping-particle":"","family":"Lim","given":"Christina Y.Y.","non-dropping-particle":"","parse-names":false,"suffix":""},{"dropping-particle":"","family":"Nichane","given":"Massimo","non-dropping-particle":"","parse-names":false,"suffix":""},{"dropping-particle":"","family":"Tan","given":"Junru","non-dropping-particle":"","parse-names":false,"suffix":""},{"dropping-particle":"","family":"Noghabi","given":"Monireh Soroush","non-dropping-particle":"","parse-names":false,"suffix":""},{"dropping-particle":"","family":"Azzola","given":"Lisa","non-dropping-particle":"","parse-names":false,"suffix":""},{"dropping-particle":"","family":"Ng","given":"Elizabeth S.","non-dropping-particle":"","parse-names":false,"suffix":""},{"dropping-particle":"","family":"Durruthy-Durruthy","given":"Jens","non-dropping-particle":"","parse-names":false,"suffix":""},{"dropping-particle":"","family":"Sebastiano","given":"Vittorio","non-dropping-particle":"","parse-names":false,"suffix":""},{"dropping-particle":"","family":"Poellinger","given":"Lorenz","non-dropping-particle":"","parse-names":false,"suffix":""},{"dropping-particle":"","family":"Elefanty","given":"Andrew G.","non-dropping-particle":"","parse-names":false,"suffix":""},{"dropping-particle":"","family":"Stanley","given":"Edouard G.","non-dropping-particle":"","parse-names":false,"suffix":""},{"dropping-particle":"","family":"Chen","given":"Qingfeng","non-dropping-particle":"","parse-names":false,"suffix":""},{"dropping-particle":"","family":"Prabhakar","given":"Shyam","non-dropping-particle":"","parse-names":false,"suffix":""},{"dropping-particle":"","family":"Weissman","given":"Irving L.","non-dropping-particle":"","parse-names":false,"suffix":""},{"dropping-particle":"","family":"Lim","given":"Bing","non-dropping-particle":"","parse-names":false,"suffix":""}],"container-title":"Cell Stem Cell","id":"ITEM-1","issue":"2","issued":{"date-parts":[["2014","2","6"]]},"page":"237-252","publisher":"Cell Press","title":"Efficient Endoderm Induction from Human Pluripotent Stem Cells by Logically Directing Signals Controlling Lineage Bifurcations","type":"article-journal","volume":"14"},"uris":["http://www.mendeley.com/documents/?uuid=5ca907b1-c1f4-3ed1-9544-23a1585288b3"]},{"id":"ITEM-2","itemData":{"DOI":"10.1016/J.CELL.2016.06.011","ISSN":"1097-4172","PMID":"27419872","abstract":"Stem-cell differentiation to desired lineages requires navigating alternating developmental paths that often lead to unwanted cell types. Hence, comprehensive developmental roadmaps are crucial to channel stem-cell differentiation toward desired fates. To this end, here, we map bifurcating lineage choices leading from pluripotency to 12 human mesodermal lineages, including bone, muscle, and heart. We defined the extrinsic signals controlling each binary lineage decision, enabling us to logically block differentiation toward unwanted fates and rapidly steer pluripotent stem cells toward 80%–99% pure human mesodermal lineages at most branchpoints. This strategy enabled the generation of human bone and heart progenitors that could engraft in respective in vivo models. Mapping stepwise chromatin and single-cell gene expression changes in mesoderm development uncovered somite segmentation, a previously unobservable human embryonic event transiently marked by HOPX expression. Collectively, this roadmap enables navigation of mesodermal development to produce transplantable human tissue progenitors and uncover developmental processes. Video Abstract","author":[{"dropping-particle":"","family":"Loh","given":"Kyle M M.","non-dropping-particle":"","parse-names":false,"suffix":""},{"dropping-particle":"","family":"Chen","given":"Angela","non-dropping-particle":"","parse-names":false,"suffix":""},{"dropping-particle":"","family":"Koh","given":"Pang Wei W.","non-dropping-particle":"","parse-names":false,"suffix":""},{"dropping-particle":"","family":"Deng","given":"Tianda Z Z.","non-dropping-particle":"","parse-names":false,"suffix":""},{"dropping-particle":"","family":"Sinha","given":"Rahul","non-dropping-particle":"","parse-names":false,"suffix":""},{"dropping-particle":"","family":"Tsai","given":"Jonathan M M.","non-dropping-particle":"","parse-names":false,"suffix":""},{"dropping-particle":"","family":"Barkal","given":"Amira A A.","non-dropping-particle":"","parse-names":false,"suffix":""},{"dropping-particle":"","family":"Shen","given":"Kimberle Y Y.","non-dropping-particle":"","parse-names":false,"suffix":""},{"dropping-particle":"","family":"Jain","given":"Rajan","non-dropping-particle":"","parse-names":false,"suffix":""},{"dropping-particle":"","family":"Morganti","given":"Rachel M M.","non-dropping-particle":"","parse-names":false,"suffix":""},{"dropping-particle":"","family":"Shyh-Chang","given":"Ng","non-dropping-particle":"","parse-names":false,"suffix":""},{"dropping-particle":"","family":"Fernhoff","given":"Nathaniel B B.","non-dropping-particle":"","parse-names":false,"suffix":""},{"dropping-particle":"","family":"George","given":"Benson M M.","non-dropping-particle":"","parse-names":false,"suffix":""},{"dropping-particle":"","family":"Wernig","given":"Gerlinde","non-dropping-particle":"","parse-names":false,"suffix":""},{"dropping-particle":"","family":"Salomon","given":"Rachel E E.A.","non-dropping-particle":"","parse-names":false,"suffix":""},{"dropping-particle":"","family":"Chen","given":"Zhenghao","non-dropping-particle":"","parse-names":false,"suffix":""},{"dropping-particle":"","family":"Vogel","given":"Hannes","non-dropping-particle":"","parse-names":false,"suffix":""},{"dropping-particle":"","family":"Epstein","given":"Jonathan A A.","non-dropping-particle":"","parse-names":false,"suffix":""},{"dropping-particle":"","family":"Kundaje","given":"Anshul","non-dropping-particle":"","parse-names":false,"suffix":""},{"dropping-particle":"","family":"Talbot","given":"William S S.","non-dropping-particle":"","parse-names":false,"suffix":""},{"dropping-particle":"","family":"Beachy","given":"Philip A A.","non-dropping-particle":"","parse-names":false,"suffix":""},{"dropping-particle":"","family":"Ang","given":"Lay Teng T.","non-dropping-particle":"","parse-names":false,"suffix":""},{"dropping-particle":"","family":"Weissman","given":"Irving L L.","non-dropping-particle":"","parse-names":false,"suffix":""}],"container-title":"Cell","id":"ITEM-2","issue":"2","issued":{"date-parts":[["2016","7","14"]]},"page":"451-467","publisher":"Cell","title":"Mapping the Pairwise Choices Leading from Pluripotency to Human Bone, Heart, and Other Mesoderm Cell Types","type":"article-journal","volume":"166"},"uris":["http://www.mendeley.com/documents/?uuid=cd152ee6-798d-3bdd-aa02-bebad121a871"]},{"id":"ITEM-3","itemData":{"DOI":"10.1016/J.STEM.2017.08.015","ISSN":"1875-9777","PMID":"28886367","abstract":"Directing the fate of human pluripotent stem cells (hPSCs) into different lineages requires variable starting conditions and components with undefined activities, introducing inconsistencies that confound reproducibility and assessment of specific perturbations. Here we introduce a simple, modular protocol for deriving the four main ectodermal lineages from hPSCs. By precisely varying FGF, BMP, WNT, and TGFβ pathway activity in a minimal, chemically defined medium, we show parallel, robust, and reproducible derivation of neuroectoderm, neural crest (NC), cranial placode (CP), and non-neural ectoderm in multiple hPSC lines, on different substrates independently of cell density. We highlight the utility of this system by interrogating the role of TFAP2 transcription factors in ectodermal differentiation, revealing the importance of TFAP2A in NC and CP specification, and performing a small-molecule screen that identified compounds that further enhance CP differentiation. This platform provides a simple stage for systematic derivation of the entire range of ectodermal cell types. Tchieu et al. develop a chemically defined culture platform that allows parallel derivation of human PSCs into all major ectodermal lineages. The utility of this platform is shown through genetic dissection of the roles of TFAP transcription factors in ectoderm and a chemical screen that identified compounds promoting cranial placode differentiation.","author":[{"dropping-particle":"","family":"Tchieu","given":"Jason","non-dropping-particle":"","parse-names":false,"suffix":""},{"dropping-particle":"","family":"Zimmer","given":"Bastian","non-dropping-particle":"","parse-names":false,"suffix":""},{"dropping-particle":"","family":"Fattahi","given":"Faranak","non-dropping-particle":"","parse-names":false,"suffix":""},{"dropping-particle":"","family":"Amin","given":"Sadaf","non-dropping-particle":"","parse-names":false,"suffix":""},{"dropping-particle":"","family":"Zeltner","given":"Nadja","non-dropping-particle":"","parse-names":false,"suffix":""},{"dropping-particle":"","family":"Chen","given":"Shuibing","non-dropping-particle":"","parse-names":false,"suffix":""},{"dropping-particle":"","family":"Studer","given":"Lorenz","non-dropping-particle":"","parse-names":false,"suffix":""}],"container-title":"Cell stem cell","id":"ITEM-3","issue":"3","issued":{"date-parts":[["2017","9","7"]]},"page":"399-410.e7","publisher":"Cell Stem Cell","title":"A Modular Platform for Differentiation of Human PSCs into All Major Ectodermal Lineages","type":"article-journal","volume":"21"},"uris":["http://www.mendeley.com/documents/?uuid=e207834e-8deb-345e-95b9-41bd630b992f"]},{"id":"ITEM-4","itemData":{"DOI":"10.1038/s41556-025-01618-9","ISSN":"14764679","PMID":"39966670","abstract":"Tissue patterning coordinates morphogenesis, cell dynamics and fate specification. Understanding how precision in patterning is robustly achieved despite inherent developmental variability during mammalian embryogenesis remains a challenge. Here, based on cell dynamics quantification and simulation, we show how salt-and-pepper epiblast and primitive endoderm (PrE) cells pattern the inner cell mass of mouse blastocysts. Coupling cell fate and dynamics, PrE cells form apical polarity-dependent actin protrusions required for RAC1-dependent migration towards the surface of the fluid cavity, where PrE cells are trapped due to decreased tension. Concomitantly, PrE cells deposit an extracellular matrix gradient, presumably breaking the tissue-level symmetry and collectively guiding their own migration. Tissue size perturbations of mouse embryos and their comparison with monkey and human blastocysts further demonstrate that the fixed proportion of PrE/epiblast cells is optimal with respect to embryo size and tissue geometry and, despite variability, ensures patterning robustness during early mammalian development.","author":[{"dropping-particle":"","family":"Moghe","given":"Prachiti","non-dropping-particle":"","parse-names":false,"suffix":""},{"dropping-particle":"","family":"Belousov","given":"Roman","non-dropping-particle":"","parse-names":false,"suffix":""},{"dropping-particle":"","family":"Ichikawa","given":"Takafumi","non-dropping-particle":"","parse-names":false,"suffix":""},{"dropping-particle":"","family":"Iwatani","given":"Chizuru","non-dropping-particle":"","parse-names":false,"suffix":""},{"dropping-particle":"","family":"Tsukiyama","given":"Tomoyuki","non-dropping-particle":"","parse-names":false,"suffix":""},{"dropping-particle":"","family":"Erzberger","given":"Anna","non-dropping-particle":"","parse-names":false,"suffix":""},{"dropping-particle":"","family":"Hiiragi","given":"Takashi","non-dropping-particle":"","parse-names":false,"suffix":""}],"container-title":"Nature Cell Biology","id":"ITEM-4","issue":"3","issued":{"date-parts":[["2025","3","1"]]},"page":"408-423","publisher":"Nature Research","title":"Coupling of cell shape, matrix and tissue dynamics ensures embryonic patterning robustness","type":"article-journal","volume":"27"},"uris":["http://www.mendeley.com/documents/?uuid=809be1bf-8187-3498-a575-9af4b85f4382"]}],"mendeley":{"formattedCitation":"&lt;sup&gt;5–8&lt;/sup&gt;","plainTextFormattedCitation":"5–8","previouslyFormattedCitation":"&lt;sup&gt;5–8&lt;/sup&gt;"},"properties":{"noteIndex":0},"schema":"https://github.com/citation-style-language/schema/raw/master/csl-citation.json"}</w:instrText>
      </w:r>
      <w:r w:rsidR="000B4C3C" w:rsidRPr="00B72A96">
        <w:fldChar w:fldCharType="separate"/>
      </w:r>
      <w:r w:rsidR="000B4C3C" w:rsidRPr="00B72A96">
        <w:rPr>
          <w:noProof/>
          <w:vertAlign w:val="superscript"/>
        </w:rPr>
        <w:t>5–8</w:t>
      </w:r>
      <w:r w:rsidR="000B4C3C" w:rsidRPr="00B72A96">
        <w:fldChar w:fldCharType="end"/>
      </w:r>
      <w:r w:rsidRPr="00B72A96">
        <w:t>. These systems, however, lack a hierarchical structure, dimensionality</w:t>
      </w:r>
      <w:r w:rsidR="00425809" w:rsidRPr="00B72A96">
        <w:t>,</w:t>
      </w:r>
      <w:r w:rsidRPr="00B72A96">
        <w:t xml:space="preserve"> and an embryo-like architecture that has been recently provided by 3D human stem cell-based embryo models, which recapitulate early developmental stages through self-organization</w:t>
      </w:r>
      <w:r w:rsidR="000B4C3C" w:rsidRPr="00B72A96">
        <w:rPr>
          <w:vertAlign w:val="superscript"/>
        </w:rPr>
        <w:t xml:space="preserve"> </w:t>
      </w:r>
      <w:r w:rsidR="000B4C3C" w:rsidRPr="00B72A96">
        <w:rPr>
          <w:vertAlign w:val="superscript"/>
        </w:rPr>
        <w:fldChar w:fldCharType="begin" w:fldLock="1"/>
      </w:r>
      <w:r w:rsidR="005416C1" w:rsidRPr="00B72A96">
        <w:rPr>
          <w:vertAlign w:val="superscript"/>
        </w:rPr>
        <w:instrText>ADDIN CSL_CITATION {"citationItems":[{"id":"ITEM-1","itemData":{"DOI":"10.1016/J.STEMCR.2021.02.002/ASSET/2B0D6D19-8B28-4045-BFBB-2270BBCD7F13/MAIN.ASSETS/GR2.JPG","ISSN":"22136711","PMID":"33667412","abstract":"Stem cell-based embryo models open an unprecedented avenue for modeling embryogenesis, cell lineage differentiation, tissue morphogenesis, and organogenesis in mammalian development. Experimentation on these embryo models can lead to a better understanding of the mechanisms of development and offers opportunities for functional genomic studies of disease-causing mechanisms, identification of therapeutic targets, and preclinical modeling of advanced therapeutics for precision medicine. An immediate challenge is to create embryo models of high fidelity to embryogenesis and organogenesis in vivo, to ensure that the knowledge gleaned is biologically meaningful and clinically relevant.","author":[{"dropping-particle":"","family":"Rossant","given":"Janet","non-dropping-particle":"","parse-names":false,"suffix":""},{"dropping-particle":"","family":"Tam","given":"Patrick P.L.","non-dropping-particle":"","parse-names":false,"suffix":""}],"container-title":"Stem Cell Reports","id":"ITEM-1","issue":"5","issued":{"date-parts":[["2021","5","11"]]},"page":"1031-1038","publisher":"Cell Press","title":"Opportunities and challenges with stem cell-based embryo models","type":"article-journal","volume":"16"},"uris":["http://www.mendeley.com/documents/?uuid=5214bbe2-2078-3220-8ffc-2f0bfe6195f8"]},{"id":"ITEM-2","itemData":{"DOI":"10.1038/s41586-023-06604-5","ISSN":"1476-4687","PMID":"37673118","abstract":"The ability to study human post-implantation development remains limited owing to ethical and technical challenges associated with intrauterine development after implantation1. Embryo-like models with spatially organized morphogenesis and structure of all defining embryonic and extra-embryonic tissues of the post-implantation human conceptus (that is, the embryonic disc, the bilaminar disc, the yolk sac, the chorionic sac and the surrounding trophoblast&amp;nbsp;layer) remain lacking1,2. Mouse naive embryonic stem cells have recently been shown to give rise to embryonic and extra-embryonic stem cells capable of self-assembling into post-gastrulation structured stem-cell-based embryo models with spatially organized morphogenesis (called SEMs)3. Here we extend those findings to humans using only genetically unmodified human naive embryonic stem cells (cultured in human enhanced naive stem cell medium&amp;nbsp;conditions)4. Such human fully integrated and complete SEMs recapitulate the organization of nearly all known lineages and compartments of post-implantation human embryos, including the epiblast, the hypoblast, the extra-embryonic mesoderm and the trophoblast&amp;nbsp;layer surrounding the latter compartments. These human complete SEMs demonstrated developmental growth dynamics that resemble key hallmarks of post-implantation stage embryogenesis up to 13–14 days after fertilization (Carnegie stage 6a). These include embryonic disc and bilaminar disc formation, epiblast lumenogenesis, polarized amniogenesis, anterior–posterior symmetry breaking, primordial germ-cell specification, polarized yolk sac with visceral and parietal endoderm formation, extra-embryonic mesoderm expansion that defines a chorionic cavity and a connecting stalk, and a trophoblast-surrounding compartment demonstrating syncytium and lacunae formation. This SEM platform will probably enable the experimental investigation of previously inaccessible windows of human early post implantation up to peri-gastrulation development. The culture of genetically unmodified human naive embryonic stem cells in specific growth conditions gives rise to structures that recapitulate those of post-implantation human embryos up to 13–14 days after fertilization.","author":[{"dropping-particle":"","family":"Oldak","given":"Bernardo","non-dropping-particle":"","parse-names":false,"suffix":""},{"dropping-particle":"","family":"Wildschutz","given":"Emilie","non-dropping-particle":"","parse-names":false,"suffix":""},{"dropping-particle":"","family":"Bondarenko","given":"Vladyslav","non-dropping-particle":"","parse-names":false,"suffix":""},{"dropping-particle":"","family":"Comar","given":"Mehmet Yunus","non-dropping-particle":"","parse-names":false,"suffix":""},{"dropping-particle":"","family":"Zhao","given":"Cheng","non-dropping-particle":"","parse-names":false,"suffix":""},{"dropping-particle":"","family":"Aguilera-Castrejon","given":"Alejandro","non-dropping-particle":"","parse-names":false,"suffix":""},{"dropping-particle":"","family":"Tarazi","given":"Shadi","non-dropping-particle":"","parse-names":false,"suffix":""},{"dropping-particle":"","family":"Viukov","given":"Sergey","non-dropping-particle":"","parse-names":false,"suffix":""},{"dropping-particle":"","family":"Pham","given":"Thi Xuan Ai","non-dropping-particle":"","parse-names":false,"suffix":""},{"dropping-particle":"","family":"Ashouokhi","given":"Shahd","non-dropping-particle":"","parse-names":false,"suffix":""},{"dropping-particle":"","family":"Lokshtanov","given":"Dmitry","non-dropping-particle":"","parse-names":false,"suffix":""},{"dropping-particle":"","family":"Roncato","given":"Francesco","non-dropping-particle":"","parse-names":false,"suffix":""},{"dropping-particle":"","family":"Ariel","given":"Eitan","non-dropping-particle":"","parse-names":false,"suffix":""},{"dropping-particle":"","family":"Rose","given":"Max","non-dropping-particle":"","parse-names":false,"suffix":""},{"dropping-particle":"","family":"Livnat","given":"Nir","non-dropping-particle":"","parse-names":false,"suffix":""},{"dropping-particle":"","family":"Shani","given":"Tom","non-dropping-particle":"","parse-names":false,"suffix":""},{"dropping-particle":"","family":"Joubran","given":"Carine","non-dropping-particle":"","parse-names":false,"suffix":""},{"dropping-particle":"","family":"Cohen","given":"Roni","non-dropping-particle":"","parse-names":false,"suffix":""},{"dropping-particle":"","family":"Addadi","given":"Yoseph","non-dropping-particle":"","parse-names":false,"suffix":""},{"dropping-particle":"","family":"Chemla","given":"Muriel","non-dropping-particle":"","parse-names":false,"suffix":""},{"dropping-particle":"","family":"Kedmi","given":"Merav","non-dropping-particle":"","parse-names":false,"suffix":""},{"dropping-particle":"","family":"Keren-Shaul","given":"Hadas","non-dropping-particle":"","parse-names":false,"suffix":""},{"dropping-particle":"","family":"Pasque","given":"Vincent","non-dropping-particle":"","parse-names":false,"suffix":""},{"dropping-particle":"","family":"Petropoulos","given":"Sophie","non-dropping-particle":"","parse-names":false,"suffix":""},{"dropping-particle":"","family":"Lanner","given":"Fredrik","non-dropping-particle":"","parse-names":false,"suffix":""},{"dropping-particle":"","family":"Novershtern","given":"Noa","non-dropping-particle":"","parse-names":false,"suffix":""},{"dropping-particle":"","family":"Hanna","given":"Jacob H.","non-dropping-particle":"","parse-names":false,"suffix":""}],"container-title":"Nature 2023 622:7983","id":"ITEM-2","issue":"7983","issued":{"date-parts":[["2023","9","6"]]},"page":"562-573","publisher":"Nature Publishing Group","title":"Complete human day 14 post-implantation embryo models from naive ES cells","type":"article-journal","volume":"622"},"uris":["http://www.mendeley.com/documents/?uuid=ff6255d8-b104-33e6-8263-8fd29352b998"]},{"id":"ITEM-3","itemData":{"DOI":"10.1038/s41563-020-00829-9","ISSN":"1476-4660","PMID":"33199861","abstract":"Despite its importance, understanding the early phases of human development has been limited by availability of human samples. The recent emergence of stem-cell-derived embryo models, a new field aiming to use stem cells to construct in vitro models to recapitulate snapshots of the development of the mammalian conceptus, opens up exciting opportunities to promote fundamental understanding of human development and advance reproductive and regenerative medicine. This Review provides a summary of the current knowledge of early mammalian development, using mouse and human conceptuses as models, and emphasizes their similarities and critical differences. We then highlight existing embryo models that mimic different aspects of mouse and human development. We further discuss bioengineering tools used for controlling multicellular interactions and self-organization critical for the development of these models. We conclude with a discussion of the important next steps and exciting future opportunities of stem-cell-derived embryo models for fundamental discovery and translation. This Review highlights the recent emergence of stem-cell-derived embryo models for the purpose of advancing our understanding of mammalian embryology as well as their potential uses in regenerative and reproductive medicine.","author":[{"dropping-particle":"","family":"Fu","given":"Jianping","non-dropping-particle":"","parse-names":false,"suffix":""},{"dropping-particle":"","family":"Warmflash","given":"Aryeh","non-dropping-particle":"","parse-names":false,"suffix":""},{"dropping-particle":"","family":"Lutolf","given":"Matthias P.","non-dropping-particle":"","parse-names":false,"suffix":""}],"container-title":"Nature Materials 2020 20:2","id":"ITEM-3","issue":"2","issued":{"date-parts":[["2020","11","16"]]},"page":"132-144","publisher":"Nature Publishing Group","title":"Stem-cell-based embryo models for fundamental research and translation","type":"article-journal","volume":"20"},"uris":["http://www.mendeley.com/documents/?uuid=2156311d-5ac5-3366-bcce-26967cb8bb82"]}],"mendeley":{"formattedCitation":"&lt;sup&gt;9–11&lt;/sup&gt;","plainTextFormattedCitation":"9–11","previouslyFormattedCitation":"&lt;sup&gt;9–11&lt;/sup&gt;"},"properties":{"noteIndex":0},"schema":"https://github.com/citation-style-language/schema/raw/master/csl-citation.json"}</w:instrText>
      </w:r>
      <w:r w:rsidR="000B4C3C" w:rsidRPr="00B72A96">
        <w:rPr>
          <w:vertAlign w:val="superscript"/>
        </w:rPr>
        <w:fldChar w:fldCharType="separate"/>
      </w:r>
      <w:r w:rsidR="000B4C3C" w:rsidRPr="00B72A96">
        <w:rPr>
          <w:noProof/>
          <w:vertAlign w:val="superscript"/>
        </w:rPr>
        <w:t>9–11</w:t>
      </w:r>
      <w:r w:rsidR="000B4C3C" w:rsidRPr="00B72A96">
        <w:rPr>
          <w:vertAlign w:val="superscript"/>
        </w:rPr>
        <w:fldChar w:fldCharType="end"/>
      </w:r>
      <w:r w:rsidRPr="00B72A96">
        <w:t xml:space="preserve">. </w:t>
      </w:r>
    </w:p>
    <w:p w14:paraId="7F9AC1DE" w14:textId="77777777" w:rsidR="000C3DAE" w:rsidRPr="00B72A96" w:rsidRDefault="000C3DAE" w:rsidP="00BD5E4C">
      <w:pPr>
        <w:contextualSpacing/>
        <w:mirrorIndents/>
      </w:pPr>
    </w:p>
    <w:p w14:paraId="6F0C691E" w14:textId="0C3B7C96" w:rsidR="000C3DAE" w:rsidRPr="00B72A96" w:rsidRDefault="00000000" w:rsidP="00BD5E4C">
      <w:pPr>
        <w:contextualSpacing/>
        <w:mirrorIndents/>
      </w:pPr>
      <w:r w:rsidRPr="00B72A96">
        <w:t xml:space="preserve">In the first part of this article, </w:t>
      </w:r>
      <w:r w:rsidR="001B2D92" w:rsidRPr="00B72A96">
        <w:t>the</w:t>
      </w:r>
      <w:r w:rsidRPr="00B72A96">
        <w:t xml:space="preserve"> focus </w:t>
      </w:r>
      <w:r w:rsidR="001B2D92" w:rsidRPr="00B72A96">
        <w:t xml:space="preserve">is </w:t>
      </w:r>
      <w:r w:rsidRPr="00B72A96">
        <w:t xml:space="preserve">on the generation of early post-implantation human embryonic lineages from </w:t>
      </w:r>
      <w:proofErr w:type="spellStart"/>
      <w:r w:rsidRPr="00B72A96">
        <w:t>hPSCs</w:t>
      </w:r>
      <w:proofErr w:type="spellEnd"/>
      <w:r w:rsidRPr="00B72A96">
        <w:t xml:space="preserve"> in 2D. Previous protocols have described in detail the signaling cascades driving pluripotency exit and specific lineage commitment using </w:t>
      </w:r>
      <w:proofErr w:type="spellStart"/>
      <w:r w:rsidRPr="00B72A96">
        <w:t>hPSCs</w:t>
      </w:r>
      <w:proofErr w:type="spellEnd"/>
      <w:r w:rsidRPr="00B72A96">
        <w:t>, in an attempt to reconstruct developmental events that have been previously observed and documented during vertebrate patterning (including in the mouse embryo</w:t>
      </w:r>
      <w:r w:rsidR="00425809" w:rsidRPr="00B72A96">
        <w:t>) but</w:t>
      </w:r>
      <w:r w:rsidRPr="00B72A96">
        <w:t xml:space="preserve"> have remained impossible to </w:t>
      </w:r>
      <w:r w:rsidR="00425809" w:rsidRPr="00B72A96">
        <w:t>test</w:t>
      </w:r>
      <w:r w:rsidRPr="00B72A96">
        <w:t xml:space="preserve"> in the human context</w:t>
      </w:r>
      <w:r w:rsidR="005416C1" w:rsidRPr="00B72A96">
        <w:rPr>
          <w:vertAlign w:val="superscript"/>
        </w:rPr>
        <w:fldChar w:fldCharType="begin" w:fldLock="1"/>
      </w:r>
      <w:r w:rsidR="005416C1" w:rsidRPr="00B72A96">
        <w:rPr>
          <w:vertAlign w:val="superscript"/>
        </w:rPr>
        <w:instrText>ADDIN CSL_CITATION {"citationItems":[{"id":"ITEM-1","itemData":{"DOI":"10.1093/EMBOJ/20.4.631","ISSN":"1460-2075","PMID":"11179208","author":[{"dropping-particle":"","family":"Niehrs","given":"C.","non-dropping-particle":"","parse-names":false,"suffix":""}],"container-title":"The EMBO Journal 2001 20:4","id":"ITEM-1","issue":"4","issued":{"date-parts":[["2001","2","15"]]},"page":"631-637","publisher":"Springer","title":"The Spemann organizer and embryonic head induction","type":"article-journal","volume":"20"},"uris":["http://www.mendeley.com/documents/?uuid=0824cd3f-e180-3256-9486-88ba02495cf3"]},{"id":"ITEM-2","itemData":{"DOI":"10.1038/378419D0","ISSN":"0028-0836","PMID":"7477384","author":[{"dropping-particle":"","family":"Sasai","given":"Yoshiki","non-dropping-particle":"","parse-names":false,"suffix":""},{"dropping-particle":"","family":"Lu","given":"Bin","non-dropping-particle":"","parse-names":false,"suffix":""},{"dropping-particle":"","family":"Steinbeisser","given":"Herbert","non-dropping-particle":"","parse-names":false,"suffix":""},{"dropping-particle":"","family":"Robertis","given":"Eddy M.","non-dropping-particle":"De","parse-names":false,"suffix":""}],"container-title":"Nature","id":"ITEM-2","issue":"6555","issued":{"date-parts":[["1995"]]},"page":"419","publisher":"Nature","title":"Regulation of neural induction by the Chd and Bmp-4 antagonistic patterning signals in Xenopus","type":"article-journal","volume":"378"},"uris":["http://www.mendeley.com/documents/?uuid=01cd0a57-b805-3b03-a67f-5b10bd055f7b"]},{"id":"ITEM-3","itemData":{"DOI":"10.1016/j.devcel.2004.07.012","ISSN":"15345807","PMID":"15296713","abstract":"Recent studies have revealed asymmetries in the mouse zygote and preimplantation embryo, well before the establishment of anterior-posterior polarity after implantation. Whether these asymmetries are causally related to embryonic patterning or are coincidental outcomes of the topology of normal development remains uncertain. © 2004 by Cell Press.","author":[{"dropping-particle":"","family":"Rossant","given":"Janet","non-dropping-particle":"","parse-names":false,"suffix":""},{"dropping-particle":"","family":"Tam","given":"Patrick P.L.","non-dropping-particle":"","parse-names":false,"suffix":""}],"container-title":"Developmental Cell","id":"ITEM-3","issue":"2","issued":{"date-parts":[["2004","8","1"]]},"page":"155-164","publisher":"Cell Press","title":"Emerging asymmetry and embryonic patterning in early mouse development","type":"article-journal","volume":"7"},"uris":["http://www.mendeley.com/documents/?uuid=84ec1d1a-0e5a-3044-961c-6ee34b4751c9"]}],"mendeley":{"formattedCitation":"&lt;sup&gt;12–14&lt;/sup&gt;","plainTextFormattedCitation":"12–14","previouslyFormattedCitation":"&lt;sup&gt;12–14&lt;/sup&gt;"},"properties":{"noteIndex":0},"schema":"https://github.com/citation-style-language/schema/raw/master/csl-citation.json"}</w:instrText>
      </w:r>
      <w:r w:rsidR="005416C1" w:rsidRPr="00B72A96">
        <w:rPr>
          <w:vertAlign w:val="superscript"/>
        </w:rPr>
        <w:fldChar w:fldCharType="separate"/>
      </w:r>
      <w:r w:rsidR="005416C1" w:rsidRPr="00B72A96">
        <w:rPr>
          <w:noProof/>
          <w:vertAlign w:val="superscript"/>
        </w:rPr>
        <w:t>12–14</w:t>
      </w:r>
      <w:r w:rsidR="005416C1" w:rsidRPr="00B72A96">
        <w:rPr>
          <w:vertAlign w:val="superscript"/>
        </w:rPr>
        <w:fldChar w:fldCharType="end"/>
      </w:r>
      <w:r w:rsidRPr="00B72A96">
        <w:t xml:space="preserve">. For instance, </w:t>
      </w:r>
      <w:proofErr w:type="spellStart"/>
      <w:r w:rsidRPr="00B72A96">
        <w:t>Wnt</w:t>
      </w:r>
      <w:proofErr w:type="spellEnd"/>
      <w:r w:rsidRPr="00B72A96">
        <w:t>, BMP</w:t>
      </w:r>
      <w:r w:rsidR="00425809" w:rsidRPr="00B72A96">
        <w:t>,</w:t>
      </w:r>
      <w:r w:rsidRPr="00B72A96">
        <w:t xml:space="preserve"> and Nodal/Activin signaling are critical for the establishment of the primitive streak and the mesodermal and endodermal cellular subtypes that arise in the posterior side of the gastrulating mammalian embryo</w:t>
      </w:r>
      <w:r w:rsidR="005416C1" w:rsidRPr="00B72A96">
        <w:rPr>
          <w:vertAlign w:val="superscript"/>
        </w:rPr>
        <w:fldChar w:fldCharType="begin" w:fldLock="1"/>
      </w:r>
      <w:r w:rsidR="005416C1" w:rsidRPr="00B72A96">
        <w:rPr>
          <w:vertAlign w:val="superscript"/>
        </w:rPr>
        <w:instrText>ADDIN CSL_CITATION {"citationItems":[{"id":"ITEM-1","itemData":{"DOI":"10.1242/dev.029017","ISSN":"09501991","PMID":"19176585","abstract":"The neural crest is induced by a combination of secreted signals. Although previous models of neural crest induction have proposed a step-wise activation of these signals, the actual spatial and temporal requirement has not been analysed. Through analysing the role of the mesoderm we show for the first time that specification of neural crest requires two temporally and chemically different steps: first, an induction at the gastrula stage dependent on signals arising from the dorsolateral mesoderm; and second, a maintenance step at the neurula stage dependent on signals from tissues adjacent to the neural crest. By performing tissue recombination experiments and using specific inhibitors of different inductive signals, we show that the first inductive step requires Wnt activation and BMP inhibition, whereas the later maintenance step requires activation of both pathways. This change in BMP necessity from BMP inhibition at gastrula to BMP activation at neurula stages is further supported by the dynamic expression of BMP4 and its antagonists, and is confirmed by direct measurements of BMP activity in the neural crest cells. The differential requirements of BMP activity allow us to propose an explanation for apparently discrepant results between chick and frog experiments. The demonstration that Wnt signals are required for neural crest induction by mesoderm solves an additional longstanding controversy. Finally, our results emphasise the importance of considering the order of exposure to signals during an inductive event.","author":[{"dropping-particle":"","family":"Steventon","given":"Ben","non-dropping-particle":"","parse-names":false,"suffix":""},{"dropping-particle":"","family":"Araya","given":"Claudio","non-dropping-particle":"","parse-names":false,"suffix":""},{"dropping-particle":"","family":"Linker","given":"Claudia","non-dropping-particle":"","parse-names":false,"suffix":""},{"dropping-particle":"","family":"Kuriyama","given":"Sei","non-dropping-particle":"","parse-names":false,"suffix":""},{"dropping-particle":"","family":"Mayor","given":"Roberto","non-dropping-particle":"","parse-names":false,"suffix":""}],"container-title":"Development","id":"ITEM-1","issue":"5","issued":{"date-parts":[["2009","3","1"]]},"page":"771-779","publisher":"The Company of Biologists Ltd","title":"Differential requirements of BMP and Wnt signalling during gastrulation and neurulation define two steps in neural crest induction","type":"article-journal","volume":"136"},"uris":["http://www.mendeley.com/documents/?uuid=066fdfbb-9ab5-36f2-979e-635a94068453"]},{"id":"ITEM-2","itemData":{"DOI":"10.1016/BS.CTDB.2019.11.011","ISBN":"9780128127902","ISSN":"0070-2153","PMID":"32143751","abstract":"Gastrulation is the process whereby cells exit pluripotency and concomitantly acquire and pattern distinct cell fates. This is driven by the convergence of WNT, BMP, Nodal and FGF signals, which are tightly spatially and temporally controlled, resulting in regional and stage-specific signaling environments. The combination, level and duration of signals that a cell is exposed to, according its position within the embryo and the developmental time window, dictates the fate it will adopt. The key pathways driving gastrulation exhibit complex interactions, which are difficult to disentangle in vivo due to the complexity of manipulating multiple signals in parallel with high spatiotemporal resolution. Thus, our current understanding of the signaling dynamics regulating gastrulation is limited. In vitro stem cell models have been established, which undergo organized cellular differentiation and patterning. These provide amenable, simplified, deconstructed and scalable models of gastrulation. While the foundation of our understanding of gastrulation stems from experiments in embryos, in vitro systems are now beginning to reveal the intricate details of signaling regulation. Here we discuss the current state of knowledge of the role, regulation and dynamic interaction of signaling pathways that drive mouse gastrulation.","author":[{"dropping-particle":"","family":"Morgani","given":"Sophie M.","non-dropping-particle":"","parse-names":false,"suffix":""},{"dropping-particle":"","family":"Hadjantonakis","given":"Anna Katerina","non-dropping-particle":"","parse-names":false,"suffix":""}],"container-title":"Current Topics in Developmental Biology","id":"ITEM-2","issued":{"date-parts":[["2020","1","1"]]},"page":"391-431","publisher":"Academic Press","title":"Signaling regulation during gastrulation: Insights from mouse embryos and in vitro systems","type":"article-journal","volume":"137"},"uris":["http://www.mendeley.com/documents/?uuid=d8af2378-8cd5-338a-a562-5559afeb94f1"]}],"mendeley":{"formattedCitation":"&lt;sup&gt;15,16&lt;/sup&gt;","plainTextFormattedCitation":"15,16","previouslyFormattedCitation":"&lt;sup&gt;15,16&lt;/sup&gt;"},"properties":{"noteIndex":0},"schema":"https://github.com/citation-style-language/schema/raw/master/csl-citation.json"}</w:instrText>
      </w:r>
      <w:r w:rsidR="005416C1" w:rsidRPr="00B72A96">
        <w:rPr>
          <w:vertAlign w:val="superscript"/>
        </w:rPr>
        <w:fldChar w:fldCharType="separate"/>
      </w:r>
      <w:r w:rsidR="005416C1" w:rsidRPr="00B72A96">
        <w:rPr>
          <w:noProof/>
          <w:vertAlign w:val="superscript"/>
        </w:rPr>
        <w:t>15,16</w:t>
      </w:r>
      <w:r w:rsidR="005416C1" w:rsidRPr="00B72A96">
        <w:rPr>
          <w:vertAlign w:val="superscript"/>
        </w:rPr>
        <w:fldChar w:fldCharType="end"/>
      </w:r>
      <w:r w:rsidRPr="00B72A96">
        <w:t>. On the other hand, inhibition of TGF</w:t>
      </w:r>
      <w:r w:rsidR="00AA50E4" w:rsidRPr="00B72A96">
        <w:t>β</w:t>
      </w:r>
      <w:r w:rsidRPr="00B72A96">
        <w:t xml:space="preserve">, </w:t>
      </w:r>
      <w:proofErr w:type="spellStart"/>
      <w:r w:rsidRPr="00B72A96">
        <w:t>Wnt</w:t>
      </w:r>
      <w:proofErr w:type="spellEnd"/>
      <w:r w:rsidR="001B2D92" w:rsidRPr="00B72A96">
        <w:t>,</w:t>
      </w:r>
      <w:r w:rsidRPr="00B72A96">
        <w:t xml:space="preserve"> and BMP cascades drives anteriorization of the epiblast and the commitment of primed pluripotent stem cells towards neuroectodermal fate</w:t>
      </w:r>
      <w:r w:rsidR="005416C1" w:rsidRPr="00B72A96">
        <w:rPr>
          <w:vertAlign w:val="superscript"/>
        </w:rPr>
        <w:fldChar w:fldCharType="begin" w:fldLock="1"/>
      </w:r>
      <w:r w:rsidR="00D0276B" w:rsidRPr="00B72A96">
        <w:rPr>
          <w:vertAlign w:val="superscript"/>
        </w:rPr>
        <w:instrText>ADDIN CSL_CITATION {"citationItems":[{"id":"ITEM-1","itemData":{"DOI":"10.1016/J.STEM.2017.08.015","ISSN":"1875-9777","PMID":"28886367","abstract":"Directing the fate of human pluripotent stem cells (hPSCs) into different lineages requires variable starting conditions and components with undefined activities, introducing inconsistencies that confound reproducibility and assessment of specific perturbations. Here we introduce a simple, modular protocol for deriving the four main ectodermal lineages from hPSCs. By precisely varying FGF, BMP, WNT, and TGFβ pathway activity in a minimal, chemically defined medium, we show parallel, robust, and reproducible derivation of neuroectoderm, neural crest (NC), cranial placode (CP), and non-neural ectoderm in multiple hPSC lines, on different substrates independently of cell density. We highlight the utility of this system by interrogating the role of TFAP2 transcription factors in ectodermal differentiation, revealing the importance of TFAP2A in NC and CP specification, and performing a small-molecule screen that identified compounds that further enhance CP differentiation. This platform provides a simple stage for systematic derivation of the entire range of ectodermal cell types. Tchieu et al. develop a chemically defined culture platform that allows parallel derivation of human PSCs into all major ectodermal lineages. The utility of this platform is shown through genetic dissection of the roles of TFAP transcription factors in ectoderm and a chemical screen that identified compounds promoting cranial placode differentiation.","author":[{"dropping-particle":"","family":"Tchieu","given":"Jason","non-dropping-particle":"","parse-names":false,"suffix":""},{"dropping-particle":"","family":"Zimmer","given":"Bastian","non-dropping-particle":"","parse-names":false,"suffix":""},{"dropping-particle":"","family":"Fattahi","given":"Faranak","non-dropping-particle":"","parse-names":false,"suffix":""},{"dropping-particle":"","family":"Amin","given":"Sadaf","non-dropping-particle":"","parse-names":false,"suffix":""},{"dropping-particle":"","family":"Zeltner","given":"Nadja","non-dropping-particle":"","parse-names":false,"suffix":""},{"dropping-particle":"","family":"Chen","given":"Shuibing","non-dropping-particle":"","parse-names":false,"suffix":""},{"dropping-particle":"","family":"Studer","given":"Lorenz","non-dropping-particle":"","parse-names":false,"suffix":""}],"container-title":"Cell stem cell","id":"ITEM-1","issue":"3","issued":{"date-parts":[["2017","9","7"]]},"page":"399-410.e7","publisher":"Cell Stem Cell","title":"A Modular Platform for Differentiation of Human PSCs into All Major Ectodermal Lineages","type":"article-journal","volume":"21"},"uris":["http://www.mendeley.com/documents/?uuid=e207834e-8deb-345e-95b9-41bd630b992f"]},{"id":"ITEM-2","itemData":{"DOI":"10.1006/DBIO.1996.8445","ISSN":"0012-1606","PMID":"9073437","abstract":"Recent molecular insights on how the ectodermal layer is patterned in vertebrates are reviewed. Studies on the induction of the central nervous system (CNS) by Spemann's Organizer led to the isolation of noggin and chordin. These secretory proteins function by binding to, and inhibiting, ventral BMPs, in particular BMP-4. Neural induction can be considered as the dorsalization of ectoderm, in which low levels of BMP-signaling result in CNS formation. At high levels of BMP signaling the ectoderm adopts a ventral fate and skin is formed. In Xenopus the forming neural plate already has extensive dorsal-ventral (D-V) patterning, and neural induction and D-V patterning may share common molecular mechanisms. At later stages sonic hedgehog (shh) plays a principal role in D-V patterning, particularly in the neural tube of the amniote embryo. A great many transcription factor markers are available and mouse knockouts provide evidence of their involvement in the regional specification of the neural tube. Recent evidence indicating that differentiation of posterior CNS is promoted by FGF, Wnt-3a, and retinoic acid is reviewed from the point of view of the classical experiments of Nieuwkoop that defined an activation and a transformation step during neural induction.","author":[{"dropping-particle":"","family":"Sasai","given":"Yoshiki","non-dropping-particle":"","parse-names":false,"suffix":""},{"dropping-particle":"","family":"Robertis","given":"Eddy M.","non-dropping-particle":"De","parse-names":false,"suffix":""}],"container-title":"Developmental Biology","id":"ITEM-2","issue":"1","issued":{"date-parts":[["1997","2","1"]]},"page":"5-20","publisher":"Academic Press","title":"Ectodermal Patterning in Vertebrate Embryos","type":"article-journal","volume":"182"},"uris":["http://www.mendeley.com/documents/?uuid=ce0018ae-acb1-337e-b594-5445a365441e"]},{"id":"ITEM-3","itemData":{"DOI":"10.1038/S41467-017-01105-2","ISSN":"2041-1723","PMID":"29109536","abstract":"The neuroectoderm is patterned along a rostral-caudal axis in response to localized factors in the embryo, but exactly how these factors act as positional information for this patterning is not yet fully understood. Here, using the self-organizing properties of mouse embryonic stem cell (ESC), we report that ESC-derived neuroectoderm self-generates a Six3+ rostral and a Irx3+ caudal bipolarized patterning. In this instance, localized Fgf signaling performs dual roles, as it regulates Six3+ rostral polarization at an earlier stage and promotes Wnt signaling at a later stage. The Wnt signaling components are differentially expressed in the polarized tissues, leading to genome-wide Irx3+ caudal-polarization signals. Surprisingly, differentially expressed Wnt agonists and antagonists have essential roles in orchestrating the formation of a balanced rostral-caudal neuroectoderm pattern. Together, our findings provide key processes for dynamic self-patterning and evidence that a temporally and locally regulated interaction between Fgf and Wnt signaling controls self-patterning in ESC-derived neuroectoderm.","author":[{"dropping-particle":"","family":"Takata","given":"Nozomu","non-dropping-particle":"","parse-names":false,"suffix":""},{"dropping-particle":"","family":"Sakakura","given":"Eriko","non-dropping-particle":"","parse-names":false,"suffix":""},{"dropping-particle":"","family":"Eiraku","given":"Mototsugu","non-dropping-particle":"","parse-names":false,"suffix":""},{"dropping-particle":"","family":"Kasukawa","given":"Takeya","non-dropping-particle":"","parse-names":false,"suffix":""},{"dropping-particle":"","family":"Sasai","given":"Yoshiki","non-dropping-particle":"","parse-names":false,"suffix":""}],"container-title":"Nature communications","id":"ITEM-3","issue":"1","issued":{"date-parts":[["2017","12","1"]]},"publisher":"Nat Commun","title":"Self-patterning of rostral-caudal neuroectoderm requires dual role of Fgf signaling for localized Wnt antagonism","type":"article-journal","volume":"8"},"uris":["http://www.mendeley.com/documents/?uuid=3a8d7862-8999-3d7a-abce-35c34d443e1b"]},{"id":"ITEM-4","itemData":{"DOI":"10.1038/nn1402","ISSN":"1546-1726","PMID":"15696161","abstract":"We demonstrate directed differentiation of telencephalic precursors from mouse embryonic stem (ES) cells using optimized serum-free suspension culture (SFEB culture). Treatment with Wnt and Nodal antagonists (Dkk1 and LeftyA) during the first 5 d of SFEB culture causes nearly selective neural differentiation in ES cells (</w:instrText>
      </w:r>
      <w:r w:rsidR="00D0276B" w:rsidRPr="00B72A96">
        <w:rPr>
          <w:rFonts w:ascii="Cambria Math" w:hAnsi="Cambria Math" w:cs="Cambria Math"/>
          <w:vertAlign w:val="superscript"/>
        </w:rPr>
        <w:instrText>∼</w:instrText>
      </w:r>
      <w:r w:rsidR="00D0276B" w:rsidRPr="00B72A96">
        <w:rPr>
          <w:vertAlign w:val="superscript"/>
        </w:rPr>
        <w:instrText>90%). In the presence of Dkk1, with or without LeftyA, SFEB induces efficient generation (</w:instrText>
      </w:r>
      <w:r w:rsidR="00D0276B" w:rsidRPr="00B72A96">
        <w:rPr>
          <w:rFonts w:ascii="Cambria Math" w:hAnsi="Cambria Math" w:cs="Cambria Math"/>
          <w:vertAlign w:val="superscript"/>
        </w:rPr>
        <w:instrText>∼</w:instrText>
      </w:r>
      <w:r w:rsidR="00D0276B" w:rsidRPr="00B72A96">
        <w:rPr>
          <w:vertAlign w:val="superscript"/>
        </w:rPr>
        <w:instrText>35%) of cells expressing telencephalic marker Bf1. Wnt3a treatment during the late culture period increases the pallial telencephalic population (Pax6+ cells yield up to 75% of Bf1+ cells), whereas Shh promotes basal telencephalic differentiation (into Nkx2.1+ and/or Islet1/2+ cells) at the cost of pallial telencephalic differentiation. Thus, in the absence of caudalizing signals, floating aggregates of ES cells generate naive telencephalic precursors that acquire subregional identities by responding to extracellular patterning signals.","author":[{"dropping-particle":"","family":"Watanabe","given":"Kiichi","non-dropping-particle":"","parse-names":false,"suffix":""},{"dropping-particle":"","family":"Kamiya","given":"Daisuke","non-dropping-particle":"","parse-names":false,"suffix":""},{"dropping-particle":"","family":"Nishiyama","given":"Ayaka","non-dropping-particle":"","parse-names":false,"suffix":""},{"dropping-particle":"","family":"Katayama","given":"Tomoko","non-dropping-particle":"","parse-names":false,"suffix":""},{"dropping-particle":"","family":"Nozaki","given":"Satoshi","non-dropping-particle":"","parse-names":false,"suffix":""},{"dropping-particle":"","family":"Kawasaki","given":"Hiroshi","non-dropping-particle":"","parse-names":false,"suffix":""},{"dropping-particle":"","family":"Watanabe","given":"Yasuyoshi","non-dropping-particle":"","parse-names":false,"suffix":""},{"dropping-particle":"","family":"Mizuseki","given":"Kenji","non-dropping-particle":"","parse-names":false,"suffix":""},{"dropping-particle":"","family":"Sasai","given":"Yoshiki","non-dropping-particle":"","parse-names":false,"suffix":""}],"container-title":"Nature Neuroscience 2005 8:3","id":"ITEM-4","issue":"3","issued":{"date-parts":[["2005","2","6"]]},"page":"288-296","publisher":"Nature Publishing Group","title":"Directed differentiation of telencephalic precursors from embryonic stem cells","type":"article-journal","volume":"8"},"uris":["http://www.mendeley.com/documents/?uuid=d1284746-5486-3822-b24f-00893f450227"]}],"mendeley":{"formattedCitation":"&lt;sup&gt;7,17–19&lt;/sup&gt;","plainTextFormattedCitation":"7,17–19","previouslyFormattedCitation":"&lt;sup&gt;7,17–19&lt;/sup&gt;"},"properties":{"noteIndex":0},"schema":"https://github.com/citation-style-language/schema/raw/master/csl-citation.json"}</w:instrText>
      </w:r>
      <w:r w:rsidR="005416C1" w:rsidRPr="00B72A96">
        <w:rPr>
          <w:vertAlign w:val="superscript"/>
        </w:rPr>
        <w:fldChar w:fldCharType="separate"/>
      </w:r>
      <w:r w:rsidR="005416C1" w:rsidRPr="00B72A96">
        <w:rPr>
          <w:noProof/>
          <w:vertAlign w:val="superscript"/>
        </w:rPr>
        <w:t>7,17–19</w:t>
      </w:r>
      <w:r w:rsidR="005416C1" w:rsidRPr="00B72A96">
        <w:rPr>
          <w:vertAlign w:val="superscript"/>
        </w:rPr>
        <w:fldChar w:fldCharType="end"/>
      </w:r>
      <w:r w:rsidRPr="00B72A96">
        <w:t>. Given the diverse combination of basal medium, growth factors</w:t>
      </w:r>
      <w:r w:rsidR="00425809" w:rsidRPr="00B72A96">
        <w:t>,</w:t>
      </w:r>
      <w:r w:rsidRPr="00B72A96">
        <w:t xml:space="preserve"> and chemical inhibitors used in different protocols, </w:t>
      </w:r>
      <w:r w:rsidR="00BE6844" w:rsidRPr="00B72A96">
        <w:t>there are</w:t>
      </w:r>
      <w:r w:rsidRPr="00B72A96">
        <w:t xml:space="preserve"> unified procedures to generate the primitive streak, definitive endoderm, neuroectoderm</w:t>
      </w:r>
      <w:r w:rsidR="00425809" w:rsidRPr="00B72A96">
        <w:t>,</w:t>
      </w:r>
      <w:r w:rsidRPr="00B72A96">
        <w:t xml:space="preserve"> and lateral/paraxial mesoderm from </w:t>
      </w:r>
      <w:proofErr w:type="spellStart"/>
      <w:r w:rsidRPr="00B72A96">
        <w:t>hPSCs</w:t>
      </w:r>
      <w:proofErr w:type="spellEnd"/>
      <w:r w:rsidRPr="00B72A96">
        <w:t xml:space="preserve"> in a clear point</w:t>
      </w:r>
      <w:r w:rsidR="00425809" w:rsidRPr="00B72A96">
        <w:t>-by-</w:t>
      </w:r>
      <w:r w:rsidRPr="00B72A96">
        <w:t xml:space="preserve">point protocol supported by the expected results. The advantage of using this first protocol lies in the robustness of generating a highly pure population of cells resembling a specific developmental stage, which allows scalable experimentation for bulk </w:t>
      </w:r>
      <w:proofErr w:type="spellStart"/>
      <w:r w:rsidRPr="00B72A96">
        <w:t>omic</w:t>
      </w:r>
      <w:proofErr w:type="spellEnd"/>
      <w:r w:rsidRPr="00B72A96">
        <w:t xml:space="preserve"> analysis (RNA sequencing, chromatin landscape profiling, metabolite quantification, proteomics, etc.). Additionally, the protocol is based on the </w:t>
      </w:r>
      <w:r w:rsidRPr="00B72A96">
        <w:lastRenderedPageBreak/>
        <w:t>use of growth factors/chemical inhibitors and bypasses the use of transgene overexpression</w:t>
      </w:r>
      <w:r w:rsidR="00571C4B" w:rsidRPr="00B72A96">
        <w:t>,</w:t>
      </w:r>
      <w:r w:rsidRPr="00B72A96">
        <w:t xml:space="preserve"> driving differentiation, making it accessible for many laboratories.</w:t>
      </w:r>
    </w:p>
    <w:p w14:paraId="4A298D52" w14:textId="77777777" w:rsidR="000C3DAE" w:rsidRPr="00B72A96" w:rsidRDefault="000C3DAE" w:rsidP="00BD5E4C">
      <w:pPr>
        <w:contextualSpacing/>
        <w:mirrorIndents/>
      </w:pPr>
    </w:p>
    <w:p w14:paraId="371F7282" w14:textId="00C15F49" w:rsidR="000C3DAE" w:rsidRPr="00B72A96" w:rsidRDefault="00000000" w:rsidP="00BD5E4C">
      <w:pPr>
        <w:contextualSpacing/>
        <w:mirrorIndents/>
      </w:pPr>
      <w:r w:rsidRPr="00B72A96">
        <w:t xml:space="preserve">In the second part of the article, </w:t>
      </w:r>
      <w:r w:rsidR="00BE6844" w:rsidRPr="00B72A96">
        <w:t>the</w:t>
      </w:r>
      <w:r w:rsidRPr="00B72A96">
        <w:t xml:space="preserve"> basic and easy-to-follow approaches to quantify DNA damage, mitotic aberrations</w:t>
      </w:r>
      <w:r w:rsidR="00425809" w:rsidRPr="00B72A96">
        <w:t>,</w:t>
      </w:r>
      <w:r w:rsidRPr="00B72A96">
        <w:t xml:space="preserve"> and chromosomal instability in </w:t>
      </w:r>
      <w:proofErr w:type="spellStart"/>
      <w:r w:rsidRPr="00B72A96">
        <w:t>hPSC</w:t>
      </w:r>
      <w:proofErr w:type="spellEnd"/>
      <w:r w:rsidRPr="00B72A96">
        <w:t xml:space="preserve"> culture</w:t>
      </w:r>
      <w:r w:rsidR="00BE6844" w:rsidRPr="00B72A96">
        <w:t xml:space="preserve"> are described</w:t>
      </w:r>
      <w:r w:rsidRPr="00B72A96">
        <w:t>. Human pluripotent stem cells undergo basal replicative stress and chromatin defects over long</w:t>
      </w:r>
      <w:r w:rsidR="00425809" w:rsidRPr="00B72A96">
        <w:t>-</w:t>
      </w:r>
      <w:r w:rsidRPr="00B72A96">
        <w:t xml:space="preserve">term culture, which </w:t>
      </w:r>
      <w:r w:rsidR="00D91852">
        <w:t>promote</w:t>
      </w:r>
      <w:r w:rsidRPr="00B72A96">
        <w:t xml:space="preserve"> DNA damage and mitotic defects</w:t>
      </w:r>
      <w:r w:rsidR="00D0276B" w:rsidRPr="00B72A96">
        <w:rPr>
          <w:vertAlign w:val="superscript"/>
        </w:rPr>
        <w:fldChar w:fldCharType="begin" w:fldLock="1"/>
      </w:r>
      <w:r w:rsidR="00D0276B" w:rsidRPr="00B72A96">
        <w:rPr>
          <w:vertAlign w:val="superscript"/>
        </w:rPr>
        <w:instrText>ADDIN CSL_CITATION {"citationItems":[{"id":"ITEM-1","itemData":{"DOI":"10.1101/2025.10.27.684724","ISSN":"2692-8205","abstract":"Human pluripotent stem cells (hPSCs) are critical cell sources to model human development and hold promise towards regenerative medicine. However, cultured hPSCs quickly acquire chromosome gains or losses (aneuploidy) due to high replicative stress and errors in chromosome segregation, which hampers their use for stem cell therapies. We have recently described that embryo patterning signals control chromosome segregation fidelity during early human lineage specification by modulating the response to replicative stress. Here, we demonstrate that fine-tuned activation of WNT signalling using off-the-shelf GSK3 inhibitors prevents chromosome missegregation and aneuploidy during long term passaging of hPSCs. Lineage-specification and sequencing analyses demonstrate that hPSCs culture with E8 supplemented with a low dosage of GSK3 inhibitors retain primed pluripotency and full potential to the differentiation into the 3 germ layers for over 30 passages. Strikingly, detailed mitotic studies revealed that long-term cultured hPSCs often display ultra-fine chromosome bridges during anaphase due to unreplicated DNA, which can result in hitherto uncharacterised copy-number-variations and other genomic aberrations. We show that culture with low dosage of the GSK3 inhibitor CHIR99021, but not direct attenuation of DNA replication stress using nucleosides, prevents mitotic DNA synthesis and the formation of ultra-fine bridges during long term hPSC passage. Taken together, we propose to enrich E8 culture media with 100 nM CHIR99021 to maintain euploidy in primed hPSCs, and to routinely map for genomic alterations, in addition to aneuploidy, for modelling and regenerative medicine studies.\n\n### Competing Interest Statement\n\nF.F. is Chief Scientific Director of iPsomics, but does not stand financial benefits from this role\n\nDeutsche Forschungsgemeinschaft, 331351713\n\nMandat d’Impulsion Scientifique Ulysse, F.6002.26","author":[{"dropping-particle":"De","family":"Jaime-Soguero","given":"A.","non-dropping-particle":"","parse-names":false,"suffix":""},{"dropping-particle":"","family":"Romitti","given":"M.","non-dropping-particle":"","parse-names":false,"suffix":""},{"dropping-particle":"","family":"Costagliola","given":"S.","non-dropping-particle":"","parse-names":false,"suffix":""},{"dropping-particle":"","family":"Jauch","given":"A.","non-dropping-particle":"","parse-names":false,"suffix":""},{"dropping-particle":"","family":"Willert","given":"K.","non-dropping-particle":"","parse-names":false,"suffix":""},{"dropping-particle":"","family":"Foijer","given":"F.","non-dropping-particle":"","parse-names":false,"suffix":""},{"dropping-particle":"","family":"Acebrón","given":"S.P.","non-dropping-particle":"","parse-names":false,"suffix":""}],"container-title":"bioRxiv","id":"ITEM-1","issued":{"date-parts":[["2025","10","27"]]},"page":"2025.10.27.684724","publisher":"Cold Spring Harbor Laboratory","title":"Long-term prevention of aneuploidy in human pluripotent stem cells by fine-tuning GSK3 activity","type":"article-journal"},"uris":["http://www.mendeley.com/documents/?uuid=f86de912-a07c-30e2-bb92-10243c413426"]},{"id":"ITEM-2","itemData":{"DOI":"10.1038/s41467-024-51821-9","ISSN":"2041-1723","abstract":"Human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stress","type":"article-journal","volume":"15"},"uris":["http://www.mendeley.com/documents/?uuid=21245d15-68e1-356b-bf33-3a3e11b3eeb4"]},{"id":"ITEM-3","itemData":{"DOI":"10.1016/j.stem.2015.11.003","ISSN":"18759777","PMID":"26669899","abstract":"Human pluripotent stem cells (hPSCs) frequently acquire chromosomal aberrations such as aneuploidy in culture. These aberrations progressively increase over time and may compromise the properties and clinical utility of the cells. The underlying mechanisms that drive initial genomic instability and its continued progression are largely unknown. Here, we show that aneuploid hPSCs undergo DNA replication stress, resulting in defective chromosome condensation and segregation. Aneuploid hPSCs show altered levels of actin cytoskeletal genes controlled by the transcription factor SRF, and overexpression of SRF rescues impaired chromosome condensation and segregation defects in aneuploid hPSCs. Furthermore, SRF downregulation in diploid hPSCs induces replication stress and perturbed condensation similar to that seen in aneuploid cells. Together, these results suggest that decreased SRF expression induces replicative stress and chromosomal condensation defects that underlie the ongoing chromosomal instability seen in aneuploid hPSCs. A similar mechanism may also operate during initiation of instability in diploid cells.","author":[{"dropping-particle":"","family":"Lamm","given":"Noa","non-dropping-particle":"","parse-names":false,"suffix":""},{"dropping-particle":"","family":"Ben-David","given":"Uri","non-dropping-particle":"","parse-names":false,"suffix":""},{"dropping-particle":"","family":"Golan-Lev","given":"Tamar","non-dropping-particle":"","parse-names":false,"suffix":""},{"dropping-particle":"","family":"Storchová","given":"Zuzana","non-dropping-particle":"","parse-names":false,"suffix":""},{"dropping-particle":"","family":"Benvenisty","given":"Nissim","non-dropping-particle":"","parse-names":false,"suffix":""},{"dropping-particle":"","family":"Kerem","given":"Batsheva","non-dropping-particle":"","parse-names":false,"suffix":""}],"container-title":"Cell Stem Cell","id":"ITEM-3","issue":"2","issued":{"date-parts":[["2016"]]},"page":"253-261","title":"Genomic Instability in Human Pluripotent Stem Cells Arises from Replicative Stress and Chromosome Condensation Defects","type":"article-journal","volume":"18"},"uris":["http://www.mendeley.com/documents/?uuid=472df3c1-f41c-452c-905c-8a5c0202e717"]},{"id":"ITEM-4","itemData":{"DOI":"10.1007/s13238-014-0073-9","ISSN":"16748018","PMID":"24899134","abstract":"Owing to a unique set of attributes, human pluripotent stem cells (hPSCs) have emerged as a promising cell source for regenerative medicine, disease modeling and drug discovery. Assurance of genetic stability over long term maintenance of hPSCs is pivotal in this endeavor, but hPSCs can adapt to life in culture by acquiring non-random genetic changes that render them more robust and easier to grow. In separate studies between 12.5% and 34% of hPSC lines were found to acquire chromosome abnormalities over time, with the incidence increasing with passage number. The predominant genetic changes found in hPSC lines involve changes in chromosome number and structure (particularly of chromosomes 1, 12, 17 and 20), reminiscent of the changes observed in cancer cells. In this review, we summarize current knowledge on the causes and consequences of aneuploidy in hPSCs and highlight the potential links with genetic changes observed in human cancers and early embryos. We point to the need for comprehensive characterization of mechanisms underpinning both the acquisition of chromosomal abnormalities and selection pressures, which allow mutations to persist in hPSC cultures. Elucidation of these mechanisms will help to design culture conditions that minimize the appearance of aneuploid hPSCs. Moreover, aneuploidy in hPSCs may provide a unique platform to analyse the driving forces behind the genome evolution that may eventually lead to cancerous transformation.","author":[{"dropping-particle":"","family":"Na","given":"Jie","non-dropping-particle":"","parse-names":false,"suffix":""},{"dropping-particle":"","family":"Baker","given":"Duncan","non-dropping-particle":"","parse-names":false,"suffix":""},{"dropping-particle":"","family":"Zhang","given":"Jing","non-dropping-particle":"","parse-names":false,"suffix":""},{"dropping-particle":"","family":"Andrews","given":"Peter W.","non-dropping-particle":"","parse-names":false,"suffix":""},{"dropping-particle":"","family":"Barbaric","given":"Ivana","non-dropping-particle":"","parse-names":false,"suffix":""}],"container-title":"Protein and Cell","id":"ITEM-4","issue":"8","issued":{"date-parts":[["2014"]]},"page":"569-579","title":"Aneuploidy in pluripotent stem cells and implications for cancerous transformation","type":"article-journal","volume":"5"},"uris":["http://www.mendeley.com/documents/?uuid=4d84ba8d-1616-4aa5-bf65-b4feedcfe75f"]}],"mendeley":{"formattedCitation":"&lt;sup&gt;20–23&lt;/sup&gt;","plainTextFormattedCitation":"20–23","previouslyFormattedCitation":"&lt;sup&gt;20–23&lt;/sup&gt;"},"properties":{"noteIndex":0},"schema":"https://github.com/citation-style-language/schema/raw/master/csl-citation.json"}</w:instrText>
      </w:r>
      <w:r w:rsidR="00D0276B" w:rsidRPr="00B72A96">
        <w:rPr>
          <w:vertAlign w:val="superscript"/>
        </w:rPr>
        <w:fldChar w:fldCharType="separate"/>
      </w:r>
      <w:r w:rsidR="00D0276B" w:rsidRPr="00B72A96">
        <w:rPr>
          <w:noProof/>
          <w:vertAlign w:val="superscript"/>
        </w:rPr>
        <w:t>20–23</w:t>
      </w:r>
      <w:r w:rsidR="00D0276B" w:rsidRPr="00B72A96">
        <w:rPr>
          <w:vertAlign w:val="superscript"/>
        </w:rPr>
        <w:fldChar w:fldCharType="end"/>
      </w:r>
      <w:r w:rsidRPr="00B72A96">
        <w:t>. Additionally, culture conditions, including high cell density</w:t>
      </w:r>
      <w:r w:rsidR="00D0276B" w:rsidRPr="00B72A96">
        <w:rPr>
          <w:vertAlign w:val="superscript"/>
        </w:rPr>
        <w:fldChar w:fldCharType="begin" w:fldLock="1"/>
      </w:r>
      <w:r w:rsidR="00D0276B" w:rsidRPr="00B72A96">
        <w:rPr>
          <w:vertAlign w:val="superscript"/>
        </w:rPr>
        <w:instrText>ADDIN CSL_CITATION {"citationItems":[{"id":"ITEM-1","itemData":{"DOI":"10.1016/J.STEMCR.2016.01.015","ISSN":"2213-6711","PMID":"26923824","abstract":"Human embryonic stem cells (hESC) show great promise for clinical and research applications, but their well-known proneness to genomic instability hampers the development to their full potential. Here, we demonstrate that medium acidification linked to culture density is the main cause of DNA damage and genomic alterations in hESC grown on feeder layers, and this even in the short time span of a single passage. In line with this, we show that increasing the frequency of the medium refreshments minimizes the levels of DNA damage and genetic instability. Also, we show that cells cultured on laminin-521 do not present this increase in DNA damage when grown at high density, although the (long-term) impact on their genomic stability remains to be elucidated. Our results explain the high levels of genome instability observed over the years by many laboratories worldwide, and show that the development of optimal culture conditions is key to solving this problem.","author":[{"dropping-particle":"","family":"Jacobs","given":"Kurt","non-dropping-particle":"","parse-names":false,"suffix":""},{"dropping-particle":"","family":"Zambelli","given":"Filippo","non-dropping-particle":"","parse-names":false,"suffix":""},{"dropping-particle":"","family":"Mertzanidou","given":"Afroditi","non-dropping-particle":"","parse-names":false,"suffix":""},{"dropping-particle":"","family":"Smolders","given":"Ilse","non-dropping-particle":"","parse-names":false,"suffix":""},{"dropping-particle":"","family":"Geens","given":"Mieke","non-dropping-particle":"","parse-names":false,"suffix":""},{"dropping-particle":"","family":"Nguyen","given":"Ha Thi","non-dropping-particle":"","parse-names":false,"suffix":""},{"dropping-particle":"","family":"Barbé","given":"Lise","non-dropping-particle":"","parse-names":false,"suffix":""},{"dropping-particle":"","family":"Sermon","given":"Karen","non-dropping-particle":"","parse-names":false,"suffix":""},{"dropping-particle":"","family":"Spits","given":"Claudia","non-dropping-particle":"","parse-names":false,"suffix":""}],"container-title":"Stem Cell Reports","id":"ITEM-1","issue":"3","issued":{"date-parts":[["2016","3","8"]]},"page":"330-341","publisher":"Cell Press","title":"Higher-Density Culture in Human Embryonic Stem Cells Results in DNA Damage and Genome Instability","type":"article-journal","volume":"6"},"uris":["http://www.mendeley.com/documents/?uuid=b3cfb751-5ca1-304e-b514-2acaa2b7799b"]}],"mendeley":{"formattedCitation":"&lt;sup&gt;24&lt;/sup&gt;","plainTextFormattedCitation":"24","previouslyFormattedCitation":"&lt;sup&gt;24&lt;/sup&gt;"},"properties":{"noteIndex":0},"schema":"https://github.com/citation-style-language/schema/raw/master/csl-citation.json"}</w:instrText>
      </w:r>
      <w:r w:rsidR="00D0276B" w:rsidRPr="00B72A96">
        <w:rPr>
          <w:vertAlign w:val="superscript"/>
        </w:rPr>
        <w:fldChar w:fldCharType="separate"/>
      </w:r>
      <w:r w:rsidR="00D0276B" w:rsidRPr="00B72A96">
        <w:rPr>
          <w:noProof/>
          <w:vertAlign w:val="superscript"/>
        </w:rPr>
        <w:t>24</w:t>
      </w:r>
      <w:r w:rsidR="00D0276B" w:rsidRPr="00B72A96">
        <w:rPr>
          <w:vertAlign w:val="superscript"/>
        </w:rPr>
        <w:fldChar w:fldCharType="end"/>
      </w:r>
      <w:r w:rsidRPr="00B72A96">
        <w:t xml:space="preserve"> and signaling pathways involved in pluripotency maintenance</w:t>
      </w:r>
      <w:r w:rsidR="00D0276B" w:rsidRPr="00B72A96">
        <w:rPr>
          <w:vertAlign w:val="superscript"/>
        </w:rPr>
        <w:fldChar w:fldCharType="begin" w:fldLock="1"/>
      </w:r>
      <w:r w:rsidR="0080103D" w:rsidRPr="00B72A96">
        <w:rPr>
          <w:vertAlign w:val="superscript"/>
        </w:rPr>
        <w:instrText>ADDIN CSL_CITATION {"citationItems":[{"id":"ITEM-1","itemData":{"DOI":"10.1002/BIES.70128;SUBPAGE:STRING:FRAMEDPDF;PAGE:STRING:ARTICLE/CHAPTER","ISSN":"15211878","abstract":"WNT, BMP, FGF, and Nodal signalling gradients drive naive to primed epiblast transitions and primitive endoderm specification, as well as subsequent gastrulation of the implanted embryo. Recently, these pathways were shown to control a signalling rheostat that modulates chromosome replication and segregation fidelity in human pluripotent stem cells. In particular, WNT and BMP antagonists associated with embryo anteriorization during gastrulation (DKK1, Cerberus, LEFTY2, Noggin, and Chordin) induce DNA replication stress and damage in S-phase leading to ultra-fine-bridges and whole-chromosome mis segregation in the subsequent mitosis. Of note, aneuploidy in pre- and early post-implantation embryos is the first cause of miscarriage in humans, and has also been associated with neurodevelopmental disorders. Here, we hypothesize that the antero-posterior (A–P) signalling gradient generates overlapping patterns of genome and chromosomal mosaicism in human embryos, with potential links to human infertility and lineage-specific developmental disorders.","author":[{"dropping-particle":"","family":"Acebrón","given":"Sergio P.","non-dropping-particle":"","parse-names":false,"suffix":""},{"dropping-particle":"","family":"Hattemer","given":"Janina","non-dropping-particle":"","parse-names":false,"suffix":""},{"dropping-particle":"","family":"Rausch","given":"Tobias","non-dropping-particle":"","parse-names":false,"suffix":""},{"dropping-particle":"","family":"Jaime-Soguero","given":"Anchel","non-dropping-particle":"De","parse-names":false,"suffix":""}],"container-title":"BioEssays","id":"ITEM-1","issue":"3","issued":{"date-parts":[["2026","3","1"]]},"page":"e70128","publisher":"John Wiley and Sons Inc","title":"Morphogen Gradients as Drivers of Mosaicism During Early Human Development","type":"article-journal","volume":"48"},"uris":["http://www.mendeley.com/documents/?uuid=c3c23cfe-5ce1-35bb-abcb-2a23eaa4d473"]},{"id":"ITEM-2","itemData":{"DOI":"10.1038/s41467-024-51821-9","ISSN":"2041-1723","abstract":"Human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stress","type":"article-journal","volume":"15"},"uris":["http://www.mendeley.com/documents/?uuid=21245d15-68e1-356b-bf33-3a3e11b3eeb4"]},{"id":"ITEM-3","itemData":{"DOI":"10.1101/2020.12.22.404020","ISSN":"26928205","abstract":"Canonical Wnt signaling plays critical roles in development and tissue renewal by regulating β-catenin target genes. Recent evidence showed that β-catenin-independent Wnt signaling is also required for faithful execution of mitosis. This mitotic Wnt signaling functions through Wnt-dependent stabilization of proteins (Wnt/STOP), as well as through components of the LRP6 signalosome. However, the targets and specific functions of mitotic Wnt signaling still remain uncharacterized. Using phosphoproteomics, we identified that Wnt signaling regulates the microtubule depolymerase KIF2A during mitosis. We found that Dishevelled recruits KIF2A via its N-terminal and motor domains, which is further promoted upon LRP6 signalosome formation during mitosis. We show that Wnt signaling modulates KIF2A interaction with PLK1, which is critical for KIF2A localization at the spindle. Accordingly, Wnt signaling promotes chromosome congression and alignment by monitoring KIF2A protein levels at the spindle poles both in somatic cells and in pluripotent stem cells. Our findings highlight a novel function of Wnt signaling during cell division, which could have important implications for genome maintenance, notably in stem cells.","author":[{"dropping-particle":"","family":"Bufe","given":"Anja","non-dropping-particle":"","parse-names":false,"suffix":""},{"dropping-particle":"","family":"Arco","given":"Ana García","non-dropping-particle":"del","parse-names":false,"suffix":""},{"dropping-particle":"","family":"Hennecke","given":"Magdalena Isabell","non-dropping-particle":"","parse-names":false,"suffix":""},{"dropping-particle":"","family":"Ostermaier","given":"Matthias","non-dropping-particle":"","parse-names":false,"suffix":""},{"dropping-particle":"","family":"Jaime-Soguero","given":"Anchel","non-dropping-particle":"de","parse-names":false,"suffix":""},{"dropping-particle":"","family":"Lin","given":"Yu Chih","non-dropping-particle":"","parse-names":false,"suffix":""},{"dropping-particle":"","family":"Ciprianidis","given":"Anja","non-dropping-particle":"","parse-names":false,"suffix":""},{"dropping-particle":"","family":"Engel","given":"Ulrike","non-dropping-particle":"","parse-names":false,"suffix":""},{"dropping-particle":"","family":"Beli","given":"Petra","non-dropping-particle":"","parse-names":false,"suffix":""},{"dropping-particle":"","family":"Bastians","given":"Holger","non-dropping-particle":"","parse-names":false,"suffix":""},{"dropping-particle":"","family":"Acebrón","given":"Sergio P.","non-dropping-particle":"","parse-names":false,"suffix":""}],"container-title":"bioRxiv","id":"ITEM-3","issued":{"date-parts":[["2020","12","22"]]},"page":"2020.12.22.404020","publisher":"bioRxiv","title":"Wnt signaling recruits KIF2A to the spindle to ensure chromosome congression and alignment during mitosis","type":"article"},"uris":["http://www.mendeley.com/documents/?uuid=4fbf4c67-c7a9-3ebc-86a7-7ceeedc79c83"]}],"mendeley":{"formattedCitation":"&lt;sup&gt;21,25,26&lt;/sup&gt;","plainTextFormattedCitation":"21,25,26","previouslyFormattedCitation":"&lt;sup&gt;21,25,26&lt;/sup&gt;"},"properties":{"noteIndex":0},"schema":"https://github.com/citation-style-language/schema/raw/master/csl-citation.json"}</w:instrText>
      </w:r>
      <w:r w:rsidR="00D0276B" w:rsidRPr="00B72A96">
        <w:rPr>
          <w:vertAlign w:val="superscript"/>
        </w:rPr>
        <w:fldChar w:fldCharType="separate"/>
      </w:r>
      <w:r w:rsidR="00D0276B" w:rsidRPr="00B72A96">
        <w:rPr>
          <w:noProof/>
          <w:vertAlign w:val="superscript"/>
        </w:rPr>
        <w:t>21,25,26</w:t>
      </w:r>
      <w:r w:rsidR="00D0276B" w:rsidRPr="00B72A96">
        <w:rPr>
          <w:vertAlign w:val="superscript"/>
        </w:rPr>
        <w:fldChar w:fldCharType="end"/>
      </w:r>
      <w:r w:rsidRPr="00B72A96">
        <w:t>—such as those mediated by growth factors like FGF2 and TGF</w:t>
      </w:r>
      <w:r w:rsidR="00AA50E4" w:rsidRPr="00B72A96">
        <w:t>β</w:t>
      </w:r>
      <w:r w:rsidRPr="00B72A96">
        <w:t xml:space="preserve">1—can trigger chromosomal instability. Thus, given the pervasive genomic instability of PSCs, this protocol offers an array of methods for researchers studying chromosome and genome integrity mechanisms. </w:t>
      </w:r>
      <w:r w:rsidR="00BE6844" w:rsidRPr="00B72A96">
        <w:t>It includes the</w:t>
      </w:r>
      <w:r w:rsidRPr="00B72A96">
        <w:t xml:space="preserve"> biochemistry approaches to map these frequent aberrations observed in PSC culture across the cell cycle, including: the accumulation of DNA damage or single strand breaks in cells undergoing DNA replication by immunofluorescence</w:t>
      </w:r>
      <w:r w:rsidR="00571C4B" w:rsidRPr="00B72A96">
        <w:t xml:space="preserve">; </w:t>
      </w:r>
      <w:r w:rsidRPr="00B72A96">
        <w:t xml:space="preserve">the quantification of mitotic defects observed by static imaging (ultrafine bridges and chromosome </w:t>
      </w:r>
      <w:proofErr w:type="spellStart"/>
      <w:r w:rsidRPr="00B72A96">
        <w:t>missegregation</w:t>
      </w:r>
      <w:proofErr w:type="spellEnd"/>
      <w:r w:rsidRPr="00B72A96">
        <w:t>), as well as the mapping of the consequences of these phenomena, namely the imbalance of chromosome number in cells after division (aneuploidy) or the presence of micronuclei. Overall, these techniques offer a starting point to study DNA integrity and chromosome (in)stability beyond moving to other more complex techniques</w:t>
      </w:r>
      <w:r w:rsidR="00425809" w:rsidRPr="00B72A96">
        <w:t>,</w:t>
      </w:r>
      <w:r w:rsidRPr="00B72A96">
        <w:t xml:space="preserve"> including single-cell genomic analysis.</w:t>
      </w:r>
    </w:p>
    <w:p w14:paraId="5750364D" w14:textId="77777777" w:rsidR="008D7875" w:rsidRPr="00B72A96" w:rsidRDefault="008D7875" w:rsidP="00BD5E4C">
      <w:pPr>
        <w:contextualSpacing/>
        <w:mirrorIndents/>
        <w:rPr>
          <w:b/>
          <w:bCs/>
        </w:rPr>
      </w:pPr>
    </w:p>
    <w:p w14:paraId="599E7F61" w14:textId="2DBB9FE8" w:rsidR="00F30587" w:rsidRPr="00B72A96" w:rsidRDefault="00000000" w:rsidP="00BD5E4C">
      <w:pPr>
        <w:pStyle w:val="ProtocolTitle"/>
        <w:spacing w:after="0"/>
        <w:contextualSpacing/>
        <w:mirrorIndents/>
        <w:jc w:val="both"/>
        <w:rPr>
          <w:rFonts w:cs="Calibri"/>
          <w:sz w:val="24"/>
          <w:szCs w:val="24"/>
        </w:rPr>
      </w:pPr>
      <w:r w:rsidRPr="00B72A96">
        <w:rPr>
          <w:rFonts w:cs="Calibri"/>
          <w:bCs/>
          <w:sz w:val="24"/>
          <w:szCs w:val="24"/>
        </w:rPr>
        <w:t>PROTOCOL</w:t>
      </w:r>
      <w:r w:rsidR="00F30587" w:rsidRPr="00B72A96">
        <w:rPr>
          <w:rFonts w:cs="Calibri"/>
          <w:sz w:val="24"/>
          <w:szCs w:val="24"/>
        </w:rPr>
        <w:t>:</w:t>
      </w:r>
    </w:p>
    <w:p w14:paraId="1F662EAA" w14:textId="0A709CC4" w:rsidR="00760F13" w:rsidRPr="00B72A96" w:rsidRDefault="00760F13" w:rsidP="00BD5E4C">
      <w:pPr>
        <w:pStyle w:val="ProtocolNote"/>
        <w:spacing w:after="0"/>
        <w:contextualSpacing/>
        <w:mirrorIndents/>
        <w:jc w:val="both"/>
      </w:pPr>
      <w:r w:rsidRPr="00B72A96">
        <w:t>The human induced pluripotent stem cell (</w:t>
      </w:r>
      <w:proofErr w:type="spellStart"/>
      <w:r w:rsidRPr="00B72A96">
        <w:t>hiPSC</w:t>
      </w:r>
      <w:proofErr w:type="spellEnd"/>
      <w:r w:rsidRPr="00B72A96">
        <w:t>) line H10-CESCG-297 was reprogrammed from peripheral mononuclear blood cells of a male donor by the laboratory of Prof. Snyder (Stanford University) with institutional review board approval (Stanford University, 30064). A material transfer agreement was obtained for research use. Laboratory testing confirmed a negative result for Mycoplasma. Expression of core pluripotent factors and the capacity to differentiate towards the three germ layers confirmed the primed state of the human pluripotent stem cell (</w:t>
      </w:r>
      <w:proofErr w:type="spellStart"/>
      <w:r w:rsidRPr="00B72A96">
        <w:t>hPSC</w:t>
      </w:r>
      <w:proofErr w:type="spellEnd"/>
      <w:r w:rsidRPr="00B72A96">
        <w:t xml:space="preserve">) line. The </w:t>
      </w:r>
      <w:proofErr w:type="spellStart"/>
      <w:r w:rsidRPr="00B72A96">
        <w:t>Comité</w:t>
      </w:r>
      <w:proofErr w:type="spellEnd"/>
      <w:r w:rsidRPr="00B72A96">
        <w:t xml:space="preserve"> </w:t>
      </w:r>
      <w:proofErr w:type="spellStart"/>
      <w:r w:rsidRPr="00B72A96">
        <w:t>d’Ethique</w:t>
      </w:r>
      <w:proofErr w:type="spellEnd"/>
      <w:r w:rsidRPr="00B72A96">
        <w:t xml:space="preserve"> </w:t>
      </w:r>
      <w:proofErr w:type="spellStart"/>
      <w:r w:rsidRPr="00B72A96">
        <w:t>Hospitalo-Facultaire</w:t>
      </w:r>
      <w:proofErr w:type="spellEnd"/>
      <w:r w:rsidRPr="00B72A96">
        <w:t xml:space="preserve"> H.U.B-ULB (021/406) also approved use of the cell line for the research project (protocol approval: P2026/305/CCB B4062026000130). Representative results were generated using H10-CESCG-297; the same protocols have also been validated for human embryonic stem cell (</w:t>
      </w:r>
      <w:proofErr w:type="spellStart"/>
      <w:r w:rsidRPr="00B72A96">
        <w:t>hESC</w:t>
      </w:r>
      <w:proofErr w:type="spellEnd"/>
      <w:r w:rsidRPr="00B72A96">
        <w:t>) lines, including H9 and H1.</w:t>
      </w:r>
    </w:p>
    <w:p w14:paraId="06B44073" w14:textId="77777777" w:rsidR="00760F13" w:rsidRPr="00B72A96" w:rsidRDefault="00760F13" w:rsidP="00BD5E4C">
      <w:pPr>
        <w:pStyle w:val="ProtocolNote"/>
        <w:spacing w:after="0"/>
        <w:contextualSpacing/>
        <w:mirrorIndents/>
        <w:jc w:val="both"/>
        <w:rPr>
          <w:b/>
        </w:rPr>
      </w:pPr>
    </w:p>
    <w:p w14:paraId="2E18F9CA" w14:textId="214319F3" w:rsidR="00760F13" w:rsidRPr="00B72A96" w:rsidRDefault="00E66CA2" w:rsidP="00BD5E4C">
      <w:pPr>
        <w:pStyle w:val="ProtocolNote"/>
        <w:spacing w:after="0"/>
        <w:contextualSpacing/>
        <w:mirrorIndents/>
        <w:jc w:val="both"/>
      </w:pPr>
      <w:r w:rsidRPr="00B72A96">
        <w:t>NOTE:</w:t>
      </w:r>
      <w:r w:rsidR="00760F13" w:rsidRPr="00B72A96">
        <w:t xml:space="preserve"> Refer to </w:t>
      </w:r>
      <w:r w:rsidRPr="00B72A96">
        <w:rPr>
          <w:b/>
          <w:bCs/>
        </w:rPr>
        <w:t>Supplementary File 1</w:t>
      </w:r>
      <w:r w:rsidR="00760F13" w:rsidRPr="00B72A96">
        <w:t xml:space="preserve"> for </w:t>
      </w:r>
      <w:proofErr w:type="spellStart"/>
      <w:r w:rsidR="00760F13" w:rsidRPr="00B72A96">
        <w:t>hPSC</w:t>
      </w:r>
      <w:proofErr w:type="spellEnd"/>
      <w:r w:rsidR="00760F13" w:rsidRPr="00B72A96">
        <w:t xml:space="preserve"> culture, thawing, freezing</w:t>
      </w:r>
      <w:r w:rsidR="00B6189E">
        <w:t>,</w:t>
      </w:r>
      <w:r w:rsidR="00760F13" w:rsidRPr="00B72A96">
        <w:t xml:space="preserve"> </w:t>
      </w:r>
      <w:r w:rsidR="00815629" w:rsidRPr="00B72A96">
        <w:t xml:space="preserve">and image acquisition and analysis </w:t>
      </w:r>
      <w:r w:rsidR="00760F13" w:rsidRPr="00B72A96">
        <w:t>procedures. Follow the differentiation and genome-integrity procedures described below.</w:t>
      </w:r>
    </w:p>
    <w:p w14:paraId="164DD2BD" w14:textId="77777777" w:rsidR="00E66CA2" w:rsidRPr="00B72A96" w:rsidRDefault="00E66CA2" w:rsidP="00BD5E4C">
      <w:pPr>
        <w:pStyle w:val="ProtocolNote"/>
        <w:spacing w:after="0"/>
        <w:contextualSpacing/>
        <w:mirrorIndents/>
        <w:jc w:val="both"/>
      </w:pPr>
    </w:p>
    <w:p w14:paraId="7237A288" w14:textId="77777777" w:rsidR="00E66CA2" w:rsidRPr="00E21FAE" w:rsidRDefault="00E66CA2" w:rsidP="00BD5E4C">
      <w:pPr>
        <w:pStyle w:val="ProtocolSection"/>
        <w:numPr>
          <w:ilvl w:val="0"/>
          <w:numId w:val="22"/>
        </w:numPr>
        <w:spacing w:after="0"/>
        <w:ind w:left="0" w:firstLine="0"/>
        <w:contextualSpacing/>
        <w:mirrorIndents/>
        <w:jc w:val="both"/>
        <w:rPr>
          <w:highlight w:val="yellow"/>
        </w:rPr>
      </w:pPr>
      <w:r w:rsidRPr="00E21FAE">
        <w:rPr>
          <w:highlight w:val="yellow"/>
        </w:rPr>
        <w:t>Differentiation of human PSCs toward the three germ layers</w:t>
      </w:r>
    </w:p>
    <w:p w14:paraId="3CD2DB50" w14:textId="77777777" w:rsidR="00BD5E4C" w:rsidRPr="00E21FAE" w:rsidRDefault="00BD5E4C" w:rsidP="00BD5E4C">
      <w:pPr>
        <w:contextualSpacing/>
        <w:mirrorIndents/>
        <w:rPr>
          <w:highlight w:val="yellow"/>
        </w:rPr>
      </w:pPr>
    </w:p>
    <w:p w14:paraId="0D25FA56" w14:textId="43AF72C5" w:rsidR="00147E37" w:rsidRPr="00E21FAE" w:rsidRDefault="00147E37" w:rsidP="00BD5E4C">
      <w:pPr>
        <w:contextualSpacing/>
        <w:mirrorIndents/>
        <w:rPr>
          <w:highlight w:val="yellow"/>
          <w:lang w:val="en-US"/>
        </w:rPr>
      </w:pPr>
      <w:r w:rsidRPr="00E21FAE">
        <w:rPr>
          <w:highlight w:val="yellow"/>
        </w:rPr>
        <w:t xml:space="preserve">NOTE: </w:t>
      </w:r>
      <w:r w:rsidRPr="00E21FAE">
        <w:rPr>
          <w:highlight w:val="yellow"/>
          <w:lang w:val="en-US"/>
        </w:rPr>
        <w:t xml:space="preserve">Approximately 20% detached and floating cells can occur on the day after seeding under pluripotency conditions. During differentiation toward the three germ layers, apoptosis can increase to approximately 40% detached and floating cells during pluripotency exit. Unlike the passaging procedure in </w:t>
      </w:r>
      <w:r w:rsidRPr="00E21FAE">
        <w:rPr>
          <w:b/>
          <w:bCs/>
          <w:highlight w:val="yellow"/>
          <w:lang w:val="en-US"/>
        </w:rPr>
        <w:t>Supplementary File 1</w:t>
      </w:r>
      <w:r w:rsidRPr="00E21FAE">
        <w:rPr>
          <w:highlight w:val="yellow"/>
          <w:lang w:val="en-US"/>
        </w:rPr>
        <w:t>, full single-cell dissociation permits accurate cell counting and controlled seeding density to start differentiation assays. ROCKi exposure during the first 24 h after seeding supports cell survival and attachment.</w:t>
      </w:r>
    </w:p>
    <w:p w14:paraId="2F537B59" w14:textId="05015ED5" w:rsidR="00147E37" w:rsidRPr="00E21FAE" w:rsidRDefault="00147E37" w:rsidP="00BD5E4C">
      <w:pPr>
        <w:pStyle w:val="ProtocolSection"/>
        <w:spacing w:after="0"/>
        <w:contextualSpacing/>
        <w:mirrorIndents/>
        <w:rPr>
          <w:highlight w:val="yellow"/>
        </w:rPr>
      </w:pPr>
    </w:p>
    <w:p w14:paraId="7595E199" w14:textId="77777777" w:rsidR="00E66CA2" w:rsidRPr="00E21FAE" w:rsidRDefault="00E66CA2" w:rsidP="00BD5E4C">
      <w:pPr>
        <w:pStyle w:val="ProtocolSection"/>
        <w:numPr>
          <w:ilvl w:val="1"/>
          <w:numId w:val="22"/>
        </w:numPr>
        <w:spacing w:after="0"/>
        <w:ind w:left="0" w:firstLine="0"/>
        <w:contextualSpacing/>
        <w:mirrorIndents/>
        <w:rPr>
          <w:highlight w:val="yellow"/>
        </w:rPr>
      </w:pPr>
      <w:r w:rsidRPr="00E21FAE">
        <w:rPr>
          <w:highlight w:val="yellow"/>
        </w:rPr>
        <w:t>Differentiate human PSCs toward the primitive streak</w:t>
      </w:r>
    </w:p>
    <w:p w14:paraId="11FC96C8" w14:textId="2BAF52F9" w:rsidR="00E66CA2" w:rsidRPr="00E21FAE" w:rsidRDefault="00E66CA2" w:rsidP="00BD5E4C">
      <w:pPr>
        <w:pStyle w:val="ProtocolSection"/>
        <w:numPr>
          <w:ilvl w:val="2"/>
          <w:numId w:val="22"/>
        </w:numPr>
        <w:spacing w:after="0"/>
        <w:ind w:left="0" w:firstLine="0"/>
        <w:contextualSpacing/>
        <w:mirrorIndents/>
        <w:rPr>
          <w:highlight w:val="yellow"/>
        </w:rPr>
      </w:pPr>
      <w:r w:rsidRPr="00E21FAE">
        <w:rPr>
          <w:b w:val="0"/>
          <w:bCs/>
          <w:highlight w:val="yellow"/>
        </w:rPr>
        <w:t xml:space="preserve">Warm cell-culture reagents at room temperature for 30 min before use. Maintain </w:t>
      </w:r>
      <w:proofErr w:type="spellStart"/>
      <w:r w:rsidRPr="00E21FAE">
        <w:rPr>
          <w:b w:val="0"/>
          <w:bCs/>
          <w:highlight w:val="yellow"/>
        </w:rPr>
        <w:t>hPSCs</w:t>
      </w:r>
      <w:proofErr w:type="spellEnd"/>
      <w:r w:rsidRPr="00E21FAE">
        <w:rPr>
          <w:b w:val="0"/>
          <w:bCs/>
          <w:highlight w:val="yellow"/>
        </w:rPr>
        <w:t xml:space="preserve"> according to</w:t>
      </w:r>
      <w:r w:rsidRPr="00E21FAE">
        <w:rPr>
          <w:highlight w:val="yellow"/>
        </w:rPr>
        <w:t xml:space="preserve"> </w:t>
      </w:r>
      <w:r w:rsidRPr="00E21FAE">
        <w:rPr>
          <w:bCs/>
          <w:highlight w:val="yellow"/>
        </w:rPr>
        <w:t>Supplementary File 1</w:t>
      </w:r>
      <w:r w:rsidRPr="00E21FAE">
        <w:rPr>
          <w:highlight w:val="yellow"/>
        </w:rPr>
        <w:t xml:space="preserve"> </w:t>
      </w:r>
      <w:r w:rsidRPr="00E21FAE">
        <w:rPr>
          <w:b w:val="0"/>
          <w:bCs/>
          <w:highlight w:val="yellow"/>
        </w:rPr>
        <w:t>(Section 1.2, Passaging human PSCs) until reaching 70</w:t>
      </w:r>
      <w:r w:rsidR="00B6189E" w:rsidRPr="00E21FAE">
        <w:rPr>
          <w:b w:val="0"/>
          <w:bCs/>
          <w:highlight w:val="yellow"/>
        </w:rPr>
        <w:t>%</w:t>
      </w:r>
      <w:r w:rsidR="00B6189E" w:rsidRPr="00E21FAE">
        <w:rPr>
          <w:rFonts w:cs="Calibri"/>
          <w:b w:val="0"/>
          <w:bCs/>
          <w:highlight w:val="yellow"/>
        </w:rPr>
        <w:t>–</w:t>
      </w:r>
      <w:r w:rsidRPr="00E21FAE">
        <w:rPr>
          <w:b w:val="0"/>
          <w:bCs/>
          <w:highlight w:val="yellow"/>
        </w:rPr>
        <w:t>80% confluence in six wells. Determine the cell number before seeding.</w:t>
      </w:r>
    </w:p>
    <w:p w14:paraId="3C52B8A8" w14:textId="77777777" w:rsidR="00E66CA2" w:rsidRPr="00E21FAE" w:rsidRDefault="00E66CA2" w:rsidP="00BD5E4C">
      <w:pPr>
        <w:pStyle w:val="ProtocolNote"/>
        <w:spacing w:after="0"/>
        <w:contextualSpacing/>
        <w:mirrorIndents/>
        <w:rPr>
          <w:highlight w:val="yellow"/>
        </w:rPr>
      </w:pPr>
    </w:p>
    <w:p w14:paraId="36B030C0" w14:textId="7D3CD4D9" w:rsidR="00760F13" w:rsidRPr="00E21FAE" w:rsidRDefault="00760F13" w:rsidP="00BD5E4C">
      <w:pPr>
        <w:pStyle w:val="ProtocolSection"/>
        <w:numPr>
          <w:ilvl w:val="2"/>
          <w:numId w:val="22"/>
        </w:numPr>
        <w:spacing w:after="0"/>
        <w:ind w:left="0" w:firstLine="0"/>
        <w:contextualSpacing/>
        <w:mirrorIndents/>
        <w:rPr>
          <w:b w:val="0"/>
          <w:bCs/>
          <w:highlight w:val="yellow"/>
        </w:rPr>
      </w:pPr>
      <w:r w:rsidRPr="00E21FAE">
        <w:rPr>
          <w:b w:val="0"/>
          <w:bCs/>
          <w:highlight w:val="yellow"/>
        </w:rPr>
        <w:t>One hour prior to dissociation, coat the required number of wells of a 12-well plate with 0.25 mL of vitronectin solution (5 µg/mL) per well. Place the well plate in an incubator at 37 °C for 1 h.</w:t>
      </w:r>
    </w:p>
    <w:p w14:paraId="6D8C44EC" w14:textId="77777777" w:rsidR="00E66CA2" w:rsidRPr="00E21FAE" w:rsidRDefault="00E66CA2" w:rsidP="00BD5E4C">
      <w:pPr>
        <w:pStyle w:val="ListParagraph"/>
        <w:ind w:left="0"/>
        <w:mirrorIndents/>
        <w:rPr>
          <w:bCs/>
          <w:highlight w:val="yellow"/>
        </w:rPr>
      </w:pPr>
    </w:p>
    <w:p w14:paraId="204B0E64" w14:textId="599FCB7B" w:rsidR="00760F13" w:rsidRPr="00E21FAE" w:rsidRDefault="00760F13" w:rsidP="00BD5E4C">
      <w:pPr>
        <w:pStyle w:val="ProtocolSection"/>
        <w:numPr>
          <w:ilvl w:val="2"/>
          <w:numId w:val="22"/>
        </w:numPr>
        <w:spacing w:after="0"/>
        <w:ind w:left="0" w:firstLine="0"/>
        <w:contextualSpacing/>
        <w:mirrorIndents/>
        <w:rPr>
          <w:b w:val="0"/>
          <w:bCs/>
          <w:highlight w:val="yellow"/>
        </w:rPr>
      </w:pPr>
      <w:r w:rsidRPr="00E21FAE">
        <w:rPr>
          <w:b w:val="0"/>
          <w:bCs/>
          <w:highlight w:val="yellow"/>
        </w:rPr>
        <w:t>Prepare a solution of EDTA 0.5 mM in Dulbecco’s phosphate-buffered saline (DPBS). Discard the spent medium in which PSCs have been cultivated and wash once with phosphate-buffered saline (PBS).</w:t>
      </w:r>
    </w:p>
    <w:p w14:paraId="7EE1A053" w14:textId="77777777" w:rsidR="00E66CA2" w:rsidRPr="00E21FAE" w:rsidRDefault="00E66CA2" w:rsidP="00BD5E4C">
      <w:pPr>
        <w:pStyle w:val="ListParagraph"/>
        <w:ind w:left="0"/>
        <w:mirrorIndents/>
        <w:rPr>
          <w:bCs/>
          <w:highlight w:val="yellow"/>
        </w:rPr>
      </w:pPr>
    </w:p>
    <w:p w14:paraId="7A73E798" w14:textId="4C4AF37B" w:rsidR="00760F13" w:rsidRPr="00E21FAE" w:rsidRDefault="00760F13" w:rsidP="00BD5E4C">
      <w:pPr>
        <w:pStyle w:val="ProtocolSection"/>
        <w:numPr>
          <w:ilvl w:val="2"/>
          <w:numId w:val="22"/>
        </w:numPr>
        <w:spacing w:after="0"/>
        <w:ind w:left="0" w:firstLine="0"/>
        <w:contextualSpacing/>
        <w:mirrorIndents/>
        <w:rPr>
          <w:b w:val="0"/>
          <w:bCs/>
          <w:highlight w:val="yellow"/>
        </w:rPr>
      </w:pPr>
      <w:r w:rsidRPr="00E21FAE">
        <w:rPr>
          <w:b w:val="0"/>
          <w:bCs/>
          <w:highlight w:val="yellow"/>
        </w:rPr>
        <w:t>Add 0.5 mL of EDTA 0.5 mM solution per well from the wall of the plate and incubate at 37 °C for 5 min.</w:t>
      </w:r>
    </w:p>
    <w:p w14:paraId="1845A622" w14:textId="77777777" w:rsidR="00E66CA2" w:rsidRPr="00E21FAE" w:rsidRDefault="00E66CA2" w:rsidP="00BD5E4C">
      <w:pPr>
        <w:pStyle w:val="ListParagraph"/>
        <w:ind w:left="0"/>
        <w:mirrorIndents/>
        <w:rPr>
          <w:bCs/>
          <w:highlight w:val="yellow"/>
        </w:rPr>
      </w:pPr>
    </w:p>
    <w:p w14:paraId="4B88A72E" w14:textId="369BD950" w:rsidR="00760F13" w:rsidRPr="00E21FAE" w:rsidRDefault="00760F13" w:rsidP="00BD5E4C">
      <w:pPr>
        <w:pStyle w:val="ProtocolSection"/>
        <w:numPr>
          <w:ilvl w:val="2"/>
          <w:numId w:val="22"/>
        </w:numPr>
        <w:spacing w:after="0"/>
        <w:ind w:left="0" w:firstLine="0"/>
        <w:contextualSpacing/>
        <w:mirrorIndents/>
        <w:rPr>
          <w:b w:val="0"/>
          <w:bCs/>
          <w:highlight w:val="yellow"/>
        </w:rPr>
      </w:pPr>
      <w:r w:rsidRPr="00E21FAE">
        <w:rPr>
          <w:b w:val="0"/>
          <w:bCs/>
          <w:highlight w:val="yellow"/>
        </w:rPr>
        <w:t xml:space="preserve">Carefully aspirate the 0.5 mM EDTA solution without dislodging the detached </w:t>
      </w:r>
      <w:proofErr w:type="spellStart"/>
      <w:r w:rsidRPr="00E21FAE">
        <w:rPr>
          <w:b w:val="0"/>
          <w:bCs/>
          <w:highlight w:val="yellow"/>
        </w:rPr>
        <w:t>hPSC</w:t>
      </w:r>
      <w:proofErr w:type="spellEnd"/>
      <w:r w:rsidRPr="00E21FAE">
        <w:rPr>
          <w:b w:val="0"/>
          <w:bCs/>
          <w:highlight w:val="yellow"/>
        </w:rPr>
        <w:t xml:space="preserve"> clumps. Add 1 mL of serum-free medium (SFM) containing 10 µM Y-27632 and pipette approximately 10 times to obtain a single-cell suspension.</w:t>
      </w:r>
    </w:p>
    <w:p w14:paraId="65A8B625" w14:textId="77777777" w:rsidR="00E66CA2" w:rsidRPr="00E21FAE" w:rsidRDefault="00E66CA2" w:rsidP="00BD5E4C">
      <w:pPr>
        <w:pStyle w:val="ListParagraph"/>
        <w:ind w:left="0"/>
        <w:mirrorIndents/>
        <w:rPr>
          <w:bCs/>
          <w:highlight w:val="yellow"/>
        </w:rPr>
      </w:pPr>
    </w:p>
    <w:p w14:paraId="54827E61" w14:textId="56E38C7C" w:rsidR="00760F13" w:rsidRPr="00E21FAE" w:rsidRDefault="00760F13" w:rsidP="00BD5E4C">
      <w:pPr>
        <w:pStyle w:val="ProtocolSection"/>
        <w:numPr>
          <w:ilvl w:val="2"/>
          <w:numId w:val="22"/>
        </w:numPr>
        <w:spacing w:after="0"/>
        <w:ind w:left="0" w:firstLine="0"/>
        <w:contextualSpacing/>
        <w:mirrorIndents/>
        <w:rPr>
          <w:b w:val="0"/>
          <w:bCs/>
          <w:highlight w:val="yellow"/>
        </w:rPr>
      </w:pPr>
      <w:r w:rsidRPr="00E21FAE">
        <w:rPr>
          <w:b w:val="0"/>
          <w:bCs/>
          <w:highlight w:val="yellow"/>
        </w:rPr>
        <w:t xml:space="preserve">Transfer the medium with cells into a 15 mL conical tube using a 5 mL serological pipette or P1000 tip. Aspirate the leftover </w:t>
      </w:r>
      <w:proofErr w:type="spellStart"/>
      <w:r w:rsidRPr="00E21FAE">
        <w:rPr>
          <w:b w:val="0"/>
          <w:bCs/>
          <w:highlight w:val="yellow"/>
        </w:rPr>
        <w:t>rhVTN</w:t>
      </w:r>
      <w:proofErr w:type="spellEnd"/>
      <w:r w:rsidRPr="00E21FAE">
        <w:rPr>
          <w:b w:val="0"/>
          <w:bCs/>
          <w:highlight w:val="yellow"/>
        </w:rPr>
        <w:t xml:space="preserve"> from the pre-coated well plate(s) and add 1 mL of SFM with 10 µM Y-27632 to each well of the 12-well plate.</w:t>
      </w:r>
    </w:p>
    <w:p w14:paraId="79D943C7" w14:textId="77777777" w:rsidR="00E66CA2" w:rsidRPr="00E21FAE" w:rsidRDefault="00E66CA2" w:rsidP="00BD5E4C">
      <w:pPr>
        <w:pStyle w:val="ListParagraph"/>
        <w:ind w:left="0"/>
        <w:mirrorIndents/>
        <w:rPr>
          <w:bCs/>
          <w:highlight w:val="yellow"/>
        </w:rPr>
      </w:pPr>
    </w:p>
    <w:p w14:paraId="2D3733F2" w14:textId="79E78CE7" w:rsidR="00760F13" w:rsidRPr="00E21FAE" w:rsidRDefault="00760F13" w:rsidP="00BD5E4C">
      <w:pPr>
        <w:pStyle w:val="ProtocolSection"/>
        <w:numPr>
          <w:ilvl w:val="2"/>
          <w:numId w:val="22"/>
        </w:numPr>
        <w:spacing w:after="0"/>
        <w:ind w:left="0" w:firstLine="0"/>
        <w:contextualSpacing/>
        <w:mirrorIndents/>
        <w:rPr>
          <w:b w:val="0"/>
          <w:bCs/>
          <w:highlight w:val="yellow"/>
        </w:rPr>
      </w:pPr>
      <w:r w:rsidRPr="00E21FAE">
        <w:rPr>
          <w:b w:val="0"/>
          <w:bCs/>
          <w:highlight w:val="yellow"/>
        </w:rPr>
        <w:t xml:space="preserve">Seed </w:t>
      </w:r>
      <w:proofErr w:type="spellStart"/>
      <w:r w:rsidRPr="00E21FAE">
        <w:rPr>
          <w:b w:val="0"/>
          <w:bCs/>
          <w:highlight w:val="yellow"/>
        </w:rPr>
        <w:t>hPSCs</w:t>
      </w:r>
      <w:proofErr w:type="spellEnd"/>
      <w:r w:rsidRPr="00E21FAE">
        <w:rPr>
          <w:b w:val="0"/>
          <w:bCs/>
          <w:highlight w:val="yellow"/>
        </w:rPr>
        <w:t xml:space="preserve"> at 70,000 cells/well in a 12-well plate. Culture in SFM for 48 h, including ROCKi during the first 24 h and excluding ROCKi during the subsequent 24 h.</w:t>
      </w:r>
    </w:p>
    <w:p w14:paraId="764E73A1" w14:textId="77777777" w:rsidR="00E66CA2" w:rsidRPr="00E21FAE" w:rsidRDefault="00E66CA2" w:rsidP="00BD5E4C">
      <w:pPr>
        <w:pStyle w:val="ListParagraph"/>
        <w:ind w:left="0"/>
        <w:mirrorIndents/>
        <w:rPr>
          <w:bCs/>
          <w:highlight w:val="yellow"/>
        </w:rPr>
      </w:pPr>
    </w:p>
    <w:p w14:paraId="39D08330" w14:textId="16B03561" w:rsidR="00760F13" w:rsidRPr="00E21FAE" w:rsidRDefault="00760F13" w:rsidP="00BD5E4C">
      <w:pPr>
        <w:pStyle w:val="ProtocolSection"/>
        <w:numPr>
          <w:ilvl w:val="2"/>
          <w:numId w:val="22"/>
        </w:numPr>
        <w:spacing w:after="0"/>
        <w:ind w:left="0" w:firstLine="0"/>
        <w:contextualSpacing/>
        <w:mirrorIndents/>
        <w:rPr>
          <w:highlight w:val="yellow"/>
        </w:rPr>
      </w:pPr>
      <w:r w:rsidRPr="00E21FAE">
        <w:rPr>
          <w:b w:val="0"/>
          <w:bCs/>
          <w:highlight w:val="yellow"/>
        </w:rPr>
        <w:t>On Day 3, replace the</w:t>
      </w:r>
      <w:r w:rsidRPr="00E21FAE">
        <w:rPr>
          <w:highlight w:val="yellow"/>
        </w:rPr>
        <w:t xml:space="preserve"> </w:t>
      </w:r>
      <w:r w:rsidRPr="00E21FAE">
        <w:rPr>
          <w:b w:val="0"/>
          <w:bCs/>
          <w:highlight w:val="yellow"/>
        </w:rPr>
        <w:t>medium with primitive streak (PS) medium (</w:t>
      </w:r>
      <w:r w:rsidRPr="00E21FAE">
        <w:rPr>
          <w:highlight w:val="yellow"/>
        </w:rPr>
        <w:t>Table 1</w:t>
      </w:r>
      <w:r w:rsidRPr="00E21FAE">
        <w:rPr>
          <w:b w:val="0"/>
          <w:bCs/>
          <w:highlight w:val="yellow"/>
        </w:rPr>
        <w:t>) and culture the cells for an additional 24 h before harvesting.</w:t>
      </w:r>
    </w:p>
    <w:p w14:paraId="00434992" w14:textId="77777777" w:rsidR="00E66CA2" w:rsidRPr="00B72A96" w:rsidRDefault="00E66CA2" w:rsidP="00BD5E4C">
      <w:pPr>
        <w:pStyle w:val="ProtocolSubsection"/>
        <w:spacing w:after="0"/>
        <w:ind w:left="0"/>
        <w:contextualSpacing/>
        <w:mirrorIndents/>
      </w:pPr>
    </w:p>
    <w:p w14:paraId="0F458BBA" w14:textId="2ED36E82" w:rsidR="00760F13" w:rsidRPr="00B72A96" w:rsidRDefault="00760F13" w:rsidP="00BD5E4C">
      <w:pPr>
        <w:pStyle w:val="ProtocolSection"/>
        <w:numPr>
          <w:ilvl w:val="1"/>
          <w:numId w:val="22"/>
        </w:numPr>
        <w:spacing w:after="0"/>
        <w:ind w:left="0" w:firstLine="0"/>
        <w:contextualSpacing/>
        <w:mirrorIndents/>
      </w:pPr>
      <w:r w:rsidRPr="00B72A96">
        <w:t>Differentiate human PSCs toward lateral mesoderm</w:t>
      </w:r>
    </w:p>
    <w:p w14:paraId="7A0E1664" w14:textId="36C07E67"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Maintain </w:t>
      </w:r>
      <w:proofErr w:type="spellStart"/>
      <w:r w:rsidRPr="00B72A96">
        <w:rPr>
          <w:b w:val="0"/>
          <w:bCs/>
        </w:rPr>
        <w:t>hPSCs</w:t>
      </w:r>
      <w:proofErr w:type="spellEnd"/>
      <w:r w:rsidRPr="00B72A96">
        <w:rPr>
          <w:b w:val="0"/>
          <w:bCs/>
        </w:rPr>
        <w:t xml:space="preserve"> according to the procedure described in the </w:t>
      </w:r>
      <w:r w:rsidR="00E66CA2" w:rsidRPr="00B72A96">
        <w:t>Supplementary File 1</w:t>
      </w:r>
      <w:r w:rsidRPr="00B72A96">
        <w:rPr>
          <w:b w:val="0"/>
          <w:bCs/>
        </w:rPr>
        <w:t xml:space="preserve"> (Section 1.2, Passaging human PSCs) until reaching 70</w:t>
      </w:r>
      <w:r w:rsidR="00B6189E">
        <w:rPr>
          <w:b w:val="0"/>
          <w:bCs/>
        </w:rPr>
        <w:t>%</w:t>
      </w:r>
      <w:r w:rsidR="00B6189E">
        <w:rPr>
          <w:rFonts w:cs="Calibri"/>
          <w:b w:val="0"/>
          <w:bCs/>
        </w:rPr>
        <w:t>–</w:t>
      </w:r>
      <w:r w:rsidRPr="00B72A96">
        <w:rPr>
          <w:b w:val="0"/>
          <w:bCs/>
        </w:rPr>
        <w:t>80% confluence in 6 wells.</w:t>
      </w:r>
    </w:p>
    <w:p w14:paraId="328C5B49" w14:textId="77777777" w:rsidR="00E66CA2" w:rsidRPr="00B72A96" w:rsidRDefault="00E66CA2" w:rsidP="00BD5E4C">
      <w:pPr>
        <w:pStyle w:val="ProtocolSection"/>
        <w:spacing w:after="0"/>
        <w:contextualSpacing/>
        <w:mirrorIndents/>
        <w:rPr>
          <w:bCs/>
        </w:rPr>
      </w:pPr>
    </w:p>
    <w:p w14:paraId="097DE089" w14:textId="32CE4CD4"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One hour prior to dissociation, coat the required number of wells of a 12-well plate with 0.25 mL of vitronectin solution (5 µg/mL) per well. Place the well plate at 37 °C for 1 h.</w:t>
      </w:r>
    </w:p>
    <w:p w14:paraId="207F3A51" w14:textId="77777777" w:rsidR="00E66CA2" w:rsidRPr="00B72A96" w:rsidRDefault="00E66CA2" w:rsidP="00BD5E4C">
      <w:pPr>
        <w:pStyle w:val="ListParagraph"/>
        <w:ind w:left="0"/>
        <w:mirrorIndents/>
        <w:rPr>
          <w:bCs/>
        </w:rPr>
      </w:pPr>
    </w:p>
    <w:p w14:paraId="3D1B91F4" w14:textId="39C34092"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Dissociate the </w:t>
      </w:r>
      <w:proofErr w:type="spellStart"/>
      <w:r w:rsidRPr="00B72A96">
        <w:rPr>
          <w:b w:val="0"/>
          <w:bCs/>
        </w:rPr>
        <w:t>hPSC</w:t>
      </w:r>
      <w:proofErr w:type="spellEnd"/>
      <w:r w:rsidRPr="00B72A96">
        <w:rPr>
          <w:b w:val="0"/>
          <w:bCs/>
        </w:rPr>
        <w:t xml:space="preserve"> colonies into single cells as described in the EDTA dissociation procedure in Section 1.1.</w:t>
      </w:r>
    </w:p>
    <w:p w14:paraId="5D975222" w14:textId="77777777" w:rsidR="00E66CA2" w:rsidRPr="00B72A96" w:rsidRDefault="00E66CA2" w:rsidP="00BD5E4C">
      <w:pPr>
        <w:pStyle w:val="ListParagraph"/>
        <w:ind w:left="0"/>
        <w:mirrorIndents/>
        <w:rPr>
          <w:bCs/>
        </w:rPr>
      </w:pPr>
    </w:p>
    <w:p w14:paraId="65BB2198" w14:textId="32457F4F"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Seed </w:t>
      </w:r>
      <w:proofErr w:type="spellStart"/>
      <w:r w:rsidRPr="00B72A96">
        <w:rPr>
          <w:b w:val="0"/>
          <w:bCs/>
        </w:rPr>
        <w:t>hPSCs</w:t>
      </w:r>
      <w:proofErr w:type="spellEnd"/>
      <w:r w:rsidRPr="00B72A96">
        <w:rPr>
          <w:b w:val="0"/>
          <w:bCs/>
        </w:rPr>
        <w:t xml:space="preserve"> at 70,000 cells/well in a 12-well plate. Culture in SFM for 48 h, including ROCKi during the first 24 h and excluding ROCKi during the subsequent 24 h.</w:t>
      </w:r>
    </w:p>
    <w:p w14:paraId="2DBD1146" w14:textId="77777777" w:rsidR="00D924CC" w:rsidRPr="00B72A96" w:rsidRDefault="00D924CC" w:rsidP="00BD5E4C">
      <w:pPr>
        <w:pStyle w:val="ListParagraph"/>
        <w:ind w:left="0"/>
        <w:mirrorIndents/>
        <w:rPr>
          <w:bCs/>
        </w:rPr>
      </w:pPr>
    </w:p>
    <w:p w14:paraId="370C99F2" w14:textId="08DC60C5" w:rsidR="00D924CC" w:rsidRPr="00B72A96" w:rsidRDefault="00D924CC" w:rsidP="00BD5E4C">
      <w:pPr>
        <w:pStyle w:val="ProtocolSection"/>
        <w:numPr>
          <w:ilvl w:val="2"/>
          <w:numId w:val="22"/>
        </w:numPr>
        <w:spacing w:after="0"/>
        <w:ind w:left="0" w:firstLine="0"/>
        <w:contextualSpacing/>
        <w:mirrorIndents/>
        <w:rPr>
          <w:b w:val="0"/>
          <w:bCs/>
        </w:rPr>
      </w:pPr>
      <w:r w:rsidRPr="00B72A96">
        <w:rPr>
          <w:b w:val="0"/>
          <w:bCs/>
        </w:rPr>
        <w:lastRenderedPageBreak/>
        <w:t>On Day 3, replace the medium with lateral mesoderm (LM)-A medium (</w:t>
      </w:r>
      <w:r w:rsidRPr="000E571D">
        <w:t>Table 1</w:t>
      </w:r>
      <w:r w:rsidRPr="00B72A96">
        <w:rPr>
          <w:b w:val="0"/>
          <w:bCs/>
        </w:rPr>
        <w:t>) and culture the cells for an additional 24 h. On Day 4, replace LM-A medium with LM-B medium (</w:t>
      </w:r>
      <w:r w:rsidRPr="00B72A96">
        <w:t>Table 1</w:t>
      </w:r>
      <w:r w:rsidRPr="00B72A96">
        <w:rPr>
          <w:b w:val="0"/>
          <w:bCs/>
        </w:rPr>
        <w:t>), and culture the cells for an additional 24 h before harvesting.</w:t>
      </w:r>
    </w:p>
    <w:p w14:paraId="209B659B" w14:textId="77777777" w:rsidR="00D924CC" w:rsidRPr="00B72A96" w:rsidRDefault="00D924CC" w:rsidP="00BD5E4C">
      <w:pPr>
        <w:pStyle w:val="ListParagraph"/>
        <w:ind w:left="0"/>
        <w:mirrorIndents/>
        <w:rPr>
          <w:bCs/>
        </w:rPr>
      </w:pPr>
    </w:p>
    <w:p w14:paraId="60F7267B" w14:textId="77777777" w:rsidR="00D924CC" w:rsidRPr="00B72A96" w:rsidRDefault="00D924CC" w:rsidP="00BD5E4C">
      <w:pPr>
        <w:pStyle w:val="ListParagraph"/>
        <w:numPr>
          <w:ilvl w:val="1"/>
          <w:numId w:val="22"/>
        </w:numPr>
        <w:ind w:left="0" w:firstLine="0"/>
        <w:mirrorIndents/>
        <w:rPr>
          <w:rFonts w:eastAsiaTheme="minorEastAsia" w:cstheme="minorBidi"/>
          <w:b/>
          <w:bCs/>
          <w:szCs w:val="22"/>
          <w:lang w:val="en-US"/>
        </w:rPr>
      </w:pPr>
      <w:r w:rsidRPr="00B72A96">
        <w:rPr>
          <w:b/>
          <w:bCs/>
        </w:rPr>
        <w:t>Differ</w:t>
      </w:r>
      <w:proofErr w:type="spellStart"/>
      <w:r w:rsidRPr="00B72A96">
        <w:rPr>
          <w:rFonts w:eastAsiaTheme="minorEastAsia" w:cstheme="minorBidi"/>
          <w:b/>
          <w:bCs/>
          <w:szCs w:val="22"/>
          <w:lang w:val="en-US"/>
        </w:rPr>
        <w:t>entiate</w:t>
      </w:r>
      <w:proofErr w:type="spellEnd"/>
      <w:r w:rsidRPr="00B72A96">
        <w:rPr>
          <w:rFonts w:eastAsiaTheme="minorEastAsia" w:cstheme="minorBidi"/>
          <w:b/>
          <w:bCs/>
          <w:szCs w:val="22"/>
          <w:lang w:val="en-US"/>
        </w:rPr>
        <w:t xml:space="preserve"> human PSCs toward paraxial mesoderm</w:t>
      </w:r>
    </w:p>
    <w:p w14:paraId="45FF800E" w14:textId="77777777" w:rsidR="00E66CA2" w:rsidRPr="00B72A96" w:rsidRDefault="00E66CA2" w:rsidP="00BD5E4C">
      <w:pPr>
        <w:pStyle w:val="ProtocolSection"/>
        <w:spacing w:after="0"/>
        <w:contextualSpacing/>
        <w:mirrorIndents/>
      </w:pPr>
    </w:p>
    <w:p w14:paraId="58CC1460" w14:textId="11BE0153"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Maintain </w:t>
      </w:r>
      <w:proofErr w:type="spellStart"/>
      <w:r w:rsidRPr="00B72A96">
        <w:rPr>
          <w:b w:val="0"/>
          <w:bCs/>
        </w:rPr>
        <w:t>hPSCs</w:t>
      </w:r>
      <w:proofErr w:type="spellEnd"/>
      <w:r w:rsidRPr="00B72A96">
        <w:rPr>
          <w:b w:val="0"/>
          <w:bCs/>
        </w:rPr>
        <w:t xml:space="preserve"> according to the procedure described in the </w:t>
      </w:r>
      <w:r w:rsidR="00E66CA2" w:rsidRPr="00B72A96">
        <w:t>Supplementary File 1</w:t>
      </w:r>
      <w:r w:rsidRPr="00B72A96">
        <w:rPr>
          <w:b w:val="0"/>
          <w:bCs/>
        </w:rPr>
        <w:t xml:space="preserve"> (Section 1.2, Passaging human PSCs) until reaching 70</w:t>
      </w:r>
      <w:r w:rsidR="00B6189E">
        <w:rPr>
          <w:b w:val="0"/>
          <w:bCs/>
        </w:rPr>
        <w:t>%</w:t>
      </w:r>
      <w:r w:rsidR="00B6189E">
        <w:rPr>
          <w:rFonts w:cs="Calibri"/>
          <w:b w:val="0"/>
          <w:bCs/>
        </w:rPr>
        <w:t>–</w:t>
      </w:r>
      <w:r w:rsidRPr="00B72A96">
        <w:rPr>
          <w:b w:val="0"/>
          <w:bCs/>
        </w:rPr>
        <w:t>80% confluence in 6 wells.</w:t>
      </w:r>
    </w:p>
    <w:p w14:paraId="44CEDF29" w14:textId="77777777" w:rsidR="00E66CA2" w:rsidRPr="00B72A96" w:rsidRDefault="00E66CA2" w:rsidP="00BD5E4C">
      <w:pPr>
        <w:pStyle w:val="ProtocolSection"/>
        <w:spacing w:after="0"/>
        <w:contextualSpacing/>
        <w:mirrorIndents/>
        <w:rPr>
          <w:bCs/>
        </w:rPr>
      </w:pPr>
    </w:p>
    <w:p w14:paraId="283689EF" w14:textId="55F8EDB3"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One hour before dissociation, coat the required number of wells of a 12-well plate with 0.25 mL of vitronectin solution (5 µg/mL) per well. Place the well plate in an incubator at 37 °C for 1 h.</w:t>
      </w:r>
    </w:p>
    <w:p w14:paraId="7AC39F7F" w14:textId="77777777" w:rsidR="00E66CA2" w:rsidRPr="00B72A96" w:rsidRDefault="00E66CA2" w:rsidP="00BD5E4C">
      <w:pPr>
        <w:pStyle w:val="ListParagraph"/>
        <w:ind w:left="0"/>
        <w:mirrorIndents/>
        <w:rPr>
          <w:bCs/>
        </w:rPr>
      </w:pPr>
    </w:p>
    <w:p w14:paraId="4F564E3F" w14:textId="05DBBDF3"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Dissociate the </w:t>
      </w:r>
      <w:proofErr w:type="spellStart"/>
      <w:r w:rsidRPr="00B72A96">
        <w:rPr>
          <w:b w:val="0"/>
          <w:bCs/>
        </w:rPr>
        <w:t>hPSC</w:t>
      </w:r>
      <w:proofErr w:type="spellEnd"/>
      <w:r w:rsidRPr="00B72A96">
        <w:rPr>
          <w:b w:val="0"/>
          <w:bCs/>
        </w:rPr>
        <w:t xml:space="preserve"> colonies into single cells as described in the EDTA dissociation procedure in Section 1.1.</w:t>
      </w:r>
    </w:p>
    <w:p w14:paraId="58C859F6" w14:textId="77777777" w:rsidR="00E66CA2" w:rsidRPr="00B72A96" w:rsidRDefault="00E66CA2" w:rsidP="00BD5E4C">
      <w:pPr>
        <w:pStyle w:val="ListParagraph"/>
        <w:ind w:left="0"/>
        <w:mirrorIndents/>
        <w:rPr>
          <w:bCs/>
        </w:rPr>
      </w:pPr>
    </w:p>
    <w:p w14:paraId="3D04981C" w14:textId="43DF61CD"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Seed </w:t>
      </w:r>
      <w:proofErr w:type="spellStart"/>
      <w:r w:rsidRPr="00B72A96">
        <w:rPr>
          <w:b w:val="0"/>
          <w:bCs/>
        </w:rPr>
        <w:t>hPSCs</w:t>
      </w:r>
      <w:proofErr w:type="spellEnd"/>
      <w:r w:rsidRPr="00B72A96">
        <w:rPr>
          <w:b w:val="0"/>
          <w:bCs/>
        </w:rPr>
        <w:t xml:space="preserve"> at 70,000 cells/well in a 12-well plate. Culture in SFM for 48 h, including ROCKi during the first 24 h and excluding ROCKi during the subsequent 24 h.</w:t>
      </w:r>
    </w:p>
    <w:p w14:paraId="7F512567" w14:textId="77777777" w:rsidR="00E66CA2" w:rsidRPr="00B72A96" w:rsidRDefault="00E66CA2" w:rsidP="00BD5E4C">
      <w:pPr>
        <w:pStyle w:val="ListParagraph"/>
        <w:ind w:left="0"/>
        <w:mirrorIndents/>
        <w:rPr>
          <w:bCs/>
        </w:rPr>
      </w:pPr>
    </w:p>
    <w:p w14:paraId="744C401D" w14:textId="07868480" w:rsidR="00760F13" w:rsidRPr="00B72A96" w:rsidRDefault="00760F13" w:rsidP="00BD5E4C">
      <w:pPr>
        <w:pStyle w:val="ProtocolSection"/>
        <w:numPr>
          <w:ilvl w:val="2"/>
          <w:numId w:val="22"/>
        </w:numPr>
        <w:spacing w:after="0"/>
        <w:ind w:left="0" w:firstLine="0"/>
        <w:contextualSpacing/>
        <w:mirrorIndents/>
      </w:pPr>
      <w:r w:rsidRPr="00B72A96">
        <w:rPr>
          <w:b w:val="0"/>
          <w:bCs/>
        </w:rPr>
        <w:t>On Day 3,</w:t>
      </w:r>
      <w:r w:rsidRPr="00B72A96">
        <w:t xml:space="preserve"> </w:t>
      </w:r>
      <w:r w:rsidRPr="00B72A96">
        <w:rPr>
          <w:b w:val="0"/>
          <w:bCs/>
        </w:rPr>
        <w:t>replace the medium with paraxial mesoderm (PM)-A medium (</w:t>
      </w:r>
      <w:r w:rsidRPr="00B72A96">
        <w:t>Table 1</w:t>
      </w:r>
      <w:r w:rsidRPr="00B72A96">
        <w:rPr>
          <w:b w:val="0"/>
          <w:bCs/>
        </w:rPr>
        <w:t>) and culture the cells for an additional 24 h. On Day 4, replace PM-A medium with PM-B medium (</w:t>
      </w:r>
      <w:r w:rsidRPr="00B72A96">
        <w:t>Table 1</w:t>
      </w:r>
      <w:r w:rsidRPr="00B72A96">
        <w:rPr>
          <w:b w:val="0"/>
          <w:bCs/>
        </w:rPr>
        <w:t>), and culture the cells for an additional 24 h prior to harvesting.</w:t>
      </w:r>
    </w:p>
    <w:p w14:paraId="763DD39C" w14:textId="77777777" w:rsidR="00E66CA2" w:rsidRPr="00B72A96" w:rsidRDefault="00E66CA2" w:rsidP="00BD5E4C">
      <w:pPr>
        <w:pStyle w:val="ListParagraph"/>
        <w:ind w:left="0"/>
        <w:mirrorIndents/>
      </w:pPr>
    </w:p>
    <w:p w14:paraId="2C447F7D" w14:textId="7BB57BCA" w:rsidR="00760F13" w:rsidRPr="00B72A96" w:rsidRDefault="00760F13" w:rsidP="00BD5E4C">
      <w:pPr>
        <w:pStyle w:val="ProtocolSection"/>
        <w:numPr>
          <w:ilvl w:val="1"/>
          <w:numId w:val="22"/>
        </w:numPr>
        <w:spacing w:after="0"/>
        <w:ind w:left="0" w:firstLine="0"/>
        <w:contextualSpacing/>
        <w:mirrorIndents/>
      </w:pPr>
      <w:r w:rsidRPr="00B72A96">
        <w:t>Differentiate human PSCs toward definitive endoderm</w:t>
      </w:r>
    </w:p>
    <w:p w14:paraId="5ADBA810" w14:textId="414580B4"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Maintain </w:t>
      </w:r>
      <w:proofErr w:type="spellStart"/>
      <w:r w:rsidRPr="00B72A96">
        <w:rPr>
          <w:b w:val="0"/>
          <w:bCs/>
        </w:rPr>
        <w:t>hPSCs</w:t>
      </w:r>
      <w:proofErr w:type="spellEnd"/>
      <w:r w:rsidRPr="00B72A96">
        <w:rPr>
          <w:b w:val="0"/>
          <w:bCs/>
        </w:rPr>
        <w:t xml:space="preserve"> according to the procedure described in the </w:t>
      </w:r>
      <w:r w:rsidR="00E66CA2" w:rsidRPr="00B72A96">
        <w:t>Supplementary File 1</w:t>
      </w:r>
      <w:r w:rsidRPr="00B72A96">
        <w:rPr>
          <w:b w:val="0"/>
          <w:bCs/>
        </w:rPr>
        <w:t xml:space="preserve"> (Section 1.2, Passaging human PSCs) until reaching 70</w:t>
      </w:r>
      <w:r w:rsidR="00B6189E">
        <w:rPr>
          <w:b w:val="0"/>
          <w:bCs/>
        </w:rPr>
        <w:t>%</w:t>
      </w:r>
      <w:r w:rsidR="00B6189E">
        <w:rPr>
          <w:rFonts w:cs="Calibri"/>
          <w:b w:val="0"/>
          <w:bCs/>
        </w:rPr>
        <w:t>–</w:t>
      </w:r>
      <w:r w:rsidRPr="00B72A96">
        <w:rPr>
          <w:b w:val="0"/>
          <w:bCs/>
        </w:rPr>
        <w:t>80% confluence in 6 wells.</w:t>
      </w:r>
    </w:p>
    <w:p w14:paraId="2B19B8D7" w14:textId="77777777" w:rsidR="00D924CC" w:rsidRPr="00B72A96" w:rsidRDefault="00D924CC" w:rsidP="00BD5E4C">
      <w:pPr>
        <w:pStyle w:val="ProtocolSection"/>
        <w:spacing w:after="0"/>
        <w:contextualSpacing/>
        <w:mirrorIndents/>
        <w:rPr>
          <w:bCs/>
        </w:rPr>
      </w:pPr>
    </w:p>
    <w:p w14:paraId="37CB5CDB" w14:textId="24FBFA46"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One hour before dissociation, coat the required number of wells of a 12-well plate with 0.25 mL of vitronectin solution (5 µg/mL) per well. Place the well plate in an incubator at 37 °C for 1 h.</w:t>
      </w:r>
    </w:p>
    <w:p w14:paraId="0CE62790" w14:textId="77777777" w:rsidR="00D924CC" w:rsidRPr="00B72A96" w:rsidRDefault="00D924CC" w:rsidP="00BD5E4C">
      <w:pPr>
        <w:pStyle w:val="ProtocolSection"/>
        <w:spacing w:after="0"/>
        <w:contextualSpacing/>
        <w:mirrorIndents/>
        <w:rPr>
          <w:bCs/>
        </w:rPr>
      </w:pPr>
    </w:p>
    <w:p w14:paraId="0FB61EBE" w14:textId="7842A40B"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Dissociate the </w:t>
      </w:r>
      <w:proofErr w:type="spellStart"/>
      <w:r w:rsidRPr="00B72A96">
        <w:rPr>
          <w:b w:val="0"/>
          <w:bCs/>
        </w:rPr>
        <w:t>hPSC</w:t>
      </w:r>
      <w:proofErr w:type="spellEnd"/>
      <w:r w:rsidRPr="00B72A96">
        <w:rPr>
          <w:b w:val="0"/>
          <w:bCs/>
        </w:rPr>
        <w:t xml:space="preserve"> colonies into single cells as described in the EDTA dissociation procedure in Section 1.1.</w:t>
      </w:r>
    </w:p>
    <w:p w14:paraId="2D260442" w14:textId="77777777" w:rsidR="00D924CC" w:rsidRPr="00B72A96" w:rsidRDefault="00D924CC" w:rsidP="00BD5E4C">
      <w:pPr>
        <w:pStyle w:val="ListParagraph"/>
        <w:ind w:left="0"/>
        <w:mirrorIndents/>
        <w:rPr>
          <w:bCs/>
        </w:rPr>
      </w:pPr>
    </w:p>
    <w:p w14:paraId="58C6290D" w14:textId="458B1838"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Seed </w:t>
      </w:r>
      <w:proofErr w:type="spellStart"/>
      <w:r w:rsidRPr="00B72A96">
        <w:rPr>
          <w:b w:val="0"/>
          <w:bCs/>
        </w:rPr>
        <w:t>hPSCs</w:t>
      </w:r>
      <w:proofErr w:type="spellEnd"/>
      <w:r w:rsidRPr="00B72A96">
        <w:rPr>
          <w:b w:val="0"/>
          <w:bCs/>
        </w:rPr>
        <w:t xml:space="preserve"> at 50,000 cells/well in a 12-well plate. Culture in SFM for 48 h, including ROCKi during the first 24 h and excluding ROCKi during the subsequent 24 h.</w:t>
      </w:r>
    </w:p>
    <w:p w14:paraId="24684FC4" w14:textId="77777777" w:rsidR="00D924CC" w:rsidRPr="00B72A96" w:rsidRDefault="00D924CC" w:rsidP="00BD5E4C">
      <w:pPr>
        <w:pStyle w:val="ListParagraph"/>
        <w:ind w:left="0"/>
        <w:mirrorIndents/>
        <w:rPr>
          <w:bCs/>
        </w:rPr>
      </w:pPr>
    </w:p>
    <w:p w14:paraId="4521C33F" w14:textId="6C10BCF7"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On Day 3, replace the medium with definitive endoderm (DE)-A medium (</w:t>
      </w:r>
      <w:r w:rsidRPr="000E571D">
        <w:t>Table 1</w:t>
      </w:r>
      <w:r w:rsidRPr="00B72A96">
        <w:rPr>
          <w:b w:val="0"/>
          <w:bCs/>
        </w:rPr>
        <w:t>) and culture the cells for an additional 24 h.</w:t>
      </w:r>
    </w:p>
    <w:p w14:paraId="508D21D9" w14:textId="77777777" w:rsidR="00D924CC" w:rsidRPr="00B72A96" w:rsidRDefault="00D924CC" w:rsidP="00BD5E4C">
      <w:pPr>
        <w:pStyle w:val="ListParagraph"/>
        <w:ind w:left="0"/>
        <w:mirrorIndents/>
        <w:rPr>
          <w:b/>
          <w:bCs/>
        </w:rPr>
      </w:pPr>
    </w:p>
    <w:p w14:paraId="381B9F69" w14:textId="22675208" w:rsidR="00D924CC" w:rsidRPr="00B72A96" w:rsidRDefault="00D924CC" w:rsidP="00BD5E4C">
      <w:pPr>
        <w:pStyle w:val="ProtocolSection"/>
        <w:numPr>
          <w:ilvl w:val="2"/>
          <w:numId w:val="22"/>
        </w:numPr>
        <w:spacing w:after="0"/>
        <w:ind w:left="0" w:firstLine="0"/>
        <w:contextualSpacing/>
        <w:mirrorIndents/>
      </w:pPr>
      <w:r w:rsidRPr="00B72A96">
        <w:rPr>
          <w:b w:val="0"/>
          <w:bCs/>
        </w:rPr>
        <w:t xml:space="preserve">On </w:t>
      </w:r>
      <w:r w:rsidR="00165AA3">
        <w:rPr>
          <w:b w:val="0"/>
          <w:bCs/>
        </w:rPr>
        <w:t>D</w:t>
      </w:r>
      <w:r w:rsidRPr="00B72A96">
        <w:rPr>
          <w:b w:val="0"/>
          <w:bCs/>
        </w:rPr>
        <w:t>ay 4, replace DE-A medium with DE-B medium (</w:t>
      </w:r>
      <w:r w:rsidRPr="00B72A96">
        <w:t>Table 1</w:t>
      </w:r>
      <w:r w:rsidRPr="00B72A96">
        <w:rPr>
          <w:b w:val="0"/>
          <w:bCs/>
        </w:rPr>
        <w:t>). Culture for an additional 48 h and replace</w:t>
      </w:r>
      <w:r w:rsidRPr="00B72A96">
        <w:t xml:space="preserve"> </w:t>
      </w:r>
      <w:r w:rsidR="008F6545" w:rsidRPr="00BD5E4C">
        <w:rPr>
          <w:b w:val="0"/>
          <w:bCs/>
        </w:rPr>
        <w:t xml:space="preserve">the </w:t>
      </w:r>
      <w:r w:rsidRPr="00B72A96">
        <w:rPr>
          <w:b w:val="0"/>
          <w:bCs/>
        </w:rPr>
        <w:t>DE-B medium daily before harvesting.</w:t>
      </w:r>
    </w:p>
    <w:p w14:paraId="7D8547A0" w14:textId="77777777" w:rsidR="00D924CC" w:rsidRPr="00B72A96" w:rsidRDefault="00D924CC" w:rsidP="00BD5E4C">
      <w:pPr>
        <w:pStyle w:val="ListParagraph"/>
        <w:ind w:left="0"/>
        <w:mirrorIndents/>
      </w:pPr>
    </w:p>
    <w:p w14:paraId="7EFC115C" w14:textId="389D491A" w:rsidR="00D924CC" w:rsidRPr="00B72A96" w:rsidRDefault="00D924CC" w:rsidP="00BD5E4C">
      <w:pPr>
        <w:pStyle w:val="ProtocolSection"/>
        <w:numPr>
          <w:ilvl w:val="1"/>
          <w:numId w:val="22"/>
        </w:numPr>
        <w:spacing w:after="0"/>
        <w:ind w:left="0" w:firstLine="0"/>
        <w:contextualSpacing/>
        <w:mirrorIndents/>
      </w:pPr>
      <w:r w:rsidRPr="00B72A96">
        <w:lastRenderedPageBreak/>
        <w:t>Differentiate human PSCs toward neuroectoderm</w:t>
      </w:r>
    </w:p>
    <w:p w14:paraId="073A580B" w14:textId="57A05FEE" w:rsidR="004421E4" w:rsidRPr="00B72A96" w:rsidRDefault="004421E4" w:rsidP="00BD5E4C">
      <w:pPr>
        <w:pStyle w:val="ListParagraph"/>
        <w:numPr>
          <w:ilvl w:val="2"/>
          <w:numId w:val="22"/>
        </w:numPr>
        <w:ind w:left="0" w:firstLine="0"/>
        <w:mirrorIndents/>
        <w:rPr>
          <w:rFonts w:eastAsiaTheme="minorEastAsia" w:cstheme="minorBidi"/>
          <w:bCs/>
          <w:szCs w:val="22"/>
          <w:lang w:val="en-US"/>
        </w:rPr>
      </w:pPr>
      <w:r w:rsidRPr="00B72A96">
        <w:t xml:space="preserve">Maintain </w:t>
      </w:r>
      <w:proofErr w:type="spellStart"/>
      <w:r w:rsidRPr="00B72A96">
        <w:rPr>
          <w:rFonts w:eastAsiaTheme="minorEastAsia" w:cstheme="minorBidi"/>
          <w:b/>
          <w:szCs w:val="22"/>
          <w:lang w:val="en-US"/>
        </w:rPr>
        <w:t>hPSCs</w:t>
      </w:r>
      <w:proofErr w:type="spellEnd"/>
      <w:r w:rsidRPr="00B72A96">
        <w:rPr>
          <w:rFonts w:eastAsiaTheme="minorEastAsia" w:cstheme="minorBidi"/>
          <w:b/>
          <w:szCs w:val="22"/>
          <w:lang w:val="en-US"/>
        </w:rPr>
        <w:t xml:space="preserve"> according to the procedure described in the Supplementary File 1 </w:t>
      </w:r>
      <w:r w:rsidRPr="00B72A96">
        <w:rPr>
          <w:rFonts w:eastAsiaTheme="minorEastAsia" w:cstheme="minorBidi"/>
          <w:bCs/>
          <w:szCs w:val="22"/>
          <w:lang w:val="en-US"/>
        </w:rPr>
        <w:t>(Section 1.2, Passaging human PSCs) until reaching 70</w:t>
      </w:r>
      <w:r w:rsidR="008F6545" w:rsidRPr="00B72A96">
        <w:rPr>
          <w:rFonts w:eastAsiaTheme="minorEastAsia" w:cstheme="minorBidi"/>
          <w:bCs/>
          <w:szCs w:val="22"/>
          <w:lang w:val="en-US"/>
        </w:rPr>
        <w:t>%</w:t>
      </w:r>
      <w:r w:rsidR="008F6545" w:rsidRPr="00B72A96">
        <w:rPr>
          <w:rFonts w:eastAsiaTheme="minorEastAsia"/>
          <w:bCs/>
          <w:szCs w:val="22"/>
          <w:lang w:val="en-US"/>
        </w:rPr>
        <w:t>–</w:t>
      </w:r>
      <w:r w:rsidRPr="00B72A96">
        <w:rPr>
          <w:rFonts w:eastAsiaTheme="minorEastAsia" w:cstheme="minorBidi"/>
          <w:bCs/>
          <w:szCs w:val="22"/>
          <w:lang w:val="en-US"/>
        </w:rPr>
        <w:t>80% confluence.</w:t>
      </w:r>
    </w:p>
    <w:p w14:paraId="00C6A317" w14:textId="77777777" w:rsidR="004421E4" w:rsidRPr="00B72A96" w:rsidRDefault="004421E4" w:rsidP="00BD5E4C">
      <w:pPr>
        <w:pStyle w:val="ListParagraph"/>
        <w:ind w:left="0"/>
        <w:mirrorIndents/>
        <w:rPr>
          <w:rFonts w:eastAsiaTheme="minorEastAsia" w:cstheme="minorBidi"/>
          <w:bCs/>
          <w:szCs w:val="22"/>
          <w:lang w:val="en-US"/>
        </w:rPr>
      </w:pPr>
    </w:p>
    <w:p w14:paraId="0C058D22" w14:textId="019A4634" w:rsidR="004421E4" w:rsidRPr="00B72A96" w:rsidRDefault="004421E4" w:rsidP="00BD5E4C">
      <w:pPr>
        <w:pStyle w:val="ListParagraph"/>
        <w:numPr>
          <w:ilvl w:val="2"/>
          <w:numId w:val="22"/>
        </w:numPr>
        <w:ind w:left="0" w:firstLine="0"/>
        <w:mirrorIndents/>
        <w:rPr>
          <w:rFonts w:eastAsiaTheme="minorEastAsia" w:cstheme="minorBidi"/>
          <w:bCs/>
          <w:szCs w:val="22"/>
          <w:lang w:val="en-US"/>
        </w:rPr>
      </w:pPr>
      <w:r w:rsidRPr="00B72A96">
        <w:rPr>
          <w:rFonts w:eastAsiaTheme="minorEastAsia" w:cstheme="minorBidi"/>
          <w:bCs/>
          <w:szCs w:val="22"/>
          <w:lang w:val="en-US"/>
        </w:rPr>
        <w:t>One hour prior to dissociation, coat the required number of wells of a 12-well plate with 0.25 mL of vitronectin solution (5 µg/mL) per well. Place the well plate at 37 °C for 1 h.</w:t>
      </w:r>
    </w:p>
    <w:p w14:paraId="589998D8" w14:textId="77777777" w:rsidR="00D924CC" w:rsidRPr="00B72A96" w:rsidRDefault="00D924CC" w:rsidP="00BD5E4C">
      <w:pPr>
        <w:pStyle w:val="ListParagraph"/>
        <w:ind w:left="0"/>
        <w:mirrorIndents/>
        <w:rPr>
          <w:bCs/>
        </w:rPr>
      </w:pPr>
    </w:p>
    <w:p w14:paraId="1A18C53D" w14:textId="724F05A9"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Dissociate the </w:t>
      </w:r>
      <w:proofErr w:type="spellStart"/>
      <w:r w:rsidRPr="00B72A96">
        <w:rPr>
          <w:b w:val="0"/>
          <w:bCs/>
        </w:rPr>
        <w:t>hPSC</w:t>
      </w:r>
      <w:proofErr w:type="spellEnd"/>
      <w:r w:rsidRPr="00B72A96">
        <w:rPr>
          <w:b w:val="0"/>
          <w:bCs/>
        </w:rPr>
        <w:t xml:space="preserve"> colonies into single cells as described in the EDTA dissociation procedure in Section 1.1.</w:t>
      </w:r>
    </w:p>
    <w:p w14:paraId="0ADD6FCA" w14:textId="77777777" w:rsidR="00D924CC" w:rsidRPr="00B72A96" w:rsidRDefault="00D924CC" w:rsidP="00BD5E4C">
      <w:pPr>
        <w:pStyle w:val="ListParagraph"/>
        <w:ind w:left="0"/>
        <w:mirrorIndents/>
        <w:rPr>
          <w:bCs/>
        </w:rPr>
      </w:pPr>
    </w:p>
    <w:p w14:paraId="435383C3" w14:textId="3AF3BF44"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Seed </w:t>
      </w:r>
      <w:proofErr w:type="spellStart"/>
      <w:r w:rsidRPr="00B72A96">
        <w:rPr>
          <w:b w:val="0"/>
          <w:bCs/>
        </w:rPr>
        <w:t>hPSCs</w:t>
      </w:r>
      <w:proofErr w:type="spellEnd"/>
      <w:r w:rsidRPr="00B72A96">
        <w:rPr>
          <w:b w:val="0"/>
          <w:bCs/>
        </w:rPr>
        <w:t xml:space="preserve"> at 50,000 cells/well in a 12-well plate. Culture in SFM with ROCKi for the first 24 h.</w:t>
      </w:r>
    </w:p>
    <w:p w14:paraId="4F0B6440" w14:textId="77777777" w:rsidR="00D924CC" w:rsidRPr="00B72A96" w:rsidRDefault="00D924CC" w:rsidP="00BD5E4C">
      <w:pPr>
        <w:pStyle w:val="ListParagraph"/>
        <w:ind w:left="0"/>
        <w:mirrorIndents/>
        <w:rPr>
          <w:bCs/>
        </w:rPr>
      </w:pPr>
    </w:p>
    <w:p w14:paraId="75F29811" w14:textId="7D05D6F2" w:rsidR="00760F13" w:rsidRPr="00B72A96" w:rsidRDefault="00760F13" w:rsidP="00BD5E4C">
      <w:pPr>
        <w:pStyle w:val="ProtocolSection"/>
        <w:numPr>
          <w:ilvl w:val="2"/>
          <w:numId w:val="22"/>
        </w:numPr>
        <w:spacing w:after="0"/>
        <w:ind w:left="0" w:firstLine="0"/>
        <w:contextualSpacing/>
        <w:mirrorIndents/>
      </w:pPr>
      <w:r w:rsidRPr="00B72A96">
        <w:rPr>
          <w:b w:val="0"/>
          <w:bCs/>
        </w:rPr>
        <w:t xml:space="preserve">On </w:t>
      </w:r>
      <w:r w:rsidR="00165AA3">
        <w:rPr>
          <w:b w:val="0"/>
          <w:bCs/>
        </w:rPr>
        <w:t>D</w:t>
      </w:r>
      <w:r w:rsidRPr="00B72A96">
        <w:rPr>
          <w:b w:val="0"/>
          <w:bCs/>
        </w:rPr>
        <w:t>ay 2, replace</w:t>
      </w:r>
      <w:r w:rsidRPr="00B72A96">
        <w:t xml:space="preserve"> </w:t>
      </w:r>
      <w:r w:rsidRPr="00B72A96">
        <w:rPr>
          <w:b w:val="0"/>
          <w:bCs/>
        </w:rPr>
        <w:t>the medium with neuroectoderm (NE) medium (</w:t>
      </w:r>
      <w:r w:rsidRPr="00B72A96">
        <w:t>Table 1</w:t>
      </w:r>
      <w:r w:rsidRPr="00B72A96">
        <w:rPr>
          <w:b w:val="0"/>
          <w:bCs/>
        </w:rPr>
        <w:t xml:space="preserve">). Replace NE medium daily and culture for an additional 96 h before harvesting on </w:t>
      </w:r>
      <w:r w:rsidR="00165AA3">
        <w:rPr>
          <w:b w:val="0"/>
          <w:bCs/>
        </w:rPr>
        <w:t>D</w:t>
      </w:r>
      <w:r w:rsidRPr="00B72A96">
        <w:rPr>
          <w:b w:val="0"/>
          <w:bCs/>
        </w:rPr>
        <w:t>ay 7.</w:t>
      </w:r>
    </w:p>
    <w:p w14:paraId="37FB08CC" w14:textId="77777777" w:rsidR="00D924CC" w:rsidRPr="00B72A96" w:rsidRDefault="00D924CC" w:rsidP="00BD5E4C">
      <w:pPr>
        <w:pStyle w:val="ProtocolSection"/>
        <w:spacing w:after="0"/>
        <w:contextualSpacing/>
        <w:mirrorIndents/>
      </w:pPr>
    </w:p>
    <w:p w14:paraId="76C0C845" w14:textId="0995468D" w:rsidR="00760F13" w:rsidRPr="00B72A96" w:rsidRDefault="00760F13" w:rsidP="00BD5E4C">
      <w:pPr>
        <w:pStyle w:val="ProtocolSection"/>
        <w:numPr>
          <w:ilvl w:val="0"/>
          <w:numId w:val="22"/>
        </w:numPr>
        <w:spacing w:after="0"/>
        <w:ind w:left="0" w:firstLine="0"/>
        <w:contextualSpacing/>
        <w:mirrorIndents/>
      </w:pPr>
      <w:r w:rsidRPr="00B72A96">
        <w:t>Gene expression analysis of fate markers</w:t>
      </w:r>
    </w:p>
    <w:p w14:paraId="5CD00842" w14:textId="5D7B1A03" w:rsidR="00760F13" w:rsidRPr="00B72A96" w:rsidRDefault="00760F13" w:rsidP="00BD5E4C">
      <w:pPr>
        <w:pStyle w:val="ProtocolSection"/>
        <w:numPr>
          <w:ilvl w:val="1"/>
          <w:numId w:val="22"/>
        </w:numPr>
        <w:spacing w:after="0"/>
        <w:ind w:left="0" w:firstLine="0"/>
        <w:contextualSpacing/>
        <w:mirrorIndents/>
      </w:pPr>
      <w:r w:rsidRPr="00B72A96">
        <w:t>Extract RNA and synthesize cDNA</w:t>
      </w:r>
    </w:p>
    <w:p w14:paraId="584D0383" w14:textId="77777777" w:rsidR="00D924CC" w:rsidRPr="00B72A96" w:rsidRDefault="00D924CC" w:rsidP="00BD5E4C">
      <w:pPr>
        <w:pStyle w:val="ProtocolSection"/>
        <w:spacing w:after="0"/>
        <w:contextualSpacing/>
        <w:mirrorIndents/>
      </w:pPr>
    </w:p>
    <w:p w14:paraId="33D9BC4C" w14:textId="469489E4" w:rsidR="00760F13" w:rsidRPr="00B72A96" w:rsidRDefault="00E66CA2" w:rsidP="00BD5E4C">
      <w:pPr>
        <w:pStyle w:val="ProtocolNote"/>
        <w:spacing w:after="0"/>
        <w:contextualSpacing/>
        <w:mirrorIndents/>
      </w:pPr>
      <w:r w:rsidRPr="00B72A96">
        <w:t>NOTE:</w:t>
      </w:r>
      <w:r w:rsidR="00760F13" w:rsidRPr="00B72A96">
        <w:t xml:space="preserve"> Perform RNA extraction according to the Quick-RNA Miniprep kit instructions, with the minor modifications described below.</w:t>
      </w:r>
    </w:p>
    <w:p w14:paraId="43196DCD" w14:textId="7E7E7D5D"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Resuspend the pellet in 300 µL of the kit lysis buffer. Transfer the lysate to a Spin-Away Filter in a collection tube.</w:t>
      </w:r>
    </w:p>
    <w:p w14:paraId="6A2DBF61" w14:textId="77777777" w:rsidR="00D924CC" w:rsidRPr="00B72A96" w:rsidRDefault="00D924CC" w:rsidP="00BD5E4C">
      <w:pPr>
        <w:pStyle w:val="ProtocolSection"/>
        <w:spacing w:after="0"/>
        <w:contextualSpacing/>
        <w:mirrorIndents/>
        <w:rPr>
          <w:bCs/>
        </w:rPr>
      </w:pPr>
    </w:p>
    <w:p w14:paraId="4196222C" w14:textId="006F7F0E"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Centrifuge at 13,000 ×</w:t>
      </w:r>
      <w:r w:rsidR="00D91852" w:rsidRPr="00D91852">
        <w:rPr>
          <w:b w:val="0"/>
          <w:bCs/>
          <w:i/>
          <w:iCs/>
        </w:rPr>
        <w:t xml:space="preserve"> g </w:t>
      </w:r>
      <w:r w:rsidRPr="00B72A96">
        <w:rPr>
          <w:b w:val="0"/>
          <w:bCs/>
        </w:rPr>
        <w:t>for 30 s. Mix the flow-through thoroughly with 300 µL of absolute ethanol at a 1:1 ratio.</w:t>
      </w:r>
    </w:p>
    <w:p w14:paraId="405BA55B" w14:textId="77777777" w:rsidR="00D924CC" w:rsidRPr="00B72A96" w:rsidRDefault="00D924CC" w:rsidP="00BD5E4C">
      <w:pPr>
        <w:pStyle w:val="ListParagraph"/>
        <w:ind w:left="0"/>
        <w:mirrorIndents/>
        <w:rPr>
          <w:bCs/>
        </w:rPr>
      </w:pPr>
    </w:p>
    <w:p w14:paraId="37A9BD83" w14:textId="0818BB85"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Transfer the mixture to a Zymo-Spin IIICG Column in a collection tube. Centrifuge at 13,000 ×</w:t>
      </w:r>
      <w:r w:rsidR="00D91852" w:rsidRPr="00D91852">
        <w:rPr>
          <w:b w:val="0"/>
          <w:bCs/>
          <w:i/>
          <w:iCs/>
        </w:rPr>
        <w:t xml:space="preserve"> g </w:t>
      </w:r>
      <w:r w:rsidRPr="00B72A96">
        <w:rPr>
          <w:b w:val="0"/>
          <w:bCs/>
        </w:rPr>
        <w:t>for 30 s and discard the flow-through.</w:t>
      </w:r>
    </w:p>
    <w:p w14:paraId="7E7CDF2C" w14:textId="77777777" w:rsidR="00D924CC" w:rsidRPr="00B72A96" w:rsidRDefault="00D924CC" w:rsidP="00BD5E4C">
      <w:pPr>
        <w:pStyle w:val="ProtocolSection"/>
        <w:spacing w:after="0"/>
        <w:contextualSpacing/>
        <w:mirrorIndents/>
        <w:rPr>
          <w:bCs/>
        </w:rPr>
      </w:pPr>
    </w:p>
    <w:p w14:paraId="05D82808" w14:textId="70378F7C"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Wash the column with 400 µL RNA Wash buffer provided by the kit and centrifuge the samples at 13,000 ×</w:t>
      </w:r>
      <w:r w:rsidR="00D91852" w:rsidRPr="00D91852">
        <w:rPr>
          <w:b w:val="0"/>
          <w:bCs/>
          <w:i/>
          <w:iCs/>
        </w:rPr>
        <w:t xml:space="preserve"> g </w:t>
      </w:r>
      <w:r w:rsidRPr="00B72A96">
        <w:rPr>
          <w:b w:val="0"/>
          <w:bCs/>
        </w:rPr>
        <w:t>for 30 s. Discard the flow-through.</w:t>
      </w:r>
    </w:p>
    <w:p w14:paraId="76514AC5" w14:textId="77777777" w:rsidR="00D924CC" w:rsidRPr="00B72A96" w:rsidRDefault="00D924CC" w:rsidP="00BD5E4C">
      <w:pPr>
        <w:pStyle w:val="ListParagraph"/>
        <w:ind w:left="0"/>
        <w:mirrorIndents/>
        <w:rPr>
          <w:bCs/>
        </w:rPr>
      </w:pPr>
    </w:p>
    <w:p w14:paraId="50845B6D" w14:textId="41973BB7"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Mix 5 µL of DNase I (1 U/µL) with 75 µL of DNA digestion buffer in a nuclease-free tube. Add 80 µL directly to the center of each column and incubate for 15 min at room temperature.</w:t>
      </w:r>
    </w:p>
    <w:p w14:paraId="4305ED91" w14:textId="77777777" w:rsidR="00D924CC" w:rsidRPr="00B72A96" w:rsidRDefault="00D924CC" w:rsidP="00BD5E4C">
      <w:pPr>
        <w:pStyle w:val="ProtocolSection"/>
        <w:spacing w:after="0"/>
        <w:contextualSpacing/>
        <w:mirrorIndents/>
        <w:rPr>
          <w:bCs/>
        </w:rPr>
      </w:pPr>
    </w:p>
    <w:p w14:paraId="00B437FF" w14:textId="7530A465"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After incubation, add 400 µL of RNA Prep Buffer to the column and centrifuge the column at 13,000 ×</w:t>
      </w:r>
      <w:r w:rsidR="00D91852" w:rsidRPr="00D91852">
        <w:rPr>
          <w:b w:val="0"/>
          <w:bCs/>
          <w:i/>
          <w:iCs/>
        </w:rPr>
        <w:t xml:space="preserve"> g </w:t>
      </w:r>
      <w:r w:rsidRPr="00B72A96">
        <w:rPr>
          <w:b w:val="0"/>
          <w:bCs/>
        </w:rPr>
        <w:t>for 30 s. Discard the flow-through.</w:t>
      </w:r>
    </w:p>
    <w:p w14:paraId="188E48FA" w14:textId="77777777" w:rsidR="00D924CC" w:rsidRPr="00B72A96" w:rsidRDefault="00D924CC" w:rsidP="00BD5E4C">
      <w:pPr>
        <w:pStyle w:val="ListParagraph"/>
        <w:ind w:left="0"/>
        <w:mirrorIndents/>
        <w:rPr>
          <w:bCs/>
        </w:rPr>
      </w:pPr>
    </w:p>
    <w:p w14:paraId="5AFB2DD6" w14:textId="64FC4BE2" w:rsidR="00D924CC" w:rsidRPr="00B72A96" w:rsidRDefault="00D924CC" w:rsidP="00BD5E4C">
      <w:pPr>
        <w:pStyle w:val="ProtocolSection"/>
        <w:numPr>
          <w:ilvl w:val="2"/>
          <w:numId w:val="22"/>
        </w:numPr>
        <w:spacing w:after="0"/>
        <w:ind w:left="0" w:firstLine="0"/>
        <w:contextualSpacing/>
        <w:mirrorIndents/>
        <w:rPr>
          <w:b w:val="0"/>
          <w:bCs/>
        </w:rPr>
      </w:pPr>
      <w:r w:rsidRPr="00B72A96">
        <w:rPr>
          <w:b w:val="0"/>
          <w:bCs/>
        </w:rPr>
        <w:t>Label nuclease-free centrifuge tubes with the sample names. Transfer each column to the corresponding tube and discard the collection tubes.</w:t>
      </w:r>
    </w:p>
    <w:p w14:paraId="45392452" w14:textId="77777777" w:rsidR="00D924CC" w:rsidRPr="00B72A96" w:rsidRDefault="00D924CC" w:rsidP="00BD5E4C">
      <w:pPr>
        <w:pStyle w:val="ListParagraph"/>
        <w:ind w:left="0"/>
        <w:mirrorIndents/>
        <w:rPr>
          <w:bCs/>
        </w:rPr>
      </w:pPr>
    </w:p>
    <w:p w14:paraId="4083DFE8" w14:textId="4386D5BA" w:rsidR="00D924CC" w:rsidRPr="00B72A96" w:rsidRDefault="00D924CC" w:rsidP="00BD5E4C">
      <w:pPr>
        <w:pStyle w:val="ProtocolSection"/>
        <w:numPr>
          <w:ilvl w:val="2"/>
          <w:numId w:val="22"/>
        </w:numPr>
        <w:spacing w:after="0"/>
        <w:ind w:left="0" w:firstLine="0"/>
        <w:contextualSpacing/>
        <w:mirrorIndents/>
        <w:rPr>
          <w:b w:val="0"/>
          <w:bCs/>
        </w:rPr>
      </w:pPr>
      <w:r w:rsidRPr="00B72A96">
        <w:rPr>
          <w:b w:val="0"/>
          <w:bCs/>
        </w:rPr>
        <w:lastRenderedPageBreak/>
        <w:t>Add 40 µL of DNase/RNase-free water directly to the center of the column matrix without touching the matrix. Centrifuge at 13,000 ×</w:t>
      </w:r>
      <w:r w:rsidR="00D91852" w:rsidRPr="00D91852">
        <w:rPr>
          <w:b w:val="0"/>
          <w:bCs/>
          <w:i/>
          <w:iCs/>
        </w:rPr>
        <w:t xml:space="preserve"> g </w:t>
      </w:r>
      <w:r w:rsidRPr="00B72A96">
        <w:rPr>
          <w:b w:val="0"/>
          <w:bCs/>
        </w:rPr>
        <w:t>for 1 min, discard the column, and retain the eluted RNA.</w:t>
      </w:r>
    </w:p>
    <w:p w14:paraId="10053772" w14:textId="77777777" w:rsidR="00D924CC" w:rsidRPr="00B72A96" w:rsidRDefault="00D924CC" w:rsidP="00BD5E4C">
      <w:pPr>
        <w:contextualSpacing/>
        <w:mirrorIndents/>
      </w:pPr>
    </w:p>
    <w:p w14:paraId="0F1206FF" w14:textId="2D2834D1"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Quantify the RNA concentration using a </w:t>
      </w:r>
      <w:proofErr w:type="spellStart"/>
      <w:r w:rsidRPr="00B72A96">
        <w:rPr>
          <w:b w:val="0"/>
          <w:bCs/>
        </w:rPr>
        <w:t>NanoDrop</w:t>
      </w:r>
      <w:proofErr w:type="spellEnd"/>
      <w:r w:rsidRPr="00B72A96">
        <w:rPr>
          <w:b w:val="0"/>
          <w:bCs/>
        </w:rPr>
        <w:t xml:space="preserve">. Prepare cDNA from 700 ng of RNA per sample according to the instructions for the </w:t>
      </w:r>
      <w:proofErr w:type="spellStart"/>
      <w:r w:rsidRPr="00B72A96">
        <w:rPr>
          <w:b w:val="0"/>
          <w:bCs/>
        </w:rPr>
        <w:t>iScript</w:t>
      </w:r>
      <w:proofErr w:type="spellEnd"/>
      <w:r w:rsidRPr="00B72A96">
        <w:rPr>
          <w:b w:val="0"/>
          <w:bCs/>
        </w:rPr>
        <w:t xml:space="preserve"> cDNA synthesis kit, using the modified volumes specified below.</w:t>
      </w:r>
    </w:p>
    <w:p w14:paraId="03E40AB2" w14:textId="77777777" w:rsidR="00D924CC" w:rsidRPr="00B72A96" w:rsidRDefault="00D924CC" w:rsidP="00BD5E4C">
      <w:pPr>
        <w:pStyle w:val="ListParagraph"/>
        <w:ind w:left="0"/>
        <w:mirrorIndents/>
        <w:rPr>
          <w:bCs/>
        </w:rPr>
      </w:pPr>
    </w:p>
    <w:p w14:paraId="41A31AF6" w14:textId="4F6B4084"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Calculate the required RNA and Milli-Q water volumes from the measured RNA concentration. Use a combined RNA and Milli-Q water volume of 7.5 µL per sample.</w:t>
      </w:r>
    </w:p>
    <w:p w14:paraId="00641A5F" w14:textId="77777777" w:rsidR="00D924CC" w:rsidRPr="00B72A96" w:rsidRDefault="00D924CC" w:rsidP="00BD5E4C">
      <w:pPr>
        <w:pStyle w:val="ListParagraph"/>
        <w:ind w:left="0"/>
        <w:mirrorIndents/>
        <w:rPr>
          <w:bCs/>
        </w:rPr>
      </w:pPr>
    </w:p>
    <w:p w14:paraId="294E1D4B" w14:textId="55054D03"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Label PCR tubes and transfer the required amount of RNA and Milli</w:t>
      </w:r>
      <w:r w:rsidR="00165AA3">
        <w:rPr>
          <w:b w:val="0"/>
          <w:bCs/>
        </w:rPr>
        <w:t>-</w:t>
      </w:r>
      <w:r w:rsidRPr="00B72A96">
        <w:rPr>
          <w:b w:val="0"/>
          <w:bCs/>
        </w:rPr>
        <w:t>Q water.</w:t>
      </w:r>
    </w:p>
    <w:p w14:paraId="166A3748" w14:textId="77777777" w:rsidR="00D924CC" w:rsidRPr="00B72A96" w:rsidRDefault="00D924CC" w:rsidP="00BD5E4C">
      <w:pPr>
        <w:pStyle w:val="ProtocolSection"/>
        <w:spacing w:after="0"/>
        <w:contextualSpacing/>
        <w:mirrorIndents/>
        <w:rPr>
          <w:bCs/>
        </w:rPr>
      </w:pPr>
    </w:p>
    <w:p w14:paraId="34C69C7D" w14:textId="656737F9"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Prepare a master mix containing 0.5 µL of reverse transcriptase and 2 µL of 5× reaction mix per tube. Multiply each volume by the number of samples.</w:t>
      </w:r>
    </w:p>
    <w:p w14:paraId="0BDE140B" w14:textId="77777777" w:rsidR="00D924CC" w:rsidRPr="00B72A96" w:rsidRDefault="00D924CC" w:rsidP="00BD5E4C">
      <w:pPr>
        <w:pStyle w:val="ProtocolSection"/>
        <w:spacing w:after="0"/>
        <w:contextualSpacing/>
        <w:mirrorIndents/>
        <w:rPr>
          <w:bCs/>
        </w:rPr>
      </w:pPr>
    </w:p>
    <w:p w14:paraId="426E43DF" w14:textId="12AD369C"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Add 2.5 µL of the master mix to each tube and mix the total mixture well.</w:t>
      </w:r>
    </w:p>
    <w:p w14:paraId="07546FA5" w14:textId="77777777" w:rsidR="00D924CC" w:rsidRPr="00B72A96" w:rsidRDefault="00D924CC" w:rsidP="00BD5E4C">
      <w:pPr>
        <w:pStyle w:val="ProtocolSection"/>
        <w:spacing w:after="0"/>
        <w:contextualSpacing/>
        <w:mirrorIndents/>
        <w:rPr>
          <w:bCs/>
        </w:rPr>
      </w:pPr>
    </w:p>
    <w:p w14:paraId="1B2EA166" w14:textId="1E2071E0"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Centrifuge the samples for 10 s. Run the thermal cycler program for 5 min at 25 °C, 20 min at 46 °C, and 1 min at 95 °C.</w:t>
      </w:r>
    </w:p>
    <w:p w14:paraId="0E712CFE" w14:textId="77777777" w:rsidR="00D924CC" w:rsidRPr="00B72A96" w:rsidRDefault="00D924CC" w:rsidP="00BD5E4C">
      <w:pPr>
        <w:pStyle w:val="ProtocolSection"/>
        <w:spacing w:after="0"/>
        <w:contextualSpacing/>
        <w:mirrorIndents/>
        <w:rPr>
          <w:bCs/>
        </w:rPr>
      </w:pPr>
    </w:p>
    <w:p w14:paraId="66F2824C" w14:textId="4C127973" w:rsidR="00760F13" w:rsidRPr="00B72A96" w:rsidRDefault="00760F13" w:rsidP="00BD5E4C">
      <w:pPr>
        <w:pStyle w:val="ProtocolSection"/>
        <w:numPr>
          <w:ilvl w:val="2"/>
          <w:numId w:val="22"/>
        </w:numPr>
        <w:spacing w:after="0"/>
        <w:ind w:left="0" w:firstLine="0"/>
        <w:contextualSpacing/>
        <w:mirrorIndents/>
      </w:pPr>
      <w:r w:rsidRPr="00B72A96">
        <w:rPr>
          <w:b w:val="0"/>
          <w:bCs/>
        </w:rPr>
        <w:t>Dilute the</w:t>
      </w:r>
      <w:r w:rsidRPr="00B72A96">
        <w:t xml:space="preserve"> </w:t>
      </w:r>
      <w:r w:rsidRPr="00B72A96">
        <w:rPr>
          <w:b w:val="0"/>
          <w:bCs/>
        </w:rPr>
        <w:t>cDNA fourfold in Milli-Q water by combining 10 µL of cDNA with 30 µL of Milli-Q water.</w:t>
      </w:r>
    </w:p>
    <w:p w14:paraId="2D68AE2A" w14:textId="77777777" w:rsidR="00D924CC" w:rsidRPr="00B72A96" w:rsidRDefault="00D924CC" w:rsidP="00BD5E4C">
      <w:pPr>
        <w:pStyle w:val="ProtocolStep"/>
        <w:spacing w:after="0"/>
        <w:ind w:left="0" w:firstLine="0"/>
        <w:contextualSpacing/>
        <w:mirrorIndents/>
      </w:pPr>
    </w:p>
    <w:p w14:paraId="007D78F3" w14:textId="3F838335" w:rsidR="00760F13" w:rsidRPr="00B72A96" w:rsidRDefault="00E66CA2" w:rsidP="00BD5E4C">
      <w:pPr>
        <w:pStyle w:val="ProtocolNote"/>
        <w:spacing w:after="0"/>
        <w:contextualSpacing/>
        <w:mirrorIndents/>
      </w:pPr>
      <w:r w:rsidRPr="00B72A96">
        <w:t>NOTE:</w:t>
      </w:r>
      <w:r w:rsidR="00760F13" w:rsidRPr="00B72A96">
        <w:t xml:space="preserve"> Store cDNA at -20 °C.</w:t>
      </w:r>
    </w:p>
    <w:p w14:paraId="208C36B2" w14:textId="77777777" w:rsidR="004421E4" w:rsidRPr="00B72A96" w:rsidRDefault="004421E4" w:rsidP="00BD5E4C">
      <w:pPr>
        <w:pStyle w:val="ProtocolNote"/>
        <w:spacing w:after="0"/>
        <w:contextualSpacing/>
        <w:mirrorIndents/>
      </w:pPr>
    </w:p>
    <w:p w14:paraId="6895C5DC" w14:textId="4363A663" w:rsidR="00760F13" w:rsidRPr="00B72A96" w:rsidRDefault="00760F13" w:rsidP="00BD5E4C">
      <w:pPr>
        <w:pStyle w:val="ProtocolSection"/>
        <w:numPr>
          <w:ilvl w:val="1"/>
          <w:numId w:val="22"/>
        </w:numPr>
        <w:spacing w:after="0"/>
        <w:ind w:left="0" w:firstLine="0"/>
        <w:contextualSpacing/>
        <w:mirrorIndents/>
      </w:pPr>
      <w:r w:rsidRPr="00B72A96">
        <w:t>Perform quantitative PCR</w:t>
      </w:r>
    </w:p>
    <w:p w14:paraId="54D482FB" w14:textId="60F2F51C"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Prepare a qPCR plate layout for all genes and samples. Include three technical replicates for each sample-gene combination; the representative biological experiment used three technical replicates per sample.</w:t>
      </w:r>
    </w:p>
    <w:p w14:paraId="62FE6433" w14:textId="77777777" w:rsidR="0045469C" w:rsidRPr="00B72A96" w:rsidRDefault="0045469C" w:rsidP="00BD5E4C">
      <w:pPr>
        <w:pStyle w:val="ProtocolSection"/>
        <w:spacing w:after="0"/>
        <w:contextualSpacing/>
        <w:mirrorIndents/>
        <w:rPr>
          <w:b w:val="0"/>
          <w:bCs/>
        </w:rPr>
      </w:pPr>
    </w:p>
    <w:p w14:paraId="77B1B85D" w14:textId="63B22882"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Prepare qPCR mixes as described in the two mixture-preparation steps below.</w:t>
      </w:r>
    </w:p>
    <w:p w14:paraId="69945377" w14:textId="77777777" w:rsidR="0045469C" w:rsidRPr="00B72A96" w:rsidRDefault="0045469C" w:rsidP="00BD5E4C">
      <w:pPr>
        <w:pStyle w:val="ProtocolSection"/>
        <w:spacing w:after="0"/>
        <w:contextualSpacing/>
        <w:mirrorIndents/>
        <w:rPr>
          <w:b w:val="0"/>
          <w:bCs/>
        </w:rPr>
      </w:pPr>
    </w:p>
    <w:p w14:paraId="77FAB82D" w14:textId="44C8EE4D"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Prepare mix 1 by combining Milli-Q water and diluted cDNA in a nuclease-free tube. For each well, provide 4 µL of Milli-Q water and 1 µL of diluted cDNA; calculate each sample mix as 4 µL Milli-Q water × 3 technical replicates × number of genes × 1.05 and 1 µL diluted cDNA × 3 technical replicates × number of genes × 1.05.</w:t>
      </w:r>
    </w:p>
    <w:p w14:paraId="470814AD" w14:textId="77777777" w:rsidR="0045469C" w:rsidRPr="00B72A96" w:rsidRDefault="0045469C" w:rsidP="00BD5E4C">
      <w:pPr>
        <w:pStyle w:val="ProtocolSection"/>
        <w:spacing w:after="0"/>
        <w:contextualSpacing/>
        <w:mirrorIndents/>
        <w:rPr>
          <w:b w:val="0"/>
          <w:bCs/>
        </w:rPr>
      </w:pPr>
    </w:p>
    <w:p w14:paraId="687881DE" w14:textId="6B6AC91A"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Prepare mix 2 by combining </w:t>
      </w:r>
      <w:proofErr w:type="spellStart"/>
      <w:r w:rsidRPr="00B72A96">
        <w:rPr>
          <w:b w:val="0"/>
          <w:bCs/>
        </w:rPr>
        <w:t>iTaq</w:t>
      </w:r>
      <w:proofErr w:type="spellEnd"/>
      <w:r w:rsidRPr="00B72A96">
        <w:rPr>
          <w:b w:val="0"/>
          <w:bCs/>
        </w:rPr>
        <w:t xml:space="preserve"> SYBR Green with forward and reverse qPCR primers prepared from 10 µM stocks. For each well, provide 4 µL of </w:t>
      </w:r>
      <w:proofErr w:type="spellStart"/>
      <w:r w:rsidRPr="00B72A96">
        <w:rPr>
          <w:b w:val="0"/>
          <w:bCs/>
        </w:rPr>
        <w:t>iTaq</w:t>
      </w:r>
      <w:proofErr w:type="spellEnd"/>
      <w:r w:rsidRPr="00B72A96">
        <w:rPr>
          <w:b w:val="0"/>
          <w:bCs/>
        </w:rPr>
        <w:t xml:space="preserve"> SYBR Green and 1 µL of the combined primers, producing 0.5 µM of each primer; calculate each gene mix as 4 µL </w:t>
      </w:r>
      <w:proofErr w:type="spellStart"/>
      <w:r w:rsidRPr="00B72A96">
        <w:rPr>
          <w:b w:val="0"/>
          <w:bCs/>
        </w:rPr>
        <w:t>iTaq</w:t>
      </w:r>
      <w:proofErr w:type="spellEnd"/>
      <w:r w:rsidRPr="00B72A96">
        <w:rPr>
          <w:b w:val="0"/>
          <w:bCs/>
        </w:rPr>
        <w:t xml:space="preserve"> SYBR </w:t>
      </w:r>
      <w:r w:rsidRPr="00B72A96">
        <w:rPr>
          <w:b w:val="0"/>
          <w:bCs/>
        </w:rPr>
        <w:lastRenderedPageBreak/>
        <w:t>Green × 3 technical replicates × number of samples × 1.05 and 1 µL combined primers × 3 technical replicates × number of samples × 1.05.</w:t>
      </w:r>
    </w:p>
    <w:p w14:paraId="224128B8" w14:textId="77777777" w:rsidR="0045469C" w:rsidRPr="00B72A96" w:rsidRDefault="0045469C" w:rsidP="00BD5E4C">
      <w:pPr>
        <w:pStyle w:val="ProtocolSection"/>
        <w:spacing w:after="0"/>
        <w:contextualSpacing/>
        <w:mirrorIndents/>
        <w:rPr>
          <w:b w:val="0"/>
          <w:bCs/>
        </w:rPr>
      </w:pPr>
    </w:p>
    <w:p w14:paraId="721B14A9" w14:textId="5066FF64"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Load 5 µL of mix 1 and 5 µL of mix 2 into the corresponding wells defined in the plate layout prepared at the start of Section 2.2. Seal the plate with the </w:t>
      </w:r>
      <w:proofErr w:type="spellStart"/>
      <w:r w:rsidRPr="00B72A96">
        <w:rPr>
          <w:b w:val="0"/>
          <w:bCs/>
        </w:rPr>
        <w:t>Microseal</w:t>
      </w:r>
      <w:proofErr w:type="spellEnd"/>
      <w:r w:rsidRPr="00B72A96">
        <w:rPr>
          <w:b w:val="0"/>
          <w:bCs/>
        </w:rPr>
        <w:t xml:space="preserve"> B Foil.</w:t>
      </w:r>
    </w:p>
    <w:p w14:paraId="3274DA1F" w14:textId="77777777" w:rsidR="0045469C" w:rsidRPr="00B72A96" w:rsidRDefault="0045469C" w:rsidP="00BD5E4C">
      <w:pPr>
        <w:pStyle w:val="ListParagraph"/>
        <w:ind w:left="0"/>
        <w:mirrorIndents/>
        <w:rPr>
          <w:b/>
          <w:bCs/>
        </w:rPr>
      </w:pPr>
    </w:p>
    <w:p w14:paraId="13F490A2" w14:textId="1A607FFD"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 xml:space="preserve">Centrifuge the plate for 2 min at 100 × </w:t>
      </w:r>
      <w:r w:rsidRPr="00B72A96">
        <w:rPr>
          <w:b w:val="0"/>
          <w:bCs/>
          <w:i/>
          <w:iCs/>
        </w:rPr>
        <w:t>g</w:t>
      </w:r>
      <w:r w:rsidRPr="00B72A96">
        <w:rPr>
          <w:b w:val="0"/>
          <w:bCs/>
        </w:rPr>
        <w:t>.</w:t>
      </w:r>
    </w:p>
    <w:p w14:paraId="79EB4408" w14:textId="77777777" w:rsidR="0045469C" w:rsidRPr="00B72A96" w:rsidRDefault="0045469C" w:rsidP="00BD5E4C">
      <w:pPr>
        <w:pStyle w:val="ProtocolSection"/>
        <w:spacing w:after="0"/>
        <w:contextualSpacing/>
        <w:mirrorIndents/>
        <w:rPr>
          <w:b w:val="0"/>
          <w:bCs/>
        </w:rPr>
      </w:pPr>
    </w:p>
    <w:p w14:paraId="285D466F" w14:textId="031ACC87"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Place the plate in the qPCR instrument. Program an initial denaturation for 3 min at 95 °C, followed by 40 cycles of denaturation for 5 s at 95 °C and annealing/elongation for 30 s at 60 °C.</w:t>
      </w:r>
    </w:p>
    <w:p w14:paraId="174F5738" w14:textId="77777777" w:rsidR="0045469C" w:rsidRPr="00B72A96" w:rsidRDefault="0045469C" w:rsidP="00BD5E4C">
      <w:pPr>
        <w:pStyle w:val="ListParagraph"/>
        <w:ind w:left="0"/>
        <w:mirrorIndents/>
        <w:rPr>
          <w:b/>
          <w:bCs/>
        </w:rPr>
      </w:pPr>
    </w:p>
    <w:p w14:paraId="1D63D0EA" w14:textId="362512B0"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Run the qPCR.</w:t>
      </w:r>
    </w:p>
    <w:p w14:paraId="3E121C18" w14:textId="77777777" w:rsidR="0045469C" w:rsidRPr="00B72A96" w:rsidRDefault="0045469C" w:rsidP="00BD5E4C">
      <w:pPr>
        <w:pStyle w:val="ProtocolSection"/>
        <w:spacing w:after="0"/>
        <w:contextualSpacing/>
        <w:mirrorIndents/>
        <w:rPr>
          <w:b w:val="0"/>
          <w:bCs/>
        </w:rPr>
      </w:pPr>
    </w:p>
    <w:p w14:paraId="19526A84" w14:textId="6413F095" w:rsidR="00760F13" w:rsidRPr="00B72A96" w:rsidRDefault="00760F13" w:rsidP="00BD5E4C">
      <w:pPr>
        <w:pStyle w:val="ProtocolSection"/>
        <w:numPr>
          <w:ilvl w:val="2"/>
          <w:numId w:val="22"/>
        </w:numPr>
        <w:spacing w:after="0"/>
        <w:ind w:left="0" w:firstLine="0"/>
        <w:contextualSpacing/>
        <w:mirrorIndents/>
        <w:rPr>
          <w:b w:val="0"/>
          <w:bCs/>
        </w:rPr>
      </w:pPr>
      <w:r w:rsidRPr="00B72A96">
        <w:rPr>
          <w:b w:val="0"/>
          <w:bCs/>
        </w:rPr>
        <w:t>Export the data and normalize</w:t>
      </w:r>
      <w:r w:rsidRPr="00B72A96">
        <w:t xml:space="preserve"> </w:t>
      </w:r>
      <w:r w:rsidRPr="00B72A96">
        <w:rPr>
          <w:b w:val="0"/>
          <w:bCs/>
        </w:rPr>
        <w:t xml:space="preserve">expression to the housekeeping gene. Plot relative expression using </w:t>
      </w:r>
      <w:proofErr w:type="spellStart"/>
      <w:r w:rsidRPr="00B72A96">
        <w:rPr>
          <w:b w:val="0"/>
          <w:bCs/>
        </w:rPr>
        <w:t>ΔCt</w:t>
      </w:r>
      <w:proofErr w:type="spellEnd"/>
      <w:r w:rsidRPr="00B72A96">
        <w:rPr>
          <w:b w:val="0"/>
          <w:bCs/>
        </w:rPr>
        <w:t xml:space="preserve">, calculated as </w:t>
      </w:r>
      <w:proofErr w:type="spellStart"/>
      <w:r w:rsidRPr="00B72A96">
        <w:rPr>
          <w:b w:val="0"/>
          <w:bCs/>
        </w:rPr>
        <w:t>ΔCt</w:t>
      </w:r>
      <w:proofErr w:type="spellEnd"/>
      <w:r w:rsidRPr="00B72A96">
        <w:rPr>
          <w:b w:val="0"/>
          <w:bCs/>
        </w:rPr>
        <w:t xml:space="preserve">(sample) = Ct(treatment) </w:t>
      </w:r>
      <w:r w:rsidR="00165AA3">
        <w:rPr>
          <w:b w:val="0"/>
          <w:bCs/>
        </w:rPr>
        <w:t>-</w:t>
      </w:r>
      <w:r w:rsidRPr="00B72A96">
        <w:rPr>
          <w:b w:val="0"/>
          <w:bCs/>
        </w:rPr>
        <w:t xml:space="preserve"> Ct(reference).</w:t>
      </w:r>
    </w:p>
    <w:p w14:paraId="7E929A2A" w14:textId="77777777" w:rsidR="0045469C" w:rsidRPr="00B72A96" w:rsidRDefault="0045469C" w:rsidP="00BD5E4C">
      <w:pPr>
        <w:pStyle w:val="ListParagraph"/>
        <w:ind w:left="0"/>
        <w:mirrorIndents/>
        <w:rPr>
          <w:b/>
          <w:bCs/>
        </w:rPr>
      </w:pPr>
    </w:p>
    <w:p w14:paraId="09CD04B3" w14:textId="3C73B07A" w:rsidR="00760F13" w:rsidRPr="00B72A96" w:rsidRDefault="00E66CA2" w:rsidP="00BD5E4C">
      <w:pPr>
        <w:pStyle w:val="ProtocolNote"/>
        <w:spacing w:after="0"/>
        <w:contextualSpacing/>
        <w:mirrorIndents/>
        <w:rPr>
          <w:bCs/>
        </w:rPr>
      </w:pPr>
      <w:r w:rsidRPr="00B72A96">
        <w:rPr>
          <w:bCs/>
        </w:rPr>
        <w:t>NOTE:</w:t>
      </w:r>
      <w:r w:rsidR="00760F13" w:rsidRPr="00B72A96">
        <w:rPr>
          <w:bCs/>
        </w:rPr>
        <w:t xml:space="preserve"> Refer to </w:t>
      </w:r>
      <w:r w:rsidR="00760F13" w:rsidRPr="00B72A96">
        <w:rPr>
          <w:b/>
        </w:rPr>
        <w:t>Supplementary Table 1</w:t>
      </w:r>
      <w:r w:rsidR="00760F13" w:rsidRPr="00B72A96">
        <w:rPr>
          <w:bCs/>
        </w:rPr>
        <w:t xml:space="preserve"> for the primer sequences used.</w:t>
      </w:r>
    </w:p>
    <w:p w14:paraId="69E4CEE4" w14:textId="77777777" w:rsidR="0045469C" w:rsidRPr="00B72A96" w:rsidRDefault="0045469C" w:rsidP="00BD5E4C">
      <w:pPr>
        <w:pStyle w:val="ProtocolNote"/>
        <w:spacing w:after="0"/>
        <w:contextualSpacing/>
        <w:mirrorIndents/>
        <w:rPr>
          <w:bCs/>
        </w:rPr>
      </w:pPr>
    </w:p>
    <w:p w14:paraId="73D13EAB" w14:textId="77777777" w:rsidR="005F04D6" w:rsidRPr="00E21FAE" w:rsidRDefault="005F04D6" w:rsidP="00BD5E4C">
      <w:pPr>
        <w:pStyle w:val="ListParagraph"/>
        <w:numPr>
          <w:ilvl w:val="0"/>
          <w:numId w:val="22"/>
        </w:numPr>
        <w:ind w:left="0" w:firstLine="0"/>
        <w:mirrorIndents/>
        <w:rPr>
          <w:rFonts w:eastAsiaTheme="minorEastAsia" w:cstheme="minorBidi"/>
          <w:b/>
          <w:szCs w:val="22"/>
          <w:lang w:val="en-US"/>
        </w:rPr>
      </w:pPr>
      <w:proofErr w:type="spellStart"/>
      <w:r w:rsidRPr="00E21FAE">
        <w:rPr>
          <w:b/>
        </w:rPr>
        <w:t>Immuno</w:t>
      </w:r>
      <w:proofErr w:type="spellEnd"/>
      <w:r w:rsidRPr="00E21FAE">
        <w:rPr>
          <w:rFonts w:eastAsiaTheme="minorEastAsia" w:cstheme="minorBidi"/>
          <w:b/>
          <w:szCs w:val="22"/>
          <w:lang w:val="en-US"/>
        </w:rPr>
        <w:t>fluorescence protocol to determine cell-fate acquisition</w:t>
      </w:r>
    </w:p>
    <w:p w14:paraId="5D9A572D" w14:textId="77777777" w:rsidR="005F04D6" w:rsidRPr="00E21FAE" w:rsidRDefault="005F04D6" w:rsidP="00BD5E4C">
      <w:pPr>
        <w:pStyle w:val="ListParagraph"/>
        <w:numPr>
          <w:ilvl w:val="1"/>
          <w:numId w:val="22"/>
        </w:numPr>
        <w:ind w:left="0" w:firstLine="0"/>
        <w:mirrorIndents/>
        <w:rPr>
          <w:rFonts w:eastAsiaTheme="minorEastAsia" w:cstheme="minorBidi"/>
          <w:b/>
          <w:szCs w:val="22"/>
          <w:lang w:val="en-US"/>
        </w:rPr>
      </w:pPr>
      <w:proofErr w:type="spellStart"/>
      <w:r w:rsidRPr="00E21FAE">
        <w:rPr>
          <w:rFonts w:eastAsiaTheme="minorEastAsia" w:cstheme="minorBidi"/>
          <w:b/>
          <w:szCs w:val="22"/>
          <w:lang w:val="en-US"/>
        </w:rPr>
        <w:t>Immunostain</w:t>
      </w:r>
      <w:proofErr w:type="spellEnd"/>
      <w:r w:rsidRPr="00E21FAE">
        <w:rPr>
          <w:rFonts w:eastAsiaTheme="minorEastAsia" w:cstheme="minorBidi"/>
          <w:b/>
          <w:szCs w:val="22"/>
          <w:lang w:val="en-US"/>
        </w:rPr>
        <w:t xml:space="preserve"> and image cell-fate markers</w:t>
      </w:r>
    </w:p>
    <w:p w14:paraId="5AAD466D" w14:textId="09530895" w:rsidR="005F04D6" w:rsidRPr="00E21FAE" w:rsidRDefault="005F04D6" w:rsidP="00BD5E4C">
      <w:pPr>
        <w:pStyle w:val="ProtocolNote"/>
        <w:numPr>
          <w:ilvl w:val="2"/>
          <w:numId w:val="22"/>
        </w:numPr>
        <w:spacing w:after="0"/>
        <w:ind w:left="0" w:firstLine="0"/>
        <w:contextualSpacing/>
        <w:mirrorIndents/>
        <w:rPr>
          <w:bCs/>
        </w:rPr>
      </w:pPr>
      <w:r w:rsidRPr="00E21FAE">
        <w:rPr>
          <w:bCs/>
        </w:rPr>
        <w:t xml:space="preserve">Before seeding cells for immunofluorescence as described in </w:t>
      </w:r>
      <w:r w:rsidRPr="00E21FAE">
        <w:rPr>
          <w:b/>
        </w:rPr>
        <w:t>Supplementary File 1</w:t>
      </w:r>
      <w:r w:rsidRPr="00E21FAE">
        <w:rPr>
          <w:bCs/>
        </w:rPr>
        <w:t xml:space="preserve"> (Section 1.2, Passaging human PSCs), place 15 mm glass coverslips in a 12-well plate. Carefully add approximately 700 µL of 5 µg/mL recombinant human vitronectin (</w:t>
      </w:r>
      <w:proofErr w:type="spellStart"/>
      <w:r w:rsidRPr="00E21FAE">
        <w:rPr>
          <w:bCs/>
        </w:rPr>
        <w:t>rhVTN</w:t>
      </w:r>
      <w:proofErr w:type="spellEnd"/>
      <w:r w:rsidRPr="00E21FAE">
        <w:rPr>
          <w:bCs/>
        </w:rPr>
        <w:t>) to each well and incubate at 37 °C for 1 h.</w:t>
      </w:r>
    </w:p>
    <w:p w14:paraId="37073388" w14:textId="77777777" w:rsidR="005F04D6" w:rsidRPr="00E21FAE" w:rsidRDefault="005F04D6" w:rsidP="00BD5E4C">
      <w:pPr>
        <w:pStyle w:val="ProtocolNote"/>
        <w:spacing w:after="0"/>
        <w:contextualSpacing/>
        <w:mirrorIndents/>
        <w:rPr>
          <w:bCs/>
        </w:rPr>
      </w:pPr>
    </w:p>
    <w:p w14:paraId="4473AA40" w14:textId="21A1F473" w:rsidR="005F04D6" w:rsidRPr="00E21FAE" w:rsidRDefault="005F04D6" w:rsidP="00BD5E4C">
      <w:pPr>
        <w:pStyle w:val="ProtocolNote"/>
        <w:numPr>
          <w:ilvl w:val="2"/>
          <w:numId w:val="22"/>
        </w:numPr>
        <w:spacing w:after="0"/>
        <w:ind w:left="0" w:firstLine="0"/>
        <w:contextualSpacing/>
        <w:mirrorIndents/>
        <w:rPr>
          <w:bCs/>
        </w:rPr>
      </w:pPr>
      <w:r w:rsidRPr="00E21FAE">
        <w:rPr>
          <w:bCs/>
        </w:rPr>
        <w:t xml:space="preserve">After culture of </w:t>
      </w:r>
      <w:proofErr w:type="spellStart"/>
      <w:r w:rsidRPr="00E21FAE">
        <w:rPr>
          <w:bCs/>
        </w:rPr>
        <w:t>hPSCs</w:t>
      </w:r>
      <w:proofErr w:type="spellEnd"/>
      <w:r w:rsidRPr="00E21FAE">
        <w:rPr>
          <w:bCs/>
        </w:rPr>
        <w:t xml:space="preserve">/differentiation (Section 1.2 of the </w:t>
      </w:r>
      <w:r w:rsidRPr="00E21FAE">
        <w:rPr>
          <w:b/>
        </w:rPr>
        <w:t>Supplementary File 1</w:t>
      </w:r>
      <w:r w:rsidRPr="00E21FAE">
        <w:rPr>
          <w:bCs/>
        </w:rPr>
        <w:t xml:space="preserve"> and Section 1 of the protocol, respectively), wash once with PBS. Fix the cells using 4% paraformaldehyde (PFA) for 15 min at room temperature.</w:t>
      </w:r>
    </w:p>
    <w:p w14:paraId="0F3CE3E5" w14:textId="77777777" w:rsidR="005F04D6" w:rsidRPr="00E21FAE" w:rsidRDefault="005F04D6" w:rsidP="00BD5E4C">
      <w:pPr>
        <w:pStyle w:val="ProtocolNote"/>
        <w:spacing w:after="0"/>
        <w:contextualSpacing/>
        <w:mirrorIndents/>
        <w:rPr>
          <w:bCs/>
        </w:rPr>
      </w:pPr>
    </w:p>
    <w:p w14:paraId="24572D3F" w14:textId="77777777" w:rsidR="005F04D6" w:rsidRPr="00E21FAE" w:rsidRDefault="005F04D6" w:rsidP="00BD5E4C">
      <w:pPr>
        <w:pStyle w:val="ProtocolNote"/>
        <w:spacing w:after="0"/>
        <w:contextualSpacing/>
        <w:mirrorIndents/>
        <w:rPr>
          <w:bCs/>
        </w:rPr>
      </w:pPr>
      <w:r w:rsidRPr="00E21FAE">
        <w:rPr>
          <w:bCs/>
        </w:rPr>
        <w:t>CAUTION: Handle 4% PFA in a biosafety cabinet operating at biosafety level 2 or in a chemical fume hood. Avoid skin contact and inhalation. Clean spills with 70% ethanol.</w:t>
      </w:r>
    </w:p>
    <w:p w14:paraId="57A15DED" w14:textId="77777777" w:rsidR="005F04D6" w:rsidRPr="00E21FAE" w:rsidRDefault="005F04D6" w:rsidP="00BD5E4C">
      <w:pPr>
        <w:pStyle w:val="ProtocolNote"/>
        <w:spacing w:after="0"/>
        <w:contextualSpacing/>
        <w:mirrorIndents/>
        <w:rPr>
          <w:bCs/>
        </w:rPr>
      </w:pPr>
    </w:p>
    <w:p w14:paraId="3F6F951D" w14:textId="2F471027" w:rsidR="005F04D6" w:rsidRPr="00E21FAE" w:rsidRDefault="005F04D6" w:rsidP="00BD5E4C">
      <w:pPr>
        <w:pStyle w:val="ProtocolNote"/>
        <w:numPr>
          <w:ilvl w:val="2"/>
          <w:numId w:val="22"/>
        </w:numPr>
        <w:spacing w:after="0"/>
        <w:ind w:left="0" w:firstLine="0"/>
        <w:contextualSpacing/>
        <w:mirrorIndents/>
        <w:rPr>
          <w:bCs/>
        </w:rPr>
      </w:pPr>
      <w:r w:rsidRPr="00E21FAE">
        <w:rPr>
          <w:bCs/>
        </w:rPr>
        <w:t>Wash the wells twice with 1 mL of PBS.</w:t>
      </w:r>
    </w:p>
    <w:p w14:paraId="14AA2055" w14:textId="77777777" w:rsidR="005F04D6" w:rsidRPr="00E21FAE" w:rsidRDefault="005F04D6" w:rsidP="00BD5E4C">
      <w:pPr>
        <w:pStyle w:val="ProtocolNote"/>
        <w:spacing w:after="0"/>
        <w:contextualSpacing/>
        <w:mirrorIndents/>
        <w:rPr>
          <w:bCs/>
        </w:rPr>
      </w:pPr>
    </w:p>
    <w:p w14:paraId="36B86176" w14:textId="77777777" w:rsidR="005F04D6" w:rsidRPr="00E21FAE" w:rsidRDefault="005F04D6" w:rsidP="00BD5E4C">
      <w:pPr>
        <w:pStyle w:val="ProtocolNote"/>
        <w:spacing w:after="0"/>
        <w:contextualSpacing/>
        <w:mirrorIndents/>
        <w:rPr>
          <w:bCs/>
        </w:rPr>
      </w:pPr>
      <w:r w:rsidRPr="00E21FAE">
        <w:rPr>
          <w:bCs/>
        </w:rPr>
        <w:t>NOTE: Store the plate at 4 °C for several weeks if necessary. Prevent drying by adding 1.5 mL of PBS to each well and sealing the plate with parafilm.</w:t>
      </w:r>
    </w:p>
    <w:p w14:paraId="10F6B5FA" w14:textId="77777777" w:rsidR="005F04D6" w:rsidRPr="00E21FAE" w:rsidRDefault="005F04D6" w:rsidP="00BD5E4C">
      <w:pPr>
        <w:pStyle w:val="ProtocolNote"/>
        <w:spacing w:after="0"/>
        <w:contextualSpacing/>
        <w:mirrorIndents/>
        <w:rPr>
          <w:bCs/>
        </w:rPr>
      </w:pPr>
    </w:p>
    <w:p w14:paraId="5A7FC33B" w14:textId="507460B0" w:rsidR="005F04D6" w:rsidRPr="00E21FAE" w:rsidRDefault="005F04D6" w:rsidP="00BD5E4C">
      <w:pPr>
        <w:pStyle w:val="ProtocolNote"/>
        <w:numPr>
          <w:ilvl w:val="2"/>
          <w:numId w:val="22"/>
        </w:numPr>
        <w:spacing w:after="0"/>
        <w:ind w:left="0" w:firstLine="0"/>
        <w:contextualSpacing/>
        <w:mirrorIndents/>
        <w:rPr>
          <w:bCs/>
        </w:rPr>
      </w:pPr>
      <w:r w:rsidRPr="00E21FAE">
        <w:rPr>
          <w:bCs/>
        </w:rPr>
        <w:t>From the permeabilization step onward, add all solutions slowly over the coverslips to prevent cell detachment. Permeabilize using 0.5% Triton X-100 in DPBS for 10 min.</w:t>
      </w:r>
    </w:p>
    <w:p w14:paraId="67A9FF42" w14:textId="77777777" w:rsidR="005F04D6" w:rsidRPr="00E21FAE" w:rsidRDefault="005F04D6" w:rsidP="00BD5E4C">
      <w:pPr>
        <w:pStyle w:val="ProtocolNote"/>
        <w:spacing w:after="0"/>
        <w:contextualSpacing/>
        <w:mirrorIndents/>
        <w:rPr>
          <w:bCs/>
        </w:rPr>
      </w:pPr>
    </w:p>
    <w:p w14:paraId="7271A6B1" w14:textId="1EA58D5A" w:rsidR="005F04D6" w:rsidRPr="00E21FAE" w:rsidRDefault="005F04D6" w:rsidP="00BD5E4C">
      <w:pPr>
        <w:pStyle w:val="ProtocolNote"/>
        <w:numPr>
          <w:ilvl w:val="2"/>
          <w:numId w:val="22"/>
        </w:numPr>
        <w:spacing w:after="0"/>
        <w:ind w:left="0" w:firstLine="0"/>
        <w:contextualSpacing/>
        <w:mirrorIndents/>
        <w:rPr>
          <w:bCs/>
        </w:rPr>
      </w:pPr>
      <w:r w:rsidRPr="00E21FAE">
        <w:rPr>
          <w:bCs/>
        </w:rPr>
        <w:t>Block for 30 min with a blocking solution composed of 2% horse serum (HS), 0.1% Triton X-100, and DPBS. Prepare primary antibody dilutions in blocking solution, and incubate the coverslips with the solution overnight at 4 °C.</w:t>
      </w:r>
    </w:p>
    <w:p w14:paraId="6FDC9654" w14:textId="77777777" w:rsidR="005F04D6" w:rsidRPr="00E21FAE" w:rsidRDefault="005F04D6" w:rsidP="00BD5E4C">
      <w:pPr>
        <w:pStyle w:val="ListParagraph"/>
        <w:ind w:left="0"/>
        <w:mirrorIndents/>
        <w:rPr>
          <w:bCs/>
        </w:rPr>
      </w:pPr>
    </w:p>
    <w:p w14:paraId="0D14C299" w14:textId="520E44D3" w:rsidR="005F04D6" w:rsidRPr="00E21FAE" w:rsidRDefault="005F04D6" w:rsidP="00BD5E4C">
      <w:pPr>
        <w:pStyle w:val="ProtocolNote"/>
        <w:numPr>
          <w:ilvl w:val="2"/>
          <w:numId w:val="22"/>
        </w:numPr>
        <w:spacing w:after="0"/>
        <w:ind w:left="0" w:firstLine="0"/>
        <w:contextualSpacing/>
        <w:mirrorIndents/>
        <w:rPr>
          <w:bCs/>
        </w:rPr>
      </w:pPr>
      <w:r w:rsidRPr="00E21FAE">
        <w:rPr>
          <w:bCs/>
        </w:rPr>
        <w:t>Create a humid chamber with wet tissue or tube lids partially filled with water to prevent antibody evaporation. Place the coverslips in a light-protected box containing wet tissue to prevent drying.</w:t>
      </w:r>
    </w:p>
    <w:p w14:paraId="1CF7E1C2" w14:textId="77777777" w:rsidR="005F04D6" w:rsidRPr="00E21FAE" w:rsidRDefault="005F04D6" w:rsidP="00BD5E4C">
      <w:pPr>
        <w:pStyle w:val="ListParagraph"/>
        <w:ind w:left="0"/>
        <w:mirrorIndents/>
        <w:rPr>
          <w:bCs/>
        </w:rPr>
      </w:pPr>
    </w:p>
    <w:p w14:paraId="707A2971" w14:textId="673DE55C" w:rsidR="005F04D6" w:rsidRPr="00E21FAE" w:rsidRDefault="005F04D6" w:rsidP="00BD5E4C">
      <w:pPr>
        <w:pStyle w:val="ProtocolNote"/>
        <w:numPr>
          <w:ilvl w:val="2"/>
          <w:numId w:val="22"/>
        </w:numPr>
        <w:spacing w:after="0"/>
        <w:ind w:left="0" w:firstLine="0"/>
        <w:contextualSpacing/>
        <w:mirrorIndents/>
        <w:rPr>
          <w:bCs/>
        </w:rPr>
      </w:pPr>
      <w:r w:rsidRPr="00E21FAE">
        <w:rPr>
          <w:bCs/>
        </w:rPr>
        <w:t>On the following day, wash the coverslips three times with DPBS. Incubate with secondary antibodies and DAPI (1 ng/mL) in blocking solution for 1 h at room temperature.</w:t>
      </w:r>
    </w:p>
    <w:p w14:paraId="49395905" w14:textId="77777777" w:rsidR="005F04D6" w:rsidRPr="00E21FAE" w:rsidRDefault="005F04D6" w:rsidP="00BD5E4C">
      <w:pPr>
        <w:pStyle w:val="ListParagraph"/>
        <w:ind w:left="0"/>
        <w:mirrorIndents/>
        <w:rPr>
          <w:bCs/>
        </w:rPr>
      </w:pPr>
    </w:p>
    <w:p w14:paraId="1994C74B" w14:textId="77777777" w:rsidR="005F04D6" w:rsidRPr="00E21FAE" w:rsidRDefault="005F04D6" w:rsidP="00BD5E4C">
      <w:pPr>
        <w:pStyle w:val="ProtocolNote"/>
        <w:spacing w:after="0"/>
        <w:contextualSpacing/>
        <w:mirrorIndents/>
        <w:rPr>
          <w:bCs/>
        </w:rPr>
      </w:pPr>
      <w:r w:rsidRPr="00E21FAE">
        <w:rPr>
          <w:bCs/>
        </w:rPr>
        <w:t>NOTE: Protect samples from light during and after secondary-antibody incubation.</w:t>
      </w:r>
    </w:p>
    <w:p w14:paraId="50310B8F" w14:textId="77777777" w:rsidR="005F04D6" w:rsidRPr="00E21FAE" w:rsidRDefault="005F04D6" w:rsidP="00BD5E4C">
      <w:pPr>
        <w:pStyle w:val="ProtocolNote"/>
        <w:spacing w:after="0"/>
        <w:contextualSpacing/>
        <w:mirrorIndents/>
        <w:rPr>
          <w:bCs/>
        </w:rPr>
      </w:pPr>
    </w:p>
    <w:p w14:paraId="7BAE49CE" w14:textId="2BDEA55F" w:rsidR="005F04D6" w:rsidRPr="00E21FAE" w:rsidRDefault="005F04D6" w:rsidP="00BD5E4C">
      <w:pPr>
        <w:pStyle w:val="ProtocolNote"/>
        <w:numPr>
          <w:ilvl w:val="2"/>
          <w:numId w:val="22"/>
        </w:numPr>
        <w:spacing w:after="0"/>
        <w:ind w:left="0" w:firstLine="0"/>
        <w:contextualSpacing/>
        <w:mirrorIndents/>
        <w:rPr>
          <w:bCs/>
        </w:rPr>
      </w:pPr>
      <w:r w:rsidRPr="00E21FAE">
        <w:rPr>
          <w:bCs/>
        </w:rPr>
        <w:t xml:space="preserve">Wash the coverslips three times with DPBS. Label glass slides according to the sample names and mount coverslips using </w:t>
      </w:r>
      <w:proofErr w:type="spellStart"/>
      <w:r w:rsidRPr="00E21FAE">
        <w:rPr>
          <w:bCs/>
        </w:rPr>
        <w:t>Fluoromount</w:t>
      </w:r>
      <w:proofErr w:type="spellEnd"/>
      <w:r w:rsidRPr="00E21FAE">
        <w:rPr>
          <w:bCs/>
        </w:rPr>
        <w:t xml:space="preserve"> on glass slides.</w:t>
      </w:r>
    </w:p>
    <w:p w14:paraId="48AC2547" w14:textId="77777777" w:rsidR="005F04D6" w:rsidRPr="00E21FAE" w:rsidRDefault="005F04D6" w:rsidP="00BD5E4C">
      <w:pPr>
        <w:pStyle w:val="ProtocolNote"/>
        <w:spacing w:after="0"/>
        <w:contextualSpacing/>
        <w:mirrorIndents/>
        <w:rPr>
          <w:bCs/>
        </w:rPr>
      </w:pPr>
    </w:p>
    <w:p w14:paraId="68526190" w14:textId="3FE908C9" w:rsidR="005F04D6" w:rsidRPr="00E21FAE" w:rsidRDefault="005F04D6" w:rsidP="00BD5E4C">
      <w:pPr>
        <w:pStyle w:val="ProtocolNote"/>
        <w:numPr>
          <w:ilvl w:val="2"/>
          <w:numId w:val="22"/>
        </w:numPr>
        <w:spacing w:after="0"/>
        <w:ind w:left="0" w:firstLine="0"/>
        <w:contextualSpacing/>
        <w:mirrorIndents/>
        <w:rPr>
          <w:bCs/>
        </w:rPr>
      </w:pPr>
      <w:r w:rsidRPr="00E21FAE">
        <w:rPr>
          <w:bCs/>
        </w:rPr>
        <w:t>Seal the coverslips with transparent nail polish to prevent evaporation and store the sealed coverslips at 4 °C. Perform static imaging using an epifluorescence or confocal microscope with a 63× oil objective.</w:t>
      </w:r>
    </w:p>
    <w:p w14:paraId="7A5B0FB6" w14:textId="77777777" w:rsidR="005F04D6" w:rsidRPr="00B72A96" w:rsidRDefault="005F04D6" w:rsidP="00BD5E4C">
      <w:pPr>
        <w:pStyle w:val="ListParagraph"/>
        <w:ind w:left="0"/>
        <w:mirrorIndents/>
        <w:rPr>
          <w:bCs/>
        </w:rPr>
      </w:pPr>
    </w:p>
    <w:p w14:paraId="3E0DAFBE" w14:textId="4FFA5BFE" w:rsidR="005F04D6" w:rsidRPr="00B72A96" w:rsidRDefault="005F04D6" w:rsidP="00BD5E4C">
      <w:pPr>
        <w:pStyle w:val="ProtocolNote"/>
        <w:numPr>
          <w:ilvl w:val="1"/>
          <w:numId w:val="22"/>
        </w:numPr>
        <w:spacing w:after="0"/>
        <w:ind w:left="0" w:firstLine="0"/>
        <w:contextualSpacing/>
        <w:mirrorIndents/>
        <w:rPr>
          <w:b/>
        </w:rPr>
      </w:pPr>
      <w:r w:rsidRPr="00B72A96">
        <w:rPr>
          <w:b/>
        </w:rPr>
        <w:t>Qua</w:t>
      </w:r>
      <w:r w:rsidR="00F60C93" w:rsidRPr="00B72A96">
        <w:rPr>
          <w:b/>
        </w:rPr>
        <w:t>ntify cell-fate acquisition by immunofluorescence</w:t>
      </w:r>
    </w:p>
    <w:p w14:paraId="7D2AE656" w14:textId="3D5E2C18" w:rsidR="005F04D6" w:rsidRPr="00B72A96" w:rsidRDefault="005F04D6" w:rsidP="00BD5E4C">
      <w:pPr>
        <w:pStyle w:val="ProtocolNote"/>
        <w:spacing w:after="0"/>
        <w:contextualSpacing/>
        <w:mirrorIndents/>
        <w:rPr>
          <w:bCs/>
        </w:rPr>
      </w:pPr>
    </w:p>
    <w:p w14:paraId="214CE078" w14:textId="286DC87E" w:rsidR="00760F13" w:rsidRPr="00B72A96" w:rsidRDefault="00760F13" w:rsidP="00BD5E4C">
      <w:pPr>
        <w:pStyle w:val="ProtocolNote"/>
        <w:numPr>
          <w:ilvl w:val="2"/>
          <w:numId w:val="22"/>
        </w:numPr>
        <w:spacing w:after="0"/>
        <w:ind w:left="0" w:firstLine="0"/>
        <w:contextualSpacing/>
        <w:mirrorIndents/>
        <w:rPr>
          <w:bCs/>
        </w:rPr>
      </w:pPr>
      <w:r w:rsidRPr="00B72A96">
        <w:rPr>
          <w:bCs/>
        </w:rPr>
        <w:t>Acquire at least 5</w:t>
      </w:r>
      <w:r w:rsidR="00F60C93" w:rsidRPr="00B72A96">
        <w:rPr>
          <w:rFonts w:cs="Calibri"/>
          <w:bCs/>
        </w:rPr>
        <w:t>–</w:t>
      </w:r>
      <w:r w:rsidRPr="00B72A96">
        <w:rPr>
          <w:bCs/>
        </w:rPr>
        <w:t>10 images per sample at 60× magnification. Install Fiji/ImageJ on the analysis computer.</w:t>
      </w:r>
    </w:p>
    <w:p w14:paraId="48146817" w14:textId="77777777" w:rsidR="00F60C93" w:rsidRPr="00B72A96" w:rsidRDefault="00F60C93" w:rsidP="00BD5E4C">
      <w:pPr>
        <w:pStyle w:val="ProtocolNote"/>
        <w:spacing w:after="0"/>
        <w:contextualSpacing/>
        <w:mirrorIndents/>
        <w:rPr>
          <w:bCs/>
        </w:rPr>
      </w:pPr>
    </w:p>
    <w:p w14:paraId="1D4C14D8" w14:textId="16B158D3" w:rsidR="00760F13" w:rsidRPr="00B72A96" w:rsidRDefault="00760F13" w:rsidP="00BD5E4C">
      <w:pPr>
        <w:pStyle w:val="ProtocolNote"/>
        <w:numPr>
          <w:ilvl w:val="2"/>
          <w:numId w:val="22"/>
        </w:numPr>
        <w:spacing w:after="0"/>
        <w:ind w:left="0" w:firstLine="0"/>
        <w:contextualSpacing/>
        <w:mirrorIndents/>
        <w:rPr>
          <w:bCs/>
        </w:rPr>
      </w:pPr>
      <w:r w:rsidRPr="00B72A96">
        <w:rPr>
          <w:bCs/>
        </w:rPr>
        <w:t>Open each image separately in Fiji/ImageJ as a composite image. Select Image &gt; Color &gt; Split Channels.</w:t>
      </w:r>
    </w:p>
    <w:p w14:paraId="10DEBC7B" w14:textId="77777777" w:rsidR="00F60C93" w:rsidRPr="00B72A96" w:rsidRDefault="00F60C93" w:rsidP="00BD5E4C">
      <w:pPr>
        <w:pStyle w:val="ListParagraph"/>
        <w:ind w:left="0"/>
        <w:mirrorIndents/>
        <w:rPr>
          <w:bCs/>
        </w:rPr>
      </w:pPr>
    </w:p>
    <w:p w14:paraId="0AC85AE5" w14:textId="2CA96255" w:rsidR="00760F13" w:rsidRPr="00B72A96" w:rsidRDefault="00760F13" w:rsidP="00BD5E4C">
      <w:pPr>
        <w:pStyle w:val="ProtocolNote"/>
        <w:numPr>
          <w:ilvl w:val="2"/>
          <w:numId w:val="22"/>
        </w:numPr>
        <w:spacing w:after="0"/>
        <w:ind w:left="0" w:firstLine="0"/>
        <w:contextualSpacing/>
        <w:mirrorIndents/>
        <w:rPr>
          <w:bCs/>
        </w:rPr>
      </w:pPr>
      <w:r w:rsidRPr="00B72A96">
        <w:rPr>
          <w:bCs/>
        </w:rPr>
        <w:t>Select the DAPI channel and open the Threshold window by pressing Option + Shift + T.</w:t>
      </w:r>
    </w:p>
    <w:p w14:paraId="0D85CCE4" w14:textId="77777777" w:rsidR="00F60C93" w:rsidRPr="00B72A96" w:rsidRDefault="00F60C93" w:rsidP="00BD5E4C">
      <w:pPr>
        <w:pStyle w:val="ProtocolNote"/>
        <w:spacing w:after="0"/>
        <w:contextualSpacing/>
        <w:mirrorIndents/>
        <w:rPr>
          <w:bCs/>
        </w:rPr>
      </w:pPr>
    </w:p>
    <w:p w14:paraId="4353AE0D" w14:textId="792E1BE2" w:rsidR="00760F13" w:rsidRPr="00B72A96" w:rsidRDefault="00760F13" w:rsidP="00BD5E4C">
      <w:pPr>
        <w:pStyle w:val="ProtocolNote"/>
        <w:numPr>
          <w:ilvl w:val="2"/>
          <w:numId w:val="22"/>
        </w:numPr>
        <w:spacing w:after="0"/>
        <w:ind w:left="0" w:firstLine="0"/>
        <w:contextualSpacing/>
        <w:mirrorIndents/>
        <w:rPr>
          <w:bCs/>
        </w:rPr>
      </w:pPr>
      <w:r w:rsidRPr="00B72A96">
        <w:rPr>
          <w:bCs/>
        </w:rPr>
        <w:t>Adjust the threshold to select all nuclei. Select Apply to display selected nuclei in white.</w:t>
      </w:r>
    </w:p>
    <w:p w14:paraId="44E770B5" w14:textId="77777777" w:rsidR="00F60C93" w:rsidRPr="00B72A96" w:rsidRDefault="00F60C93" w:rsidP="00BD5E4C">
      <w:pPr>
        <w:pStyle w:val="ListParagraph"/>
        <w:ind w:left="0"/>
        <w:mirrorIndents/>
        <w:rPr>
          <w:bCs/>
        </w:rPr>
      </w:pPr>
    </w:p>
    <w:p w14:paraId="7C48FEA9" w14:textId="78F0B877" w:rsidR="00760F13" w:rsidRPr="00B72A96" w:rsidRDefault="00760F13" w:rsidP="00BD5E4C">
      <w:pPr>
        <w:pStyle w:val="ProtocolNote"/>
        <w:numPr>
          <w:ilvl w:val="2"/>
          <w:numId w:val="22"/>
        </w:numPr>
        <w:spacing w:after="0"/>
        <w:ind w:left="0" w:firstLine="0"/>
        <w:contextualSpacing/>
        <w:mirrorIndents/>
        <w:rPr>
          <w:bCs/>
        </w:rPr>
      </w:pPr>
      <w:r w:rsidRPr="00B72A96">
        <w:rPr>
          <w:bCs/>
        </w:rPr>
        <w:t>In the same image, select Process &gt; Smooth, followed by Process &gt; Binary &gt; Make Binary and Process &gt; Binary &gt; Watershed. Confirm separation of individual nuclei in the DAPI channel.</w:t>
      </w:r>
    </w:p>
    <w:p w14:paraId="30269AD4" w14:textId="77777777" w:rsidR="00F60C93" w:rsidRPr="00B72A96" w:rsidRDefault="00F60C93" w:rsidP="00BD5E4C">
      <w:pPr>
        <w:pStyle w:val="ProtocolNote"/>
        <w:spacing w:after="0"/>
        <w:contextualSpacing/>
        <w:mirrorIndents/>
        <w:rPr>
          <w:bCs/>
        </w:rPr>
      </w:pPr>
    </w:p>
    <w:p w14:paraId="175EA6B6" w14:textId="7CECD6E5" w:rsidR="00760F13" w:rsidRPr="00B72A96" w:rsidRDefault="00760F13" w:rsidP="00BD5E4C">
      <w:pPr>
        <w:pStyle w:val="ProtocolNote"/>
        <w:numPr>
          <w:ilvl w:val="2"/>
          <w:numId w:val="22"/>
        </w:numPr>
        <w:spacing w:after="0"/>
        <w:ind w:left="0" w:firstLine="0"/>
        <w:contextualSpacing/>
        <w:mirrorIndents/>
        <w:rPr>
          <w:bCs/>
        </w:rPr>
      </w:pPr>
      <w:r w:rsidRPr="00B72A96">
        <w:rPr>
          <w:bCs/>
        </w:rPr>
        <w:t>Select Analyze &gt; Analyze Particles in the same image. Set Size to 1500-Infinity, adjusting the value according to nuclear size; set Circularity to 0</w:t>
      </w:r>
      <w:r w:rsidR="00F60C93" w:rsidRPr="00B72A96">
        <w:rPr>
          <w:rFonts w:cs="Calibri"/>
          <w:bCs/>
        </w:rPr>
        <w:t>–</w:t>
      </w:r>
      <w:r w:rsidRPr="00B72A96">
        <w:rPr>
          <w:bCs/>
        </w:rPr>
        <w:t>1; select Overlay Masks under Show; select Display Results, Clear Results, and Add to Manager; and select OK.</w:t>
      </w:r>
    </w:p>
    <w:p w14:paraId="5150FF44" w14:textId="77777777" w:rsidR="00F60C93" w:rsidRPr="00B72A96" w:rsidRDefault="00F60C93" w:rsidP="00BD5E4C">
      <w:pPr>
        <w:pStyle w:val="ListParagraph"/>
        <w:ind w:left="0"/>
        <w:mirrorIndents/>
        <w:rPr>
          <w:bCs/>
        </w:rPr>
      </w:pPr>
    </w:p>
    <w:p w14:paraId="252E5DC6" w14:textId="24FD1C35" w:rsidR="00760F13" w:rsidRPr="00B72A96" w:rsidRDefault="00760F13" w:rsidP="00BD5E4C">
      <w:pPr>
        <w:pStyle w:val="ProtocolNote"/>
        <w:numPr>
          <w:ilvl w:val="2"/>
          <w:numId w:val="22"/>
        </w:numPr>
        <w:spacing w:after="0"/>
        <w:ind w:left="0" w:firstLine="0"/>
        <w:contextualSpacing/>
        <w:mirrorIndents/>
        <w:rPr>
          <w:bCs/>
        </w:rPr>
      </w:pPr>
      <w:r w:rsidRPr="00B72A96">
        <w:rPr>
          <w:bCs/>
        </w:rPr>
        <w:t>Confirm that numbered nuclei appear in the DAPI image and keep the ROI Manager window open.</w:t>
      </w:r>
    </w:p>
    <w:p w14:paraId="14E9A02E" w14:textId="77777777" w:rsidR="00F60C93" w:rsidRPr="00B72A96" w:rsidRDefault="00F60C93" w:rsidP="00BD5E4C">
      <w:pPr>
        <w:pStyle w:val="ProtocolNote"/>
        <w:spacing w:after="0"/>
        <w:contextualSpacing/>
        <w:mirrorIndents/>
        <w:rPr>
          <w:bCs/>
        </w:rPr>
      </w:pPr>
    </w:p>
    <w:p w14:paraId="7ED03D9B" w14:textId="1D2FF167" w:rsidR="00760F13" w:rsidRPr="00B72A96" w:rsidRDefault="00760F13" w:rsidP="00BD5E4C">
      <w:pPr>
        <w:pStyle w:val="ProtocolNote"/>
        <w:numPr>
          <w:ilvl w:val="2"/>
          <w:numId w:val="22"/>
        </w:numPr>
        <w:spacing w:after="0"/>
        <w:ind w:left="0" w:firstLine="0"/>
        <w:contextualSpacing/>
        <w:mirrorIndents/>
        <w:rPr>
          <w:bCs/>
        </w:rPr>
      </w:pPr>
      <w:r w:rsidRPr="00B72A96">
        <w:rPr>
          <w:bCs/>
        </w:rPr>
        <w:t>Select the image containing the cell-fate marker of interest, such as TBXT or OCT4. Select Show All twice in ROI Manager to transfer the numbered nuclear regions to the marker channel.</w:t>
      </w:r>
    </w:p>
    <w:p w14:paraId="60D3AD4A" w14:textId="77777777" w:rsidR="00F60C93" w:rsidRPr="00B72A96" w:rsidRDefault="00F60C93" w:rsidP="00BD5E4C">
      <w:pPr>
        <w:pStyle w:val="ListParagraph"/>
        <w:ind w:left="0"/>
        <w:mirrorIndents/>
        <w:rPr>
          <w:bCs/>
        </w:rPr>
      </w:pPr>
    </w:p>
    <w:p w14:paraId="15D86ADB" w14:textId="534CAF38" w:rsidR="00760F13" w:rsidRPr="00B72A96" w:rsidRDefault="00760F13" w:rsidP="00BD5E4C">
      <w:pPr>
        <w:pStyle w:val="ProtocolNote"/>
        <w:numPr>
          <w:ilvl w:val="2"/>
          <w:numId w:val="22"/>
        </w:numPr>
        <w:spacing w:after="0"/>
        <w:ind w:left="0" w:firstLine="0"/>
        <w:contextualSpacing/>
        <w:mirrorIndents/>
        <w:rPr>
          <w:bCs/>
        </w:rPr>
      </w:pPr>
      <w:r w:rsidRPr="00B72A96">
        <w:rPr>
          <w:bCs/>
        </w:rPr>
        <w:lastRenderedPageBreak/>
        <w:t>Manually count marker-positive nuclei and express the count relative to the total number of nuclei.</w:t>
      </w:r>
    </w:p>
    <w:p w14:paraId="2A881DAA" w14:textId="2F47FFA9" w:rsidR="00760F13" w:rsidRPr="00E21FAE" w:rsidRDefault="00F60C93" w:rsidP="00BD5E4C">
      <w:pPr>
        <w:pStyle w:val="ListParagraph"/>
        <w:numPr>
          <w:ilvl w:val="0"/>
          <w:numId w:val="22"/>
        </w:numPr>
        <w:ind w:left="0" w:firstLine="0"/>
        <w:mirrorIndents/>
        <w:rPr>
          <w:b/>
          <w:bCs/>
          <w:highlight w:val="yellow"/>
        </w:rPr>
      </w:pPr>
      <w:r w:rsidRPr="00E21FAE">
        <w:rPr>
          <w:b/>
          <w:bCs/>
          <w:highlight w:val="yellow"/>
        </w:rPr>
        <w:t>Q</w:t>
      </w:r>
      <w:r w:rsidR="00760F13" w:rsidRPr="00E21FAE">
        <w:rPr>
          <w:b/>
          <w:bCs/>
          <w:highlight w:val="yellow"/>
        </w:rPr>
        <w:t>uantification of DNA damage in human PSCs during S phase</w:t>
      </w:r>
    </w:p>
    <w:p w14:paraId="42E6CEE3" w14:textId="7827C13F" w:rsidR="00760F13" w:rsidRPr="00E21FAE" w:rsidRDefault="00760F13" w:rsidP="00BD5E4C">
      <w:pPr>
        <w:pStyle w:val="ProtocolNote"/>
        <w:numPr>
          <w:ilvl w:val="1"/>
          <w:numId w:val="22"/>
        </w:numPr>
        <w:spacing w:after="0"/>
        <w:ind w:left="0" w:firstLine="0"/>
        <w:contextualSpacing/>
        <w:mirrorIndents/>
        <w:rPr>
          <w:b/>
          <w:bCs/>
          <w:highlight w:val="yellow"/>
        </w:rPr>
      </w:pPr>
      <w:r w:rsidRPr="00E21FAE">
        <w:rPr>
          <w:b/>
          <w:bCs/>
          <w:highlight w:val="yellow"/>
        </w:rPr>
        <w:t>Culture cells and induce single- and double-strand DNA damage</w:t>
      </w:r>
    </w:p>
    <w:p w14:paraId="2B9BA2EC" w14:textId="09A2A6AA"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Maintain </w:t>
      </w:r>
      <w:proofErr w:type="spellStart"/>
      <w:r w:rsidRPr="00E21FAE">
        <w:rPr>
          <w:bCs/>
          <w:highlight w:val="yellow"/>
        </w:rPr>
        <w:t>hPSCs</w:t>
      </w:r>
      <w:proofErr w:type="spellEnd"/>
      <w:r w:rsidRPr="00E21FAE">
        <w:rPr>
          <w:bCs/>
          <w:highlight w:val="yellow"/>
        </w:rPr>
        <w:t xml:space="preserve"> according to the procedure described in the </w:t>
      </w:r>
      <w:r w:rsidR="00E66CA2" w:rsidRPr="00E21FAE">
        <w:rPr>
          <w:b/>
          <w:highlight w:val="yellow"/>
        </w:rPr>
        <w:t>Supplementary File 1</w:t>
      </w:r>
      <w:r w:rsidRPr="00E21FAE">
        <w:rPr>
          <w:bCs/>
          <w:highlight w:val="yellow"/>
        </w:rPr>
        <w:t xml:space="preserve"> (Section 1.2, Passaging human PSCs) until reaching 70</w:t>
      </w:r>
      <w:r w:rsidR="00D91852" w:rsidRPr="00E21FAE">
        <w:rPr>
          <w:bCs/>
          <w:highlight w:val="yellow"/>
        </w:rPr>
        <w:t>%</w:t>
      </w:r>
      <w:r w:rsidR="00D91852" w:rsidRPr="00E21FAE">
        <w:rPr>
          <w:rFonts w:cs="Calibri"/>
          <w:bCs/>
          <w:highlight w:val="yellow"/>
        </w:rPr>
        <w:t>–</w:t>
      </w:r>
      <w:r w:rsidRPr="00E21FAE">
        <w:rPr>
          <w:bCs/>
          <w:highlight w:val="yellow"/>
        </w:rPr>
        <w:t>80% confluence in 6 wells.</w:t>
      </w:r>
    </w:p>
    <w:p w14:paraId="5D08DDB8" w14:textId="77777777" w:rsidR="00F60C93" w:rsidRPr="00E21FAE" w:rsidRDefault="00F60C93" w:rsidP="00BD5E4C">
      <w:pPr>
        <w:pStyle w:val="ProtocolNote"/>
        <w:spacing w:after="0"/>
        <w:contextualSpacing/>
        <w:mirrorIndents/>
        <w:rPr>
          <w:bCs/>
          <w:highlight w:val="yellow"/>
        </w:rPr>
      </w:pPr>
    </w:p>
    <w:p w14:paraId="0CC60404" w14:textId="73949DFF"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One hour before dissociation, coat the required number of wells with glass coverslips inside a 12-well plate with 0.5 mL of vitronectin solution (5 µg/mL) per well. Place the well plate in an incubator at 37 °C for 1 h.</w:t>
      </w:r>
    </w:p>
    <w:p w14:paraId="4F4F2E6D" w14:textId="77777777" w:rsidR="00F60C93" w:rsidRPr="00E21FAE" w:rsidRDefault="00F60C93" w:rsidP="00BD5E4C">
      <w:pPr>
        <w:pStyle w:val="ListParagraph"/>
        <w:ind w:left="0"/>
        <w:mirrorIndents/>
        <w:rPr>
          <w:bCs/>
          <w:highlight w:val="yellow"/>
        </w:rPr>
      </w:pPr>
    </w:p>
    <w:p w14:paraId="2394BD7C" w14:textId="277E43F6"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Dissociate the </w:t>
      </w:r>
      <w:proofErr w:type="spellStart"/>
      <w:r w:rsidRPr="00E21FAE">
        <w:rPr>
          <w:bCs/>
          <w:highlight w:val="yellow"/>
        </w:rPr>
        <w:t>hPSC</w:t>
      </w:r>
      <w:proofErr w:type="spellEnd"/>
      <w:r w:rsidRPr="00E21FAE">
        <w:rPr>
          <w:bCs/>
          <w:highlight w:val="yellow"/>
        </w:rPr>
        <w:t xml:space="preserve"> colonies into single cells as described in the EDTA dissociation procedure in Section 1.1.</w:t>
      </w:r>
    </w:p>
    <w:p w14:paraId="0232BE8A" w14:textId="77777777" w:rsidR="00F60C93" w:rsidRPr="00E21FAE" w:rsidRDefault="00F60C93" w:rsidP="00BD5E4C">
      <w:pPr>
        <w:pStyle w:val="ProtocolNote"/>
        <w:spacing w:after="0"/>
        <w:contextualSpacing/>
        <w:mirrorIndents/>
        <w:rPr>
          <w:bCs/>
          <w:highlight w:val="yellow"/>
        </w:rPr>
      </w:pPr>
    </w:p>
    <w:p w14:paraId="1C360216" w14:textId="320205D1"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Seed </w:t>
      </w:r>
      <w:proofErr w:type="spellStart"/>
      <w:r w:rsidRPr="00E21FAE">
        <w:rPr>
          <w:bCs/>
          <w:highlight w:val="yellow"/>
        </w:rPr>
        <w:t>hPSCs</w:t>
      </w:r>
      <w:proofErr w:type="spellEnd"/>
      <w:r w:rsidRPr="00E21FAE">
        <w:rPr>
          <w:bCs/>
          <w:highlight w:val="yellow"/>
        </w:rPr>
        <w:t xml:space="preserve"> at a density of 70,000 cells/well in 12-well plates. Culture the cells in SF medium with Y-27632 ROCK inhibitor (10 µM) during the first 24 h.</w:t>
      </w:r>
    </w:p>
    <w:p w14:paraId="233921F0" w14:textId="77777777" w:rsidR="00F60C93" w:rsidRPr="00E21FAE" w:rsidRDefault="00F60C93" w:rsidP="00BD5E4C">
      <w:pPr>
        <w:pStyle w:val="ListParagraph"/>
        <w:ind w:left="0"/>
        <w:mirrorIndents/>
        <w:rPr>
          <w:bCs/>
          <w:highlight w:val="yellow"/>
        </w:rPr>
      </w:pPr>
    </w:p>
    <w:p w14:paraId="5EFAB6C5" w14:textId="55628415"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Change the medium to SF without ROCKi during the following days until harvesting. When reaching 70</w:t>
      </w:r>
      <w:r w:rsidR="00D91852" w:rsidRPr="00E21FAE">
        <w:rPr>
          <w:bCs/>
          <w:highlight w:val="yellow"/>
        </w:rPr>
        <w:t>%</w:t>
      </w:r>
      <w:r w:rsidR="00D91852" w:rsidRPr="00E21FAE">
        <w:rPr>
          <w:rFonts w:cs="Calibri"/>
          <w:bCs/>
          <w:highlight w:val="yellow"/>
        </w:rPr>
        <w:t>–</w:t>
      </w:r>
      <w:r w:rsidRPr="00E21FAE">
        <w:rPr>
          <w:bCs/>
          <w:highlight w:val="yellow"/>
        </w:rPr>
        <w:t xml:space="preserve">80% confluence, add </w:t>
      </w:r>
      <w:proofErr w:type="spellStart"/>
      <w:r w:rsidRPr="00E21FAE">
        <w:rPr>
          <w:bCs/>
          <w:highlight w:val="yellow"/>
        </w:rPr>
        <w:t>EdU</w:t>
      </w:r>
      <w:proofErr w:type="spellEnd"/>
      <w:r w:rsidRPr="00E21FAE">
        <w:rPr>
          <w:bCs/>
          <w:highlight w:val="yellow"/>
        </w:rPr>
        <w:t xml:space="preserve"> 10 µM to the medium of the cells for 20 min.</w:t>
      </w:r>
    </w:p>
    <w:p w14:paraId="7B8B6A94" w14:textId="0964C4A6" w:rsidR="00F60C93" w:rsidRPr="00E21FAE" w:rsidRDefault="00F60C93" w:rsidP="00BD5E4C">
      <w:pPr>
        <w:pStyle w:val="ProtocolNote"/>
        <w:spacing w:after="0"/>
        <w:contextualSpacing/>
        <w:mirrorIndents/>
        <w:rPr>
          <w:bCs/>
          <w:highlight w:val="yellow"/>
        </w:rPr>
      </w:pPr>
    </w:p>
    <w:p w14:paraId="534286EC" w14:textId="01AB81BD"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Wash the wells twice with DPBS and add warm SFM with the DNA damage treatment selected for each </w:t>
      </w:r>
      <w:proofErr w:type="gramStart"/>
      <w:r w:rsidRPr="00E21FAE">
        <w:rPr>
          <w:bCs/>
          <w:highlight w:val="yellow"/>
        </w:rPr>
        <w:t>well, and</w:t>
      </w:r>
      <w:proofErr w:type="gramEnd"/>
      <w:r w:rsidRPr="00E21FAE">
        <w:rPr>
          <w:bCs/>
          <w:highlight w:val="yellow"/>
        </w:rPr>
        <w:t xml:space="preserve"> incubate for 3 h until harvesting.</w:t>
      </w:r>
    </w:p>
    <w:p w14:paraId="67616B10" w14:textId="77777777" w:rsidR="00F60C93" w:rsidRPr="00E21FAE" w:rsidRDefault="00F60C93" w:rsidP="00BD5E4C">
      <w:pPr>
        <w:pStyle w:val="ListParagraph"/>
        <w:ind w:left="0"/>
        <w:mirrorIndents/>
        <w:rPr>
          <w:bCs/>
          <w:highlight w:val="yellow"/>
        </w:rPr>
      </w:pPr>
    </w:p>
    <w:p w14:paraId="3A3EE008" w14:textId="5F9B16B9"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For proof-of-concept experiments, treat cells with aphidicolin (50</w:t>
      </w:r>
      <w:r w:rsidR="00F60C93" w:rsidRPr="00E21FAE">
        <w:rPr>
          <w:rFonts w:cs="Calibri"/>
          <w:bCs/>
          <w:highlight w:val="yellow"/>
        </w:rPr>
        <w:t>–</w:t>
      </w:r>
      <w:r w:rsidRPr="00E21FAE">
        <w:rPr>
          <w:bCs/>
          <w:highlight w:val="yellow"/>
        </w:rPr>
        <w:t xml:space="preserve">200 </w:t>
      </w:r>
      <w:proofErr w:type="spellStart"/>
      <w:r w:rsidRPr="00E21FAE">
        <w:rPr>
          <w:bCs/>
          <w:highlight w:val="yellow"/>
        </w:rPr>
        <w:t>nM</w:t>
      </w:r>
      <w:proofErr w:type="spellEnd"/>
      <w:r w:rsidRPr="00E21FAE">
        <w:rPr>
          <w:bCs/>
          <w:highlight w:val="yellow"/>
        </w:rPr>
        <w:t>), hydroxyurea (HU; 1</w:t>
      </w:r>
      <w:r w:rsidR="00D91852" w:rsidRPr="00E21FAE">
        <w:rPr>
          <w:rFonts w:cs="Calibri"/>
          <w:bCs/>
          <w:highlight w:val="yellow"/>
        </w:rPr>
        <w:t>–</w:t>
      </w:r>
      <w:r w:rsidRPr="00E21FAE">
        <w:rPr>
          <w:bCs/>
          <w:highlight w:val="yellow"/>
        </w:rPr>
        <w:t xml:space="preserve">3 mM), or </w:t>
      </w:r>
      <w:proofErr w:type="spellStart"/>
      <w:r w:rsidRPr="00E21FAE">
        <w:rPr>
          <w:bCs/>
          <w:highlight w:val="yellow"/>
        </w:rPr>
        <w:t>camptothecin</w:t>
      </w:r>
      <w:proofErr w:type="spellEnd"/>
      <w:r w:rsidRPr="00E21FAE">
        <w:rPr>
          <w:bCs/>
          <w:highlight w:val="yellow"/>
        </w:rPr>
        <w:t xml:space="preserve"> (CPT; 1</w:t>
      </w:r>
      <w:r w:rsidR="00D91852" w:rsidRPr="00E21FAE">
        <w:rPr>
          <w:rFonts w:cs="Calibri"/>
          <w:bCs/>
          <w:highlight w:val="yellow"/>
        </w:rPr>
        <w:t>–</w:t>
      </w:r>
      <w:r w:rsidRPr="00E21FAE">
        <w:rPr>
          <w:bCs/>
          <w:highlight w:val="yellow"/>
        </w:rPr>
        <w:t>2.5 µM) to impair DNA replication. Prepare each compound in DMSO and treat control wells with a DMSO volume matching the corresponding drug condition.</w:t>
      </w:r>
    </w:p>
    <w:p w14:paraId="01981CA7" w14:textId="77777777" w:rsidR="00F60C93" w:rsidRPr="00E21FAE" w:rsidRDefault="00F60C93" w:rsidP="00BD5E4C">
      <w:pPr>
        <w:pStyle w:val="ProtocolNote"/>
        <w:spacing w:after="0"/>
        <w:contextualSpacing/>
        <w:mirrorIndents/>
        <w:rPr>
          <w:bCs/>
          <w:highlight w:val="yellow"/>
        </w:rPr>
      </w:pPr>
    </w:p>
    <w:p w14:paraId="192553A6" w14:textId="1BFAD98E" w:rsidR="00760F13" w:rsidRPr="00E21FAE" w:rsidRDefault="00760F13" w:rsidP="00BD5E4C">
      <w:pPr>
        <w:pStyle w:val="ProtocolNote"/>
        <w:numPr>
          <w:ilvl w:val="1"/>
          <w:numId w:val="22"/>
        </w:numPr>
        <w:spacing w:after="0"/>
        <w:ind w:left="0" w:firstLine="0"/>
        <w:contextualSpacing/>
        <w:mirrorIndents/>
        <w:rPr>
          <w:b/>
          <w:bCs/>
          <w:highlight w:val="yellow"/>
        </w:rPr>
      </w:pPr>
      <w:proofErr w:type="spellStart"/>
      <w:r w:rsidRPr="00E21FAE">
        <w:rPr>
          <w:b/>
          <w:bCs/>
          <w:highlight w:val="yellow"/>
        </w:rPr>
        <w:t>Immunostain</w:t>
      </w:r>
      <w:proofErr w:type="spellEnd"/>
      <w:r w:rsidRPr="00E21FAE">
        <w:rPr>
          <w:b/>
          <w:bCs/>
          <w:highlight w:val="yellow"/>
        </w:rPr>
        <w:t xml:space="preserve"> and image single- and double-strand breaks</w:t>
      </w:r>
    </w:p>
    <w:p w14:paraId="4806B862" w14:textId="0178E26C"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After </w:t>
      </w:r>
      <w:proofErr w:type="spellStart"/>
      <w:r w:rsidRPr="00E21FAE">
        <w:rPr>
          <w:bCs/>
          <w:highlight w:val="yellow"/>
        </w:rPr>
        <w:t>hPSCs</w:t>
      </w:r>
      <w:proofErr w:type="spellEnd"/>
      <w:r w:rsidRPr="00E21FAE">
        <w:rPr>
          <w:bCs/>
          <w:highlight w:val="yellow"/>
        </w:rPr>
        <w:t xml:space="preserve"> treatment, wash cells with PBS.</w:t>
      </w:r>
    </w:p>
    <w:p w14:paraId="52D6D4D1" w14:textId="77777777" w:rsidR="00F60C93" w:rsidRPr="00E21FAE" w:rsidRDefault="00F60C93" w:rsidP="00BD5E4C">
      <w:pPr>
        <w:pStyle w:val="ProtocolNote"/>
        <w:spacing w:after="0"/>
        <w:contextualSpacing/>
        <w:mirrorIndents/>
        <w:rPr>
          <w:bCs/>
          <w:highlight w:val="yellow"/>
        </w:rPr>
      </w:pPr>
    </w:p>
    <w:p w14:paraId="44DC6077" w14:textId="159307CD"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Fix the cells using 4% paraformaldehyde (PFA) for 15 min at room temperature. Follow the procedure with caution as described below.</w:t>
      </w:r>
    </w:p>
    <w:p w14:paraId="02C48402" w14:textId="77777777" w:rsidR="00F60C93" w:rsidRPr="00E21FAE" w:rsidRDefault="00F60C93" w:rsidP="00BD5E4C">
      <w:pPr>
        <w:pStyle w:val="ListParagraph"/>
        <w:ind w:left="0"/>
        <w:mirrorIndents/>
        <w:rPr>
          <w:bCs/>
          <w:highlight w:val="yellow"/>
        </w:rPr>
      </w:pPr>
    </w:p>
    <w:p w14:paraId="556D9F67" w14:textId="77777777" w:rsidR="00760F13" w:rsidRPr="00E21FAE" w:rsidRDefault="00760F13" w:rsidP="00BD5E4C">
      <w:pPr>
        <w:pStyle w:val="ProtocolNote"/>
        <w:spacing w:after="0"/>
        <w:contextualSpacing/>
        <w:mirrorIndents/>
        <w:rPr>
          <w:bCs/>
          <w:highlight w:val="yellow"/>
        </w:rPr>
      </w:pPr>
      <w:r w:rsidRPr="00E21FAE">
        <w:rPr>
          <w:bCs/>
          <w:highlight w:val="yellow"/>
        </w:rPr>
        <w:t>CAUTION: Handle 4% PFA in a biosafety cabinet operating at biosafety level 2 or in a chemical fume hood. Avoid skin contact and inhalation. Clean spills with 70% ethanol.</w:t>
      </w:r>
    </w:p>
    <w:p w14:paraId="5E1EC9D8" w14:textId="77777777" w:rsidR="00F60C93" w:rsidRPr="00E21FAE" w:rsidRDefault="00F60C93" w:rsidP="00BD5E4C">
      <w:pPr>
        <w:pStyle w:val="ProtocolNote"/>
        <w:spacing w:after="0"/>
        <w:contextualSpacing/>
        <w:mirrorIndents/>
        <w:rPr>
          <w:bCs/>
          <w:highlight w:val="yellow"/>
        </w:rPr>
      </w:pPr>
    </w:p>
    <w:p w14:paraId="69891B04" w14:textId="449F10A6"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Wash each well twice with PBS.</w:t>
      </w:r>
    </w:p>
    <w:p w14:paraId="0D6395FB" w14:textId="77777777" w:rsidR="00F60C93" w:rsidRPr="00E21FAE" w:rsidRDefault="00F60C93" w:rsidP="00BD5E4C">
      <w:pPr>
        <w:pStyle w:val="ProtocolNote"/>
        <w:spacing w:after="0"/>
        <w:contextualSpacing/>
        <w:mirrorIndents/>
        <w:rPr>
          <w:bCs/>
          <w:highlight w:val="yellow"/>
        </w:rPr>
      </w:pPr>
    </w:p>
    <w:p w14:paraId="4BDE582C" w14:textId="7BFCA788" w:rsidR="00760F13" w:rsidRPr="00E21FAE" w:rsidRDefault="00E66CA2" w:rsidP="00BD5E4C">
      <w:pPr>
        <w:pStyle w:val="ProtocolNote"/>
        <w:spacing w:after="0"/>
        <w:contextualSpacing/>
        <w:mirrorIndents/>
        <w:rPr>
          <w:bCs/>
          <w:highlight w:val="yellow"/>
        </w:rPr>
      </w:pPr>
      <w:r w:rsidRPr="00E21FAE">
        <w:rPr>
          <w:bCs/>
          <w:highlight w:val="yellow"/>
        </w:rPr>
        <w:t>NOTE:</w:t>
      </w:r>
      <w:r w:rsidR="00760F13" w:rsidRPr="00E21FAE">
        <w:rPr>
          <w:bCs/>
          <w:highlight w:val="yellow"/>
        </w:rPr>
        <w:t xml:space="preserve"> Store the plate at 4 °C for several weeks if necessary. Prevent drying by adding 1.5 mL of PBS to each well and sealing the plate with parafilm.</w:t>
      </w:r>
    </w:p>
    <w:p w14:paraId="6D03C62D" w14:textId="77777777" w:rsidR="00F60C93" w:rsidRPr="00E21FAE" w:rsidRDefault="00F60C93" w:rsidP="00BD5E4C">
      <w:pPr>
        <w:pStyle w:val="ProtocolNote"/>
        <w:spacing w:after="0"/>
        <w:contextualSpacing/>
        <w:mirrorIndents/>
        <w:rPr>
          <w:bCs/>
          <w:highlight w:val="yellow"/>
        </w:rPr>
      </w:pPr>
    </w:p>
    <w:p w14:paraId="2BE96328" w14:textId="254E991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Permeabilize using 0.5% Triton X-100 in DPBS for 30 min.</w:t>
      </w:r>
    </w:p>
    <w:p w14:paraId="38D1996E" w14:textId="77777777" w:rsidR="00F60C93" w:rsidRPr="00E21FAE" w:rsidRDefault="00F60C93" w:rsidP="00BD5E4C">
      <w:pPr>
        <w:pStyle w:val="ProtocolNote"/>
        <w:spacing w:after="0"/>
        <w:contextualSpacing/>
        <w:mirrorIndents/>
        <w:rPr>
          <w:bCs/>
          <w:highlight w:val="yellow"/>
        </w:rPr>
      </w:pPr>
    </w:p>
    <w:p w14:paraId="338DC0D6" w14:textId="5353F559"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lastRenderedPageBreak/>
        <w:t>Perform the Click-</w:t>
      </w:r>
      <w:proofErr w:type="spellStart"/>
      <w:r w:rsidRPr="00E21FAE">
        <w:rPr>
          <w:bCs/>
          <w:highlight w:val="yellow"/>
        </w:rPr>
        <w:t>iT</w:t>
      </w:r>
      <w:proofErr w:type="spellEnd"/>
      <w:r w:rsidRPr="00E21FAE">
        <w:rPr>
          <w:bCs/>
          <w:highlight w:val="yellow"/>
        </w:rPr>
        <w:t xml:space="preserve"> </w:t>
      </w:r>
      <w:proofErr w:type="spellStart"/>
      <w:r w:rsidRPr="00E21FAE">
        <w:rPr>
          <w:bCs/>
          <w:highlight w:val="yellow"/>
        </w:rPr>
        <w:t>EdU</w:t>
      </w:r>
      <w:proofErr w:type="spellEnd"/>
      <w:r w:rsidRPr="00E21FAE">
        <w:rPr>
          <w:bCs/>
          <w:highlight w:val="yellow"/>
        </w:rPr>
        <w:t xml:space="preserve"> reaction according to the kit instructions. Prepare the </w:t>
      </w:r>
      <w:proofErr w:type="spellStart"/>
      <w:r w:rsidRPr="00E21FAE">
        <w:rPr>
          <w:bCs/>
          <w:highlight w:val="yellow"/>
        </w:rPr>
        <w:t>EdU</w:t>
      </w:r>
      <w:proofErr w:type="spellEnd"/>
      <w:r w:rsidRPr="00E21FAE">
        <w:rPr>
          <w:bCs/>
          <w:highlight w:val="yellow"/>
        </w:rPr>
        <w:t xml:space="preserve"> reaction mixture and incubate the coverslips for 30 min in the dark.</w:t>
      </w:r>
    </w:p>
    <w:p w14:paraId="2801ADAA" w14:textId="77777777" w:rsidR="00F60C93" w:rsidRPr="00E21FAE" w:rsidRDefault="00F60C93" w:rsidP="00BD5E4C">
      <w:pPr>
        <w:pStyle w:val="ListParagraph"/>
        <w:ind w:left="0"/>
        <w:mirrorIndents/>
        <w:rPr>
          <w:bCs/>
          <w:highlight w:val="yellow"/>
        </w:rPr>
      </w:pPr>
    </w:p>
    <w:p w14:paraId="602B9A45" w14:textId="56F84A0C"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Block for 30 min with blocking solution, composed of 2% horse serum (HS), 0.1% Triton X-100, and DPBS.</w:t>
      </w:r>
    </w:p>
    <w:p w14:paraId="191803DE" w14:textId="77777777" w:rsidR="00F60C93" w:rsidRPr="00E21FAE" w:rsidRDefault="00F60C93" w:rsidP="00BD5E4C">
      <w:pPr>
        <w:pStyle w:val="ProtocolNote"/>
        <w:spacing w:after="0"/>
        <w:contextualSpacing/>
        <w:mirrorIndents/>
        <w:rPr>
          <w:bCs/>
          <w:highlight w:val="yellow"/>
        </w:rPr>
      </w:pPr>
    </w:p>
    <w:p w14:paraId="03CA42AE" w14:textId="6A25F81E"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Prepare primary-antibody dilutions in blocking solution and incubate the coverslips overnight at 4 °C. Use phospho-RPA antibody to detect ssDNA damage and phosphorylated H2AX (γH2AX) antibody to detect dsDNA damage.</w:t>
      </w:r>
    </w:p>
    <w:p w14:paraId="2537EAF1" w14:textId="77777777" w:rsidR="00F60C93" w:rsidRPr="00E21FAE" w:rsidRDefault="00F60C93" w:rsidP="00BD5E4C">
      <w:pPr>
        <w:pStyle w:val="ListParagraph"/>
        <w:ind w:left="0"/>
        <w:mirrorIndents/>
        <w:rPr>
          <w:bCs/>
          <w:highlight w:val="yellow"/>
        </w:rPr>
      </w:pPr>
    </w:p>
    <w:p w14:paraId="016CB920" w14:textId="4DAC94C7"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Create a humid chamber with wet tissue or tube lids partially filled with water to prevent antibody evaporation. Place the coverslips in a light-protected box containing wet tissue to prevent drying.</w:t>
      </w:r>
    </w:p>
    <w:p w14:paraId="6A762027" w14:textId="77777777" w:rsidR="00F60C93" w:rsidRPr="00E21FAE" w:rsidRDefault="00F60C93" w:rsidP="00BD5E4C">
      <w:pPr>
        <w:pStyle w:val="ProtocolNote"/>
        <w:spacing w:after="0"/>
        <w:contextualSpacing/>
        <w:mirrorIndents/>
        <w:rPr>
          <w:bCs/>
          <w:highlight w:val="yellow"/>
        </w:rPr>
      </w:pPr>
    </w:p>
    <w:p w14:paraId="43069EAC" w14:textId="70D47620"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On the following day, wash the coverslips three times with DPBS. Incubate with secondary antibodies and DAPI (1 ng/mL) in blocking solution for 45 min.</w:t>
      </w:r>
    </w:p>
    <w:p w14:paraId="633F4280" w14:textId="77777777" w:rsidR="00F60C93" w:rsidRPr="00E21FAE" w:rsidRDefault="00F60C93" w:rsidP="00BD5E4C">
      <w:pPr>
        <w:pStyle w:val="ListParagraph"/>
        <w:ind w:left="0"/>
        <w:mirrorIndents/>
        <w:rPr>
          <w:bCs/>
          <w:highlight w:val="yellow"/>
        </w:rPr>
      </w:pPr>
    </w:p>
    <w:p w14:paraId="7002001A" w14:textId="63D8F3E7" w:rsidR="00760F13" w:rsidRPr="00E21FAE" w:rsidRDefault="00E66CA2" w:rsidP="00BD5E4C">
      <w:pPr>
        <w:pStyle w:val="ProtocolNote"/>
        <w:spacing w:after="0"/>
        <w:contextualSpacing/>
        <w:mirrorIndents/>
        <w:rPr>
          <w:bCs/>
          <w:highlight w:val="yellow"/>
        </w:rPr>
      </w:pPr>
      <w:r w:rsidRPr="00E21FAE">
        <w:rPr>
          <w:bCs/>
          <w:highlight w:val="yellow"/>
        </w:rPr>
        <w:t>NOTE:</w:t>
      </w:r>
      <w:r w:rsidR="00760F13" w:rsidRPr="00E21FAE">
        <w:rPr>
          <w:bCs/>
          <w:highlight w:val="yellow"/>
        </w:rPr>
        <w:t xml:space="preserve"> Protect samples from light during and after secondary-antibody incubation.</w:t>
      </w:r>
    </w:p>
    <w:p w14:paraId="46A1474E" w14:textId="77777777" w:rsidR="00F60C93" w:rsidRPr="00E21FAE" w:rsidRDefault="00F60C93" w:rsidP="00BD5E4C">
      <w:pPr>
        <w:pStyle w:val="ProtocolNote"/>
        <w:spacing w:after="0"/>
        <w:contextualSpacing/>
        <w:mirrorIndents/>
        <w:rPr>
          <w:bCs/>
          <w:highlight w:val="yellow"/>
        </w:rPr>
      </w:pPr>
    </w:p>
    <w:p w14:paraId="17CAE606" w14:textId="4E1AE1A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Wash the samples three times with DPBS</w:t>
      </w:r>
      <w:r w:rsidR="00165AA3" w:rsidRPr="00E21FAE">
        <w:rPr>
          <w:bCs/>
          <w:highlight w:val="yellow"/>
        </w:rPr>
        <w:t>.</w:t>
      </w:r>
      <w:r w:rsidRPr="00E21FAE">
        <w:rPr>
          <w:bCs/>
          <w:highlight w:val="yellow"/>
        </w:rPr>
        <w:t xml:space="preserve"> Label glass slides according to the sample names and mount coverslips using </w:t>
      </w:r>
      <w:proofErr w:type="spellStart"/>
      <w:r w:rsidRPr="00E21FAE">
        <w:rPr>
          <w:bCs/>
          <w:highlight w:val="yellow"/>
        </w:rPr>
        <w:t>Fluoromount</w:t>
      </w:r>
      <w:proofErr w:type="spellEnd"/>
      <w:r w:rsidRPr="00E21FAE">
        <w:rPr>
          <w:bCs/>
          <w:highlight w:val="yellow"/>
        </w:rPr>
        <w:t xml:space="preserve"> on glass slides.</w:t>
      </w:r>
    </w:p>
    <w:p w14:paraId="3AA9DE29" w14:textId="77777777" w:rsidR="00F60C93" w:rsidRPr="00E21FAE" w:rsidRDefault="00F60C93" w:rsidP="00BD5E4C">
      <w:pPr>
        <w:pStyle w:val="ProtocolNote"/>
        <w:spacing w:after="0"/>
        <w:contextualSpacing/>
        <w:mirrorIndents/>
        <w:rPr>
          <w:bCs/>
          <w:highlight w:val="yellow"/>
        </w:rPr>
      </w:pPr>
    </w:p>
    <w:p w14:paraId="5DE74254" w14:textId="6C0168E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Seal the coverslips with transparent nail polish to prevent evaporation and store the sealed coverslips at 4 °C. Perform static imaging using an epifluorescence or confocal microscope using </w:t>
      </w:r>
      <w:r w:rsidR="00165AA3" w:rsidRPr="00E21FAE">
        <w:rPr>
          <w:bCs/>
          <w:highlight w:val="yellow"/>
        </w:rPr>
        <w:t>63×</w:t>
      </w:r>
      <w:r w:rsidRPr="00E21FAE">
        <w:rPr>
          <w:bCs/>
          <w:highlight w:val="yellow"/>
        </w:rPr>
        <w:t xml:space="preserve"> oil magnification.</w:t>
      </w:r>
    </w:p>
    <w:p w14:paraId="2127C8F2" w14:textId="77777777" w:rsidR="00F60C93" w:rsidRPr="00E21FAE" w:rsidRDefault="00F60C93" w:rsidP="00BD5E4C">
      <w:pPr>
        <w:pStyle w:val="ListParagraph"/>
        <w:ind w:left="0"/>
        <w:mirrorIndents/>
        <w:rPr>
          <w:bCs/>
          <w:highlight w:val="yellow"/>
        </w:rPr>
      </w:pPr>
    </w:p>
    <w:p w14:paraId="0BE87BAB" w14:textId="0D2271E3"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For further quantification, </w:t>
      </w:r>
      <w:r w:rsidR="00165AA3" w:rsidRPr="00E21FAE">
        <w:rPr>
          <w:bCs/>
          <w:highlight w:val="yellow"/>
        </w:rPr>
        <w:t>acquire</w:t>
      </w:r>
      <w:r w:rsidRPr="00E21FAE">
        <w:rPr>
          <w:bCs/>
          <w:highlight w:val="yellow"/>
        </w:rPr>
        <w:t xml:space="preserve"> at least 10 representative images of each coverslip.</w:t>
      </w:r>
    </w:p>
    <w:p w14:paraId="298CDB65" w14:textId="77777777" w:rsidR="00F60C93" w:rsidRPr="00E21FAE" w:rsidRDefault="00F60C93" w:rsidP="00BD5E4C">
      <w:pPr>
        <w:pStyle w:val="ProtocolNote"/>
        <w:spacing w:after="0"/>
        <w:contextualSpacing/>
        <w:mirrorIndents/>
        <w:rPr>
          <w:bCs/>
          <w:highlight w:val="yellow"/>
        </w:rPr>
      </w:pPr>
    </w:p>
    <w:p w14:paraId="70DCF8DA" w14:textId="6AF1A9C1" w:rsidR="00760F13" w:rsidRPr="00E21FAE" w:rsidRDefault="00760F13" w:rsidP="00BD5E4C">
      <w:pPr>
        <w:pStyle w:val="ProtocolNote"/>
        <w:numPr>
          <w:ilvl w:val="1"/>
          <w:numId w:val="22"/>
        </w:numPr>
        <w:spacing w:after="0"/>
        <w:ind w:left="0" w:firstLine="0"/>
        <w:contextualSpacing/>
        <w:mirrorIndents/>
        <w:rPr>
          <w:b/>
          <w:bCs/>
          <w:highlight w:val="yellow"/>
        </w:rPr>
      </w:pPr>
      <w:r w:rsidRPr="00E21FAE">
        <w:rPr>
          <w:b/>
          <w:bCs/>
          <w:highlight w:val="yellow"/>
        </w:rPr>
        <w:t>Quantify single- and double-strand DNA breaks</w:t>
      </w:r>
    </w:p>
    <w:p w14:paraId="6843CA10" w14:textId="540A4567"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Install Fiji/ImageJ on the analysis computer. Open each image separately in Fiji/ImageJ as a composite image.</w:t>
      </w:r>
    </w:p>
    <w:p w14:paraId="34529DE5" w14:textId="77777777" w:rsidR="00F60C93" w:rsidRPr="00E21FAE" w:rsidRDefault="00F60C93" w:rsidP="00BD5E4C">
      <w:pPr>
        <w:pStyle w:val="ProtocolNote"/>
        <w:spacing w:after="0"/>
        <w:contextualSpacing/>
        <w:mirrorIndents/>
        <w:rPr>
          <w:bCs/>
          <w:highlight w:val="yellow"/>
        </w:rPr>
      </w:pPr>
    </w:p>
    <w:p w14:paraId="0BABC638" w14:textId="291556AA"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Select Image &gt; Color &gt; Split Channels. Select the DAPI channel and open the Threshold window by pressing Option + Shift + T.</w:t>
      </w:r>
    </w:p>
    <w:p w14:paraId="2272E4AB" w14:textId="77777777" w:rsidR="00F60C93" w:rsidRPr="00E21FAE" w:rsidRDefault="00F60C93" w:rsidP="00BD5E4C">
      <w:pPr>
        <w:pStyle w:val="ListParagraph"/>
        <w:ind w:left="0"/>
        <w:mirrorIndents/>
        <w:rPr>
          <w:bCs/>
          <w:highlight w:val="yellow"/>
        </w:rPr>
      </w:pPr>
    </w:p>
    <w:p w14:paraId="57E0163A" w14:textId="32AA6DDB"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Adjust the threshold to select all nuclei. Select Apply to display selected nuclei in white.</w:t>
      </w:r>
    </w:p>
    <w:p w14:paraId="64831114" w14:textId="77777777" w:rsidR="00F60C93" w:rsidRPr="00E21FAE" w:rsidRDefault="00F60C93" w:rsidP="00BD5E4C">
      <w:pPr>
        <w:pStyle w:val="ProtocolNote"/>
        <w:spacing w:after="0"/>
        <w:contextualSpacing/>
        <w:mirrorIndents/>
        <w:rPr>
          <w:bCs/>
          <w:highlight w:val="yellow"/>
        </w:rPr>
      </w:pPr>
    </w:p>
    <w:p w14:paraId="4AC19EA3" w14:textId="4F4549F1"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In the same image, select Process &gt; Smooth, followed by Process &gt; Binary &gt; Make Binary and Process &gt; Binary &gt; Watershed. Confirm separation of individual nuclei in the DAPI channel.</w:t>
      </w:r>
    </w:p>
    <w:p w14:paraId="24630A58" w14:textId="77777777" w:rsidR="00F60C93" w:rsidRPr="00E21FAE" w:rsidRDefault="00F60C93" w:rsidP="00BD5E4C">
      <w:pPr>
        <w:pStyle w:val="ListParagraph"/>
        <w:ind w:left="0"/>
        <w:mirrorIndents/>
        <w:rPr>
          <w:bCs/>
          <w:highlight w:val="yellow"/>
        </w:rPr>
      </w:pPr>
    </w:p>
    <w:p w14:paraId="00EFBED1" w14:textId="3032852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Select Analyze &gt; Analyze Particles in the same image. Set Size to 1500-Infinity, adjusting the value according to nuclear size; set Circularity to 0-1; select Overlay Masks under Show; select Display Results, Clear Results, and Add to Manager; and select OK.</w:t>
      </w:r>
    </w:p>
    <w:p w14:paraId="5AFBBC44" w14:textId="77777777" w:rsidR="00F60C93" w:rsidRPr="00E21FAE" w:rsidRDefault="00F60C93" w:rsidP="00BD5E4C">
      <w:pPr>
        <w:pStyle w:val="ProtocolNote"/>
        <w:spacing w:after="0"/>
        <w:contextualSpacing/>
        <w:mirrorIndents/>
        <w:rPr>
          <w:bCs/>
          <w:highlight w:val="yellow"/>
        </w:rPr>
      </w:pPr>
    </w:p>
    <w:p w14:paraId="0878051C" w14:textId="1D2B2ADF"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lastRenderedPageBreak/>
        <w:t>Confirm that numbered nuclei appear in the DAPI image and keep the ROI Manager window open.</w:t>
      </w:r>
    </w:p>
    <w:p w14:paraId="20AC6BF1" w14:textId="77777777" w:rsidR="00F60C93" w:rsidRPr="00E21FAE" w:rsidRDefault="00F60C93" w:rsidP="00BD5E4C">
      <w:pPr>
        <w:pStyle w:val="ListParagraph"/>
        <w:ind w:left="0"/>
        <w:mirrorIndents/>
        <w:rPr>
          <w:bCs/>
          <w:highlight w:val="yellow"/>
        </w:rPr>
      </w:pPr>
    </w:p>
    <w:p w14:paraId="7F68CAF3" w14:textId="1C187099"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Select the image containing the damage marker of interest, such as γH2AX or phospho-RPA. Select Show All twice in ROI Manager to transfer the numbered nuclear regions to the damage-marker channel.</w:t>
      </w:r>
    </w:p>
    <w:p w14:paraId="1913903C" w14:textId="77777777" w:rsidR="00F60C93" w:rsidRPr="00E21FAE" w:rsidRDefault="00F60C93" w:rsidP="00BD5E4C">
      <w:pPr>
        <w:pStyle w:val="ProtocolNote"/>
        <w:spacing w:after="0"/>
        <w:contextualSpacing/>
        <w:mirrorIndents/>
        <w:rPr>
          <w:bCs/>
          <w:highlight w:val="yellow"/>
        </w:rPr>
      </w:pPr>
    </w:p>
    <w:p w14:paraId="723ED86E" w14:textId="70A47146"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Select Measure in ROI Manager and copy the mean value for each nucleus from the Results table. Interpret each value as the mean fluorescence intensity of the damage-marker signal in the corresponding nucleus.</w:t>
      </w:r>
    </w:p>
    <w:p w14:paraId="690A9D09" w14:textId="77777777" w:rsidR="00F60C93" w:rsidRPr="00B72A96" w:rsidRDefault="00F60C93" w:rsidP="00BD5E4C">
      <w:pPr>
        <w:pStyle w:val="ListParagraph"/>
        <w:ind w:left="0"/>
        <w:mirrorIndents/>
        <w:rPr>
          <w:bCs/>
        </w:rPr>
      </w:pPr>
    </w:p>
    <w:p w14:paraId="7001D7D6" w14:textId="6F9A8682" w:rsidR="00760F13" w:rsidRPr="00B72A96" w:rsidRDefault="00760F13" w:rsidP="00BD5E4C">
      <w:pPr>
        <w:pStyle w:val="ListParagraph"/>
        <w:numPr>
          <w:ilvl w:val="0"/>
          <w:numId w:val="22"/>
        </w:numPr>
        <w:ind w:left="0" w:firstLine="0"/>
        <w:mirrorIndents/>
        <w:rPr>
          <w:b/>
          <w:bCs/>
        </w:rPr>
      </w:pPr>
      <w:r w:rsidRPr="00B72A96">
        <w:rPr>
          <w:b/>
          <w:bCs/>
        </w:rPr>
        <w:t xml:space="preserve">Ultrafine bridge detection in </w:t>
      </w:r>
      <w:proofErr w:type="spellStart"/>
      <w:r w:rsidRPr="00B72A96">
        <w:rPr>
          <w:b/>
          <w:bCs/>
        </w:rPr>
        <w:t>hPSCs</w:t>
      </w:r>
      <w:proofErr w:type="spellEnd"/>
    </w:p>
    <w:p w14:paraId="11C231E5" w14:textId="162721A4" w:rsidR="00760F13" w:rsidRPr="00B72A96" w:rsidRDefault="00760F13" w:rsidP="00BD5E4C">
      <w:pPr>
        <w:pStyle w:val="ProtocolNote"/>
        <w:numPr>
          <w:ilvl w:val="1"/>
          <w:numId w:val="22"/>
        </w:numPr>
        <w:spacing w:after="0"/>
        <w:ind w:left="0" w:firstLine="0"/>
        <w:contextualSpacing/>
        <w:mirrorIndents/>
        <w:rPr>
          <w:b/>
          <w:bCs/>
        </w:rPr>
      </w:pPr>
      <w:r w:rsidRPr="00B72A96">
        <w:rPr>
          <w:b/>
          <w:bCs/>
        </w:rPr>
        <w:t>Culture cells for ultrafine bridge analysis</w:t>
      </w:r>
    </w:p>
    <w:p w14:paraId="6200C920" w14:textId="76424028"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Maintain </w:t>
      </w:r>
      <w:proofErr w:type="spellStart"/>
      <w:r w:rsidRPr="00B72A96">
        <w:rPr>
          <w:bCs/>
        </w:rPr>
        <w:t>hPSCs</w:t>
      </w:r>
      <w:proofErr w:type="spellEnd"/>
      <w:r w:rsidRPr="00B72A96">
        <w:rPr>
          <w:bCs/>
        </w:rPr>
        <w:t xml:space="preserve"> according to the procedure described in the </w:t>
      </w:r>
      <w:r w:rsidR="00E66CA2" w:rsidRPr="00B72A96">
        <w:rPr>
          <w:b/>
        </w:rPr>
        <w:t>Supplementary File 1</w:t>
      </w:r>
      <w:r w:rsidRPr="00B72A96">
        <w:rPr>
          <w:bCs/>
        </w:rPr>
        <w:t xml:space="preserve"> (Section 1.2, Passaging human PSCs) until reaching 70-80% confluence in 6 wells.</w:t>
      </w:r>
    </w:p>
    <w:p w14:paraId="2A0229CE" w14:textId="77777777" w:rsidR="009913D6" w:rsidRPr="00B72A96" w:rsidRDefault="009913D6" w:rsidP="00BD5E4C">
      <w:pPr>
        <w:pStyle w:val="ProtocolNote"/>
        <w:spacing w:after="0"/>
        <w:contextualSpacing/>
        <w:mirrorIndents/>
        <w:rPr>
          <w:bCs/>
        </w:rPr>
      </w:pPr>
    </w:p>
    <w:p w14:paraId="5330AD89" w14:textId="66A4257B" w:rsidR="00760F13" w:rsidRPr="00B72A96" w:rsidRDefault="00760F13" w:rsidP="00BD5E4C">
      <w:pPr>
        <w:pStyle w:val="ProtocolNote"/>
        <w:numPr>
          <w:ilvl w:val="2"/>
          <w:numId w:val="22"/>
        </w:numPr>
        <w:spacing w:after="0"/>
        <w:ind w:left="0" w:firstLine="0"/>
        <w:contextualSpacing/>
        <w:mirrorIndents/>
        <w:rPr>
          <w:bCs/>
        </w:rPr>
      </w:pPr>
      <w:r w:rsidRPr="00B72A96">
        <w:rPr>
          <w:bCs/>
        </w:rPr>
        <w:t>One hour before dissociation, coat the required number of wells with glass coverslips inside a 12-well plate with 0.5 mL of vitronectin solution (5 µg/mL) per well. Place the well plate in an incubator at 37 °C for 1 h.</w:t>
      </w:r>
    </w:p>
    <w:p w14:paraId="4AA2522E" w14:textId="77777777" w:rsidR="009913D6" w:rsidRPr="00B72A96" w:rsidRDefault="009913D6" w:rsidP="00BD5E4C">
      <w:pPr>
        <w:pStyle w:val="ListParagraph"/>
        <w:ind w:left="0"/>
        <w:mirrorIndents/>
        <w:rPr>
          <w:bCs/>
        </w:rPr>
      </w:pPr>
    </w:p>
    <w:p w14:paraId="0D7E439A" w14:textId="423ECFB4"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Dissociate the </w:t>
      </w:r>
      <w:proofErr w:type="spellStart"/>
      <w:r w:rsidRPr="00B72A96">
        <w:rPr>
          <w:bCs/>
        </w:rPr>
        <w:t>hPSC</w:t>
      </w:r>
      <w:proofErr w:type="spellEnd"/>
      <w:r w:rsidRPr="00B72A96">
        <w:rPr>
          <w:bCs/>
        </w:rPr>
        <w:t xml:space="preserve"> colonies into single cells as described in the EDTA dissociation procedure in Section 1.1.</w:t>
      </w:r>
    </w:p>
    <w:p w14:paraId="661BC630" w14:textId="77777777" w:rsidR="009913D6" w:rsidRPr="00B72A96" w:rsidRDefault="009913D6" w:rsidP="00BD5E4C">
      <w:pPr>
        <w:pStyle w:val="ProtocolNote"/>
        <w:spacing w:after="0"/>
        <w:contextualSpacing/>
        <w:mirrorIndents/>
        <w:rPr>
          <w:bCs/>
        </w:rPr>
      </w:pPr>
    </w:p>
    <w:p w14:paraId="3FF434D3" w14:textId="7EB2F511"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Seed </w:t>
      </w:r>
      <w:proofErr w:type="spellStart"/>
      <w:r w:rsidRPr="00B72A96">
        <w:rPr>
          <w:bCs/>
        </w:rPr>
        <w:t>hPSCs</w:t>
      </w:r>
      <w:proofErr w:type="spellEnd"/>
      <w:r w:rsidRPr="00B72A96">
        <w:rPr>
          <w:bCs/>
        </w:rPr>
        <w:t xml:space="preserve"> at 70,000 cells/well in a 12-well plate. Culture in SFM containing 10 µM Y-27632 for the first 24 h.</w:t>
      </w:r>
    </w:p>
    <w:p w14:paraId="0E8EA5C5" w14:textId="77777777" w:rsidR="009913D6" w:rsidRPr="00B72A96" w:rsidRDefault="009913D6" w:rsidP="00BD5E4C">
      <w:pPr>
        <w:pStyle w:val="ListParagraph"/>
        <w:ind w:left="0"/>
        <w:mirrorIndents/>
        <w:rPr>
          <w:bCs/>
        </w:rPr>
      </w:pPr>
    </w:p>
    <w:p w14:paraId="169B603E" w14:textId="327094B9" w:rsidR="00760F13" w:rsidRPr="00B72A96" w:rsidRDefault="00760F13" w:rsidP="00BD5E4C">
      <w:pPr>
        <w:pStyle w:val="ProtocolNote"/>
        <w:numPr>
          <w:ilvl w:val="2"/>
          <w:numId w:val="22"/>
        </w:numPr>
        <w:spacing w:after="0"/>
        <w:ind w:left="0" w:firstLine="0"/>
        <w:contextualSpacing/>
        <w:mirrorIndents/>
        <w:rPr>
          <w:bCs/>
        </w:rPr>
      </w:pPr>
      <w:r w:rsidRPr="00B72A96">
        <w:rPr>
          <w:bCs/>
        </w:rPr>
        <w:t>Change the medium to SF without ROCKi during the following days until harvesting.</w:t>
      </w:r>
    </w:p>
    <w:p w14:paraId="440BEC56" w14:textId="77777777" w:rsidR="009913D6" w:rsidRPr="00B72A96" w:rsidRDefault="009913D6" w:rsidP="00BD5E4C">
      <w:pPr>
        <w:pStyle w:val="ProtocolNote"/>
        <w:spacing w:after="0"/>
        <w:contextualSpacing/>
        <w:mirrorIndents/>
        <w:rPr>
          <w:bCs/>
        </w:rPr>
      </w:pPr>
    </w:p>
    <w:p w14:paraId="61C7D8FA" w14:textId="0543E443" w:rsidR="00760F13" w:rsidRPr="00B72A96" w:rsidRDefault="00760F13" w:rsidP="00BD5E4C">
      <w:pPr>
        <w:pStyle w:val="ProtocolNote"/>
        <w:numPr>
          <w:ilvl w:val="2"/>
          <w:numId w:val="22"/>
        </w:numPr>
        <w:spacing w:after="0"/>
        <w:ind w:left="0" w:firstLine="0"/>
        <w:contextualSpacing/>
        <w:mirrorIndents/>
        <w:rPr>
          <w:bCs/>
        </w:rPr>
      </w:pPr>
      <w:r w:rsidRPr="00B72A96">
        <w:rPr>
          <w:bCs/>
        </w:rPr>
        <w:t>At 70</w:t>
      </w:r>
      <w:r w:rsidR="009913D6" w:rsidRPr="00B72A96">
        <w:rPr>
          <w:rFonts w:cs="Calibri"/>
          <w:bCs/>
        </w:rPr>
        <w:t>–</w:t>
      </w:r>
      <w:r w:rsidRPr="00B72A96">
        <w:rPr>
          <w:bCs/>
        </w:rPr>
        <w:t>80% confluence, apply the planned treatment. For proof-of-concept induction of replicative stress and mitotic ultrafine bridges, treat with aphidicolin (50</w:t>
      </w:r>
      <w:r w:rsidR="009913D6" w:rsidRPr="00B72A96">
        <w:rPr>
          <w:rFonts w:cs="Calibri"/>
          <w:bCs/>
        </w:rPr>
        <w:t>–</w:t>
      </w:r>
      <w:r w:rsidRPr="00B72A96">
        <w:rPr>
          <w:bCs/>
        </w:rPr>
        <w:t xml:space="preserve">200 </w:t>
      </w:r>
      <w:proofErr w:type="spellStart"/>
      <w:r w:rsidRPr="00B72A96">
        <w:rPr>
          <w:bCs/>
        </w:rPr>
        <w:t>nM</w:t>
      </w:r>
      <w:proofErr w:type="spellEnd"/>
      <w:r w:rsidRPr="00B72A96">
        <w:rPr>
          <w:bCs/>
        </w:rPr>
        <w:t>) for 16 h.</w:t>
      </w:r>
    </w:p>
    <w:p w14:paraId="7A96DA2F" w14:textId="77777777" w:rsidR="009913D6" w:rsidRPr="00B72A96" w:rsidRDefault="009913D6" w:rsidP="00BD5E4C">
      <w:pPr>
        <w:pStyle w:val="ListParagraph"/>
        <w:ind w:left="0"/>
        <w:mirrorIndents/>
        <w:rPr>
          <w:bCs/>
        </w:rPr>
      </w:pPr>
    </w:p>
    <w:p w14:paraId="4ADBE056" w14:textId="18988442" w:rsidR="00760F13" w:rsidRPr="00B72A96" w:rsidRDefault="00760F13" w:rsidP="00BD5E4C">
      <w:pPr>
        <w:pStyle w:val="ProtocolNote"/>
        <w:numPr>
          <w:ilvl w:val="2"/>
          <w:numId w:val="22"/>
        </w:numPr>
        <w:spacing w:after="0"/>
        <w:ind w:left="0" w:firstLine="0"/>
        <w:contextualSpacing/>
        <w:mirrorIndents/>
        <w:rPr>
          <w:bCs/>
        </w:rPr>
      </w:pPr>
      <w:r w:rsidRPr="00B72A96">
        <w:rPr>
          <w:bCs/>
        </w:rPr>
        <w:t>Harvest the cells and proceed to ultrafine-bridge immunostaining and imaging as described in Section 5.2.</w:t>
      </w:r>
    </w:p>
    <w:p w14:paraId="235BCA7C" w14:textId="77777777" w:rsidR="009913D6" w:rsidRPr="00B72A96" w:rsidRDefault="009913D6" w:rsidP="00BD5E4C">
      <w:pPr>
        <w:pStyle w:val="ProtocolNote"/>
        <w:spacing w:after="0"/>
        <w:contextualSpacing/>
        <w:mirrorIndents/>
        <w:rPr>
          <w:bCs/>
        </w:rPr>
      </w:pPr>
    </w:p>
    <w:p w14:paraId="703A2432" w14:textId="2E168802" w:rsidR="00760F13" w:rsidRPr="00B72A96" w:rsidRDefault="00760F13" w:rsidP="00BD5E4C">
      <w:pPr>
        <w:pStyle w:val="ProtocolNote"/>
        <w:numPr>
          <w:ilvl w:val="1"/>
          <w:numId w:val="22"/>
        </w:numPr>
        <w:spacing w:after="0"/>
        <w:ind w:left="0" w:firstLine="0"/>
        <w:contextualSpacing/>
        <w:mirrorIndents/>
        <w:rPr>
          <w:b/>
          <w:bCs/>
        </w:rPr>
      </w:pPr>
      <w:proofErr w:type="spellStart"/>
      <w:r w:rsidRPr="00B72A96">
        <w:rPr>
          <w:b/>
          <w:bCs/>
        </w:rPr>
        <w:t>Immunostain</w:t>
      </w:r>
      <w:proofErr w:type="spellEnd"/>
      <w:r w:rsidRPr="00B72A96">
        <w:rPr>
          <w:b/>
          <w:bCs/>
        </w:rPr>
        <w:t xml:space="preserve"> and image ultrafine bridges</w:t>
      </w:r>
    </w:p>
    <w:p w14:paraId="018B9405" w14:textId="316C78C3"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After </w:t>
      </w:r>
      <w:proofErr w:type="spellStart"/>
      <w:r w:rsidRPr="00B72A96">
        <w:rPr>
          <w:bCs/>
        </w:rPr>
        <w:t>hPSCs</w:t>
      </w:r>
      <w:proofErr w:type="spellEnd"/>
      <w:r w:rsidRPr="00B72A96">
        <w:rPr>
          <w:bCs/>
        </w:rPr>
        <w:t xml:space="preserve"> treatment, wash cells once with DPBS. Fix the cells using 4% PFA for 5 min at room temperature, followed by treatment with ice-cold methanol for another 5 min at -20 °C.</w:t>
      </w:r>
    </w:p>
    <w:p w14:paraId="7A8C8B44" w14:textId="77777777" w:rsidR="009913D6" w:rsidRPr="00B72A96" w:rsidRDefault="009913D6" w:rsidP="00BD5E4C">
      <w:pPr>
        <w:pStyle w:val="ProtocolNote"/>
        <w:spacing w:after="0"/>
        <w:contextualSpacing/>
        <w:mirrorIndents/>
        <w:rPr>
          <w:bCs/>
        </w:rPr>
      </w:pPr>
    </w:p>
    <w:p w14:paraId="4AFBA1E9" w14:textId="24E11A15" w:rsidR="009913D6" w:rsidRPr="00B72A96" w:rsidRDefault="00760F13" w:rsidP="00BD5E4C">
      <w:pPr>
        <w:pStyle w:val="ProtocolNote"/>
        <w:spacing w:after="0"/>
        <w:contextualSpacing/>
        <w:mirrorIndents/>
        <w:rPr>
          <w:bCs/>
        </w:rPr>
      </w:pPr>
      <w:r w:rsidRPr="00B72A96">
        <w:rPr>
          <w:bCs/>
        </w:rPr>
        <w:t>CAUTION: Handle 4% PFA in a biosafety cabinet operating at biosafety level 2 or in a chemical fume hood. Avoid skin contact and inhalation. Clean spills with 70% ethanol.</w:t>
      </w:r>
    </w:p>
    <w:p w14:paraId="477F4431" w14:textId="77777777" w:rsidR="009913D6" w:rsidRPr="00B72A96" w:rsidRDefault="009913D6" w:rsidP="00BD5E4C">
      <w:pPr>
        <w:pStyle w:val="ProtocolNote"/>
        <w:spacing w:after="0"/>
        <w:contextualSpacing/>
        <w:mirrorIndents/>
        <w:rPr>
          <w:bCs/>
        </w:rPr>
      </w:pPr>
    </w:p>
    <w:p w14:paraId="1BABD826" w14:textId="2961A7FC"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Wash the coverslips twice with 1 mL of DPBS </w:t>
      </w:r>
      <w:r w:rsidR="009913D6" w:rsidRPr="00B72A96">
        <w:rPr>
          <w:bCs/>
        </w:rPr>
        <w:t xml:space="preserve">in </w:t>
      </w:r>
      <w:r w:rsidRPr="00B72A96">
        <w:rPr>
          <w:bCs/>
        </w:rPr>
        <w:t>each well.</w:t>
      </w:r>
    </w:p>
    <w:p w14:paraId="75E0EAFE" w14:textId="77777777" w:rsidR="009913D6" w:rsidRPr="00B72A96" w:rsidRDefault="009913D6" w:rsidP="00BD5E4C">
      <w:pPr>
        <w:pStyle w:val="ProtocolNote"/>
        <w:spacing w:after="0"/>
        <w:contextualSpacing/>
        <w:mirrorIndents/>
        <w:rPr>
          <w:bCs/>
        </w:rPr>
      </w:pPr>
    </w:p>
    <w:p w14:paraId="2A8FE141" w14:textId="2C77400D" w:rsidR="00760F13" w:rsidRPr="00B72A96" w:rsidRDefault="00E66CA2" w:rsidP="00BD5E4C">
      <w:pPr>
        <w:pStyle w:val="ProtocolNote"/>
        <w:spacing w:after="0"/>
        <w:contextualSpacing/>
        <w:mirrorIndents/>
        <w:rPr>
          <w:bCs/>
        </w:rPr>
      </w:pPr>
      <w:r w:rsidRPr="00B72A96">
        <w:rPr>
          <w:bCs/>
        </w:rPr>
        <w:lastRenderedPageBreak/>
        <w:t>NOTE:</w:t>
      </w:r>
      <w:r w:rsidR="00760F13" w:rsidRPr="00B72A96">
        <w:rPr>
          <w:bCs/>
        </w:rPr>
        <w:t xml:space="preserve"> Store the plate at 4 °C for several weeks if necessary. Prevent drying by adding 1.5 mL of PBS to each well and sealing the plate with parafilm.</w:t>
      </w:r>
    </w:p>
    <w:p w14:paraId="2C6A2B44" w14:textId="77777777" w:rsidR="009913D6" w:rsidRPr="00B72A96" w:rsidRDefault="009913D6" w:rsidP="00BD5E4C">
      <w:pPr>
        <w:pStyle w:val="ProtocolNote"/>
        <w:spacing w:after="0"/>
        <w:contextualSpacing/>
        <w:mirrorIndents/>
        <w:rPr>
          <w:bCs/>
        </w:rPr>
      </w:pPr>
    </w:p>
    <w:p w14:paraId="6CC13DF9" w14:textId="22762B8A" w:rsidR="00760F13" w:rsidRPr="00B72A96" w:rsidRDefault="00760F13" w:rsidP="00BD5E4C">
      <w:pPr>
        <w:pStyle w:val="ProtocolNote"/>
        <w:numPr>
          <w:ilvl w:val="2"/>
          <w:numId w:val="22"/>
        </w:numPr>
        <w:spacing w:after="0"/>
        <w:ind w:left="0" w:firstLine="0"/>
        <w:contextualSpacing/>
        <w:mirrorIndents/>
        <w:rPr>
          <w:bCs/>
        </w:rPr>
      </w:pPr>
      <w:r w:rsidRPr="00B72A96">
        <w:rPr>
          <w:bCs/>
        </w:rPr>
        <w:t>Block for 30 min with blocking solution, composed of 5% horse serum (HS), 0.1% Triton X-100, and DPBS.</w:t>
      </w:r>
    </w:p>
    <w:p w14:paraId="7E88C7B5" w14:textId="77777777" w:rsidR="009913D6" w:rsidRPr="00B72A96" w:rsidRDefault="009913D6" w:rsidP="00BD5E4C">
      <w:pPr>
        <w:pStyle w:val="ProtocolNote"/>
        <w:spacing w:after="0"/>
        <w:contextualSpacing/>
        <w:mirrorIndents/>
        <w:rPr>
          <w:bCs/>
        </w:rPr>
      </w:pPr>
    </w:p>
    <w:p w14:paraId="4C735E9C" w14:textId="2A71216E" w:rsidR="00760F13" w:rsidRPr="00B72A96" w:rsidRDefault="00760F13" w:rsidP="00BD5E4C">
      <w:pPr>
        <w:pStyle w:val="ProtocolNote"/>
        <w:numPr>
          <w:ilvl w:val="2"/>
          <w:numId w:val="22"/>
        </w:numPr>
        <w:spacing w:after="0"/>
        <w:ind w:left="0" w:firstLine="0"/>
        <w:contextualSpacing/>
        <w:mirrorIndents/>
        <w:rPr>
          <w:bCs/>
        </w:rPr>
      </w:pPr>
      <w:r w:rsidRPr="00B72A96">
        <w:rPr>
          <w:bCs/>
        </w:rPr>
        <w:t>Prepare primary-antibody dilutions in blocking solution and incubate the coverslips for 3 h at room temperature in a humid chamber prepared as described in Step 3.1.6. Use anti-BLM primary antibodies to label ultrafine bridges.</w:t>
      </w:r>
    </w:p>
    <w:p w14:paraId="03824F3B" w14:textId="77777777" w:rsidR="009913D6" w:rsidRPr="00B72A96" w:rsidRDefault="009913D6" w:rsidP="00BD5E4C">
      <w:pPr>
        <w:pStyle w:val="ProtocolNote"/>
        <w:spacing w:after="0"/>
        <w:contextualSpacing/>
        <w:mirrorIndents/>
        <w:rPr>
          <w:bCs/>
        </w:rPr>
      </w:pPr>
    </w:p>
    <w:p w14:paraId="010168E8" w14:textId="511C39B3" w:rsidR="00760F13" w:rsidRPr="00B72A96" w:rsidRDefault="00760F13" w:rsidP="00BD5E4C">
      <w:pPr>
        <w:pStyle w:val="ProtocolNote"/>
        <w:numPr>
          <w:ilvl w:val="2"/>
          <w:numId w:val="22"/>
        </w:numPr>
        <w:spacing w:after="0"/>
        <w:ind w:left="0" w:firstLine="0"/>
        <w:contextualSpacing/>
        <w:mirrorIndents/>
        <w:rPr>
          <w:bCs/>
        </w:rPr>
      </w:pPr>
      <w:r w:rsidRPr="00B72A96">
        <w:rPr>
          <w:bCs/>
        </w:rPr>
        <w:t>Wash the coverslips three times with DPBS and incubate in a solution with secondary antibodies and DAPI (1 ng/mL) in blocking solution for 45 min at room temperature, protected from light. Wash the samples three times with DPBS</w:t>
      </w:r>
      <w:r w:rsidR="009913D6" w:rsidRPr="00B72A96">
        <w:rPr>
          <w:bCs/>
        </w:rPr>
        <w:t>.</w:t>
      </w:r>
    </w:p>
    <w:p w14:paraId="4D8DE50E" w14:textId="77777777" w:rsidR="009913D6" w:rsidRPr="00B72A96" w:rsidRDefault="009913D6" w:rsidP="00BD5E4C">
      <w:pPr>
        <w:pStyle w:val="ProtocolNote"/>
        <w:spacing w:after="0"/>
        <w:contextualSpacing/>
        <w:mirrorIndents/>
        <w:rPr>
          <w:bCs/>
        </w:rPr>
      </w:pPr>
    </w:p>
    <w:p w14:paraId="2E2244C7" w14:textId="42DE5F78"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Label the glass slides according to the sample names to avoid confusion and mount coverslips using </w:t>
      </w:r>
      <w:proofErr w:type="spellStart"/>
      <w:r w:rsidRPr="00B72A96">
        <w:rPr>
          <w:bCs/>
        </w:rPr>
        <w:t>Fluoromount</w:t>
      </w:r>
      <w:proofErr w:type="spellEnd"/>
      <w:r w:rsidRPr="00B72A96">
        <w:rPr>
          <w:bCs/>
        </w:rPr>
        <w:t xml:space="preserve"> on glass slides. Seal the coverslips with transparent nail polish to prevent evaporation and store the sealed coverslips at 4 °C.</w:t>
      </w:r>
    </w:p>
    <w:p w14:paraId="25B6B6BC" w14:textId="77777777" w:rsidR="009913D6" w:rsidRPr="00B72A96" w:rsidRDefault="009913D6" w:rsidP="00BD5E4C">
      <w:pPr>
        <w:pStyle w:val="ProtocolNote"/>
        <w:spacing w:after="0"/>
        <w:contextualSpacing/>
        <w:mirrorIndents/>
        <w:rPr>
          <w:bCs/>
        </w:rPr>
      </w:pPr>
    </w:p>
    <w:p w14:paraId="73B55E7B" w14:textId="7D77D0A0"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Perform static imaging using an epifluorescence or confocal microscope using </w:t>
      </w:r>
      <w:r w:rsidR="00165AA3">
        <w:rPr>
          <w:bCs/>
        </w:rPr>
        <w:t>63×</w:t>
      </w:r>
      <w:r w:rsidRPr="00B72A96">
        <w:rPr>
          <w:bCs/>
        </w:rPr>
        <w:t xml:space="preserve"> oil magnification. Quantify the number of anaphases or telophases with the presence or absence of BLM+ ultrafine bridges in each coverslip.</w:t>
      </w:r>
    </w:p>
    <w:p w14:paraId="184BFC15" w14:textId="77777777" w:rsidR="009913D6" w:rsidRPr="00B72A96" w:rsidRDefault="009913D6" w:rsidP="00BD5E4C">
      <w:pPr>
        <w:pStyle w:val="ListParagraph"/>
        <w:ind w:left="0"/>
        <w:mirrorIndents/>
        <w:rPr>
          <w:bCs/>
        </w:rPr>
      </w:pPr>
    </w:p>
    <w:p w14:paraId="0FF69860" w14:textId="16850DAE" w:rsidR="00760F13" w:rsidRPr="00E21FAE" w:rsidRDefault="00760F13" w:rsidP="00BD5E4C">
      <w:pPr>
        <w:pStyle w:val="ListParagraph"/>
        <w:numPr>
          <w:ilvl w:val="0"/>
          <w:numId w:val="22"/>
        </w:numPr>
        <w:ind w:left="0" w:firstLine="0"/>
        <w:mirrorIndents/>
        <w:rPr>
          <w:b/>
          <w:bCs/>
          <w:highlight w:val="yellow"/>
        </w:rPr>
      </w:pPr>
      <w:r w:rsidRPr="00E21FAE">
        <w:rPr>
          <w:b/>
          <w:bCs/>
          <w:highlight w:val="yellow"/>
        </w:rPr>
        <w:t xml:space="preserve">Chromosome </w:t>
      </w:r>
      <w:proofErr w:type="spellStart"/>
      <w:r w:rsidRPr="00E21FAE">
        <w:rPr>
          <w:b/>
          <w:bCs/>
          <w:highlight w:val="yellow"/>
        </w:rPr>
        <w:t>missegregation</w:t>
      </w:r>
      <w:proofErr w:type="spellEnd"/>
      <w:r w:rsidRPr="00E21FAE">
        <w:rPr>
          <w:b/>
          <w:bCs/>
          <w:highlight w:val="yellow"/>
        </w:rPr>
        <w:t xml:space="preserve"> and micronucleus detection in </w:t>
      </w:r>
      <w:proofErr w:type="spellStart"/>
      <w:r w:rsidRPr="00E21FAE">
        <w:rPr>
          <w:b/>
          <w:bCs/>
          <w:highlight w:val="yellow"/>
        </w:rPr>
        <w:t>hPSCs</w:t>
      </w:r>
      <w:proofErr w:type="spellEnd"/>
    </w:p>
    <w:p w14:paraId="04953443" w14:textId="77777777" w:rsidR="009913D6" w:rsidRPr="00E21FAE" w:rsidRDefault="009913D6" w:rsidP="00BD5E4C">
      <w:pPr>
        <w:pStyle w:val="ListParagraph"/>
        <w:ind w:left="0"/>
        <w:mirrorIndents/>
        <w:rPr>
          <w:b/>
          <w:bCs/>
          <w:highlight w:val="yellow"/>
        </w:rPr>
      </w:pPr>
    </w:p>
    <w:p w14:paraId="2921AB56" w14:textId="4DC95E6F" w:rsidR="00147E37" w:rsidRPr="00E21FAE" w:rsidRDefault="00147E37" w:rsidP="00BD5E4C">
      <w:pPr>
        <w:contextualSpacing/>
        <w:mirrorIndents/>
        <w:rPr>
          <w:highlight w:val="yellow"/>
          <w:lang w:val="en-US"/>
        </w:rPr>
      </w:pPr>
      <w:r w:rsidRPr="00E21FAE">
        <w:rPr>
          <w:highlight w:val="yellow"/>
        </w:rPr>
        <w:t xml:space="preserve">NOTE: </w:t>
      </w:r>
      <w:r w:rsidRPr="00E21FAE">
        <w:rPr>
          <w:highlight w:val="yellow"/>
          <w:lang w:val="en-US"/>
        </w:rPr>
        <w:t xml:space="preserve">Anaphase frequency depends on the proliferative state and decreases during germ-layer differentiation. Maintain confluence below 90% to retain higher anaphase rates because </w:t>
      </w:r>
      <w:proofErr w:type="spellStart"/>
      <w:r w:rsidRPr="00E21FAE">
        <w:rPr>
          <w:highlight w:val="yellow"/>
          <w:lang w:val="en-US"/>
        </w:rPr>
        <w:t>overconfluence</w:t>
      </w:r>
      <w:proofErr w:type="spellEnd"/>
      <w:r w:rsidRPr="00E21FAE">
        <w:rPr>
          <w:highlight w:val="yellow"/>
          <w:lang w:val="en-US"/>
        </w:rPr>
        <w:t xml:space="preserve"> can reduce proliferation. Unsynchronized </w:t>
      </w:r>
      <w:proofErr w:type="spellStart"/>
      <w:r w:rsidRPr="00E21FAE">
        <w:rPr>
          <w:highlight w:val="yellow"/>
          <w:lang w:val="en-US"/>
        </w:rPr>
        <w:t>hPSC</w:t>
      </w:r>
      <w:proofErr w:type="spellEnd"/>
      <w:r w:rsidRPr="00E21FAE">
        <w:rPr>
          <w:highlight w:val="yellow"/>
          <w:lang w:val="en-US"/>
        </w:rPr>
        <w:t xml:space="preserve"> cultures generally contain 2</w:t>
      </w:r>
      <w:r w:rsidR="00390F9D" w:rsidRPr="00E21FAE">
        <w:rPr>
          <w:highlight w:val="yellow"/>
          <w:lang w:val="en-US"/>
        </w:rPr>
        <w:t>%</w:t>
      </w:r>
      <w:r w:rsidR="009913D6" w:rsidRPr="00E21FAE">
        <w:rPr>
          <w:highlight w:val="yellow"/>
          <w:lang w:val="en-US"/>
        </w:rPr>
        <w:t>–</w:t>
      </w:r>
      <w:r w:rsidRPr="00E21FAE">
        <w:rPr>
          <w:highlight w:val="yellow"/>
          <w:lang w:val="en-US"/>
        </w:rPr>
        <w:t xml:space="preserve">5% anaphases per total cells in a captured field, although rates vary between cultures. Basal chromosome </w:t>
      </w:r>
      <w:proofErr w:type="spellStart"/>
      <w:r w:rsidRPr="00E21FAE">
        <w:rPr>
          <w:highlight w:val="yellow"/>
          <w:lang w:val="en-US"/>
        </w:rPr>
        <w:t>missegregation</w:t>
      </w:r>
      <w:proofErr w:type="spellEnd"/>
      <w:r w:rsidRPr="00E21FAE">
        <w:rPr>
          <w:highlight w:val="yellow"/>
          <w:lang w:val="en-US"/>
        </w:rPr>
        <w:t>, defined as anaphases with clear lagging chromosomes, remains approximately 5</w:t>
      </w:r>
      <w:r w:rsidR="00390F9D" w:rsidRPr="00E21FAE">
        <w:rPr>
          <w:highlight w:val="yellow"/>
          <w:lang w:val="en-US"/>
        </w:rPr>
        <w:t>%–</w:t>
      </w:r>
      <w:r w:rsidRPr="00E21FAE">
        <w:rPr>
          <w:highlight w:val="yellow"/>
          <w:lang w:val="en-US"/>
        </w:rPr>
        <w:t xml:space="preserve">8% and varies among </w:t>
      </w:r>
      <w:proofErr w:type="spellStart"/>
      <w:r w:rsidRPr="00E21FAE">
        <w:rPr>
          <w:highlight w:val="yellow"/>
          <w:lang w:val="en-US"/>
        </w:rPr>
        <w:t>hPSC</w:t>
      </w:r>
      <w:proofErr w:type="spellEnd"/>
      <w:r w:rsidRPr="00E21FAE">
        <w:rPr>
          <w:highlight w:val="yellow"/>
          <w:lang w:val="en-US"/>
        </w:rPr>
        <w:t xml:space="preserve"> lines. Micronuclei occur at &lt;2% under basal culture conditions.</w:t>
      </w:r>
    </w:p>
    <w:p w14:paraId="7F4230E4" w14:textId="77777777" w:rsidR="009913D6" w:rsidRPr="00E21FAE" w:rsidRDefault="009913D6" w:rsidP="00BD5E4C">
      <w:pPr>
        <w:contextualSpacing/>
        <w:mirrorIndents/>
        <w:rPr>
          <w:highlight w:val="yellow"/>
          <w:lang w:val="en-US"/>
        </w:rPr>
      </w:pPr>
    </w:p>
    <w:p w14:paraId="0240442A" w14:textId="57E79B22" w:rsidR="00760F13" w:rsidRPr="00E21FAE" w:rsidRDefault="00760F13" w:rsidP="00BD5E4C">
      <w:pPr>
        <w:pStyle w:val="ProtocolNote"/>
        <w:numPr>
          <w:ilvl w:val="1"/>
          <w:numId w:val="22"/>
        </w:numPr>
        <w:spacing w:after="0"/>
        <w:ind w:left="0" w:firstLine="0"/>
        <w:contextualSpacing/>
        <w:mirrorIndents/>
        <w:rPr>
          <w:b/>
          <w:bCs/>
          <w:highlight w:val="yellow"/>
        </w:rPr>
      </w:pPr>
      <w:r w:rsidRPr="00E21FAE">
        <w:rPr>
          <w:b/>
          <w:bCs/>
          <w:highlight w:val="yellow"/>
        </w:rPr>
        <w:t>Culture cells to study mitotic defects and lagging chromosomes</w:t>
      </w:r>
    </w:p>
    <w:p w14:paraId="7683B5F4" w14:textId="4138A323"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Maintain </w:t>
      </w:r>
      <w:proofErr w:type="spellStart"/>
      <w:r w:rsidRPr="00E21FAE">
        <w:rPr>
          <w:bCs/>
          <w:highlight w:val="yellow"/>
        </w:rPr>
        <w:t>hPSCs</w:t>
      </w:r>
      <w:proofErr w:type="spellEnd"/>
      <w:r w:rsidRPr="00E21FAE">
        <w:rPr>
          <w:bCs/>
          <w:highlight w:val="yellow"/>
        </w:rPr>
        <w:t xml:space="preserve"> according to the procedure described in the </w:t>
      </w:r>
      <w:r w:rsidR="00E66CA2" w:rsidRPr="00E21FAE">
        <w:rPr>
          <w:b/>
          <w:highlight w:val="yellow"/>
        </w:rPr>
        <w:t>Supplementary File 1</w:t>
      </w:r>
      <w:r w:rsidRPr="00E21FAE">
        <w:rPr>
          <w:bCs/>
          <w:highlight w:val="yellow"/>
        </w:rPr>
        <w:t xml:space="preserve"> (Section 1.2, Passaging human PSCs) until reaching 70</w:t>
      </w:r>
      <w:r w:rsidR="00390F9D" w:rsidRPr="00E21FAE">
        <w:rPr>
          <w:bCs/>
          <w:highlight w:val="yellow"/>
        </w:rPr>
        <w:t>%</w:t>
      </w:r>
      <w:r w:rsidR="00390F9D" w:rsidRPr="00E21FAE">
        <w:rPr>
          <w:rFonts w:cs="Calibri"/>
          <w:bCs/>
          <w:highlight w:val="yellow"/>
        </w:rPr>
        <w:t>–</w:t>
      </w:r>
      <w:r w:rsidRPr="00E21FAE">
        <w:rPr>
          <w:bCs/>
          <w:highlight w:val="yellow"/>
        </w:rPr>
        <w:t>80% confluence in 6 wells.</w:t>
      </w:r>
    </w:p>
    <w:p w14:paraId="11DC5DDD" w14:textId="77777777" w:rsidR="009913D6" w:rsidRPr="00E21FAE" w:rsidRDefault="009913D6" w:rsidP="00BD5E4C">
      <w:pPr>
        <w:pStyle w:val="ProtocolNote"/>
        <w:spacing w:after="0"/>
        <w:contextualSpacing/>
        <w:mirrorIndents/>
        <w:rPr>
          <w:bCs/>
          <w:highlight w:val="yellow"/>
        </w:rPr>
      </w:pPr>
    </w:p>
    <w:p w14:paraId="35E84269" w14:textId="40CCF1FC"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One hour before dissociation, coat the required number of wells with glass coverslips inside a 12-well plate with 0.5 mL of vitronectin solution (5 µg/mL) per well. Place the well plate at 37 °C for 1 h.</w:t>
      </w:r>
    </w:p>
    <w:p w14:paraId="7066894C" w14:textId="77777777" w:rsidR="009913D6" w:rsidRPr="00E21FAE" w:rsidRDefault="009913D6" w:rsidP="00BD5E4C">
      <w:pPr>
        <w:pStyle w:val="ListParagraph"/>
        <w:ind w:left="0"/>
        <w:mirrorIndents/>
        <w:rPr>
          <w:bCs/>
          <w:highlight w:val="yellow"/>
        </w:rPr>
      </w:pPr>
    </w:p>
    <w:p w14:paraId="2A488EC9" w14:textId="116C192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Dissociate the </w:t>
      </w:r>
      <w:proofErr w:type="spellStart"/>
      <w:r w:rsidRPr="00E21FAE">
        <w:rPr>
          <w:bCs/>
          <w:highlight w:val="yellow"/>
        </w:rPr>
        <w:t>hPSC</w:t>
      </w:r>
      <w:proofErr w:type="spellEnd"/>
      <w:r w:rsidRPr="00E21FAE">
        <w:rPr>
          <w:bCs/>
          <w:highlight w:val="yellow"/>
        </w:rPr>
        <w:t xml:space="preserve"> colonies into single cells as described in the EDTA dissociation procedure in Section 1.1.</w:t>
      </w:r>
    </w:p>
    <w:p w14:paraId="2C3868A2" w14:textId="77777777" w:rsidR="009913D6" w:rsidRPr="00E21FAE" w:rsidRDefault="009913D6" w:rsidP="00BD5E4C">
      <w:pPr>
        <w:pStyle w:val="ProtocolNote"/>
        <w:spacing w:after="0"/>
        <w:contextualSpacing/>
        <w:mirrorIndents/>
        <w:rPr>
          <w:bCs/>
          <w:highlight w:val="yellow"/>
        </w:rPr>
      </w:pPr>
    </w:p>
    <w:p w14:paraId="3C9A8A4A" w14:textId="7B0DC761"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lastRenderedPageBreak/>
        <w:t xml:space="preserve">Seed </w:t>
      </w:r>
      <w:proofErr w:type="spellStart"/>
      <w:r w:rsidRPr="00E21FAE">
        <w:rPr>
          <w:bCs/>
          <w:highlight w:val="yellow"/>
        </w:rPr>
        <w:t>hPSCs</w:t>
      </w:r>
      <w:proofErr w:type="spellEnd"/>
      <w:r w:rsidRPr="00E21FAE">
        <w:rPr>
          <w:bCs/>
          <w:highlight w:val="yellow"/>
        </w:rPr>
        <w:t xml:space="preserve"> at 70,000 cells/well in a 12-well plate. Culture in SFM containing 10 µM Y-27632 for the first 24 h.</w:t>
      </w:r>
    </w:p>
    <w:p w14:paraId="17B646D7" w14:textId="77777777" w:rsidR="009913D6" w:rsidRPr="00E21FAE" w:rsidRDefault="009913D6" w:rsidP="00BD5E4C">
      <w:pPr>
        <w:pStyle w:val="ListParagraph"/>
        <w:ind w:left="0"/>
        <w:mirrorIndents/>
        <w:rPr>
          <w:bCs/>
          <w:highlight w:val="yellow"/>
        </w:rPr>
      </w:pPr>
    </w:p>
    <w:p w14:paraId="0FB8077C" w14:textId="5AA6C8C0"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Change the medium to SF without ROCKi during the following days until harvesting.</w:t>
      </w:r>
    </w:p>
    <w:p w14:paraId="181F1B1A" w14:textId="77777777" w:rsidR="009913D6" w:rsidRPr="00E21FAE" w:rsidRDefault="009913D6" w:rsidP="00BD5E4C">
      <w:pPr>
        <w:pStyle w:val="ProtocolNote"/>
        <w:spacing w:after="0"/>
        <w:contextualSpacing/>
        <w:mirrorIndents/>
        <w:rPr>
          <w:bCs/>
          <w:highlight w:val="yellow"/>
        </w:rPr>
      </w:pPr>
    </w:p>
    <w:p w14:paraId="2203E848" w14:textId="34D75540"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At 70</w:t>
      </w:r>
      <w:r w:rsidR="009913D6" w:rsidRPr="00E21FAE">
        <w:rPr>
          <w:rFonts w:cs="Calibri"/>
          <w:bCs/>
          <w:highlight w:val="yellow"/>
        </w:rPr>
        <w:t>–</w:t>
      </w:r>
      <w:r w:rsidRPr="00E21FAE">
        <w:rPr>
          <w:bCs/>
          <w:highlight w:val="yellow"/>
        </w:rPr>
        <w:t xml:space="preserve">80% confluence, apply the planned treatment. For proof-of-concept induction of mitotic catastrophe, treat with the MPS1 inhibitor </w:t>
      </w:r>
      <w:proofErr w:type="spellStart"/>
      <w:r w:rsidRPr="00E21FAE">
        <w:rPr>
          <w:bCs/>
          <w:highlight w:val="yellow"/>
        </w:rPr>
        <w:t>reversine</w:t>
      </w:r>
      <w:proofErr w:type="spellEnd"/>
      <w:r w:rsidRPr="00E21FAE">
        <w:rPr>
          <w:bCs/>
          <w:highlight w:val="yellow"/>
        </w:rPr>
        <w:t xml:space="preserve"> (0.25</w:t>
      </w:r>
      <w:r w:rsidR="00390F9D" w:rsidRPr="00E21FAE">
        <w:rPr>
          <w:rFonts w:cs="Calibri"/>
          <w:bCs/>
          <w:highlight w:val="yellow"/>
        </w:rPr>
        <w:t>–</w:t>
      </w:r>
      <w:r w:rsidRPr="00E21FAE">
        <w:rPr>
          <w:bCs/>
          <w:highlight w:val="yellow"/>
        </w:rPr>
        <w:t xml:space="preserve">0.5 µM) for 6 h, followed by a 7 h recovery without </w:t>
      </w:r>
      <w:proofErr w:type="spellStart"/>
      <w:r w:rsidRPr="00E21FAE">
        <w:rPr>
          <w:bCs/>
          <w:highlight w:val="yellow"/>
        </w:rPr>
        <w:t>reversine</w:t>
      </w:r>
      <w:proofErr w:type="spellEnd"/>
      <w:r w:rsidRPr="00E21FAE">
        <w:rPr>
          <w:bCs/>
          <w:highlight w:val="yellow"/>
        </w:rPr>
        <w:t xml:space="preserve"> before harvesting.</w:t>
      </w:r>
    </w:p>
    <w:p w14:paraId="4B8EC735" w14:textId="77777777" w:rsidR="009913D6" w:rsidRPr="00E21FAE" w:rsidRDefault="009913D6" w:rsidP="00BD5E4C">
      <w:pPr>
        <w:pStyle w:val="ListParagraph"/>
        <w:ind w:left="0"/>
        <w:mirrorIndents/>
        <w:rPr>
          <w:bCs/>
          <w:highlight w:val="yellow"/>
        </w:rPr>
      </w:pPr>
    </w:p>
    <w:p w14:paraId="0AF2C988" w14:textId="42503411"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Harvest the cells and proceed to chromosome-</w:t>
      </w:r>
      <w:proofErr w:type="spellStart"/>
      <w:r w:rsidRPr="00E21FAE">
        <w:rPr>
          <w:bCs/>
          <w:highlight w:val="yellow"/>
        </w:rPr>
        <w:t>missegregation</w:t>
      </w:r>
      <w:proofErr w:type="spellEnd"/>
      <w:r w:rsidRPr="00E21FAE">
        <w:rPr>
          <w:bCs/>
          <w:highlight w:val="yellow"/>
        </w:rPr>
        <w:t xml:space="preserve"> and micronucleus immunostaining and imaging as described in Section 6.2.</w:t>
      </w:r>
    </w:p>
    <w:p w14:paraId="4F16BAD4" w14:textId="77777777" w:rsidR="009913D6" w:rsidRPr="00E21FAE" w:rsidRDefault="009913D6" w:rsidP="00BD5E4C">
      <w:pPr>
        <w:pStyle w:val="ProtocolNote"/>
        <w:spacing w:after="0"/>
        <w:contextualSpacing/>
        <w:mirrorIndents/>
        <w:rPr>
          <w:bCs/>
          <w:highlight w:val="yellow"/>
        </w:rPr>
      </w:pPr>
    </w:p>
    <w:p w14:paraId="1F2A22CD" w14:textId="4BEFAF95" w:rsidR="00760F13" w:rsidRPr="00E21FAE" w:rsidRDefault="00760F13" w:rsidP="00BD5E4C">
      <w:pPr>
        <w:pStyle w:val="ProtocolNote"/>
        <w:numPr>
          <w:ilvl w:val="1"/>
          <w:numId w:val="22"/>
        </w:numPr>
        <w:spacing w:after="0"/>
        <w:ind w:left="0" w:firstLine="0"/>
        <w:contextualSpacing/>
        <w:mirrorIndents/>
        <w:rPr>
          <w:b/>
          <w:bCs/>
          <w:highlight w:val="yellow"/>
        </w:rPr>
      </w:pPr>
      <w:proofErr w:type="spellStart"/>
      <w:r w:rsidRPr="00E21FAE">
        <w:rPr>
          <w:b/>
          <w:bCs/>
          <w:highlight w:val="yellow"/>
        </w:rPr>
        <w:t>Immunostain</w:t>
      </w:r>
      <w:proofErr w:type="spellEnd"/>
      <w:r w:rsidRPr="00E21FAE">
        <w:rPr>
          <w:b/>
          <w:bCs/>
          <w:highlight w:val="yellow"/>
        </w:rPr>
        <w:t xml:space="preserve"> and image chromosome </w:t>
      </w:r>
      <w:proofErr w:type="spellStart"/>
      <w:r w:rsidRPr="00E21FAE">
        <w:rPr>
          <w:b/>
          <w:bCs/>
          <w:highlight w:val="yellow"/>
        </w:rPr>
        <w:t>missegregation</w:t>
      </w:r>
      <w:proofErr w:type="spellEnd"/>
      <w:r w:rsidRPr="00E21FAE">
        <w:rPr>
          <w:b/>
          <w:bCs/>
          <w:highlight w:val="yellow"/>
        </w:rPr>
        <w:t xml:space="preserve"> and micronuclei</w:t>
      </w:r>
    </w:p>
    <w:p w14:paraId="2E85D563" w14:textId="452FC21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After </w:t>
      </w:r>
      <w:proofErr w:type="spellStart"/>
      <w:r w:rsidRPr="00E21FAE">
        <w:rPr>
          <w:bCs/>
          <w:highlight w:val="yellow"/>
        </w:rPr>
        <w:t>hPSCs</w:t>
      </w:r>
      <w:proofErr w:type="spellEnd"/>
      <w:r w:rsidRPr="00E21FAE">
        <w:rPr>
          <w:bCs/>
          <w:highlight w:val="yellow"/>
        </w:rPr>
        <w:t xml:space="preserve"> treatment, wash the cells once with DPBS.</w:t>
      </w:r>
    </w:p>
    <w:p w14:paraId="33707484" w14:textId="77777777" w:rsidR="009913D6" w:rsidRPr="00E21FAE" w:rsidRDefault="009913D6" w:rsidP="00BD5E4C">
      <w:pPr>
        <w:pStyle w:val="ProtocolNote"/>
        <w:spacing w:after="0"/>
        <w:contextualSpacing/>
        <w:mirrorIndents/>
        <w:rPr>
          <w:bCs/>
          <w:highlight w:val="yellow"/>
        </w:rPr>
      </w:pPr>
    </w:p>
    <w:p w14:paraId="5F57F24E" w14:textId="5435D9D3"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Fix the cells using 4% PFA for 15 min at room temperature. Follow precaution steps that appear below.</w:t>
      </w:r>
    </w:p>
    <w:p w14:paraId="31785F87" w14:textId="77777777" w:rsidR="009913D6" w:rsidRPr="00E21FAE" w:rsidRDefault="009913D6" w:rsidP="00BD5E4C">
      <w:pPr>
        <w:pStyle w:val="ListParagraph"/>
        <w:ind w:left="0"/>
        <w:mirrorIndents/>
        <w:rPr>
          <w:bCs/>
          <w:highlight w:val="yellow"/>
        </w:rPr>
      </w:pPr>
    </w:p>
    <w:p w14:paraId="104C7A98" w14:textId="69E9F43A" w:rsidR="009913D6" w:rsidRPr="00E21FAE" w:rsidRDefault="00760F13" w:rsidP="00BD5E4C">
      <w:pPr>
        <w:pStyle w:val="ProtocolNote"/>
        <w:spacing w:after="0"/>
        <w:contextualSpacing/>
        <w:mirrorIndents/>
        <w:rPr>
          <w:bCs/>
          <w:highlight w:val="yellow"/>
        </w:rPr>
      </w:pPr>
      <w:r w:rsidRPr="00E21FAE">
        <w:rPr>
          <w:bCs/>
          <w:highlight w:val="yellow"/>
        </w:rPr>
        <w:t>CAUTION: Handle 4% PFA in a biosafety cabinet operating at biosafety level 2 or in a chemical fume hood. Avoid skin contact and inhalation. Clean spills with 70% ethanol.</w:t>
      </w:r>
    </w:p>
    <w:p w14:paraId="55309B1E" w14:textId="77777777" w:rsidR="009913D6" w:rsidRPr="00E21FAE" w:rsidRDefault="009913D6" w:rsidP="00BD5E4C">
      <w:pPr>
        <w:pStyle w:val="ProtocolNote"/>
        <w:spacing w:after="0"/>
        <w:contextualSpacing/>
        <w:mirrorIndents/>
        <w:rPr>
          <w:bCs/>
          <w:highlight w:val="yellow"/>
        </w:rPr>
      </w:pPr>
    </w:p>
    <w:p w14:paraId="74217B1D" w14:textId="1F439357"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Wash the coverslips twice with 1 mL of PBS </w:t>
      </w:r>
      <w:r w:rsidR="00390F9D" w:rsidRPr="00E21FAE">
        <w:rPr>
          <w:bCs/>
          <w:highlight w:val="yellow"/>
        </w:rPr>
        <w:t xml:space="preserve">in </w:t>
      </w:r>
      <w:r w:rsidRPr="00E21FAE">
        <w:rPr>
          <w:bCs/>
          <w:highlight w:val="yellow"/>
        </w:rPr>
        <w:t>each well.</w:t>
      </w:r>
    </w:p>
    <w:p w14:paraId="6D37A35B" w14:textId="77777777" w:rsidR="009913D6" w:rsidRPr="00E21FAE" w:rsidRDefault="009913D6" w:rsidP="00BD5E4C">
      <w:pPr>
        <w:pStyle w:val="ProtocolNote"/>
        <w:spacing w:after="0"/>
        <w:contextualSpacing/>
        <w:mirrorIndents/>
        <w:rPr>
          <w:bCs/>
          <w:highlight w:val="yellow"/>
        </w:rPr>
      </w:pPr>
    </w:p>
    <w:p w14:paraId="437CFD19" w14:textId="7028F472" w:rsidR="00760F13" w:rsidRPr="00E21FAE" w:rsidRDefault="00E66CA2" w:rsidP="00BD5E4C">
      <w:pPr>
        <w:pStyle w:val="ProtocolNote"/>
        <w:spacing w:after="0"/>
        <w:contextualSpacing/>
        <w:mirrorIndents/>
        <w:rPr>
          <w:bCs/>
          <w:highlight w:val="yellow"/>
        </w:rPr>
      </w:pPr>
      <w:r w:rsidRPr="00E21FAE">
        <w:rPr>
          <w:bCs/>
          <w:highlight w:val="yellow"/>
        </w:rPr>
        <w:t>NOTE:</w:t>
      </w:r>
      <w:r w:rsidR="00760F13" w:rsidRPr="00E21FAE">
        <w:rPr>
          <w:bCs/>
          <w:highlight w:val="yellow"/>
        </w:rPr>
        <w:t xml:space="preserve"> Store the plate at 4 °C for several weeks if necessary. Prevent drying by adding 1.5 mL of PBS to each well and sealing the plate with parafilm.</w:t>
      </w:r>
    </w:p>
    <w:p w14:paraId="489D9D44" w14:textId="77777777" w:rsidR="009913D6" w:rsidRPr="00E21FAE" w:rsidRDefault="009913D6" w:rsidP="00BD5E4C">
      <w:pPr>
        <w:pStyle w:val="ProtocolNote"/>
        <w:spacing w:after="0"/>
        <w:contextualSpacing/>
        <w:mirrorIndents/>
        <w:rPr>
          <w:bCs/>
          <w:highlight w:val="yellow"/>
        </w:rPr>
      </w:pPr>
    </w:p>
    <w:p w14:paraId="2D0681C6" w14:textId="5CBE737C"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Block for 30 min with blocking solution, composed of 2% horse serum (HS), 0.1% Triton X-100, and DPBS.</w:t>
      </w:r>
    </w:p>
    <w:p w14:paraId="5318C494" w14:textId="77777777" w:rsidR="009913D6" w:rsidRPr="00E21FAE" w:rsidRDefault="009913D6" w:rsidP="00BD5E4C">
      <w:pPr>
        <w:pStyle w:val="ProtocolNote"/>
        <w:spacing w:after="0"/>
        <w:contextualSpacing/>
        <w:mirrorIndents/>
        <w:rPr>
          <w:bCs/>
          <w:highlight w:val="yellow"/>
        </w:rPr>
      </w:pPr>
    </w:p>
    <w:p w14:paraId="6DAD4CAA" w14:textId="11613FB4"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Prepare primary-antibody dilutions in blocking solution and incubate the coverslips overnight at 4 °C in a humid chamber prepared as described in Step 3.1.6. Use anti-Lamin B1 antibodies to label </w:t>
      </w:r>
      <w:proofErr w:type="spellStart"/>
      <w:r w:rsidRPr="00E21FAE">
        <w:rPr>
          <w:bCs/>
          <w:highlight w:val="yellow"/>
        </w:rPr>
        <w:t>nonruptured</w:t>
      </w:r>
      <w:proofErr w:type="spellEnd"/>
      <w:r w:rsidRPr="00E21FAE">
        <w:rPr>
          <w:bCs/>
          <w:highlight w:val="yellow"/>
        </w:rPr>
        <w:t xml:space="preserve"> micronuclei and CREST antibodies to detect centromeric proteins in lagging chromosomes.</w:t>
      </w:r>
    </w:p>
    <w:p w14:paraId="0C926F81" w14:textId="77777777" w:rsidR="009913D6" w:rsidRPr="00E21FAE" w:rsidRDefault="009913D6" w:rsidP="00BD5E4C">
      <w:pPr>
        <w:pStyle w:val="ListParagraph"/>
        <w:ind w:left="0"/>
        <w:mirrorIndents/>
        <w:rPr>
          <w:bCs/>
          <w:highlight w:val="yellow"/>
        </w:rPr>
      </w:pPr>
    </w:p>
    <w:p w14:paraId="2C62F764" w14:textId="5AD5A632"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Create a humid chamber with wet tissue or tube lids partially filled with water to prevent antibody evaporation. Place the coverslips in a box containing wet tissue to prevent drying.</w:t>
      </w:r>
    </w:p>
    <w:p w14:paraId="49CD2284" w14:textId="77777777" w:rsidR="009913D6" w:rsidRPr="00E21FAE" w:rsidRDefault="009913D6" w:rsidP="00BD5E4C">
      <w:pPr>
        <w:pStyle w:val="ProtocolNote"/>
        <w:spacing w:after="0"/>
        <w:contextualSpacing/>
        <w:mirrorIndents/>
        <w:rPr>
          <w:bCs/>
          <w:highlight w:val="yellow"/>
        </w:rPr>
      </w:pPr>
    </w:p>
    <w:p w14:paraId="6BB984E0" w14:textId="5155A2C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Wash the coverslips three times with DPBS and incubate in a solution with secondary antibodies and DAPI (1 ng/mL) in blocking solution for 45 min at room temperature, protected from light. Wash the samples three times with DPBS.</w:t>
      </w:r>
    </w:p>
    <w:p w14:paraId="0D474EF1" w14:textId="77777777" w:rsidR="009913D6" w:rsidRPr="00E21FAE" w:rsidRDefault="009913D6" w:rsidP="00BD5E4C">
      <w:pPr>
        <w:pStyle w:val="ListParagraph"/>
        <w:ind w:left="0"/>
        <w:mirrorIndents/>
        <w:rPr>
          <w:bCs/>
          <w:highlight w:val="yellow"/>
        </w:rPr>
      </w:pPr>
    </w:p>
    <w:p w14:paraId="472B8581" w14:textId="5D52AB98"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lastRenderedPageBreak/>
        <w:t xml:space="preserve">Label the glass slides according to the sample names to avoid confusion, and mount coverslips using </w:t>
      </w:r>
      <w:proofErr w:type="spellStart"/>
      <w:r w:rsidRPr="00E21FAE">
        <w:rPr>
          <w:bCs/>
          <w:highlight w:val="yellow"/>
        </w:rPr>
        <w:t>Fluoromount</w:t>
      </w:r>
      <w:proofErr w:type="spellEnd"/>
      <w:r w:rsidRPr="00E21FAE">
        <w:rPr>
          <w:bCs/>
          <w:highlight w:val="yellow"/>
        </w:rPr>
        <w:t xml:space="preserve"> on the corresponding glass slides. Seal the coverslips with transparent nail polish to prevent evaporation and store the sealed coverslips at 4 °C.</w:t>
      </w:r>
    </w:p>
    <w:p w14:paraId="142E9816" w14:textId="77777777" w:rsidR="009913D6" w:rsidRPr="00E21FAE" w:rsidRDefault="009913D6" w:rsidP="00BD5E4C">
      <w:pPr>
        <w:pStyle w:val="ProtocolNote"/>
        <w:spacing w:after="0"/>
        <w:contextualSpacing/>
        <w:mirrorIndents/>
        <w:rPr>
          <w:bCs/>
          <w:highlight w:val="yellow"/>
        </w:rPr>
      </w:pPr>
    </w:p>
    <w:p w14:paraId="6BAD70B7" w14:textId="788B8F0B"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 xml:space="preserve">Perform static imaging using an epifluorescence or confocal microscope using </w:t>
      </w:r>
      <w:r w:rsidR="00165AA3" w:rsidRPr="00E21FAE">
        <w:rPr>
          <w:bCs/>
          <w:highlight w:val="yellow"/>
        </w:rPr>
        <w:t>63×</w:t>
      </w:r>
      <w:r w:rsidRPr="00E21FAE">
        <w:rPr>
          <w:bCs/>
          <w:highlight w:val="yellow"/>
        </w:rPr>
        <w:t xml:space="preserve"> oil magnification.</w:t>
      </w:r>
    </w:p>
    <w:p w14:paraId="62843001" w14:textId="77777777" w:rsidR="009913D6" w:rsidRPr="00E21FAE" w:rsidRDefault="009913D6" w:rsidP="00BD5E4C">
      <w:pPr>
        <w:pStyle w:val="ProtocolNote"/>
        <w:spacing w:after="0"/>
        <w:contextualSpacing/>
        <w:mirrorIndents/>
        <w:rPr>
          <w:bCs/>
          <w:highlight w:val="yellow"/>
        </w:rPr>
      </w:pPr>
    </w:p>
    <w:p w14:paraId="77CA07ED" w14:textId="278BC8E7" w:rsidR="00760F13" w:rsidRPr="00E21FAE" w:rsidRDefault="00760F13" w:rsidP="00BD5E4C">
      <w:pPr>
        <w:pStyle w:val="ProtocolNote"/>
        <w:numPr>
          <w:ilvl w:val="2"/>
          <w:numId w:val="22"/>
        </w:numPr>
        <w:spacing w:after="0"/>
        <w:ind w:left="0" w:firstLine="0"/>
        <w:contextualSpacing/>
        <w:mirrorIndents/>
        <w:rPr>
          <w:bCs/>
          <w:highlight w:val="yellow"/>
        </w:rPr>
      </w:pPr>
      <w:r w:rsidRPr="00E21FAE">
        <w:rPr>
          <w:bCs/>
          <w:highlight w:val="yellow"/>
        </w:rPr>
        <w:t>Count interphase cells containing contiguous Lamin B1-positive micronuclei. Count anaphases or telophases containing centric CREST-positive or acentric CREST-negative lagging chromosomes.</w:t>
      </w:r>
    </w:p>
    <w:p w14:paraId="29C37B29" w14:textId="77777777" w:rsidR="009913D6" w:rsidRPr="00B72A96" w:rsidRDefault="009913D6" w:rsidP="00BD5E4C">
      <w:pPr>
        <w:pStyle w:val="ListParagraph"/>
        <w:ind w:left="0"/>
        <w:mirrorIndents/>
        <w:rPr>
          <w:bCs/>
        </w:rPr>
      </w:pPr>
    </w:p>
    <w:p w14:paraId="1C9EFB39" w14:textId="7C1022F3" w:rsidR="00760F13" w:rsidRPr="00B72A96" w:rsidRDefault="00760F13" w:rsidP="00BD5E4C">
      <w:pPr>
        <w:pStyle w:val="ListParagraph"/>
        <w:numPr>
          <w:ilvl w:val="0"/>
          <w:numId w:val="22"/>
        </w:numPr>
        <w:ind w:left="0" w:firstLine="0"/>
        <w:mirrorIndents/>
        <w:rPr>
          <w:b/>
          <w:bCs/>
        </w:rPr>
      </w:pPr>
      <w:r w:rsidRPr="00B72A96">
        <w:rPr>
          <w:b/>
          <w:bCs/>
        </w:rPr>
        <w:t>Quantification of aneuploidy by Giemsa karyotyping</w:t>
      </w:r>
    </w:p>
    <w:p w14:paraId="1A187162" w14:textId="1219C7B4" w:rsidR="00760F13" w:rsidRPr="00B72A96" w:rsidRDefault="00760F13" w:rsidP="00BD5E4C">
      <w:pPr>
        <w:pStyle w:val="ProtocolNote"/>
        <w:numPr>
          <w:ilvl w:val="1"/>
          <w:numId w:val="22"/>
        </w:numPr>
        <w:spacing w:after="0"/>
        <w:ind w:left="0" w:firstLine="0"/>
        <w:contextualSpacing/>
        <w:mirrorIndents/>
        <w:rPr>
          <w:b/>
          <w:bCs/>
        </w:rPr>
      </w:pPr>
      <w:r w:rsidRPr="00B72A96">
        <w:rPr>
          <w:b/>
          <w:bCs/>
        </w:rPr>
        <w:t>Culture cells for aneuploidy assessment by Giemsa karyotyping</w:t>
      </w:r>
    </w:p>
    <w:p w14:paraId="36C26E81" w14:textId="43EE426E"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Maintain </w:t>
      </w:r>
      <w:proofErr w:type="spellStart"/>
      <w:r w:rsidRPr="00B72A96">
        <w:rPr>
          <w:bCs/>
        </w:rPr>
        <w:t>hPSCs</w:t>
      </w:r>
      <w:proofErr w:type="spellEnd"/>
      <w:r w:rsidRPr="00B72A96">
        <w:rPr>
          <w:bCs/>
        </w:rPr>
        <w:t xml:space="preserve"> according to the procedure described in the </w:t>
      </w:r>
      <w:r w:rsidR="00E66CA2" w:rsidRPr="00B72A96">
        <w:rPr>
          <w:b/>
        </w:rPr>
        <w:t>Supplementary File 1</w:t>
      </w:r>
      <w:r w:rsidRPr="00B72A96">
        <w:rPr>
          <w:bCs/>
        </w:rPr>
        <w:t xml:space="preserve"> (Section 1.2, Passaging human PSCs) until reaching 70</w:t>
      </w:r>
      <w:r w:rsidR="00390F9D">
        <w:rPr>
          <w:bCs/>
        </w:rPr>
        <w:t>%</w:t>
      </w:r>
      <w:r w:rsidR="00390F9D">
        <w:rPr>
          <w:rFonts w:cs="Calibri"/>
          <w:bCs/>
        </w:rPr>
        <w:t>–</w:t>
      </w:r>
      <w:r w:rsidRPr="00B72A96">
        <w:rPr>
          <w:bCs/>
        </w:rPr>
        <w:t>80% confluence in 6 wells.</w:t>
      </w:r>
    </w:p>
    <w:p w14:paraId="595DCC57" w14:textId="77777777" w:rsidR="009913D6" w:rsidRPr="00B72A96" w:rsidRDefault="009913D6" w:rsidP="00BD5E4C">
      <w:pPr>
        <w:pStyle w:val="ProtocolNote"/>
        <w:spacing w:after="0"/>
        <w:contextualSpacing/>
        <w:mirrorIndents/>
        <w:rPr>
          <w:bCs/>
        </w:rPr>
      </w:pPr>
    </w:p>
    <w:p w14:paraId="5C1623A7" w14:textId="16BD297E" w:rsidR="00760F13" w:rsidRPr="00B72A96" w:rsidRDefault="00760F13" w:rsidP="00BD5E4C">
      <w:pPr>
        <w:pStyle w:val="ProtocolNote"/>
        <w:numPr>
          <w:ilvl w:val="2"/>
          <w:numId w:val="22"/>
        </w:numPr>
        <w:spacing w:after="0"/>
        <w:ind w:left="0" w:firstLine="0"/>
        <w:contextualSpacing/>
        <w:mirrorIndents/>
        <w:rPr>
          <w:bCs/>
        </w:rPr>
      </w:pPr>
      <w:r w:rsidRPr="00B72A96">
        <w:rPr>
          <w:bCs/>
        </w:rPr>
        <w:t>One hour before dissociation, coat the required number of wells from a 6-well plate with 0.5 mL of vitronectin solution (5 µg/mL) per well. Place the well plate at 37 °C for 1 h.</w:t>
      </w:r>
    </w:p>
    <w:p w14:paraId="07E01C98" w14:textId="77777777" w:rsidR="009913D6" w:rsidRPr="00B72A96" w:rsidRDefault="009913D6" w:rsidP="00BD5E4C">
      <w:pPr>
        <w:pStyle w:val="ListParagraph"/>
        <w:ind w:left="0"/>
        <w:mirrorIndents/>
        <w:rPr>
          <w:bCs/>
        </w:rPr>
      </w:pPr>
    </w:p>
    <w:p w14:paraId="61FF2A53" w14:textId="116F4E7F" w:rsidR="009913D6" w:rsidRPr="00B72A96" w:rsidRDefault="00E66CA2" w:rsidP="00BD5E4C">
      <w:pPr>
        <w:pStyle w:val="ProtocolNote"/>
        <w:spacing w:after="0"/>
        <w:contextualSpacing/>
        <w:mirrorIndents/>
        <w:rPr>
          <w:bCs/>
        </w:rPr>
      </w:pPr>
      <w:r w:rsidRPr="00B72A96">
        <w:rPr>
          <w:bCs/>
        </w:rPr>
        <w:t>NOTE:</w:t>
      </w:r>
      <w:r w:rsidR="00760F13" w:rsidRPr="00B72A96">
        <w:rPr>
          <w:bCs/>
        </w:rPr>
        <w:t xml:space="preserve"> Coat two wells of a 6-well plate per sample for harvesting.</w:t>
      </w:r>
    </w:p>
    <w:p w14:paraId="5B0CF2EA" w14:textId="77777777" w:rsidR="009913D6" w:rsidRPr="00B72A96" w:rsidRDefault="009913D6" w:rsidP="00BD5E4C">
      <w:pPr>
        <w:pStyle w:val="ProtocolNote"/>
        <w:spacing w:after="0"/>
        <w:contextualSpacing/>
        <w:mirrorIndents/>
        <w:rPr>
          <w:bCs/>
        </w:rPr>
      </w:pPr>
    </w:p>
    <w:p w14:paraId="5AC277BB" w14:textId="71ED7681"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Dissociate the </w:t>
      </w:r>
      <w:proofErr w:type="spellStart"/>
      <w:r w:rsidRPr="00B72A96">
        <w:rPr>
          <w:bCs/>
        </w:rPr>
        <w:t>hPSC</w:t>
      </w:r>
      <w:proofErr w:type="spellEnd"/>
      <w:r w:rsidRPr="00B72A96">
        <w:rPr>
          <w:bCs/>
        </w:rPr>
        <w:t xml:space="preserve"> colonies into single cells as described in the EDTA dissociation procedure in Section 1.1.</w:t>
      </w:r>
    </w:p>
    <w:p w14:paraId="5544185A" w14:textId="77777777" w:rsidR="009913D6" w:rsidRPr="00B72A96" w:rsidRDefault="009913D6" w:rsidP="00BD5E4C">
      <w:pPr>
        <w:pStyle w:val="ProtocolNote"/>
        <w:spacing w:after="0"/>
        <w:contextualSpacing/>
        <w:mirrorIndents/>
        <w:rPr>
          <w:bCs/>
        </w:rPr>
      </w:pPr>
    </w:p>
    <w:p w14:paraId="71783046" w14:textId="3DE81864"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Seed </w:t>
      </w:r>
      <w:proofErr w:type="spellStart"/>
      <w:r w:rsidRPr="00B72A96">
        <w:rPr>
          <w:bCs/>
        </w:rPr>
        <w:t>hPSCs</w:t>
      </w:r>
      <w:proofErr w:type="spellEnd"/>
      <w:r w:rsidRPr="00B72A96">
        <w:rPr>
          <w:bCs/>
        </w:rPr>
        <w:t xml:space="preserve"> at 140,000 cells/well in a 6-well plate. Culture in SFM containing 10 µM Y-27632 for the first 24 h.</w:t>
      </w:r>
    </w:p>
    <w:p w14:paraId="3E088F99" w14:textId="77777777" w:rsidR="009913D6" w:rsidRPr="00B72A96" w:rsidRDefault="009913D6" w:rsidP="00BD5E4C">
      <w:pPr>
        <w:pStyle w:val="ListParagraph"/>
        <w:ind w:left="0"/>
        <w:mirrorIndents/>
        <w:rPr>
          <w:bCs/>
        </w:rPr>
      </w:pPr>
    </w:p>
    <w:p w14:paraId="2AE0EA7D" w14:textId="0BFC92F7" w:rsidR="00760F13" w:rsidRPr="00B72A96" w:rsidRDefault="00760F13" w:rsidP="00BD5E4C">
      <w:pPr>
        <w:pStyle w:val="ProtocolNote"/>
        <w:numPr>
          <w:ilvl w:val="2"/>
          <w:numId w:val="22"/>
        </w:numPr>
        <w:spacing w:after="0"/>
        <w:ind w:left="0" w:firstLine="0"/>
        <w:contextualSpacing/>
        <w:mirrorIndents/>
        <w:rPr>
          <w:bCs/>
        </w:rPr>
      </w:pPr>
      <w:r w:rsidRPr="00B72A96">
        <w:rPr>
          <w:bCs/>
        </w:rPr>
        <w:t>Change the medium to SF without ROCKi during the following days until harvesting.</w:t>
      </w:r>
    </w:p>
    <w:p w14:paraId="7FA88DCB" w14:textId="77777777" w:rsidR="009913D6" w:rsidRPr="00B72A96" w:rsidRDefault="009913D6" w:rsidP="00BD5E4C">
      <w:pPr>
        <w:pStyle w:val="ProtocolNote"/>
        <w:spacing w:after="0"/>
        <w:contextualSpacing/>
        <w:mirrorIndents/>
        <w:rPr>
          <w:bCs/>
        </w:rPr>
      </w:pPr>
    </w:p>
    <w:p w14:paraId="11907708" w14:textId="2677490F" w:rsidR="00760F13" w:rsidRPr="00B72A96" w:rsidRDefault="00760F13" w:rsidP="00BD5E4C">
      <w:pPr>
        <w:pStyle w:val="ProtocolNote"/>
        <w:numPr>
          <w:ilvl w:val="2"/>
          <w:numId w:val="22"/>
        </w:numPr>
        <w:spacing w:after="0"/>
        <w:ind w:left="0" w:firstLine="0"/>
        <w:contextualSpacing/>
        <w:mirrorIndents/>
        <w:rPr>
          <w:bCs/>
        </w:rPr>
      </w:pPr>
      <w:r w:rsidRPr="00B72A96">
        <w:rPr>
          <w:bCs/>
        </w:rPr>
        <w:t>At 70</w:t>
      </w:r>
      <w:r w:rsidR="00390F9D">
        <w:rPr>
          <w:bCs/>
        </w:rPr>
        <w:t>%</w:t>
      </w:r>
      <w:r w:rsidR="00390F9D">
        <w:rPr>
          <w:rFonts w:cs="Calibri"/>
          <w:bCs/>
        </w:rPr>
        <w:t>–</w:t>
      </w:r>
      <w:r w:rsidRPr="00B72A96">
        <w:rPr>
          <w:bCs/>
        </w:rPr>
        <w:t xml:space="preserve">80% confluence, apply treatment if required and arrest cells in G2/M with 100 ng/mL nocodazole. For proof-of-concept aneuploidy induction, treat with 0.1 µM </w:t>
      </w:r>
      <w:proofErr w:type="spellStart"/>
      <w:r w:rsidRPr="00B72A96">
        <w:rPr>
          <w:bCs/>
        </w:rPr>
        <w:t>reversine</w:t>
      </w:r>
      <w:proofErr w:type="spellEnd"/>
      <w:r w:rsidRPr="00B72A96">
        <w:rPr>
          <w:bCs/>
        </w:rPr>
        <w:t xml:space="preserve"> for 6 h, followed by 100 ng/mL nocodazole for 16 h.</w:t>
      </w:r>
    </w:p>
    <w:p w14:paraId="4487AE77" w14:textId="77777777" w:rsidR="009913D6" w:rsidRPr="00B72A96" w:rsidRDefault="009913D6" w:rsidP="00BD5E4C">
      <w:pPr>
        <w:pStyle w:val="ListParagraph"/>
        <w:ind w:left="0"/>
        <w:mirrorIndents/>
        <w:rPr>
          <w:bCs/>
        </w:rPr>
      </w:pPr>
    </w:p>
    <w:p w14:paraId="6E333B88" w14:textId="2EC564A4" w:rsidR="00760F13" w:rsidRPr="00B72A96" w:rsidRDefault="00760F13" w:rsidP="00BD5E4C">
      <w:pPr>
        <w:pStyle w:val="ProtocolNote"/>
        <w:numPr>
          <w:ilvl w:val="2"/>
          <w:numId w:val="22"/>
        </w:numPr>
        <w:spacing w:after="0"/>
        <w:ind w:left="0" w:firstLine="0"/>
        <w:contextualSpacing/>
        <w:mirrorIndents/>
      </w:pPr>
      <w:r w:rsidRPr="00B72A96">
        <w:rPr>
          <w:bCs/>
        </w:rPr>
        <w:t>Collect the complete supernatant containing floating cells because mitotic cells tend to float. Wash once with DPBS, detach the remaining cells with 0.5 mM</w:t>
      </w:r>
      <w:r w:rsidRPr="00B72A96">
        <w:t xml:space="preserve"> EDTA as described in </w:t>
      </w:r>
      <w:r w:rsidR="00E66CA2" w:rsidRPr="00B72A96">
        <w:rPr>
          <w:b/>
          <w:bCs/>
        </w:rPr>
        <w:t>Supplementary File 1</w:t>
      </w:r>
      <w:r w:rsidRPr="00B72A96">
        <w:t xml:space="preserve"> (Section 1.2.5), combine cells from two wells in a 15 mL tube, and proceed to Section 7.2.</w:t>
      </w:r>
    </w:p>
    <w:p w14:paraId="62928423" w14:textId="77777777" w:rsidR="009913D6" w:rsidRPr="00B72A96" w:rsidRDefault="009913D6" w:rsidP="00BD5E4C">
      <w:pPr>
        <w:pStyle w:val="ProtocolNote"/>
        <w:spacing w:after="0"/>
        <w:contextualSpacing/>
        <w:mirrorIndents/>
      </w:pPr>
    </w:p>
    <w:p w14:paraId="2A3B47B8" w14:textId="39DAD245" w:rsidR="00147E37" w:rsidRPr="00B72A96" w:rsidRDefault="00147E37" w:rsidP="00BD5E4C">
      <w:pPr>
        <w:contextualSpacing/>
        <w:mirrorIndents/>
        <w:rPr>
          <w:lang w:val="en-US"/>
        </w:rPr>
      </w:pPr>
      <w:r w:rsidRPr="00B72A96">
        <w:t xml:space="preserve">NOTE: </w:t>
      </w:r>
      <w:r w:rsidRPr="00B72A96">
        <w:rPr>
          <w:lang w:val="en-US"/>
        </w:rPr>
        <w:t>Metaphase spreading efficiency depends primarily on successful mitotic arrest after nocodazole pretreatment, which produced approximately 80% of cells in G2/M in the representative experiments, metaphase chromosome condensation, and sufficient drop height and expulsion speed to rupture cells on the slide.</w:t>
      </w:r>
    </w:p>
    <w:p w14:paraId="7CDC49B7" w14:textId="77777777" w:rsidR="009913D6" w:rsidRPr="00B72A96" w:rsidRDefault="009913D6" w:rsidP="00BD5E4C">
      <w:pPr>
        <w:pStyle w:val="ProtocolSubsection"/>
        <w:spacing w:after="0"/>
        <w:ind w:left="0"/>
        <w:contextualSpacing/>
        <w:mirrorIndents/>
      </w:pPr>
    </w:p>
    <w:p w14:paraId="3E7FB124" w14:textId="65B2A77D" w:rsidR="00760F13" w:rsidRPr="00B72A96" w:rsidRDefault="00760F13" w:rsidP="00BD5E4C">
      <w:pPr>
        <w:pStyle w:val="ProtocolNote"/>
        <w:numPr>
          <w:ilvl w:val="1"/>
          <w:numId w:val="22"/>
        </w:numPr>
        <w:spacing w:after="0"/>
        <w:ind w:left="0" w:firstLine="0"/>
        <w:contextualSpacing/>
        <w:mirrorIndents/>
        <w:rPr>
          <w:b/>
          <w:bCs/>
        </w:rPr>
      </w:pPr>
      <w:r w:rsidRPr="00B72A96">
        <w:rPr>
          <w:b/>
          <w:bCs/>
        </w:rPr>
        <w:t>Fix and process samples for Giemsa karyotyping</w:t>
      </w:r>
    </w:p>
    <w:p w14:paraId="43BB78BC" w14:textId="11D0644B" w:rsidR="00760F13" w:rsidRPr="00B72A96" w:rsidRDefault="00760F13" w:rsidP="00BD5E4C">
      <w:pPr>
        <w:pStyle w:val="ProtocolNote"/>
        <w:numPr>
          <w:ilvl w:val="2"/>
          <w:numId w:val="22"/>
        </w:numPr>
        <w:spacing w:after="0"/>
        <w:ind w:left="0" w:firstLine="0"/>
        <w:contextualSpacing/>
        <w:mirrorIndents/>
        <w:rPr>
          <w:bCs/>
        </w:rPr>
      </w:pPr>
      <w:r w:rsidRPr="00B72A96">
        <w:rPr>
          <w:bCs/>
        </w:rPr>
        <w:lastRenderedPageBreak/>
        <w:t>Prepare 500 mL of Carnoy's fixative at least 1 day in advance by mixing 375 mL of 100% methanol with 125 mL of acetic acid at a 3:1 ratio; divide into 50 mL aliquots and store at -20 °C. On the day of fixation, prepare 50 mL of hypotonic solution by mixing 40 mL of Milli-Q water with 10 mL of RPMI 1640 without serum or antibiotics.</w:t>
      </w:r>
    </w:p>
    <w:p w14:paraId="380FA688" w14:textId="77777777" w:rsidR="006B4CE8" w:rsidRPr="00B72A96" w:rsidRDefault="006B4CE8" w:rsidP="00BD5E4C">
      <w:pPr>
        <w:pStyle w:val="ProtocolNote"/>
        <w:spacing w:after="0"/>
        <w:contextualSpacing/>
        <w:mirrorIndents/>
        <w:rPr>
          <w:bCs/>
        </w:rPr>
      </w:pPr>
    </w:p>
    <w:p w14:paraId="53CB1F0A" w14:textId="35FA9FFB" w:rsidR="006B4CE8" w:rsidRPr="00B72A96" w:rsidRDefault="00760F13" w:rsidP="00BD5E4C">
      <w:pPr>
        <w:pStyle w:val="ProtocolNote"/>
        <w:spacing w:after="0"/>
        <w:contextualSpacing/>
        <w:mirrorIndents/>
        <w:rPr>
          <w:bCs/>
        </w:rPr>
      </w:pPr>
      <w:r w:rsidRPr="00B72A96">
        <w:rPr>
          <w:bCs/>
        </w:rPr>
        <w:t>CAUTION: Prepare Carnoy's fixative in a chemical fume hood and avoid inhalation and skin contact with acetic acid. Neutralize acetic acid spills with sodium bicarbonate (NaHCO3) or sodium hydroxide (NaOH), producing water (H2O), carbon dioxide (CO2), and sodium acetate (CH3COONa), and then clean the surface with 70% ethanol.</w:t>
      </w:r>
    </w:p>
    <w:p w14:paraId="44AB5B51" w14:textId="77777777" w:rsidR="006B4CE8" w:rsidRPr="00B72A96" w:rsidRDefault="006B4CE8" w:rsidP="00BD5E4C">
      <w:pPr>
        <w:pStyle w:val="ProtocolNote"/>
        <w:spacing w:after="0"/>
        <w:contextualSpacing/>
        <w:mirrorIndents/>
        <w:rPr>
          <w:bCs/>
        </w:rPr>
      </w:pPr>
    </w:p>
    <w:p w14:paraId="2F4D0361" w14:textId="02A44AB8" w:rsidR="00760F13" w:rsidRPr="00B72A96" w:rsidRDefault="00760F13" w:rsidP="00BD5E4C">
      <w:pPr>
        <w:pStyle w:val="ProtocolNote"/>
        <w:numPr>
          <w:ilvl w:val="2"/>
          <w:numId w:val="22"/>
        </w:numPr>
        <w:spacing w:after="0"/>
        <w:ind w:left="0" w:firstLine="0"/>
        <w:contextualSpacing/>
        <w:mirrorIndents/>
        <w:rPr>
          <w:bCs/>
        </w:rPr>
      </w:pPr>
      <w:r w:rsidRPr="00B72A96">
        <w:rPr>
          <w:bCs/>
        </w:rPr>
        <w:t>Centrifuge cells at room temperature for 4 min at 200 × g.</w:t>
      </w:r>
    </w:p>
    <w:p w14:paraId="78EABDF0" w14:textId="77777777" w:rsidR="006B4CE8" w:rsidRPr="00B72A96" w:rsidRDefault="006B4CE8" w:rsidP="00BD5E4C">
      <w:pPr>
        <w:pStyle w:val="ProtocolNote"/>
        <w:spacing w:after="0"/>
        <w:contextualSpacing/>
        <w:mirrorIndents/>
        <w:rPr>
          <w:bCs/>
        </w:rPr>
      </w:pPr>
    </w:p>
    <w:p w14:paraId="38875B48" w14:textId="73D33488" w:rsidR="00760F13" w:rsidRPr="00B72A96" w:rsidRDefault="00760F13" w:rsidP="00BD5E4C">
      <w:pPr>
        <w:pStyle w:val="ProtocolNote"/>
        <w:numPr>
          <w:ilvl w:val="2"/>
          <w:numId w:val="22"/>
        </w:numPr>
        <w:spacing w:after="0"/>
        <w:ind w:left="0" w:firstLine="0"/>
        <w:contextualSpacing/>
        <w:mirrorIndents/>
        <w:rPr>
          <w:bCs/>
        </w:rPr>
      </w:pPr>
      <w:r w:rsidRPr="00B72A96">
        <w:rPr>
          <w:bCs/>
        </w:rPr>
        <w:t>Remove the supernatant and gently resuspend the cells in 750 µL of hypotonic solution. Transfer the suspension to a 1.5 mL tube.</w:t>
      </w:r>
    </w:p>
    <w:p w14:paraId="6C9EE1AC" w14:textId="77777777" w:rsidR="006B4CE8" w:rsidRPr="00B72A96" w:rsidRDefault="006B4CE8" w:rsidP="00BD5E4C">
      <w:pPr>
        <w:pStyle w:val="ListParagraph"/>
        <w:ind w:left="0"/>
        <w:mirrorIndents/>
        <w:rPr>
          <w:bCs/>
        </w:rPr>
      </w:pPr>
    </w:p>
    <w:p w14:paraId="3BC5B817" w14:textId="08932E63" w:rsidR="00760F13" w:rsidRPr="00B72A96" w:rsidRDefault="00760F13" w:rsidP="00BD5E4C">
      <w:pPr>
        <w:pStyle w:val="ProtocolNote"/>
        <w:numPr>
          <w:ilvl w:val="2"/>
          <w:numId w:val="22"/>
        </w:numPr>
        <w:spacing w:after="0"/>
        <w:ind w:left="0" w:firstLine="0"/>
        <w:contextualSpacing/>
        <w:mirrorIndents/>
        <w:rPr>
          <w:bCs/>
        </w:rPr>
      </w:pPr>
      <w:r w:rsidRPr="00B72A96">
        <w:rPr>
          <w:bCs/>
        </w:rPr>
        <w:t>From the hypotonic incubation onward, pipette gently to prevent swollen cells from rupturing. Incubate cells for 15 min at room temperature.</w:t>
      </w:r>
    </w:p>
    <w:p w14:paraId="01FB71EA" w14:textId="77777777" w:rsidR="006B4CE8" w:rsidRPr="00B72A96" w:rsidRDefault="006B4CE8" w:rsidP="00BD5E4C">
      <w:pPr>
        <w:pStyle w:val="ProtocolNote"/>
        <w:spacing w:after="0"/>
        <w:contextualSpacing/>
        <w:mirrorIndents/>
        <w:rPr>
          <w:bCs/>
        </w:rPr>
      </w:pPr>
    </w:p>
    <w:p w14:paraId="2B342984" w14:textId="11674271" w:rsidR="00760F13" w:rsidRPr="00B72A96" w:rsidRDefault="00760F13" w:rsidP="00BD5E4C">
      <w:pPr>
        <w:pStyle w:val="ProtocolNote"/>
        <w:numPr>
          <w:ilvl w:val="2"/>
          <w:numId w:val="22"/>
        </w:numPr>
        <w:spacing w:after="0"/>
        <w:ind w:left="0" w:firstLine="0"/>
        <w:contextualSpacing/>
        <w:mirrorIndents/>
        <w:rPr>
          <w:bCs/>
        </w:rPr>
      </w:pPr>
      <w:r w:rsidRPr="00B72A96">
        <w:rPr>
          <w:bCs/>
        </w:rPr>
        <w:t>Add 250 µL of Carnoy's fixative prechilled to -20 °C to each tube. Gently mix the cell suspension by pipetting.</w:t>
      </w:r>
    </w:p>
    <w:p w14:paraId="14DD3E00" w14:textId="77777777" w:rsidR="006B4CE8" w:rsidRPr="00B72A96" w:rsidRDefault="006B4CE8" w:rsidP="00BD5E4C">
      <w:pPr>
        <w:pStyle w:val="ListParagraph"/>
        <w:ind w:left="0"/>
        <w:mirrorIndents/>
        <w:rPr>
          <w:bCs/>
        </w:rPr>
      </w:pPr>
    </w:p>
    <w:p w14:paraId="0B297AA8" w14:textId="0DDD780F" w:rsidR="00760F13" w:rsidRPr="00B72A96" w:rsidRDefault="00E66CA2" w:rsidP="00BD5E4C">
      <w:pPr>
        <w:pStyle w:val="ProtocolNote"/>
        <w:spacing w:after="0"/>
        <w:contextualSpacing/>
        <w:mirrorIndents/>
        <w:rPr>
          <w:bCs/>
        </w:rPr>
      </w:pPr>
      <w:r w:rsidRPr="00B72A96">
        <w:rPr>
          <w:bCs/>
        </w:rPr>
        <w:t>NOTE:</w:t>
      </w:r>
      <w:r w:rsidR="00760F13" w:rsidRPr="00B72A96">
        <w:rPr>
          <w:bCs/>
        </w:rPr>
        <w:t xml:space="preserve"> Excessive pipetting shear can rupture the cells. Expect the suspension color to change from red to green because of the pH change.</w:t>
      </w:r>
    </w:p>
    <w:p w14:paraId="0125166A" w14:textId="77777777" w:rsidR="006B4CE8" w:rsidRPr="00B72A96" w:rsidRDefault="006B4CE8" w:rsidP="00BD5E4C">
      <w:pPr>
        <w:pStyle w:val="ProtocolNote"/>
        <w:spacing w:after="0"/>
        <w:contextualSpacing/>
        <w:mirrorIndents/>
        <w:rPr>
          <w:bCs/>
        </w:rPr>
      </w:pPr>
    </w:p>
    <w:p w14:paraId="5153405E" w14:textId="416C9E8D"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Centrifuge cells at 4 °C for 4 min at 200 × </w:t>
      </w:r>
      <w:r w:rsidRPr="00B72A96">
        <w:rPr>
          <w:bCs/>
          <w:i/>
          <w:iCs/>
        </w:rPr>
        <w:t>g</w:t>
      </w:r>
      <w:r w:rsidRPr="00B72A96">
        <w:rPr>
          <w:bCs/>
        </w:rPr>
        <w:t>. Remove the supernatant carefully without touching the pellet of cells.</w:t>
      </w:r>
    </w:p>
    <w:p w14:paraId="3601E919" w14:textId="77777777" w:rsidR="006B4CE8" w:rsidRPr="00B72A96" w:rsidRDefault="006B4CE8" w:rsidP="00BD5E4C">
      <w:pPr>
        <w:pStyle w:val="ProtocolNote"/>
        <w:spacing w:after="0"/>
        <w:contextualSpacing/>
        <w:mirrorIndents/>
        <w:rPr>
          <w:bCs/>
        </w:rPr>
      </w:pPr>
    </w:p>
    <w:p w14:paraId="01D93EFA" w14:textId="7F0B5538" w:rsidR="00760F13" w:rsidRPr="00B72A96" w:rsidRDefault="00760F13" w:rsidP="00BD5E4C">
      <w:pPr>
        <w:pStyle w:val="ProtocolNote"/>
        <w:numPr>
          <w:ilvl w:val="2"/>
          <w:numId w:val="22"/>
        </w:numPr>
        <w:spacing w:after="0"/>
        <w:ind w:left="0" w:firstLine="0"/>
        <w:contextualSpacing/>
        <w:mirrorIndents/>
        <w:rPr>
          <w:bCs/>
        </w:rPr>
      </w:pPr>
      <w:r w:rsidRPr="00B72A96">
        <w:rPr>
          <w:bCs/>
        </w:rPr>
        <w:t>Resuspend in 1 mL of Carnoy’s. Centrifuge cells at 4 °C for 4 min at 200 ×</w:t>
      </w:r>
      <w:r w:rsidRPr="00B72A96">
        <w:rPr>
          <w:bCs/>
          <w:i/>
          <w:iCs/>
        </w:rPr>
        <w:t xml:space="preserve"> g</w:t>
      </w:r>
      <w:r w:rsidRPr="00B72A96">
        <w:rPr>
          <w:bCs/>
        </w:rPr>
        <w:t>.</w:t>
      </w:r>
    </w:p>
    <w:p w14:paraId="162F827D" w14:textId="77777777" w:rsidR="006B4CE8" w:rsidRPr="00B72A96" w:rsidRDefault="006B4CE8" w:rsidP="00BD5E4C">
      <w:pPr>
        <w:pStyle w:val="ListParagraph"/>
        <w:ind w:left="0"/>
        <w:mirrorIndents/>
        <w:rPr>
          <w:bCs/>
        </w:rPr>
      </w:pPr>
    </w:p>
    <w:p w14:paraId="0651B4B8" w14:textId="70D148EA" w:rsidR="00760F13" w:rsidRPr="00B72A96" w:rsidRDefault="00760F13" w:rsidP="00BD5E4C">
      <w:pPr>
        <w:pStyle w:val="ProtocolNote"/>
        <w:numPr>
          <w:ilvl w:val="2"/>
          <w:numId w:val="22"/>
        </w:numPr>
        <w:spacing w:after="0"/>
        <w:ind w:left="0" w:firstLine="0"/>
        <w:contextualSpacing/>
        <w:mirrorIndents/>
        <w:rPr>
          <w:bCs/>
        </w:rPr>
      </w:pPr>
      <w:r w:rsidRPr="00B72A96">
        <w:rPr>
          <w:bCs/>
        </w:rPr>
        <w:t>Remove the supernatant carefully without touching the pellet of cells. Resuspend in 1 mL Carnoy’s.</w:t>
      </w:r>
    </w:p>
    <w:p w14:paraId="4640890A" w14:textId="77777777" w:rsidR="006B4CE8" w:rsidRPr="00B72A96" w:rsidRDefault="006B4CE8" w:rsidP="00BD5E4C">
      <w:pPr>
        <w:pStyle w:val="ProtocolNote"/>
        <w:spacing w:after="0"/>
        <w:contextualSpacing/>
        <w:mirrorIndents/>
        <w:rPr>
          <w:bCs/>
        </w:rPr>
      </w:pPr>
    </w:p>
    <w:p w14:paraId="078EBDA8" w14:textId="27E737B7" w:rsidR="00760F13" w:rsidRPr="00B72A96" w:rsidRDefault="00760F13" w:rsidP="00BD5E4C">
      <w:pPr>
        <w:pStyle w:val="ProtocolNote"/>
        <w:numPr>
          <w:ilvl w:val="2"/>
          <w:numId w:val="22"/>
        </w:numPr>
        <w:spacing w:after="0"/>
        <w:ind w:left="0" w:firstLine="0"/>
        <w:contextualSpacing/>
        <w:mirrorIndents/>
        <w:rPr>
          <w:bCs/>
        </w:rPr>
      </w:pPr>
      <w:r w:rsidRPr="00B72A96">
        <w:rPr>
          <w:bCs/>
        </w:rPr>
        <w:t>Store cells for at least one day at -20 °C.</w:t>
      </w:r>
    </w:p>
    <w:p w14:paraId="01088AEE" w14:textId="77777777" w:rsidR="006B4CE8" w:rsidRPr="00B72A96" w:rsidRDefault="006B4CE8" w:rsidP="00BD5E4C">
      <w:pPr>
        <w:pStyle w:val="ListParagraph"/>
        <w:ind w:left="0"/>
        <w:mirrorIndents/>
        <w:rPr>
          <w:bCs/>
        </w:rPr>
      </w:pPr>
    </w:p>
    <w:p w14:paraId="0A0E9318" w14:textId="17751033" w:rsidR="00760F13" w:rsidRPr="00B72A96" w:rsidRDefault="00E66CA2" w:rsidP="00BD5E4C">
      <w:pPr>
        <w:pStyle w:val="ProtocolNote"/>
        <w:spacing w:after="0"/>
        <w:contextualSpacing/>
        <w:mirrorIndents/>
        <w:rPr>
          <w:bCs/>
        </w:rPr>
      </w:pPr>
      <w:r w:rsidRPr="00B72A96">
        <w:rPr>
          <w:bCs/>
        </w:rPr>
        <w:t>NOTE:</w:t>
      </w:r>
      <w:r w:rsidR="00760F13" w:rsidRPr="00B72A96">
        <w:rPr>
          <w:bCs/>
        </w:rPr>
        <w:t xml:space="preserve"> Store samples at -20 °C for several months if required.</w:t>
      </w:r>
    </w:p>
    <w:p w14:paraId="6E521DA9" w14:textId="77777777" w:rsidR="006B4CE8" w:rsidRPr="00B72A96" w:rsidRDefault="006B4CE8" w:rsidP="00BD5E4C">
      <w:pPr>
        <w:pStyle w:val="ProtocolNote"/>
        <w:spacing w:after="0"/>
        <w:contextualSpacing/>
        <w:mirrorIndents/>
        <w:rPr>
          <w:bCs/>
        </w:rPr>
      </w:pPr>
    </w:p>
    <w:p w14:paraId="6C2DA55C" w14:textId="1E35AFA4" w:rsidR="00760F13" w:rsidRPr="00B72A96" w:rsidRDefault="00760F13" w:rsidP="00BD5E4C">
      <w:pPr>
        <w:pStyle w:val="ProtocolNote"/>
        <w:numPr>
          <w:ilvl w:val="2"/>
          <w:numId w:val="22"/>
        </w:numPr>
        <w:spacing w:after="0"/>
        <w:ind w:left="0" w:firstLine="0"/>
        <w:contextualSpacing/>
        <w:mirrorIndents/>
        <w:rPr>
          <w:bCs/>
        </w:rPr>
      </w:pPr>
      <w:r w:rsidRPr="00B72A96">
        <w:rPr>
          <w:bCs/>
        </w:rPr>
        <w:t>Prepare 3</w:t>
      </w:r>
      <w:r w:rsidR="009913D6" w:rsidRPr="00B72A96">
        <w:rPr>
          <w:rFonts w:cs="Calibri"/>
          <w:bCs/>
        </w:rPr>
        <w:t>–</w:t>
      </w:r>
      <w:r w:rsidRPr="00B72A96">
        <w:rPr>
          <w:bCs/>
        </w:rPr>
        <w:t>4 glass slides per sample as follows. Clean slides with 70% ethanol in a beaker and dry the slides with a paper towel.</w:t>
      </w:r>
    </w:p>
    <w:p w14:paraId="7A0CD244" w14:textId="77777777" w:rsidR="006B4CE8" w:rsidRPr="00B72A96" w:rsidRDefault="006B4CE8" w:rsidP="00BD5E4C">
      <w:pPr>
        <w:pStyle w:val="ProtocolNote"/>
        <w:spacing w:after="0"/>
        <w:contextualSpacing/>
        <w:mirrorIndents/>
        <w:rPr>
          <w:bCs/>
        </w:rPr>
      </w:pPr>
    </w:p>
    <w:p w14:paraId="2E2DA2B7" w14:textId="0C9FFA6D"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Remove the EtOH completely by transferring the slides to a beaker with distilled water and ice, surrounded by ice. Let the slides cool down for 1 h to allow proper cell spreading </w:t>
      </w:r>
      <w:proofErr w:type="gramStart"/>
      <w:r w:rsidRPr="00B72A96">
        <w:rPr>
          <w:bCs/>
        </w:rPr>
        <w:t>later on</w:t>
      </w:r>
      <w:proofErr w:type="gramEnd"/>
      <w:r w:rsidRPr="00B72A96">
        <w:rPr>
          <w:bCs/>
        </w:rPr>
        <w:t>.</w:t>
      </w:r>
    </w:p>
    <w:p w14:paraId="3CEFFAB1" w14:textId="77777777" w:rsidR="006B4CE8" w:rsidRPr="00B72A96" w:rsidRDefault="006B4CE8" w:rsidP="00BD5E4C">
      <w:pPr>
        <w:pStyle w:val="ProtocolNote"/>
        <w:spacing w:after="0"/>
        <w:contextualSpacing/>
        <w:mirrorIndents/>
        <w:rPr>
          <w:bCs/>
        </w:rPr>
      </w:pPr>
    </w:p>
    <w:p w14:paraId="27C80B31" w14:textId="7056E4E3" w:rsidR="00760F13" w:rsidRPr="00B72A96" w:rsidRDefault="00760F13" w:rsidP="00BD5E4C">
      <w:pPr>
        <w:pStyle w:val="ProtocolNote"/>
        <w:numPr>
          <w:ilvl w:val="2"/>
          <w:numId w:val="22"/>
        </w:numPr>
        <w:spacing w:after="0"/>
        <w:ind w:left="0" w:firstLine="0"/>
        <w:contextualSpacing/>
        <w:mirrorIndents/>
        <w:rPr>
          <w:bCs/>
        </w:rPr>
      </w:pPr>
      <w:r w:rsidRPr="00B72A96">
        <w:rPr>
          <w:bCs/>
        </w:rPr>
        <w:lastRenderedPageBreak/>
        <w:t xml:space="preserve">Add ice directly to the distilled water to produce an ice-water mixture suitable for metaphase spreading. Remove samples from the freezer and centrifuge at 4 °C for 4 min at 200 × </w:t>
      </w:r>
      <w:r w:rsidRPr="00B72A96">
        <w:rPr>
          <w:bCs/>
          <w:i/>
          <w:iCs/>
        </w:rPr>
        <w:t>g</w:t>
      </w:r>
      <w:r w:rsidRPr="00B72A96">
        <w:rPr>
          <w:bCs/>
        </w:rPr>
        <w:t>.</w:t>
      </w:r>
    </w:p>
    <w:p w14:paraId="76CA7429" w14:textId="77777777" w:rsidR="009913D6" w:rsidRPr="00B72A96" w:rsidRDefault="009913D6" w:rsidP="00BD5E4C">
      <w:pPr>
        <w:pStyle w:val="ProtocolNote"/>
        <w:spacing w:after="0"/>
        <w:contextualSpacing/>
        <w:mirrorIndents/>
        <w:rPr>
          <w:bCs/>
        </w:rPr>
      </w:pPr>
    </w:p>
    <w:p w14:paraId="40621FEE" w14:textId="5097C8A2" w:rsidR="00760F13" w:rsidRPr="00B72A96" w:rsidRDefault="00760F13" w:rsidP="00BD5E4C">
      <w:pPr>
        <w:pStyle w:val="ProtocolNote"/>
        <w:numPr>
          <w:ilvl w:val="2"/>
          <w:numId w:val="22"/>
        </w:numPr>
        <w:spacing w:after="0"/>
        <w:ind w:left="0" w:firstLine="0"/>
        <w:contextualSpacing/>
        <w:mirrorIndents/>
        <w:rPr>
          <w:bCs/>
        </w:rPr>
      </w:pPr>
      <w:r w:rsidRPr="00B72A96">
        <w:rPr>
          <w:bCs/>
        </w:rPr>
        <w:t>Place a sheet of Whatman paper on a paper towel on the bench. Remove supernatant carefully.</w:t>
      </w:r>
    </w:p>
    <w:p w14:paraId="6E1FEEC7" w14:textId="77777777" w:rsidR="009913D6" w:rsidRPr="00B72A96" w:rsidRDefault="009913D6" w:rsidP="00BD5E4C">
      <w:pPr>
        <w:pStyle w:val="ProtocolNote"/>
        <w:spacing w:after="0"/>
        <w:contextualSpacing/>
        <w:mirrorIndents/>
        <w:rPr>
          <w:bCs/>
        </w:rPr>
      </w:pPr>
    </w:p>
    <w:p w14:paraId="0F6FD218" w14:textId="69F8C58B" w:rsidR="00760F13" w:rsidRPr="00B72A96" w:rsidRDefault="00760F13" w:rsidP="00BD5E4C">
      <w:pPr>
        <w:pStyle w:val="ProtocolNote"/>
        <w:numPr>
          <w:ilvl w:val="2"/>
          <w:numId w:val="22"/>
        </w:numPr>
        <w:spacing w:after="0"/>
        <w:ind w:left="0" w:firstLine="0"/>
        <w:contextualSpacing/>
        <w:mirrorIndents/>
        <w:rPr>
          <w:bCs/>
        </w:rPr>
      </w:pPr>
      <w:r w:rsidRPr="00B72A96">
        <w:rPr>
          <w:bCs/>
        </w:rPr>
        <w:t>Resuspend the first sample in 500 µL of 100% acetic acid using a 1000 µL tip. Remove one slide from the ice-water mixture and place the slide on the prepared Whatman paper.</w:t>
      </w:r>
    </w:p>
    <w:p w14:paraId="7D61BDE0" w14:textId="77777777" w:rsidR="009913D6" w:rsidRPr="00B72A96" w:rsidRDefault="009913D6" w:rsidP="00BD5E4C">
      <w:pPr>
        <w:pStyle w:val="ProtocolNote"/>
        <w:spacing w:after="0"/>
        <w:contextualSpacing/>
        <w:mirrorIndents/>
        <w:rPr>
          <w:bCs/>
        </w:rPr>
      </w:pPr>
    </w:p>
    <w:p w14:paraId="4FDB9405" w14:textId="07BF4568" w:rsidR="00760F13" w:rsidRPr="00B72A96" w:rsidRDefault="00760F13" w:rsidP="00BD5E4C">
      <w:pPr>
        <w:pStyle w:val="ProtocolNote"/>
        <w:numPr>
          <w:ilvl w:val="2"/>
          <w:numId w:val="22"/>
        </w:numPr>
        <w:spacing w:after="0"/>
        <w:ind w:left="0" w:firstLine="0"/>
        <w:contextualSpacing/>
        <w:mirrorIndents/>
        <w:rPr>
          <w:bCs/>
        </w:rPr>
      </w:pPr>
      <w:r w:rsidRPr="00B72A96">
        <w:rPr>
          <w:bCs/>
        </w:rPr>
        <w:t>Position at least three slides in contact with one another to minimize sample loss. Test the setup with water before sample application to verify the drop direction. Drop each sample vertically from approximately 1 m with rapid pipette expulsion to rupture cells and expose metaphase spreads.</w:t>
      </w:r>
    </w:p>
    <w:p w14:paraId="2453BF92" w14:textId="77777777" w:rsidR="009913D6" w:rsidRPr="00B72A96" w:rsidRDefault="009913D6" w:rsidP="00BD5E4C">
      <w:pPr>
        <w:pStyle w:val="ProtocolNote"/>
        <w:spacing w:after="0"/>
        <w:contextualSpacing/>
        <w:mirrorIndents/>
        <w:rPr>
          <w:bCs/>
        </w:rPr>
      </w:pPr>
    </w:p>
    <w:p w14:paraId="35CA7196" w14:textId="6B9EFF3F" w:rsidR="00760F13" w:rsidRPr="00B72A96" w:rsidRDefault="00760F13" w:rsidP="00BD5E4C">
      <w:pPr>
        <w:pStyle w:val="ProtocolNote"/>
        <w:numPr>
          <w:ilvl w:val="2"/>
          <w:numId w:val="22"/>
        </w:numPr>
        <w:spacing w:after="0"/>
        <w:ind w:left="0" w:firstLine="0"/>
        <w:contextualSpacing/>
        <w:mirrorIndents/>
        <w:rPr>
          <w:bCs/>
        </w:rPr>
      </w:pPr>
      <w:r w:rsidRPr="00B72A96">
        <w:rPr>
          <w:bCs/>
        </w:rPr>
        <w:t xml:space="preserve">Take the </w:t>
      </w:r>
      <w:r w:rsidR="00D91852">
        <w:rPr>
          <w:bCs/>
        </w:rPr>
        <w:t>5</w:t>
      </w:r>
      <w:r w:rsidRPr="00B72A96">
        <w:rPr>
          <w:bCs/>
        </w:rPr>
        <w:t>00 µL solution with cells with a 1000 µL pipette. Drop all the volume with cells onto the slide in one strong pulse.</w:t>
      </w:r>
    </w:p>
    <w:p w14:paraId="0C739892" w14:textId="77777777" w:rsidR="009913D6" w:rsidRPr="00B72A96" w:rsidRDefault="009913D6" w:rsidP="00BD5E4C">
      <w:pPr>
        <w:pStyle w:val="ProtocolNote"/>
        <w:spacing w:after="0"/>
        <w:contextualSpacing/>
        <w:mirrorIndents/>
        <w:rPr>
          <w:bCs/>
        </w:rPr>
      </w:pPr>
    </w:p>
    <w:p w14:paraId="3274654E" w14:textId="7031468A" w:rsidR="00760F13" w:rsidRPr="00B72A96" w:rsidRDefault="00760F13" w:rsidP="00BD5E4C">
      <w:pPr>
        <w:pStyle w:val="ProtocolNote"/>
        <w:numPr>
          <w:ilvl w:val="2"/>
          <w:numId w:val="22"/>
        </w:numPr>
        <w:spacing w:after="0"/>
        <w:ind w:left="0" w:firstLine="0"/>
        <w:contextualSpacing/>
        <w:mirrorIndents/>
        <w:rPr>
          <w:bCs/>
        </w:rPr>
      </w:pPr>
      <w:r w:rsidRPr="00B72A96">
        <w:rPr>
          <w:bCs/>
        </w:rPr>
        <w:t>Practice the drop with water to establish the pipette position. Divide each sample into two 250 µL portions to retain a backup. Maintain a drop height of approximately 1 m to rupture cells and spread chromosomes.</w:t>
      </w:r>
    </w:p>
    <w:p w14:paraId="1CB1BAD3" w14:textId="77777777" w:rsidR="009913D6" w:rsidRPr="00B72A96" w:rsidRDefault="009913D6" w:rsidP="00BD5E4C">
      <w:pPr>
        <w:pStyle w:val="ProtocolNote"/>
        <w:spacing w:after="0"/>
        <w:contextualSpacing/>
        <w:mirrorIndents/>
        <w:rPr>
          <w:bCs/>
        </w:rPr>
      </w:pPr>
    </w:p>
    <w:p w14:paraId="365F24B3" w14:textId="2D6C08B5" w:rsidR="00760F13" w:rsidRPr="00B72A96" w:rsidRDefault="00760F13" w:rsidP="00BD5E4C">
      <w:pPr>
        <w:pStyle w:val="ProtocolNote"/>
        <w:numPr>
          <w:ilvl w:val="2"/>
          <w:numId w:val="22"/>
        </w:numPr>
        <w:spacing w:after="0"/>
        <w:ind w:left="0" w:firstLine="0"/>
        <w:contextualSpacing/>
        <w:mirrorIndents/>
        <w:rPr>
          <w:bCs/>
        </w:rPr>
      </w:pPr>
      <w:r w:rsidRPr="00B72A96">
        <w:rPr>
          <w:bCs/>
        </w:rPr>
        <w:t>Label the sample name on the slide. Heat a small cooker with a flat surface at ~50 °C and cover the surface with wet tissue paper.</w:t>
      </w:r>
    </w:p>
    <w:p w14:paraId="7DBE798F" w14:textId="77777777" w:rsidR="009913D6" w:rsidRPr="00B72A96" w:rsidRDefault="009913D6" w:rsidP="00BD5E4C">
      <w:pPr>
        <w:pStyle w:val="ProtocolNote"/>
        <w:spacing w:after="0"/>
        <w:contextualSpacing/>
        <w:mirrorIndents/>
        <w:rPr>
          <w:bCs/>
        </w:rPr>
      </w:pPr>
    </w:p>
    <w:p w14:paraId="7B0FA5D0" w14:textId="2496C2E0" w:rsidR="00760F13" w:rsidRPr="00B72A96" w:rsidRDefault="00760F13" w:rsidP="00BD5E4C">
      <w:pPr>
        <w:pStyle w:val="ProtocolNote"/>
        <w:numPr>
          <w:ilvl w:val="2"/>
          <w:numId w:val="22"/>
        </w:numPr>
        <w:spacing w:after="0"/>
        <w:ind w:left="0" w:firstLine="0"/>
        <w:contextualSpacing/>
        <w:mirrorIndents/>
        <w:rPr>
          <w:bCs/>
        </w:rPr>
      </w:pPr>
      <w:r w:rsidRPr="00B72A96">
        <w:rPr>
          <w:bCs/>
        </w:rPr>
        <w:t>Place all slides on the heated surface until completely dry; drying can take up to 30 min. Allow the slides to dry completely at room temperature in the chemical fume hood.</w:t>
      </w:r>
    </w:p>
    <w:p w14:paraId="5256EB65" w14:textId="77777777" w:rsidR="006B4CE8" w:rsidRPr="00B72A96" w:rsidRDefault="006B4CE8" w:rsidP="00BD5E4C">
      <w:pPr>
        <w:pStyle w:val="ListParagraph"/>
        <w:ind w:left="0"/>
        <w:mirrorIndents/>
        <w:rPr>
          <w:bCs/>
        </w:rPr>
      </w:pPr>
    </w:p>
    <w:p w14:paraId="22592502" w14:textId="207B4E0C" w:rsidR="00760F13" w:rsidRPr="00B72A96" w:rsidRDefault="00760F13" w:rsidP="00BD5E4C">
      <w:pPr>
        <w:pStyle w:val="ProtocolNote"/>
        <w:numPr>
          <w:ilvl w:val="1"/>
          <w:numId w:val="22"/>
        </w:numPr>
        <w:spacing w:after="0"/>
        <w:ind w:left="0" w:firstLine="0"/>
        <w:contextualSpacing/>
        <w:mirrorIndents/>
        <w:rPr>
          <w:b/>
          <w:bCs/>
        </w:rPr>
      </w:pPr>
      <w:r w:rsidRPr="00B72A96">
        <w:rPr>
          <w:b/>
          <w:bCs/>
        </w:rPr>
        <w:t>Stain, image, and quantify Giemsa karyotype samples</w:t>
      </w:r>
    </w:p>
    <w:p w14:paraId="50ED8EB9" w14:textId="356DF070" w:rsidR="00760F13" w:rsidRPr="00B72A96" w:rsidRDefault="00760F13" w:rsidP="00BD5E4C">
      <w:pPr>
        <w:pStyle w:val="ProtocolNote"/>
        <w:numPr>
          <w:ilvl w:val="2"/>
          <w:numId w:val="22"/>
        </w:numPr>
        <w:spacing w:after="0"/>
        <w:ind w:left="0" w:firstLine="0"/>
        <w:contextualSpacing/>
        <w:mirrorIndents/>
        <w:rPr>
          <w:bCs/>
        </w:rPr>
      </w:pPr>
      <w:r w:rsidRPr="00B72A96">
        <w:rPr>
          <w:bCs/>
        </w:rPr>
        <w:t>Prepare enough 8% Giemsa solution to fill a glass slide box by mixing 4 mL of Giemsa stain with 46 mL of Milli-Q water.</w:t>
      </w:r>
    </w:p>
    <w:p w14:paraId="57FCED75" w14:textId="77777777" w:rsidR="006B4CE8" w:rsidRPr="00B72A96" w:rsidRDefault="006B4CE8" w:rsidP="00BD5E4C">
      <w:pPr>
        <w:pStyle w:val="ProtocolNote"/>
        <w:spacing w:after="0"/>
        <w:contextualSpacing/>
        <w:mirrorIndents/>
        <w:rPr>
          <w:bCs/>
        </w:rPr>
      </w:pPr>
    </w:p>
    <w:p w14:paraId="4489369C" w14:textId="77777777" w:rsidR="00760F13" w:rsidRPr="00B72A96" w:rsidRDefault="00760F13" w:rsidP="00BD5E4C">
      <w:pPr>
        <w:pStyle w:val="ProtocolNote"/>
        <w:spacing w:after="0"/>
        <w:contextualSpacing/>
        <w:mirrorIndents/>
        <w:rPr>
          <w:bCs/>
        </w:rPr>
      </w:pPr>
      <w:r w:rsidRPr="00B72A96">
        <w:rPr>
          <w:bCs/>
        </w:rPr>
        <w:t>CAUTION: Prepare Giemsa solution in a chemical fume hood and avoid inhalation and skin contact.</w:t>
      </w:r>
    </w:p>
    <w:p w14:paraId="6BD9A9CB" w14:textId="77777777" w:rsidR="006B4CE8" w:rsidRPr="00B72A96" w:rsidRDefault="006B4CE8" w:rsidP="00BD5E4C">
      <w:pPr>
        <w:pStyle w:val="ProtocolNote"/>
        <w:spacing w:after="0"/>
        <w:contextualSpacing/>
        <w:mirrorIndents/>
        <w:rPr>
          <w:bCs/>
        </w:rPr>
      </w:pPr>
    </w:p>
    <w:p w14:paraId="5F00CB9F" w14:textId="55ADB681" w:rsidR="00760F13" w:rsidRPr="00B72A96" w:rsidRDefault="00760F13" w:rsidP="00BD5E4C">
      <w:pPr>
        <w:pStyle w:val="ProtocolNote"/>
        <w:numPr>
          <w:ilvl w:val="2"/>
          <w:numId w:val="22"/>
        </w:numPr>
        <w:spacing w:after="0"/>
        <w:ind w:left="0" w:firstLine="0"/>
        <w:contextualSpacing/>
        <w:mirrorIndents/>
        <w:rPr>
          <w:bCs/>
        </w:rPr>
      </w:pPr>
      <w:r w:rsidRPr="00B72A96">
        <w:rPr>
          <w:bCs/>
        </w:rPr>
        <w:t>Place the slides in a glass slide box filled with Giemsa solution. Stain for 15 min.</w:t>
      </w:r>
    </w:p>
    <w:p w14:paraId="77B98400" w14:textId="77777777" w:rsidR="006B4CE8" w:rsidRPr="00B72A96" w:rsidRDefault="006B4CE8" w:rsidP="00BD5E4C">
      <w:pPr>
        <w:pStyle w:val="ProtocolNote"/>
        <w:spacing w:after="0"/>
        <w:contextualSpacing/>
        <w:mirrorIndents/>
        <w:rPr>
          <w:bCs/>
        </w:rPr>
      </w:pPr>
    </w:p>
    <w:p w14:paraId="3C908182" w14:textId="043F4716" w:rsidR="00760F13" w:rsidRPr="00B72A96" w:rsidRDefault="00760F13" w:rsidP="00BD5E4C">
      <w:pPr>
        <w:pStyle w:val="ProtocolNote"/>
        <w:numPr>
          <w:ilvl w:val="2"/>
          <w:numId w:val="22"/>
        </w:numPr>
        <w:spacing w:after="0"/>
        <w:ind w:left="0" w:firstLine="0"/>
        <w:contextualSpacing/>
        <w:mirrorIndents/>
        <w:rPr>
          <w:bCs/>
        </w:rPr>
      </w:pPr>
      <w:r w:rsidRPr="00B72A96">
        <w:rPr>
          <w:bCs/>
        </w:rPr>
        <w:t>Remove the slides and discard the staining solution. Fill the box with Milli-Q water and wash the slides three times to remove residual Giemsa stain.</w:t>
      </w:r>
    </w:p>
    <w:p w14:paraId="318174C9" w14:textId="77777777" w:rsidR="006B4CE8" w:rsidRPr="00B72A96" w:rsidRDefault="006B4CE8" w:rsidP="00BD5E4C">
      <w:pPr>
        <w:pStyle w:val="ProtocolNote"/>
        <w:spacing w:after="0"/>
        <w:contextualSpacing/>
        <w:mirrorIndents/>
        <w:rPr>
          <w:bCs/>
        </w:rPr>
      </w:pPr>
    </w:p>
    <w:p w14:paraId="0EC51D8A" w14:textId="0A96D0C4" w:rsidR="00760F13" w:rsidRPr="00B72A96" w:rsidRDefault="00760F13" w:rsidP="00BD5E4C">
      <w:pPr>
        <w:pStyle w:val="ProtocolNote"/>
        <w:numPr>
          <w:ilvl w:val="2"/>
          <w:numId w:val="22"/>
        </w:numPr>
        <w:spacing w:after="0"/>
        <w:ind w:left="0" w:firstLine="0"/>
        <w:contextualSpacing/>
        <w:mirrorIndents/>
        <w:rPr>
          <w:bCs/>
        </w:rPr>
      </w:pPr>
      <w:r w:rsidRPr="00B72A96">
        <w:rPr>
          <w:bCs/>
        </w:rPr>
        <w:t>Dry the slides under the chemical hood overnight.</w:t>
      </w:r>
    </w:p>
    <w:p w14:paraId="6F48521F" w14:textId="77777777" w:rsidR="006B4CE8" w:rsidRPr="00B72A96" w:rsidRDefault="006B4CE8" w:rsidP="00BD5E4C">
      <w:pPr>
        <w:pStyle w:val="ProtocolNote"/>
        <w:spacing w:after="0"/>
        <w:contextualSpacing/>
        <w:mirrorIndents/>
        <w:rPr>
          <w:bCs/>
        </w:rPr>
      </w:pPr>
    </w:p>
    <w:p w14:paraId="3B0AEB49" w14:textId="56D3A467" w:rsidR="00760F13" w:rsidRPr="00B72A96" w:rsidRDefault="00760F13" w:rsidP="00BD5E4C">
      <w:pPr>
        <w:pStyle w:val="ProtocolNote"/>
        <w:numPr>
          <w:ilvl w:val="2"/>
          <w:numId w:val="22"/>
        </w:numPr>
        <w:spacing w:after="0"/>
        <w:ind w:left="0" w:firstLine="0"/>
        <w:contextualSpacing/>
        <w:mirrorIndents/>
        <w:rPr>
          <w:bCs/>
        </w:rPr>
      </w:pPr>
      <w:r w:rsidRPr="00B72A96">
        <w:rPr>
          <w:bCs/>
        </w:rPr>
        <w:t>On the following day, apply two 30 µL drops of Euparal to each slide. Place a coverslip over the mounting medium and gently seal by applying finger pressure.</w:t>
      </w:r>
    </w:p>
    <w:p w14:paraId="109A5C0A" w14:textId="77777777" w:rsidR="006B4CE8" w:rsidRPr="00B72A96" w:rsidRDefault="006B4CE8" w:rsidP="00BD5E4C">
      <w:pPr>
        <w:pStyle w:val="ProtocolNote"/>
        <w:spacing w:after="0"/>
        <w:contextualSpacing/>
        <w:mirrorIndents/>
        <w:rPr>
          <w:bCs/>
        </w:rPr>
      </w:pPr>
    </w:p>
    <w:p w14:paraId="2CF1132E" w14:textId="77777777" w:rsidR="00760F13" w:rsidRPr="00B72A96" w:rsidRDefault="00760F13" w:rsidP="00BD5E4C">
      <w:pPr>
        <w:pStyle w:val="ProtocolNote"/>
        <w:spacing w:after="0"/>
        <w:contextualSpacing/>
        <w:mirrorIndents/>
        <w:rPr>
          <w:bCs/>
        </w:rPr>
      </w:pPr>
      <w:r w:rsidRPr="00B72A96">
        <w:rPr>
          <w:bCs/>
        </w:rPr>
        <w:t>CAUTION: Euparal is toxic and flammable, and high inhalation exposure can cause organ damage; eye exposure can cause severe irritation and redness. Perform the Euparal mounting step in a chemical fume hood while wearing latex or nitrile gloves and safety goggles. Absorb spills immediately with tissue and wash the area with water and detergent. After eye contact, rinse the eyes with water for at least 15 min.</w:t>
      </w:r>
    </w:p>
    <w:p w14:paraId="38139466" w14:textId="77777777" w:rsidR="006B4CE8" w:rsidRPr="00B72A96" w:rsidRDefault="006B4CE8" w:rsidP="00BD5E4C">
      <w:pPr>
        <w:pStyle w:val="ProtocolNote"/>
        <w:spacing w:after="0"/>
        <w:contextualSpacing/>
        <w:mirrorIndents/>
        <w:rPr>
          <w:bCs/>
        </w:rPr>
      </w:pPr>
    </w:p>
    <w:p w14:paraId="3779A660" w14:textId="1056DBE9" w:rsidR="00760F13" w:rsidRPr="00B72A96" w:rsidRDefault="00760F13" w:rsidP="00BD5E4C">
      <w:pPr>
        <w:pStyle w:val="ProtocolNote"/>
        <w:numPr>
          <w:ilvl w:val="2"/>
          <w:numId w:val="22"/>
        </w:numPr>
        <w:spacing w:after="0"/>
        <w:ind w:left="0" w:firstLine="0"/>
        <w:contextualSpacing/>
        <w:mirrorIndents/>
        <w:rPr>
          <w:bCs/>
        </w:rPr>
      </w:pPr>
      <w:r w:rsidRPr="00B72A96">
        <w:rPr>
          <w:bCs/>
        </w:rPr>
        <w:t>Image as many metaphase spreads as possible per slide with a brightfield microscope and a 63× oil objective.</w:t>
      </w:r>
    </w:p>
    <w:p w14:paraId="04AC2B5D" w14:textId="77777777" w:rsidR="006B4CE8" w:rsidRPr="00B72A96" w:rsidRDefault="006B4CE8" w:rsidP="00BD5E4C">
      <w:pPr>
        <w:pStyle w:val="ProtocolNote"/>
        <w:spacing w:after="0"/>
        <w:contextualSpacing/>
        <w:mirrorIndents/>
        <w:rPr>
          <w:bCs/>
        </w:rPr>
      </w:pPr>
    </w:p>
    <w:p w14:paraId="50F08279" w14:textId="6F3F40F9" w:rsidR="00760F13" w:rsidRPr="00B72A96" w:rsidRDefault="00760F13" w:rsidP="00BD5E4C">
      <w:pPr>
        <w:pStyle w:val="ProtocolNote"/>
        <w:numPr>
          <w:ilvl w:val="2"/>
          <w:numId w:val="22"/>
        </w:numPr>
        <w:spacing w:after="0"/>
        <w:ind w:left="0" w:firstLine="0"/>
        <w:contextualSpacing/>
        <w:mirrorIndents/>
        <w:rPr>
          <w:bCs/>
        </w:rPr>
      </w:pPr>
      <w:r w:rsidRPr="00B72A96">
        <w:rPr>
          <w:bCs/>
        </w:rPr>
        <w:t>After imaging, open each image in Fiji/ImageJ and manually count the chromosomes in each spread with the Multi-point or Point Tool. Quantify at least 50 spreads per sample.</w:t>
      </w:r>
    </w:p>
    <w:p w14:paraId="21FF2E68" w14:textId="77777777" w:rsidR="006B4CE8" w:rsidRPr="00B72A96" w:rsidRDefault="006B4CE8" w:rsidP="00BD5E4C">
      <w:pPr>
        <w:pStyle w:val="ListParagraph"/>
        <w:ind w:left="0"/>
        <w:mirrorIndents/>
        <w:rPr>
          <w:bCs/>
        </w:rPr>
      </w:pPr>
    </w:p>
    <w:p w14:paraId="35CA2E61" w14:textId="68AC8DA9" w:rsidR="00760F13" w:rsidRPr="00B72A96" w:rsidRDefault="00760F13" w:rsidP="00BD5E4C">
      <w:pPr>
        <w:pStyle w:val="ProtocolNote"/>
        <w:numPr>
          <w:ilvl w:val="2"/>
          <w:numId w:val="22"/>
        </w:numPr>
        <w:spacing w:after="0"/>
        <w:ind w:left="0" w:firstLine="0"/>
        <w:contextualSpacing/>
        <w:mirrorIndents/>
        <w:rPr>
          <w:bCs/>
        </w:rPr>
      </w:pPr>
      <w:r w:rsidRPr="00B72A96">
        <w:rPr>
          <w:bCs/>
        </w:rPr>
        <w:t>Image only spreads containing clearly separated and countable chromosomes. Classify spreads with 46 chromosomes as euploid and spreads with any other chromosome count as aneuploid.</w:t>
      </w:r>
      <w:r w:rsidR="00147E37" w:rsidRPr="00B72A96">
        <w:rPr>
          <w:bCs/>
        </w:rPr>
        <w:t xml:space="preserve"> </w:t>
      </w:r>
    </w:p>
    <w:p w14:paraId="28621196" w14:textId="3EC37A51" w:rsidR="00760F13" w:rsidRPr="00B72A96" w:rsidRDefault="00760F13" w:rsidP="00BD5E4C">
      <w:pPr>
        <w:pStyle w:val="ListParagraph"/>
        <w:numPr>
          <w:ilvl w:val="0"/>
          <w:numId w:val="22"/>
        </w:numPr>
        <w:ind w:left="0" w:firstLine="0"/>
        <w:mirrorIndents/>
        <w:rPr>
          <w:b/>
          <w:bCs/>
        </w:rPr>
      </w:pPr>
      <w:r w:rsidRPr="00B72A96">
        <w:rPr>
          <w:b/>
          <w:bCs/>
        </w:rPr>
        <w:t>Statistical analysis</w:t>
      </w:r>
    </w:p>
    <w:p w14:paraId="554972DE" w14:textId="3F351130" w:rsidR="00760F13" w:rsidRPr="00B72A96" w:rsidRDefault="00760F13" w:rsidP="00BD5E4C">
      <w:pPr>
        <w:pStyle w:val="ProtocolNote"/>
        <w:numPr>
          <w:ilvl w:val="1"/>
          <w:numId w:val="22"/>
        </w:numPr>
        <w:spacing w:after="0"/>
        <w:ind w:left="0" w:firstLine="0"/>
        <w:contextualSpacing/>
        <w:mirrorIndents/>
      </w:pPr>
      <w:r w:rsidRPr="00B72A96">
        <w:t>Perform statistical analyses and prepare graphs using GraphPad Pris</w:t>
      </w:r>
      <w:r w:rsidR="006B4CE8" w:rsidRPr="00B72A96">
        <w:t>m</w:t>
      </w:r>
      <w:r w:rsidRPr="00B72A96">
        <w:t>. Unless otherwise stated, present data as the mean ± standard deviation (SD), define statistical significance as an adjusted p value &lt; 0.05, and use the following figure thresholds: *</w:t>
      </w:r>
      <w:r w:rsidRPr="00B72A96">
        <w:rPr>
          <w:i/>
          <w:iCs/>
        </w:rPr>
        <w:t>p</w:t>
      </w:r>
      <w:r w:rsidRPr="00B72A96">
        <w:t xml:space="preserve"> &lt; 0.05, **</w:t>
      </w:r>
      <w:r w:rsidRPr="00B72A96">
        <w:rPr>
          <w:i/>
          <w:iCs/>
        </w:rPr>
        <w:t>p</w:t>
      </w:r>
      <w:r w:rsidRPr="00B72A96">
        <w:t xml:space="preserve"> &lt; 0.01, ***</w:t>
      </w:r>
      <w:r w:rsidRPr="00B72A96">
        <w:rPr>
          <w:i/>
          <w:iCs/>
        </w:rPr>
        <w:t>p</w:t>
      </w:r>
      <w:r w:rsidRPr="00B72A96">
        <w:t xml:space="preserve"> &lt; 0.001, and ****</w:t>
      </w:r>
      <w:r w:rsidRPr="00B72A96">
        <w:rPr>
          <w:i/>
          <w:iCs/>
        </w:rPr>
        <w:t>p</w:t>
      </w:r>
      <w:r w:rsidRPr="00B72A96">
        <w:t xml:space="preserve"> &lt; 0.0001.</w:t>
      </w:r>
    </w:p>
    <w:p w14:paraId="137934DA" w14:textId="77777777" w:rsidR="006B4CE8" w:rsidRPr="00B72A96" w:rsidRDefault="006B4CE8" w:rsidP="00BD5E4C">
      <w:pPr>
        <w:pStyle w:val="ProtocolNote"/>
        <w:spacing w:after="0"/>
        <w:contextualSpacing/>
        <w:mirrorIndents/>
      </w:pPr>
    </w:p>
    <w:p w14:paraId="7DC8A482" w14:textId="71E14071" w:rsidR="00760F13" w:rsidRPr="00B72A96" w:rsidRDefault="00760F13" w:rsidP="00BD5E4C">
      <w:pPr>
        <w:pStyle w:val="ProtocolNote"/>
        <w:numPr>
          <w:ilvl w:val="1"/>
          <w:numId w:val="22"/>
        </w:numPr>
        <w:spacing w:after="0"/>
        <w:ind w:left="0" w:firstLine="0"/>
        <w:contextualSpacing/>
        <w:mirrorIndents/>
      </w:pPr>
      <w:r w:rsidRPr="00B72A96">
        <w:t>Define an independent biological replicate as a separate cell-culture experiment. Treat results as paired when every treatment condition is evaluated within the same independent experiment.</w:t>
      </w:r>
    </w:p>
    <w:p w14:paraId="2DAD6B91" w14:textId="77777777" w:rsidR="006B4CE8" w:rsidRPr="00B72A96" w:rsidRDefault="006B4CE8" w:rsidP="00BD5E4C">
      <w:pPr>
        <w:pStyle w:val="ListParagraph"/>
        <w:ind w:left="0"/>
        <w:mirrorIndents/>
      </w:pPr>
    </w:p>
    <w:p w14:paraId="155C04B8" w14:textId="69721F5E" w:rsidR="00760F13" w:rsidRPr="00B72A96" w:rsidRDefault="00760F13" w:rsidP="00BD5E4C">
      <w:pPr>
        <w:pStyle w:val="ProtocolNote"/>
        <w:numPr>
          <w:ilvl w:val="1"/>
          <w:numId w:val="22"/>
        </w:numPr>
        <w:spacing w:after="0"/>
        <w:ind w:left="0" w:firstLine="0"/>
        <w:contextualSpacing/>
        <w:mirrorIndents/>
      </w:pPr>
      <w:r w:rsidRPr="00B72A96">
        <w:t>Treat individual cells, nuclei, anaphases, metaphase spreads, microscopic fields, and regions of interest as technical measurements rather than independent biological replicates. Specify biological-replicate and technical-observation counts in the figure legends.</w:t>
      </w:r>
    </w:p>
    <w:p w14:paraId="65159C8A" w14:textId="77777777" w:rsidR="006B4CE8" w:rsidRPr="00B72A96" w:rsidRDefault="006B4CE8" w:rsidP="00BD5E4C">
      <w:pPr>
        <w:pStyle w:val="ProtocolNote"/>
        <w:spacing w:after="0"/>
        <w:contextualSpacing/>
        <w:mirrorIndents/>
      </w:pPr>
    </w:p>
    <w:p w14:paraId="062DB321" w14:textId="7C89FBC0" w:rsidR="00760F13" w:rsidRPr="00B72A96" w:rsidRDefault="00760F13" w:rsidP="00BD5E4C">
      <w:pPr>
        <w:pStyle w:val="ProtocolNote"/>
        <w:numPr>
          <w:ilvl w:val="1"/>
          <w:numId w:val="22"/>
        </w:numPr>
        <w:spacing w:after="0"/>
        <w:ind w:left="0" w:firstLine="0"/>
        <w:contextualSpacing/>
        <w:mirrorIndents/>
      </w:pPr>
      <w:r w:rsidRPr="00B72A96">
        <w:t xml:space="preserve">Compare matched treatment conditions by repeated-measures one-way ANOVA followed by Dunnett's </w:t>
      </w:r>
      <w:r w:rsidR="0019052C">
        <w:t>multiple comparison</w:t>
      </w:r>
      <w:r w:rsidRPr="00B72A96">
        <w:t xml:space="preserve">s test. Compare independent groups by ordinary one-way ANOVA followed by Dunnett's </w:t>
      </w:r>
      <w:r w:rsidR="0019052C">
        <w:t>multiple comparison</w:t>
      </w:r>
      <w:r w:rsidRPr="00B72A96">
        <w:t>s test.</w:t>
      </w:r>
    </w:p>
    <w:p w14:paraId="463C2788" w14:textId="77777777" w:rsidR="006B4CE8" w:rsidRPr="00B72A96" w:rsidRDefault="006B4CE8" w:rsidP="00BD5E4C">
      <w:pPr>
        <w:pStyle w:val="ListParagraph"/>
        <w:ind w:left="0"/>
        <w:mirrorIndents/>
      </w:pPr>
    </w:p>
    <w:p w14:paraId="223DB9E1" w14:textId="548BFFAB" w:rsidR="00760F13" w:rsidRPr="00B72A96" w:rsidRDefault="00760F13" w:rsidP="00BD5E4C">
      <w:pPr>
        <w:pStyle w:val="ProtocolNote"/>
        <w:numPr>
          <w:ilvl w:val="1"/>
          <w:numId w:val="22"/>
        </w:numPr>
        <w:spacing w:after="0"/>
        <w:ind w:left="0" w:firstLine="0"/>
        <w:contextualSpacing/>
        <w:mirrorIndents/>
      </w:pPr>
      <w:r w:rsidRPr="00B72A96">
        <w:t xml:space="preserve">When accounting for unequal variances, use Welch's one-way ANOVA followed by Dunnett's T3 </w:t>
      </w:r>
      <w:r w:rsidR="0019052C">
        <w:t>multiple comparison</w:t>
      </w:r>
      <w:r w:rsidRPr="00B72A96">
        <w:t>s test. Specify the statistical test for each experiment in the corresponding figure legend.</w:t>
      </w:r>
    </w:p>
    <w:p w14:paraId="2A70AF25" w14:textId="77777777" w:rsidR="00760F13" w:rsidRPr="00B72A96" w:rsidRDefault="00760F13" w:rsidP="00BD5E4C">
      <w:pPr>
        <w:pStyle w:val="ProtocolNote"/>
        <w:spacing w:after="0"/>
        <w:contextualSpacing/>
        <w:mirrorIndents/>
        <w:rPr>
          <w:b/>
          <w:bCs/>
        </w:rPr>
      </w:pPr>
    </w:p>
    <w:p w14:paraId="28150136" w14:textId="121AA410" w:rsidR="000C3DAE" w:rsidRPr="00B72A96" w:rsidRDefault="00000000" w:rsidP="00BD5E4C">
      <w:pPr>
        <w:pBdr>
          <w:top w:val="nil"/>
          <w:left w:val="nil"/>
          <w:bottom w:val="nil"/>
          <w:right w:val="nil"/>
          <w:between w:val="nil"/>
        </w:pBdr>
        <w:contextualSpacing/>
        <w:mirrorIndents/>
      </w:pPr>
      <w:r w:rsidRPr="00B72A96">
        <w:rPr>
          <w:b/>
          <w:bCs/>
        </w:rPr>
        <w:t xml:space="preserve">RESULTS: </w:t>
      </w:r>
    </w:p>
    <w:p w14:paraId="46C34FCA" w14:textId="159DBB20" w:rsidR="000C3DAE" w:rsidRPr="00B72A96" w:rsidRDefault="00000000" w:rsidP="00BD5E4C">
      <w:pPr>
        <w:contextualSpacing/>
        <w:mirrorIndents/>
        <w:rPr>
          <w:b/>
          <w:bCs/>
        </w:rPr>
      </w:pPr>
      <w:r w:rsidRPr="00B72A96">
        <w:rPr>
          <w:b/>
          <w:bCs/>
        </w:rPr>
        <w:t xml:space="preserve">Efficient differentiation of </w:t>
      </w:r>
      <w:proofErr w:type="spellStart"/>
      <w:r w:rsidRPr="00B72A96">
        <w:rPr>
          <w:b/>
          <w:bCs/>
        </w:rPr>
        <w:t>hPSCs</w:t>
      </w:r>
      <w:proofErr w:type="spellEnd"/>
      <w:r w:rsidRPr="00B72A96">
        <w:rPr>
          <w:b/>
          <w:bCs/>
        </w:rPr>
        <w:t xml:space="preserve"> towards the three germ layers</w:t>
      </w:r>
    </w:p>
    <w:p w14:paraId="4DD8C569" w14:textId="4C6C38DA" w:rsidR="000C3DAE" w:rsidRPr="00B72A96" w:rsidRDefault="00000000" w:rsidP="00BD5E4C">
      <w:pPr>
        <w:contextualSpacing/>
        <w:mirrorIndents/>
      </w:pPr>
      <w:r w:rsidRPr="00B72A96">
        <w:t>Primed human pluripotent stem cells (</w:t>
      </w:r>
      <w:proofErr w:type="spellStart"/>
      <w:r w:rsidRPr="00B72A96">
        <w:t>hPSCs</w:t>
      </w:r>
      <w:proofErr w:type="spellEnd"/>
      <w:r w:rsidRPr="00B72A96">
        <w:t xml:space="preserve">) represent </w:t>
      </w:r>
      <w:r w:rsidRPr="00B72A96">
        <w:rPr>
          <w:i/>
          <w:iCs/>
        </w:rPr>
        <w:t>in vitro</w:t>
      </w:r>
      <w:r w:rsidRPr="00B72A96">
        <w:t xml:space="preserve"> the human epiblast of the pre-gastrulating embryo and are a great model to recapitulate early human embryogenesis (</w:t>
      </w:r>
      <w:r w:rsidRPr="00B72A96">
        <w:rPr>
          <w:b/>
          <w:bCs/>
        </w:rPr>
        <w:t>Figure 1</w:t>
      </w:r>
      <w:proofErr w:type="gramStart"/>
      <w:r w:rsidRPr="00B72A96">
        <w:rPr>
          <w:b/>
          <w:bCs/>
        </w:rPr>
        <w:t>A</w:t>
      </w:r>
      <w:r w:rsidR="0045469C" w:rsidRPr="00B72A96">
        <w:rPr>
          <w:b/>
          <w:bCs/>
        </w:rPr>
        <w:t>,</w:t>
      </w:r>
      <w:r w:rsidRPr="00B72A96">
        <w:rPr>
          <w:b/>
          <w:bCs/>
        </w:rPr>
        <w:t>B</w:t>
      </w:r>
      <w:proofErr w:type="gramEnd"/>
      <w:r w:rsidRPr="00B72A96">
        <w:t xml:space="preserve">). They self-renew and retain pluripotency </w:t>
      </w:r>
      <w:r w:rsidR="0019052C">
        <w:t>-</w:t>
      </w:r>
      <w:r w:rsidRPr="00B72A96">
        <w:t xml:space="preserve">the ability to differentiate towards all the cell types of the future organism. Here, we direct PSC differentiation towards lineage-specific paths </w:t>
      </w:r>
      <w:r w:rsidRPr="00B72A96">
        <w:lastRenderedPageBreak/>
        <w:t>upon primed pluripotency exit through a chemical and growth factor approach (</w:t>
      </w:r>
      <w:r w:rsidRPr="00B72A96">
        <w:rPr>
          <w:b/>
          <w:bCs/>
        </w:rPr>
        <w:t>Figure 1</w:t>
      </w:r>
      <w:proofErr w:type="gramStart"/>
      <w:r w:rsidRPr="00B72A96">
        <w:rPr>
          <w:b/>
          <w:bCs/>
        </w:rPr>
        <w:t>B</w:t>
      </w:r>
      <w:r w:rsidR="0045469C" w:rsidRPr="00B72A96">
        <w:rPr>
          <w:b/>
          <w:bCs/>
        </w:rPr>
        <w:t>,</w:t>
      </w:r>
      <w:r w:rsidRPr="00B72A96">
        <w:rPr>
          <w:b/>
          <w:bCs/>
        </w:rPr>
        <w:t>C</w:t>
      </w:r>
      <w:proofErr w:type="gramEnd"/>
      <w:r w:rsidRPr="00B72A96">
        <w:t xml:space="preserve">). The protocols described in Figure 1C have been implemented based on previous lineage specification methods using </w:t>
      </w:r>
      <w:proofErr w:type="spellStart"/>
      <w:r w:rsidRPr="00B72A96">
        <w:t>hPSCs</w:t>
      </w:r>
      <w:proofErr w:type="spellEnd"/>
      <w:r w:rsidRPr="00B72A96">
        <w:t>, including those generating the primitive streak stage</w:t>
      </w:r>
      <w:r w:rsidR="0080103D" w:rsidRPr="00B72A96">
        <w:rPr>
          <w:vertAlign w:val="superscript"/>
        </w:rPr>
        <w:t xml:space="preserve"> </w:t>
      </w:r>
      <w:r w:rsidR="0080103D" w:rsidRPr="00B72A96">
        <w:rPr>
          <w:vertAlign w:val="superscript"/>
        </w:rPr>
        <w:fldChar w:fldCharType="begin" w:fldLock="1"/>
      </w:r>
      <w:r w:rsidR="004E5438" w:rsidRPr="00B72A96">
        <w:rPr>
          <w:vertAlign w:val="superscript"/>
        </w:rPr>
        <w:instrText>ADDIN CSL_CITATION {"citationItems":[{"id":"ITEM-1","itemData":{"DOI":"10.1016/J.CELL.2016.06.011","ISSN":"1097-4172","PMID":"27419872","abstract":"Stem-cell differentiation to desired lineages requires navigating alternating developmental paths that often lead to unwanted cell types. Hence, comprehensive developmental roadmaps are crucial to channel stem-cell differentiation toward desired fates. To this end, here, we map bifurcating lineage choices leading from pluripotency to 12 human mesodermal lineages, including bone, muscle, and heart. We defined the extrinsic signals controlling each binary lineage decision, enabling us to logically block differentiation toward unwanted fates and rapidly steer pluripotent stem cells toward 80%–99% pure human mesodermal lineages at most branchpoints. This strategy enabled the generation of human bone and heart progenitors that could engraft in respective in vivo models. Mapping stepwise chromatin and single-cell gene expression changes in mesoderm development uncovered somite segmentation, a previously unobservable human embryonic event transiently marked by HOPX expression. Collectively, this roadmap enables navigation of mesodermal development to produce transplantable human tissue progenitors and uncover developmental processes. Video Abstract","author":[{"dropping-particle":"","family":"Loh","given":"Kyle M M.","non-dropping-particle":"","parse-names":false,"suffix":""},{"dropping-particle":"","family":"Chen","given":"Angela","non-dropping-particle":"","parse-names":false,"suffix":""},{"dropping-particle":"","family":"Koh","given":"Pang Wei W.","non-dropping-particle":"","parse-names":false,"suffix":""},{"dropping-particle":"","family":"Deng","given":"Tianda Z Z.","non-dropping-particle":"","parse-names":false,"suffix":""},{"dropping-particle":"","family":"Sinha","given":"Rahul","non-dropping-particle":"","parse-names":false,"suffix":""},{"dropping-particle":"","family":"Tsai","given":"Jonathan M M.","non-dropping-particle":"","parse-names":false,"suffix":""},{"dropping-particle":"","family":"Barkal","given":"Amira A A.","non-dropping-particle":"","parse-names":false,"suffix":""},{"dropping-particle":"","family":"Shen","given":"Kimberle Y Y.","non-dropping-particle":"","parse-names":false,"suffix":""},{"dropping-particle":"","family":"Jain","given":"Rajan","non-dropping-particle":"","parse-names":false,"suffix":""},{"dropping-particle":"","family":"Morganti","given":"Rachel M M.","non-dropping-particle":"","parse-names":false,"suffix":""},{"dropping-particle":"","family":"Shyh-Chang","given":"Ng","non-dropping-particle":"","parse-names":false,"suffix":""},{"dropping-particle":"","family":"Fernhoff","given":"Nathaniel B B.","non-dropping-particle":"","parse-names":false,"suffix":""},{"dropping-particle":"","family":"George","given":"Benson M M.","non-dropping-particle":"","parse-names":false,"suffix":""},{"dropping-particle":"","family":"Wernig","given":"Gerlinde","non-dropping-particle":"","parse-names":false,"suffix":""},{"dropping-particle":"","family":"Salomon","given":"Rachel E E.A.","non-dropping-particle":"","parse-names":false,"suffix":""},{"dropping-particle":"","family":"Chen","given":"Zhenghao","non-dropping-particle":"","parse-names":false,"suffix":""},{"dropping-particle":"","family":"Vogel","given":"Hannes","non-dropping-particle":"","parse-names":false,"suffix":""},{"dropping-particle":"","family":"Epstein","given":"Jonathan A A.","non-dropping-particle":"","parse-names":false,"suffix":""},{"dropping-particle":"","family":"Kundaje","given":"Anshul","non-dropping-particle":"","parse-names":false,"suffix":""},{"dropping-particle":"","family":"Talbot","given":"William S S.","non-dropping-particle":"","parse-names":false,"suffix":""},{"dropping-particle":"","family":"Beachy","given":"Philip A A.","non-dropping-particle":"","parse-names":false,"suffix":""},{"dropping-particle":"","family":"Ang","given":"Lay Teng T.","non-dropping-particle":"","parse-names":false,"suffix":""},{"dropping-particle":"","family":"Weissman","given":"Irving L L.","non-dropping-particle":"","parse-names":false,"suffix":""}],"container-title":"Cell","id":"ITEM-1","issue":"2","issued":{"date-parts":[["2016","7","14"]]},"page":"451-467","publisher":"Cell","title":"Mapping the Pairwise Choices Leading from Pluripotency to Human Bone, Heart, and Other Mesoderm Cell Types","type":"article-journal","volume":"166"},"uris":["http://www.mendeley.com/documents/?uuid=cd152ee6-798d-3bdd-aa02-bebad121a871"]},{"id":"ITEM-2","itemData":{"DOI":"10.1038/s41467-024-51821-9","ISSN":"2041-1723","abstract":"Human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stress","type":"article-journal","volume":"15"},"uris":["http://www.mendeley.com/documents/?uuid=21245d15-68e1-356b-bf33-3a3e11b3eeb4"]},{"id":"ITEM-3","itemData":{"DOI":"10.1681/ASN.2013080831","ISSN":"15333450","PMID":"24357672","abstract":"Human pluripotent stem cells (hPSCs) can generate a diversity of cell types, but few methods have been developed to derive cells of the kidney lineage. Here, we report a highly efficient system for differentiating human embryonic stem cells and induced pluripotent stem cells (referred to collectively as hPSCs) into cells expressing markers of the intermediate mesoderm (IM) that subsequently form tubule-like structures. Treatment of hPSCs with the glycogen synthase kinase-3β inhibitor CHIR99021 induced BRACHYURY+MIXL1+ mesendoderm differentiation with nearly 100% efficiency. In the absence of additional exogenous factors, CHIR99021-induced mesendodermal cells preferentially differentiated into cells expressing markers of lateral plate mesoderm with minimal IM differentiation. However, the sequential treatment of hPSCs with CHIR99021 followed by fibroblast growth factor-2 and retinoic acid generated PAX2+LHX1+ cells with 70%-80% efficiency after 3 days of differentiation. Upon growth factor withdrawal, these PAX2+LHX1+ cells gave rise to apically ciliated tubular structures that coexpressed the proximal tubule markers Lotus tetragonolobus lectin, N-cadherin, and kidney-specific protein and partially integrated into embryonic kidney explant cultures. With the addition of FGF9 and activin, PAX2+LHX1+ cells specifically differentiated into cells expressing SIX2, SALL1, and WT1, markers of cap mesenchyme nephron progenitor cells. Our findings demonstrate the effective role of fibroblast growth factor signaling in inducing IM differentiation in hPSCs and establish the most rapid and efficient system whereby hPSCs can be differentiated into cells with features characteristic of kidney lineage cells.","author":[{"dropping-particle":"","family":"Lam","given":"Albert Q.","non-dropping-particle":"","parse-names":false,"suffix":""},{"dropping-particle":"","family":"Freedman","given":"Benjamin S.","non-dropping-particle":"","parse-names":false,"suffix":""},{"dropping-particle":"","family":"Morizane","given":"Ryuji","non-dropping-particle":"","parse-names":false,"suffix":""},{"dropping-particle":"","family":"Lerou","given":"Paul H.","non-dropping-particle":"","parse-names":false,"suffix":""},{"dropping-particle":"","family":"Valerius","given":"M. Todd","non-dropping-particle":"","parse-names":false,"suffix":""},{"dropping-particle":"V.","family":"Bonventre","given":"Joseph","non-dropping-particle":"","parse-names":false,"suffix":""}],"container-title":"Journal of the American Society of Nephrology","id":"ITEM-3","issue":"6","issued":{"date-parts":[["2014"]]},"page":"1211-1225","title":"Rapid and efficient differentiation of human pluripotent stem cells into intermediate mesoderm that forms tubules expressing kidney proximal tubular markers","type":"article-journal","volume":"25"},"uris":["http://www.mendeley.com/documents/?uuid=bc95df08-cea2-49d6-bc6e-e57f3358a4f3"]}],"mendeley":{"formattedCitation":"&lt;sup&gt;6,21,29&lt;/sup&gt;","plainTextFormattedCitation":"6,21,29","previouslyFormattedCitation":"&lt;sup&gt;6,21,29&lt;/sup&gt;"},"properties":{"noteIndex":0},"schema":"https://github.com/citation-style-language/schema/raw/master/csl-citation.json"}</w:instrText>
      </w:r>
      <w:r w:rsidR="0080103D" w:rsidRPr="00B72A96">
        <w:rPr>
          <w:vertAlign w:val="superscript"/>
        </w:rPr>
        <w:fldChar w:fldCharType="separate"/>
      </w:r>
      <w:r w:rsidR="0080103D" w:rsidRPr="00B72A96">
        <w:rPr>
          <w:noProof/>
          <w:vertAlign w:val="superscript"/>
        </w:rPr>
        <w:t>6,21,2</w:t>
      </w:r>
      <w:r w:rsidR="00390F9D">
        <w:rPr>
          <w:noProof/>
          <w:vertAlign w:val="superscript"/>
        </w:rPr>
        <w:t>7</w:t>
      </w:r>
      <w:r w:rsidR="0080103D" w:rsidRPr="00B72A96">
        <w:rPr>
          <w:vertAlign w:val="superscript"/>
        </w:rPr>
        <w:fldChar w:fldCharType="end"/>
      </w:r>
      <w:r w:rsidRPr="00B72A96">
        <w:t>, lateral and paraxial mesoderm</w:t>
      </w:r>
      <w:r w:rsidR="004E5438" w:rsidRPr="00B72A96">
        <w:rPr>
          <w:vertAlign w:val="superscript"/>
        </w:rPr>
        <w:fldChar w:fldCharType="begin" w:fldLock="1"/>
      </w:r>
      <w:r w:rsidR="004E5438" w:rsidRPr="00B72A96">
        <w:rPr>
          <w:vertAlign w:val="superscript"/>
        </w:rPr>
        <w:instrText>ADDIN CSL_CITATION {"citationItems":[{"id":"ITEM-1","itemData":{"DOI":"10.1016/J.CELL.2016.06.011","ISSN":"1097-4172","PMID":"27419872","abstract":"Stem-cell differentiation to desired lineages requires navigating alternating developmental paths that often lead to unwanted cell types. Hence, comprehensive developmental roadmaps are crucial to channel stem-cell differentiation toward desired fates. To this end, here, we map bifurcating lineage choices leading from pluripotency to 12 human mesodermal lineages, including bone, muscle, and heart. We defined the extrinsic signals controlling each binary lineage decision, enabling us to logically block differentiation toward unwanted fates and rapidly steer pluripotent stem cells toward 80%–99% pure human mesodermal lineages at most branchpoints. This strategy enabled the generation of human bone and heart progenitors that could engraft in respective in vivo models. Mapping stepwise chromatin and single-cell gene expression changes in mesoderm development uncovered somite segmentation, a previously unobservable human embryonic event transiently marked by HOPX expression. Collectively, this roadmap enables navigation of mesodermal development to produce transplantable human tissue progenitors and uncover developmental processes. Video Abstract","author":[{"dropping-particle":"","family":"Loh","given":"Kyle M M.","non-dropping-particle":"","parse-names":false,"suffix":""},{"dropping-particle":"","family":"Chen","given":"Angela","non-dropping-particle":"","parse-names":false,"suffix":""},{"dropping-particle":"","family":"Koh","given":"Pang Wei W.","non-dropping-particle":"","parse-names":false,"suffix":""},{"dropping-particle":"","family":"Deng","given":"Tianda Z Z.","non-dropping-particle":"","parse-names":false,"suffix":""},{"dropping-particle":"","family":"Sinha","given":"Rahul","non-dropping-particle":"","parse-names":false,"suffix":""},{"dropping-particle":"","family":"Tsai","given":"Jonathan M M.","non-dropping-particle":"","parse-names":false,"suffix":""},{"dropping-particle":"","family":"Barkal","given":"Amira A A.","non-dropping-particle":"","parse-names":false,"suffix":""},{"dropping-particle":"","family":"Shen","given":"Kimberle Y Y.","non-dropping-particle":"","parse-names":false,"suffix":""},{"dropping-particle":"","family":"Jain","given":"Rajan","non-dropping-particle":"","parse-names":false,"suffix":""},{"dropping-particle":"","family":"Morganti","given":"Rachel M M.","non-dropping-particle":"","parse-names":false,"suffix":""},{"dropping-particle":"","family":"Shyh-Chang","given":"Ng","non-dropping-particle":"","parse-names":false,"suffix":""},{"dropping-particle":"","family":"Fernhoff","given":"Nathaniel B B.","non-dropping-particle":"","parse-names":false,"suffix":""},{"dropping-particle":"","family":"George","given":"Benson M M.","non-dropping-particle":"","parse-names":false,"suffix":""},{"dropping-particle":"","family":"Wernig","given":"Gerlinde","non-dropping-particle":"","parse-names":false,"suffix":""},{"dropping-particle":"","family":"Salomon","given":"Rachel E E.A.","non-dropping-particle":"","parse-names":false,"suffix":""},{"dropping-particle":"","family":"Chen","given":"Zhenghao","non-dropping-particle":"","parse-names":false,"suffix":""},{"dropping-particle":"","family":"Vogel","given":"Hannes","non-dropping-particle":"","parse-names":false,"suffix":""},{"dropping-particle":"","family":"Epstein","given":"Jonathan A A.","non-dropping-particle":"","parse-names":false,"suffix":""},{"dropping-particle":"","family":"Kundaje","given":"Anshul","non-dropping-particle":"","parse-names":false,"suffix":""},{"dropping-particle":"","family":"Talbot","given":"William S S.","non-dropping-particle":"","parse-names":false,"suffix":""},{"dropping-particle":"","family":"Beachy","given":"Philip A A.","non-dropping-particle":"","parse-names":false,"suffix":""},{"dropping-particle":"","family":"Ang","given":"Lay Teng T.","non-dropping-particle":"","parse-names":false,"suffix":""},{"dropping-particle":"","family":"Weissman","given":"Irving L L.","non-dropping-particle":"","parse-names":false,"suffix":""}],"container-title":"Cell","id":"ITEM-1","issue":"2","issued":{"date-parts":[["2016","7","14"]]},"page":"451-467","publisher":"Cell","title":"Mapping the Pairwise Choices Leading from Pluripotency to Human Bone, Heart, and Other Mesoderm Cell Types","type":"article-journal","volume":"166"},"uris":["http://www.mendeley.com/documents/?uuid=cd152ee6-798d-3bdd-aa02-bebad121a871"]},{"id":"ITEM-2","itemData":{"DOI":"10.1038/s41467-024-51821-9","ISSN":"2041-1723","abstract":"Human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stress","type":"article-journal","volume":"15"},"uris":["http://www.mendeley.com/documents/?uuid=21245d15-68e1-356b-bf33-3a3e11b3eeb4"]},{"id":"ITEM-3","itemData":{"DOI":"10.1681/ASN.2013080831","ISSN":"15333450","PMID":"24357672","abstract":"Human pluripotent stem cells (hPSCs) can generate a diversity of cell types, but few methods have been developed to derive cells of the kidney lineage. Here, we report a highly efficient system for differentiating human embryonic stem cells and induced pluripotent stem cells (referred to collectively as hPSCs) into cells expressing markers of the intermediate mesoderm (IM) that subsequently form tubule-like structures. Treatment of hPSCs with the glycogen synthase kinase-3β inhibitor CHIR99021 induced BRACHYURY+MIXL1+ mesendoderm differentiation with nearly 100% efficiency. In the absence of additional exogenous factors, CHIR99021-induced mesendodermal cells preferentially differentiated into cells expressing markers of lateral plate mesoderm with minimal IM differentiation. However, the sequential treatment of hPSCs with CHIR99021 followed by fibroblast growth factor-2 and retinoic acid generated PAX2+LHX1+ cells with 70%-80% efficiency after 3 days of differentiation. Upon growth factor withdrawal, these PAX2+LHX1+ cells gave rise to apically ciliated tubular structures that coexpressed the proximal tubule markers Lotus tetragonolobus lectin, N-cadherin, and kidney-specific protein and partially integrated into embryonic kidney explant cultures. With the addition of FGF9 and activin, PAX2+LHX1+ cells specifically differentiated into cells expressing SIX2, SALL1, and WT1, markers of cap mesenchyme nephron progenitor cells. Our findings demonstrate the effective role of fibroblast growth factor signaling in inducing IM differentiation in hPSCs and establish the most rapid and efficient system whereby hPSCs can be differentiated into cells with features characteristic of kidney lineage cells.","author":[{"dropping-particle":"","family":"Lam","given":"Albert Q.","non-dropping-particle":"","parse-names":false,"suffix":""},{"dropping-particle":"","family":"Freedman","given":"Benjamin S.","non-dropping-particle":"","parse-names":false,"suffix":""},{"dropping-particle":"","family":"Morizane","given":"Ryuji","non-dropping-particle":"","parse-names":false,"suffix":""},{"dropping-particle":"","family":"Lerou","given":"Paul H.","non-dropping-particle":"","parse-names":false,"suffix":""},{"dropping-particle":"","family":"Valerius","given":"M. Todd","non-dropping-particle":"","parse-names":false,"suffix":""},{"dropping-particle":"V.","family":"Bonventre","given":"Joseph","non-dropping-particle":"","parse-names":false,"suffix":""}],"container-title":"Journal of the American Society of Nephrology","id":"ITEM-3","issue":"6","issued":{"date-parts":[["2014"]]},"page":"1211-1225","title":"Rapid and efficient differentiation of human pluripotent stem cells into intermediate mesoderm that forms tubules expressing kidney proximal tubular markers","type":"article-journal","volume":"25"},"uris":["http://www.mendeley.com/documents/?uuid=bc95df08-cea2-49d6-bc6e-e57f3358a4f3"]}],"mendeley":{"formattedCitation":"&lt;sup&gt;6,21,29&lt;/sup&gt;","plainTextFormattedCitation":"6,21,29","previouslyFormattedCitation":"&lt;sup&gt;6,21,29&lt;/sup&gt;"},"properties":{"noteIndex":0},"schema":"https://github.com/citation-style-language/schema/raw/master/csl-citation.json"}</w:instrText>
      </w:r>
      <w:r w:rsidR="004E5438" w:rsidRPr="00B72A96">
        <w:rPr>
          <w:vertAlign w:val="superscript"/>
        </w:rPr>
        <w:fldChar w:fldCharType="separate"/>
      </w:r>
      <w:r w:rsidR="004E5438" w:rsidRPr="00B72A96">
        <w:rPr>
          <w:noProof/>
          <w:vertAlign w:val="superscript"/>
        </w:rPr>
        <w:t>6,21,2</w:t>
      </w:r>
      <w:r w:rsidR="00390F9D">
        <w:rPr>
          <w:noProof/>
          <w:vertAlign w:val="superscript"/>
        </w:rPr>
        <w:t>7</w:t>
      </w:r>
      <w:r w:rsidR="004E5438" w:rsidRPr="00B72A96">
        <w:rPr>
          <w:vertAlign w:val="superscript"/>
        </w:rPr>
        <w:fldChar w:fldCharType="end"/>
      </w:r>
      <w:r w:rsidRPr="00B72A96">
        <w:t>, definitive endoderm</w:t>
      </w:r>
      <w:r w:rsidR="004E5438" w:rsidRPr="00B72A96">
        <w:rPr>
          <w:vertAlign w:val="superscript"/>
        </w:rPr>
        <w:fldChar w:fldCharType="begin" w:fldLock="1"/>
      </w:r>
      <w:r w:rsidR="004E5438" w:rsidRPr="00B72A96">
        <w:rPr>
          <w:vertAlign w:val="superscript"/>
        </w:rPr>
        <w:instrText>ADDIN CSL_CITATION {"citationItems":[{"id":"ITEM-1","itemData":{"DOI":"10.1038/s41467-020-15058-6","ISSN":"2041-1723","PMID":"32170132","abstract":"Predicting drug-induced liver injury in a preclinical setting remains challenging, as cultured primary human hepatocytes (PHHs), pluripotent stem cell-derived hepatocyte-like cells (HLCs), and hepatoma cells exhibit poor drug biotransformation capacity. We here demonstrate that hepatic functionality depends more on cellular metabolism and extracellular nutrients than on developmental regulators. Specifically, we demonstrate that increasing extracellular amino acids beyond the nutritional need of HLCs and HepG2 cells induces glucose independence, mitochondrial function, and the acquisition of a transcriptional profile that is closer to PHHs. Moreover, we show that these high levels of amino acids are sufficient to drive HLC and HepG2 drug biotransformation and liver-toxin sensitivity to levels similar to those in PHHs. In conclusion, we provide data indicating that extracellular nutrient levels represent a major determinant of cellular maturity and can be utilized to guide stem cell differentiation to the hepatic lineage. Hepatocytes grown in a dish are immature and do not metabolize compounds as a real liver would. Here, the authors supply stem cell-derived hepatocytes with amino acids at a higher concentration than nutritionally necessary, changing the metabolism of these cells, making them more mature and useful for drug screening and toxicity studies.","author":[{"dropping-particle":"","family":"Boon","given":"Ruben","non-dropping-particle":"","parse-names":false,"suffix":""},{"dropping-particle":"","family":"Kumar","given":"Manoj","non-dropping-particle":"","parse-names":false,"suffix":""},{"dropping-particle":"","family":"Tricot","given":"Tine","non-dropping-particle":"","parse-names":false,"suffix":""},{"dropping-particle":"","family":"Elia","given":"Ilaria","non-dropping-particle":"","parse-names":false,"suffix":""},{"dropping-particle":"","family":"Ordovas","given":"Laura","non-dropping-particle":"","parse-names":false,"suffix":""},{"dropping-particle":"","family":"Jacobs","given":"Frank","non-dropping-particle":"","parse-names":false,"suffix":""},{"dropping-particle":"","family":"One","given":"Jennifer","non-dropping-particle":"","parse-names":false,"suffix":""},{"dropping-particle":"","family":"Smedt","given":"Jonathan","non-dropping-particle":"De","parse-names":false,"suffix":""},{"dropping-particle":"","family":"Eelen","given":"Guy","non-dropping-particle":"","parse-names":false,"suffix":""},{"dropping-particle":"","family":"Bird","given":"Matthew","non-dropping-particle":"","parse-names":false,"suffix":""},{"dropping-particle":"","family":"Roelandt","given":"Philip","non-dropping-particle":"","parse-names":false,"suffix":""},{"dropping-particle":"","family":"Doglioni","given":"Ginevra","non-dropping-particle":"","parse-names":false,"suffix":""},{"dropping-particle":"","family":"Vriens","given":"Kim","non-dropping-particle":"","parse-names":false,"suffix":""},{"dropping-particle":"","family":"Rossi","given":"Matteo","non-dropping-particle":"","parse-names":false,"suffix":""},{"dropping-particle":"","family":"Vazquez","given":"Marta Aguirre","non-dropping-particle":"","parse-names":false,"suffix":""},{"dropping-particle":"","family":"Vanwelden","given":"Thomas","non-dropping-particle":"","parse-names":false,"suffix":""},{"dropping-particle":"","family":"Chesnais","given":"François","non-dropping-particle":"","parse-names":false,"suffix":""},{"dropping-particle":"","family":"Taghdouini","given":"Adil","non-dropping-particle":"El","parse-names":false,"suffix":""},{"dropping-particle":"","family":"Najimi","given":"Mustapha","non-dropping-particle":"","parse-names":false,"suffix":""},{"dropping-particle":"","family":"Sokal","given":"Etienne","non-dropping-particle":"","parse-names":false,"suffix":""},{"dropping-particle":"","family":"Cassiman","given":"David","non-dropping-particle":"","parse-names":false,"suffix":""},{"dropping-particle":"","family":"Snoeys","given":"Jan","non-dropping-particle":"","parse-names":false,"suffix":""},{"dropping-particle":"","family":"Monshouwer","given":"Mario","non-dropping-particle":"","parse-names":false,"suffix":""},{"dropping-particle":"","family":"Hu","given":"Wei Shou","non-dropping-particle":"","parse-names":false,"suffix":""},{"dropping-particle":"","family":"Lange","given":"Christian","non-dropping-particle":"","parse-names":false,"suffix":""},{"dropping-particle":"","family":"Carmeliet","given":"Peter","non-dropping-particle":"","parse-names":false,"suffix":""},{"dropping-particle":"","family":"Fendt","given":"Sarah Maria","non-dropping-particle":"","parse-names":false,"suffix":""},{"dropping-particle":"","family":"Verfaillie","given":"Catherine M.","non-dropping-particle":"","parse-names":false,"suffix":""}],"container-title":"Nature Communications 2020 11:1","id":"ITEM-1","issue":"1","issued":{"date-parts":[["2020","3","13"]]},"page":"1393-","publisher":"Nature Publishing Group","title":"Amino acid levels determine metabolism and CYP450 function of hepatocytes and hepatoma cell lines","type":"article-journal","volume":"11"},"uris":["http://www.mendeley.com/documents/?uuid=c9102119-d4e5-37cb-9b23-bd6766b00c6e"]},{"id":"ITEM-2","itemData":{"DOI":"10.1038/s41467-024-51821-9","ISSN":"2041-1723","abstract":"Human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stress","type":"article-journal","volume":"15"},"uris":["http://www.mendeley.com/documents/?uuid=21245d15-68e1-356b-bf33-3a3e11b3eeb4"]},{"id":"ITEM-3","itemData":{"DOI":"10.1016/J.STEM.2013.12.007","ISSN":"1934-5909","PMID":"24412311","abstract":"Human pluripotent stem cell (hPSC) differentiation typically yields heterogeneous populations. Knowledge of signals controlling embryonic lineage bifurcations could efficiently yield desired cell types through exclusion of alternate fates. Therefore, we revisited signals driving induction and anterior-posterior patterning of definitive endoderm to generate a coherent roadmap for endoderm differentiation. With striking temporal dynamics, BMP and Wnt initially specified anterior primitive streak (progenitor to endoderm), yet, 24 hr later, suppressed endoderm and induced mesoderm. At lineage bifurcations, cross-repressive signals separated mutually exclusive fates; TGF-β and BMP/MAPK respectively induced pancreas versus liver from endoderm by suppressing the alternate lineage. We systematically blockaded alternate fates throughout multiple consecutive bifurcations, thereby efficiently differentiating multiple hPSC lines exclusively into endoderm and its derivatives. Comprehensive transcriptional and chromatin mapping of highly pure endodermal populations revealed that endodermal enhancers existed in a surprising diversity of \"pre-enhancer\" states before activation, reflecting the establishment of a permissive chromatin landscape as a prelude to differentiation. © 2014 Elsevier Inc.","author":[{"dropping-particle":"","family":"Loh","given":"Kyle M.","non-dropping-particle":"","parse-names":false,"suffix":""},{"dropping-particle":"","family":"Ang","given":"Lay Teng","non-dropping-particle":"","parse-names":false,"suffix":""},{"dropping-particle":"","family":"Zhang","given":"Jingyao","non-dropping-particle":"","parse-names":false,"suffix":""},{"dropping-particle":"","family":"Kumar","given":"Vibhor","non-dropping-particle":"","parse-names":false,"suffix":""},{"dropping-particle":"","family":"Ang","given":"Jasmin","non-dropping-particle":"","parse-names":false,"suffix":""},{"dropping-particle":"","family":"Auyeong","given":"Jun Qiang","non-dropping-particle":"","parse-names":false,"suffix":""},{"dropping-particle":"","family":"Lee","given":"Kian Leong","non-dropping-particle":"","parse-names":false,"suffix":""},{"dropping-particle":"","family":"Choo","given":"Siew Hua","non-dropping-particle":"","parse-names":false,"suffix":""},{"dropping-particle":"","family":"Lim","given":"Christina Y.Y.","non-dropping-particle":"","parse-names":false,"suffix":""},{"dropping-particle":"","family":"Nichane","given":"Massimo","non-dropping-particle":"","parse-names":false,"suffix":""},{"dropping-particle":"","family":"Tan","given":"Junru","non-dropping-particle":"","parse-names":false,"suffix":""},{"dropping-particle":"","family":"Noghabi","given":"Monireh Soroush","non-dropping-particle":"","parse-names":false,"suffix":""},{"dropping-particle":"","family":"Azzola","given":"Lisa","non-dropping-particle":"","parse-names":false,"suffix":""},{"dropping-particle":"","family":"Ng","given":"Elizabeth S.","non-dropping-particle":"","parse-names":false,"suffix":""},{"dropping-particle":"","family":"Durruthy-Durruthy","given":"Jens","non-dropping-particle":"","parse-names":false,"suffix":""},{"dropping-particle":"","family":"Sebastiano","given":"Vittorio","non-dropping-particle":"","parse-names":false,"suffix":""},{"dropping-particle":"","family":"Poellinger","given":"Lorenz","non-dropping-particle":"","parse-names":false,"suffix":""},{"dropping-particle":"","family":"Elefanty","given":"Andrew G.","non-dropping-particle":"","parse-names":false,"suffix":""},{"dropping-particle":"","family":"Stanley","given":"Edouard G.","non-dropping-particle":"","parse-names":false,"suffix":""},{"dropping-particle":"","family":"Chen","given":"Qingfeng","non-dropping-particle":"","parse-names":false,"suffix":""},{"dropping-particle":"","family":"Prabhakar","given":"Shyam","non-dropping-particle":"","parse-names":false,"suffix":""},{"dropping-particle":"","family":"Weissman","given":"Irving L.","non-dropping-particle":"","parse-names":false,"suffix":""},{"dropping-particle":"","family":"Lim","given":"Bing","non-dropping-particle":"","parse-names":false,"suffix":""}],"container-title":"Cell Stem Cell","id":"ITEM-3","issue":"2","issued":{"date-parts":[["2014","2","6"]]},"page":"237-252","publisher":"Cell Press","title":"Efficient Endoderm Induction from Human Pluripotent Stem Cells by Logically Directing Signals Controlling Lineage Bifurcations","type":"article-journal","volume":"14"},"uris":["http://www.mendeley.com/documents/?uuid=5ca907b1-c1f4-3ed1-9544-23a1585288b3"]}],"mendeley":{"formattedCitation":"&lt;sup&gt;5,21,30&lt;/sup&gt;","plainTextFormattedCitation":"5,21,30","previouslyFormattedCitation":"&lt;sup&gt;5,21,30&lt;/sup&gt;"},"properties":{"noteIndex":0},"schema":"https://github.com/citation-style-language/schema/raw/master/csl-citation.json"}</w:instrText>
      </w:r>
      <w:r w:rsidR="004E5438" w:rsidRPr="00B72A96">
        <w:rPr>
          <w:vertAlign w:val="superscript"/>
        </w:rPr>
        <w:fldChar w:fldCharType="separate"/>
      </w:r>
      <w:r w:rsidR="004E5438" w:rsidRPr="00B72A96">
        <w:rPr>
          <w:noProof/>
          <w:vertAlign w:val="superscript"/>
        </w:rPr>
        <w:t>5,21,</w:t>
      </w:r>
      <w:r w:rsidR="004E5438" w:rsidRPr="00B72A96">
        <w:rPr>
          <w:vertAlign w:val="superscript"/>
        </w:rPr>
        <w:fldChar w:fldCharType="end"/>
      </w:r>
      <w:r w:rsidR="00390F9D">
        <w:rPr>
          <w:vertAlign w:val="superscript"/>
        </w:rPr>
        <w:t>28</w:t>
      </w:r>
      <w:r w:rsidR="0019052C">
        <w:t>,</w:t>
      </w:r>
      <w:r w:rsidRPr="00B72A96">
        <w:t xml:space="preserve"> and neuroectoderm</w:t>
      </w:r>
      <w:r w:rsidR="004E5438" w:rsidRPr="00B72A96">
        <w:rPr>
          <w:vertAlign w:val="superscript"/>
        </w:rPr>
        <w:fldChar w:fldCharType="begin" w:fldLock="1"/>
      </w:r>
      <w:r w:rsidR="004E5438" w:rsidRPr="00B72A96">
        <w:rPr>
          <w:vertAlign w:val="superscript"/>
        </w:rPr>
        <w:instrText>ADDIN CSL_CITATION {"citationItems":[{"id":"ITEM-1","itemData":{"DOI":"10.1016/J.STEM.2017.08.015","ISSN":"1875-9777","PMID":"28886367","abstract":"Directing the fate of human pluripotent stem cells (hPSCs) into different lineages requires variable starting conditions and components with undefined activities, introducing inconsistencies that confound reproducibility and assessment of specific perturbations. Here we introduce a simple, modular protocol for deriving the four main ectodermal lineages from hPSCs. By precisely varying FGF, BMP, WNT, and TGFβ pathway activity in a minimal, chemically defined medium, we show parallel, robust, and reproducible derivation of neuroectoderm, neural crest (NC), cranial placode (CP), and non-neural ectoderm in multiple hPSC lines, on different substrates independently of cell density. We highlight the utility of this system by interrogating the role of TFAP2 transcription factors in ectodermal differentiation, revealing the importance of TFAP2A in NC and CP specification, and performing a small-molecule screen that identified compounds that further enhance CP differentiation. This platform provides a simple stage for systematic derivation of the entire range of ectodermal cell types. Tchieu et al. develop a chemically defined culture platform that allows parallel derivation of human PSCs into all major ectodermal lineages. The utility of this platform is shown through genetic dissection of the roles of TFAP transcription factors in ectoderm and a chemical screen that identified compounds promoting cranial placode differentiation.","author":[{"dropping-particle":"","family":"Tchieu","given":"Jason","non-dropping-particle":"","parse-names":false,"suffix":""},{"dropping-particle":"","family":"Zimmer","given":"Bastian","non-dropping-particle":"","parse-names":false,"suffix":""},{"dropping-particle":"","family":"Fattahi","given":"Faranak","non-dropping-particle":"","parse-names":false,"suffix":""},{"dropping-particle":"","family":"Amin","given":"Sadaf","non-dropping-particle":"","parse-names":false,"suffix":""},{"dropping-particle":"","family":"Zeltner","given":"Nadja","non-dropping-particle":"","parse-names":false,"suffix":""},{"dropping-particle":"","family":"Chen","given":"Shuibing","non-dropping-particle":"","parse-names":false,"suffix":""},{"dropping-particle":"","family":"Studer","given":"Lorenz","non-dropping-particle":"","parse-names":false,"suffix":""}],"container-title":"Cell stem cell","id":"ITEM-1","issue":"3","issued":{"date-parts":[["2017","9","7"]]},"page":"399-410.e7","publisher":"Cell Stem Cell","title":"A Modular Platform for Differentiation of Human PSCs into All Major Ectodermal Lineages","type":"article-journal","volume":"21"},"uris":["http://www.mendeley.com/documents/?uuid=e207834e-8deb-345e-95b9-41bd630b992f"]},{"id":"ITEM-2","itemData":{"DOI":"10.1038/s41467-024-51821-9","ISSN":"2041-1723","abstract":"Human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mendeley":{"formattedCitation":"&lt;sup&gt;7,21&lt;/sup&gt;","plainTextFormattedCitation":"7,21","previouslyFormattedCitation":"&lt;sup&gt;7,21&lt;/sup&gt;"},"properties":{"noteIndex":0},"schema":"https://github.com/citation-style-language/schema/raw/master/csl-citation.json"}</w:instrText>
      </w:r>
      <w:r w:rsidR="004E5438" w:rsidRPr="00B72A96">
        <w:rPr>
          <w:vertAlign w:val="superscript"/>
        </w:rPr>
        <w:fldChar w:fldCharType="separate"/>
      </w:r>
      <w:r w:rsidR="004E5438" w:rsidRPr="00B72A96">
        <w:rPr>
          <w:noProof/>
          <w:vertAlign w:val="superscript"/>
        </w:rPr>
        <w:t>7,21</w:t>
      </w:r>
      <w:r w:rsidR="004E5438" w:rsidRPr="00B72A96">
        <w:rPr>
          <w:vertAlign w:val="superscript"/>
        </w:rPr>
        <w:fldChar w:fldCharType="end"/>
      </w:r>
      <w:r w:rsidRPr="00B72A96">
        <w:t xml:space="preserve">.  </w:t>
      </w:r>
    </w:p>
    <w:p w14:paraId="101A1C7F" w14:textId="77777777" w:rsidR="000C3DAE" w:rsidRPr="00B72A96" w:rsidRDefault="000C3DAE" w:rsidP="00BD5E4C">
      <w:pPr>
        <w:contextualSpacing/>
        <w:mirrorIndents/>
      </w:pPr>
    </w:p>
    <w:p w14:paraId="54C3F553" w14:textId="6ECDDC35" w:rsidR="000C3DAE" w:rsidRPr="00B72A96" w:rsidRDefault="00000000" w:rsidP="00BD5E4C">
      <w:pPr>
        <w:contextualSpacing/>
        <w:mirrorIndents/>
      </w:pPr>
      <w:r w:rsidRPr="00B72A96">
        <w:t>Human pluripotent stem cells are characterized by the expression of core pluripotency factors, including OCT4 (</w:t>
      </w:r>
      <w:r w:rsidRPr="00B72A96">
        <w:rPr>
          <w:b/>
          <w:bCs/>
        </w:rPr>
        <w:t>Figure 1D</w:t>
      </w:r>
      <w:r w:rsidRPr="00B72A96">
        <w:t xml:space="preserve">). Upon reaching 70% confluency, removal of pluripotent medium conditions and modulation of specific signaling cascades trigger a downregulation of </w:t>
      </w:r>
      <w:r w:rsidRPr="00B72A96">
        <w:rPr>
          <w:i/>
          <w:iCs/>
        </w:rPr>
        <w:t>POU</w:t>
      </w:r>
      <w:r w:rsidR="009361DA" w:rsidRPr="00B72A96">
        <w:rPr>
          <w:i/>
          <w:iCs/>
        </w:rPr>
        <w:t>5</w:t>
      </w:r>
      <w:r w:rsidRPr="00B72A96">
        <w:rPr>
          <w:i/>
          <w:iCs/>
        </w:rPr>
        <w:t xml:space="preserve">F1 </w:t>
      </w:r>
      <w:r w:rsidRPr="00B72A96">
        <w:t>and</w:t>
      </w:r>
      <w:r w:rsidRPr="00B72A96">
        <w:rPr>
          <w:i/>
          <w:iCs/>
        </w:rPr>
        <w:t xml:space="preserve"> NANOG </w:t>
      </w:r>
      <w:r w:rsidRPr="00B72A96">
        <w:t>mRNA levels, and the protein it codes, pluripotency factor OCT4, towards differentiation to any lineage tested (</w:t>
      </w:r>
      <w:r w:rsidRPr="00B72A96">
        <w:rPr>
          <w:b/>
          <w:bCs/>
        </w:rPr>
        <w:t>Figure 1D</w:t>
      </w:r>
      <w:r w:rsidR="00874F19" w:rsidRPr="00B72A96">
        <w:rPr>
          <w:b/>
          <w:bCs/>
        </w:rPr>
        <w:t>–</w:t>
      </w:r>
      <w:r w:rsidR="00905F78" w:rsidRPr="00B72A96">
        <w:rPr>
          <w:b/>
          <w:bCs/>
        </w:rPr>
        <w:t>F</w:t>
      </w:r>
      <w:r w:rsidRPr="00B72A96">
        <w:t xml:space="preserve">). Strong activation of </w:t>
      </w:r>
      <w:proofErr w:type="spellStart"/>
      <w:r w:rsidRPr="00B72A96">
        <w:t>Wnt</w:t>
      </w:r>
      <w:proofErr w:type="spellEnd"/>
      <w:r w:rsidRPr="00B72A96">
        <w:t xml:space="preserve">/β-catenin signaling through GSK3 </w:t>
      </w:r>
      <w:r w:rsidR="001B2D92" w:rsidRPr="00B72A96">
        <w:t xml:space="preserve">inhibition </w:t>
      </w:r>
      <w:r w:rsidRPr="00B72A96">
        <w:t xml:space="preserve">robustly induces a primitive streak-like cell state, characterized by the upregulation of </w:t>
      </w:r>
      <w:r w:rsidRPr="00B72A96">
        <w:rPr>
          <w:i/>
          <w:iCs/>
        </w:rPr>
        <w:t>Brachyury</w:t>
      </w:r>
      <w:r w:rsidRPr="00B72A96">
        <w:t xml:space="preserve"> (</w:t>
      </w:r>
      <w:r w:rsidRPr="00B72A96">
        <w:rPr>
          <w:i/>
          <w:iCs/>
        </w:rPr>
        <w:t>T</w:t>
      </w:r>
      <w:r w:rsidR="00675F5C" w:rsidRPr="00B72A96">
        <w:rPr>
          <w:i/>
          <w:iCs/>
        </w:rPr>
        <w:t>BXT</w:t>
      </w:r>
      <w:r w:rsidRPr="00B72A96">
        <w:rPr>
          <w:i/>
          <w:iCs/>
        </w:rPr>
        <w:t xml:space="preserve">) </w:t>
      </w:r>
      <w:r w:rsidRPr="00B72A96">
        <w:t xml:space="preserve">at </w:t>
      </w:r>
      <w:r w:rsidR="00AA10E1" w:rsidRPr="00B72A96">
        <w:t xml:space="preserve">both </w:t>
      </w:r>
      <w:r w:rsidR="00675F5C" w:rsidRPr="00B72A96">
        <w:t>the m</w:t>
      </w:r>
      <w:r w:rsidRPr="00B72A96">
        <w:t xml:space="preserve">RNA </w:t>
      </w:r>
      <w:r w:rsidR="00AA10E1" w:rsidRPr="00B72A96">
        <w:t>and</w:t>
      </w:r>
      <w:r w:rsidR="009361DA" w:rsidRPr="00B72A96">
        <w:t xml:space="preserve"> protein level</w:t>
      </w:r>
      <w:r w:rsidR="00AA10E1" w:rsidRPr="00B72A96">
        <w:t>s</w:t>
      </w:r>
      <w:r w:rsidR="009361DA" w:rsidRPr="00B72A96">
        <w:t>, with</w:t>
      </w:r>
      <w:r w:rsidRPr="00B72A96">
        <w:t xml:space="preserve"> </w:t>
      </w:r>
      <w:r w:rsidR="009361DA" w:rsidRPr="00B72A96">
        <w:t>~97% of cells quantified as TBXT</w:t>
      </w:r>
      <w:r w:rsidR="009361DA" w:rsidRPr="00B72A96">
        <w:rPr>
          <w:vertAlign w:val="superscript"/>
        </w:rPr>
        <w:t>+</w:t>
      </w:r>
      <w:r w:rsidR="009361DA" w:rsidRPr="00B72A96">
        <w:t xml:space="preserve"> </w:t>
      </w:r>
      <w:r w:rsidRPr="00B72A96">
        <w:t>(</w:t>
      </w:r>
      <w:r w:rsidRPr="00B72A96">
        <w:rPr>
          <w:b/>
          <w:bCs/>
        </w:rPr>
        <w:t>Figure 1</w:t>
      </w:r>
      <w:proofErr w:type="gramStart"/>
      <w:r w:rsidRPr="00B72A96">
        <w:rPr>
          <w:b/>
          <w:bCs/>
        </w:rPr>
        <w:t>D</w:t>
      </w:r>
      <w:r w:rsidR="00874F19" w:rsidRPr="00B72A96">
        <w:rPr>
          <w:b/>
          <w:bCs/>
        </w:rPr>
        <w:t>,</w:t>
      </w:r>
      <w:r w:rsidR="00905F78" w:rsidRPr="00B72A96">
        <w:rPr>
          <w:b/>
          <w:bCs/>
        </w:rPr>
        <w:t>E</w:t>
      </w:r>
      <w:proofErr w:type="gramEnd"/>
      <w:r w:rsidRPr="00B72A96">
        <w:rPr>
          <w:b/>
          <w:bCs/>
        </w:rPr>
        <w:t>,</w:t>
      </w:r>
      <w:r w:rsidR="00905F78" w:rsidRPr="00B72A96">
        <w:rPr>
          <w:b/>
          <w:bCs/>
        </w:rPr>
        <w:t>G</w:t>
      </w:r>
      <w:r w:rsidRPr="00B72A96">
        <w:t xml:space="preserve">). </w:t>
      </w:r>
      <w:r w:rsidR="00D22E1A" w:rsidRPr="00B72A96">
        <w:t>A</w:t>
      </w:r>
      <w:r w:rsidRPr="00B72A96">
        <w:t xml:space="preserve">ctivation of WNT, BMP, and Nodal/Activin signaling </w:t>
      </w:r>
      <w:r w:rsidR="00AA10E1" w:rsidRPr="00B72A96">
        <w:t xml:space="preserve">to </w:t>
      </w:r>
      <w:r w:rsidR="00D22E1A" w:rsidRPr="00B72A96">
        <w:t>specify a posterior primitive streak-like cell</w:t>
      </w:r>
      <w:r w:rsidR="001B2D92" w:rsidRPr="00B72A96">
        <w:t>,</w:t>
      </w:r>
      <w:r w:rsidR="00D22E1A" w:rsidRPr="00B72A96">
        <w:t xml:space="preserve"> followed next day by inhibition of </w:t>
      </w:r>
      <w:proofErr w:type="spellStart"/>
      <w:r w:rsidR="00D22E1A" w:rsidRPr="00B72A96">
        <w:t>Wnt</w:t>
      </w:r>
      <w:proofErr w:type="spellEnd"/>
      <w:r w:rsidR="00AA10E1" w:rsidRPr="00B72A96">
        <w:t xml:space="preserve"> and</w:t>
      </w:r>
      <w:r w:rsidR="00D22E1A" w:rsidRPr="00B72A96">
        <w:t xml:space="preserve"> TGFβ </w:t>
      </w:r>
      <w:r w:rsidR="00AA10E1" w:rsidRPr="00B72A96">
        <w:t xml:space="preserve">signaling while maintaining </w:t>
      </w:r>
      <w:r w:rsidR="00D22E1A" w:rsidRPr="00B72A96">
        <w:t>BMP activation</w:t>
      </w:r>
      <w:r w:rsidR="001B2D92" w:rsidRPr="00B72A96">
        <w:t>,</w:t>
      </w:r>
      <w:r w:rsidRPr="00B72A96">
        <w:t xml:space="preserve"> drive</w:t>
      </w:r>
      <w:r w:rsidR="00E16217" w:rsidRPr="00B72A96">
        <w:t>s</w:t>
      </w:r>
      <w:r w:rsidRPr="00B72A96">
        <w:t xml:space="preserve"> the formation of lateral mesoderm (LM)-like cells, characterized by high HAND1</w:t>
      </w:r>
      <w:r w:rsidR="00DA2CD5" w:rsidRPr="00B72A96">
        <w:t xml:space="preserve"> protein</w:t>
      </w:r>
      <w:r w:rsidRPr="00B72A96">
        <w:t xml:space="preserve"> </w:t>
      </w:r>
      <w:r w:rsidR="00DA2CD5" w:rsidRPr="00B72A96">
        <w:t>and mRNA</w:t>
      </w:r>
      <w:r w:rsidR="00AA10E1" w:rsidRPr="00B72A96">
        <w:t xml:space="preserve"> expression</w:t>
      </w:r>
      <w:r w:rsidR="00DA2CD5" w:rsidRPr="00B72A96">
        <w:t xml:space="preserve"> </w:t>
      </w:r>
      <w:r w:rsidRPr="00B72A96">
        <w:t>(</w:t>
      </w:r>
      <w:r w:rsidR="00874F19" w:rsidRPr="00B72A96">
        <w:rPr>
          <w:b/>
          <w:bCs/>
        </w:rPr>
        <w:t>Figure 1</w:t>
      </w:r>
      <w:proofErr w:type="gramStart"/>
      <w:r w:rsidR="00874F19" w:rsidRPr="00B72A96">
        <w:rPr>
          <w:b/>
          <w:bCs/>
        </w:rPr>
        <w:t>D,E</w:t>
      </w:r>
      <w:proofErr w:type="gramEnd"/>
      <w:r w:rsidR="00874F19" w:rsidRPr="00B72A96">
        <w:rPr>
          <w:b/>
          <w:bCs/>
        </w:rPr>
        <w:t>,G</w:t>
      </w:r>
      <w:r w:rsidRPr="00B72A96">
        <w:t xml:space="preserve">). On the other hand, </w:t>
      </w:r>
      <w:r w:rsidR="00AA10E1" w:rsidRPr="00B72A96">
        <w:t>activation of</w:t>
      </w:r>
      <w:r w:rsidRPr="00B72A96">
        <w:t xml:space="preserve"> </w:t>
      </w:r>
      <w:proofErr w:type="spellStart"/>
      <w:r w:rsidRPr="00B72A96">
        <w:t>Wnt</w:t>
      </w:r>
      <w:proofErr w:type="spellEnd"/>
      <w:r w:rsidRPr="00B72A96">
        <w:t xml:space="preserve"> signaling</w:t>
      </w:r>
      <w:r w:rsidR="00AA10E1" w:rsidRPr="00B72A96">
        <w:t xml:space="preserve"> and Activin-A</w:t>
      </w:r>
      <w:r w:rsidRPr="00B72A96">
        <w:t xml:space="preserve"> </w:t>
      </w:r>
      <w:r w:rsidR="00AA10E1" w:rsidRPr="00B72A96">
        <w:t xml:space="preserve">in the absence of BMP signaling drives the formation of an anterior primitive streak-like state. Subsequent inhibition of </w:t>
      </w:r>
      <w:r w:rsidRPr="00B72A96">
        <w:t>the BMP cascade</w:t>
      </w:r>
      <w:r w:rsidR="00AA10E1" w:rsidRPr="00B72A96">
        <w:t xml:space="preserve"> while maintaining </w:t>
      </w:r>
      <w:proofErr w:type="spellStart"/>
      <w:r w:rsidR="00AA10E1" w:rsidRPr="00B72A96">
        <w:t>Wnt</w:t>
      </w:r>
      <w:proofErr w:type="spellEnd"/>
      <w:r w:rsidR="00AA10E1" w:rsidRPr="00B72A96">
        <w:t xml:space="preserve"> activity</w:t>
      </w:r>
      <w:r w:rsidRPr="00B72A96">
        <w:t xml:space="preserve"> drive</w:t>
      </w:r>
      <w:r w:rsidR="00AA10E1" w:rsidRPr="00B72A96">
        <w:t>s</w:t>
      </w:r>
      <w:r w:rsidRPr="00B72A96">
        <w:t xml:space="preserve"> the formation of paraxial mesoderm</w:t>
      </w:r>
      <w:r w:rsidR="00AA10E1" w:rsidRPr="00B72A96">
        <w:t xml:space="preserve"> (PM)</w:t>
      </w:r>
      <w:r w:rsidRPr="00B72A96">
        <w:t xml:space="preserve">-like cells expressing TBX6 protein and </w:t>
      </w:r>
      <w:r w:rsidRPr="00B72A96">
        <w:rPr>
          <w:i/>
          <w:iCs/>
        </w:rPr>
        <w:t>TBX6</w:t>
      </w:r>
      <w:r w:rsidRPr="00B72A96">
        <w:t xml:space="preserve"> mRNA levels (</w:t>
      </w:r>
      <w:r w:rsidR="00874F19" w:rsidRPr="00B72A96">
        <w:rPr>
          <w:b/>
          <w:bCs/>
        </w:rPr>
        <w:t>Figure 1</w:t>
      </w:r>
      <w:proofErr w:type="gramStart"/>
      <w:r w:rsidR="00874F19" w:rsidRPr="00B72A96">
        <w:rPr>
          <w:b/>
          <w:bCs/>
        </w:rPr>
        <w:t>D,E</w:t>
      </w:r>
      <w:proofErr w:type="gramEnd"/>
      <w:r w:rsidR="00874F19" w:rsidRPr="00B72A96">
        <w:rPr>
          <w:b/>
          <w:bCs/>
        </w:rPr>
        <w:t>,G</w:t>
      </w:r>
      <w:r w:rsidRPr="00B72A96">
        <w:t xml:space="preserve">). Sustained activation of Nodal/Activin-A after WNT activity peak at the PS stage induces differentiation of </w:t>
      </w:r>
      <w:proofErr w:type="spellStart"/>
      <w:r w:rsidRPr="00B72A96">
        <w:t>hPSCs</w:t>
      </w:r>
      <w:proofErr w:type="spellEnd"/>
      <w:r w:rsidRPr="00B72A96">
        <w:t xml:space="preserve"> towards definitive endoderm (DE), characterized by high mRNA and protein levels of SOX17 (</w:t>
      </w:r>
      <w:r w:rsidR="00874F19" w:rsidRPr="00B72A96">
        <w:rPr>
          <w:b/>
          <w:bCs/>
        </w:rPr>
        <w:t>Figure 1</w:t>
      </w:r>
      <w:proofErr w:type="gramStart"/>
      <w:r w:rsidR="00874F19" w:rsidRPr="00B72A96">
        <w:rPr>
          <w:b/>
          <w:bCs/>
        </w:rPr>
        <w:t>D,E</w:t>
      </w:r>
      <w:proofErr w:type="gramEnd"/>
      <w:r w:rsidR="00874F19" w:rsidRPr="00B72A96">
        <w:rPr>
          <w:b/>
          <w:bCs/>
        </w:rPr>
        <w:t>,G</w:t>
      </w:r>
      <w:r w:rsidRPr="00B72A96">
        <w:t xml:space="preserve">). Last, maintenance during several days of </w:t>
      </w:r>
      <w:proofErr w:type="spellStart"/>
      <w:r w:rsidRPr="00B72A96">
        <w:t>hPSCs</w:t>
      </w:r>
      <w:proofErr w:type="spellEnd"/>
      <w:r w:rsidRPr="00B72A96">
        <w:t xml:space="preserve"> under a double TGFβ and BMP inhibition regime triggered the formation of neuroectodermal cells expressing PAX6 at the protein (~65% positive cells) and mRNA levels, which corresponds </w:t>
      </w:r>
      <w:r w:rsidRPr="00B72A96">
        <w:rPr>
          <w:i/>
          <w:iCs/>
        </w:rPr>
        <w:t>in vivo</w:t>
      </w:r>
      <w:r w:rsidRPr="00B72A96">
        <w:t xml:space="preserve"> to the epithelial layer of the anterior epiblast at the onset of gastrulation (</w:t>
      </w:r>
      <w:r w:rsidRPr="00B72A96">
        <w:rPr>
          <w:b/>
          <w:bCs/>
        </w:rPr>
        <w:t>Figure 1A</w:t>
      </w:r>
      <w:r w:rsidRPr="00B72A96">
        <w:t>). Of note, the protocols described yield a robust and homogeneous differentiation towards post-implantation lineages (&gt;9</w:t>
      </w:r>
      <w:r w:rsidR="00722434" w:rsidRPr="00B72A96">
        <w:t>2</w:t>
      </w:r>
      <w:r w:rsidRPr="00B72A96">
        <w:t xml:space="preserve">% positive for lineage-specific markers), </w:t>
      </w:r>
      <w:r w:rsidR="00E16217" w:rsidRPr="00B72A96">
        <w:t>except</w:t>
      </w:r>
      <w:r w:rsidRPr="00B72A96">
        <w:t xml:space="preserve"> </w:t>
      </w:r>
      <w:r w:rsidR="00E16217" w:rsidRPr="00B72A96">
        <w:t>for</w:t>
      </w:r>
      <w:r w:rsidRPr="00B72A96">
        <w:t xml:space="preserve"> neuroectodermal differentiation (~65% PAX6</w:t>
      </w:r>
      <w:r w:rsidRPr="00B72A96">
        <w:rPr>
          <w:vertAlign w:val="superscript"/>
        </w:rPr>
        <w:t>+</w:t>
      </w:r>
      <w:r w:rsidRPr="00B72A96">
        <w:t xml:space="preserve"> cells)</w:t>
      </w:r>
      <w:r w:rsidR="00DA2CD5" w:rsidRPr="00B72A96">
        <w:t xml:space="preserve"> (</w:t>
      </w:r>
      <w:r w:rsidR="00874F19" w:rsidRPr="00B72A96">
        <w:rPr>
          <w:b/>
          <w:bCs/>
        </w:rPr>
        <w:t>Figure 1D,E,G</w:t>
      </w:r>
      <w:r w:rsidR="00DA2CD5" w:rsidRPr="00B72A96">
        <w:t>), with an efficiency similar to other studies</w:t>
      </w:r>
      <w:r w:rsidR="00DA2CD5" w:rsidRPr="00B72A96">
        <w:fldChar w:fldCharType="begin" w:fldLock="1"/>
      </w:r>
      <w:r w:rsidR="004E5438" w:rsidRPr="00B72A96">
        <w:instrText>ADDIN CSL_CITATION {"citationItems":[{"id":"ITEM-1","itemData":{"DOI":"10.1016/J.STEM.2013.12.007","ISSN":"1934-5909","PMID":"24412311","abstract":"Human pluripotent stem cell (hPSC) differentiation typically yields heterogeneous populations. Knowledge of signals controlling embryonic lineage bifurcations could efficiently yield desired cell types through exclusion of alternate fates. Therefore, we revisited signals driving induction and anterior-posterior patterning of definitive endoderm to generate a coherent roadmap for endoderm differentiation. With striking temporal dynamics, BMP and Wnt initially specified anterior primitive streak (progenitor to endoderm), yet, 24 hr later, suppressed endoderm and induced mesoderm. At lineage bifurcations, cross-repressive signals separated mutually exclusive fates; TGF-β and BMP/MAPK respectively induced pancreas versus liver from endoderm by suppressing the alternate lineage. We systematically blockaded alternate fates throughout multiple consecutive bifurcations, thereby efficiently differentiating multiple hPSC lines exclusively into endoderm and its derivatives. Comprehensive transcriptional and chromatin mapping of highly pure endodermal populations revealed that endodermal enhancers existed in a surprising diversity of \"pre-enhancer\" states before activation, reflecting the establishment of a permissive chromatin landscape as a prelude to differentiation. © 2014 Elsevier Inc.","author":[{"dropping-particle":"","family":"Loh","given":"Kyle M.","non-dropping-particle":"","parse-names":false,"suffix":""},{"dropping-particle":"","family":"Ang","given":"Lay Teng","non-dropping-particle":"","parse-names":false,"suffix":""},{"dropping-particle":"","family":"Zhang","given":"Jingyao","non-dropping-particle":"","parse-names":false,"suffix":""},{"dropping-particle":"","family":"Kumar","given":"Vibhor","non-dropping-particle":"","parse-names":false,"suffix":""},{"dropping-particle":"","family":"Ang","given":"Jasmin","non-dropping-particle":"","parse-names":false,"suffix":""},{"dropping-particle":"","family":"Auyeong","given":"Jun Qiang","non-dropping-particle":"","parse-names":false,"suffix":""},{"dropping-particle":"","family":"Lee","given":"Kian Leong","non-dropping-particle":"","parse-names":false,"suffix":""},{"dropping-particle":"","family":"Choo","given":"Siew Hua","non-dropping-particle":"","parse-names":false,"suffix":""},{"dropping-particle":"","family":"Lim","given":"Christina Y.Y.","non-dropping-particle":"","parse-names":false,"suffix":""},{"dropping-particle":"","family":"Nichane","given":"Massimo","non-dropping-particle":"","parse-names":false,"suffix":""},{"dropping-particle":"","family":"Tan","given":"Junru","non-dropping-particle":"","parse-names":false,"suffix":""},{"dropping-particle":"","family":"Noghabi","given":"Monireh Soroush","non-dropping-particle":"","parse-names":false,"suffix":""},{"dropping-particle":"","family":"Azzola","given":"Lisa","non-dropping-particle":"","parse-names":false,"suffix":""},{"dropping-particle":"","family":"Ng","given":"Elizabeth S.","non-dropping-particle":"","parse-names":false,"suffix":""},{"dropping-particle":"","family":"Durruthy-Durruthy","given":"Jens","non-dropping-particle":"","parse-names":false,"suffix":""},{"dropping-particle":"","family":"Sebastiano","given":"Vittorio","non-dropping-particle":"","parse-names":false,"suffix":""},{"dropping-particle":"","family":"Poellinger","given":"Lorenz","non-dropping-particle":"","parse-names":false,"suffix":""},{"dropping-particle":"","family":"Elefanty","given":"Andrew G.","non-dropping-particle":"","parse-names":false,"suffix":""},{"dropping-particle":"","family":"Stanley","given":"Edouard G.","non-dropping-particle":"","parse-names":false,"suffix":""},{"dropping-particle":"","family":"Chen","given":"Qingfeng","non-dropping-particle":"","parse-names":false,"suffix":""},{"dropping-particle":"","family":"Prabhakar","given":"Shyam","non-dropping-particle":"","parse-names":false,"suffix":""},{"dropping-particle":"","family":"Weissman","given":"Irving L.","non-dropping-particle":"","parse-names":false,"suffix":""},{"dropping-particle":"","family":"Lim","given":"Bing","non-dropping-particle":"","parse-names":false,"suffix":""}],"container-title":"Cell Stem Cell","id":"ITEM-1","issue":"2","issued":{"date-parts":[["2014","2","6"]]},"page":"237-252","publisher":"Cell Press","title":"Efficient Endoderm Induction from Human Pluripotent Stem Cells by Logically Directing Signals Controlling Lineage Bifurcations","type":"article-journal","volume":"14"},"uris":["http://www.mendeley.com/documents/?uuid=5ca907b1-c1f4-3ed1-9544-23a1585288b3"]},{"id":"ITEM-2","itemData":{"DOI":"10.1016/J.CELL.2016.06.011","ISSN":"1097-4172","PMID":"27419872","abstract":"Stem-cell differentiation to desired lineages requires navigating alternating developmental paths that often lead to unwanted cell types. Hence, comprehensive developmental roadmaps are crucial to channel stem-cell differentiation toward desired fates. To this end, here, we map bifurcating lineage choices leading from pluripotency to 12 human mesodermal lineages, including bone, muscle, and heart. We defined the extrinsic signals controlling each binary lineage decision, enabling us to logically block differentiation toward unwanted fates and rapidly steer pluripotent stem cells toward 80%–99% pure human mesodermal lineages at most branchpoints. This strategy enabled the generation of human bone and heart progenitors that could engraft in respective in vivo models. Mapping stepwise chromatin and single-cell gene expression changes in mesoderm development uncovered somite segmentation, a previously unobservable human embryonic event transiently marked by HOPX expression. Collectively, this roadmap enables navigation of mesodermal development to produce transplantable human tissue progenitors and uncover developmental processes. Video Abstract","author":[{"dropping-particle":"","family":"Loh","given":"Kyle M M.","non-dropping-particle":"","parse-names":false,"suffix":""},{"dropping-particle":"","family":"Chen","given":"Angela","non-dropping-particle":"","parse-names":false,"suffix":""},{"dropping-particle":"","family":"Koh","given":"Pang Wei W.","non-dropping-particle":"","parse-names":false,"suffix":""},{"dropping-particle":"","family":"Deng","given":"Tianda Z Z.","non-dropping-particle":"","parse-names":false,"suffix":""},{"dropping-particle":"","family":"Sinha","given":"Rahul","non-dropping-particle":"","parse-names":false,"suffix":""},{"dropping-particle":"","family":"Tsai","given":"Jonathan M M.","non-dropping-particle":"","parse-names":false,"suffix":""},{"dropping-particle":"","family":"Barkal","given":"Amira A A.","non-dropping-particle":"","parse-names":false,"suffix":""},{"dropping-particle":"","family":"Shen","given":"Kimberle Y Y.","non-dropping-particle":"","parse-names":false,"suffix":""},{"dropping-particle":"","family":"Jain","given":"Rajan","non-dropping-particle":"","parse-names":false,"suffix":""},{"dropping-particle":"","family":"Morganti","given":"Rachel M M.","non-dropping-particle":"","parse-names":false,"suffix":""},{"dropping-particle":"","family":"Shyh-Chang","given":"Ng","non-dropping-particle":"","parse-names":false,"suffix":""},{"dropping-particle":"","family":"Fernhoff","given":"Nathaniel B B.","non-dropping-particle":"","parse-names":false,"suffix":""},{"dropping-particle":"","family":"George","given":"Benson M M.","non-dropping-particle":"","parse-names":false,"suffix":""},{"dropping-particle":"","family":"Wernig","given":"Gerlinde","non-dropping-particle":"","parse-names":false,"suffix":""},{"dropping-particle":"","family":"Salomon","given":"Rachel E E.A.","non-dropping-particle":"","parse-names":false,"suffix":""},{"dropping-particle":"","family":"Chen","given":"Zhenghao","non-dropping-particle":"","parse-names":false,"suffix":""},{"dropping-particle":"","family":"Vogel","given":"Hannes","non-dropping-particle":"","parse-names":false,"suffix":""},{"dropping-particle":"","family":"Epstein","given":"Jonathan A A.","non-dropping-particle":"","parse-names":false,"suffix":""},{"dropping-particle":"","family":"Kundaje","given":"Anshul","non-dropping-particle":"","parse-names":false,"suffix":""},{"dropping-particle":"","family":"Talbot","given":"William S S.","non-dropping-particle":"","parse-names":false,"suffix":""},{"dropping-particle":"","family":"Beachy","given":"Philip A A.","non-dropping-particle":"","parse-names":false,"suffix":""},{"dropping-particle":"","family":"Ang","given":"Lay Teng T.","non-dropping-particle":"","parse-names":false,"suffix":""},{"dropping-particle":"","family":"Weissman","given":"Irving L L.","non-dropping-particle":"","parse-names":false,"suffix":""}],"container-title":"Cell","id":"ITEM-2","issue":"2","issued":{"date-parts":[["2016","7","14"]]},"page":"451-467","publisher":"Cell","title":"Mapping the Pairwise Choices Leading from Pluripotency to Human Bone, Heart, and Other Mesoderm Cell Types","type":"article-journal","volume":"166"},"uris":["http://www.mendeley.com/documents/?uuid=cd152ee6-798d-3bdd-aa02-bebad121a871"]},{"id":"ITEM-3","itemData":{"DOI":"10.1016/J.STEM.2017.08.015","ISSN":"1875-9777","PMID":"28886367","abstract":"Directing the fate of human pluripotent stem cells (hPSCs) into different lineages requires variable starting conditions and components with undefined activities, introducing inconsistencies that confound reproducibility and assessment of specific perturbations. Here we introduce a simple, modular protocol for deriving the four main ectodermal lineages from hPSCs. By precisely varying FGF, BMP, WNT, and TGFβ pathway activity in a minimal, chemically defined medium, we show parallel, robust, and reproducible derivation of neuroectoderm, neural crest (NC), cranial placode (CP), and non-neural ectoderm in multiple hPSC lines, on different substrates independently of cell density. We highlight the utility of this system by interrogating the role of TFAP2 transcription factors in ectodermal differentiation, revealing the importance of TFAP2A in NC and CP specification, and performing a small-molecule screen that identified compounds that further enhance CP differentiation. This platform provides a simple stage for systematic derivation of the entire range of ectodermal cell types. Tchieu et al. develop a chemically defined culture platform that allows parallel derivation of human PSCs into all major ectodermal lineages. The utility of this platform is shown through genetic dissection of the roles of TFAP transcription factors in ectoderm and a chemical screen that identified compounds promoting cranial placode differentiation.","author":[{"dropping-particle":"","family":"Tchieu","given":"Jason","non-dropping-particle":"","parse-names":false,"suffix":""},{"dropping-particle":"","family":"Zimmer","given":"Bastian","non-dropping-particle":"","parse-names":false,"suffix":""},{"dropping-particle":"","family":"Fattahi","given":"Faranak","non-dropping-particle":"","parse-names":false,"suffix":""},{"dropping-particle":"","family":"Amin","given":"Sadaf","non-dropping-particle":"","parse-names":false,"suffix":""},{"dropping-particle":"","family":"Zeltner","given":"Nadja","non-dropping-particle":"","parse-names":false,"suffix":""},{"dropping-particle":"","family":"Chen","given":"Shuibing","non-dropping-particle":"","parse-names":false,"suffix":""},{"dropping-particle":"","family":"Studer","given":"Lorenz","non-dropping-particle":"","parse-names":false,"suffix":""}],"container-title":"Cell stem cell","id":"ITEM-3","issue":"3","issued":{"date-parts":[["2017","9","7"]]},"page":"399-410.e7","publisher":"Cell Stem Cell","title":"A Modular Platform for Differentiation of Human PSCs into All Major Ectodermal Lineages","type":"article-journal","volume":"21"},"uris":["http://www.mendeley.com/documents/?uuid=e207834e-8deb-345e-95b9-41bd630b992f"]},{"id":"ITEM-4","itemData":{"DOI":"10.1038/s41467-020-15058-6","ISSN":"2041-1723","PMID":"32170132","abstract":"Predicting drug-induced liver injury in a preclinical setting remains challenging, as cultured primary human hepatocytes (PHHs), pluripotent stem cell-derived hepatocyte-like cells (HLCs), and hepatoma cells exhibit poor drug biotransformation capacity. We here demonstrate that hepatic functionality depends more on cellular metabolism and extracellular nutrients than on developmental regulators. Specifically, we demonstrate that increasing extracellular amino acids beyond the nutritional need of HLCs and HepG2 cells induces glucose independence, mitochondrial function, and the acquisition of a transcriptional profile that is closer to PHHs. Moreover, we show that these high levels of amino acids are sufficient to drive HLC and HepG2 drug biotransformation and liver-toxin sensitivity to levels similar to those in PHHs. In conclusion, we provide data indicating that extracellular nutrient levels represent a major determinant of cellular maturity and can be utilized to guide stem cell differentiation to the hepatic lineage. Hepatocytes grown in a dish are immature and do not metabolize compounds as a real liver would. Here, the authors supply stem cell-derived hepatocytes with amino acids at a higher concentration than nutritionally necessary, changing the metabolism of these cells, making them more mature and useful for drug screening and toxicity studies.","author":[{"dropping-particle":"","family":"Boon","given":"Ruben","non-dropping-particle":"","parse-names":false,"suffix":""},{"dropping-particle":"","family":"Kumar","given":"Manoj","non-dropping-particle":"","parse-names":false,"suffix":""},{"dropping-particle":"","family":"Tricot","given":"Tine","non-dropping-particle":"","parse-names":false,"suffix":""},{"dropping-particle":"","family":"Elia","given":"Ilaria","non-dropping-particle":"","parse-names":false,"suffix":""},{"dropping-particle":"","family":"Ordovas","given":"Laura","non-dropping-particle":"","parse-names":false,"suffix":""},{"dropping-particle":"","family":"Jacobs","given":"Frank","non-dropping-particle":"","parse-names":false,"suffix":""},{"dropping-particle":"","family":"One","given":"Jennifer","non-dropping-particle":"","parse-names":false,"suffix":""},{"dropping-particle":"","family":"Smedt","given":"Jonathan","non-dropping-particle":"De","parse-names":false,"suffix":""},{"dropping-particle":"","family":"Eelen","given":"Guy","non-dropping-particle":"","parse-names":false,"suffix":""},{"dropping-particle":"","family":"Bird","given":"Matthew","non-dropping-particle":"","parse-names":false,"suffix":""},{"dropping-particle":"","family":"Roelandt","given":"Philip","non-dropping-particle":"","parse-names":false,"suffix":""},{"dropping-particle":"","family":"Doglioni","given":"Ginevra","non-dropping-particle":"","parse-names":false,"suffix":""},{"dropping-particle":"","family":"Vriens","given":"Kim","non-dropping-particle":"","parse-names":false,"suffix":""},{"dropping-particle":"","family":"Rossi","given":"Matteo","non-dropping-particle":"","parse-names":false,"suffix":""},{"dropping-particle":"","family":"Vazquez","given":"Marta Aguirre","non-dropping-particle":"","parse-names":false,"suffix":""},{"dropping-particle":"","family":"Vanwelden","given":"Thomas","non-dropping-particle":"","parse-names":false,"suffix":""},{"dropping-particle":"","family":"Chesnais","given":"François","non-dropping-particle":"","parse-names":false,"suffix":""},{"dropping-particle":"","family":"Taghdouini","given":"Adil","non-dropping-particle":"El","parse-names":false,"suffix":""},{"dropping-particle":"","family":"Najimi","given":"Mustapha","non-dropping-particle":"","parse-names":false,"suffix":""},{"dropping-particle":"","family":"Sokal","given":"Etienne","non-dropping-particle":"","parse-names":false,"suffix":""},{"dropping-particle":"","family":"Cassiman","given":"David","non-dropping-particle":"","parse-names":false,"suffix":""},{"dropping-particle":"","family":"Snoeys","given":"Jan","non-dropping-particle":"","parse-names":false,"suffix":""},{"dropping-particle":"","family":"Monshouwer","given":"Mario","non-dropping-particle":"","parse-names":false,"suffix":""},{"dropping-particle":"","family":"Hu","given":"Wei Shou","non-dropping-particle":"","parse-names":false,"suffix":""},{"dropping-particle":"","family":"Lange","given":"Christian","non-dropping-particle":"","parse-names":false,"suffix":""},{"dropping-particle":"","family":"Carmeliet","given":"Peter","non-dropping-particle":"","parse-names":false,"suffix":""},{"dropping-particle":"","family":"Fendt","given":"Sarah Maria","non-dropping-particle":"","parse-names":false,"suffix":""},{"dropping-particle":"","family":"Verfaillie","given":"Catherine M.","non-dropping-particle":"","parse-names":false,"suffix":""}],"container-title":"Nature Communications 2020 11:1","id":"ITEM-4","issue":"1","issued":{"date-parts":[["2020","3","13"]]},"page":"1393-","publisher":"Nature Publishing Group","title":"Amino acid levels determine metabolism and CYP450 function of hepatocytes and hepatoma cell lines","type":"article-journal","volume":"11"},"uris":["http://www.mendeley.com/documents/?uuid=c9102119-d4e5-37cb-9b23-bd6766b00c6e"]},{"id":"ITEM-5","itemData":{"DOI":"10.1681/ASN.2013080831","ISSN":"15333450","PMID":"24357672","abstract":"Human pluripotent stem cells (hPSCs) can generate a diversity of cell types, but few methods have been developed to derive cells of the kidney lineage. Here, we report a highly efficient system for differentiating human embryonic stem cells and induced pluripotent stem cells (referred to collectively as hPSCs) into cells expressing markers of the intermediate mesoderm (IM) that subsequently form tubule-like structures. Treatment of hPSCs with the glycogen synthase kinase-3β inhibitor CHIR99021 induced BRACHYURY+MIXL1+ mesendoderm differentiation with nearly 100% efficiency. In the absence of additional exogenous factors, CHIR99021-induced mesendodermal cells preferentially differentiated into cells expressing markers of lateral plate mesoderm with minimal IM differentiation. However, the sequential treatment of hPSCs with CHIR99021 followed by fibroblast growth factor-2 and retinoic acid generated PAX2+LHX1+ cells with 70%-80% efficiency after 3 days of differentiation. Upon growth factor withdrawal, these PAX2+LHX1+ cells gave rise to apically ciliated tubular structures that coexpressed the proximal tubule markers Lotus tetragonolobus lectin, N-cadherin, and kidney-specific protein and partially integrated into embryonic kidney explant cultures. With the addition of FGF9 and activin, PAX2+LHX1+ cells specifically differentiated into cells expressing SIX2, SALL1, and WT1, markers of cap mesenchyme nephron progenitor cells. Our findings demonstrate the effective role of fibroblast growth factor signaling in inducing IM differentiation in hPSCs and establish the most rapid and efficient system whereby hPSCs can be differentiated into cells with features characteristic of kidney lineage cells.","author":[{"dropping-particle":"","family":"Lam","given":"Albert Q.","non-dropping-particle":"","parse-names":false,"suffix":""},{"dropping-particle":"","family":"Freedman","given":"Benjamin S.","non-dropping-particle":"","parse-names":false,"suffix":""},{"dropping-particle":"","family":"Morizane","given":"Ryuji","non-dropping-particle":"","parse-names":false,"suffix":""},{"dropping-particle":"","family":"Lerou","given":"Paul H.","non-dropping-particle":"","parse-names":false,"suffix":""},{"dropping-particle":"","family":"Valerius","given":"M. Todd","non-dropping-particle":"","parse-names":false,"suffix":""},{"dropping-particle":"V.","family":"Bonventre","given":"Joseph","non-dropping-particle":"","parse-names":false,"suffix":""}],"container-title":"Journal of the American Society of Nephrology","id":"ITEM-5","issue":"6","issued":{"date-parts":[["2014"]]},"page":"1211-1225","title":"Rapid and efficient differentiation of human pluripotent stem cells into intermediate mesoderm that forms tubules expressing kidney proximal tubular markers","type":"article-journal","volume":"25"},"uris":["http://www.mendeley.com/documents/?uuid=bc95df08-cea2-49d6-bc6e-e57f3358a4f3"]}],"mendeley":{"formattedCitation":"&lt;sup&gt;5–7,29,30&lt;/sup&gt;","plainTextFormattedCitation":"5–7,29,30","previouslyFormattedCitation":"&lt;sup&gt;5–7,29,30&lt;/sup&gt;"},"properties":{"noteIndex":0},"schema":"https://github.com/citation-style-language/schema/raw/master/csl-citation.json"}</w:instrText>
      </w:r>
      <w:r w:rsidR="00DA2CD5" w:rsidRPr="00B72A96">
        <w:fldChar w:fldCharType="separate"/>
      </w:r>
      <w:r w:rsidR="004E5438" w:rsidRPr="00B72A96">
        <w:rPr>
          <w:noProof/>
          <w:vertAlign w:val="superscript"/>
        </w:rPr>
        <w:t>5–7,2</w:t>
      </w:r>
      <w:r w:rsidR="00390F9D">
        <w:rPr>
          <w:noProof/>
          <w:vertAlign w:val="superscript"/>
        </w:rPr>
        <w:t>7,28</w:t>
      </w:r>
      <w:r w:rsidR="00DA2CD5" w:rsidRPr="00B72A96">
        <w:fldChar w:fldCharType="end"/>
      </w:r>
      <w:r w:rsidRPr="00B72A96">
        <w:t>. Additionally, we provide a list of reference cell fate markers that characterize the lineages described here (</w:t>
      </w:r>
      <w:r w:rsidRPr="00B72A96">
        <w:rPr>
          <w:b/>
          <w:bCs/>
        </w:rPr>
        <w:t xml:space="preserve">Table </w:t>
      </w:r>
      <w:r w:rsidR="00471743" w:rsidRPr="00B72A96">
        <w:rPr>
          <w:b/>
          <w:bCs/>
        </w:rPr>
        <w:t>2</w:t>
      </w:r>
      <w:r w:rsidRPr="00B72A96">
        <w:t>).</w:t>
      </w:r>
    </w:p>
    <w:p w14:paraId="7CA74C09" w14:textId="77777777" w:rsidR="000C3DAE" w:rsidRPr="00B72A96" w:rsidRDefault="000C3DAE" w:rsidP="00BD5E4C">
      <w:pPr>
        <w:contextualSpacing/>
        <w:mirrorIndents/>
      </w:pPr>
    </w:p>
    <w:p w14:paraId="391D0223" w14:textId="77777777" w:rsidR="000C3DAE" w:rsidRPr="00B72A96" w:rsidRDefault="00000000" w:rsidP="00BD5E4C">
      <w:pPr>
        <w:contextualSpacing/>
        <w:mirrorIndents/>
        <w:rPr>
          <w:b/>
          <w:bCs/>
        </w:rPr>
      </w:pPr>
      <w:r w:rsidRPr="00B72A96">
        <w:rPr>
          <w:b/>
          <w:bCs/>
        </w:rPr>
        <w:t>Mapping genome and chromosome (in)stability in pluripotency</w:t>
      </w:r>
    </w:p>
    <w:p w14:paraId="5D8E8566" w14:textId="0D518AE1" w:rsidR="000C3DAE" w:rsidRPr="00B72A96" w:rsidRDefault="00000000" w:rsidP="00BD5E4C">
      <w:pPr>
        <w:contextualSpacing/>
        <w:mirrorIndents/>
      </w:pPr>
      <w:r w:rsidRPr="00B72A96">
        <w:t>Alterations in chromosome structure and number (aneuploidy) represent a hallmark of tumorigenesis, which often impair cellular differentiation of hPSCs</w:t>
      </w:r>
      <w:r w:rsidR="004E5438" w:rsidRPr="00B72A96">
        <w:rPr>
          <w:vertAlign w:val="superscript"/>
        </w:rPr>
        <w:fldChar w:fldCharType="begin" w:fldLock="1"/>
      </w:r>
      <w:r w:rsidR="004E5438" w:rsidRPr="00B72A96">
        <w:rPr>
          <w:vertAlign w:val="superscript"/>
        </w:rPr>
        <w:instrText>ADDIN CSL_CITATION {"citationItems":[{"id":"ITEM-1","itemData":{"DOI":"10.1038/ncomms5825","ISSN":"20411723","PMID":"25198699","abstract":"Human pluripotent stem cells (hPSCs) tend to acquire genomic aberrations in culture, the most common of which is trisomy of chromosome 12. Here we dissect the cellular and molecular implications of this trisomy in hPSCs. Global gene expression analyses reveal that trisomy 12 profoundly affects the gene expression profile of hPSCs, inducing a transcriptional programme similar to that of germ cell tumours. Comparison of proliferation, differentiation and apoptosis between diploid and aneuploid hPSCs shows that trisomy 12 significantly increases the proliferation rate of hPSCs, mainly as a consequence of increased replication. Furthermore, trisomy 12 increases the tumorigenicity of hPSCs in vivo, inducing transcriptionally distinct teratomas from which pluripotent cells can be recovered. Last, a chemical screen of 89 anticancer drugs discovers that trisomy 12 raises the sensitivity of hPSCs to several replication inhibitors. Together, these findings demonstrate the extensive effect of trisomy 12 and highlight its perils for successful hPSC applications.","author":[{"dropping-particle":"","family":"Ben-David","given":"Uri","non-dropping-particle":"","parse-names":false,"suffix":""},{"dropping-particle":"","family":"Arad","given":"Gal","non-dropping-particle":"","parse-names":false,"suffix":""},{"dropping-particle":"","family":"Weissbein","given":"Uri","non-dropping-particle":"","parse-names":false,"suffix":""},{"dropping-particle":"","family":"Mandefro","given":"Berhan","non-dropping-particle":"","parse-names":false,"suffix":""},{"dropping-particle":"","family":"Maimon","given":"Adva","non-dropping-particle":"","parse-names":false,"suffix":""},{"dropping-particle":"","family":"Golan-Lev","given":"Tamar","non-dropping-particle":"","parse-names":false,"suffix":""},{"dropping-particle":"","family":"Narwani","given":"Kavita","non-dropping-particle":"","parse-names":false,"suffix":""},{"dropping-particle":"","family":"Clark","given":"Amander T.","non-dropping-particle":"","parse-names":false,"suffix":""},{"dropping-particle":"","family":"Andrews","given":"Peter W.","non-dropping-particle":"","parse-names":false,"suffix":""},{"dropping-particle":"","family":"Benvenisty","given":"Nissim","non-dropping-particle":"","parse-names":false,"suffix":""},{"dropping-particle":"","family":"Carlos Biancotti","given":"Juan","non-dropping-particle":"","parse-names":false,"suffix":""}],"container-title":"Nature Communications","id":"ITEM-1","issued":{"date-parts":[["2014"]]},"page":"1-11","publisher":"Nature Publishing Group","title":"Aneuploidy induces profound changes in gene expression, proliferation and tumorigenicity of human pluripotent stem cells","type":"article-journal","volume":"5"},"uris":["http://www.mendeley.com/documents/?uuid=b2159c33-445a-40f1-9e93-8ab7374ab38d"]},{"id":"ITEM-2","itemData":{"DOI":"10.1038/s41576-019-0171-x","ISSN":"1471-0064","PMID":"31548659","abstract":"Cancer is driven by multiple types of genetic alterations, which range in size from point&amp;nbsp;mutations to whole-chromosome gains and losses, known as aneuploidy. Chromosome instability, the process that gives rise to aneuploidy, can promote tumorigenesis by increasing genetic heterogeneity and promoting tumour evolution. However, much less is known about how&amp;nbsp;aneuploidy itself contributes to tumour formation and progression. Unlike some pan-cancer oncogenes and tumour suppressor genes that drive transformation in virtually all cell types and cellular contexts, aneuploidy is not a universal promoter of tumorigenesis. Instead, recent studies suggest that aneuploidy is a context-dependent, cancer-type-specific oncogenic event that may have clinical relevance as a prognostic marker and as a potential therapeutic target. Aneuploidy contributes to tumorigenesis, but the underlying processes are not well understood. This Review explains the context dependency of aneuploidy in cancer and discusses its clinical potential as a prognostic marker and a therapeutic target.","author":[{"dropping-particle":"","family":"Ben-David","given":"Uri","non-dropping-particle":"","parse-names":false,"suffix":""},{"dropping-particle":"","family":"Amon","given":"Angelika","non-dropping-particle":"","parse-names":false,"suffix":""}],"container-title":"Nature Reviews Genetics 2019 21:1","id":"ITEM-2","issue":"1","issued":{"date-parts":[["2019","9","23"]]},"page":"44-62","publisher":"Nature Publishing Group","title":"Context is everything: aneuploidy in cancer","type":"article-journal","volume":"21"},"uris":["http://www.mendeley.com/documents/?uuid=f5898294-b4a3-33fb-a65d-3be40830a0d4"]},{"id":"ITEM-3","itemData":{"DOI":"10.1038/s41419-024-07236-x","ISSN":"2041-4889","PMID":"39572522","abstract":"Gain of 1q is a highly recurrent chromosomal abnormality in human pluripotent stem cells. In this work, we show that gains of 1q impact the differentiation capacity to derivates of the three germ layers, leading to mis-specification to cranial placode and non-neural ectoderm during neuroectoderm differentiation. Also, we found a weaker expression of lineage-specific markers in hepatoblasts and cardiac progenitors. Competition assays show that the cells retain their selective advantage during differentiation, which is mediated by a higher expression of MDM4, a gene located in the common region of gain. MDM4 drives the winner phenotype of the mutant cells in both the undifferentiated and differentiating state by reducing the cells’ sensitivity to DNA damage through decreased p53-mediated apoptosis. Finally, we found that cell density in culture plays a key role in promoting the competitive advantage of the cells by increasing DNA damage.","author":[{"dropping-particle":"","family":"Krivec","given":"Nuša","non-dropping-particle":"","parse-names":false,"suffix":""},{"dropping-particle":"","family":"Deckersberg","given":"Edouard Couvreu","non-dropping-particle":"de","parse-names":false,"suffix":""},{"dropping-particle":"","family":"Lei","given":"Yingnan","non-dropping-particle":"","parse-names":false,"suffix":""},{"dropping-particle":"Al","family":"Delbany","given":"Diana","non-dropping-particle":"","parse-names":false,"suffix":""},{"dropping-particle":"","family":"Regin","given":"Marius","non-dropping-particle":"","parse-names":false,"suffix":""},{"dropping-particle":"","family":"Verhulst","given":"Stefaan","non-dropping-particle":"","parse-names":false,"suffix":""},{"dropping-particle":"","family":"Grunsven","given":"Leo A.","non-dropping-particle":"van","parse-names":false,"suffix":""},{"dropping-particle":"","family":"Sermon","given":"Karen","non-dropping-particle":"","parse-names":false,"suffix":""},{"dropping-particle":"","family":"Spits","given":"Claudia","non-dropping-particle":"","parse-names":false,"suffix":""}],"container-title":"Cell Death &amp; Disease 2024 15:11","id":"ITEM-3","issue":"11","issued":{"date-parts":[["2024","11","21"]]},"page":"852-","publisher":"Nature Publishing Group","title":"Gain of 1q confers an MDM4-driven growth advantage to undifferentiated and differentiating hESC while altering their differentiation capacity","type":"article-journal","volume":"15"},"uris":["http://www.mendeley.com/documents/?uuid=d92a2511-ba86-3e1f-aba3-2718b938915f"]},{"id":"ITEM-4","itemData":{"DOI":"10.15252/embj.201593103","ISSN":"0261-4189","PMID":"27558554","abstract":"Aneuploidy leads to severe developmental defects in mammals and is also a hallmark of cancer. However, whether aneuploidy is a driving cause or a consequence of tumor formation remains controversial. Paradoxically, existing studies based on aneuploid yeast and mouse fibroblasts have shown that aneuploidy is usually detrimental to cellular fitness. Here, we examined the effects of aneuploidy on mouse embryonic stem (ES) cells by generating a series of cell lines that each carries an extra copy of single chromosomes, including trisomy 6, 8, 11, 12, or 15. Most of these aneuploid cell lines had rapid proliferation rates and enhanced colony formation efficiencies. They were less dependent on growth factors for self-renewal and showed a reduced capacity to differentiate in vitro Moreover, trisomic stem cells formed teratomas more efficiently, from which undifferentiated cells can be recovered. Further investigations demonstrated that co-culture of wild-type and aneuploid ES cells or supplementation with extracellular BMP4 rescues the differentiation defects of aneuploid ES cells.","author":[{"dropping-particle":"","family":"Zhang","given":"Meili","non-dropping-particle":"","parse-names":false,"suffix":""},{"dropping-particle":"","family":"Cheng","given":"Li","non-dropping-particle":"","parse-names":false,"suffix":""},{"dropping-particle":"","family":"Jia","given":"Yuyan","non-dropping-particle":"","parse-names":false,"suffix":""},{"dropping-particle":"","family":"Liu","given":"Guang","non-dropping-particle":"","parse-names":false,"suffix":""},{"dropping-particle":"","family":"Li","given":"Cuiping","non-dropping-particle":"","parse-names":false,"suffix":""},{"dropping-particle":"","family":"Song","given":"Shuhui","non-dropping-particle":"","parse-names":false,"suffix":""},{"dropping-particle":"","family":"Bradley","given":"Allan","non-dropping-particle":"","parse-names":false,"suffix":""},{"dropping-particle":"","family":"Huang","given":"Yue","non-dropping-particle":"","parse-names":false,"suffix":""}],"container-title":"The EMBO Journal","id":"ITEM-4","issue":"21","issued":{"date-parts":[["2016"]]},"page":"2285-2300","title":"Aneuploid embryonic stem cells exhibit impaired differentiation and increased neoplastic potential","type":"article-journal","volume":"35"},"uris":["http://www.mendeley.com/documents/?uuid=b72e737d-56eb-464c-b5e3-f3ede07d6f3c"]},{"id":"ITEM-5","itemData":{"DOI":"10.1016/J.CELREP.2019.07.011","ISSN":"2211-1247","PMID":"31390555","abstract":"A multitude of signals are coordinated to maintain self-renewal in embryonic stem cells (ESCs). To unravel the essential internal and external signals required for sustaining the ESC state, we expand upon a set of ESC pluripotency-associated phosphoregulators (PRs) identified previously by short hairpin RNA (shRNA) screening. In addition to the previously described Aurka, we identify 4 additional PRs (Bub1b, Chek1, Ppm1g, and Ppp2r1b) whose depletion compromises self-renewal and leads to consequent differentiation. Global gene expression profiling and computational analyses reveal that knockdown of the 5 PRs leads to DNA damage/genome instability, activating p53 and culminating in ESC differentiation. Similarly, depletion of genome integrity-associated genes involved in DNA replication and checkpoint, mRNA processing, and Charcot-Marie-Tooth disease lead to compromise of ESC self-renewal via an increase in p53 activity. Our studies demonstrate an essential link between genomic integrity and developmental cell fate regulation in ESCs. Su et al. integrate system analyses with functional genomics screening to identify five phosphoregulators (PRs) that are indispensable for ESC self-renewal. Loss of genome stability control pathways impairs ESC self-renewal, activates p53, and promotes ESC differentiation. These findings suggest that maintenance of genome integrity is essential for ESC self-renewal.","author":[{"dropping-particle":"","family":"Su","given":"Jie","non-dropping-particle":"","parse-names":false,"suffix":""},{"dropping-particle":"","family":"Zhu","given":"Dandan","non-dropping-particle":"","parse-names":false,"suffix":""},{"dropping-particle":"","family":"Huo","given":"Z.","non-dropping-particle":"","parse-names":false,"suffix":""},{"dropping-particle":"","family":"Gingold","given":"Julian A.","non-dropping-particle":"","parse-names":false,"suffix":""},{"dropping-particle":"","family":"Ang","given":"Yen Sin","non-dropping-particle":"","parse-names":false,"suffix":""},{"dropping-particle":"","family":"Tu","given":"Jian","non-dropping-particle":"","parse-names":false,"suffix":""},{"dropping-particle":"","family":"Zhou","given":"R.","non-dropping-particle":"","parse-names":false,"suffix":""},{"dropping-particle":"","family":"Lin","given":"Yu","non-dropping-particle":"","parse-names":false,"suffix":""},{"dropping-particle":"","family":"Luo","given":"Haidan","non-dropping-particle":"","parse-names":false,"suffix":""},{"dropping-particle":"","family":"Yang","given":"Huiling","non-dropping-particle":"","parse-names":false,"suffix":""},{"dropping-particle":"","family":"Zhao","given":"Ruiying","non-dropping-particle":"","parse-names":false,"suffix":""},{"dropping-particle":"","family":"Schaniel","given":"Christoph","non-dropping-particle":"","parse-names":false,"suffix":""},{"dropping-particle":"","family":"Moore","given":"Kateri A.","non-dropping-particle":"","parse-names":false,"suffix":""},{"dropping-particle":"","family":"Lemischka","given":"Ihor R.","non-dropping-particle":"","parse-names":false,"suffix":""},{"dropping-particle":"","family":"Lee","given":"Dung Fang","non-dropping-particle":"","parse-names":false,"suffix":""}],"container-title":"Cell Reports","id":"ITEM-5","issue":"6","issued":{"date-parts":[["2019","8","6"]]},"page":"1400-1409.e4","publisher":"Cell Press","title":"Genomic Integrity Safeguards Self-Renewal in Embryonic Stem Cells","type":"article-journal","volume":"28"},"uris":["http://www.mendeley.com/documents/?uuid=3a5dc612-0514-33e6-8291-3b598cc745c0"]}],"mendeley":{"formattedCitation":"&lt;sup&gt;31–35&lt;/sup&gt;","plainTextFormattedCitation":"31–35","previouslyFormattedCitation":"&lt;sup&gt;31–35&lt;/sup&gt;"},"properties":{"noteIndex":0},"schema":"https://github.com/citation-style-language/schema/raw/master/csl-citation.json"}</w:instrText>
      </w:r>
      <w:r w:rsidR="004E5438" w:rsidRPr="00B72A96">
        <w:rPr>
          <w:vertAlign w:val="superscript"/>
        </w:rPr>
        <w:fldChar w:fldCharType="separate"/>
      </w:r>
      <w:r w:rsidR="00390F9D">
        <w:rPr>
          <w:noProof/>
          <w:vertAlign w:val="superscript"/>
        </w:rPr>
        <w:t>29</w:t>
      </w:r>
      <w:r w:rsidR="004E5438" w:rsidRPr="00B72A96">
        <w:rPr>
          <w:noProof/>
          <w:vertAlign w:val="superscript"/>
        </w:rPr>
        <w:t>–3</w:t>
      </w:r>
      <w:r w:rsidR="00390F9D">
        <w:rPr>
          <w:noProof/>
          <w:vertAlign w:val="superscript"/>
        </w:rPr>
        <w:t>3</w:t>
      </w:r>
      <w:r w:rsidR="004E5438" w:rsidRPr="00B72A96">
        <w:rPr>
          <w:vertAlign w:val="superscript"/>
        </w:rPr>
        <w:fldChar w:fldCharType="end"/>
      </w:r>
      <w:r w:rsidRPr="00B72A96">
        <w:t xml:space="preserve">, representing a hurdle for their application in cell therapy and regenerative medicine. Given the underlying chromosomal instability that can arise during long-term </w:t>
      </w:r>
      <w:proofErr w:type="spellStart"/>
      <w:r w:rsidRPr="00B72A96">
        <w:t>hPSC</w:t>
      </w:r>
      <w:proofErr w:type="spellEnd"/>
      <w:r w:rsidRPr="00B72A96">
        <w:t xml:space="preserve"> culture</w:t>
      </w:r>
      <w:r w:rsidR="001B2D92" w:rsidRPr="00B72A96">
        <w:t>,</w:t>
      </w:r>
      <w:r w:rsidRPr="00B72A96">
        <w:t xml:space="preserve"> driven by the acquisition and selection of recurrent chromosomal abnormalities and by </w:t>
      </w:r>
      <w:r w:rsidR="001B2D92" w:rsidRPr="00B72A96">
        <w:t xml:space="preserve">endogenously </w:t>
      </w:r>
      <w:r w:rsidRPr="00B72A96">
        <w:t>elevated replicative stress</w:t>
      </w:r>
      <w:r w:rsidR="004E5438" w:rsidRPr="00B72A96">
        <w:rPr>
          <w:vertAlign w:val="superscript"/>
        </w:rPr>
        <w:fldChar w:fldCharType="begin" w:fldLock="1"/>
      </w:r>
      <w:r w:rsidR="004E5438" w:rsidRPr="00B72A96">
        <w:rPr>
          <w:vertAlign w:val="superscript"/>
        </w:rPr>
        <w:instrText>ADDIN CSL_CITATION {"citationItems":[{"id":"ITEM-1","itemData":{"DOI":"10.1016/j.stem.2015.11.003","ISSN":"18759777","PMID":"26669899","abstract":"Human pluripotent stem cells (hPSCs) frequently acquire chromosomal aberrations such as aneuploidy in culture. These aberrations progressively increase over time and may compromise the properties and clinical utility of the cells. The underlying mechanisms that drive initial genomic instability and its continued progression are largely unknown. Here, we show that aneuploid hPSCs undergo DNA replication stress, resulting in defective chromosome condensation and segregation. Aneuploid hPSCs show altered levels of actin cytoskeletal genes controlled by the transcription factor SRF, and overexpression of SRF rescues impaired chromosome condensation and segregation defects in aneuploid hPSCs. Furthermore, SRF downregulation in diploid hPSCs induces replication stress and perturbed condensation similar to that seen in aneuploid cells. Together, these results suggest that decreased SRF expression induces replicative stress and chromosomal condensation defects that underlie the ongoing chromosomal instability seen in aneuploid hPSCs. A similar mechanism may also operate during initiation of instability in diploid cells.","author":[{"dropping-particle":"","family":"Lamm","given":"Noa","non-dropping-particle":"","parse-names":false,"suffix":""},{"dropping-particle":"","family":"Ben-David","given":"Uri","non-dropping-particle":"","parse-names":false,"suffix":""},{"dropping-particle":"","family":"Golan-Lev","given":"Tamar","non-dropping-particle":"","parse-names":false,"suffix":""},{"dropping-particle":"","family":"Storchová","given":"Zuzana","non-dropping-particle":"","parse-names":false,"suffix":""},{"dropping-particle":"","family":"Benvenisty","given":"Nissim","non-dropping-particle":"","parse-names":false,"suffix":""},{"dropping-particle":"","family":"Kerem","given":"Batsheva","non-dropping-particle":"","parse-names":false,"suffix":""}],"container-title":"Cell Stem Cell","id":"ITEM-1","issue":"2","issued":{"date-parts":[["2016"]]},"page":"253-261","title":"Genomic Instability in Human Pluripotent Stem Cells Arises from Replicative Stress and Chromosome Condensation Defects","type":"article-journal","volume":"18"},"uris":["http://www.mendeley.com/documents/?uuid=472df3c1-f41c-452c-905c-8a5c0202e717"]},{"id":"ITEM-2","itemData":{"DOI":"10.15252/embj.201593103","ISSN":"0261-4189","PMID":"27558554","abstract":"Aneuploidy leads to severe developmental defects in mammals and is also a hallmark of cancer. However, whether aneuploidy is a driving cause or a consequence of tumor formation remains controversial. Paradoxically, existing studies based on aneuploid yeast and mouse fibroblasts have shown that aneuploidy is usually detrimental to cellular fitness. Here, we examined the effects of aneuploidy on mouse embryonic stem (ES) cells by generating a series of cell lines that each carries an extra copy of single chromosomes, including trisomy 6, 8, 11, 12, or 15. Most of these aneuploid cell lines had rapid proliferation rates and enhanced colony formation efficiencies. They were less dependent on growth factors for self-renewal and showed a reduced capacity to differentiate in vitro Moreover, trisomic stem cells formed teratomas more efficiently, from which undifferentiated cells can be recovered. Further investigations demonstrated that co-culture of wild-type and aneuploid ES cells or supplementation with extracellular BMP4 rescues the differentiation defects of aneuploid ES cells.","author":[{"dropping-particle":"","family":"Zhang","given":"Meili","non-dropping-particle":"","parse-names":false,"suffix":""},{"dropping-particle":"","family":"Cheng","given":"Li","non-dropping-particle":"","parse-names":false,"suffix":""},{"dropping-particle":"","family":"Jia","given":"Yuyan","non-dropping-particle":"","parse-names":false,"suffix":""},{"dropping-particle":"","family":"Liu","given":"Guang","non-dropping-particle":"","parse-names":false,"suffix":""},{"dropping-particle":"","family":"Li","given":"Cuiping","non-dropping-particle":"","parse-names":false,"suffix":""},{"dropping-particle":"","family":"Song","given":"Shuhui","non-dropping-particle":"","parse-names":false,"suffix":""},{"dropping-particle":"","family":"Bradley","given":"Allan","non-dropping-particle":"","parse-names":false,"suffix":""},{"dropping-particle":"","family":"Huang","given":"Yue","non-dropping-particle":"","parse-names":false,"suffix":""}],"container-title":"The EMBO Journal","id":"ITEM-2","issue":"21","issued":{"date-parts":[["2016"]]},"page":"2285-2300","title":"Aneuploid embryonic stem cells exhibit impaired differentiation and increased neoplastic potential","type":"article-journal","volume":"35"},"uris":["http://www.mendeley.com/documents/?uuid=b72e737d-56eb-464c-b5e3-f3ede07d6f3c"]},{"id":"ITEM-3","itemData":{"DOI":"10.3389/fncel.2012.00036","ISSN":"16625102","abstract":"Understanding the cellular basis of neurological disorders have advanced at a slow pace, especially due to the extreme invasiveness of brain biopsying and limitations of cell lines and animal models that have been used. Since the derivation of pluripotent stem cells (PSCs), a novel source of cells for regenerative medicine and disease modeling has become available, holding great potential for the neurology field. However, safety for therapy and accurateness for modeling have been a matter of intense debate, considering that genomic instability, including the gain and loss of chromosomes (aneuploidy), has been repeatedly observed in those cells. Despite the fact that recent reports have described some degree of aneuploidy as being normal during neuronal differentiation and present in healthy human brains, this phenomenon is particularly controversial since it has traditionally been associated with cancer and disabling syndromes. It is therefore necessary to appreciate, to which extent, aneuploid pluripotent stem cells are suitable for regenerative medicine and neurological modeling and also the limits that separate constitutive from disease-related aneuploidy. In this review, recent findings regarding chromosomal instability in PSCs and within the brain will be discussed. © 2012 Devalle, Sartore, Paulsen, Borges, Martins and Rehen.","author":[{"dropping-particle":"","family":"Devalle","given":"Sylvie","non-dropping-particle":"","parse-names":false,"suffix":""},{"dropping-particle":"","family":"Sartore","given":"Rafaela C.","non-dropping-particle":"","parse-names":false,"suffix":""},{"dropping-particle":"","family":"Paulsen","given":"Bruna S.","non-dropping-particle":"","parse-names":false,"suffix":""},{"dropping-particle":"","family":"Borges","given":"Helena L.","non-dropping-particle":"","parse-names":false,"suffix":""},{"dropping-particle":"","family":"Martins","given":"Rodrigo A.P.","non-dropping-particle":"","parse-names":false,"suffix":""},{"dropping-particle":"","family":"Rehen","given":"Stevens K.","non-dropping-particle":"","parse-names":false,"suffix":""}],"container-title":"Frontiers in Cellular Neuroscience","id":"ITEM-3","issue":"SEPTEMBER","issued":{"date-parts":[["2012"]]},"page":"1-13","title":"Implications of aneuploidy for stem cell biology and brain therapeutics","type":"article-journal","volume":"6"},"uris":["http://www.mendeley.com/documents/?uuid=96f8be52-7d72-4906-98dd-e079908df302"]}],"mendeley":{"formattedCitation":"&lt;sup&gt;22,34,36&lt;/sup&gt;","plainTextFormattedCitation":"22,34,36","previouslyFormattedCitation":"&lt;sup&gt;22,34,36&lt;/sup&gt;"},"properties":{"noteIndex":0},"schema":"https://github.com/citation-style-language/schema/raw/master/csl-citation.json"}</w:instrText>
      </w:r>
      <w:r w:rsidR="004E5438" w:rsidRPr="00B72A96">
        <w:rPr>
          <w:vertAlign w:val="superscript"/>
        </w:rPr>
        <w:fldChar w:fldCharType="separate"/>
      </w:r>
      <w:r w:rsidR="004E5438" w:rsidRPr="00B72A96">
        <w:rPr>
          <w:noProof/>
          <w:vertAlign w:val="superscript"/>
        </w:rPr>
        <w:t>22,3</w:t>
      </w:r>
      <w:r w:rsidR="00390F9D">
        <w:rPr>
          <w:noProof/>
          <w:vertAlign w:val="superscript"/>
        </w:rPr>
        <w:t>2,3</w:t>
      </w:r>
      <w:r w:rsidR="004E5438" w:rsidRPr="00B72A96">
        <w:rPr>
          <w:noProof/>
          <w:vertAlign w:val="superscript"/>
        </w:rPr>
        <w:t>4</w:t>
      </w:r>
      <w:r w:rsidR="004E5438" w:rsidRPr="00B72A96">
        <w:rPr>
          <w:vertAlign w:val="superscript"/>
        </w:rPr>
        <w:fldChar w:fldCharType="end"/>
      </w:r>
      <w:r w:rsidR="001B2D92" w:rsidRPr="00B72A96">
        <w:t>. Quantification of chromosomal integrity and DNA damage remains critical: as an experimental checkpoint to validate the health of the cells prior to starting</w:t>
      </w:r>
      <w:r w:rsidR="00B76CC4" w:rsidRPr="00B72A96">
        <w:t xml:space="preserve"> differentiation protocols</w:t>
      </w:r>
      <w:r w:rsidRPr="00B72A96">
        <w:t xml:space="preserve">, and ii) for those interested in studying the mechanisms of genome integrity regulation in stem cells. Here, the utility of a combined chromosomal instability and DNA damage assessment workflow for distinguishing different forms of genome instability in </w:t>
      </w:r>
      <w:proofErr w:type="spellStart"/>
      <w:r w:rsidRPr="00B72A96">
        <w:t>hPSCs</w:t>
      </w:r>
      <w:proofErr w:type="spellEnd"/>
      <w:r w:rsidRPr="00B72A96">
        <w:t xml:space="preserve"> (</w:t>
      </w:r>
      <w:r w:rsidRPr="00B72A96">
        <w:rPr>
          <w:b/>
          <w:bCs/>
        </w:rPr>
        <w:t>Figure 2A</w:t>
      </w:r>
      <w:r w:rsidRPr="00B72A96">
        <w:t>)</w:t>
      </w:r>
      <w:r w:rsidR="009A3339" w:rsidRPr="00B72A96">
        <w:t xml:space="preserve"> is demonstrated</w:t>
      </w:r>
      <w:r w:rsidRPr="00B72A96">
        <w:t>. As proof-of-concept perturbations, cells were exposed to a panel of replication stress-inducing agents and mitotic inhibitors (</w:t>
      </w:r>
      <w:r w:rsidRPr="00B72A96">
        <w:rPr>
          <w:b/>
          <w:bCs/>
        </w:rPr>
        <w:t>Figure 2B</w:t>
      </w:r>
      <w:r w:rsidR="00874F19" w:rsidRPr="00B72A96">
        <w:rPr>
          <w:b/>
          <w:bCs/>
        </w:rPr>
        <w:t>–</w:t>
      </w:r>
      <w:r w:rsidR="00B76CC4" w:rsidRPr="00B72A96">
        <w:rPr>
          <w:b/>
          <w:bCs/>
        </w:rPr>
        <w:t>O</w:t>
      </w:r>
      <w:r w:rsidRPr="00B72A96">
        <w:rPr>
          <w:b/>
          <w:bCs/>
        </w:rPr>
        <w:t>, Table 3</w:t>
      </w:r>
      <w:r w:rsidRPr="00B72A96">
        <w:t>).</w:t>
      </w:r>
    </w:p>
    <w:p w14:paraId="3FA0813B" w14:textId="77777777" w:rsidR="000C3DAE" w:rsidRPr="00B72A96" w:rsidRDefault="000C3DAE" w:rsidP="00BD5E4C">
      <w:pPr>
        <w:contextualSpacing/>
        <w:mirrorIndents/>
      </w:pPr>
    </w:p>
    <w:p w14:paraId="0B8A92D9" w14:textId="0C49A292" w:rsidR="000C3DAE" w:rsidRPr="00B72A96" w:rsidRDefault="00000000" w:rsidP="00BD5E4C">
      <w:pPr>
        <w:contextualSpacing/>
        <w:mirrorIndents/>
      </w:pPr>
      <w:r w:rsidRPr="00B72A96">
        <w:t xml:space="preserve">Compared to somatic cells, </w:t>
      </w:r>
      <w:proofErr w:type="spellStart"/>
      <w:r w:rsidRPr="00B72A96">
        <w:t>hPSCs</w:t>
      </w:r>
      <w:proofErr w:type="spellEnd"/>
      <w:r w:rsidRPr="00B72A96">
        <w:t xml:space="preserve"> display fast cell cycle dynamics characterized by a shortened G1 phase and a high proportion of cells in S-phase, which makes them susceptible to replication stress (RS)</w:t>
      </w:r>
      <w:r w:rsidR="004E5438" w:rsidRPr="00B72A96">
        <w:rPr>
          <w:vertAlign w:val="superscript"/>
        </w:rPr>
        <w:fldChar w:fldCharType="begin" w:fldLock="1"/>
      </w:r>
      <w:r w:rsidR="00C26B0D" w:rsidRPr="00B72A96">
        <w:rPr>
          <w:vertAlign w:val="superscript"/>
        </w:rPr>
        <w:instrText>ADDIN CSL_CITATION {"citationItems":[{"id":"ITEM-1","itemData":{"DOI":"10.1016/j.stem.2015.11.003","ISSN":"18759777","PMID":"26669899","abstract":"Human pluripotent stem cells (hPSCs) frequently acquire chromosomal aberrations such as aneuploidy in culture. These aberrations progressively increase over time and may compromise the properties and clinical utility of the cells. The underlying mechanisms that drive initial genomic instability and its continued progression are largely unknown. Here, we show that aneuploid hPSCs undergo DNA replication stress, resulting in defective chromosome condensation and segregation. Aneuploid hPSCs show altered levels of actin cytoskeletal genes controlled by the transcription factor SRF, and overexpression of SRF rescues impaired chromosome condensation and segregation defects in aneuploid hPSCs. Furthermore, SRF downregulation in diploid hPSCs induces replication stress and perturbed condensation similar to that seen in aneuploid cells. Together, these results suggest that decreased SRF expression induces replicative stress and chromosomal condensation defects that underlie the ongoing chromosomal instability seen in aneuploid hPSCs. A similar mechanism may also operate during initiation of instability in diploid cells.","author":[{"dropping-particle":"","family":"Lamm","given":"Noa","non-dropping-particle":"","parse-names":false,"suffix":""},{"dropping-particle":"","family":"Ben-David","given":"Uri","non-dropping-particle":"","parse-names":false,"suffix":""},{"dropping-particle":"","family":"Golan-Lev","given":"Tamar","non-dropping-particle":"","parse-names":false,"suffix":""},{"dropping-particle":"","family":"Storchová","given":"Zuzana","non-dropping-particle":"","parse-names":false,"suffix":""},{"dropping-particle":"","family":"Benvenisty","given":"Nissim","non-dropping-particle":"","parse-names":false,"suffix":""},{"dropping-particle":"","family":"Kerem","given":"Batsheva","non-dropping-particle":"","parse-names":false,"suffix":""}],"container-title":"Cell Stem Cell","id":"ITEM-1","issue":"2","issued":{"date-parts":[["2016"]]},"page":"253-261","title":"Genomic Instability in Human Pluripotent Stem Cells Arises from Replicative Stress and Chromosome Condensation Defects","type":"article-journal","volume":"18"},"uris":["http://www.mendeley.com/documents/?uuid=472df3c1-f41c-452c-905c-8a5c0202e717"]},{"id":"ITEM-2","itemData":{"DOI":"10.1038/S44319-024-00207-5","ISBN":"164.15.244.48","ISSN":"14693178","PMID":"39054377","abstract":"AbstractEmbryonic stem (ES) cells are pluripotent stem cells that can produce all cell types of an organism. ES cells proliferate rapidly and are thought to experience high levels of intrinsic repl...","author":[{"dropping-particle":"","family":"Kurashima","given":"Kiminori","non-dropping-particle":"","parse-names":false,"suffix":""},{"dropping-particle":"","family":"Kamikawa","given":"Yasunao","non-dropping-particle":"","parse-names":false,"suffix":""},{"dropping-particle":"","family":"Tsubouchi","given":"Tomomi","non-dropping-particle":"","parse-names":false,"suffix":""}],"container-title":"EMBO Reports","id":"ITEM-2","issue":"9","issued":{"date-parts":[["2024","9","10"]]},"page":"3757-3776","publisher":"Nature Publishing Group UKLondon","title":"Embryonic stem cells maintain high origin activity and slow forks to coordinate replication with cell cycle progression","type":"article-journal","volume":"25"},"uris":["http://www.mendeley.com/documents/?uuid=8b2802e2-e120-360e-b48a-5d8ec5bb4c77"]},{"id":"ITEM-3","itemData":{"DOI":"10.7554/eLife.30473","ISSN":"2050084X","PMID":"29148972","abstract":"Complete and robust human genome duplication requires loading minichromosome maintenance (MCM) helicase complexes at many DNA replication origins, an essential process termed origin licensing. Licensing is restricted to G1 phase of the cell cycle, but G1 length varies widely among cell types. Using quantitative single-cell analyses, we found that pluripotent stem cells with naturally short G1 phases load MCM much faster than their isogenic differentiated counterparts with long G1 phases. During the earliest stages of differentiation toward all lineages, MCM loading slows concurrently with G1 lengthening, revealing developmental control of MCM loading. In contrast, ectopic Cyclin E overproduction uncouples short G1 from fast MCM loading. Rapid licensing in stem cells is caused by accumulation of the MCM loading protein, Cdt1. Prematurely slowing MCM loading in pluripotent cells not only lengthens G1 but also accelerates differentiation. Thus, rapid origin licensing is an intrinsic characteristic of stem cells that contributes to pluripotency maintenance.","author":[{"dropping-particle":"","family":"Matson","given":"Jacob Peter","non-dropping-particle":"","parse-names":false,"suffix":""},{"dropping-particle":"","family":"Dumitru","given":"Raluca","non-dropping-particle":"","parse-names":false,"suffix":""},{"dropping-particle":"","family":"Coryell","given":"Philip","non-dropping-particle":"","parse-names":false,"suffix":""},{"dropping-particle":"","family":"Baxley","given":"Ryan M.","non-dropping-particle":"","parse-names":false,"suffix":""},{"dropping-particle":"","family":"Chen","given":"Weili","non-dropping-particle":"","parse-names":false,"suffix":""},{"dropping-particle":"","family":"Twaroski","given":"Kirk","non-dropping-particle":"","parse-names":false,"suffix":""},{"dropping-particle":"","family":"Webber","given":"Beau R.","non-dropping-particle":"","parse-names":false,"suffix":""},{"dropping-particle":"","family":"Tolar","given":"Jakub","non-dropping-particle":"","parse-names":false,"suffix":""},{"dropping-particle":"","family":"Bielinsky","given":"Anja Katrin","non-dropping-particle":"","parse-names":false,"suffix":""},{"dropping-particle":"","family":"Purvis","given":"Jeremy E.","non-dropping-particle":"","parse-names":false,"suffix":""},{"dropping-particle":"","family":"Cook","given":"Jeanette Gowen","non-dropping-particle":"","parse-names":false,"suffix":""}],"container-title":"eLife","id":"ITEM-3","issued":{"date-parts":[["2017"]]},"page":"1-31","title":"Rapid DNA replication origin licensing protects stem cell pluripotency","type":"article-journal","volume":"6"},"uris":["http://www.mendeley.com/documents/?uuid=1faaab8a-2075-401b-ba95-ed92d0ee22d4"]}],"mendeley":{"formattedCitation":"&lt;sup&gt;22,37,38&lt;/sup&gt;","plainTextFormattedCitation":"22,37,38","previouslyFormattedCitation":"&lt;sup&gt;22,37,38&lt;/sup&gt;"},"properties":{"noteIndex":0},"schema":"https://github.com/citation-style-language/schema/raw/master/csl-citation.json"}</w:instrText>
      </w:r>
      <w:r w:rsidR="004E5438" w:rsidRPr="00B72A96">
        <w:rPr>
          <w:vertAlign w:val="superscript"/>
        </w:rPr>
        <w:fldChar w:fldCharType="separate"/>
      </w:r>
      <w:r w:rsidR="004E5438" w:rsidRPr="00B72A96">
        <w:rPr>
          <w:noProof/>
          <w:vertAlign w:val="superscript"/>
        </w:rPr>
        <w:t>22,3</w:t>
      </w:r>
      <w:r w:rsidR="00390F9D">
        <w:rPr>
          <w:noProof/>
          <w:vertAlign w:val="superscript"/>
        </w:rPr>
        <w:t>5,36</w:t>
      </w:r>
      <w:r w:rsidR="004E5438" w:rsidRPr="00B72A96">
        <w:rPr>
          <w:vertAlign w:val="superscript"/>
        </w:rPr>
        <w:fldChar w:fldCharType="end"/>
      </w:r>
      <w:r w:rsidRPr="00B72A96">
        <w:t>. Replication stress can arise from diverse mechanisms, including replication fork slowing, nucleotide depletion, and replication-transcription conflicts, ultimately leading to DNA damage. To model distinct forms of replication stress, cells were treated with aphidicolin (Aphi; 50</w:t>
      </w:r>
      <w:r w:rsidR="001E3540" w:rsidRPr="00B72A96">
        <w:t xml:space="preserve"> </w:t>
      </w:r>
      <w:proofErr w:type="spellStart"/>
      <w:r w:rsidRPr="00B72A96">
        <w:t>nM</w:t>
      </w:r>
      <w:proofErr w:type="spellEnd"/>
      <w:r w:rsidRPr="00B72A96">
        <w:t xml:space="preserve">), an inhibitor of replicative DNA polymerases; hydroxyurea (HU; 1–3 mM), which depletes intracellular deoxyribonucleotide pools through inhibition of ribonucleotide reductase; or </w:t>
      </w:r>
      <w:proofErr w:type="spellStart"/>
      <w:r w:rsidRPr="00B72A96">
        <w:t>camptothecin</w:t>
      </w:r>
      <w:proofErr w:type="spellEnd"/>
      <w:r w:rsidRPr="00B72A96">
        <w:t xml:space="preserve"> (CPT; 1–2.5 </w:t>
      </w:r>
      <w:proofErr w:type="spellStart"/>
      <w:r w:rsidRPr="00B72A96">
        <w:t>μM</w:t>
      </w:r>
      <w:proofErr w:type="spellEnd"/>
      <w:r w:rsidRPr="00B72A96">
        <w:t>), a topoisomerase I inhibitor that generates severe replication-associated DNA lesions (</w:t>
      </w:r>
      <w:r w:rsidRPr="00B72A96">
        <w:rPr>
          <w:b/>
          <w:bCs/>
        </w:rPr>
        <w:t>Figure 2B</w:t>
      </w:r>
      <w:r w:rsidRPr="00B72A96">
        <w:t xml:space="preserve">, </w:t>
      </w:r>
      <w:r w:rsidRPr="00B72A96">
        <w:rPr>
          <w:b/>
          <w:bCs/>
        </w:rPr>
        <w:t xml:space="preserve">Table </w:t>
      </w:r>
      <w:r w:rsidR="00471743" w:rsidRPr="00B72A96">
        <w:rPr>
          <w:b/>
          <w:bCs/>
        </w:rPr>
        <w:t>3</w:t>
      </w:r>
      <w:r w:rsidRPr="00B72A96">
        <w:t>). Low doses of aphidicolin</w:t>
      </w:r>
      <w:r w:rsidR="00DA2CD5" w:rsidRPr="00B72A96">
        <w:t xml:space="preserve"> and HU</w:t>
      </w:r>
      <w:r w:rsidRPr="00B72A96">
        <w:t xml:space="preserve"> induced a modest increase in double-stranded DNA breaks, as measured by γH2AX (</w:t>
      </w:r>
      <w:r w:rsidRPr="00B72A96">
        <w:rPr>
          <w:b/>
          <w:bCs/>
        </w:rPr>
        <w:t>Figure 2</w:t>
      </w:r>
      <w:proofErr w:type="gramStart"/>
      <w:r w:rsidRPr="00B72A96">
        <w:rPr>
          <w:b/>
          <w:bCs/>
        </w:rPr>
        <w:t>C</w:t>
      </w:r>
      <w:r w:rsidR="00874F19" w:rsidRPr="00B72A96">
        <w:rPr>
          <w:b/>
          <w:bCs/>
        </w:rPr>
        <w:t>,</w:t>
      </w:r>
      <w:r w:rsidRPr="00B72A96">
        <w:rPr>
          <w:b/>
          <w:bCs/>
        </w:rPr>
        <w:t>D</w:t>
      </w:r>
      <w:proofErr w:type="gramEnd"/>
      <w:r w:rsidRPr="00B72A96">
        <w:t>). In contrast, treatment with CPT produced substantially greater γH2AX accumulation, indicating enhanced replication-associated DNA damage (</w:t>
      </w:r>
      <w:r w:rsidRPr="00B72A96">
        <w:rPr>
          <w:b/>
          <w:bCs/>
        </w:rPr>
        <w:t>Figure 2</w:t>
      </w:r>
      <w:proofErr w:type="gramStart"/>
      <w:r w:rsidRPr="00B72A96">
        <w:rPr>
          <w:b/>
          <w:bCs/>
        </w:rPr>
        <w:t>C</w:t>
      </w:r>
      <w:r w:rsidR="00B76CC4" w:rsidRPr="00B72A96">
        <w:rPr>
          <w:b/>
          <w:bCs/>
        </w:rPr>
        <w:t>,</w:t>
      </w:r>
      <w:r w:rsidRPr="00B72A96">
        <w:rPr>
          <w:b/>
          <w:bCs/>
        </w:rPr>
        <w:t>D</w:t>
      </w:r>
      <w:proofErr w:type="gramEnd"/>
      <w:r w:rsidR="00E16217" w:rsidRPr="00B72A96">
        <w:t>)</w:t>
      </w:r>
      <w:r w:rsidRPr="00B72A96">
        <w:t xml:space="preserve">. </w:t>
      </w:r>
      <w:r w:rsidR="00E34060" w:rsidRPr="00B72A96">
        <w:t>Similarly, p</w:t>
      </w:r>
      <w:r w:rsidRPr="00B72A96">
        <w:t xml:space="preserve">hospho-RPA levels were most strongly </w:t>
      </w:r>
      <w:r w:rsidR="00DA2CD5" w:rsidRPr="00B72A96">
        <w:t xml:space="preserve">and </w:t>
      </w:r>
      <w:r w:rsidR="00480A2A" w:rsidRPr="00B72A96">
        <w:t>consistently</w:t>
      </w:r>
      <w:r w:rsidR="00DA2CD5" w:rsidRPr="00B72A96">
        <w:t xml:space="preserve"> </w:t>
      </w:r>
      <w:r w:rsidRPr="00B72A96">
        <w:t>elevated following CPT treatment</w:t>
      </w:r>
      <w:r w:rsidR="00DA2CD5" w:rsidRPr="00B72A96">
        <w:t xml:space="preserve">. HU-treated cells in S-phase displayed a </w:t>
      </w:r>
      <w:r w:rsidR="000913B7" w:rsidRPr="00B72A96">
        <w:t>bimodal</w:t>
      </w:r>
      <w:r w:rsidR="00DA2CD5" w:rsidRPr="00B72A96">
        <w:t xml:space="preserve"> response</w:t>
      </w:r>
      <w:r w:rsidR="00480A2A" w:rsidRPr="00B72A96">
        <w:t>, with</w:t>
      </w:r>
      <w:r w:rsidR="00DA2CD5" w:rsidRPr="00B72A96">
        <w:t xml:space="preserve"> some cell</w:t>
      </w:r>
      <w:r w:rsidR="00E34060" w:rsidRPr="00B72A96">
        <w:t>s</w:t>
      </w:r>
      <w:r w:rsidR="00480A2A" w:rsidRPr="00B72A96">
        <w:t xml:space="preserve"> showing a</w:t>
      </w:r>
      <w:r w:rsidR="00DA2CD5" w:rsidRPr="00B72A96">
        <w:t xml:space="preserve"> </w:t>
      </w:r>
      <w:r w:rsidR="00E34060" w:rsidRPr="00B72A96">
        <w:t>mild</w:t>
      </w:r>
      <w:r w:rsidR="00DA2CD5" w:rsidRPr="00B72A96">
        <w:t xml:space="preserve"> </w:t>
      </w:r>
      <w:r w:rsidR="00480A2A" w:rsidRPr="00B72A96">
        <w:t xml:space="preserve">increase </w:t>
      </w:r>
      <w:r w:rsidR="001B2D92" w:rsidRPr="00B72A96">
        <w:t xml:space="preserve">in </w:t>
      </w:r>
      <w:r w:rsidR="00480A2A" w:rsidRPr="00B72A96">
        <w:t>phospho-RPA</w:t>
      </w:r>
      <w:r w:rsidR="00DA2CD5" w:rsidRPr="00B72A96">
        <w:t>, while others remained unperturbed</w:t>
      </w:r>
      <w:r w:rsidR="00881BA0">
        <w:t>,</w:t>
      </w:r>
      <w:r w:rsidR="00E34060" w:rsidRPr="00B72A96">
        <w:t xml:space="preserve"> but at the same threshold as </w:t>
      </w:r>
      <w:r w:rsidR="001B2D92" w:rsidRPr="00B72A96">
        <w:t>aphidicolin-treated</w:t>
      </w:r>
      <w:r w:rsidR="00E34060" w:rsidRPr="00B72A96">
        <w:t xml:space="preserve"> cells</w:t>
      </w:r>
      <w:r w:rsidR="00DA2CD5" w:rsidRPr="00B72A96">
        <w:t>.</w:t>
      </w:r>
      <w:r w:rsidRPr="00B72A96">
        <w:t xml:space="preserve"> </w:t>
      </w:r>
      <w:r w:rsidR="00480A2A" w:rsidRPr="00B72A96">
        <w:t>Overall, the phospho-RPA levels in the HU-treated condition were comparable to those observed following aphidicolin treatment.</w:t>
      </w:r>
      <w:r w:rsidRPr="00B72A96">
        <w:t xml:space="preserve"> (</w:t>
      </w:r>
      <w:r w:rsidRPr="00B72A96">
        <w:rPr>
          <w:b/>
          <w:bCs/>
        </w:rPr>
        <w:t>Figure 2</w:t>
      </w:r>
      <w:proofErr w:type="gramStart"/>
      <w:r w:rsidRPr="00B72A96">
        <w:rPr>
          <w:b/>
          <w:bCs/>
        </w:rPr>
        <w:t>C</w:t>
      </w:r>
      <w:r w:rsidR="00B76CC4" w:rsidRPr="00B72A96">
        <w:rPr>
          <w:b/>
          <w:bCs/>
        </w:rPr>
        <w:t>,</w:t>
      </w:r>
      <w:r w:rsidRPr="00B72A96">
        <w:rPr>
          <w:b/>
          <w:bCs/>
        </w:rPr>
        <w:t>D</w:t>
      </w:r>
      <w:proofErr w:type="gramEnd"/>
      <w:r w:rsidRPr="00B72A96">
        <w:t xml:space="preserve">). Together, these results demonstrate that the workflow can quantitatively distinguish distinct degrees and types of replication stress, highlighting its utility for evaluating genome stability in </w:t>
      </w:r>
      <w:proofErr w:type="spellStart"/>
      <w:r w:rsidRPr="00B72A96">
        <w:t>hPSCs</w:t>
      </w:r>
      <w:proofErr w:type="spellEnd"/>
      <w:r w:rsidRPr="00B72A96">
        <w:t xml:space="preserve"> and their response to genotoxic stress.</w:t>
      </w:r>
    </w:p>
    <w:p w14:paraId="5E303D36" w14:textId="77777777" w:rsidR="000C3DAE" w:rsidRPr="00B72A96" w:rsidRDefault="000C3DAE" w:rsidP="00BD5E4C">
      <w:pPr>
        <w:contextualSpacing/>
        <w:mirrorIndents/>
      </w:pPr>
    </w:p>
    <w:p w14:paraId="7BA92B29" w14:textId="2E3A3F9D" w:rsidR="000C3DAE" w:rsidRPr="00B72A96" w:rsidRDefault="00000000" w:rsidP="00BD5E4C">
      <w:pPr>
        <w:contextualSpacing/>
        <w:mirrorIndents/>
      </w:pPr>
      <w:r w:rsidRPr="00B72A96">
        <w:t>Replication stress can give rise to incomplete DNA replication at vulnerable genomic regions, allowing cells that have escaped DNA repair mechanisms to enter mitosis with under-replicated DNA</w:t>
      </w:r>
      <w:r w:rsidR="00C26B0D" w:rsidRPr="00B72A96">
        <w:rPr>
          <w:vertAlign w:val="superscript"/>
        </w:rPr>
        <w:fldChar w:fldCharType="begin" w:fldLock="1"/>
      </w:r>
      <w:r w:rsidR="00DE245F" w:rsidRPr="00B72A96">
        <w:rPr>
          <w:vertAlign w:val="superscript"/>
        </w:rPr>
        <w:instrText>ADDIN CSL_CITATION {"citationItems":[{"id":"ITEM-1","itemData":{"DOI":"10.1038/s41467-024-51821-9","ISSN":"2041-1723","abstract":"Human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15:1","id":"ITEM-1","issue":"1","issued":{"date-parts":[["2024","8","28"]]},"page":"1-22","publisher":"Nature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stress","type":"article-journal","volume":"15"},"uris":["http://www.mendeley.com/documents/?uuid=21245d15-68e1-356b-bf33-3a3e11b3eeb4"]},{"id":"ITEM-2","itemData":{"DOI":"10.1080/15384101.2019.1658477","ISSN":"15514005","PMID":"31448675","abstract":"Chromosomal instability (CIN) causes structural and numerical chromosome aberrations and represents a hallmark of cancer. Replication stress (RS) has emerged as a driver for structural chromosome aberrations while mitotic defects can cause whole chromosome missegregation and aneuploidy. Recently, first evidence indicated that RS can also influence chromosome segregation in cancer cells exhibiting CIN, but the underlying mechanisms remain unknown. Here, we show that chromosomally unstable cancer cells suffer from very mild RS, which allows efficient proliferation and which can be mimicked by treatment with very low concentrations of aphidicolin. Both, endogenous RS and aphidicolin-induced very mild RS cause chromosome missegregation during mitosis leading to the induction of aneuploidy. Moreover, RS triggers an increase in microtubule plus end growth rates in mitosis, an abnormality previously identified to cause chromosome missegregation in cancer cells. In fact, RS-induced chromosome missegregation is mediated by increased mitotic microtubule growth rates and is suppressed after restoration of proper microtubule growth rates and upon rescue of replication stress. Hence, very mild and cancer-relevant RS triggers aneuploidy by deregulating microtubule dynamics in mitosis.","author":[{"dropping-particle":"","family":"Böhly","given":"Nicolas","non-dropping-particle":"","parse-names":false,"suffix":""},{"dropping-particle":"","family":"Kistner","given":"Magdalena","non-dropping-particle":"","parse-names":false,"suffix":""},{"dropping-particle":"","family":"Bastians","given":"Holger","non-dropping-particle":"","parse-names":false,"suffix":""}],"container-title":"Cell Cycle","id":"ITEM-2","issue":"20","issued":{"date-parts":[["2019","10","18"]]},"page":"2770-2783","publisher":"Taylor and Francis Inc.","title":"Mild replication stress causes aneuploidy by deregulating microtubule dynamics in mitosis","type":"article-journal","volume":"18"},"uris":["http://www.mendeley.com/documents/?uuid=729598e5-abc9-365f-9b75-cf58945376ab"]}],"mendeley":{"formattedCitation":"&lt;sup&gt;21,39&lt;/sup&gt;","plainTextFormattedCitation":"21,39","previouslyFormattedCitation":"&lt;sup&gt;21,39&lt;/sup&gt;"},"properties":{"noteIndex":0},"schema":"https://github.com/citation-style-language/schema/raw/master/csl-citation.json"}</w:instrText>
      </w:r>
      <w:r w:rsidR="00C26B0D" w:rsidRPr="00B72A96">
        <w:rPr>
          <w:vertAlign w:val="superscript"/>
        </w:rPr>
        <w:fldChar w:fldCharType="separate"/>
      </w:r>
      <w:r w:rsidR="00DE245F" w:rsidRPr="00B72A96">
        <w:rPr>
          <w:noProof/>
          <w:vertAlign w:val="superscript"/>
        </w:rPr>
        <w:t>21,3</w:t>
      </w:r>
      <w:r w:rsidR="00390F9D">
        <w:rPr>
          <w:noProof/>
          <w:vertAlign w:val="superscript"/>
        </w:rPr>
        <w:t>7</w:t>
      </w:r>
      <w:r w:rsidR="00C26B0D" w:rsidRPr="00B72A96">
        <w:rPr>
          <w:vertAlign w:val="superscript"/>
        </w:rPr>
        <w:fldChar w:fldCharType="end"/>
      </w:r>
      <w:r w:rsidRPr="00B72A96">
        <w:t>. During chromosome segregation in mitosis (M-phase), unreplicated DNA can generate ultrafine bridges (UFBs), which are visualized as BLM</w:t>
      </w:r>
      <w:r w:rsidRPr="00B72A96">
        <w:rPr>
          <w:vertAlign w:val="superscript"/>
        </w:rPr>
        <w:t>+</w:t>
      </w:r>
      <w:r w:rsidRPr="00B72A96">
        <w:t xml:space="preserve"> threads connecting chromatids during segregation</w:t>
      </w:r>
      <w:r w:rsidR="00DE245F" w:rsidRPr="00B72A96">
        <w:rPr>
          <w:vertAlign w:val="superscript"/>
        </w:rPr>
        <w:fldChar w:fldCharType="begin" w:fldLock="1"/>
      </w:r>
      <w:r w:rsidR="00DE245F" w:rsidRPr="00B72A96">
        <w:rPr>
          <w:vertAlign w:val="superscript"/>
        </w:rPr>
        <w:instrText>ADDIN CSL_CITATION {"citationItems":[{"id":"ITEM-1","itemData":{"DOI":"10.1093/NAR/GKR340","ISSN":"0305-1048","PMID":"21576223","abstract":"Most DNA double-strand breaks (DSBs) in S- and G2-phase cells are repaired accurately by Rad51- dependent sister chromatid recombination. However, a minority give rise to gross chromosome rearrangements (GCRs), which can result in disease/ death. What determines whether a DSB is repaired accurately or inaccurately is currently unclear. We provide evidence that suggests that perturbing replication by a non-programmed protein-DNA replication fork barrier results in the persistence of replication intermediates (most likely regions of unreplicated DNA) into mitosis, which results in anaphase bridge formation and ultimately to DNA breakage. However, unlike previously characterized replication-associated DSBs, these breaks are repaired mainly by Rad51-independent processes such as single-strand annealing, and are therefore prone to generate GCRs. These data highlight how a replication-associated DSB can be predisposed to give rise to genome rearrangements in eukaryotes. © 2011 The Author(s).","author":[{"dropping-particle":"","family":"Sofueva","given":"Sevil","non-dropping-particle":"","parse-names":false,"suffix":""},{"dropping-particle":"","family":"Osman","given":"Fekret","non-dropping-particle":"","parse-names":false,"suffix":""},{"dropping-particle":"","family":"Lorenz","given":"Alexander","non-dropping-particle":"","parse-names":false,"suffix":""},{"dropping-particle":"","family":"Steinacher","given":"Roland","non-dropping-particle":"","parse-names":false,"suffix":""},{"dropping-particle":"","family":"Castagnetti","given":"Stefania","non-dropping-particle":"","parse-names":false,"suffix":""},{"dropping-particle":"","family":"Ledesma","given":"Jennifer","non-dropping-particle":"","parse-names":false,"suffix":""},{"dropping-particle":"","family":"Whitby","given":"Matthew C.","non-dropping-particle":"","parse-names":false,"suffix":""}],"container-title":"Nucleic Acids Research","id":"ITEM-1","issue":"15","issued":{"date-parts":[["2011","8","1"]]},"page":"6568-6584","publisher":"Oxford Academic","title":"Ultrafine anaphase bridges, broken DNA and illegitimate recombination induced by a replication fork barrier","type":"article-journal","volume":"39"},"uris":["http://www.mendeley.com/documents/?uuid=2fc6566c-4c60-3a04-bdbb-cee048445ef9"]},{"id":"ITEM-2","itemData":{"DOI":"10.1038/SJ.EMBOJ.7601777","ISSN":"02614189","PMID":"17599064","abstract":"Mutations in BLM cause Bloom's syndrome, a disorder associated with cancer predisposition and chromosomal instability. We investigated whether BLM plays a role in ensuring the faithful chromosome segregation in human cells. We show that BLM-defective cells display a higher frequency of anaphase bridges and lagging chromatin than do isogenic corrected derivatives that eptopically express the BLM protein. In normal cells undergoing mitosis, BLM protein localizes to anaphase bridges, where it colocalizes with its cellular partners, topoisomerase IIIα and hRMI1 (BLAP75). Using BLM staining as a marker, we have identified a class of ultrafine DNA bridges in anaphase that are surprisingly prevalent in the anaphase population of normal human cells. These so-called BLM-DNA bridges, which also stain for the PICH protein, frequently link centromeric loci, and are present at an elevated frequency in cells lacking BLM. On the basis of these results, we propose that sister-chromatid disjunction is often incomplete in human cells even after the onset of anaphase. We present a model for the action of BLM in ensuring complete sister chromatid decatenation in anaphase. © 2007 European Molecular Biology Organization | All Rights Reserved.","author":[{"dropping-particle":"","family":"Chan","given":"Kok Lung","non-dropping-particle":"","parse-names":false,"suffix":""},{"dropping-particle":"","family":"North","given":"Phillip S.","non-dropping-particle":"","parse-names":false,"suffix":""},{"dropping-particle":"","family":"Hickson","given":"Ian D.","non-dropping-particle":"","parse-names":false,"suffix":""}],"container-title":"The EMBO Journal","id":"ITEM-2","issue":"14","issued":{"date-parts":[["2007","7","25"]]},"page":"3397","title":"BLM is required for faithful chromosome segregation and its localization defines a class of ultrafine anaphase bridges","type":"article-journal","volume":"26"},"uris":["http://www.mendeley.com/documents/?uuid=e1c4f7d8-0798-3daf-894b-138c0fc7acaf"]}],"mendeley":{"formattedCitation":"&lt;sup&gt;40,41&lt;/sup&gt;","plainTextFormattedCitation":"40,41","previouslyFormattedCitation":"&lt;sup&gt;40,41&lt;/sup&gt;"},"properties":{"noteIndex":0},"schema":"https://github.com/citation-style-language/schema/raw/master/csl-citation.json"}</w:instrText>
      </w:r>
      <w:r w:rsidR="00DE245F" w:rsidRPr="00B72A96">
        <w:rPr>
          <w:vertAlign w:val="superscript"/>
        </w:rPr>
        <w:fldChar w:fldCharType="separate"/>
      </w:r>
      <w:r w:rsidR="00390F9D">
        <w:rPr>
          <w:noProof/>
          <w:vertAlign w:val="superscript"/>
        </w:rPr>
        <w:t>38,39</w:t>
      </w:r>
      <w:r w:rsidR="00DE245F" w:rsidRPr="00B72A96">
        <w:rPr>
          <w:vertAlign w:val="superscript"/>
        </w:rPr>
        <w:fldChar w:fldCharType="end"/>
      </w:r>
      <w:r w:rsidRPr="00B72A96">
        <w:t xml:space="preserve">. </w:t>
      </w:r>
      <w:r w:rsidR="00675F5C" w:rsidRPr="00B72A96">
        <w:t>Treatment with</w:t>
      </w:r>
      <w:r w:rsidR="000913B7" w:rsidRPr="00B72A96">
        <w:t xml:space="preserve"> aphidicolin at</w:t>
      </w:r>
      <w:r w:rsidR="00675F5C" w:rsidRPr="00B72A96">
        <w:t xml:space="preserve"> either 50 or 200 </w:t>
      </w:r>
      <w:proofErr w:type="spellStart"/>
      <w:r w:rsidR="00675F5C" w:rsidRPr="00B72A96">
        <w:t>nM</w:t>
      </w:r>
      <w:proofErr w:type="spellEnd"/>
      <w:r w:rsidR="00675F5C" w:rsidRPr="00B72A96">
        <w:t xml:space="preserve"> for 16 h increased the percentage of mitotic </w:t>
      </w:r>
      <w:proofErr w:type="spellStart"/>
      <w:r w:rsidR="00675F5C" w:rsidRPr="00B72A96">
        <w:t>hPSCs</w:t>
      </w:r>
      <w:proofErr w:type="spellEnd"/>
      <w:r w:rsidR="00675F5C" w:rsidRPr="00B72A96">
        <w:t xml:space="preserve"> displaying BLM-positive UFBs relative to the DMSO-treated control (</w:t>
      </w:r>
      <w:r w:rsidR="00675F5C" w:rsidRPr="00B72A96">
        <w:rPr>
          <w:b/>
          <w:bCs/>
        </w:rPr>
        <w:t>Figure 2E–G</w:t>
      </w:r>
      <w:r w:rsidR="00675F5C" w:rsidRPr="00B72A96">
        <w:t>)</w:t>
      </w:r>
      <w:r w:rsidR="001B2D92" w:rsidRPr="00B72A96">
        <w:t>,</w:t>
      </w:r>
      <w:r w:rsidR="00675F5C" w:rsidRPr="00B72A96">
        <w:t xml:space="preserve"> highlighting the sensitivity of this developmental stage to genomic instability. The largest mean increase, approximately threefold relative to control, was observed following treatment with 50 </w:t>
      </w:r>
      <w:proofErr w:type="spellStart"/>
      <w:r w:rsidR="00675F5C" w:rsidRPr="00B72A96">
        <w:t>nM</w:t>
      </w:r>
      <w:proofErr w:type="spellEnd"/>
      <w:r w:rsidR="00675F5C" w:rsidRPr="00B72A96">
        <w:t xml:space="preserve"> aphidicolin. These results demonstrate that mild replication stress can persist into mitosis as unresolved DNA structures in </w:t>
      </w:r>
      <w:proofErr w:type="spellStart"/>
      <w:r w:rsidR="00675F5C" w:rsidRPr="00B72A96">
        <w:t>hPSCs</w:t>
      </w:r>
      <w:proofErr w:type="spellEnd"/>
      <w:r w:rsidR="00675F5C" w:rsidRPr="00B72A96">
        <w:t xml:space="preserve">. </w:t>
      </w:r>
      <w:r w:rsidRPr="00B72A96">
        <w:t xml:space="preserve">Intriguingly, we have recently shown that long-term culture of </w:t>
      </w:r>
      <w:proofErr w:type="spellStart"/>
      <w:r w:rsidRPr="00B72A96">
        <w:t>hPSCs</w:t>
      </w:r>
      <w:proofErr w:type="spellEnd"/>
      <w:r w:rsidRPr="00B72A96">
        <w:t xml:space="preserve"> also increases the rate of UFBs in mitosis</w:t>
      </w:r>
      <w:r w:rsidR="00DE245F" w:rsidRPr="00B72A96">
        <w:rPr>
          <w:vertAlign w:val="superscript"/>
        </w:rPr>
        <w:fldChar w:fldCharType="begin" w:fldLock="1"/>
      </w:r>
      <w:r w:rsidR="00DE245F" w:rsidRPr="00B72A96">
        <w:rPr>
          <w:vertAlign w:val="superscript"/>
        </w:rPr>
        <w:instrText>ADDIN CSL_CITATION {"citationItems":[{"id":"ITEM-1","itemData":{"DOI":"10.1101/2025.10.27.684724","ISSN":"2692-8205","abstract":"Human pluripotent stem cells (hPSCs) are critical cell sources to model human development and hold promise towards regenerative medicine. However, cultured hPSCs quickly acquire chromosome gains or losses (aneuploidy) due to high replicative stress and errors in chromosome segregation, which hampers their use for stem cell therapies. We have recently described that embryo patterning signals control chromosome segregation fidelity during early human lineage specification by modulating the response to replicative stress. Here, we demonstrate that fine-tuned activation of WNT signalling using off-the-shelf GSK3 inhibitors prevents chromosome missegregation and aneuploidy during long term passaging of hPSCs. Lineage-specification and sequencing analyses demonstrate that hPSCs culture with E8 supplemented with a low dosage of GSK3 inhibitors retain primed pluripotency and full potential to the differentiation into the 3 germ layers for over 30 passages. Strikingly, detailed mitotic studies revealed that long-term cultured hPSCs often display ultra-fine chromosome bridges during anaphase due to unreplicated DNA, which can result in hitherto uncharacterised copy-number-variations and other genomic aberrations. We show that culture with low dosage of the GSK3 inhibitor CHIR99021, but not direct attenuation of DNA replication stress using nucleosides, prevents mitotic DNA synthesis and the formation of ultra-fine bridges during long term hPSC passage. Taken together, we propose to enrich E8 culture media with 100 nM CHIR99021 to maintain euploidy in primed hPSCs, and to routinely map for genomic alterations, in addition to aneuploidy, for modelling and regenerative medicine studies.\n\n### Competing Interest Statement\n\nF.F. is Chief Scientific Director of iPsomics, but does not stand financial benefits from this role\n\nDeutsche Forschungsgemeinschaft, 331351713\n\nMandat d’Impulsion Scientifique Ulysse, F.6002.26","author":[{"dropping-particle":"De","family":"Jaime-Soguero","given":"A.","non-dropping-particle":"","parse-names":false,"suffix":""},{"dropping-particle":"","family":"Romitti","given":"M.","non-dropping-particle":"","parse-names":false,"suffix":""},{"dropping-particle":"","family":"Costagliola","given":"S.","non-dropping-particle":"","parse-names":false,"suffix":""},{"dropping-particle":"","family":"Jauch","given":"A.","non-dropping-particle":"","parse-names":false,"suffix":""},{"dropping-particle":"","family":"Willert","given":"K.","non-dropping-particle":"","parse-names":false,"suffix":""},{"dropping-particle":"","family":"Foijer","given":"F.","non-dropping-particle":"","parse-names":false,"suffix":""},{"dropping-particle":"","family":"Acebrón","given":"S.P.","non-dropping-particle":"","parse-names":false,"suffix":""}],"container-title":"bioRxiv","id":"ITEM-1","issued":{"date-parts":[["2025","10","27"]]},"page":"2025.10.27.684724","publisher":"Cold Spring Harbor Laboratory","title":"Long-term prevention of aneuploidy in human pluripotent stem cells by fine-tuning GSK3 activity","type":"article-journal"},"uris":["http://www.mendeley.com/documents/?uuid=f86de912-a07c-30e2-bb92-10243c413426"]}],"mendeley":{"formattedCitation":"&lt;sup&gt;20&lt;/sup&gt;","plainTextFormattedCitation":"20","previouslyFormattedCitation":"&lt;sup&gt;20&lt;/sup&gt;"},"properties":{"noteIndex":0},"schema":"https://github.com/citation-style-language/schema/raw/master/csl-citation.json"}</w:instrText>
      </w:r>
      <w:r w:rsidR="00DE245F" w:rsidRPr="00B72A96">
        <w:rPr>
          <w:vertAlign w:val="superscript"/>
        </w:rPr>
        <w:fldChar w:fldCharType="separate"/>
      </w:r>
      <w:r w:rsidR="00DE245F" w:rsidRPr="00B72A96">
        <w:rPr>
          <w:noProof/>
          <w:vertAlign w:val="superscript"/>
        </w:rPr>
        <w:t>20</w:t>
      </w:r>
      <w:r w:rsidR="00DE245F" w:rsidRPr="00B72A96">
        <w:rPr>
          <w:vertAlign w:val="superscript"/>
        </w:rPr>
        <w:fldChar w:fldCharType="end"/>
      </w:r>
      <w:r w:rsidRPr="00B72A96">
        <w:t>, linking basal replication stress with mitotic defects (</w:t>
      </w:r>
      <w:r w:rsidRPr="00B72A96">
        <w:rPr>
          <w:b/>
          <w:bCs/>
        </w:rPr>
        <w:t>Figure 2A</w:t>
      </w:r>
      <w:r w:rsidRPr="00B72A96">
        <w:t xml:space="preserve">). </w:t>
      </w:r>
    </w:p>
    <w:p w14:paraId="23E9CF57" w14:textId="77777777" w:rsidR="000C3DAE" w:rsidRPr="00B72A96" w:rsidRDefault="000C3DAE" w:rsidP="00BD5E4C">
      <w:pPr>
        <w:contextualSpacing/>
        <w:mirrorIndents/>
      </w:pPr>
    </w:p>
    <w:p w14:paraId="5BC3F16E" w14:textId="0BA73D95" w:rsidR="000C3DAE" w:rsidRPr="00B72A96" w:rsidRDefault="00000000" w:rsidP="00BD5E4C">
      <w:pPr>
        <w:contextualSpacing/>
        <w:mirrorIndents/>
      </w:pPr>
      <w:r w:rsidRPr="00B72A96">
        <w:t xml:space="preserve">Unrepaired genomic instability often causes mitotic catastrophe at the onset of cell division. Chromosome </w:t>
      </w:r>
      <w:proofErr w:type="spellStart"/>
      <w:r w:rsidRPr="00B72A96">
        <w:t>missegregation</w:t>
      </w:r>
      <w:proofErr w:type="spellEnd"/>
      <w:r w:rsidRPr="00B72A96">
        <w:t xml:space="preserve"> represents a phenotype characterized by the presence of “lagging” chromosomes </w:t>
      </w:r>
      <w:r w:rsidR="001B2D92" w:rsidRPr="00B72A96">
        <w:t>lying</w:t>
      </w:r>
      <w:r w:rsidRPr="00B72A96">
        <w:t xml:space="preserve"> between the separating chromatids during anaphase, which frequently occurs in cells with unresolved damage in S-phase. </w:t>
      </w:r>
      <w:r w:rsidR="00D91852" w:rsidRPr="00D91852">
        <w:t>These events can lead to incorrect segregation of chromosomes into the daughter cells after mitosis</w:t>
      </w:r>
      <w:r w:rsidRPr="00B72A96">
        <w:t xml:space="preserve">, which can give rise to an imbalance in the structure/number of chromosomes (aneuploidy), </w:t>
      </w:r>
      <w:r w:rsidR="001B2D92" w:rsidRPr="00B72A96">
        <w:t xml:space="preserve">which is </w:t>
      </w:r>
      <w:r w:rsidRPr="00B72A96">
        <w:t>frequent during long-term pluripotent stem cell culture</w:t>
      </w:r>
      <w:r w:rsidR="00DE245F" w:rsidRPr="00B72A96">
        <w:rPr>
          <w:vertAlign w:val="superscript"/>
        </w:rPr>
        <w:fldChar w:fldCharType="begin" w:fldLock="1"/>
      </w:r>
      <w:r w:rsidR="00DE245F" w:rsidRPr="00B72A96">
        <w:rPr>
          <w:vertAlign w:val="superscript"/>
        </w:rPr>
        <w:instrText>ADDIN CSL_CITATION {"citationItems":[{"id":"ITEM-1","itemData":{"DOI":"10.1038/s41467-024-51821-9","ISSN":"2041-1723","abstract":"Human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15:1","id":"ITEM-1","issue":"1","issued":{"date-parts":[["2024","8","28"]]},"page":"1-22","publisher":"Nature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stress","type":"article-journal","volume":"15"},"uris":["http://www.mendeley.com/documents/?uuid=21245d15-68e1-356b-bf33-3a3e11b3eeb4"]},{"id":"ITEM-2","itemData":{"DOI":"10.1101/2025.10.27.684724","ISSN":"2692-8205","abstract":"Human pluripotent stem cells (hPSCs) are critical cell sources to model human development and hold promise towards regenerative medicine. However, cultured hPSCs quickly acquire chromosome gains or losses (aneuploidy) due to high replicative stress and errors in chromosome segregation, which hampers their use for stem cell therapies. We have recently described that embryo patterning signals control chromosome segregation fidelity during early human lineage specification by modulating the response to replicative stress. Here, we demonstrate that fine-tuned activation of WNT signalling using off-the-shelf GSK3 inhibitors prevents chromosome missegregation and aneuploidy during long term passaging of hPSCs. Lineage-specification and sequencing analyses demonstrate that hPSCs culture with E8 supplemented with a low dosage of GSK3 inhibitors retain primed pluripotency and full potential to the differentiation into the 3 germ layers for over 30 passages. Strikingly, detailed mitotic studies revealed that long-term cultured hPSCs often display ultra-fine chromosome bridges during anaphase due to unreplicated DNA, which can result in hitherto uncharacterised copy-number-variations and other genomic aberrations. We show that culture with low dosage of the GSK3 inhibitor CHIR99021, but not direct attenuation of DNA replication stress using nucleosides, prevents mitotic DNA synthesis and the formation of ultra-fine bridges during long term hPSC passage. Taken together, we propose to enrich E8 culture media with 100 nM CHIR99021 to maintain euploidy in primed hPSCs, and to routinely map for genomic alterations, in addition to aneuploidy, for modelling and regenerative medicine studies.\n\n### Competing Interest Statement\n\nF.F. is Chief Scientific Director of iPsomics, but does not stand financial benefits from this role\n\nDeutsche Forschungsgemeinschaft, 331351713\n\nMandat d’Impulsion Scientifique Ulysse, F.6002.26","author":[{"dropping-particle":"De","family":"Jaime-Soguero","given":"A.","non-dropping-particle":"","parse-names":false,"suffix":""},{"dropping-particle":"","family":"Romitti","given":"M.","non-dropping-particle":"","parse-names":false,"suffix":""},{"dropping-particle":"","family":"Costagliola","given":"S.","non-dropping-particle":"","parse-names":false,"suffix":""},{"dropping-particle":"","family":"Jauch","given":"A.","non-dropping-particle":"","parse-names":false,"suffix":""},{"dropping-particle":"","family":"Willert","given":"K.","non-dropping-particle":"","parse-names":false,"suffix":""},{"dropping-particle":"","family":"Foijer","given":"F.","non-dropping-particle":"","parse-names":false,"suffix":""},{"dropping-particle":"","family":"Acebrón","given":"S.P.","non-dropping-particle":"","parse-names":false,"suffix":""}],"container-title":"bioRxiv","id":"ITEM-2","issued":{"date-parts":[["2025","10","27"]]},"page":"2025.10.27.684724","publisher":"Cold Spring Harbor Laboratory","title":"Long-term prevention of aneuploidy in human pluripotent stem cells by fine-tuning GSK3 activity","type":"article-journal"},"uris":["http://www.mendeley.com/documents/?uuid=f86de912-a07c-30e2-bb92-10243c413426"]}],"mendeley":{"formattedCitation":"&lt;sup&gt;20,21&lt;/sup&gt;","plainTextFormattedCitation":"20,21","previouslyFormattedCitation":"&lt;sup&gt;20,21&lt;/sup&gt;"},"properties":{"noteIndex":0},"schema":"https://github.com/citation-style-language/schema/raw/master/csl-citation.json"}</w:instrText>
      </w:r>
      <w:r w:rsidR="00DE245F" w:rsidRPr="00B72A96">
        <w:rPr>
          <w:vertAlign w:val="superscript"/>
        </w:rPr>
        <w:fldChar w:fldCharType="separate"/>
      </w:r>
      <w:r w:rsidR="00DE245F" w:rsidRPr="00B72A96">
        <w:rPr>
          <w:noProof/>
          <w:vertAlign w:val="superscript"/>
        </w:rPr>
        <w:t>20,21</w:t>
      </w:r>
      <w:r w:rsidR="00DE245F" w:rsidRPr="00B72A96">
        <w:rPr>
          <w:vertAlign w:val="superscript"/>
        </w:rPr>
        <w:fldChar w:fldCharType="end"/>
      </w:r>
      <w:r w:rsidRPr="00B72A96">
        <w:t xml:space="preserve">. Primed </w:t>
      </w:r>
      <w:proofErr w:type="spellStart"/>
      <w:r w:rsidRPr="00B72A96">
        <w:t>hPSCs</w:t>
      </w:r>
      <w:proofErr w:type="spellEnd"/>
      <w:r w:rsidRPr="00B72A96">
        <w:t xml:space="preserve"> display a basal rate of chromosome </w:t>
      </w:r>
      <w:proofErr w:type="spellStart"/>
      <w:r w:rsidRPr="00B72A96">
        <w:t>missegregation</w:t>
      </w:r>
      <w:proofErr w:type="spellEnd"/>
      <w:r w:rsidRPr="00B72A96">
        <w:t xml:space="preserve"> of ~5</w:t>
      </w:r>
      <w:r w:rsidR="0019052C">
        <w:t>%</w:t>
      </w:r>
      <w:r w:rsidR="0019052C" w:rsidRPr="0019052C">
        <w:t>–</w:t>
      </w:r>
      <w:r w:rsidR="00577D49" w:rsidRPr="00B72A96">
        <w:t>9</w:t>
      </w:r>
      <w:r w:rsidRPr="00B72A96">
        <w:t>%</w:t>
      </w:r>
      <w:r w:rsidR="00DE245F" w:rsidRPr="00B72A96">
        <w:rPr>
          <w:vertAlign w:val="superscript"/>
        </w:rPr>
        <w:fldChar w:fldCharType="begin" w:fldLock="1"/>
      </w:r>
      <w:r w:rsidR="00DE245F" w:rsidRPr="00B72A96">
        <w:rPr>
          <w:vertAlign w:val="superscript"/>
        </w:rPr>
        <w:instrText>ADDIN CSL_CITATION {"citationItems":[{"id":"ITEM-1","itemData":{"DOI":"10.1038/s41467-024-51821-9","ISSN":"2041-1723","abstract":"Human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15:1","id":"ITEM-1","issue":"1","issued":{"date-parts":[["2024","8","28"]]},"page":"1-22","publisher":"Nature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mendeley":{"formattedCitation":"&lt;sup&gt;21&lt;/sup&gt;","plainTextFormattedCitation":"21","previouslyFormattedCitation":"&lt;sup&gt;21&lt;/sup&gt;"},"properties":{"noteIndex":0},"schema":"https://github.com/citation-style-language/schema/raw/master/csl-citation.json"}</w:instrText>
      </w:r>
      <w:r w:rsidR="00DE245F" w:rsidRPr="00B72A96">
        <w:rPr>
          <w:vertAlign w:val="superscript"/>
        </w:rPr>
        <w:fldChar w:fldCharType="separate"/>
      </w:r>
      <w:r w:rsidR="00DE245F" w:rsidRPr="00B72A96">
        <w:rPr>
          <w:noProof/>
          <w:vertAlign w:val="superscript"/>
        </w:rPr>
        <w:t>21</w:t>
      </w:r>
      <w:r w:rsidR="00DE245F" w:rsidRPr="00B72A96">
        <w:rPr>
          <w:vertAlign w:val="superscript"/>
        </w:rPr>
        <w:fldChar w:fldCharType="end"/>
      </w:r>
      <w:r w:rsidR="0019052C">
        <w:rPr>
          <w:vertAlign w:val="superscript"/>
        </w:rPr>
        <w:t xml:space="preserve"> </w:t>
      </w:r>
      <w:r w:rsidR="00B76CC4" w:rsidRPr="00B72A96">
        <w:t>(</w:t>
      </w:r>
      <w:r w:rsidR="00B76CC4" w:rsidRPr="00B72A96">
        <w:rPr>
          <w:b/>
          <w:bCs/>
        </w:rPr>
        <w:t>Figure 2H</w:t>
      </w:r>
      <w:r w:rsidR="00874F19" w:rsidRPr="00B72A96">
        <w:rPr>
          <w:b/>
          <w:bCs/>
        </w:rPr>
        <w:t>–</w:t>
      </w:r>
      <w:r w:rsidR="00B76CC4" w:rsidRPr="00B72A96">
        <w:rPr>
          <w:b/>
          <w:bCs/>
        </w:rPr>
        <w:t>J</w:t>
      </w:r>
      <w:r w:rsidR="00B76CC4" w:rsidRPr="00B72A96">
        <w:t>)</w:t>
      </w:r>
      <w:r w:rsidRPr="00B72A96">
        <w:t>, which drastically increases to 30%</w:t>
      </w:r>
      <w:r w:rsidR="00874F19" w:rsidRPr="00B72A96">
        <w:t>–</w:t>
      </w:r>
      <w:r w:rsidR="00577D49" w:rsidRPr="00B72A96">
        <w:t>7</w:t>
      </w:r>
      <w:r w:rsidRPr="00B72A96">
        <w:t>0% upon M</w:t>
      </w:r>
      <w:r w:rsidR="00675F5C" w:rsidRPr="00B72A96">
        <w:t>PS</w:t>
      </w:r>
      <w:r w:rsidRPr="00B72A96">
        <w:t xml:space="preserve">1 checkpoint spindle inhibition via </w:t>
      </w:r>
      <w:proofErr w:type="spellStart"/>
      <w:r w:rsidRPr="00B72A96">
        <w:t>reversine</w:t>
      </w:r>
      <w:proofErr w:type="spellEnd"/>
      <w:r w:rsidRPr="00B72A96">
        <w:t xml:space="preserve"> in a concentration-dependent manner (</w:t>
      </w:r>
      <w:r w:rsidRPr="00B72A96">
        <w:rPr>
          <w:b/>
          <w:bCs/>
        </w:rPr>
        <w:t>Figure 2H</w:t>
      </w:r>
      <w:r w:rsidR="00874F19" w:rsidRPr="00B72A96">
        <w:rPr>
          <w:b/>
          <w:bCs/>
        </w:rPr>
        <w:t>–</w:t>
      </w:r>
      <w:r w:rsidR="00B76CC4" w:rsidRPr="00B72A96">
        <w:rPr>
          <w:b/>
          <w:bCs/>
        </w:rPr>
        <w:t>J</w:t>
      </w:r>
      <w:r w:rsidRPr="00B72A96">
        <w:t xml:space="preserve">). </w:t>
      </w:r>
      <w:proofErr w:type="gramStart"/>
      <w:r w:rsidRPr="00B72A96">
        <w:t>As a consequence</w:t>
      </w:r>
      <w:proofErr w:type="gramEnd"/>
      <w:r w:rsidRPr="00B72A96">
        <w:t xml:space="preserve">, many of these lagging chromosomes </w:t>
      </w:r>
      <w:r w:rsidR="001B2D92" w:rsidRPr="00B72A96">
        <w:t xml:space="preserve">cause </w:t>
      </w:r>
      <w:r w:rsidRPr="00B72A96">
        <w:t xml:space="preserve">nuclear envelope rupture and reside in the cytoplasm, </w:t>
      </w:r>
      <w:r w:rsidRPr="00B72A96">
        <w:lastRenderedPageBreak/>
        <w:t xml:space="preserve">forming micronuclei (MN) after mitosis. Micronuclei are often considered a hallmark and driver of chromosomal instability, since the </w:t>
      </w:r>
      <w:r w:rsidR="00D91852">
        <w:t>presence of DNA</w:t>
      </w:r>
      <w:r w:rsidRPr="00B72A96">
        <w:t xml:space="preserve"> outside the nucleus triggers an immune cellular response that can promote tumor progression </w:t>
      </w:r>
      <w:r w:rsidR="00B76CC4" w:rsidRPr="00B72A96">
        <w:t>and</w:t>
      </w:r>
      <w:r w:rsidRPr="00B72A96">
        <w:t xml:space="preserve"> further replicative stress</w:t>
      </w:r>
      <w:r w:rsidR="00DE245F" w:rsidRPr="00B72A96">
        <w:rPr>
          <w:vertAlign w:val="superscript"/>
        </w:rPr>
        <w:fldChar w:fldCharType="begin" w:fldLock="1"/>
      </w:r>
      <w:r w:rsidR="00DE245F" w:rsidRPr="00B72A96">
        <w:rPr>
          <w:vertAlign w:val="superscript"/>
        </w:rPr>
        <w:instrText>ADDIN CSL_CITATION {"citationItems":[{"id":"ITEM-1","itemData":{"DOI":"10.1016/j.mrrev.2020.108342","ISSN":"13882139","PMID":"33339572","abstract":"Micronuclei (MNi) are among the most widely studied biomarkers of DNA damage and chromosomal instability in humans. They originate from chromosome fragments or intact chromosomes that are not included in daughter nuclei during mitosis. The main reasons for their formation are a lack of functional centromere in the chromosome fragments or whole chromosomes or defects in one or more of the proteins of the mitotic system that, consequently, fails to segregate chromosomes properly. Assays have been developed to measure MNi in peripheral blood lymphocytes, red blood cells as well as various types of epithelial cells such as buccal, nasal, urothelial and cervical cells. Some of the assays have been further developed into micronucleus (MN) cytome assays to include additional nuclear anomalies, cell death and nuclear division biomarkers. In addition, the use of molecular probes has been adopted widely for the purpose of understanding the mechanistic origin of MNi. MN assays in humans are used for the purpose of investigating the genotoxic effects of adverse environmental, life-style and occupational factors, genetic susceptibility to DNA damage, and for determining risk of accelerated aging and diseases affected by genomic instability such as developmental defects and cancer. The emerging new knowledge showing that chromosomes trapped in MNi can undergo a high rate of fragmentation and become massively re-arranged have highlighted the possibility that MN formation is not only a biomarker of induced DNA damage but also a mechanism that drives hypermutation. Furthermore, another line of recent research showed that DNA and chromatin leaking from disrupted MNi triggers the innate immune cGAS-STING mechanism that promotes inflammation which can cause a wide-range of age-related diseases if left unresolved. For these reasons, MN assays in humans have become an increasingly important biomarker of disease initiation and progression across all life-stages.","author":[{"dropping-particle":"","family":"Fenech","given":"Michael","non-dropping-particle":"","parse-names":false,"suffix":""},{"dropping-particle":"","family":"Knasmueller","given":"Siegfried","non-dropping-particle":"","parse-names":false,"suffix":""},{"dropping-particle":"","family":"Bolognesi","given":"Claudia","non-dropping-particle":"","parse-names":false,"suffix":""},{"dropping-particle":"","family":"Holland","given":"Nina","non-dropping-particle":"","parse-names":false,"suffix":""},{"dropping-particle":"","family":"Bonassi","given":"Stefano","non-dropping-particle":"","parse-names":false,"suffix":""},{"dropping-particle":"","family":"Kirsch-Volders","given":"Micheline","non-dropping-particle":"","parse-names":false,"suffix":""}],"container-title":"Mutation Research - Reviews in Mutation Research","id":"ITEM-1","issued":{"date-parts":[["2020"]]},"page":"108342","publisher":"Elsevier B.V.","title":"Micronuclei as biomarkers of DNA damage, aneuploidy, inducers of chromosomal hypermutation and as sources of pro-inflammatory DNA in humans","type":"article-journal","volume":"786"},"uris":["http://www.mendeley.com/documents/?uuid=966a0a70-e233-43a2-a7b0-81044952ecea"]},{"id":"ITEM-2","itemData":{"DOI":"10.1038/NATURE23449","ISSN":"14764687","PMID":"28738408","abstract":"DNA is strictly compartmentalized within the nucleus to prevent autoimmunity; despite this, cyclic GMP-AMP synthase (cGAS), a cytosolic sensor of double-stranded DNA, is activated in autoinflammatory disorders and by DNA damage. Precisely how cellular DNA gains access to the cytoplasm remains to be determined. Here, we report that cGAS localizes to micronuclei arising from genome instability in a mouse model of monogenic autoinflammation, after exogenous DNA damage and spontaneously in human cancer cells. Such micronuclei occur after mis-segregation of DNA during cell division and consist of chromatin surrounded by its own nuclear membrane. Breakdown of the micronuclear envelope, a process associated with chromothripsis, leads to rapid accumulation of cGAS, providing a mechanism by which self-DNA becomes exposed to the cytosol. cGAS is activated by chromatin, and consistent with a mitotic origin, micronuclei formation and the proinflammatory response following DNA damage are cell-cycle dependent. By combining live-cell laser microdissection with single cell transcriptomics, we establish that interferon-stimulated gene expression is induced in micronucleated cells. We therefore conclude that micronuclei represent an important source of immunostimulatory DNA. As micronuclei formed from lagging chromosomes also activate this pathway, recognition of micronuclei by cGAS may act as a cell-intrinsic immune surveillance mechanism that detects a range of neoplasia-inducing processes.","author":[{"dropping-particle":"","family":"MacKenzie","given":"Karen J.","non-dropping-particle":"","parse-names":false,"suffix":""},{"dropping-particle":"","family":"Carroll","given":"Paula","non-dropping-particle":"","parse-names":false,"suffix":""},{"dropping-particle":"","family":"Martin","given":"Carol Anne","non-dropping-particle":"","parse-names":false,"suffix":""},{"dropping-particle":"","family":"Murina","given":"Olga","non-dropping-particle":"","parse-names":false,"suffix":""},{"dropping-particle":"","family":"Fluteau","given":"Adeline","non-dropping-particle":"","parse-names":false,"suffix":""},{"dropping-particle":"","family":"Simpson","given":"Daniel J.","non-dropping-particle":"","parse-names":false,"suffix":""},{"dropping-particle":"","family":"Olova","given":"Nelly","non-dropping-particle":"","parse-names":false,"suffix":""},{"dropping-particle":"","family":"Sutcliffe","given":"Hannah","non-dropping-particle":"","parse-names":false,"suffix":""},{"dropping-particle":"","family":"Rainger","given":"Jacqueline K.","non-dropping-particle":"","parse-names":false,"suffix":""},{"dropping-particle":"","family":"Leitch","given":"Andrea","non-dropping-particle":"","parse-names":false,"suffix":""},{"dropping-particle":"","family":"Osborn","given":"Ruby T.","non-dropping-particle":"","parse-names":false,"suffix":""},{"dropping-particle":"","family":"Wheeler","given":"Ann P.","non-dropping-particle":"","parse-names":false,"suffix":""},{"dropping-particle":"","family":"Nowotny","given":"Marcin","non-dropping-particle":"","parse-names":false,"suffix":""},{"dropping-particle":"","family":"Gilbert","given":"Nick","non-dropping-particle":"","parse-names":false,"suffix":""},{"dropping-particle":"","family":"Chandra","given":"Tamir","non-dropping-particle":"","parse-names":false,"suffix":""},{"dropping-particle":"","family":"Reijns","given":"Martin A.M.","non-dropping-particle":"","parse-names":false,"suffix":""},{"dropping-particle":"","family":"Jackson","given":"Andrew P.","non-dropping-particle":"","parse-names":false,"suffix":""}],"container-title":"Nature","id":"ITEM-2","issue":"7668","issued":{"date-parts":[["2017","8","24"]]},"page":"461","publisher":"Nature Publishing Group","title":"cGAS surveillance of micronuclei links genome instability to innate immunity","type":"article-journal","volume":"548"},"uris":["http://www.mendeley.com/documents/?uuid=23c6be7f-8e53-393e-947c-90388c60d320"]}],"mendeley":{"formattedCitation":"&lt;sup&gt;42,43&lt;/sup&gt;","plainTextFormattedCitation":"42,43","previouslyFormattedCitation":"&lt;sup&gt;42,43&lt;/sup&gt;"},"properties":{"noteIndex":0},"schema":"https://github.com/citation-style-language/schema/raw/master/csl-citation.json"}</w:instrText>
      </w:r>
      <w:r w:rsidR="00DE245F" w:rsidRPr="00B72A96">
        <w:rPr>
          <w:vertAlign w:val="superscript"/>
        </w:rPr>
        <w:fldChar w:fldCharType="separate"/>
      </w:r>
      <w:r w:rsidR="00DE245F" w:rsidRPr="00B72A96">
        <w:rPr>
          <w:noProof/>
          <w:vertAlign w:val="superscript"/>
        </w:rPr>
        <w:t>4</w:t>
      </w:r>
      <w:r w:rsidR="00390F9D">
        <w:rPr>
          <w:noProof/>
          <w:vertAlign w:val="superscript"/>
        </w:rPr>
        <w:t>0,41</w:t>
      </w:r>
      <w:r w:rsidR="00DE245F" w:rsidRPr="00B72A96">
        <w:rPr>
          <w:vertAlign w:val="superscript"/>
        </w:rPr>
        <w:fldChar w:fldCharType="end"/>
      </w:r>
      <w:r w:rsidRPr="00B72A96">
        <w:t xml:space="preserve">. In pluripotent conditions, MN are scarce in interphase </w:t>
      </w:r>
      <w:proofErr w:type="spellStart"/>
      <w:r w:rsidRPr="00B72A96">
        <w:t>hPSCs</w:t>
      </w:r>
      <w:proofErr w:type="spellEnd"/>
      <w:r w:rsidRPr="00B72A96">
        <w:t xml:space="preserve"> (Figure 2</w:t>
      </w:r>
      <w:r w:rsidR="00B76CC4" w:rsidRPr="00B72A96">
        <w:t>K, L</w:t>
      </w:r>
      <w:r w:rsidRPr="00B72A96">
        <w:t xml:space="preserve">). While a low dose of </w:t>
      </w:r>
      <w:proofErr w:type="spellStart"/>
      <w:r w:rsidRPr="00B72A96">
        <w:t>reversine</w:t>
      </w:r>
      <w:proofErr w:type="spellEnd"/>
      <w:r w:rsidRPr="00B72A96">
        <w:t xml:space="preserve"> treatment (0.25 </w:t>
      </w:r>
      <w:proofErr w:type="spellStart"/>
      <w:r w:rsidRPr="00B72A96">
        <w:t>μM</w:t>
      </w:r>
      <w:proofErr w:type="spellEnd"/>
      <w:r w:rsidRPr="00B72A96">
        <w:t xml:space="preserve">) increases the presence of MN to ~5% of the cells, 0.5 </w:t>
      </w:r>
      <w:proofErr w:type="spellStart"/>
      <w:r w:rsidRPr="00B72A96">
        <w:t>μM</w:t>
      </w:r>
      <w:proofErr w:type="spellEnd"/>
      <w:r w:rsidRPr="00B72A96">
        <w:t xml:space="preserve"> </w:t>
      </w:r>
      <w:proofErr w:type="spellStart"/>
      <w:r w:rsidRPr="00B72A96">
        <w:t>reversine</w:t>
      </w:r>
      <w:proofErr w:type="spellEnd"/>
      <w:r w:rsidRPr="00B72A96">
        <w:t xml:space="preserve"> triggers </w:t>
      </w:r>
      <w:r w:rsidR="00577D49" w:rsidRPr="00B72A96">
        <w:t>~40</w:t>
      </w:r>
      <w:r w:rsidRPr="00B72A96">
        <w:t xml:space="preserve">% of </w:t>
      </w:r>
      <w:proofErr w:type="spellStart"/>
      <w:r w:rsidRPr="00B72A96">
        <w:t>hPSCs</w:t>
      </w:r>
      <w:proofErr w:type="spellEnd"/>
      <w:r w:rsidRPr="00B72A96">
        <w:t xml:space="preserve"> in interphase with micronuclei (</w:t>
      </w:r>
      <w:r w:rsidRPr="00B72A96">
        <w:rPr>
          <w:b/>
          <w:bCs/>
        </w:rPr>
        <w:t>Figure 2</w:t>
      </w:r>
      <w:proofErr w:type="gramStart"/>
      <w:r w:rsidR="00B76CC4" w:rsidRPr="00B72A96">
        <w:rPr>
          <w:b/>
          <w:bCs/>
        </w:rPr>
        <w:t>K,L</w:t>
      </w:r>
      <w:proofErr w:type="gramEnd"/>
      <w:r w:rsidRPr="00B72A96">
        <w:t xml:space="preserve">). In conclusion, mitotic instability can be easily measured through immunofluorescence and static imaging by quantifying the percentage of anaphases displaying lagging chromosomes and the percentage of interphase cells with MN. </w:t>
      </w:r>
    </w:p>
    <w:p w14:paraId="0711E4FA" w14:textId="77777777" w:rsidR="000C3DAE" w:rsidRPr="00B72A96" w:rsidRDefault="000C3DAE" w:rsidP="00BD5E4C">
      <w:pPr>
        <w:contextualSpacing/>
        <w:mirrorIndents/>
      </w:pPr>
    </w:p>
    <w:p w14:paraId="548A0065" w14:textId="2716CE79" w:rsidR="000C3DAE" w:rsidRPr="00B72A96" w:rsidRDefault="00000000" w:rsidP="00BD5E4C">
      <w:pPr>
        <w:contextualSpacing/>
        <w:mirrorIndents/>
      </w:pPr>
      <w:r w:rsidRPr="00B72A96">
        <w:t xml:space="preserve">To functionally confirm gains and losses of chromosomes after genomic stress, we perform karyotype or Giemsa staining. This technique allows the spread of the compact chromosomes of metaphase-arrested cells for direct visual quantification after staining, confirming whether each cell is euploid (46 chromosomes) or aneuploid (imbalance in this number). Pre-treatment with </w:t>
      </w:r>
      <w:proofErr w:type="spellStart"/>
      <w:r w:rsidRPr="00B72A96">
        <w:t>reversine</w:t>
      </w:r>
      <w:proofErr w:type="spellEnd"/>
      <w:r w:rsidRPr="00B72A96">
        <w:t xml:space="preserve"> rendered a high percentage of aneuploid cells (~40%) compared to the control untreated (~2</w:t>
      </w:r>
      <w:r w:rsidR="00675F5C" w:rsidRPr="00B72A96">
        <w:t>0</w:t>
      </w:r>
      <w:r w:rsidRPr="00B72A96">
        <w:t>%) (</w:t>
      </w:r>
      <w:r w:rsidRPr="00B72A96">
        <w:rPr>
          <w:b/>
          <w:bCs/>
        </w:rPr>
        <w:t>Figure 2M</w:t>
      </w:r>
      <w:r w:rsidR="00874F19" w:rsidRPr="00B72A96">
        <w:rPr>
          <w:b/>
          <w:bCs/>
        </w:rPr>
        <w:t>–</w:t>
      </w:r>
      <w:r w:rsidRPr="00B72A96">
        <w:rPr>
          <w:b/>
          <w:bCs/>
        </w:rPr>
        <w:t>O</w:t>
      </w:r>
      <w:r w:rsidRPr="00B72A96">
        <w:t>). In conclusion,</w:t>
      </w:r>
      <w:r w:rsidR="00BE6844" w:rsidRPr="00B72A96">
        <w:t xml:space="preserve"> </w:t>
      </w:r>
      <w:r w:rsidRPr="00B72A96">
        <w:t>an array of methods</w:t>
      </w:r>
      <w:r w:rsidR="00BE6844" w:rsidRPr="00B72A96">
        <w:t xml:space="preserve"> is provided</w:t>
      </w:r>
      <w:r w:rsidRPr="00B72A96">
        <w:t xml:space="preserve"> to map genomic stress and chromosomal instability across the human pluripotent stem cell cycle. </w:t>
      </w:r>
    </w:p>
    <w:p w14:paraId="4D3DF7A9" w14:textId="77777777" w:rsidR="000C3DAE" w:rsidRPr="00B72A96" w:rsidRDefault="000C3DAE" w:rsidP="00BD5E4C">
      <w:pPr>
        <w:contextualSpacing/>
        <w:mirrorIndents/>
      </w:pPr>
    </w:p>
    <w:p w14:paraId="230D0969" w14:textId="77777777" w:rsidR="00675F5C" w:rsidRPr="00B72A96" w:rsidRDefault="00000000" w:rsidP="00BD5E4C">
      <w:pPr>
        <w:contextualSpacing/>
        <w:mirrorIndents/>
        <w:rPr>
          <w:b/>
          <w:bCs/>
        </w:rPr>
      </w:pPr>
      <w:r w:rsidRPr="00B72A96">
        <w:rPr>
          <w:b/>
          <w:bCs/>
        </w:rPr>
        <w:t>Troubleshooting and identification of suboptimal outcomes</w:t>
      </w:r>
    </w:p>
    <w:p w14:paraId="0A245A4E" w14:textId="089026FE" w:rsidR="00675F5C" w:rsidRPr="00B72A96" w:rsidRDefault="00000000" w:rsidP="00BD5E4C">
      <w:pPr>
        <w:contextualSpacing/>
        <w:mirrorIndents/>
      </w:pPr>
      <w:r w:rsidRPr="00B72A96">
        <w:t xml:space="preserve">Representative suboptimal outcomes are shown in </w:t>
      </w:r>
      <w:r w:rsidRPr="00B72A96">
        <w:rPr>
          <w:b/>
          <w:bCs/>
        </w:rPr>
        <w:t>Figure 3</w:t>
      </w:r>
      <w:r w:rsidRPr="00B72A96">
        <w:t xml:space="preserve">, which helps to troubleshoot the protocols described above. The two differentiated </w:t>
      </w:r>
      <w:proofErr w:type="spellStart"/>
      <w:r w:rsidRPr="00B72A96">
        <w:t>hPSC</w:t>
      </w:r>
      <w:proofErr w:type="spellEnd"/>
      <w:r w:rsidRPr="00B72A96">
        <w:t xml:space="preserve"> cultures shown in </w:t>
      </w:r>
      <w:r w:rsidRPr="00B72A96">
        <w:rPr>
          <w:b/>
          <w:bCs/>
        </w:rPr>
        <w:t>Figure 3A</w:t>
      </w:r>
      <w:r w:rsidRPr="00B72A96">
        <w:t xml:space="preserve"> display high cell densities and overlaps between adjacent DAPI-positive nuclei. Following thresholding and watershed processing, groups of overlapping nuclei were merged into </w:t>
      </w:r>
      <w:r w:rsidR="00211C40" w:rsidRPr="00B72A96">
        <w:t>large, segmented</w:t>
      </w:r>
      <w:r w:rsidRPr="00B72A96">
        <w:t xml:space="preserve"> objects rather than being identified as individual nuclei</w:t>
      </w:r>
      <w:r w:rsidR="000913B7" w:rsidRPr="00B72A96">
        <w:t xml:space="preserve"> (</w:t>
      </w:r>
      <w:r w:rsidR="000913B7" w:rsidRPr="00B72A96">
        <w:rPr>
          <w:b/>
          <w:bCs/>
        </w:rPr>
        <w:t>Figure 3A</w:t>
      </w:r>
      <w:r w:rsidR="000913B7" w:rsidRPr="00B72A96">
        <w:t>, right pictures)</w:t>
      </w:r>
      <w:r w:rsidRPr="00B72A96">
        <w:t>. In other regions, individual nuclei were fragmented into multiple nuclei or were not accurately segmented. Consequently, the resulting regions of interest did not reliably correspond to individual cells and were not suitable for quantitative measurement of nuclear fluorescence intensity.</w:t>
      </w:r>
      <w:r w:rsidR="000913B7" w:rsidRPr="00B72A96">
        <w:t xml:space="preserve"> </w:t>
      </w:r>
    </w:p>
    <w:p w14:paraId="2FA925EC" w14:textId="77777777" w:rsidR="00675F5C" w:rsidRPr="00B72A96" w:rsidRDefault="00675F5C" w:rsidP="00BD5E4C">
      <w:pPr>
        <w:contextualSpacing/>
        <w:mirrorIndents/>
      </w:pPr>
    </w:p>
    <w:p w14:paraId="0D025270" w14:textId="29F244E9" w:rsidR="00211C40" w:rsidRPr="00B72A96" w:rsidRDefault="00000000" w:rsidP="00BD5E4C">
      <w:pPr>
        <w:contextualSpacing/>
        <w:mirrorIndents/>
      </w:pPr>
      <w:r w:rsidRPr="00B72A96">
        <w:t>When this occurs, the threshold, watershed, and particle-size parameters should first be reviewed, and the segmentation overlay should be checked to confirm that each region of interest corresponds to one intact nucleus. The same analysis criteria should be applied consistently across experimental conditions to avoid quantification bias. To reduce segmentation failure, the initial seeding density should be optimized to prevent excessive confluence, and representative fields containing distinguishable nuclei should be acquired without selectively excluding regions based on the experimental phenotype. If individual nuclei cannot be separated reliably after parameter adjustment, the image should be excluded from quantitative analysis</w:t>
      </w:r>
      <w:r w:rsidR="008A0113" w:rsidRPr="00B72A96">
        <w:t xml:space="preserve">, or cells should be </w:t>
      </w:r>
      <w:r w:rsidRPr="00B72A96">
        <w:t xml:space="preserve">manually segmented. In this scenario, more powerful </w:t>
      </w:r>
      <w:r w:rsidR="008A0113" w:rsidRPr="00B72A96">
        <w:t xml:space="preserve">software, </w:t>
      </w:r>
      <w:r w:rsidRPr="00B72A96">
        <w:t xml:space="preserve">including </w:t>
      </w:r>
      <w:proofErr w:type="spellStart"/>
      <w:r w:rsidRPr="00B72A96">
        <w:t>Ilastik</w:t>
      </w:r>
      <w:proofErr w:type="spellEnd"/>
      <w:r w:rsidRPr="00B72A96">
        <w:t xml:space="preserve"> or </w:t>
      </w:r>
      <w:proofErr w:type="spellStart"/>
      <w:r w:rsidRPr="00B72A96">
        <w:t>CellPose</w:t>
      </w:r>
      <w:proofErr w:type="spellEnd"/>
      <w:r w:rsidR="008A0113" w:rsidRPr="00B72A96">
        <w:t>,</w:t>
      </w:r>
      <w:r w:rsidRPr="00B72A96">
        <w:t xml:space="preserve"> may be of great help to avoid manual segmentation</w:t>
      </w:r>
      <w:r w:rsidRPr="00B72A96">
        <w:fldChar w:fldCharType="begin" w:fldLock="1"/>
      </w:r>
      <w:r w:rsidR="00DE245F" w:rsidRPr="00B72A96">
        <w:instrText>ADDIN CSL_CITATION {"citationItems":[{"id":"ITEM-1","itemData":{"DOI":"10.1038/s41592-019-0582-9","ISSN":"1548-7105","PMID":"31570887","abstract":"We present ilastik, an easy-to-use interactive tool that brings machine-learning-based (bio)image analysis to end users without substantial computational expertise. It contains pre-defined workflows for image segmentation, object classification, counting and tracking. Users adapt the workflows to the problem at hand by interactively providing sparse training annotations for a nonlinear classifier. ilastik can process data in up to five dimensions (3D, time and number of channels). Its computational back end runs operations on-demand wherever possible, allowing for interactive prediction on data larger than RAM. Once the classifiers are trained, ilastik workflows can be applied to new data from the command line without further user interaction. We describe all ilastik workflows in detail, including three case studies and a discussion on the expected performance. ilastik is an user-friendly interactive tool for machine-learning-based image segmentation, object classification, counting and tracking.","author":[{"dropping-particle":"","family":"Berg","given":"Stuart","non-dropping-particle":"","parse-names":false,"suffix":""},{"dropping-particle":"","family":"Kutra","given":"Dominik","non-dropping-particle":"","parse-names":false,"suffix":""},{"dropping-particle":"","family":"Kroeger","given":"Thorben","non-dropping-particle":"","parse-names":false,"suffix":""},{"dropping-particle":"","family":"Straehle","given":"Christoph N.","non-dropping-particle":"","parse-names":false,"suffix":""},{"dropping-particle":"","family":"Kausler","given":"Bernhard X.","non-dropping-particle":"","parse-names":false,"suffix":""},{"dropping-particle":"","family":"Haubold","given":"Carsten","non-dropping-particle":"","parse-names":false,"suffix":""},{"dropping-particle":"","family":"Schiegg","given":"Martin","non-dropping-particle":"","parse-names":false,"suffix":""},{"dropping-particle":"","family":"Ales","given":"Janez","non-dropping-particle":"","parse-names":false,"suffix":""},{"dropping-particle":"","family":"Beier","given":"Thorsten","non-dropping-particle":"","parse-names":false,"suffix":""},{"dropping-particle":"","family":"Rudy","given":"Markus","non-dropping-particle":"","parse-names":false,"suffix":""},{"dropping-particle":"","family":"Eren","given":"Kemal","non-dropping-particle":"","parse-names":false,"suffix":""},{"dropping-particle":"","family":"Cervantes","given":"Jaime I.","non-dropping-particle":"","parse-names":false,"suffix":""},{"dropping-particle":"","family":"Xu","given":"Buote","non-dropping-particle":"","parse-names":false,"suffix":""},{"dropping-particle":"","family":"Beuttenmueller","given":"Fynn","non-dropping-particle":"","parse-names":false,"suffix":""},{"dropping-particle":"","family":"Wolny","given":"Adrian","non-dropping-particle":"","parse-names":false,"suffix":""},{"dropping-particle":"","family":"Zhang","given":"Chong","non-dropping-particle":"","parse-names":false,"suffix":""},{"dropping-particle":"","family":"Koethe","given":"Ullrich","non-dropping-particle":"","parse-names":false,"suffix":""},{"dropping-particle":"","family":"Hamprecht","given":"Fred A.","non-dropping-particle":"","parse-names":false,"suffix":""},{"dropping-particle":"","family":"Kreshuk","given":"Anna","non-dropping-particle":"","parse-names":false,"suffix":""}],"container-title":"Nature Methods 2019 16:12","id":"ITEM-1","issue":"12","issued":{"date-parts":[["2019","9","30"]]},"page":"1226-1232","publisher":"Nature Publishing Group","title":"ilastik: interactive machine learning for (bio)image analysis","type":"article-journal","volume":"16"},"uris":["http://www.mendeley.com/documents/?uuid=de18068b-2fb1-39ff-8249-a01b8bbcfd75"]},{"id":"ITEM-2","itemData":{"DOI":"10.1038/s41592-020-01018-x","ISSN":"1548-7105","PMID":"33318659","abstract":"Many biological applications require the segmentation of cell bodies, membranes and nuclei from microscopy images. Deep learning has enabled great progress on this problem, but current methods are specialized for images that have large training datasets. Here we introduce a generalist, deep learning-based segmentation method called Cellpose, which can precisely segment cells from a wide range of image types and does not require model retraining or parameter adjustments. Cellpose was trained on a new dataset of highly varied images of cells, containing over 70,000 segmented objects. We also demonstrate a three-dimensional (3D) extension of Cellpose that reuses the two-dimensional (2D) model and does not require 3D-labeled data. To support community contributions to the training data, we developed software for manual labeling and for curation of the automated results. Periodically retraining the model on the community-contributed data will ensure that Cellpose improves constantly. Cellpose is a generalist, deep learning-based approach for segmenting structures in a wide range of image types. Cellpose does not require parameter adjustment or model retraining and outperforms established methods on 2D and 3D datasets.","author":[{"dropping-particle":"","family":"Stringer","given":"Carsen","non-dropping-particle":"","parse-names":false,"suffix":""},{"dropping-particle":"","family":"Wang","given":"Tim","non-dropping-particle":"","parse-names":false,"suffix":""},{"dropping-particle":"","family":"Michaelos","given":"Michalis","non-dropping-particle":"","parse-names":false,"suffix":""},{"dropping-particle":"","family":"Pachitariu","given":"Marius","non-dropping-particle":"","parse-names":false,"suffix":""}],"container-title":"Nature Methods 2020 18:1","id":"ITEM-2","issue":"1","issued":{"date-parts":[["2020","12","14"]]},"page":"100-106","publisher":"Nature Publishing Group","title":"Cellpose: a generalist algorithm for cellular segmentation","type":"article-journal","volume":"18"},"uris":["http://www.mendeley.com/documents/?uuid=d143e958-6d89-349a-8350-379cfa6c1238"]}],"mendeley":{"formattedCitation":"&lt;sup&gt;44,45&lt;/sup&gt;","plainTextFormattedCitation":"44,45","previouslyFormattedCitation":"&lt;sup&gt;44,45&lt;/sup&gt;"},"properties":{"noteIndex":0},"schema":"https://github.com/citation-style-language/schema/raw/master/csl-citation.json"}</w:instrText>
      </w:r>
      <w:r w:rsidRPr="00B72A96">
        <w:fldChar w:fldCharType="separate"/>
      </w:r>
      <w:r w:rsidR="00DE245F" w:rsidRPr="00B72A96">
        <w:rPr>
          <w:noProof/>
          <w:vertAlign w:val="superscript"/>
        </w:rPr>
        <w:t>4</w:t>
      </w:r>
      <w:r w:rsidR="00390F9D">
        <w:rPr>
          <w:noProof/>
          <w:vertAlign w:val="superscript"/>
        </w:rPr>
        <w:t>2,43</w:t>
      </w:r>
      <w:r w:rsidRPr="00B72A96">
        <w:fldChar w:fldCharType="end"/>
      </w:r>
      <w:r w:rsidRPr="00B72A96">
        <w:t>.</w:t>
      </w:r>
    </w:p>
    <w:p w14:paraId="0A042BAF" w14:textId="77777777" w:rsidR="00675F5C" w:rsidRPr="00B72A96" w:rsidRDefault="00675F5C" w:rsidP="00BD5E4C">
      <w:pPr>
        <w:contextualSpacing/>
        <w:mirrorIndents/>
      </w:pPr>
    </w:p>
    <w:p w14:paraId="5D0C8442" w14:textId="134B4740" w:rsidR="00675F5C" w:rsidRPr="00B72A96" w:rsidRDefault="00000000" w:rsidP="00BD5E4C">
      <w:pPr>
        <w:contextualSpacing/>
        <w:mirrorIndents/>
      </w:pPr>
      <w:r w:rsidRPr="00B72A96">
        <w:rPr>
          <w:b/>
          <w:bCs/>
        </w:rPr>
        <w:t>Figure 3B</w:t>
      </w:r>
      <w:r w:rsidRPr="00B72A96">
        <w:t xml:space="preserve"> shows representative suboptimal Giemsa-stained metaphase preparations. Instead of forming a single spread containing spatially separated chromosomes, the chromosomes remain clustered and </w:t>
      </w:r>
      <w:r w:rsidR="008A0113" w:rsidRPr="00B72A96">
        <w:t xml:space="preserve">overlap </w:t>
      </w:r>
      <w:r w:rsidRPr="00B72A96">
        <w:t xml:space="preserve">each other. Some fields also contain multiple chromosome clusters, cellular debris, and poorly defined or incompletely dispersed metaphase preparations. These features prevent reliable identification and counting of individual chromosomes and may result </w:t>
      </w:r>
      <w:r w:rsidRPr="00B72A96">
        <w:lastRenderedPageBreak/>
        <w:t>from inadequate hypotonic swelling, incomplete cellular rupture, excessive cell density on the slide, insufficient dropping force, or inconsistent dropping height.</w:t>
      </w:r>
      <w:r w:rsidR="00211C40" w:rsidRPr="00B72A96">
        <w:t xml:space="preserve"> Additionally, it is not rare to </w:t>
      </w:r>
      <w:r w:rsidR="008A0113" w:rsidRPr="00B72A96">
        <w:t xml:space="preserve">observe </w:t>
      </w:r>
      <w:r w:rsidR="00211C40" w:rsidRPr="00B72A96">
        <w:t>metaphase spreads with condensation defects (~5</w:t>
      </w:r>
      <w:r w:rsidR="00390F9D">
        <w:t>%</w:t>
      </w:r>
      <w:r w:rsidR="008A0113" w:rsidRPr="00B72A96">
        <w:t>–</w:t>
      </w:r>
      <w:r w:rsidR="00211C40" w:rsidRPr="00B72A96">
        <w:t xml:space="preserve">10% in basal conditions culturing </w:t>
      </w:r>
      <w:proofErr w:type="spellStart"/>
      <w:r w:rsidR="00211C40" w:rsidRPr="00B72A96">
        <w:t>hPSCs</w:t>
      </w:r>
      <w:proofErr w:type="spellEnd"/>
      <w:r w:rsidR="00211C40" w:rsidRPr="00B72A96">
        <w:t xml:space="preserve">, </w:t>
      </w:r>
      <w:r w:rsidR="00211C40" w:rsidRPr="00B72A96">
        <w:rPr>
          <w:b/>
          <w:bCs/>
        </w:rPr>
        <w:t>Figure 3C</w:t>
      </w:r>
      <w:r w:rsidR="00211C40" w:rsidRPr="00B72A96">
        <w:t>). We and others</w:t>
      </w:r>
      <w:r w:rsidR="00211C40" w:rsidRPr="00B72A96">
        <w:fldChar w:fldCharType="begin" w:fldLock="1"/>
      </w:r>
      <w:r w:rsidR="00D0276B" w:rsidRPr="00B72A96">
        <w:instrText>ADDIN CSL_CITATION {"citationItems":[{"id":"ITEM-1","itemData":{"DOI":"10.1016/j.stem.2015.11.003","ISSN":"18759777","PMID":"26669899","abstract":"Human pluripotent stem cells (hPSCs) frequently acquire chromosomal aberrations such as aneuploidy in culture. These aberrations progressively increase over time and may compromise the properties and clinical utility of the cells. The underlying mechanisms that drive initial genomic instability and its continued progression are largely unknown. Here, we show that aneuploid hPSCs undergo DNA replication stress, resulting in defective chromosome condensation and segregation. Aneuploid hPSCs show altered levels of actin cytoskeletal genes controlled by the transcription factor SRF, and overexpression of SRF rescues impaired chromosome condensation and segregation defects in aneuploid hPSCs. Furthermore, SRF downregulation in diploid hPSCs induces replication stress and perturbed condensation similar to that seen in aneuploid cells. Together, these results suggest that decreased SRF expression induces replicative stress and chromosomal condensation defects that underlie the ongoing chromosomal instability seen in aneuploid hPSCs. A similar mechanism may also operate during initiation of instability in diploid cells.","author":[{"dropping-particle":"","family":"Lamm","given":"Noa","non-dropping-particle":"","parse-names":false,"suffix":""},{"dropping-particle":"","family":"Ben-David","given":"Uri","non-dropping-particle":"","parse-names":false,"suffix":""},{"dropping-particle":"","family":"Golan-Lev","given":"Tamar","non-dropping-particle":"","parse-names":false,"suffix":""},{"dropping-particle":"","family":"Storchová","given":"Zuzana","non-dropping-particle":"","parse-names":false,"suffix":""},{"dropping-particle":"","family":"Benvenisty","given":"Nissim","non-dropping-particle":"","parse-names":false,"suffix":""},{"dropping-particle":"","family":"Kerem","given":"Batsheva","non-dropping-particle":"","parse-names":false,"suffix":""}],"container-title":"Cell Stem Cell","id":"ITEM-1","issue":"2","issued":{"date-parts":[["2016"]]},"page":"253-261","title":"Genomic Instability in Human Pluripotent Stem Cells Arises from Replicative Stress and Chromosome Condensation Defects","type":"article-journal","volume":"18"},"uris":["http://www.mendeley.com/documents/?uuid=472df3c1-f41c-452c-905c-8a5c0202e717"]}],"mendeley":{"formattedCitation":"&lt;sup&gt;22&lt;/sup&gt;","plainTextFormattedCitation":"22","previouslyFormattedCitation":"&lt;sup&gt;22&lt;/sup&gt;"},"properties":{"noteIndex":0},"schema":"https://github.com/citation-style-language/schema/raw/master/csl-citation.json"}</w:instrText>
      </w:r>
      <w:r w:rsidR="00211C40" w:rsidRPr="00B72A96">
        <w:fldChar w:fldCharType="separate"/>
      </w:r>
      <w:r w:rsidR="00D0276B" w:rsidRPr="00B72A96">
        <w:rPr>
          <w:noProof/>
          <w:vertAlign w:val="superscript"/>
        </w:rPr>
        <w:t>22</w:t>
      </w:r>
      <w:r w:rsidR="00211C40" w:rsidRPr="00B72A96">
        <w:fldChar w:fldCharType="end"/>
      </w:r>
      <w:r w:rsidR="00211C40" w:rsidRPr="00B72A96">
        <w:t xml:space="preserve"> have graded these metaphases where chromosomes are highly condensed, making </w:t>
      </w:r>
      <w:r w:rsidR="008A0113" w:rsidRPr="00B72A96">
        <w:t>it impossible to quantify the chromosome number</w:t>
      </w:r>
      <w:r w:rsidR="00211C40" w:rsidRPr="00B72A96">
        <w:t xml:space="preserve">. </w:t>
      </w:r>
    </w:p>
    <w:p w14:paraId="443AADD8" w14:textId="77777777" w:rsidR="00675F5C" w:rsidRPr="00B72A96" w:rsidRDefault="00675F5C" w:rsidP="00BD5E4C">
      <w:pPr>
        <w:contextualSpacing/>
        <w:mirrorIndents/>
      </w:pPr>
    </w:p>
    <w:p w14:paraId="5D52E77C" w14:textId="30FBBC98" w:rsidR="000C3DAE" w:rsidRPr="00B72A96" w:rsidRDefault="00000000" w:rsidP="00BD5E4C">
      <w:pPr>
        <w:contextualSpacing/>
        <w:mirrorIndents/>
      </w:pPr>
      <w:r w:rsidRPr="00B72A96">
        <w:t xml:space="preserve">To improve metaphase-spread quality, the duration of hypotonic treatment should be kept consistent, the fixed-cell suspension should be resuspended gently but completely, and the cell concentration should be adjusted before slide preparation. The slide should be sufficiently cold and wet, and the suspension should be dropped </w:t>
      </w:r>
      <w:r w:rsidR="00E83739" w:rsidRPr="00B72A96">
        <w:t xml:space="preserve">at </w:t>
      </w:r>
      <w:r w:rsidRPr="00B72A96">
        <w:t>a consistent height and force. Only metaphase spreads containing clearly distinguishable, sufficiently condensed chromosomes within an imaging field should be included in chromosome-number quantification. Dense chromosome clusters, overlapping spreads, incomplete cellular rupture, and fields in which chromosome loss or mixing between adjacent spreads is suspected should be excluded.</w:t>
      </w:r>
    </w:p>
    <w:p w14:paraId="508758C3" w14:textId="77777777" w:rsidR="000C3DAE" w:rsidRPr="00B72A96" w:rsidRDefault="000C3DAE" w:rsidP="00BD5E4C">
      <w:pPr>
        <w:contextualSpacing/>
        <w:mirrorIndents/>
      </w:pPr>
    </w:p>
    <w:p w14:paraId="2FABA225" w14:textId="0389CF0E" w:rsidR="00420FA9" w:rsidRPr="00B72A96" w:rsidRDefault="00000000" w:rsidP="00BD5E4C">
      <w:pPr>
        <w:contextualSpacing/>
        <w:mirrorIndents/>
      </w:pPr>
      <w:r w:rsidRPr="00B72A96">
        <w:rPr>
          <w:b/>
          <w:bCs/>
        </w:rPr>
        <w:t>FIGURE AND TABLE LEGENDS:</w:t>
      </w:r>
      <w:r w:rsidRPr="00B72A96">
        <w:t xml:space="preserve"> </w:t>
      </w:r>
    </w:p>
    <w:p w14:paraId="6678273A" w14:textId="1A0E3DF2" w:rsidR="00420FA9" w:rsidRPr="00B72A96" w:rsidRDefault="00000000" w:rsidP="00BD5E4C">
      <w:pPr>
        <w:contextualSpacing/>
        <w:mirrorIndents/>
        <w:rPr>
          <w:lang w:val="en-IN"/>
        </w:rPr>
      </w:pPr>
      <w:r w:rsidRPr="00B72A96">
        <w:rPr>
          <w:b/>
          <w:bCs/>
          <w:lang w:val="en-IN"/>
        </w:rPr>
        <w:t xml:space="preserve">Figure 1. </w:t>
      </w:r>
      <w:r w:rsidRPr="00B72A96">
        <w:rPr>
          <w:b/>
          <w:bCs/>
          <w:i/>
          <w:iCs/>
          <w:lang w:val="en-IN"/>
        </w:rPr>
        <w:t>In vitro</w:t>
      </w:r>
      <w:r w:rsidRPr="00B72A96">
        <w:rPr>
          <w:b/>
          <w:bCs/>
          <w:lang w:val="en-IN"/>
        </w:rPr>
        <w:t xml:space="preserve"> differentiation of human pluripotent stem cells into early embryonic lineages and validation of cell fate identity. </w:t>
      </w:r>
      <w:r w:rsidR="000855F4" w:rsidRPr="00B72A96">
        <w:rPr>
          <w:lang w:val="en-IN"/>
        </w:rPr>
        <w:t>(</w:t>
      </w:r>
      <w:r w:rsidRPr="00B72A96">
        <w:rPr>
          <w:b/>
          <w:bCs/>
          <w:lang w:val="en-IN"/>
        </w:rPr>
        <w:t>A</w:t>
      </w:r>
      <w:r w:rsidRPr="00B72A96">
        <w:rPr>
          <w:lang w:val="en-IN"/>
        </w:rPr>
        <w:t xml:space="preserve">) Schematic representation of early human embryonic development until the gastrulation stage, highlighting the developmental context of the </w:t>
      </w:r>
      <w:r w:rsidRPr="00B72A96">
        <w:rPr>
          <w:i/>
          <w:iCs/>
          <w:lang w:val="en-IN"/>
        </w:rPr>
        <w:t>in vitro</w:t>
      </w:r>
      <w:r w:rsidRPr="00B72A96">
        <w:rPr>
          <w:lang w:val="en-IN"/>
        </w:rPr>
        <w:t xml:space="preserve"> lineages derived in this study.</w:t>
      </w:r>
      <w:r w:rsidR="00C6783A" w:rsidRPr="00B72A96">
        <w:rPr>
          <w:lang w:val="en-IN"/>
        </w:rPr>
        <w:t xml:space="preserve"> </w:t>
      </w:r>
      <w:r w:rsidR="00F22069" w:rsidRPr="00B72A96">
        <w:rPr>
          <w:lang w:val="en-IN"/>
        </w:rPr>
        <w:t>Inspiration for the creation of this scheme comes</w:t>
      </w:r>
      <w:r w:rsidR="00C6783A" w:rsidRPr="00B72A96">
        <w:rPr>
          <w:lang w:val="en-IN"/>
        </w:rPr>
        <w:t xml:space="preserve"> from</w:t>
      </w:r>
      <w:r w:rsidR="00390F9D">
        <w:rPr>
          <w:lang w:val="en-IN"/>
        </w:rPr>
        <w:t xml:space="preserve"> </w:t>
      </w:r>
      <w:r w:rsidR="00390F9D" w:rsidRPr="00B72A96">
        <w:t xml:space="preserve">Shahbazi </w:t>
      </w:r>
      <w:r w:rsidR="00390F9D">
        <w:t>et al</w:t>
      </w:r>
      <w:r w:rsidR="001B55A5" w:rsidRPr="00B72A96">
        <w:rPr>
          <w:lang w:val="en-IN"/>
        </w:rPr>
        <w:fldChar w:fldCharType="begin" w:fldLock="1"/>
      </w:r>
      <w:r w:rsidR="001B55A5" w:rsidRPr="00B72A96">
        <w:rPr>
          <w:lang w:val="en-IN"/>
        </w:rPr>
        <w:instrText>ADDIN CSL_CITATION {"citationItems":[{"id":"ITEM-1","itemData":{"DOI":"10.1016/J.STEM.2024.09.002","ISSN":"1934-5909","PMID":"39366361","abstract":"The use of stem cells to model the early human embryo promises to transform our understanding of developmental biology and human reproduction. In this review, we present our current knowledge of the first 2 weeks of human embryo development. We first focus on the distinct cell lineages of the embryo and the derivation of stem cell lines. We then discuss the intercellular crosstalk that guides early embryo development and how this crosstalk is recapitulated in vitro to generate stem cell-based embryo models. We highlight advances in this fast-developing field, discuss current limitations, and provide a vision for the future.","author":[{"dropping-particle":"","family":"Shahbazi","given":"Marta N.","non-dropping-particle":"","parse-names":false,"suffix":""},{"dropping-particle":"","family":"Pasque","given":"Vincent","non-dropping-particle":"","parse-names":false,"suffix":""}],"container-title":"Cell Stem Cell","id":"ITEM-1","issue":"10","issued":{"date-parts":[["2024","10","3"]]},"page":"1398-1418","publisher":"Cell Press","title":"Early human development and stem cell-based human embryo models","type":"article-journal","volume":"31"},"uris":["http://www.mendeley.com/documents/?uuid=fe53b808-9838-35ba-977b-68f488e035ee"]}],"mendeley":{"formattedCitation":"&lt;sup&gt;46&lt;/sup&gt;","plainTextFormattedCitation":"46"},"properties":{"noteIndex":0},"schema":"https://github.com/citation-style-language/schema/raw/master/csl-citation.json"}</w:instrText>
      </w:r>
      <w:r w:rsidR="001B55A5" w:rsidRPr="00B72A96">
        <w:rPr>
          <w:lang w:val="en-IN"/>
        </w:rPr>
        <w:fldChar w:fldCharType="separate"/>
      </w:r>
      <w:r w:rsidR="001B55A5" w:rsidRPr="00B72A96">
        <w:rPr>
          <w:noProof/>
          <w:vertAlign w:val="superscript"/>
          <w:lang w:val="en-IN"/>
        </w:rPr>
        <w:t>4</w:t>
      </w:r>
      <w:r w:rsidR="00390F9D">
        <w:rPr>
          <w:noProof/>
          <w:vertAlign w:val="superscript"/>
          <w:lang w:val="en-IN"/>
        </w:rPr>
        <w:t>4</w:t>
      </w:r>
      <w:r w:rsidR="001B55A5" w:rsidRPr="00B72A96">
        <w:rPr>
          <w:lang w:val="en-IN"/>
        </w:rPr>
        <w:fldChar w:fldCharType="end"/>
      </w:r>
      <w:r w:rsidR="001B55A5" w:rsidRPr="00B72A96">
        <w:rPr>
          <w:lang w:val="en-IN"/>
        </w:rPr>
        <w:t>.</w:t>
      </w:r>
      <w:r w:rsidRPr="00B72A96">
        <w:rPr>
          <w:lang w:val="en-IN"/>
        </w:rPr>
        <w:t xml:space="preserve"> </w:t>
      </w:r>
      <w:r w:rsidR="000855F4" w:rsidRPr="00B72A96">
        <w:rPr>
          <w:lang w:val="en-IN"/>
        </w:rPr>
        <w:t>(</w:t>
      </w:r>
      <w:r w:rsidRPr="00B72A96">
        <w:rPr>
          <w:b/>
          <w:bCs/>
          <w:lang w:val="en-IN"/>
        </w:rPr>
        <w:t>B</w:t>
      </w:r>
      <w:r w:rsidRPr="00B72A96">
        <w:rPr>
          <w:lang w:val="en-IN"/>
        </w:rPr>
        <w:t xml:space="preserve">) Overview of the differentiation of </w:t>
      </w:r>
      <w:proofErr w:type="spellStart"/>
      <w:r w:rsidRPr="00B72A96">
        <w:rPr>
          <w:lang w:val="en-IN"/>
        </w:rPr>
        <w:t>hPSCs</w:t>
      </w:r>
      <w:proofErr w:type="spellEnd"/>
      <w:r w:rsidRPr="00B72A96">
        <w:rPr>
          <w:lang w:val="en-IN"/>
        </w:rPr>
        <w:t xml:space="preserve"> to generate primitive streak (PS), lateral mesoderm (LM), paraxial mesoderm (PM), definitive endoderm (DE), and neuroectoderm (NE)-like cells. </w:t>
      </w:r>
      <w:r w:rsidR="000855F4" w:rsidRPr="00B72A96">
        <w:rPr>
          <w:lang w:val="en-IN"/>
        </w:rPr>
        <w:t>(</w:t>
      </w:r>
      <w:r w:rsidRPr="00B72A96">
        <w:rPr>
          <w:b/>
          <w:bCs/>
          <w:lang w:val="en-IN"/>
        </w:rPr>
        <w:t>C</w:t>
      </w:r>
      <w:r w:rsidRPr="00B72A96">
        <w:rPr>
          <w:lang w:val="en-IN"/>
        </w:rPr>
        <w:t xml:space="preserve">) Experimental timeline and culture conditions used for human lineage specification. </w:t>
      </w:r>
      <w:r w:rsidR="000855F4" w:rsidRPr="00B72A96">
        <w:rPr>
          <w:lang w:val="en-IN"/>
        </w:rPr>
        <w:t>(</w:t>
      </w:r>
      <w:r w:rsidRPr="00B72A96">
        <w:rPr>
          <w:b/>
          <w:bCs/>
          <w:lang w:val="en-IN"/>
        </w:rPr>
        <w:t>D</w:t>
      </w:r>
      <w:r w:rsidRPr="00B72A96">
        <w:rPr>
          <w:lang w:val="en-IN"/>
        </w:rPr>
        <w:t>)</w:t>
      </w:r>
      <w:r w:rsidRPr="00B72A96">
        <w:rPr>
          <w:b/>
          <w:bCs/>
          <w:lang w:val="en-IN"/>
        </w:rPr>
        <w:t xml:space="preserve"> </w:t>
      </w:r>
      <w:r w:rsidRPr="00B72A96">
        <w:rPr>
          <w:lang w:val="en-IN"/>
        </w:rPr>
        <w:t xml:space="preserve">Representative immunofluorescence experiment </w:t>
      </w:r>
      <w:r w:rsidR="008A0113" w:rsidRPr="00B72A96">
        <w:rPr>
          <w:lang w:val="en-IN"/>
        </w:rPr>
        <w:t xml:space="preserve">characterizing </w:t>
      </w:r>
      <w:r w:rsidRPr="00B72A96">
        <w:rPr>
          <w:lang w:val="en-IN"/>
        </w:rPr>
        <w:t xml:space="preserve">lineage-specific identity acquisition following differentiation. Nuclei were counterstained with DAPI. Primitive streak (PS)-like cells were identified by </w:t>
      </w:r>
      <w:r w:rsidR="00675F5C" w:rsidRPr="00B72A96">
        <w:rPr>
          <w:lang w:val="en-IN"/>
        </w:rPr>
        <w:t>TBXT</w:t>
      </w:r>
      <w:r w:rsidRPr="00B72A96">
        <w:rPr>
          <w:lang w:val="en-IN"/>
        </w:rPr>
        <w:t xml:space="preserve">, lateral mesoderm (LM) by HAND1, paraxial mesoderm (PM) by TBX6, definitive endoderm (DE) by SOX17, and neuroectoderm (NE) by PAX6. Scale bars: 50 µm. </w:t>
      </w:r>
      <w:r w:rsidR="000855F4" w:rsidRPr="00B72A96">
        <w:rPr>
          <w:lang w:val="en-IN"/>
        </w:rPr>
        <w:t>(</w:t>
      </w:r>
      <w:r w:rsidR="00EA0746" w:rsidRPr="00B72A96">
        <w:rPr>
          <w:b/>
          <w:bCs/>
          <w:lang w:val="en-IN"/>
        </w:rPr>
        <w:t>E</w:t>
      </w:r>
      <w:r w:rsidR="00EA0746" w:rsidRPr="00B72A96">
        <w:rPr>
          <w:lang w:val="en-IN"/>
        </w:rPr>
        <w:t xml:space="preserve">) Quantification of lineage-associated marker-positive cells following differentiation. Primitive-streak-like, lateral-mesoderm-like, paraxial-mesoderm-like, definitive-endoderm-like, and neuroectoderm-like cells were identified by TBXT, HAND1, TBX6, SOX17, and PAX6 expression, respectively. The percentage of marker-positive cells was calculated relative to the total number of DAPI-positive nuclei in each field. Bars represent the mean ± SD of 10 imaging fields </w:t>
      </w:r>
      <w:r w:rsidR="00277660" w:rsidRPr="00B72A96">
        <w:rPr>
          <w:lang w:val="en-IN"/>
        </w:rPr>
        <w:t xml:space="preserve">with n&gt;1000 cells </w:t>
      </w:r>
      <w:proofErr w:type="spellStart"/>
      <w:r w:rsidR="00EA0746" w:rsidRPr="00B72A96">
        <w:rPr>
          <w:lang w:val="en-IN"/>
        </w:rPr>
        <w:t>analyzed</w:t>
      </w:r>
      <w:proofErr w:type="spellEnd"/>
      <w:r w:rsidR="00EA0746" w:rsidRPr="00B72A96">
        <w:rPr>
          <w:lang w:val="en-IN"/>
        </w:rPr>
        <w:t xml:space="preserve"> per lineage in one representative differentiation experiment. No inferential statistical comparisons were performed. </w:t>
      </w:r>
      <w:r w:rsidR="000855F4" w:rsidRPr="00B72A96">
        <w:rPr>
          <w:lang w:val="en-IN"/>
        </w:rPr>
        <w:t>(</w:t>
      </w:r>
      <w:r w:rsidR="00EA0746" w:rsidRPr="00B72A96">
        <w:rPr>
          <w:b/>
          <w:bCs/>
          <w:lang w:val="en-IN"/>
        </w:rPr>
        <w:t>F</w:t>
      </w:r>
      <w:r w:rsidRPr="00B72A96">
        <w:rPr>
          <w:lang w:val="en-IN"/>
        </w:rPr>
        <w:t xml:space="preserve">) Representative experiment of a qPCR of </w:t>
      </w:r>
      <w:proofErr w:type="spellStart"/>
      <w:r w:rsidRPr="00B72A96">
        <w:rPr>
          <w:lang w:val="en-IN"/>
        </w:rPr>
        <w:t>hPSCs</w:t>
      </w:r>
      <w:proofErr w:type="spellEnd"/>
      <w:r w:rsidRPr="00B72A96">
        <w:rPr>
          <w:lang w:val="en-IN"/>
        </w:rPr>
        <w:t xml:space="preserve"> undergoing differentiation. Expression values were normalized to β-actin and plotted as relative expression (2^-</w:t>
      </w:r>
      <w:proofErr w:type="spellStart"/>
      <w:r w:rsidRPr="00B72A96">
        <w:rPr>
          <w:lang w:val="en-IN"/>
        </w:rPr>
        <w:t>ΔCt</w:t>
      </w:r>
      <w:proofErr w:type="spellEnd"/>
      <w:r w:rsidRPr="00B72A96">
        <w:rPr>
          <w:lang w:val="en-IN"/>
        </w:rPr>
        <w:t xml:space="preserve">). Data are mean ± </w:t>
      </w:r>
      <w:r w:rsidR="0019052C">
        <w:rPr>
          <w:lang w:val="en-IN"/>
        </w:rPr>
        <w:t>SD</w:t>
      </w:r>
      <w:r w:rsidRPr="00B72A96">
        <w:rPr>
          <w:lang w:val="en-IN"/>
        </w:rPr>
        <w:t xml:space="preserve"> of n = 3 technical replicates. </w:t>
      </w:r>
      <w:r w:rsidR="000855F4" w:rsidRPr="00B72A96">
        <w:rPr>
          <w:lang w:val="en-IN"/>
        </w:rPr>
        <w:t>(</w:t>
      </w:r>
      <w:r w:rsidR="00EA0746" w:rsidRPr="00B72A96">
        <w:rPr>
          <w:b/>
          <w:bCs/>
          <w:lang w:val="en-IN"/>
        </w:rPr>
        <w:t>G</w:t>
      </w:r>
      <w:r w:rsidRPr="00B72A96">
        <w:rPr>
          <w:lang w:val="en-IN"/>
        </w:rPr>
        <w:t xml:space="preserve">) Representative experiment of a qPCR of </w:t>
      </w:r>
      <w:proofErr w:type="spellStart"/>
      <w:r w:rsidRPr="00B72A96">
        <w:rPr>
          <w:lang w:val="en-IN"/>
        </w:rPr>
        <w:t>hPSCs</w:t>
      </w:r>
      <w:proofErr w:type="spellEnd"/>
      <w:r w:rsidRPr="00B72A96">
        <w:rPr>
          <w:lang w:val="en-IN"/>
        </w:rPr>
        <w:t xml:space="preserve"> undergoing differentiation. Expression values were normalized to β-actin and plotted as log₂ fold change (</w:t>
      </w:r>
      <w:proofErr w:type="spellStart"/>
      <w:r w:rsidRPr="00B72A96">
        <w:rPr>
          <w:lang w:val="en-IN"/>
        </w:rPr>
        <w:t>log₂FC</w:t>
      </w:r>
      <w:proofErr w:type="spellEnd"/>
      <w:r w:rsidRPr="00B72A96">
        <w:rPr>
          <w:lang w:val="en-IN"/>
        </w:rPr>
        <w:t xml:space="preserve">) relative to the pluripotent state. Data are mean ± </w:t>
      </w:r>
      <w:r w:rsidR="0019052C">
        <w:rPr>
          <w:lang w:val="en-IN"/>
        </w:rPr>
        <w:t>SD</w:t>
      </w:r>
      <w:r w:rsidRPr="00B72A96">
        <w:rPr>
          <w:lang w:val="en-IN"/>
        </w:rPr>
        <w:t xml:space="preserve"> of n = 3 technical replicates.</w:t>
      </w:r>
      <w:r w:rsidR="006957F6" w:rsidRPr="00B72A96">
        <w:rPr>
          <w:lang w:val="en-IN"/>
        </w:rPr>
        <w:t xml:space="preserve"> </w:t>
      </w:r>
      <w:r w:rsidR="00E83739" w:rsidRPr="00B72A96">
        <w:rPr>
          <w:b/>
          <w:bCs/>
          <w:lang w:val="en-IN"/>
        </w:rPr>
        <w:t>Figures 1A–C</w:t>
      </w:r>
      <w:r w:rsidR="00E83739" w:rsidRPr="00B72A96">
        <w:rPr>
          <w:lang w:val="en-IN"/>
        </w:rPr>
        <w:t xml:space="preserve"> have been created using </w:t>
      </w:r>
      <w:proofErr w:type="spellStart"/>
      <w:r w:rsidR="00E83739" w:rsidRPr="00B72A96">
        <w:rPr>
          <w:lang w:val="en-IN"/>
        </w:rPr>
        <w:t>BioRender</w:t>
      </w:r>
      <w:proofErr w:type="spellEnd"/>
      <w:r w:rsidR="00E83739" w:rsidRPr="00B72A96">
        <w:rPr>
          <w:lang w:val="en-IN"/>
        </w:rPr>
        <w:t xml:space="preserve"> and are</w:t>
      </w:r>
      <w:r w:rsidR="006957F6" w:rsidRPr="00B72A96">
        <w:rPr>
          <w:shd w:val="clear" w:color="auto" w:fill="FFFFFF"/>
        </w:rPr>
        <w:t xml:space="preserve"> used under the terms of the applicable license.</w:t>
      </w:r>
    </w:p>
    <w:p w14:paraId="2A85C858" w14:textId="77777777" w:rsidR="00420FA9" w:rsidRPr="00B72A96" w:rsidRDefault="00420FA9" w:rsidP="00BD5E4C">
      <w:pPr>
        <w:contextualSpacing/>
        <w:mirrorIndents/>
        <w:rPr>
          <w:lang w:val="en-IN"/>
        </w:rPr>
      </w:pPr>
    </w:p>
    <w:p w14:paraId="69639D80" w14:textId="357ACDEF" w:rsidR="00420FA9" w:rsidRPr="00B72A96" w:rsidRDefault="00000000" w:rsidP="00BD5E4C">
      <w:pPr>
        <w:contextualSpacing/>
        <w:mirrorIndents/>
        <w:rPr>
          <w:lang w:val="en-IN"/>
        </w:rPr>
      </w:pPr>
      <w:r w:rsidRPr="00B72A96">
        <w:rPr>
          <w:b/>
          <w:bCs/>
          <w:lang w:val="en-IN"/>
        </w:rPr>
        <w:t xml:space="preserve">Figure 2. Mapping DNA damage and mitotic defects in </w:t>
      </w:r>
      <w:proofErr w:type="spellStart"/>
      <w:r w:rsidRPr="00B72A96">
        <w:rPr>
          <w:b/>
          <w:bCs/>
          <w:lang w:val="en-IN"/>
        </w:rPr>
        <w:t>hPSCs</w:t>
      </w:r>
      <w:proofErr w:type="spellEnd"/>
      <w:r w:rsidRPr="00B72A96">
        <w:rPr>
          <w:lang w:val="en-IN"/>
        </w:rPr>
        <w:t xml:space="preserve">. </w:t>
      </w:r>
      <w:r w:rsidR="00E83739" w:rsidRPr="00B72A96">
        <w:rPr>
          <w:lang w:val="en-IN"/>
        </w:rPr>
        <w:t>(</w:t>
      </w:r>
      <w:r w:rsidRPr="00B72A96">
        <w:rPr>
          <w:b/>
          <w:bCs/>
          <w:lang w:val="en-IN"/>
        </w:rPr>
        <w:t>A</w:t>
      </w:r>
      <w:r w:rsidRPr="00B72A96">
        <w:rPr>
          <w:lang w:val="en-IN"/>
        </w:rPr>
        <w:t xml:space="preserve">) Schematic overview of the genomic and chromosomal instability phenotypes associated with each phase of the human cell cycle, including single-stranded DNA (ssDNA) and double-stranded DNA (dsDNA) breaks, ultrafine </w:t>
      </w:r>
      <w:r w:rsidRPr="00B72A96">
        <w:rPr>
          <w:lang w:val="en-IN"/>
        </w:rPr>
        <w:lastRenderedPageBreak/>
        <w:t xml:space="preserve">bridges (UFBs), chromosome </w:t>
      </w:r>
      <w:proofErr w:type="spellStart"/>
      <w:r w:rsidRPr="00B72A96">
        <w:rPr>
          <w:lang w:val="en-IN"/>
        </w:rPr>
        <w:t>missegregation</w:t>
      </w:r>
      <w:proofErr w:type="spellEnd"/>
      <w:r w:rsidRPr="00B72A96">
        <w:rPr>
          <w:lang w:val="en-IN"/>
        </w:rPr>
        <w:t xml:space="preserve">, micronuclei formation, and aneuploidy. </w:t>
      </w:r>
      <w:r w:rsidR="00E83739" w:rsidRPr="00B72A96">
        <w:rPr>
          <w:lang w:val="en-IN"/>
        </w:rPr>
        <w:t>(</w:t>
      </w:r>
      <w:r w:rsidRPr="00B72A96">
        <w:rPr>
          <w:b/>
          <w:bCs/>
          <w:lang w:val="en-IN"/>
        </w:rPr>
        <w:t>B</w:t>
      </w:r>
      <w:r w:rsidRPr="00B72A96">
        <w:rPr>
          <w:lang w:val="en-IN"/>
        </w:rPr>
        <w:t xml:space="preserve">) Experimental workflow to assess DNA damage responses to replication stress during S-phase using Aphidicolin, hydroxyurea (HU), and </w:t>
      </w:r>
      <w:proofErr w:type="spellStart"/>
      <w:r w:rsidRPr="00B72A96">
        <w:rPr>
          <w:lang w:val="en-IN"/>
        </w:rPr>
        <w:t>camptothecin</w:t>
      </w:r>
      <w:proofErr w:type="spellEnd"/>
      <w:r w:rsidRPr="00B72A96">
        <w:rPr>
          <w:lang w:val="en-IN"/>
        </w:rPr>
        <w:t xml:space="preserve"> (CPT). </w:t>
      </w:r>
      <w:r w:rsidR="00E83739" w:rsidRPr="00B72A96">
        <w:rPr>
          <w:lang w:val="en-IN"/>
        </w:rPr>
        <w:t>(</w:t>
      </w:r>
      <w:r w:rsidRPr="00B72A96">
        <w:rPr>
          <w:b/>
          <w:bCs/>
          <w:lang w:val="en-IN"/>
        </w:rPr>
        <w:t>C</w:t>
      </w:r>
      <w:r w:rsidRPr="00B72A96">
        <w:rPr>
          <w:lang w:val="en-IN"/>
        </w:rPr>
        <w:t xml:space="preserve">) Representative immunofluorescence images of untreated and drug-treated </w:t>
      </w:r>
      <w:proofErr w:type="spellStart"/>
      <w:r w:rsidRPr="00B72A96">
        <w:rPr>
          <w:lang w:val="en-IN"/>
        </w:rPr>
        <w:t>hPSCs</w:t>
      </w:r>
      <w:proofErr w:type="spellEnd"/>
      <w:r w:rsidRPr="00B72A96">
        <w:rPr>
          <w:lang w:val="en-IN"/>
        </w:rPr>
        <w:t xml:space="preserve"> stained with DAPI, </w:t>
      </w:r>
      <w:proofErr w:type="spellStart"/>
      <w:r w:rsidRPr="00B72A96">
        <w:rPr>
          <w:lang w:val="en-IN"/>
        </w:rPr>
        <w:t>EdU</w:t>
      </w:r>
      <w:proofErr w:type="spellEnd"/>
      <w:r w:rsidRPr="00B72A96">
        <w:rPr>
          <w:lang w:val="en-IN"/>
        </w:rPr>
        <w:t>, γH2AX, and phospho-RPA (</w:t>
      </w:r>
      <w:proofErr w:type="spellStart"/>
      <w:r w:rsidRPr="00B72A96">
        <w:rPr>
          <w:lang w:val="en-IN"/>
        </w:rPr>
        <w:t>pRPA</w:t>
      </w:r>
      <w:proofErr w:type="spellEnd"/>
      <w:r w:rsidRPr="00B72A96">
        <w:rPr>
          <w:lang w:val="en-IN"/>
        </w:rPr>
        <w:t xml:space="preserve">). </w:t>
      </w:r>
      <w:proofErr w:type="spellStart"/>
      <w:r w:rsidRPr="00B72A96">
        <w:rPr>
          <w:lang w:val="en-IN"/>
        </w:rPr>
        <w:t>EdU</w:t>
      </w:r>
      <w:proofErr w:type="spellEnd"/>
      <w:r w:rsidRPr="00B72A96">
        <w:rPr>
          <w:lang w:val="en-IN"/>
        </w:rPr>
        <w:t xml:space="preserve">-positive nuclei identify cells in S phase, whereas γH2AX marks DNA double-strand breaks. </w:t>
      </w:r>
      <w:proofErr w:type="spellStart"/>
      <w:r w:rsidRPr="00B72A96">
        <w:rPr>
          <w:lang w:val="en-IN"/>
        </w:rPr>
        <w:t>pRPA</w:t>
      </w:r>
      <w:proofErr w:type="spellEnd"/>
      <w:r w:rsidRPr="00B72A96">
        <w:rPr>
          <w:lang w:val="en-IN"/>
        </w:rPr>
        <w:t xml:space="preserve"> serves as a marker of DNA damage associated with single-stranded DNA and DNA replication stress, and can also be detected at sites of double-strand break repair. Scale bars</w:t>
      </w:r>
      <w:r w:rsidR="0019052C">
        <w:rPr>
          <w:lang w:val="en-IN"/>
        </w:rPr>
        <w:t>:</w:t>
      </w:r>
      <w:r w:rsidRPr="00B72A96">
        <w:rPr>
          <w:lang w:val="en-IN"/>
        </w:rPr>
        <w:t xml:space="preserve"> 50 µ</w:t>
      </w:r>
      <w:r w:rsidR="00B76CC4" w:rsidRPr="00B72A96">
        <w:rPr>
          <w:lang w:val="en-IN"/>
        </w:rPr>
        <w:t>m</w:t>
      </w:r>
      <w:r w:rsidRPr="00B72A96">
        <w:rPr>
          <w:lang w:val="en-IN"/>
        </w:rPr>
        <w:t xml:space="preserve">. </w:t>
      </w:r>
      <w:r w:rsidR="00E83739" w:rsidRPr="00B72A96">
        <w:rPr>
          <w:lang w:val="en-IN"/>
        </w:rPr>
        <w:t>(</w:t>
      </w:r>
      <w:r w:rsidRPr="00B72A96">
        <w:rPr>
          <w:b/>
          <w:bCs/>
          <w:lang w:val="en-IN"/>
        </w:rPr>
        <w:t>D</w:t>
      </w:r>
      <w:r w:rsidRPr="00B72A96">
        <w:rPr>
          <w:lang w:val="en-IN"/>
        </w:rPr>
        <w:t xml:space="preserve">) Quantification of γH2AX and </w:t>
      </w:r>
      <w:proofErr w:type="spellStart"/>
      <w:r w:rsidRPr="00B72A96">
        <w:rPr>
          <w:lang w:val="en-IN"/>
        </w:rPr>
        <w:t>pRPA</w:t>
      </w:r>
      <w:proofErr w:type="spellEnd"/>
      <w:r w:rsidRPr="00B72A96">
        <w:rPr>
          <w:lang w:val="en-IN"/>
        </w:rPr>
        <w:t xml:space="preserve"> mean fluorescence intensity (MFI) in </w:t>
      </w:r>
      <w:proofErr w:type="spellStart"/>
      <w:r w:rsidRPr="00B72A96">
        <w:rPr>
          <w:lang w:val="en-IN"/>
        </w:rPr>
        <w:t>EdU</w:t>
      </w:r>
      <w:proofErr w:type="spellEnd"/>
      <w:r w:rsidRPr="00B72A96">
        <w:rPr>
          <w:lang w:val="en-IN"/>
        </w:rPr>
        <w:t xml:space="preserve">-positive nuclei following treatment with HU, aphidicolin, or CPT, as shown in C. Data are from a representative </w:t>
      </w:r>
      <w:r w:rsidR="00F57220" w:rsidRPr="00B72A96">
        <w:rPr>
          <w:lang w:val="en-IN"/>
        </w:rPr>
        <w:t xml:space="preserve">biological </w:t>
      </w:r>
      <w:r w:rsidRPr="00B72A96">
        <w:rPr>
          <w:lang w:val="en-IN"/>
        </w:rPr>
        <w:t xml:space="preserve">experiment with &gt;300 </w:t>
      </w:r>
      <w:proofErr w:type="spellStart"/>
      <w:r w:rsidRPr="00B72A96">
        <w:rPr>
          <w:lang w:val="en-IN"/>
        </w:rPr>
        <w:t>EdU</w:t>
      </w:r>
      <w:proofErr w:type="spellEnd"/>
      <w:r w:rsidRPr="00B72A96">
        <w:rPr>
          <w:lang w:val="en-IN"/>
        </w:rPr>
        <w:t xml:space="preserve">-positive nuclei </w:t>
      </w:r>
      <w:proofErr w:type="spellStart"/>
      <w:r w:rsidRPr="00B72A96">
        <w:rPr>
          <w:lang w:val="en-IN"/>
        </w:rPr>
        <w:t>analyzed</w:t>
      </w:r>
      <w:proofErr w:type="spellEnd"/>
      <w:r w:rsidRPr="00B72A96">
        <w:rPr>
          <w:lang w:val="en-IN"/>
        </w:rPr>
        <w:t xml:space="preserve"> per condition. The number of </w:t>
      </w:r>
      <w:proofErr w:type="spellStart"/>
      <w:r w:rsidRPr="00B72A96">
        <w:rPr>
          <w:lang w:val="en-IN"/>
        </w:rPr>
        <w:t>EdU</w:t>
      </w:r>
      <w:proofErr w:type="spellEnd"/>
      <w:r w:rsidRPr="00B72A96">
        <w:rPr>
          <w:lang w:val="en-IN"/>
        </w:rPr>
        <w:t xml:space="preserve">-positive nuclei </w:t>
      </w:r>
      <w:proofErr w:type="spellStart"/>
      <w:r w:rsidRPr="00B72A96">
        <w:rPr>
          <w:lang w:val="en-IN"/>
        </w:rPr>
        <w:t>analyzed</w:t>
      </w:r>
      <w:proofErr w:type="spellEnd"/>
      <w:r w:rsidRPr="00B72A96">
        <w:rPr>
          <w:lang w:val="en-IN"/>
        </w:rPr>
        <w:t xml:space="preserve"> were: control (n = 326), HU 1 mM (n = 314), HU 3 mM (n = 304), aphidicolin 50 </w:t>
      </w:r>
      <w:proofErr w:type="spellStart"/>
      <w:r w:rsidRPr="00B72A96">
        <w:rPr>
          <w:lang w:val="en-IN"/>
        </w:rPr>
        <w:t>nM</w:t>
      </w:r>
      <w:proofErr w:type="spellEnd"/>
      <w:r w:rsidRPr="00B72A96">
        <w:rPr>
          <w:lang w:val="en-IN"/>
        </w:rPr>
        <w:t xml:space="preserve"> (n = 377), CPT 1 µM (n = 426), and CPT 2.5 µM (n = 504). Values are shown in arbitrary units (</w:t>
      </w:r>
      <w:proofErr w:type="spellStart"/>
      <w:r w:rsidRPr="00B72A96">
        <w:rPr>
          <w:lang w:val="en-IN"/>
        </w:rPr>
        <w:t>a.u</w:t>
      </w:r>
      <w:proofErr w:type="spellEnd"/>
      <w:r w:rsidRPr="00B72A96">
        <w:rPr>
          <w:lang w:val="en-IN"/>
        </w:rPr>
        <w:t xml:space="preserve">.). </w:t>
      </w:r>
      <w:r w:rsidR="00E83739" w:rsidRPr="00B72A96">
        <w:rPr>
          <w:lang w:val="en-IN"/>
        </w:rPr>
        <w:t>(</w:t>
      </w:r>
      <w:r w:rsidRPr="00B72A96">
        <w:rPr>
          <w:b/>
          <w:bCs/>
          <w:lang w:val="en-IN"/>
        </w:rPr>
        <w:t>E</w:t>
      </w:r>
      <w:r w:rsidRPr="00B72A96">
        <w:rPr>
          <w:lang w:val="en-IN"/>
        </w:rPr>
        <w:t>)</w:t>
      </w:r>
      <w:r w:rsidRPr="00B72A96">
        <w:rPr>
          <w:b/>
          <w:bCs/>
          <w:lang w:val="en-IN"/>
        </w:rPr>
        <w:t xml:space="preserve"> </w:t>
      </w:r>
      <w:r w:rsidRPr="00B72A96">
        <w:rPr>
          <w:lang w:val="en-IN"/>
        </w:rPr>
        <w:t xml:space="preserve">Experimental workflow used to assess ultrafine bridge formation following aphidicolin treatment. </w:t>
      </w:r>
      <w:r w:rsidR="00E83739" w:rsidRPr="00B72A96">
        <w:rPr>
          <w:lang w:val="en-IN"/>
        </w:rPr>
        <w:t>(</w:t>
      </w:r>
      <w:r w:rsidRPr="00B72A96">
        <w:rPr>
          <w:b/>
          <w:bCs/>
          <w:lang w:val="en-IN"/>
        </w:rPr>
        <w:t>F</w:t>
      </w:r>
      <w:r w:rsidRPr="00B72A96">
        <w:rPr>
          <w:lang w:val="en-IN"/>
        </w:rPr>
        <w:t xml:space="preserve">) Representative immunofluorescence images of anaphase cells without and with BLM+ ultrafine bridges. Cells were stained with DAPI and BLM. Scale bars, 10 µm. </w:t>
      </w:r>
      <w:r w:rsidR="00E83739" w:rsidRPr="00B72A96">
        <w:rPr>
          <w:lang w:val="en-IN"/>
        </w:rPr>
        <w:t>(</w:t>
      </w:r>
      <w:r w:rsidRPr="00B72A96">
        <w:rPr>
          <w:b/>
          <w:bCs/>
          <w:lang w:val="en-IN"/>
        </w:rPr>
        <w:t>G</w:t>
      </w:r>
      <w:r w:rsidRPr="00B72A96">
        <w:rPr>
          <w:lang w:val="en-IN"/>
        </w:rPr>
        <w:t>) Quantification of the percentage of anaphase cells containing BLM-positive ultrafine bridges after treatment with aphidicolin. Data are mean ± </w:t>
      </w:r>
      <w:r w:rsidR="0019052C">
        <w:rPr>
          <w:lang w:val="en-IN"/>
        </w:rPr>
        <w:t>SD</w:t>
      </w:r>
      <w:r w:rsidRPr="00B72A96">
        <w:rPr>
          <w:lang w:val="en-IN"/>
        </w:rPr>
        <w:t xml:space="preserve"> of n = 3 </w:t>
      </w:r>
      <w:r w:rsidR="00675F5C" w:rsidRPr="00B72A96">
        <w:rPr>
          <w:lang w:val="en-IN"/>
        </w:rPr>
        <w:t>independent biological replicates</w:t>
      </w:r>
      <w:r w:rsidRPr="00B72A96">
        <w:rPr>
          <w:lang w:val="en-IN"/>
        </w:rPr>
        <w:t xml:space="preserve">, with &gt; 50 anaphases quantified per condition in each experiment; each dot represents one independent experiment. Statistical significance was assessed using repeated-measures one-way ANOVA followed by Dunnett’s </w:t>
      </w:r>
      <w:r w:rsidR="0019052C">
        <w:rPr>
          <w:lang w:val="en-IN"/>
        </w:rPr>
        <w:t>multiple comparison</w:t>
      </w:r>
      <w:r w:rsidRPr="00B72A96">
        <w:rPr>
          <w:lang w:val="en-IN"/>
        </w:rPr>
        <w:t>s test, comparing each aphidicolin-treated condition with the DMSO control. *</w:t>
      </w:r>
      <w:r w:rsidRPr="00B72A96">
        <w:rPr>
          <w:i/>
          <w:iCs/>
          <w:lang w:val="en-IN"/>
        </w:rPr>
        <w:t>p</w:t>
      </w:r>
      <w:r w:rsidRPr="00B72A96">
        <w:rPr>
          <w:lang w:val="en-IN"/>
        </w:rPr>
        <w:t xml:space="preserve"> &lt; 0.05 and **</w:t>
      </w:r>
      <w:r w:rsidRPr="00B72A96">
        <w:rPr>
          <w:i/>
          <w:iCs/>
          <w:lang w:val="en-IN"/>
        </w:rPr>
        <w:t>p</w:t>
      </w:r>
      <w:r w:rsidRPr="00B72A96">
        <w:rPr>
          <w:lang w:val="en-IN"/>
        </w:rPr>
        <w:t xml:space="preserve"> &lt; 0.01. </w:t>
      </w:r>
      <w:r w:rsidR="00E83739" w:rsidRPr="00B72A96">
        <w:rPr>
          <w:lang w:val="en-IN"/>
        </w:rPr>
        <w:t>(</w:t>
      </w:r>
      <w:r w:rsidRPr="00B72A96">
        <w:rPr>
          <w:b/>
          <w:bCs/>
          <w:lang w:val="en-IN"/>
        </w:rPr>
        <w:t>H</w:t>
      </w:r>
      <w:r w:rsidRPr="00B72A96">
        <w:rPr>
          <w:lang w:val="en-IN"/>
        </w:rPr>
        <w:t xml:space="preserve">) Experimental workflow used to induce chromosome segregation defects and micronuclei formation. </w:t>
      </w:r>
      <w:r w:rsidR="00E83739" w:rsidRPr="00B72A96">
        <w:rPr>
          <w:lang w:val="en-IN"/>
        </w:rPr>
        <w:t>(</w:t>
      </w:r>
      <w:r w:rsidRPr="00B72A96">
        <w:rPr>
          <w:b/>
          <w:bCs/>
          <w:lang w:val="en-IN"/>
        </w:rPr>
        <w:t>I</w:t>
      </w:r>
      <w:r w:rsidRPr="00B72A96">
        <w:rPr>
          <w:lang w:val="en-IN"/>
        </w:rPr>
        <w:t xml:space="preserve">) Representative immunofluorescence images of control and </w:t>
      </w:r>
      <w:proofErr w:type="spellStart"/>
      <w:r w:rsidRPr="00B72A96">
        <w:rPr>
          <w:lang w:val="en-IN"/>
        </w:rPr>
        <w:t>reversine</w:t>
      </w:r>
      <w:proofErr w:type="spellEnd"/>
      <w:r w:rsidRPr="00B72A96">
        <w:rPr>
          <w:lang w:val="en-IN"/>
        </w:rPr>
        <w:t>-treated cells stained for DAPI, Lamin B1, α-tubulin</w:t>
      </w:r>
      <w:r w:rsidR="00E83739" w:rsidRPr="00B72A96">
        <w:rPr>
          <w:lang w:val="en-IN"/>
        </w:rPr>
        <w:t>,</w:t>
      </w:r>
      <w:r w:rsidRPr="00B72A96">
        <w:rPr>
          <w:lang w:val="en-IN"/>
        </w:rPr>
        <w:t xml:space="preserve"> and CREST. </w:t>
      </w:r>
      <w:r w:rsidR="00E83739" w:rsidRPr="00B72A96">
        <w:rPr>
          <w:lang w:val="en-IN"/>
        </w:rPr>
        <w:t xml:space="preserve">The arrow indicates a </w:t>
      </w:r>
      <w:r w:rsidRPr="00B72A96">
        <w:rPr>
          <w:lang w:val="en-IN"/>
        </w:rPr>
        <w:t xml:space="preserve">chromosome </w:t>
      </w:r>
      <w:proofErr w:type="spellStart"/>
      <w:r w:rsidRPr="00B72A96">
        <w:rPr>
          <w:lang w:val="en-IN"/>
        </w:rPr>
        <w:t>missegregation</w:t>
      </w:r>
      <w:proofErr w:type="spellEnd"/>
      <w:r w:rsidRPr="00B72A96">
        <w:rPr>
          <w:lang w:val="en-IN"/>
        </w:rPr>
        <w:t xml:space="preserve"> event. Scale bars</w:t>
      </w:r>
      <w:r w:rsidR="00E83739" w:rsidRPr="00B72A96">
        <w:rPr>
          <w:lang w:val="en-IN"/>
        </w:rPr>
        <w:t xml:space="preserve"> =</w:t>
      </w:r>
      <w:r w:rsidRPr="00B72A96">
        <w:rPr>
          <w:lang w:val="en-IN"/>
        </w:rPr>
        <w:t xml:space="preserve"> 10 µm. </w:t>
      </w:r>
      <w:r w:rsidR="00E83739" w:rsidRPr="00B72A96">
        <w:rPr>
          <w:lang w:val="en-IN"/>
        </w:rPr>
        <w:t>(</w:t>
      </w:r>
      <w:r w:rsidRPr="00B72A96">
        <w:rPr>
          <w:b/>
          <w:bCs/>
          <w:lang w:val="en-IN"/>
        </w:rPr>
        <w:t>J</w:t>
      </w:r>
      <w:r w:rsidRPr="00B72A96">
        <w:rPr>
          <w:lang w:val="en-IN"/>
        </w:rPr>
        <w:t xml:space="preserve">) Quantification of chromosome </w:t>
      </w:r>
      <w:proofErr w:type="spellStart"/>
      <w:r w:rsidRPr="00B72A96">
        <w:rPr>
          <w:lang w:val="en-IN"/>
        </w:rPr>
        <w:t>missegregation</w:t>
      </w:r>
      <w:proofErr w:type="spellEnd"/>
      <w:r w:rsidRPr="00B72A96">
        <w:rPr>
          <w:lang w:val="en-IN"/>
        </w:rPr>
        <w:t xml:space="preserve"> following </w:t>
      </w:r>
      <w:proofErr w:type="spellStart"/>
      <w:r w:rsidRPr="00B72A96">
        <w:rPr>
          <w:lang w:val="en-IN"/>
        </w:rPr>
        <w:t>reversine</w:t>
      </w:r>
      <w:proofErr w:type="spellEnd"/>
      <w:r w:rsidRPr="00B72A96">
        <w:rPr>
          <w:lang w:val="en-IN"/>
        </w:rPr>
        <w:t xml:space="preserve"> treatment and 7 h recovery. Data are mean ± </w:t>
      </w:r>
      <w:r w:rsidR="0019052C">
        <w:rPr>
          <w:lang w:val="en-IN"/>
        </w:rPr>
        <w:t>SD</w:t>
      </w:r>
      <w:r w:rsidRPr="00B72A96">
        <w:rPr>
          <w:lang w:val="en-IN"/>
        </w:rPr>
        <w:t xml:space="preserve"> of n = 3 </w:t>
      </w:r>
      <w:r w:rsidR="00675F5C" w:rsidRPr="00B72A96">
        <w:rPr>
          <w:lang w:val="en-IN"/>
        </w:rPr>
        <w:t>independent biological replicates</w:t>
      </w:r>
      <w:r w:rsidRPr="00B72A96">
        <w:rPr>
          <w:lang w:val="en-IN"/>
        </w:rPr>
        <w:t>, with &gt; 100 anaphases quantified per condition in each experiment; each dot represents one independent experiment. Statistical significance was assessed using one-way ANOVA followed by Dunnett’s multiple comparisons test. ****</w:t>
      </w:r>
      <w:r w:rsidRPr="00B72A96">
        <w:rPr>
          <w:i/>
          <w:iCs/>
          <w:lang w:val="en-IN"/>
        </w:rPr>
        <w:t>p</w:t>
      </w:r>
      <w:r w:rsidRPr="00B72A96">
        <w:rPr>
          <w:lang w:val="en-IN"/>
        </w:rPr>
        <w:t xml:space="preserve"> &lt; 0.0001. </w:t>
      </w:r>
      <w:r w:rsidR="00E83739" w:rsidRPr="00B72A96">
        <w:rPr>
          <w:lang w:val="en-IN"/>
        </w:rPr>
        <w:t>(</w:t>
      </w:r>
      <w:r w:rsidRPr="00B72A96">
        <w:rPr>
          <w:b/>
          <w:bCs/>
          <w:lang w:val="en-IN"/>
        </w:rPr>
        <w:t>K</w:t>
      </w:r>
      <w:r w:rsidRPr="00B72A96">
        <w:rPr>
          <w:lang w:val="en-IN"/>
        </w:rPr>
        <w:t xml:space="preserve">) Quantification of interphase cells displaying Lamin B1-positive micronuclei following </w:t>
      </w:r>
      <w:proofErr w:type="spellStart"/>
      <w:r w:rsidRPr="00B72A96">
        <w:rPr>
          <w:lang w:val="en-IN"/>
        </w:rPr>
        <w:t>reversine</w:t>
      </w:r>
      <w:proofErr w:type="spellEnd"/>
      <w:r w:rsidRPr="00B72A96">
        <w:rPr>
          <w:lang w:val="en-IN"/>
        </w:rPr>
        <w:t xml:space="preserve"> treatment. Data are mean ± </w:t>
      </w:r>
      <w:r w:rsidR="0019052C">
        <w:rPr>
          <w:lang w:val="en-IN"/>
        </w:rPr>
        <w:t>SD</w:t>
      </w:r>
      <w:r w:rsidRPr="00B72A96">
        <w:rPr>
          <w:lang w:val="en-IN"/>
        </w:rPr>
        <w:t xml:space="preserve"> of n </w:t>
      </w:r>
      <w:r w:rsidR="00E32E51" w:rsidRPr="00B72A96">
        <w:rPr>
          <w:lang w:val="en-IN"/>
        </w:rPr>
        <w:t>&gt;</w:t>
      </w:r>
      <w:r w:rsidRPr="00B72A96">
        <w:rPr>
          <w:lang w:val="en-IN"/>
        </w:rPr>
        <w:t xml:space="preserve"> 3 </w:t>
      </w:r>
      <w:r w:rsidR="00675F5C" w:rsidRPr="00B72A96">
        <w:rPr>
          <w:lang w:val="en-IN"/>
        </w:rPr>
        <w:t>independent biological replicates</w:t>
      </w:r>
      <w:r w:rsidRPr="00B72A96">
        <w:rPr>
          <w:lang w:val="en-IN"/>
        </w:rPr>
        <w:t xml:space="preserve">, with &gt; 100 </w:t>
      </w:r>
      <w:r w:rsidR="00E32E51" w:rsidRPr="00B72A96">
        <w:rPr>
          <w:lang w:val="en-IN"/>
        </w:rPr>
        <w:t xml:space="preserve">interphase </w:t>
      </w:r>
      <w:r w:rsidRPr="00B72A96">
        <w:rPr>
          <w:lang w:val="en-IN"/>
        </w:rPr>
        <w:t>cells quantified per condition in each experiment. Statistical significance was assessed using Welch’s ANOVA followed by Dunnett’s T3 multiple comparisons test. *</w:t>
      </w:r>
      <w:r w:rsidRPr="00B72A96">
        <w:rPr>
          <w:i/>
          <w:iCs/>
          <w:lang w:val="en-IN"/>
        </w:rPr>
        <w:t>p</w:t>
      </w:r>
      <w:r w:rsidRPr="00B72A96">
        <w:rPr>
          <w:lang w:val="en-IN"/>
        </w:rPr>
        <w:t xml:space="preserve"> &lt; 0.05, ***</w:t>
      </w:r>
      <w:r w:rsidRPr="00B72A96">
        <w:rPr>
          <w:i/>
          <w:iCs/>
          <w:lang w:val="en-IN"/>
        </w:rPr>
        <w:t>p</w:t>
      </w:r>
      <w:r w:rsidRPr="00B72A96">
        <w:rPr>
          <w:lang w:val="en-IN"/>
        </w:rPr>
        <w:t xml:space="preserve"> &lt; 0.001. </w:t>
      </w:r>
      <w:r w:rsidR="00E83739" w:rsidRPr="00B72A96">
        <w:rPr>
          <w:lang w:val="en-IN"/>
        </w:rPr>
        <w:t>(</w:t>
      </w:r>
      <w:r w:rsidRPr="00B72A96">
        <w:rPr>
          <w:b/>
          <w:bCs/>
          <w:lang w:val="en-IN"/>
        </w:rPr>
        <w:t>L</w:t>
      </w:r>
      <w:r w:rsidRPr="00B72A96">
        <w:rPr>
          <w:lang w:val="en-IN"/>
        </w:rPr>
        <w:t>) Representative immunofluorescence images of micronuclei stained for DAPI and Lamin B1. Arrows indicate Lamin B1-positive micronuclei. Scale bars</w:t>
      </w:r>
      <w:r w:rsidR="000E571D">
        <w:rPr>
          <w:lang w:val="en-IN"/>
        </w:rPr>
        <w:t>:</w:t>
      </w:r>
      <w:r w:rsidRPr="00B72A96">
        <w:rPr>
          <w:lang w:val="en-IN"/>
        </w:rPr>
        <w:t xml:space="preserve"> 10 µm. </w:t>
      </w:r>
      <w:r w:rsidR="00E83739" w:rsidRPr="00B72A96">
        <w:rPr>
          <w:lang w:val="en-IN"/>
        </w:rPr>
        <w:t>(</w:t>
      </w:r>
      <w:r w:rsidRPr="00B72A96">
        <w:rPr>
          <w:b/>
          <w:bCs/>
          <w:lang w:val="en-IN"/>
        </w:rPr>
        <w:t>M</w:t>
      </w:r>
      <w:r w:rsidRPr="00B72A96">
        <w:rPr>
          <w:lang w:val="en-IN"/>
        </w:rPr>
        <w:t xml:space="preserve">) Experimental workflow used for metaphase spread preparation and karyotype analysis. </w:t>
      </w:r>
      <w:r w:rsidR="00E83739" w:rsidRPr="00B72A96">
        <w:rPr>
          <w:lang w:val="en-IN"/>
        </w:rPr>
        <w:t>(</w:t>
      </w:r>
      <w:r w:rsidRPr="00B72A96">
        <w:rPr>
          <w:b/>
          <w:bCs/>
          <w:lang w:val="en-IN"/>
        </w:rPr>
        <w:t>N</w:t>
      </w:r>
      <w:r w:rsidRPr="00B72A96">
        <w:rPr>
          <w:lang w:val="en-IN"/>
        </w:rPr>
        <w:t>) Representative metaphase chromosome spreads showing cells with normal chromosome number, 46 chromosomes, and abnormal chromosome number, 43 chromosomes. Scale bars</w:t>
      </w:r>
      <w:r w:rsidR="000E571D">
        <w:rPr>
          <w:lang w:val="en-IN"/>
        </w:rPr>
        <w:t>:</w:t>
      </w:r>
      <w:r w:rsidRPr="00B72A96">
        <w:rPr>
          <w:lang w:val="en-IN"/>
        </w:rPr>
        <w:t xml:space="preserve"> 10 µm. </w:t>
      </w:r>
      <w:r w:rsidR="00E83739" w:rsidRPr="00B72A96">
        <w:rPr>
          <w:lang w:val="en-IN"/>
        </w:rPr>
        <w:t>(</w:t>
      </w:r>
      <w:r w:rsidRPr="00B72A96">
        <w:rPr>
          <w:b/>
          <w:bCs/>
          <w:lang w:val="en-IN"/>
        </w:rPr>
        <w:t>O</w:t>
      </w:r>
      <w:r w:rsidRPr="00B72A96">
        <w:rPr>
          <w:lang w:val="en-IN"/>
        </w:rPr>
        <w:t xml:space="preserve">) Quantification of cells with </w:t>
      </w:r>
      <w:r w:rsidR="006545B7" w:rsidRPr="00B72A96">
        <w:rPr>
          <w:lang w:val="en-IN"/>
        </w:rPr>
        <w:t xml:space="preserve">normal and </w:t>
      </w:r>
      <w:r w:rsidRPr="00B72A96">
        <w:rPr>
          <w:lang w:val="en-IN"/>
        </w:rPr>
        <w:t>abnormal chromosome number following the indicated treatments (n</w:t>
      </w:r>
      <w:r w:rsidR="00E83739" w:rsidRPr="00B72A96">
        <w:rPr>
          <w:lang w:val="en-IN"/>
        </w:rPr>
        <w:t xml:space="preserve"> </w:t>
      </w:r>
      <w:r w:rsidR="00B76CC4" w:rsidRPr="00B72A96">
        <w:rPr>
          <w:lang w:val="en-IN"/>
        </w:rPr>
        <w:t>=</w:t>
      </w:r>
      <w:r w:rsidR="00DE245F" w:rsidRPr="00B72A96">
        <w:rPr>
          <w:lang w:val="en-IN"/>
        </w:rPr>
        <w:t xml:space="preserve"> </w:t>
      </w:r>
      <w:r w:rsidR="00EE2294" w:rsidRPr="00B72A96">
        <w:rPr>
          <w:lang w:val="en-IN"/>
        </w:rPr>
        <w:t>5</w:t>
      </w:r>
      <w:r w:rsidR="00B76CC4" w:rsidRPr="00B72A96">
        <w:rPr>
          <w:lang w:val="en-IN"/>
        </w:rPr>
        <w:t>0</w:t>
      </w:r>
      <w:r w:rsidRPr="00B72A96">
        <w:rPr>
          <w:lang w:val="en-IN"/>
        </w:rPr>
        <w:t xml:space="preserve"> metaphase spreads per condition combined from n</w:t>
      </w:r>
      <w:r w:rsidR="00E83739" w:rsidRPr="00B72A96">
        <w:rPr>
          <w:lang w:val="en-IN"/>
        </w:rPr>
        <w:t xml:space="preserve"> </w:t>
      </w:r>
      <w:r w:rsidRPr="00B72A96">
        <w:rPr>
          <w:lang w:val="en-IN"/>
        </w:rPr>
        <w:t>=</w:t>
      </w:r>
      <w:r w:rsidR="00E83739" w:rsidRPr="00B72A96">
        <w:rPr>
          <w:lang w:val="en-IN"/>
        </w:rPr>
        <w:t xml:space="preserve"> </w:t>
      </w:r>
      <w:r w:rsidRPr="00B72A96">
        <w:rPr>
          <w:lang w:val="en-IN"/>
        </w:rPr>
        <w:t>3 different biological experiments</w:t>
      </w:r>
      <w:r w:rsidR="008177F1" w:rsidRPr="00B72A96">
        <w:rPr>
          <w:lang w:val="en-IN"/>
        </w:rPr>
        <w:t>/3 independent coverslips</w:t>
      </w:r>
      <w:r w:rsidRPr="00B72A96">
        <w:rPr>
          <w:lang w:val="en-IN"/>
        </w:rPr>
        <w:t xml:space="preserve">). </w:t>
      </w:r>
      <w:r w:rsidR="006957F6" w:rsidRPr="00B72A96">
        <w:rPr>
          <w:b/>
          <w:bCs/>
          <w:lang w:val="en-IN"/>
        </w:rPr>
        <w:t>Figure 2A</w:t>
      </w:r>
      <w:r w:rsidR="006957F6" w:rsidRPr="00B72A96">
        <w:rPr>
          <w:lang w:val="en-IN"/>
        </w:rPr>
        <w:t xml:space="preserve"> has been</w:t>
      </w:r>
      <w:r w:rsidR="006957F6" w:rsidRPr="00B72A96">
        <w:rPr>
          <w:shd w:val="clear" w:color="auto" w:fill="FFFFFF"/>
        </w:rPr>
        <w:t xml:space="preserve"> created using </w:t>
      </w:r>
      <w:proofErr w:type="spellStart"/>
      <w:r w:rsidR="006957F6" w:rsidRPr="00B72A96">
        <w:rPr>
          <w:shd w:val="clear" w:color="auto" w:fill="FFFFFF"/>
        </w:rPr>
        <w:t>BioRender</w:t>
      </w:r>
      <w:proofErr w:type="spellEnd"/>
      <w:r w:rsidR="006957F6" w:rsidRPr="00B72A96">
        <w:rPr>
          <w:shd w:val="clear" w:color="auto" w:fill="FFFFFF"/>
        </w:rPr>
        <w:t xml:space="preserve"> and is used under the terms of the applicable license.</w:t>
      </w:r>
    </w:p>
    <w:p w14:paraId="43A5D36B" w14:textId="77777777" w:rsidR="00675F5C" w:rsidRPr="00B72A96" w:rsidRDefault="00675F5C" w:rsidP="00BD5E4C">
      <w:pPr>
        <w:contextualSpacing/>
        <w:mirrorIndents/>
        <w:rPr>
          <w:lang w:val="en-IN"/>
        </w:rPr>
      </w:pPr>
    </w:p>
    <w:p w14:paraId="2EDC484B" w14:textId="7A389266" w:rsidR="00675F5C" w:rsidRPr="00B72A96" w:rsidRDefault="00000000" w:rsidP="00BD5E4C">
      <w:pPr>
        <w:contextualSpacing/>
        <w:mirrorIndents/>
      </w:pPr>
      <w:r w:rsidRPr="00B72A96">
        <w:rPr>
          <w:b/>
          <w:bCs/>
          <w:lang w:val="en-IN"/>
        </w:rPr>
        <w:t>Figure 3</w:t>
      </w:r>
      <w:r w:rsidR="000855F4" w:rsidRPr="00B72A96">
        <w:rPr>
          <w:b/>
          <w:bCs/>
          <w:lang w:val="en-IN"/>
        </w:rPr>
        <w:t>:</w:t>
      </w:r>
      <w:r w:rsidRPr="00B72A96">
        <w:rPr>
          <w:b/>
          <w:bCs/>
          <w:lang w:val="en-IN"/>
        </w:rPr>
        <w:t xml:space="preserve"> </w:t>
      </w:r>
      <w:bookmarkStart w:id="0" w:name="_Hlk237205830"/>
      <w:r w:rsidRPr="00B72A96">
        <w:rPr>
          <w:b/>
          <w:bCs/>
        </w:rPr>
        <w:t>Troubleshooting and identification of suboptimal outcomes.</w:t>
      </w:r>
      <w:r w:rsidRPr="00B72A96">
        <w:t xml:space="preserve"> </w:t>
      </w:r>
      <w:bookmarkEnd w:id="0"/>
      <w:r w:rsidR="000855F4" w:rsidRPr="00B72A96">
        <w:t>(</w:t>
      </w:r>
      <w:r w:rsidRPr="00B72A96">
        <w:rPr>
          <w:b/>
          <w:bCs/>
        </w:rPr>
        <w:t>A</w:t>
      </w:r>
      <w:r w:rsidRPr="00B72A96">
        <w:t xml:space="preserve">) Representative </w:t>
      </w:r>
      <w:r w:rsidRPr="00B72A96">
        <w:lastRenderedPageBreak/>
        <w:t>unsuccessful nuclear segmentation of differentiated definitive endoderm cells. The high density and overlap of DAPI-positive nuclei caused adjacent nuclei to be merged into large objects in the segmentation, preventing reliable single-nucleus fluorescence quantification. Scale bar: 50 µ</w:t>
      </w:r>
      <w:r w:rsidR="00E83739" w:rsidRPr="00B72A96">
        <w:t>m</w:t>
      </w:r>
      <w:r w:rsidRPr="00B72A96">
        <w:t xml:space="preserve">. </w:t>
      </w:r>
      <w:r w:rsidR="000855F4" w:rsidRPr="00B72A96">
        <w:t>(</w:t>
      </w:r>
      <w:r w:rsidRPr="00B72A96">
        <w:rPr>
          <w:b/>
          <w:bCs/>
        </w:rPr>
        <w:t>B</w:t>
      </w:r>
      <w:r w:rsidRPr="00B72A96">
        <w:t>) Representative suboptimal Giemsa-stained metaphase preparations showing clustered and overlapping chromosomes, incomplete chromosome spreading, and poorly separated metaphase spreads. These preparations were unsuitable for chromosome-number quantification because individual chromosomes could not be distinguished and counted confidently. Scale bar: 10 µ</w:t>
      </w:r>
      <w:r w:rsidR="00E83739" w:rsidRPr="00B72A96">
        <w:t>m</w:t>
      </w:r>
      <w:r w:rsidRPr="00B72A96">
        <w:t>.</w:t>
      </w:r>
      <w:r w:rsidR="00211C40" w:rsidRPr="00B72A96">
        <w:rPr>
          <w:b/>
          <w:bCs/>
        </w:rPr>
        <w:t xml:space="preserve"> </w:t>
      </w:r>
      <w:r w:rsidR="000855F4" w:rsidRPr="00B72A96">
        <w:t>(</w:t>
      </w:r>
      <w:r w:rsidR="00211C40" w:rsidRPr="00B72A96">
        <w:rPr>
          <w:b/>
          <w:bCs/>
        </w:rPr>
        <w:t>C</w:t>
      </w:r>
      <w:r w:rsidR="00211C40" w:rsidRPr="00B72A96">
        <w:t xml:space="preserve">) </w:t>
      </w:r>
      <w:r w:rsidR="00DE245F" w:rsidRPr="00B72A96">
        <w:t xml:space="preserve">(Left) </w:t>
      </w:r>
      <w:r w:rsidR="00211C40" w:rsidRPr="00B72A96">
        <w:t xml:space="preserve">Representative </w:t>
      </w:r>
      <w:r w:rsidR="00DE245F" w:rsidRPr="00B72A96">
        <w:t>metaphase spreads after Giemsa staining clustered in four groups (g1</w:t>
      </w:r>
      <w:r w:rsidR="001B2D92" w:rsidRPr="00B72A96">
        <w:t>–</w:t>
      </w:r>
      <w:r w:rsidR="00DE245F" w:rsidRPr="00B72A96">
        <w:t xml:space="preserve">g4) based on </w:t>
      </w:r>
      <w:r w:rsidR="00BF1391" w:rsidRPr="00B72A96">
        <w:t>ascending condensation defects</w:t>
      </w:r>
      <w:r w:rsidR="00DE245F" w:rsidRPr="00B72A96">
        <w:t>; (Right) Quantification of the left phenotypes (n = 1 independent biological replicate, with n &gt; 100 metaphase spreads quantified).</w:t>
      </w:r>
      <w:r w:rsidR="00176C6B" w:rsidRPr="00B72A96">
        <w:t xml:space="preserve"> Scale bar: 100 µ</w:t>
      </w:r>
      <w:r w:rsidR="009A648A" w:rsidRPr="00B72A96">
        <w:t>m</w:t>
      </w:r>
      <w:r w:rsidR="00176C6B" w:rsidRPr="00B72A96">
        <w:t>.</w:t>
      </w:r>
    </w:p>
    <w:p w14:paraId="2D9E26EB" w14:textId="77777777" w:rsidR="00420FA9" w:rsidRPr="00B72A96" w:rsidRDefault="00420FA9" w:rsidP="00BD5E4C">
      <w:pPr>
        <w:contextualSpacing/>
        <w:mirrorIndents/>
        <w:rPr>
          <w:lang w:val="en-IN"/>
        </w:rPr>
      </w:pPr>
    </w:p>
    <w:p w14:paraId="2747E309" w14:textId="7A632186" w:rsidR="00420FA9" w:rsidRPr="00B72A96" w:rsidRDefault="00000000" w:rsidP="00BD5E4C">
      <w:pPr>
        <w:contextualSpacing/>
        <w:mirrorIndents/>
        <w:rPr>
          <w:b/>
          <w:bCs/>
        </w:rPr>
      </w:pPr>
      <w:r w:rsidRPr="00B72A96">
        <w:rPr>
          <w:b/>
          <w:bCs/>
        </w:rPr>
        <w:t>Table 1</w:t>
      </w:r>
      <w:r w:rsidR="000855F4" w:rsidRPr="00B72A96">
        <w:rPr>
          <w:b/>
          <w:bCs/>
        </w:rPr>
        <w:t>:</w:t>
      </w:r>
      <w:r w:rsidRPr="00B72A96">
        <w:rPr>
          <w:b/>
          <w:bCs/>
        </w:rPr>
        <w:t xml:space="preserve"> Media compositions used in this study for differentiation of </w:t>
      </w:r>
      <w:proofErr w:type="spellStart"/>
      <w:r w:rsidRPr="00B72A96">
        <w:rPr>
          <w:b/>
          <w:bCs/>
        </w:rPr>
        <w:t>hiPSCs</w:t>
      </w:r>
      <w:proofErr w:type="spellEnd"/>
      <w:r w:rsidRPr="00B72A96">
        <w:rPr>
          <w:b/>
          <w:bCs/>
        </w:rPr>
        <w:t xml:space="preserve"> into early embryonic lineages.</w:t>
      </w:r>
      <w:r w:rsidR="006F3AB4" w:rsidRPr="00B72A96">
        <w:rPr>
          <w:b/>
          <w:bCs/>
        </w:rPr>
        <w:t xml:space="preserve"> </w:t>
      </w:r>
      <w:r w:rsidR="006F3AB4" w:rsidRPr="00B72A96">
        <w:t>The ingredients of the media for each early embryonic lineage</w:t>
      </w:r>
      <w:r w:rsidR="009A648A" w:rsidRPr="00B72A96">
        <w:t>, with the respective concentrations,</w:t>
      </w:r>
      <w:r w:rsidR="006F3AB4" w:rsidRPr="00B72A96">
        <w:t xml:space="preserve"> are indicated in that table.</w:t>
      </w:r>
      <w:r w:rsidR="006F3AB4" w:rsidRPr="00B72A96">
        <w:rPr>
          <w:b/>
          <w:bCs/>
        </w:rPr>
        <w:t xml:space="preserve"> </w:t>
      </w:r>
    </w:p>
    <w:p w14:paraId="0BDD85B2" w14:textId="77777777" w:rsidR="00420FA9" w:rsidRPr="00B72A96" w:rsidRDefault="00420FA9" w:rsidP="00BD5E4C">
      <w:pPr>
        <w:contextualSpacing/>
        <w:mirrorIndents/>
        <w:rPr>
          <w:b/>
          <w:bCs/>
        </w:rPr>
      </w:pPr>
    </w:p>
    <w:p w14:paraId="4C5EC4B2" w14:textId="74EEDFEF" w:rsidR="00420FA9" w:rsidRPr="00B72A96" w:rsidRDefault="00000000" w:rsidP="00BD5E4C">
      <w:pPr>
        <w:contextualSpacing/>
        <w:mirrorIndents/>
      </w:pPr>
      <w:r w:rsidRPr="00B72A96">
        <w:rPr>
          <w:b/>
          <w:bCs/>
        </w:rPr>
        <w:t>Table 2</w:t>
      </w:r>
      <w:r w:rsidR="000855F4" w:rsidRPr="00B72A96">
        <w:rPr>
          <w:b/>
          <w:bCs/>
        </w:rPr>
        <w:t>:</w:t>
      </w:r>
      <w:r w:rsidRPr="00B72A96">
        <w:rPr>
          <w:b/>
          <w:bCs/>
        </w:rPr>
        <w:t xml:space="preserve"> </w:t>
      </w:r>
      <w:r w:rsidR="00675F5C" w:rsidRPr="00B72A96">
        <w:rPr>
          <w:b/>
          <w:bCs/>
        </w:rPr>
        <w:t>Marker panels for validation of early human cell lineages.</w:t>
      </w:r>
      <w:r w:rsidR="006F3AB4" w:rsidRPr="00B72A96">
        <w:rPr>
          <w:b/>
          <w:bCs/>
        </w:rPr>
        <w:t xml:space="preserve"> </w:t>
      </w:r>
      <w:r w:rsidR="006F3AB4" w:rsidRPr="00B72A96">
        <w:t>Early human embryonic lineages and their markers for cell fate validation are indicated in that table.</w:t>
      </w:r>
      <w:r w:rsidR="006F3AB4" w:rsidRPr="00B72A96">
        <w:rPr>
          <w:b/>
          <w:bCs/>
        </w:rPr>
        <w:t xml:space="preserve"> </w:t>
      </w:r>
      <w:r w:rsidR="009A648A" w:rsidRPr="00B72A96">
        <w:t xml:space="preserve">The markers listed in this table are not necessarily restricted to a single lineage when considered individually. Cell identity should therefore be checked using the combined expression of multiple positive markers, together with loss of pluripotency-associated markers and, where necessary, the absence of markers associated with alternative lineages. Marker interpretation should also consider the differentiation stage and signaling conditions. For instance, CDX2 is listed as a primitive streak (PS) marker, but </w:t>
      </w:r>
      <w:r w:rsidR="001B2D92" w:rsidRPr="00B72A96">
        <w:t xml:space="preserve">it </w:t>
      </w:r>
      <w:r w:rsidR="009A648A" w:rsidRPr="00B72A96">
        <w:t>is not unique to this developmental lineage. CDX2 is also expressed in nascent posterior (lateral) mesoderm, extraembryonic mesoderm, as well as in amnion and trophoblast-like cells, depending on the species and the developmental time and context.</w:t>
      </w:r>
    </w:p>
    <w:p w14:paraId="6AACC1FE" w14:textId="77777777" w:rsidR="00420FA9" w:rsidRPr="00B72A96" w:rsidRDefault="00420FA9" w:rsidP="00BD5E4C">
      <w:pPr>
        <w:contextualSpacing/>
        <w:mirrorIndents/>
        <w:rPr>
          <w:b/>
          <w:bCs/>
        </w:rPr>
      </w:pPr>
    </w:p>
    <w:p w14:paraId="15C19041" w14:textId="459B46BE" w:rsidR="006F3AB4" w:rsidRPr="00B72A96" w:rsidRDefault="00000000" w:rsidP="00BD5E4C">
      <w:pPr>
        <w:contextualSpacing/>
        <w:mirrorIndents/>
        <w:rPr>
          <w:b/>
          <w:bCs/>
        </w:rPr>
      </w:pPr>
      <w:r w:rsidRPr="00B72A96">
        <w:rPr>
          <w:b/>
          <w:bCs/>
        </w:rPr>
        <w:t>Table 3</w:t>
      </w:r>
      <w:r w:rsidR="000855F4" w:rsidRPr="00B72A96">
        <w:rPr>
          <w:b/>
          <w:bCs/>
        </w:rPr>
        <w:t>:</w:t>
      </w:r>
      <w:r w:rsidRPr="00B72A96">
        <w:rPr>
          <w:b/>
          <w:bCs/>
        </w:rPr>
        <w:t xml:space="preserve"> Compounds used in this study to induce replication stress and DNA damage in </w:t>
      </w:r>
      <w:proofErr w:type="spellStart"/>
      <w:r w:rsidRPr="00B72A96">
        <w:rPr>
          <w:b/>
          <w:bCs/>
        </w:rPr>
        <w:t>hiPSCs</w:t>
      </w:r>
      <w:proofErr w:type="spellEnd"/>
      <w:r w:rsidRPr="00B72A96">
        <w:rPr>
          <w:b/>
          <w:bCs/>
        </w:rPr>
        <w:t>.</w:t>
      </w:r>
      <w:r w:rsidR="00E220A6" w:rsidRPr="00B72A96">
        <w:rPr>
          <w:b/>
          <w:bCs/>
        </w:rPr>
        <w:t xml:space="preserve"> </w:t>
      </w:r>
      <w:r w:rsidR="006F3AB4" w:rsidRPr="00B72A96">
        <w:t>Compounds used for inducing DNA errors are listed alongside their brief respective mechanism, concentrations, and target cell cycle phases.</w:t>
      </w:r>
      <w:r w:rsidR="006F3AB4" w:rsidRPr="00B72A96">
        <w:rPr>
          <w:b/>
          <w:bCs/>
        </w:rPr>
        <w:t xml:space="preserve">  </w:t>
      </w:r>
    </w:p>
    <w:p w14:paraId="5BE49639" w14:textId="77777777" w:rsidR="000C3DAE" w:rsidRPr="00B72A96" w:rsidRDefault="000C3DAE" w:rsidP="00BD5E4C">
      <w:pPr>
        <w:contextualSpacing/>
        <w:mirrorIndents/>
        <w:rPr>
          <w:b/>
          <w:bCs/>
        </w:rPr>
      </w:pPr>
    </w:p>
    <w:p w14:paraId="03A0FAE8" w14:textId="70F5B732" w:rsidR="009060EA" w:rsidRPr="00B72A96" w:rsidRDefault="00000000" w:rsidP="00BD5E4C">
      <w:pPr>
        <w:contextualSpacing/>
        <w:mirrorIndents/>
      </w:pPr>
      <w:r w:rsidRPr="00B72A96">
        <w:rPr>
          <w:b/>
          <w:bCs/>
        </w:rPr>
        <w:t>Supplementary Table 1: Primer sequences</w:t>
      </w:r>
      <w:r w:rsidR="000855F4" w:rsidRPr="00B72A96">
        <w:rPr>
          <w:b/>
          <w:bCs/>
        </w:rPr>
        <w:t>.</w:t>
      </w:r>
      <w:r w:rsidR="00E220A6" w:rsidRPr="00B72A96">
        <w:rPr>
          <w:b/>
          <w:bCs/>
        </w:rPr>
        <w:t xml:space="preserve"> </w:t>
      </w:r>
      <w:r w:rsidR="00E220A6" w:rsidRPr="00B72A96">
        <w:t xml:space="preserve">The primer sequences used in this study are listed in this table. </w:t>
      </w:r>
    </w:p>
    <w:p w14:paraId="75FF834D" w14:textId="77777777" w:rsidR="00D74516" w:rsidRPr="00B72A96" w:rsidRDefault="00D74516" w:rsidP="00BD5E4C">
      <w:pPr>
        <w:contextualSpacing/>
        <w:mirrorIndents/>
        <w:rPr>
          <w:b/>
          <w:bCs/>
        </w:rPr>
      </w:pPr>
    </w:p>
    <w:p w14:paraId="55D1B908" w14:textId="1A93C793" w:rsidR="00176C6B" w:rsidRPr="00B72A96" w:rsidRDefault="00E66CA2" w:rsidP="00BD5E4C">
      <w:pPr>
        <w:contextualSpacing/>
        <w:mirrorIndents/>
        <w:rPr>
          <w:b/>
          <w:bCs/>
        </w:rPr>
      </w:pPr>
      <w:r w:rsidRPr="00B72A96">
        <w:rPr>
          <w:b/>
          <w:bCs/>
        </w:rPr>
        <w:t>Supplementary File 1</w:t>
      </w:r>
      <w:r w:rsidR="00176C6B" w:rsidRPr="00B72A96">
        <w:rPr>
          <w:b/>
          <w:bCs/>
        </w:rPr>
        <w:t xml:space="preserve">: </w:t>
      </w:r>
      <w:proofErr w:type="spellStart"/>
      <w:r w:rsidR="00176C6B" w:rsidRPr="00B72A96">
        <w:rPr>
          <w:b/>
          <w:bCs/>
        </w:rPr>
        <w:t>hPSC</w:t>
      </w:r>
      <w:proofErr w:type="spellEnd"/>
      <w:r w:rsidR="00176C6B" w:rsidRPr="00B72A96">
        <w:rPr>
          <w:b/>
          <w:bCs/>
        </w:rPr>
        <w:t xml:space="preserve"> culture and image analysis approach</w:t>
      </w:r>
      <w:r w:rsidR="000855F4" w:rsidRPr="00B72A96">
        <w:rPr>
          <w:b/>
          <w:bCs/>
        </w:rPr>
        <w:t>.</w:t>
      </w:r>
      <w:r w:rsidR="00176C6B" w:rsidRPr="00B72A96">
        <w:rPr>
          <w:b/>
          <w:bCs/>
        </w:rPr>
        <w:t xml:space="preserve"> </w:t>
      </w:r>
      <w:r w:rsidR="00176C6B" w:rsidRPr="00B72A96">
        <w:t>The procedure to freeze, thaw</w:t>
      </w:r>
      <w:r w:rsidR="000855F4" w:rsidRPr="00B72A96">
        <w:t>,</w:t>
      </w:r>
      <w:r w:rsidR="00176C6B" w:rsidRPr="00B72A96">
        <w:t xml:space="preserve"> and passage </w:t>
      </w:r>
      <w:proofErr w:type="spellStart"/>
      <w:r w:rsidR="00176C6B" w:rsidRPr="00B72A96">
        <w:t>hPSCs</w:t>
      </w:r>
      <w:proofErr w:type="spellEnd"/>
      <w:r w:rsidR="00176C6B" w:rsidRPr="00B72A96">
        <w:t xml:space="preserve"> and the image analysis approaches are described here. </w:t>
      </w:r>
    </w:p>
    <w:p w14:paraId="6B63FC65" w14:textId="77777777" w:rsidR="00420FA9" w:rsidRPr="00B72A96" w:rsidRDefault="00420FA9" w:rsidP="00BD5E4C">
      <w:pPr>
        <w:contextualSpacing/>
        <w:mirrorIndents/>
      </w:pPr>
    </w:p>
    <w:p w14:paraId="75D6A560" w14:textId="4FC4DB87" w:rsidR="000C3DAE" w:rsidRPr="00B72A96" w:rsidRDefault="00000000" w:rsidP="00BD5E4C">
      <w:pPr>
        <w:contextualSpacing/>
        <w:mirrorIndents/>
        <w:rPr>
          <w:b/>
          <w:bCs/>
        </w:rPr>
      </w:pPr>
      <w:r w:rsidRPr="00B72A96">
        <w:rPr>
          <w:b/>
          <w:bCs/>
        </w:rPr>
        <w:t xml:space="preserve">DISCUSSION: </w:t>
      </w:r>
    </w:p>
    <w:p w14:paraId="4693494A" w14:textId="4E26B2DE" w:rsidR="000C3DAE" w:rsidRPr="00B72A96" w:rsidRDefault="00000000" w:rsidP="00BD5E4C">
      <w:pPr>
        <w:contextualSpacing/>
        <w:mirrorIndents/>
      </w:pPr>
      <w:r w:rsidRPr="00B72A96">
        <w:t xml:space="preserve">This protocol combines two key aspects of the pluripotent stem cell field: the generation of early human post-implantation lineages and the evaluation of genome and chromosome integrity during culture. The first part provides a reproducible approach for differentiating </w:t>
      </w:r>
      <w:proofErr w:type="spellStart"/>
      <w:r w:rsidRPr="00B72A96">
        <w:t>hPSCs</w:t>
      </w:r>
      <w:proofErr w:type="spellEnd"/>
      <w:r w:rsidRPr="00B72A96">
        <w:t xml:space="preserve"> into primitive streak-like cells, mesodermal, definitive endodermal</w:t>
      </w:r>
      <w:r w:rsidR="00E16217" w:rsidRPr="00B72A96">
        <w:t>,</w:t>
      </w:r>
      <w:r w:rsidRPr="00B72A96">
        <w:t xml:space="preserve"> and neuroectodermal lineages using chemically defined culture conditions and growth factor</w:t>
      </w:r>
      <w:r w:rsidR="00E16217" w:rsidRPr="00B72A96">
        <w:t>s</w:t>
      </w:r>
      <w:r w:rsidRPr="00B72A96">
        <w:t xml:space="preserve">. The second part describes a set </w:t>
      </w:r>
      <w:r w:rsidRPr="00B72A96">
        <w:lastRenderedPageBreak/>
        <w:t>of established assays to monitor DNA damage, mitotic defects, micronuclei accumulation</w:t>
      </w:r>
      <w:r w:rsidR="00E16217" w:rsidRPr="00B72A96">
        <w:t>,</w:t>
      </w:r>
      <w:r w:rsidRPr="00B72A96">
        <w:t xml:space="preserve"> and numerical aneuploidy. Together, these methods provide a reference for researchers seeking to recapitulate human development and differentiation </w:t>
      </w:r>
      <w:r w:rsidRPr="00B72A96">
        <w:rPr>
          <w:i/>
          <w:iCs/>
        </w:rPr>
        <w:t>in vitro</w:t>
      </w:r>
      <w:r w:rsidRPr="00B72A96">
        <w:t>, as well as for those investigating genome integrity mechanisms.</w:t>
      </w:r>
    </w:p>
    <w:p w14:paraId="1B6F67A3" w14:textId="77777777" w:rsidR="000C3DAE" w:rsidRPr="00B72A96" w:rsidRDefault="000C3DAE" w:rsidP="00BD5E4C">
      <w:pPr>
        <w:contextualSpacing/>
        <w:mirrorIndents/>
      </w:pPr>
    </w:p>
    <w:p w14:paraId="1BE7A432" w14:textId="3DC0573D" w:rsidR="000C3DAE" w:rsidRPr="00B72A96" w:rsidRDefault="00000000" w:rsidP="00BD5E4C">
      <w:pPr>
        <w:contextualSpacing/>
        <w:mirrorIndents/>
      </w:pPr>
      <w:r w:rsidRPr="00B72A96">
        <w:t>The differentiation methods explained in this article were adapted from previously published directed-differentiation methods and consolidated into a common experimental framework. Loh et al. (2016) generated distinct anterior and mid/posterior primitive-streak populations by varying TGFβ, WNT, FGF, BMP, and PI3K signaling in CDM2 basal medium</w:t>
      </w:r>
      <w:r w:rsidR="00CD346D" w:rsidRPr="00B72A96">
        <w:fldChar w:fldCharType="begin" w:fldLock="1"/>
      </w:r>
      <w:r w:rsidR="000B4C3C" w:rsidRPr="00B72A96">
        <w:instrText>ADDIN CSL_CITATION {"citationItems":[{"id":"ITEM-1","itemData":{"DOI":"10.1016/J.CELL.2016.06.011","ISSN":"1097-4172","PMID":"27419872","abstract":"Stem-cell differentiation to desired lineages requires navigating alternating developmental paths that often lead to unwanted cell types. Hence, comprehensive developmental roadmaps are crucial to channel stem-cell differentiation toward desired fates. To this end, here, we map bifurcating lineage choices leading from pluripotency to 12 human mesodermal lineages, including bone, muscle, and heart. We defined the extrinsic signals controlling each binary lineage decision, enabling us to logically block differentiation toward unwanted fates and rapidly steer pluripotent stem cells toward 80%–99% pure human mesodermal lineages at most branchpoints. This strategy enabled the generation of human bone and heart progenitors that could engraft in respective in vivo models. Mapping stepwise chromatin and single-cell gene expression changes in mesoderm development uncovered somite segmentation, a previously unobservable human embryonic event transiently marked by HOPX expression. Collectively, this roadmap enables navigation of mesodermal development to produce transplantable human tissue progenitors and uncover developmental processes. Video Abstract","author":[{"dropping-particle":"","family":"Loh","given":"Kyle M M.","non-dropping-particle":"","parse-names":false,"suffix":""},{"dropping-particle":"","family":"Chen","given":"Angela","non-dropping-particle":"","parse-names":false,"suffix":""},{"dropping-particle":"","family":"Koh","given":"Pang Wei W.","non-dropping-particle":"","parse-names":false,"suffix":""},{"dropping-particle":"","family":"Deng","given":"Tianda Z Z.","non-dropping-particle":"","parse-names":false,"suffix":""},{"dropping-particle":"","family":"Sinha","given":"Rahul","non-dropping-particle":"","parse-names":false,"suffix":""},{"dropping-particle":"","family":"Tsai","given":"Jonathan M M.","non-dropping-particle":"","parse-names":false,"suffix":""},{"dropping-particle":"","family":"Barkal","given":"Amira A A.","non-dropping-particle":"","parse-names":false,"suffix":""},{"dropping-particle":"","family":"Shen","given":"Kimberle Y Y.","non-dropping-particle":"","parse-names":false,"suffix":""},{"dropping-particle":"","family":"Jain","given":"Rajan","non-dropping-particle":"","parse-names":false,"suffix":""},{"dropping-particle":"","family":"Morganti","given":"Rachel M M.","non-dropping-particle":"","parse-names":false,"suffix":""},{"dropping-particle":"","family":"Shyh-Chang","given":"Ng","non-dropping-particle":"","parse-names":false,"suffix":""},{"dropping-particle":"","family":"Fernhoff","given":"Nathaniel B B.","non-dropping-particle":"","parse-names":false,"suffix":""},{"dropping-particle":"","family":"George","given":"Benson M M.","non-dropping-particle":"","parse-names":false,"suffix":""},{"dropping-particle":"","family":"Wernig","given":"Gerlinde","non-dropping-particle":"","parse-names":false,"suffix":""},{"dropping-particle":"","family":"Salomon","given":"Rachel E E.A.","non-dropping-particle":"","parse-names":false,"suffix":""},{"dropping-particle":"","family":"Chen","given":"Zhenghao","non-dropping-particle":"","parse-names":false,"suffix":""},{"dropping-particle":"","family":"Vogel","given":"Hannes","non-dropping-particle":"","parse-names":false,"suffix":""},{"dropping-particle":"","family":"Epstein","given":"Jonathan A A.","non-dropping-particle":"","parse-names":false,"suffix":""},{"dropping-particle":"","family":"Kundaje","given":"Anshul","non-dropping-particle":"","parse-names":false,"suffix":""},{"dropping-particle":"","family":"Talbot","given":"William S S.","non-dropping-particle":"","parse-names":false,"suffix":""},{"dropping-particle":"","family":"Beachy","given":"Philip A A.","non-dropping-particle":"","parse-names":false,"suffix":""},{"dropping-particle":"","family":"Ang","given":"Lay Teng T.","non-dropping-particle":"","parse-names":false,"suffix":""},{"dropping-particle":"","family":"Weissman","given":"Irving L L.","non-dropping-particle":"","parse-names":false,"suffix":""}],"container-title":"Cell","id":"ITEM-1","issue":"2","issued":{"date-parts":[["2016","7","14"]]},"page":"451-467","publisher":"Cell","title":"Mapping the Pairwise Choices Leading from Pluripotency to Human Bone, Heart, and Other Mesoderm Cell Types","type":"article-journal","volume":"166"},"uris":["http://www.mendeley.com/documents/?uuid=cd152ee6-798d-3bdd-aa02-bebad121a871"]}],"mendeley":{"formattedCitation":"&lt;sup&gt;6&lt;/sup&gt;","plainTextFormattedCitation":"6","previouslyFormattedCitation":"&lt;sup&gt;6&lt;/sup&gt;"},"properties":{"noteIndex":0},"schema":"https://github.com/citation-style-language/schema/raw/master/csl-citation.json"}</w:instrText>
      </w:r>
      <w:r w:rsidR="00CD346D" w:rsidRPr="00B72A96">
        <w:fldChar w:fldCharType="separate"/>
      </w:r>
      <w:r w:rsidR="000B4C3C" w:rsidRPr="00B72A96">
        <w:rPr>
          <w:noProof/>
          <w:vertAlign w:val="superscript"/>
        </w:rPr>
        <w:t>6</w:t>
      </w:r>
      <w:r w:rsidR="00CD346D" w:rsidRPr="00B72A96">
        <w:fldChar w:fldCharType="end"/>
      </w:r>
      <w:r w:rsidRPr="00B72A96">
        <w:t>. In contrast, the present primitive-streak protocol uses a simplified 24 h CHIR99021 treatment in Advanced RPMI and generates a primitive-streak-like population without separately specifying anterior and mid/posterior primitive-streak identities. The subsequent lateral- and paraxial-mesoderm protocols retain the principal signaling combinations</w:t>
      </w:r>
      <w:r w:rsidR="008A0113" w:rsidRPr="00B72A96">
        <w:t>,</w:t>
      </w:r>
      <w:r w:rsidRPr="00B72A96">
        <w:t xml:space="preserve"> and 48 h differentiation sequence described by Loh et al., but Advanced RPMI is used instead of CDM2 as the basal medium. Definitive-endoderm differentiation was adapted from the sequential signaling strategy of Loh et al. (2014)</w:t>
      </w:r>
      <w:r w:rsidR="00CD346D" w:rsidRPr="00B72A96">
        <w:fldChar w:fldCharType="begin" w:fldLock="1"/>
      </w:r>
      <w:r w:rsidR="000B4C3C" w:rsidRPr="00B72A96">
        <w:instrText>ADDIN CSL_CITATION {"citationItems":[{"id":"ITEM-1","itemData":{"DOI":"10.1016/J.STEM.2013.12.007","ISSN":"1934-5909","PMID":"24412311","abstract":"Human pluripotent stem cell (hPSC) differentiation typically yields heterogeneous populations. Knowledge of signals controlling embryonic lineage bifurcations could efficiently yield desired cell types through exclusion of alternate fates. Therefore, we revisited signals driving induction and anterior-posterior patterning of definitive endoderm to generate a coherent roadmap for endoderm differentiation. With striking temporal dynamics, BMP and Wnt initially specified anterior primitive streak (progenitor to endoderm), yet, 24 hr later, suppressed endoderm and induced mesoderm. At lineage bifurcations, cross-repressive signals separated mutually exclusive fates; TGF-β and BMP/MAPK respectively induced pancreas versus liver from endoderm by suppressing the alternate lineage. We systematically blockaded alternate fates throughout multiple consecutive bifurcations, thereby efficiently differentiating multiple hPSC lines exclusively into endoderm and its derivatives. Comprehensive transcriptional and chromatin mapping of highly pure endodermal populations revealed that endodermal enhancers existed in a surprising diversity of \"pre-enhancer\" states before activation, reflecting the establishment of a permissive chromatin landscape as a prelude to differentiation. © 2014 Elsevier Inc.","author":[{"dropping-particle":"","family":"Loh","given":"Kyle M.","non-dropping-particle":"","parse-names":false,"suffix":""},{"dropping-particle":"","family":"Ang","given":"Lay Teng","non-dropping-particle":"","parse-names":false,"suffix":""},{"dropping-particle":"","family":"Zhang","given":"Jingyao","non-dropping-particle":"","parse-names":false,"suffix":""},{"dropping-particle":"","family":"Kumar","given":"Vibhor","non-dropping-particle":"","parse-names":false,"suffix":""},{"dropping-particle":"","family":"Ang","given":"Jasmin","non-dropping-particle":"","parse-names":false,"suffix":""},{"dropping-particle":"","family":"Auyeong","given":"Jun Qiang","non-dropping-particle":"","parse-names":false,"suffix":""},{"dropping-particle":"","family":"Lee","given":"Kian Leong","non-dropping-particle":"","parse-names":false,"suffix":""},{"dropping-particle":"","family":"Choo","given":"Siew Hua","non-dropping-particle":"","parse-names":false,"suffix":""},{"dropping-particle":"","family":"Lim","given":"Christina Y.Y.","non-dropping-particle":"","parse-names":false,"suffix":""},{"dropping-particle":"","family":"Nichane","given":"Massimo","non-dropping-particle":"","parse-names":false,"suffix":""},{"dropping-particle":"","family":"Tan","given":"Junru","non-dropping-particle":"","parse-names":false,"suffix":""},{"dropping-particle":"","family":"Noghabi","given":"Monireh Soroush","non-dropping-particle":"","parse-names":false,"suffix":""},{"dropping-particle":"","family":"Azzola","given":"Lisa","non-dropping-particle":"","parse-names":false,"suffix":""},{"dropping-particle":"","family":"Ng","given":"Elizabeth S.","non-dropping-particle":"","parse-names":false,"suffix":""},{"dropping-particle":"","family":"Durruthy-Durruthy","given":"Jens","non-dropping-particle":"","parse-names":false,"suffix":""},{"dropping-particle":"","family":"Sebastiano","given":"Vittorio","non-dropping-particle":"","parse-names":false,"suffix":""},{"dropping-particle":"","family":"Poellinger","given":"Lorenz","non-dropping-particle":"","parse-names":false,"suffix":""},{"dropping-particle":"","family":"Elefanty","given":"Andrew G.","non-dropping-particle":"","parse-names":false,"suffix":""},{"dropping-particle":"","family":"Stanley","given":"Edouard G.","non-dropping-particle":"","parse-names":false,"suffix":""},{"dropping-particle":"","family":"Chen","given":"Qingfeng","non-dropping-particle":"","parse-names":false,"suffix":""},{"dropping-particle":"","family":"Prabhakar","given":"Shyam","non-dropping-particle":"","parse-names":false,"suffix":""},{"dropping-particle":"","family":"Weissman","given":"Irving L.","non-dropping-particle":"","parse-names":false,"suffix":""},{"dropping-particle":"","family":"Lim","given":"Bing","non-dropping-particle":"","parse-names":false,"suffix":""}],"container-title":"Cell Stem Cell","id":"ITEM-1","issue":"2","issued":{"date-parts":[["2014","2","6"]]},"page":"237-252","publisher":"Cell Press","title":"Efficient Endoderm Induction from Human Pluripotent Stem Cells by Logically Directing Signals Controlling Lineage Bifurcations","type":"article-journal","volume":"14"},"uris":["http://www.mendeley.com/documents/?uuid=5ca907b1-c1f4-3ed1-9544-23a1585288b3"]}],"mendeley":{"formattedCitation":"&lt;sup&gt;5&lt;/sup&gt;","plainTextFormattedCitation":"5","previouslyFormattedCitation":"&lt;sup&gt;5&lt;/sup&gt;"},"properties":{"noteIndex":0},"schema":"https://github.com/citation-style-language/schema/raw/master/csl-citation.json"}</w:instrText>
      </w:r>
      <w:r w:rsidR="00CD346D" w:rsidRPr="00B72A96">
        <w:fldChar w:fldCharType="separate"/>
      </w:r>
      <w:r w:rsidR="000B4C3C" w:rsidRPr="00B72A96">
        <w:rPr>
          <w:noProof/>
          <w:vertAlign w:val="superscript"/>
        </w:rPr>
        <w:t>5</w:t>
      </w:r>
      <w:r w:rsidR="00CD346D" w:rsidRPr="00B72A96">
        <w:fldChar w:fldCharType="end"/>
      </w:r>
      <w:r w:rsidR="00CD346D" w:rsidRPr="00B72A96">
        <w:t xml:space="preserve"> and Boon et al. (2020)</w:t>
      </w:r>
      <w:r w:rsidR="00CD346D" w:rsidRPr="00B72A96">
        <w:fldChar w:fldCharType="begin" w:fldLock="1"/>
      </w:r>
      <w:r w:rsidR="004E5438" w:rsidRPr="00B72A96">
        <w:instrText>ADDIN CSL_CITATION {"citationItems":[{"id":"ITEM-1","itemData":{"DOI":"10.1038/s41467-020-15058-6","ISSN":"2041-1723","PMID":"32170132","abstract":"Predicting drug-induced liver injury in a preclinical setting remains challenging, as cultured primary human hepatocytes (PHHs), pluripotent stem cell-derived hepatocyte-like cells (HLCs), and hepatoma cells exhibit poor drug biotransformation capacity. We here demonstrate that hepatic functionality depends more on cellular metabolism and extracellular nutrients than on developmental regulators. Specifically, we demonstrate that increasing extracellular amino acids beyond the nutritional need of HLCs and HepG2 cells induces glucose independence, mitochondrial function, and the acquisition of a transcriptional profile that is closer to PHHs. Moreover, we show that these high levels of amino acids are sufficient to drive HLC and HepG2 drug biotransformation and liver-toxin sensitivity to levels similar to those in PHHs. In conclusion, we provide data indicating that extracellular nutrient levels represent a major determinant of cellular maturity and can be utilized to guide stem cell differentiation to the hepatic lineage. Hepatocytes grown in a dish are immature and do not metabolize compounds as a real liver would. Here, the authors supply stem cell-derived hepatocytes with amino acids at a higher concentration than nutritionally necessary, changing the metabolism of these cells, making them more mature and useful for drug screening and toxicity studies.","author":[{"dropping-particle":"","family":"Boon","given":"Ruben","non-dropping-particle":"","parse-names":false,"suffix":""},{"dropping-particle":"","family":"Kumar","given":"Manoj","non-dropping-particle":"","parse-names":false,"suffix":""},{"dropping-particle":"","family":"Tricot","given":"Tine","non-dropping-particle":"","parse-names":false,"suffix":""},{"dropping-particle":"","family":"Elia","given":"Ilaria","non-dropping-particle":"","parse-names":false,"suffix":""},{"dropping-particle":"","family":"Ordovas","given":"Laura","non-dropping-particle":"","parse-names":false,"suffix":""},{"dropping-particle":"","family":"Jacobs","given":"Frank","non-dropping-particle":"","parse-names":false,"suffix":""},{"dropping-particle":"","family":"One","given":"Jennifer","non-dropping-particle":"","parse-names":false,"suffix":""},{"dropping-particle":"","family":"Smedt","given":"Jonathan","non-dropping-particle":"De","parse-names":false,"suffix":""},{"dropping-particle":"","family":"Eelen","given":"Guy","non-dropping-particle":"","parse-names":false,"suffix":""},{"dropping-particle":"","family":"Bird","given":"Matthew","non-dropping-particle":"","parse-names":false,"suffix":""},{"dropping-particle":"","family":"Roelandt","given":"Philip","non-dropping-particle":"","parse-names":false,"suffix":""},{"dropping-particle":"","family":"Doglioni","given":"Ginevra","non-dropping-particle":"","parse-names":false,"suffix":""},{"dropping-particle":"","family":"Vriens","given":"Kim","non-dropping-particle":"","parse-names":false,"suffix":""},{"dropping-particle":"","family":"Rossi","given":"Matteo","non-dropping-particle":"","parse-names":false,"suffix":""},{"dropping-particle":"","family":"Vazquez","given":"Marta Aguirre","non-dropping-particle":"","parse-names":false,"suffix":""},{"dropping-particle":"","family":"Vanwelden","given":"Thomas","non-dropping-particle":"","parse-names":false,"suffix":""},{"dropping-particle":"","family":"Chesnais","given":"François","non-dropping-particle":"","parse-names":false,"suffix":""},{"dropping-particle":"","family":"Taghdouini","given":"Adil","non-dropping-particle":"El","parse-names":false,"suffix":""},{"dropping-particle":"","family":"Najimi","given":"Mustapha","non-dropping-particle":"","parse-names":false,"suffix":""},{"dropping-particle":"","family":"Sokal","given":"Etienne","non-dropping-particle":"","parse-names":false,"suffix":""},{"dropping-particle":"","family":"Cassiman","given":"David","non-dropping-particle":"","parse-names":false,"suffix":""},{"dropping-particle":"","family":"Snoeys","given":"Jan","non-dropping-particle":"","parse-names":false,"suffix":""},{"dropping-particle":"","family":"Monshouwer","given":"Mario","non-dropping-particle":"","parse-names":false,"suffix":""},{"dropping-particle":"","family":"Hu","given":"Wei Shou","non-dropping-particle":"","parse-names":false,"suffix":""},{"dropping-particle":"","family":"Lange","given":"Christian","non-dropping-particle":"","parse-names":false,"suffix":""},{"dropping-particle":"","family":"Carmeliet","given":"Peter","non-dropping-particle":"","parse-names":false,"suffix":""},{"dropping-particle":"","family":"Fendt","given":"Sarah Maria","non-dropping-particle":"","parse-names":false,"suffix":""},{"dropping-particle":"","family":"Verfaillie","given":"Catherine M.","non-dropping-particle":"","parse-names":false,"suffix":""}],"container-title":"Nature Communications 2020 11:1","id":"ITEM-1","issue":"1","issued":{"date-parts":[["2020","3","13"]]},"page":"1393-","publisher":"Nature Publishing Group","title":"Amino acid levels determine metabolism and CYP450 function of hepatocytes and hepatoma cell lines","type":"article-journal","volume":"11"},"uris":["http://www.mendeley.com/documents/?uuid=c9102119-d4e5-37cb-9b23-bd6766b00c6e"]}],"mendeley":{"formattedCitation":"&lt;sup&gt;30&lt;/sup&gt;","plainTextFormattedCitation":"30","previouslyFormattedCitation":"&lt;sup&gt;30&lt;/sup&gt;"},"properties":{"noteIndex":0},"schema":"https://github.com/citation-style-language/schema/raw/master/csl-citation.json"}</w:instrText>
      </w:r>
      <w:r w:rsidR="00CD346D" w:rsidRPr="00B72A96">
        <w:fldChar w:fldCharType="separate"/>
      </w:r>
      <w:r w:rsidR="00390F9D">
        <w:rPr>
          <w:noProof/>
          <w:vertAlign w:val="superscript"/>
        </w:rPr>
        <w:t>28</w:t>
      </w:r>
      <w:r w:rsidR="00CD346D" w:rsidRPr="00B72A96">
        <w:fldChar w:fldCharType="end"/>
      </w:r>
      <w:r w:rsidRPr="00B72A96">
        <w:t xml:space="preserve">, in which initial Activin/Nodal and WNT pathway activation is followed by sustained Activin/Nodal signaling and BMP inhibition. </w:t>
      </w:r>
      <w:r w:rsidR="00165AA3">
        <w:t>This</w:t>
      </w:r>
      <w:r w:rsidRPr="00B72A96">
        <w:t xml:space="preserve"> protocol preserves this three-day signaling sequence but uses Advanced RPMI rather than CDM2 as the basal medium and PIK90 rather than PI-103 for PI3K inhibition. Neuroectoderm differentiation closely follows the chemically defined E6-based dual-SMAD-inhibition approach of </w:t>
      </w:r>
      <w:proofErr w:type="spellStart"/>
      <w:r w:rsidRPr="00B72A96">
        <w:t>Tchieu</w:t>
      </w:r>
      <w:proofErr w:type="spellEnd"/>
      <w:r w:rsidRPr="00B72A96">
        <w:t xml:space="preserve"> et al. (2017) using LDN193189 and SB431542</w:t>
      </w:r>
      <w:r w:rsidR="00D72FD2" w:rsidRPr="00B72A96">
        <w:fldChar w:fldCharType="begin" w:fldLock="1"/>
      </w:r>
      <w:r w:rsidR="00D72FD2" w:rsidRPr="00B72A96">
        <w:instrText>ADDIN CSL_CITATION {"citationItems":[{"id":"ITEM-1","itemData":{"DOI":"10.1016/J.STEM.2017.08.015","ISSN":"1875-9777","PMID":"28886367","abstract":"Directing the fate of human pluripotent stem cells (hPSCs) into different lineages requires variable starting conditions and components with undefined activities, introducing inconsistencies that confound reproducibility and assessment of specific perturbations. Here we introduce a simple, modular protocol for deriving the four main ectodermal lineages from hPSCs. By precisely varying FGF, BMP, WNT, and TGFβ pathway activity in a minimal, chemically defined medium, we show parallel, robust, and reproducible derivation of neuroectoderm, neural crest (NC), cranial placode (CP), and non-neural ectoderm in multiple hPSC lines, on different substrates independently of cell density. We highlight the utility of this system by interrogating the role of TFAP2 transcription factors in ectodermal differentiation, revealing the importance of TFAP2A in NC and CP specification, and performing a small-molecule screen that identified compounds that further enhance CP differentiation. This platform provides a simple stage for systematic derivation of the entire range of ectodermal cell types. Tchieu et al. develop a chemically defined culture platform that allows parallel derivation of human PSCs into all major ectodermal lineages. The utility of this platform is shown through genetic dissection of the roles of TFAP transcription factors in ectoderm and a chemical screen that identified compounds promoting cranial placode differentiation.","author":[{"dropping-particle":"","family":"Tchieu","given":"Jason","non-dropping-particle":"","parse-names":false,"suffix":""},{"dropping-particle":"","family":"Zimmer","given":"Bastian","non-dropping-particle":"","parse-names":false,"suffix":""},{"dropping-particle":"","family":"Fattahi","given":"Faranak","non-dropping-particle":"","parse-names":false,"suffix":""},{"dropping-particle":"","family":"Amin","given":"Sadaf","non-dropping-particle":"","parse-names":false,"suffix":""},{"dropping-particle":"","family":"Zeltner","given":"Nadja","non-dropping-particle":"","parse-names":false,"suffix":""},{"dropping-particle":"","family":"Chen","given":"Shuibing","non-dropping-particle":"","parse-names":false,"suffix":""},{"dropping-particle":"","family":"Studer","given":"Lorenz","non-dropping-particle":"","parse-names":false,"suffix":""}],"container-title":"Cell stem cell","id":"ITEM-1","issue":"3","issued":{"date-parts":[["2017","9","7"]]},"page":"399-410.e7","publisher":"Cell Stem Cell","title":"A Modular Platform for Differentiation of Human PSCs into All Major Ectodermal Lineages","type":"article-journal","volume":"21"},"uris":["http://www.mendeley.com/documents/?uuid=e207834e-8deb-345e-95b9-41bd630b992f"]}],"mendeley":{"formattedCitation":"&lt;sup&gt;7&lt;/sup&gt;","plainTextFormattedCitation":"7","previouslyFormattedCitation":"&lt;sup&gt;7&lt;/sup&gt;"},"properties":{"noteIndex":0},"schema":"https://github.com/citation-style-language/schema/raw/master/csl-citation.json"}</w:instrText>
      </w:r>
      <w:r w:rsidR="00D72FD2" w:rsidRPr="00B72A96">
        <w:fldChar w:fldCharType="separate"/>
      </w:r>
      <w:r w:rsidR="00D72FD2" w:rsidRPr="00B72A96">
        <w:rPr>
          <w:noProof/>
          <w:vertAlign w:val="superscript"/>
        </w:rPr>
        <w:t>7</w:t>
      </w:r>
      <w:r w:rsidR="00D72FD2" w:rsidRPr="00B72A96">
        <w:fldChar w:fldCharType="end"/>
      </w:r>
      <w:r w:rsidRPr="00B72A96">
        <w:t>, but is restricted to the generation and assessment of early neuroectoderm rather than the broader parallel derivation of multiple ectodermal lineages. A major advantage of performing these differentiation protocols in two</w:t>
      </w:r>
      <w:r w:rsidR="00E16217" w:rsidRPr="00B72A96">
        <w:t>-</w:t>
      </w:r>
      <w:r w:rsidRPr="00B72A96">
        <w:t>dimensional (2D) culture is their experimental accessibility and scalability. First, the generation of relatively homogen</w:t>
      </w:r>
      <w:r w:rsidR="00E16217" w:rsidRPr="00B72A96">
        <w:t>e</w:t>
      </w:r>
      <w:r w:rsidRPr="00B72A96">
        <w:t>ous lineage populations under defined conditions set</w:t>
      </w:r>
      <w:r w:rsidR="00E16217" w:rsidRPr="00B72A96">
        <w:t>s</w:t>
      </w:r>
      <w:r w:rsidRPr="00B72A96">
        <w:t xml:space="preserve"> the stage for studying subsequent stages of cell fate specification and maturation that occur during organogenesis, which is of considerable interest for regenerative medicine and cell therapy applications. Second, 2D lineage specification provides enough material for cost-effective, “in</w:t>
      </w:r>
      <w:r w:rsidR="00E16217" w:rsidRPr="00B72A96">
        <w:t>-</w:t>
      </w:r>
      <w:r w:rsidRPr="00B72A96">
        <w:t xml:space="preserve">depth” bulk </w:t>
      </w:r>
      <w:proofErr w:type="spellStart"/>
      <w:r w:rsidRPr="00B72A96">
        <w:t>omic</w:t>
      </w:r>
      <w:proofErr w:type="spellEnd"/>
      <w:r w:rsidRPr="00B72A96">
        <w:t xml:space="preserve"> analyses, such as </w:t>
      </w:r>
      <w:proofErr w:type="spellStart"/>
      <w:r w:rsidRPr="00B72A96">
        <w:t>ChIP</w:t>
      </w:r>
      <w:proofErr w:type="spellEnd"/>
      <w:r w:rsidRPr="00B72A96">
        <w:t>-sequencing, RNA-sequencing, metabolomics</w:t>
      </w:r>
      <w:r w:rsidR="00E16217" w:rsidRPr="00B72A96">
        <w:t>,</w:t>
      </w:r>
      <w:r w:rsidRPr="00B72A96">
        <w:t xml:space="preserve"> or proteomics, compared to more complex 3D stem cell embryo-like models. In this sense, the 2D is not meant to fully recapitulate the cellular complexity of the embryo, but it provides a practical</w:t>
      </w:r>
      <w:r w:rsidR="00E16217" w:rsidRPr="00B72A96">
        <w:t>,</w:t>
      </w:r>
      <w:r w:rsidRPr="00B72A96">
        <w:t xml:space="preserve"> simple model to study lineages separately. </w:t>
      </w:r>
      <w:r w:rsidR="00EE2294" w:rsidRPr="00B72A96">
        <w:br/>
      </w:r>
    </w:p>
    <w:p w14:paraId="2092CCAF" w14:textId="77777777" w:rsidR="00EE2294" w:rsidRPr="00B72A96" w:rsidRDefault="00000000" w:rsidP="00BD5E4C">
      <w:pPr>
        <w:contextualSpacing/>
        <w:mirrorIndents/>
      </w:pPr>
      <w:r w:rsidRPr="00B72A96">
        <w:t xml:space="preserve">At the same time, this simplicity represents one of the main limitations. </w:t>
      </w:r>
      <w:r w:rsidRPr="00B72A96">
        <w:rPr>
          <w:i/>
          <w:iCs/>
        </w:rPr>
        <w:t>In vivo</w:t>
      </w:r>
      <w:r w:rsidRPr="00B72A96">
        <w:t xml:space="preserve">, early development occurs in a complex three-dimensional environment where cells receive spatially and temporally regulated signals from neighboring tissues. In the 2D system, this architecture and heterogeneity are largely lost. Therefore, although the protocol can efficiently generate cells expressing markers of specific lineages, it does not fully capture the spatial organization, morphogen gradients, mechanical forces, or cell-cell interactions present between the embryo lineages and their envelopes. Thus, the results should be interpreted as lineage-like generated </w:t>
      </w:r>
      <w:r w:rsidRPr="00B72A96">
        <w:rPr>
          <w:i/>
          <w:iCs/>
        </w:rPr>
        <w:t>in vitro</w:t>
      </w:r>
      <w:r w:rsidRPr="00B72A96">
        <w:t xml:space="preserve">, rather than as a complete model of the developing embryo.     </w:t>
      </w:r>
    </w:p>
    <w:p w14:paraId="3AC32A18" w14:textId="77777777" w:rsidR="00EE2294" w:rsidRPr="00B72A96" w:rsidRDefault="00EE2294" w:rsidP="00BD5E4C">
      <w:pPr>
        <w:contextualSpacing/>
        <w:mirrorIndents/>
      </w:pPr>
    </w:p>
    <w:p w14:paraId="6C32B05C" w14:textId="269C2924" w:rsidR="00EE2294" w:rsidRPr="00B72A96" w:rsidRDefault="00000000" w:rsidP="00BD5E4C">
      <w:pPr>
        <w:contextualSpacing/>
        <w:mirrorIndents/>
      </w:pPr>
      <w:r w:rsidRPr="00B72A96">
        <w:t xml:space="preserve">The assays described in the second part provide a useful characterization of genomic and chromosomal stability in </w:t>
      </w:r>
      <w:proofErr w:type="spellStart"/>
      <w:r w:rsidRPr="00B72A96">
        <w:t>hPSCs</w:t>
      </w:r>
      <w:proofErr w:type="spellEnd"/>
      <w:r w:rsidRPr="00B72A96">
        <w:t>. Co-localization of DNA damage markers, including γH2AX and p</w:t>
      </w:r>
      <w:r w:rsidR="0019052C">
        <w:t>hospho</w:t>
      </w:r>
      <w:r w:rsidRPr="00B72A96">
        <w:t xml:space="preserve">-RPA in </w:t>
      </w:r>
      <w:proofErr w:type="spellStart"/>
      <w:r w:rsidRPr="00B72A96">
        <w:t>EdU</w:t>
      </w:r>
      <w:proofErr w:type="spellEnd"/>
      <w:r w:rsidRPr="00B72A96">
        <w:rPr>
          <w:vertAlign w:val="superscript"/>
        </w:rPr>
        <w:t>+</w:t>
      </w:r>
      <w:r w:rsidRPr="00B72A96">
        <w:t xml:space="preserve"> cells, identifies cells undergoing replicative stress in S-phase, which may </w:t>
      </w:r>
      <w:r w:rsidRPr="00B72A96">
        <w:lastRenderedPageBreak/>
        <w:t>subsequently give rise to ultrafine bridges (BLM</w:t>
      </w:r>
      <w:r w:rsidRPr="00B72A96">
        <w:rPr>
          <w:vertAlign w:val="superscript"/>
        </w:rPr>
        <w:t>+</w:t>
      </w:r>
      <w:r w:rsidRPr="00B72A96">
        <w:t xml:space="preserve"> DNA fibers) in the following mitosis. Chromosome </w:t>
      </w:r>
      <w:proofErr w:type="spellStart"/>
      <w:r w:rsidRPr="00B72A96">
        <w:t>missegregation</w:t>
      </w:r>
      <w:proofErr w:type="spellEnd"/>
      <w:r w:rsidRPr="00B72A96">
        <w:t xml:space="preserve">, micronuclei accumulation, and Giemsa karyotype staining further establish a connection between genomic stress and chromosomal instability, even under standard pluripotent culture conditions. These assays are relatively accessible and can be performed using standard immunofluorescence, microscopy, and cytogenetic methods. Collectively, they provide practical tools for monitoring </w:t>
      </w:r>
      <w:proofErr w:type="spellStart"/>
      <w:r w:rsidRPr="00B72A96">
        <w:t>hPSC</w:t>
      </w:r>
      <w:proofErr w:type="spellEnd"/>
      <w:r w:rsidRPr="00B72A96">
        <w:t xml:space="preserve"> culture quality and evaluating mechanisms that regulate genome stability.     </w:t>
      </w:r>
    </w:p>
    <w:p w14:paraId="6FA4AADC" w14:textId="77777777" w:rsidR="000C3DAE" w:rsidRPr="00B72A96" w:rsidRDefault="000C3DAE" w:rsidP="00BD5E4C">
      <w:pPr>
        <w:contextualSpacing/>
        <w:mirrorIndents/>
      </w:pPr>
    </w:p>
    <w:p w14:paraId="1B3BBA6D" w14:textId="16DF9C26" w:rsidR="000C3DAE" w:rsidRPr="00B72A96" w:rsidRDefault="00000000" w:rsidP="00BD5E4C">
      <w:pPr>
        <w:contextualSpacing/>
        <w:mirrorIndents/>
      </w:pPr>
      <w:r w:rsidRPr="00B72A96">
        <w:t xml:space="preserve">However, these assays also present important limitations. </w:t>
      </w:r>
      <w:r w:rsidR="008634EF" w:rsidRPr="00B72A96">
        <w:t xml:space="preserve">First, γH2AX and phospho-RPA are indirect markers of </w:t>
      </w:r>
      <w:r w:rsidR="008A0113" w:rsidRPr="00B72A96">
        <w:t>DNA damage</w:t>
      </w:r>
      <w:r w:rsidR="008634EF" w:rsidRPr="00B72A96">
        <w:t xml:space="preserve"> and replication-stress response rather than direct measurements of DNA breaks. Consequently, basal γH2AX and phospho-RPA signals detected in untreated cells may not directly reflect the presence or number of DNA breaks and should be interpreted cautiously. Population-averaged fluorescence measurements may also obscure heterogeneous responses, as a modest signal distributed across many cells may differ biologically from strong and concentrated marker accumulation in a smaller subset of cells. These measurements should therefore be interpreted together with the single-cell signal distribution and staining pattern. Furthermore, </w:t>
      </w:r>
      <w:r w:rsidRPr="00B72A96">
        <w:t>the detection of single- or double-strand breaks do</w:t>
      </w:r>
      <w:r w:rsidR="00E16217" w:rsidRPr="00B72A96">
        <w:t>es</w:t>
      </w:r>
      <w:r w:rsidRPr="00B72A96">
        <w:t xml:space="preserve"> not reveal in which regions of the genome or loci </w:t>
      </w:r>
      <w:r w:rsidR="00E16217" w:rsidRPr="00B72A96">
        <w:t xml:space="preserve">they </w:t>
      </w:r>
      <w:r w:rsidRPr="00B72A96">
        <w:t xml:space="preserve">occur. This limitation can be addressed using higher-resolution approaches such as </w:t>
      </w:r>
      <w:proofErr w:type="spellStart"/>
      <w:r w:rsidRPr="00B72A96">
        <w:t>ChIP</w:t>
      </w:r>
      <w:proofErr w:type="spellEnd"/>
      <w:r w:rsidRPr="00B72A96">
        <w:t>-sequencing of γH2AX or RPA binding, as well as emerging omics methods</w:t>
      </w:r>
      <w:r w:rsidR="008A0113" w:rsidRPr="00B72A96">
        <w:t>,</w:t>
      </w:r>
      <w:r w:rsidRPr="00B72A96">
        <w:t xml:space="preserve"> including INDUCE-seq</w:t>
      </w:r>
      <w:r w:rsidR="00D72FD2" w:rsidRPr="00B72A96">
        <w:rPr>
          <w:vertAlign w:val="superscript"/>
        </w:rPr>
        <w:fldChar w:fldCharType="begin" w:fldLock="1"/>
      </w:r>
      <w:r w:rsidR="001B55A5" w:rsidRPr="00B72A96">
        <w:rPr>
          <w:vertAlign w:val="superscript"/>
        </w:rPr>
        <w:instrText>ADDIN CSL_CITATION {"citationItems":[{"id":"ITEM-1","itemData":{"DOI":"10.1038/S41467-022-31702-9;TECHMETA","ISSN":"20411723","PMID":"35810156","abstract":"Understanding how breaks form and are repaired in the genome depends on the accurate measurement of the frequency and position of DNA double strand breaks (DSBs). This is crucial for identification of a chemical’s DNA damage potential and for safe development of therapies, including genome editing technologies. Current DSB sequencing methods suffer from high background levels, the inability to accurately measure low frequency endogenous breaks and high sequencing costs. Here we describe INDUCE-seq, which overcomes these problems, detecting simultaneously the presence of low-level endogenous DSBs caused by physiological processes, and higher-level recurrent breaks induced by restriction enzymes or CRISPR-Cas nucleases. INDUCE-seq exploits an innovative NGS flow cell enrichment method, permitting the digital detection of breaks. It can therefore be used to determine the mechanism of DSB repair and to facilitate safe development of therapeutic genome editing. We further discuss how the method can be adapted to detect other genomic features.","author":[{"dropping-particle":"","family":"Dobbs","given":"Felix M.","non-dropping-particle":"","parse-names":false,"suffix":""},{"dropping-particle":"","family":"Eijk","given":"Patrick","non-dropping-particle":"van","parse-names":false,"suffix":""},{"dropping-particle":"","family":"Fellows","given":"Mick D.","non-dropping-particle":"","parse-names":false,"suffix":""},{"dropping-particle":"","family":"Loiacono","given":"Luisa","non-dropping-particle":"","parse-names":false,"suffix":""},{"dropping-particle":"","family":"Nitsch","given":"Roberto","non-dropping-particle":"","parse-names":false,"suffix":""},{"dropping-particle":"","family":"Reed","given":"Simon H.","non-dropping-particle":"","parse-names":false,"suffix":""}],"container-title":"Nature Communications","id":"ITEM-1","issue":"1","issued":{"date-parts":[["2022","12","1"]]},"page":"1-11","publisher":"Nature Research","title":"Precision digital mapping of endogenous and induced genomic DNA breaks by INDUCE-seq","type":"article-journal","volume":"13"},"uris":["http://www.mendeley.com/documents/?uuid=acb4172c-1daa-3068-ad84-3288f4f6d4a4"]}],"mendeley":{"formattedCitation":"&lt;sup&gt;47&lt;/sup&gt;","plainTextFormattedCitation":"47","previouslyFormattedCitation":"&lt;sup&gt;46&lt;/sup&gt;"},"properties":{"noteIndex":0},"schema":"https://github.com/citation-style-language/schema/raw/master/csl-citation.json"}</w:instrText>
      </w:r>
      <w:r w:rsidR="00D72FD2" w:rsidRPr="00B72A96">
        <w:rPr>
          <w:vertAlign w:val="superscript"/>
        </w:rPr>
        <w:fldChar w:fldCharType="separate"/>
      </w:r>
      <w:r w:rsidR="001B55A5" w:rsidRPr="00B72A96">
        <w:rPr>
          <w:noProof/>
          <w:vertAlign w:val="superscript"/>
        </w:rPr>
        <w:t>4</w:t>
      </w:r>
      <w:r w:rsidR="00390F9D">
        <w:rPr>
          <w:noProof/>
          <w:vertAlign w:val="superscript"/>
        </w:rPr>
        <w:t>5</w:t>
      </w:r>
      <w:r w:rsidR="00D72FD2" w:rsidRPr="00B72A96">
        <w:rPr>
          <w:vertAlign w:val="superscript"/>
        </w:rPr>
        <w:fldChar w:fldCharType="end"/>
      </w:r>
      <w:r w:rsidRPr="00B72A96">
        <w:t xml:space="preserve">, which enables genome-wide profiling of both physiological and aberrant DNA double-strand breaks. Second, most of the mitotic instability readouts described (UFBs, lagging chromosomes, micronuclei) rely on fixed-cell imaging and therefore provide only static snapshots of cellular phenotypes that may or may not ultimately result in chromosomal instability (CIN). Besides, these analyses are inherently susceptible to observer bias, as identification relies on manual assessment. To strengthen the link between these defects and CIN, live-cell confocal imaging using H2B-GFP </w:t>
      </w:r>
      <w:proofErr w:type="spellStart"/>
      <w:r w:rsidRPr="00B72A96">
        <w:t>hPSC</w:t>
      </w:r>
      <w:proofErr w:type="spellEnd"/>
      <w:r w:rsidRPr="00B72A96">
        <w:t xml:space="preserve"> lines or </w:t>
      </w:r>
      <w:proofErr w:type="spellStart"/>
      <w:r w:rsidRPr="00B72A96">
        <w:t>SiR</w:t>
      </w:r>
      <w:proofErr w:type="spellEnd"/>
      <w:r w:rsidRPr="00B72A96">
        <w:t>-DNA</w:t>
      </w:r>
      <w:r w:rsidR="00C42DEE" w:rsidRPr="00B72A96">
        <w:t>/SPY-DNA</w:t>
      </w:r>
      <w:r w:rsidRPr="00B72A96">
        <w:t xml:space="preserve"> </w:t>
      </w:r>
      <w:r w:rsidR="008A0113" w:rsidRPr="00B72A96">
        <w:t xml:space="preserve">labeling </w:t>
      </w:r>
      <w:r w:rsidR="00C42DEE" w:rsidRPr="00B72A96">
        <w:t>(</w:t>
      </w:r>
      <w:proofErr w:type="spellStart"/>
      <w:r w:rsidR="00C42DEE" w:rsidRPr="00B72A96">
        <w:t>Spyrochrome</w:t>
      </w:r>
      <w:proofErr w:type="spellEnd"/>
      <w:r w:rsidR="00C42DEE" w:rsidRPr="00B72A96">
        <w:t xml:space="preserve">) </w:t>
      </w:r>
      <w:r w:rsidRPr="00B72A96">
        <w:t>can be employed for long</w:t>
      </w:r>
      <w:r w:rsidR="00E16217" w:rsidRPr="00B72A96">
        <w:t>-</w:t>
      </w:r>
      <w:r w:rsidRPr="00B72A96">
        <w:t>term tracking, mitotic dynamics</w:t>
      </w:r>
      <w:r w:rsidR="00E16217" w:rsidRPr="00B72A96">
        <w:t>,</w:t>
      </w:r>
      <w:r w:rsidRPr="00B72A96">
        <w:t xml:space="preserve"> and </w:t>
      </w:r>
      <w:r w:rsidR="00E16217" w:rsidRPr="00B72A96">
        <w:t xml:space="preserve">the </w:t>
      </w:r>
      <w:r w:rsidRPr="00B72A96">
        <w:t xml:space="preserve">fate of those divisions, providing valuable insights into the consequences of chromosome </w:t>
      </w:r>
      <w:proofErr w:type="spellStart"/>
      <w:r w:rsidRPr="00B72A96">
        <w:t>missegregation</w:t>
      </w:r>
      <w:proofErr w:type="spellEnd"/>
      <w:r w:rsidRPr="00B72A96">
        <w:t xml:space="preserve"> and aneuploidy. </w:t>
      </w:r>
    </w:p>
    <w:p w14:paraId="5D6BAEDA" w14:textId="77777777" w:rsidR="000C3DAE" w:rsidRPr="00B72A96" w:rsidRDefault="000C3DAE" w:rsidP="00BD5E4C">
      <w:pPr>
        <w:contextualSpacing/>
        <w:mirrorIndents/>
      </w:pPr>
    </w:p>
    <w:p w14:paraId="071FD770" w14:textId="1B76213E" w:rsidR="000C3DAE" w:rsidRPr="00B72A96" w:rsidRDefault="00000000" w:rsidP="00BD5E4C">
      <w:pPr>
        <w:contextualSpacing/>
        <w:mirrorIndents/>
      </w:pPr>
      <w:r w:rsidRPr="00B72A96">
        <w:t xml:space="preserve">Third, although Giemsa karyotyping can determine changes in chromosome number, it has several </w:t>
      </w:r>
      <w:r w:rsidR="00315E16" w:rsidRPr="00B72A96">
        <w:t xml:space="preserve">technical </w:t>
      </w:r>
      <w:r w:rsidRPr="00B72A96">
        <w:t xml:space="preserve">limitations. Chromosome spreading during metaphase can result in chromosome loss or displacement, potentially introducing errors during manual chromosome counting. </w:t>
      </w:r>
      <w:r w:rsidR="00315E16" w:rsidRPr="00B72A96">
        <w:t xml:space="preserve">This may occur during the step in which the cell suspension is dropped onto the slide from a defined height using a strong aspiration pulse, as described in Section </w:t>
      </w:r>
      <w:r w:rsidR="00AD5444" w:rsidRPr="00B72A96">
        <w:t>7</w:t>
      </w:r>
      <w:r w:rsidR="00315E16" w:rsidRPr="00B72A96">
        <w:t xml:space="preserve">.2. This step represents an important technical trade-off, as sufficient mechanical force is required to disrupt the cells and allow visualization of the metaphase chromosomes, but excessive force may also result in chromosome displacement or loss. In </w:t>
      </w:r>
      <w:r w:rsidR="00165AA3">
        <w:t>the</w:t>
      </w:r>
      <w:r w:rsidR="00315E16" w:rsidRPr="00B72A96">
        <w:t xml:space="preserve"> experiment, approximately 20% of cells in the control group were classified as aneuploid (</w:t>
      </w:r>
      <w:r w:rsidR="00315E16" w:rsidRPr="00B72A96">
        <w:rPr>
          <w:b/>
          <w:bCs/>
        </w:rPr>
        <w:t>Figure 2O</w:t>
      </w:r>
      <w:r w:rsidR="00315E16" w:rsidRPr="00B72A96">
        <w:t>). This relatively high frequency may, at least in part, reflect technical limitations associated with the chromosome-spreading procedure, although we cannot exclude the possibility of a biological contribution. Notably, previous analyses using more advanced approaches (</w:t>
      </w:r>
      <w:r w:rsidR="008A0113" w:rsidRPr="00B72A96">
        <w:t>single-cell whole-genome</w:t>
      </w:r>
      <w:r w:rsidR="00315E16" w:rsidRPr="00B72A96">
        <w:t xml:space="preserve"> sequencing) </w:t>
      </w:r>
      <w:r w:rsidR="00C574FD" w:rsidRPr="00B72A96">
        <w:t>applied to study</w:t>
      </w:r>
      <w:r w:rsidR="00315E16" w:rsidRPr="00B72A96">
        <w:t xml:space="preserve"> the same cell line used </w:t>
      </w:r>
      <w:r w:rsidR="00C574FD" w:rsidRPr="00B72A96">
        <w:t>here</w:t>
      </w:r>
      <w:r w:rsidR="00315E16" w:rsidRPr="00B72A96">
        <w:t xml:space="preserve"> reported an aneuploidy rate of approximately 5%. </w:t>
      </w:r>
      <w:r w:rsidRPr="00B72A96">
        <w:t xml:space="preserve">Furthermore, this technique presents limited resolution and cannot identify smaller structural </w:t>
      </w:r>
      <w:r w:rsidRPr="00B72A96">
        <w:lastRenderedPageBreak/>
        <w:t>variants or the exact chromosome gains or losses, which can be overcome using chromosome painting or Karyo-FISH. Alternatively, recent single-cell genome sequencing approaches, including single</w:t>
      </w:r>
      <w:r w:rsidR="00E16217" w:rsidRPr="00B72A96">
        <w:t>-cell</w:t>
      </w:r>
      <w:r w:rsidRPr="00B72A96">
        <w:t xml:space="preserve"> genome sequencing and </w:t>
      </w:r>
      <w:r w:rsidR="001B2D92" w:rsidRPr="00B72A96">
        <w:t xml:space="preserve">single-cell-acoustic cell </w:t>
      </w:r>
      <w:proofErr w:type="spellStart"/>
      <w:r w:rsidR="001B2D92" w:rsidRPr="00B72A96">
        <w:t>tagmentation</w:t>
      </w:r>
      <w:proofErr w:type="spellEnd"/>
      <w:r w:rsidR="001B2D92" w:rsidRPr="00B72A96">
        <w:t xml:space="preserve"> sequencing</w:t>
      </w:r>
      <w:r w:rsidR="001B2D92" w:rsidRPr="00B72A96">
        <w:rPr>
          <w:vertAlign w:val="superscript"/>
        </w:rPr>
        <w:t>4</w:t>
      </w:r>
      <w:r w:rsidR="00390F9D">
        <w:rPr>
          <w:vertAlign w:val="superscript"/>
        </w:rPr>
        <w:t>6</w:t>
      </w:r>
      <w:r w:rsidR="001B2D92" w:rsidRPr="00B72A96">
        <w:t>, enable</w:t>
      </w:r>
      <w:r w:rsidRPr="00B72A96">
        <w:t xml:space="preserve"> high-throughput analysis of copy number variation across hundreds of individual cells and can additionally detect single-nucleotide variants when sequencing depth is sufficient. However, these methods are substantially more </w:t>
      </w:r>
      <w:proofErr w:type="gramStart"/>
      <w:r w:rsidR="00E16217" w:rsidRPr="00B72A96">
        <w:t>resource-intensive</w:t>
      </w:r>
      <w:proofErr w:type="gramEnd"/>
      <w:r w:rsidRPr="00B72A96">
        <w:t xml:space="preserve">. </w:t>
      </w:r>
    </w:p>
    <w:p w14:paraId="6B9888ED" w14:textId="77777777" w:rsidR="000C3DAE" w:rsidRPr="00B72A96" w:rsidRDefault="000C3DAE" w:rsidP="00BD5E4C">
      <w:pPr>
        <w:contextualSpacing/>
        <w:mirrorIndents/>
      </w:pPr>
    </w:p>
    <w:p w14:paraId="55C9D080" w14:textId="77777777" w:rsidR="000C3DAE" w:rsidRPr="00B72A96" w:rsidRDefault="00000000" w:rsidP="00BD5E4C">
      <w:pPr>
        <w:contextualSpacing/>
        <w:mirrorIndents/>
      </w:pPr>
      <w:r w:rsidRPr="00B72A96">
        <w:t xml:space="preserve">Overall, this protocol provides a practical and accessible set of tools for generating early developmental lineage-like cells and assessing genome instability in </w:t>
      </w:r>
      <w:proofErr w:type="spellStart"/>
      <w:r w:rsidRPr="00B72A96">
        <w:t>hPSC</w:t>
      </w:r>
      <w:proofErr w:type="spellEnd"/>
      <w:r w:rsidRPr="00B72A96">
        <w:t xml:space="preserve"> cultures. Nevertheless, integrating these approaches with advanced live-cell imaging and high-resolution sequencing technologies would provide a more comprehensive understanding of the origins, dynamics, and consequences of genome instability during </w:t>
      </w:r>
      <w:proofErr w:type="spellStart"/>
      <w:r w:rsidRPr="00B72A96">
        <w:t>hPSC</w:t>
      </w:r>
      <w:proofErr w:type="spellEnd"/>
      <w:r w:rsidRPr="00B72A96">
        <w:t xml:space="preserve"> maintenance and differentiation.</w:t>
      </w:r>
    </w:p>
    <w:p w14:paraId="17A30C29" w14:textId="77777777" w:rsidR="00393EBD" w:rsidRPr="00B72A96" w:rsidRDefault="00393EBD" w:rsidP="00BD5E4C">
      <w:pPr>
        <w:contextualSpacing/>
        <w:mirrorIndents/>
      </w:pPr>
    </w:p>
    <w:p w14:paraId="65162FB9" w14:textId="1221FE3F" w:rsidR="00393EBD" w:rsidRPr="00B72A96" w:rsidRDefault="00393EBD" w:rsidP="00BD5E4C">
      <w:pPr>
        <w:contextualSpacing/>
        <w:mirrorIndents/>
      </w:pPr>
      <w:r w:rsidRPr="00B72A96">
        <w:t xml:space="preserve">The assays described above detect genome instability at different stages of the cell cycle and should be selected according to the experimental question. </w:t>
      </w:r>
      <w:proofErr w:type="spellStart"/>
      <w:r w:rsidRPr="00B72A96">
        <w:t>EdU</w:t>
      </w:r>
      <w:proofErr w:type="spellEnd"/>
      <w:r w:rsidRPr="00B72A96">
        <w:t>-associated γH2AX and phospho-RPA staining measure replication-associated DNA damage during S phase; analysis of BLM-positive ultrafine bridges detects unresolved replication intermediates persisting into anaphase; chromosome-</w:t>
      </w:r>
      <w:proofErr w:type="spellStart"/>
      <w:r w:rsidRPr="00B72A96">
        <w:t>missegregation</w:t>
      </w:r>
      <w:proofErr w:type="spellEnd"/>
      <w:r w:rsidRPr="00B72A96">
        <w:t xml:space="preserve"> and micronucleus analyses detect ongoing mitotic errors and their post-mitotic consequences; and Giemsa-stained metaphase spreads determine whether these defects have resulted in an abnormal chromosome number. These assays are therefore complementary rather than interchangeable and evaluate the </w:t>
      </w:r>
      <w:r w:rsidR="001B2D92" w:rsidRPr="00B72A96">
        <w:t xml:space="preserve">integrity of the genomic blueprint </w:t>
      </w:r>
      <w:r w:rsidRPr="00B72A96">
        <w:t>across different checkpoints in the cell.</w:t>
      </w:r>
    </w:p>
    <w:p w14:paraId="1F31BA34" w14:textId="77777777" w:rsidR="00393EBD" w:rsidRPr="00B72A96" w:rsidRDefault="00393EBD" w:rsidP="00BD5E4C">
      <w:pPr>
        <w:contextualSpacing/>
        <w:mirrorIndents/>
      </w:pPr>
    </w:p>
    <w:p w14:paraId="51C1293E" w14:textId="1DE60D49" w:rsidR="00393EBD" w:rsidRPr="00B72A96" w:rsidRDefault="00393EBD" w:rsidP="00BD5E4C">
      <w:pPr>
        <w:contextualSpacing/>
        <w:mirrorIndents/>
      </w:pPr>
      <w:r w:rsidRPr="00B72A96">
        <w:t>The γH2AX/phospho-RPA are primarily intended for mechanistic studies of replication stress and DNA damage. Single</w:t>
      </w:r>
      <w:r w:rsidR="001B2D92" w:rsidRPr="00B72A96">
        <w:t>- and double-strand breaks are basal in untreated pluripotent conditions, but do not activate the ATR and ATM checkpoint responses that</w:t>
      </w:r>
      <w:r w:rsidRPr="00B72A96">
        <w:t xml:space="preserve"> occur upon mild to severe damage or repair dysfunction. Thus, these approaches are more appropriate for researchers studying the role of critical replication, damage</w:t>
      </w:r>
      <w:r w:rsidR="001B2D92" w:rsidRPr="00B72A96">
        <w:t>,</w:t>
      </w:r>
      <w:r w:rsidRPr="00B72A96">
        <w:t xml:space="preserve"> or repair factors</w:t>
      </w:r>
      <w:r w:rsidR="001B2D92" w:rsidRPr="00B72A96">
        <w:t>,</w:t>
      </w:r>
      <w:r w:rsidRPr="00B72A96">
        <w:t xml:space="preserve"> as well as to understand exogenous responses of early lineages to replication stress</w:t>
      </w:r>
      <w:r w:rsidRPr="00B72A96">
        <w:fldChar w:fldCharType="begin" w:fldLock="1"/>
      </w:r>
      <w:r w:rsidRPr="00B72A96">
        <w:instrText>ADDIN CSL_CITATION {"citationItems":[{"id":"ITEM-1","itemData":{"DOI":"10.1101/2022.05.12.491744","abstract":"Replication stress is an endemic threat to genome stability. For reasons unknown, replication stress response factors become essential during peri-implantation development. This coincides with a stem cell potency switch from the naïve to the primed state. Using genetically matched, chimera-derived mouse naïve embryonic (mESC) and primed epiblast stem cells (mEpiSC) we found that replication stress management differs between potency states. Primed mEpiSCs rely on Atr activity to prevent replication catastrophe, minimize genomic damage, avoid apoptosis, and re-enter the cell cycle. Conversely, under replications stress, mESCs readily activate Atm regardless of Atr activity, undergo replication catastrophe, and induce apoptosis. Primed pluripotent cells therefore engage Atr to counteract replication difficulties and maintain viability, whereas cells in the naïve state are more readily cleared under the same conditions. We anticipate these divergent strategies enable pluripotent cells of different potency states to meet associated proliferative or developmental demands during early development.\n\n### Competing Interest Statement\n\nThe authors have declared no competing interest.","author":[{"dropping-particle":"","family":"Kafer","given":"Georgia R.","non-dropping-particle":"","parse-names":false,"suffix":""},{"dropping-particle":"","family":"O’Connor","given":"Aisling","non-dropping-particle":"","parse-names":false,"suffix":""},{"dropping-particle":"","family":"Rogers","given":"Samuel","non-dropping-particle":"","parse-names":false,"suffix":""},{"dropping-particle":"","family":"Osteil","given":"Pierre","non-dropping-particle":"","parse-names":false,"suffix":""},{"dropping-particle":"","family":"Nelson","given":"Christopher B.","non-dropping-particle":"","parse-names":false,"suffix":""},{"dropping-particle":"","family":"Pickett","given":"Hilda A.","non-dropping-particle":"","parse-names":false,"suffix":""},{"dropping-particle":"","family":"Tam","given":"Patrick P.L.","non-dropping-particle":"","parse-names":false,"suffix":""},{"dropping-particle":"","family":"Cesare","given":"Anthony J.","non-dropping-particle":"","parse-names":false,"suffix":""}],"container-title":"bioRxiv","id":"ITEM-1","issued":{"date-parts":[["2022","5","13"]]},"page":"2022.05.12.491744","publisher":"Cold Spring Harbor Laboratory","title":"Replication stress tolerance and management differs between naïve and primed pluripotent cells","type":"article-journal"},"uris":["http://www.mendeley.com/documents/?uuid=1ae1653b-7521-36d2-9737-8025a73a8a1b"]},{"id":"ITEM-2","itemData":{"DOI":"10.1038/s41467-024-51821-9","ISSN":"2041-1723","abstract":"Human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mendeley":{"formattedCitation":"&lt;sup&gt;21,27&lt;/sup&gt;","plainTextFormattedCitation":"21,27","previouslyFormattedCitation":"&lt;sup&gt;21,27&lt;/sup&gt;"},"properties":{"noteIndex":0},"schema":"https://github.com/citation-style-language/schema/raw/master/csl-citation.json"}</w:instrText>
      </w:r>
      <w:r w:rsidRPr="00B72A96">
        <w:fldChar w:fldCharType="separate"/>
      </w:r>
      <w:r w:rsidRPr="00B72A96">
        <w:rPr>
          <w:noProof/>
          <w:vertAlign w:val="superscript"/>
        </w:rPr>
        <w:t>21,</w:t>
      </w:r>
      <w:r w:rsidR="00390F9D">
        <w:rPr>
          <w:noProof/>
          <w:vertAlign w:val="superscript"/>
        </w:rPr>
        <w:t>4</w:t>
      </w:r>
      <w:r w:rsidRPr="00B72A96">
        <w:rPr>
          <w:noProof/>
          <w:vertAlign w:val="superscript"/>
        </w:rPr>
        <w:t>7</w:t>
      </w:r>
      <w:r w:rsidRPr="00B72A96">
        <w:fldChar w:fldCharType="end"/>
      </w:r>
      <w:r w:rsidRPr="00B72A96">
        <w:t xml:space="preserve">. However, they are not intended to be used as quality control of </w:t>
      </w:r>
      <w:proofErr w:type="spellStart"/>
      <w:r w:rsidRPr="00B72A96">
        <w:t>hPSC</w:t>
      </w:r>
      <w:proofErr w:type="spellEnd"/>
      <w:r w:rsidRPr="00B72A96">
        <w:t xml:space="preserve"> lines over long-term culture.</w:t>
      </w:r>
    </w:p>
    <w:p w14:paraId="7A580CE1" w14:textId="77777777" w:rsidR="00393EBD" w:rsidRPr="00B72A96" w:rsidRDefault="00393EBD" w:rsidP="00BD5E4C">
      <w:pPr>
        <w:contextualSpacing/>
        <w:mirrorIndents/>
      </w:pPr>
    </w:p>
    <w:p w14:paraId="1EF32062" w14:textId="1D98611E" w:rsidR="00393EBD" w:rsidRPr="00B72A96" w:rsidRDefault="00393EBD" w:rsidP="00BD5E4C">
      <w:pPr>
        <w:contextualSpacing/>
        <w:mirrorIndents/>
      </w:pPr>
      <w:r w:rsidRPr="00B72A96">
        <w:t>Chromosome-</w:t>
      </w:r>
      <w:proofErr w:type="spellStart"/>
      <w:r w:rsidRPr="00B72A96">
        <w:t>missegregation</w:t>
      </w:r>
      <w:proofErr w:type="spellEnd"/>
      <w:r w:rsidRPr="00B72A96">
        <w:t>, ultrafine-bridge analysis and metaphase chromosome count are more suitable for routine surveillance. Chromosome-</w:t>
      </w:r>
      <w:proofErr w:type="spellStart"/>
      <w:r w:rsidRPr="00B72A96">
        <w:t>missegregation</w:t>
      </w:r>
      <w:proofErr w:type="spellEnd"/>
      <w:r w:rsidRPr="00B72A96">
        <w:t xml:space="preserve"> analysis provides an early functional readout of ongoing chromosomal instability, whereas Giemsa-stained metaphase spreads determine the proportion of cells with an abnormal chromosome number. Micronucleus analysis may provide a complementary and relatively accessible indicator of recent </w:t>
      </w:r>
      <w:r w:rsidR="001B2D92" w:rsidRPr="00B72A96">
        <w:t>chromosome-</w:t>
      </w:r>
      <w:proofErr w:type="spellStart"/>
      <w:r w:rsidR="001B2D92" w:rsidRPr="00B72A96">
        <w:t>misdivision</w:t>
      </w:r>
      <w:proofErr w:type="spellEnd"/>
      <w:r w:rsidRPr="00B72A96">
        <w:t xml:space="preserve"> or chromosome-breakage events, although it does not identify their origin and should not replace direct chromosome-number analysis. Additionally, live</w:t>
      </w:r>
      <w:r w:rsidR="0019052C">
        <w:t>-</w:t>
      </w:r>
      <w:r w:rsidRPr="00B72A96">
        <w:t xml:space="preserve">cell imaging using SPY-DNA or similar non-invasive </w:t>
      </w:r>
      <w:r w:rsidR="001B2D92" w:rsidRPr="00B72A96">
        <w:t xml:space="preserve">dye </w:t>
      </w:r>
      <w:r w:rsidRPr="00B72A96">
        <w:t>will reflect the ongoing chromosomal instability and the fate of those defective mitosis</w:t>
      </w:r>
      <w:r w:rsidRPr="00B72A96">
        <w:fldChar w:fldCharType="begin" w:fldLock="1"/>
      </w:r>
      <w:r w:rsidRPr="00B72A96">
        <w:instrText>ADDIN CSL_CITATION {"citationItems":[{"id":"ITEM-1","itemData":{"DOI":"10.1016/j.stemcr.2022.12.008","ISSN":"22136711","PMID":"36638786","abstract":"During in vitro propagation, human pluripotent stem cells (hPSCs) frequently become aneuploid with incorrect chromosome numbers due to mitotic chromosome segregation errors. Yet, it is not understood why hPSCs exhibit a low mitotic fidelity. Here, we investigate the mechanisms responsible for mitotic errors in hPSCs and show that the primary cause is lagging chromosomes in anaphase with improper merotelic microtubule attachments. Accordingly, short-term treatment (&lt;24 h) with small molecules that prolong mitotic duration or destabilize chromosome microtubule attachments reduces merotelic errors and lagging chromosome rates, although hPSCs adapt and lagging chromosome rates rebound upon long-term (&gt;24 h) microtubule destabilization. Strikingly, we also demonstrate that mitotic error rates correlate with developmental potential decreasing or increasing upon loss or gain of pluripotency, respectively. Thus, a low mitotic fidelity is an inherent and conserved phenotype of hPSCs. Moreover, chromosome segregation fidelity depends on developmental state in normal human cells.","author":[{"dropping-particle":"","family":"Deng","given":"Chenhui","non-dropping-particle":"","parse-names":false,"suffix":""},{"dropping-particle":"","family":"Ya","given":"Amanda","non-dropping-particle":"","parse-names":false,"suffix":""},{"dropping-particle":"","family":"Compton","given":"Duane A.","non-dropping-particle":"","parse-names":false,"suffix":""},{"dropping-particle":"","family":"Godek","given":"Kristina M.","non-dropping-particle":"","parse-names":false,"suffix":""}],"container-title":"Stem Cell Reports","id":"ITEM-1","issue":"2","issued":{"date-parts":[["2023","2","14"]]},"page":"475-488","publisher":"Cell Press","title":"A pluripotent developmental state confers a low fidelity of chromosome segregation","type":"article-journal","volume":"18"},"uris":["http://www.mendeley.com/documents/?uuid=b3561980-e300-338d-a341-3528560be152"]},{"id":"ITEM-2","itemData":{"DOI":"10.1038/s41467-024-51821-9","ISSN":"2041-1723","abstract":"Human development relies on the correct replication, maintenance and segregation of our genetic blueprints. How these processes are monitored across embryonic lineages, and why genomic mosaicism varies during development remain unknown. Using pluripotent stem cells, we identify that several patterning signals—including WNT, BMP, and FGF—converge into the modulation of DNA replication stress and damage during S-phase, which in turn controls chromosome segregation fidelity in mitosis. We show that the WNT and BMP signals protect from excessive origin firing, DNA damage and chromosome missegregation derived from stalled forks in pluripotency. Cell signalling control of chromosome segregation declines during lineage specification into the three germ layers, but re-emerges in neural progenitors. In particular, we find that the neurogenic factor FGF2 induces DNA replication stress-mediated chromosome missegregation during the onset of neurogenesis, which could provide a rationale for the elevated chromosomal mosaicism of the developing brain. Our results highlight roles for morphogens and cellular identity in genome maintenance that contribute to somatic mosaicism during mammalian development. Here the authors show that the patterning signals WNT, BMP, and FGF control chromosome segregation fidelity during early lineage specification and neurogenesis, which could provide a rationale for the spatio-temporal distribution of genomic mosaicism during human development.","author":[{"dropping-particle":"","family":"Jaime-Soguero","given":"Anchel","non-dropping-particle":"de","parse-names":false,"suffix":""},{"dropping-particle":"","family":"Hattemer","given":"Janina","non-dropping-particle":"","parse-names":false,"suffix":""},{"dropping-particle":"","family":"Bufe","given":"Anja","non-dropping-particle":"","parse-names":false,"suffix":""},{"dropping-particle":"","family":"Haas","given":"Alexander","non-dropping-particle":"","parse-names":false,"suffix":""},{"dropping-particle":"","family":"Berg","given":"Jeroen","non-dropping-particle":"van den","parse-names":false,"suffix":""},{"dropping-particle":"","family":"Batenburg","given":"Vincent","non-dropping-particle":"van","parse-names":false,"suffix":""},{"dropping-particle":"","family":"Das","given":"Biswajit","non-dropping-particle":"","parse-names":false,"suffix":""},{"dropping-particle":"","family":"Marco","given":"Barbara","non-dropping-particle":"di","parse-names":false,"suffix":""},{"dropping-particle":"","family":"Androulaki","given":"Stefania","non-dropping-particle":"","parse-names":false,"suffix":""},{"dropping-particle":"","family":"Böhly","given":"Nicolas","non-dropping-particle":"","parse-names":false,"suffix":""},{"dropping-particle":"","family":"Landry","given":"Jonathan J. M.","non-dropping-particle":"","parse-names":false,"suffix":""},{"dropping-particle":"","family":"Schoell","given":"Brigitte","non-dropping-particle":"","parse-names":false,"suffix":""},{"dropping-particle":"","family":"Rosa","given":"Viviane S.","non-dropping-particle":"","parse-names":false,"suffix":""},{"dropping-particle":"","family":"Villacorta","given":"Laura","non-dropping-particle":"","parse-names":false,"suffix":""},{"dropping-particle":"","family":"Baskan","given":"Yagmur","non-dropping-particle":"","parse-names":false,"suffix":""},{"dropping-particle":"","family":"Trapp","given":"Marleen","non-dropping-particle":"","parse-names":false,"suffix":""},{"dropping-particle":"","family":"Benes","given":"Vladimir","non-dropping-particle":"","parse-names":false,"suffix":""},{"dropping-particle":"","family":"Chabes","given":"Andrei","non-dropping-particle":"","parse-names":false,"suffix":""},{"dropping-particle":"","family":"Shahbazi","given":"Marta","non-dropping-particle":"","parse-names":false,"suffix":""},{"dropping-particle":"","family":"Jauch","given":"Anna","non-dropping-particle":"","parse-names":false,"suffix":""},{"dropping-particle":"","family":"Engel","given":"Ulrike","non-dropping-particle":"","parse-names":false,"suffix":""},{"dropping-particle":"","family":"Patrizi","given":"Annarita","non-dropping-particle":"","parse-names":false,"suffix":""},{"dropping-particle":"","family":"Sotillo","given":"Rocio","non-dropping-particle":"","parse-names":false,"suffix":""},{"dropping-particle":"","family":"Oudenaarden","given":"Alexander","non-dropping-particle":"van","parse-names":false,"suffix":""},{"dropping-particle":"","family":"Bageritz","given":"Josephine","non-dropping-particle":"","parse-names":false,"suffix":""},{"dropping-particle":"","family":"Alfonso","given":"Julieta","non-dropping-particle":"","parse-names":false,"suffix":""},{"dropping-particle":"","family":"Bastians","given":"Holger","non-dropping-particle":"","parse-names":false,"suffix":""},{"dropping-particle":"","family":"Acebrón","given":"Sergio P.","non-dropping-particle":"","parse-names":false,"suffix":""}],"container-title":"Nature Communications 2024 15:1","id":"ITEM-2","issue":"1","issued":{"date-parts":[["2024","8","28"]]},"page":"1-22","publisher":"Nature Publishing Group","title":"Developmental signals control chromosome segregation fidelity during pluripotency and neurogenesis by modulating replicative stress","type":"article-journal","volume":"15"},"uris":["http://www.mendeley.com/documents/?uuid=21245d15-68e1-356b-bf33-3a3e11b3eeb4"]}],"mendeley":{"formattedCitation":"&lt;sup&gt;21,28&lt;/sup&gt;","plainTextFormattedCitation":"21,28","previouslyFormattedCitation":"&lt;sup&gt;21,28&lt;/sup&gt;"},"properties":{"noteIndex":0},"schema":"https://github.com/citation-style-language/schema/raw/master/csl-citation.json"}</w:instrText>
      </w:r>
      <w:r w:rsidRPr="00B72A96">
        <w:fldChar w:fldCharType="separate"/>
      </w:r>
      <w:r w:rsidRPr="00B72A96">
        <w:rPr>
          <w:noProof/>
          <w:vertAlign w:val="superscript"/>
        </w:rPr>
        <w:t>21,</w:t>
      </w:r>
      <w:r w:rsidR="00390F9D">
        <w:rPr>
          <w:noProof/>
          <w:vertAlign w:val="superscript"/>
        </w:rPr>
        <w:t>4</w:t>
      </w:r>
      <w:r w:rsidRPr="00B72A96">
        <w:rPr>
          <w:noProof/>
          <w:vertAlign w:val="superscript"/>
        </w:rPr>
        <w:t>8</w:t>
      </w:r>
      <w:r w:rsidRPr="00B72A96">
        <w:fldChar w:fldCharType="end"/>
      </w:r>
      <w:r w:rsidRPr="00B72A96">
        <w:t xml:space="preserve">. If resources allow, </w:t>
      </w:r>
      <w:r w:rsidR="001B2D92" w:rsidRPr="00B72A96">
        <w:t>single-cell low-coverage whole-genome sequencing of a few dozen</w:t>
      </w:r>
      <w:r w:rsidRPr="00B72A96">
        <w:t xml:space="preserve"> cells will reflect the ongoing chromosomal instability, while bulk g-DNA sequencing is not recommended unless you aim to capture specific aneuploid clones expanded after clonal advantage gain. Recently, our laboratory has demonstrated that long-term passaging of </w:t>
      </w:r>
      <w:proofErr w:type="spellStart"/>
      <w:r w:rsidRPr="00B72A96">
        <w:t>hPSCs</w:t>
      </w:r>
      <w:proofErr w:type="spellEnd"/>
      <w:r w:rsidRPr="00B72A96">
        <w:t xml:space="preserve"> </w:t>
      </w:r>
      <w:r w:rsidR="001B2D92" w:rsidRPr="00B72A96">
        <w:t xml:space="preserve">increases ultrafine bridge formation, chromosome </w:t>
      </w:r>
      <w:proofErr w:type="spellStart"/>
      <w:r w:rsidR="001B2D92" w:rsidRPr="00B72A96">
        <w:t>missegregation</w:t>
      </w:r>
      <w:proofErr w:type="spellEnd"/>
      <w:r w:rsidR="001B2D92" w:rsidRPr="00B72A96">
        <w:t>,</w:t>
      </w:r>
      <w:r w:rsidRPr="00B72A96">
        <w:t xml:space="preserve"> and aneuploidy rates</w:t>
      </w:r>
      <w:r w:rsidRPr="00B72A96">
        <w:fldChar w:fldCharType="begin" w:fldLock="1"/>
      </w:r>
      <w:r w:rsidRPr="00B72A96">
        <w:instrText>ADDIN CSL_CITATION {"citationItems":[{"id":"ITEM-1","itemData":{"DOI":"10.1101/2025.10.27.684724","ISSN":"2692-8205","abstract":"Human pluripotent stem cells (hPSCs) are critical cell sources to model human development and hold promise towards regenerative medicine. However, cultured hPSCs quickly acquire chromosome gains or losses (aneuploidy) due to high replicative stress and errors in chromosome segregation, which hampers their use for stem cell therapies. We have recently described that embryo patterning signals control chromosome segregation fidelity during early human lineage specification by modulating the response to replicative stress. Here, we demonstrate that fine-tuned activation of WNT signalling using off-the-shelf GSK3 inhibitors prevents chromosome missegregation and aneuploidy during long term passaging of hPSCs. Lineage-specification and sequencing analyses demonstrate that hPSCs culture with E8 supplemented with a low dosage of GSK3 inhibitors retain primed pluripotency and full potential to the differentiation into the 3 germ layers for over 30 passages. Strikingly, detailed mitotic studies revealed that long-term cultured hPSCs often display ultra-fine chromosome bridges during anaphase due to unreplicated DNA, which can result in hitherto uncharacterised copy-number-variations and other genomic aberrations. We show that culture with low dosage of the GSK3 inhibitor CHIR99021, but not direct attenuation of DNA replication stress using nucleosides, prevents mitotic DNA synthesis and the formation of ultra-fine bridges during long term hPSC passage. Taken together, we propose to enrich E8 culture media with 100 nM CHIR99021 to maintain euploidy in primed hPSCs, and to routinely map for genomic alterations, in addition to aneuploidy, for modelling and regenerative medicine studies.\n\n### Competing Interest Statement\n\nF.F. is Chief Scientific Director of iPsomics, but does not stand financial benefits from this role\n\nDeutsche Forschungsgemeinschaft, 331351713\n\nMandat d’Impulsion Scientifique Ulysse, F.6002.26","author":[{"dropping-particle":"De","family":"Jaime-Soguero","given":"A.","non-dropping-particle":"","parse-names":false,"suffix":""},{"dropping-particle":"","family":"Romitti","given":"M.","non-dropping-particle":"","parse-names":false,"suffix":""},{"dropping-particle":"","family":"Costagliola","given":"S.","non-dropping-particle":"","parse-names":false,"suffix":""},{"dropping-particle":"","family":"Jauch","given":"A.","non-dropping-particle":"","parse-names":false,"suffix":""},{"dropping-particle":"","family":"Willert","given":"K.","non-dropping-particle":"","parse-names":false,"suffix":""},{"dropping-particle":"","family":"Foijer","given":"F.","non-dropping-particle":"","parse-names":false,"suffix":""},{"dropping-particle":"","family":"Acebrón","given":"S.P.","non-dropping-particle":"","parse-names":false,"suffix":""}],"container-title":"bioRxiv","id":"ITEM-1","issued":{"date-parts":[["2025","10","27"]]},"page":"2025.10.27.684724","publisher":"Cold Spring Harbor Laboratory","title":"Long-term prevention of aneuploidy in human pluripotent stem cells by fine-tuning GSK3 activity","type":"article-journal"},"uris":["http://www.mendeley.com/documents/?uuid=f86de912-a07c-30e2-bb92-10243c413426"]}],"mendeley":{"formattedCitation":"&lt;sup&gt;20&lt;/sup&gt;","plainTextFormattedCitation":"20","previouslyFormattedCitation":"&lt;sup&gt;20&lt;/sup&gt;"},"properties":{"noteIndex":0},"schema":"https://github.com/citation-style-language/schema/raw/master/csl-citation.json"}</w:instrText>
      </w:r>
      <w:r w:rsidRPr="00B72A96">
        <w:fldChar w:fldCharType="separate"/>
      </w:r>
      <w:r w:rsidRPr="00B72A96">
        <w:rPr>
          <w:noProof/>
          <w:vertAlign w:val="superscript"/>
        </w:rPr>
        <w:t>20</w:t>
      </w:r>
      <w:r w:rsidRPr="00B72A96">
        <w:fldChar w:fldCharType="end"/>
      </w:r>
      <w:r w:rsidRPr="00B72A96">
        <w:t xml:space="preserve">. These </w:t>
      </w:r>
      <w:r w:rsidRPr="00B72A96">
        <w:lastRenderedPageBreak/>
        <w:t xml:space="preserve">findings highlight the risk of chromosomal instability during prolonged in vitro culture and support routine monitoring of chromosome-segregation fidelity and chromosome-number stability in </w:t>
      </w:r>
      <w:proofErr w:type="spellStart"/>
      <w:r w:rsidRPr="00B72A96">
        <w:t>hPSC</w:t>
      </w:r>
      <w:proofErr w:type="spellEnd"/>
      <w:r w:rsidRPr="00B72A96">
        <w:t xml:space="preserve"> cultures.</w:t>
      </w:r>
    </w:p>
    <w:p w14:paraId="702E00D4" w14:textId="77777777" w:rsidR="00393EBD" w:rsidRPr="00B72A96" w:rsidRDefault="00393EBD" w:rsidP="00BD5E4C">
      <w:pPr>
        <w:contextualSpacing/>
        <w:mirrorIndents/>
      </w:pPr>
    </w:p>
    <w:p w14:paraId="2FE2ABD2" w14:textId="2746CABF" w:rsidR="00393EBD" w:rsidRPr="00B72A96" w:rsidRDefault="00393EBD" w:rsidP="00BD5E4C">
      <w:pPr>
        <w:contextualSpacing/>
        <w:mirrorIndents/>
      </w:pPr>
      <w:r w:rsidRPr="00B72A96">
        <w:t xml:space="preserve">For </w:t>
      </w:r>
      <w:proofErr w:type="spellStart"/>
      <w:r w:rsidRPr="00B72A96">
        <w:t>hPSC</w:t>
      </w:r>
      <w:proofErr w:type="spellEnd"/>
      <w:r w:rsidRPr="00B72A96">
        <w:t xml:space="preserve"> lines maintained under stable culture conditions, </w:t>
      </w:r>
      <w:r w:rsidR="001B2D92" w:rsidRPr="00B72A96">
        <w:t>it is</w:t>
      </w:r>
      <w:r w:rsidRPr="00B72A96">
        <w:t xml:space="preserve"> </w:t>
      </w:r>
      <w:r w:rsidR="001B2D92" w:rsidRPr="00B72A96">
        <w:t>recommended to assess</w:t>
      </w:r>
      <w:r w:rsidRPr="00B72A96">
        <w:t xml:space="preserve"> chromosome-number stability at least twice per year, approximately every 6 months. Chromosome-</w:t>
      </w:r>
      <w:proofErr w:type="spellStart"/>
      <w:r w:rsidRPr="00B72A96">
        <w:t>missegregation</w:t>
      </w:r>
      <w:proofErr w:type="spellEnd"/>
      <w:r w:rsidRPr="00B72A96">
        <w:t xml:space="preserve"> analysis can be performed at the same interval as an additional measure of ongoing chromosomal instability. Additional testing should be performed after extended passaging, recovery from </w:t>
      </w:r>
      <w:proofErr w:type="spellStart"/>
      <w:r w:rsidRPr="00B72A96">
        <w:t>cryostorage</w:t>
      </w:r>
      <w:proofErr w:type="spellEnd"/>
      <w:r w:rsidRPr="00B72A96">
        <w:t xml:space="preserve">, substantial changes in culture medium, matrix, or passaging procedure, unexpected alterations in growth or morphology, and before initiating prolonged or resource-intensive differentiation experiments. Genome-integrity testing should also be performed before establishing new working cell stocks and before using cells in studies requiring high genomic stability. Besides, </w:t>
      </w:r>
      <w:r w:rsidR="001B2D92" w:rsidRPr="00B72A96">
        <w:t>it is</w:t>
      </w:r>
      <w:r w:rsidRPr="00B72A96">
        <w:t xml:space="preserve"> </w:t>
      </w:r>
      <w:r w:rsidR="001B2D92" w:rsidRPr="00B72A96">
        <w:t xml:space="preserve">recommended to expand early passage </w:t>
      </w:r>
      <w:proofErr w:type="spellStart"/>
      <w:r w:rsidR="001B2D92" w:rsidRPr="00B72A96">
        <w:t>hPSCs</w:t>
      </w:r>
      <w:proofErr w:type="spellEnd"/>
      <w:r w:rsidR="001B2D92" w:rsidRPr="00B72A96">
        <w:t xml:space="preserve"> and not use</w:t>
      </w:r>
      <w:r w:rsidRPr="00B72A96">
        <w:t xml:space="preserve"> them for more than 10 passages, as they acquire chromosomal instability.</w:t>
      </w:r>
    </w:p>
    <w:p w14:paraId="3A50A7A0" w14:textId="77777777" w:rsidR="000C3DAE" w:rsidRPr="00B72A96" w:rsidRDefault="000C3DAE" w:rsidP="00BD5E4C">
      <w:pPr>
        <w:contextualSpacing/>
        <w:mirrorIndents/>
      </w:pPr>
    </w:p>
    <w:p w14:paraId="433B78E5" w14:textId="5D3B0C0A" w:rsidR="000C3DAE" w:rsidRPr="00B72A96" w:rsidRDefault="00000000" w:rsidP="00BD5E4C">
      <w:pPr>
        <w:pBdr>
          <w:top w:val="nil"/>
          <w:left w:val="nil"/>
          <w:bottom w:val="nil"/>
          <w:right w:val="nil"/>
          <w:between w:val="nil"/>
        </w:pBdr>
        <w:contextualSpacing/>
        <w:mirrorIndents/>
      </w:pPr>
      <w:r w:rsidRPr="00B72A96">
        <w:rPr>
          <w:b/>
          <w:bCs/>
        </w:rPr>
        <w:t xml:space="preserve">ACKNOWLEDGMENTS: </w:t>
      </w:r>
    </w:p>
    <w:p w14:paraId="354916AA" w14:textId="45B71C9A" w:rsidR="000C3DAE" w:rsidRPr="00B72A96" w:rsidRDefault="00E83739" w:rsidP="00BD5E4C">
      <w:pPr>
        <w:contextualSpacing/>
        <w:mirrorIndents/>
        <w:rPr>
          <w:lang w:val="en-GB"/>
        </w:rPr>
      </w:pPr>
      <w:r w:rsidRPr="00B72A96">
        <w:t xml:space="preserve">The authors would like to acknowledge the support and help of </w:t>
      </w:r>
      <w:r w:rsidR="008A0113" w:rsidRPr="00B72A96">
        <w:t xml:space="preserve">the </w:t>
      </w:r>
      <w:proofErr w:type="spellStart"/>
      <w:r w:rsidRPr="00B72A96">
        <w:t>LiMiF</w:t>
      </w:r>
      <w:proofErr w:type="spellEnd"/>
      <w:r w:rsidRPr="00B72A96">
        <w:t xml:space="preserve"> microscopy facility on cellular imaging.</w:t>
      </w:r>
      <w:r w:rsidR="00617433" w:rsidRPr="00B72A96">
        <w:t xml:space="preserve"> </w:t>
      </w:r>
      <w:r w:rsidR="00753606" w:rsidRPr="00B72A96">
        <w:t xml:space="preserve">G.V. holds a </w:t>
      </w:r>
      <w:r w:rsidR="00617433" w:rsidRPr="00B72A96">
        <w:t xml:space="preserve">Belgian </w:t>
      </w:r>
      <w:r w:rsidR="00753606" w:rsidRPr="00B72A96">
        <w:t xml:space="preserve">PhD scholarship from the Belgian Kids Fund (BKF). This work has been financed with the support of Actions Blanches 2024 ULB grant and </w:t>
      </w:r>
      <w:r w:rsidR="00617433" w:rsidRPr="00B72A96">
        <w:rPr>
          <w:lang w:val="en-GB"/>
        </w:rPr>
        <w:t xml:space="preserve">the Mandat </w:t>
      </w:r>
      <w:proofErr w:type="spellStart"/>
      <w:r w:rsidR="00617433" w:rsidRPr="00B72A96">
        <w:rPr>
          <w:lang w:val="en-GB"/>
        </w:rPr>
        <w:t>d’Impulsion</w:t>
      </w:r>
      <w:proofErr w:type="spellEnd"/>
      <w:r w:rsidR="00617433" w:rsidRPr="00B72A96">
        <w:rPr>
          <w:lang w:val="en-GB"/>
        </w:rPr>
        <w:t xml:space="preserve"> Scientifique Ulysse (MISU) from the FNRS (project number MISU F.6002.26), both held</w:t>
      </w:r>
      <w:r w:rsidR="00753606" w:rsidRPr="00B72A96">
        <w:rPr>
          <w:lang w:val="en-GB"/>
        </w:rPr>
        <w:t xml:space="preserve"> by </w:t>
      </w:r>
      <w:proofErr w:type="spellStart"/>
      <w:r w:rsidR="00753606" w:rsidRPr="00B72A96">
        <w:rPr>
          <w:lang w:val="en-GB"/>
        </w:rPr>
        <w:t>A.d.J.S</w:t>
      </w:r>
      <w:proofErr w:type="spellEnd"/>
      <w:r w:rsidR="00753606" w:rsidRPr="00B72A96">
        <w:rPr>
          <w:lang w:val="en-GB"/>
        </w:rPr>
        <w:t>.</w:t>
      </w:r>
      <w:r w:rsidR="00617433" w:rsidRPr="00B72A96">
        <w:rPr>
          <w:lang w:val="en-GB"/>
        </w:rPr>
        <w:t xml:space="preserve"> </w:t>
      </w:r>
      <w:r w:rsidRPr="00B72A96">
        <w:rPr>
          <w:lang w:val="en-GB"/>
        </w:rPr>
        <w:t xml:space="preserve">The authors </w:t>
      </w:r>
      <w:r w:rsidR="00545F13" w:rsidRPr="00B72A96">
        <w:rPr>
          <w:lang w:val="en-GB"/>
        </w:rPr>
        <w:t xml:space="preserve">acknowledge the use of </w:t>
      </w:r>
      <w:proofErr w:type="spellStart"/>
      <w:r w:rsidR="00545F13" w:rsidRPr="00B72A96">
        <w:rPr>
          <w:lang w:val="en-GB"/>
        </w:rPr>
        <w:t>BioRender</w:t>
      </w:r>
      <w:proofErr w:type="spellEnd"/>
      <w:r w:rsidR="00545F13" w:rsidRPr="00B72A96">
        <w:rPr>
          <w:lang w:val="en-GB"/>
        </w:rPr>
        <w:t xml:space="preserve"> to generate the figures in this article, under an active license.</w:t>
      </w:r>
    </w:p>
    <w:p w14:paraId="0A25AF38" w14:textId="77777777" w:rsidR="00617433" w:rsidRPr="00B72A96" w:rsidRDefault="00617433" w:rsidP="00BD5E4C">
      <w:pPr>
        <w:contextualSpacing/>
        <w:mirrorIndents/>
        <w:rPr>
          <w:b/>
          <w:bCs/>
        </w:rPr>
      </w:pPr>
    </w:p>
    <w:p w14:paraId="4FF74E00" w14:textId="12EEA6B7" w:rsidR="000C3DAE" w:rsidRPr="00B72A96" w:rsidRDefault="00000000" w:rsidP="00BD5E4C">
      <w:pPr>
        <w:pBdr>
          <w:top w:val="nil"/>
          <w:left w:val="nil"/>
          <w:bottom w:val="nil"/>
          <w:right w:val="nil"/>
          <w:between w:val="nil"/>
        </w:pBdr>
        <w:contextualSpacing/>
        <w:mirrorIndents/>
      </w:pPr>
      <w:r w:rsidRPr="00B72A96">
        <w:rPr>
          <w:b/>
          <w:bCs/>
        </w:rPr>
        <w:t xml:space="preserve">DISCLOSURES: </w:t>
      </w:r>
    </w:p>
    <w:p w14:paraId="471F0FBD" w14:textId="7C22D084" w:rsidR="00E83739" w:rsidRPr="00B72A96" w:rsidRDefault="00E83739" w:rsidP="00BD5E4C">
      <w:pPr>
        <w:contextualSpacing/>
        <w:mirrorIndents/>
        <w:rPr>
          <w:lang w:val="en-US"/>
        </w:rPr>
      </w:pPr>
      <w:r w:rsidRPr="00B72A96">
        <w:t>The authors declare no conflicts of interest related to this work. Artificial intelligence (AI) was not used to generate figures or draft any part of the manuscript. AI was used solely as a support tool to review the literature and references and to provide an independent assessment of the manuscript’s structure after it had been written.</w:t>
      </w:r>
    </w:p>
    <w:p w14:paraId="5D783276" w14:textId="7F3FDA0B" w:rsidR="000C3DAE" w:rsidRPr="00B72A96" w:rsidRDefault="000C3DAE" w:rsidP="00BD5E4C">
      <w:pPr>
        <w:contextualSpacing/>
        <w:mirrorIndents/>
      </w:pPr>
    </w:p>
    <w:p w14:paraId="6C8D51DA" w14:textId="63B1B1C8" w:rsidR="000C3DAE" w:rsidRPr="00B72A96" w:rsidRDefault="00000000" w:rsidP="00BD5E4C">
      <w:pPr>
        <w:contextualSpacing/>
        <w:mirrorIndents/>
      </w:pPr>
      <w:r w:rsidRPr="00B72A96">
        <w:rPr>
          <w:b/>
          <w:bCs/>
        </w:rPr>
        <w:t>REFERENCES:</w:t>
      </w:r>
      <w:r w:rsidRPr="00B72A96">
        <w:t xml:space="preserve"> </w:t>
      </w:r>
    </w:p>
    <w:p w14:paraId="4268123E" w14:textId="2F954348" w:rsidR="008A0113" w:rsidRPr="00B72A96" w:rsidRDefault="00000000" w:rsidP="00BD5E4C">
      <w:pPr>
        <w:pStyle w:val="ListParagraph"/>
        <w:numPr>
          <w:ilvl w:val="0"/>
          <w:numId w:val="17"/>
        </w:numPr>
        <w:ind w:left="0" w:firstLine="0"/>
        <w:mirrorIndents/>
      </w:pPr>
      <w:r w:rsidRPr="00B72A96">
        <w:t>Thomson JA, et al. Embryonic stem cell lines derived from human blastocysts. Science. 1998;282(5391):1145–7.</w:t>
      </w:r>
    </w:p>
    <w:p w14:paraId="2D90A898" w14:textId="77777777" w:rsidR="008A0113" w:rsidRPr="00B72A96" w:rsidRDefault="00000000" w:rsidP="00BD5E4C">
      <w:pPr>
        <w:pStyle w:val="ListParagraph"/>
        <w:numPr>
          <w:ilvl w:val="0"/>
          <w:numId w:val="17"/>
        </w:numPr>
        <w:ind w:left="0" w:firstLine="0"/>
        <w:mirrorIndents/>
      </w:pPr>
      <w:r w:rsidRPr="00B72A96">
        <w:t>Takahashi K, et al. Induction of pluripotent stem cells from adult human fibroblasts by defined factors. Cell. 2007;131(5):861–72.</w:t>
      </w:r>
    </w:p>
    <w:p w14:paraId="21A0A16B" w14:textId="77777777" w:rsidR="008A0113" w:rsidRPr="00B72A96" w:rsidRDefault="00000000" w:rsidP="00BD5E4C">
      <w:pPr>
        <w:pStyle w:val="ListParagraph"/>
        <w:numPr>
          <w:ilvl w:val="0"/>
          <w:numId w:val="17"/>
        </w:numPr>
        <w:ind w:left="0" w:firstLine="0"/>
        <w:mirrorIndents/>
      </w:pPr>
      <w:proofErr w:type="spellStart"/>
      <w:r w:rsidRPr="00B72A96">
        <w:t>Rossant</w:t>
      </w:r>
      <w:proofErr w:type="spellEnd"/>
      <w:r w:rsidRPr="00B72A96">
        <w:t xml:space="preserve"> J. Mouse and human blastocyst-derived stem cells: </w:t>
      </w:r>
      <w:proofErr w:type="spellStart"/>
      <w:r w:rsidRPr="00B72A96">
        <w:t>vive</w:t>
      </w:r>
      <w:proofErr w:type="spellEnd"/>
      <w:r w:rsidRPr="00B72A96">
        <w:t xml:space="preserve"> les </w:t>
      </w:r>
      <w:proofErr w:type="spellStart"/>
      <w:r w:rsidRPr="00B72A96">
        <w:t>différences</w:t>
      </w:r>
      <w:proofErr w:type="spellEnd"/>
      <w:r w:rsidRPr="00B72A96">
        <w:t>. Development. 2015;142(1):9–12.</w:t>
      </w:r>
    </w:p>
    <w:p w14:paraId="2A5D4350" w14:textId="77777777" w:rsidR="008A0113" w:rsidRPr="00B72A96" w:rsidRDefault="00000000" w:rsidP="00BD5E4C">
      <w:pPr>
        <w:pStyle w:val="ListParagraph"/>
        <w:numPr>
          <w:ilvl w:val="0"/>
          <w:numId w:val="17"/>
        </w:numPr>
        <w:ind w:left="0" w:firstLine="0"/>
        <w:mirrorIndents/>
      </w:pPr>
      <w:proofErr w:type="spellStart"/>
      <w:r w:rsidRPr="00B72A96">
        <w:t>Molè</w:t>
      </w:r>
      <w:proofErr w:type="spellEnd"/>
      <w:r w:rsidRPr="00B72A96">
        <w:t xml:space="preserve"> MA, </w:t>
      </w:r>
      <w:proofErr w:type="spellStart"/>
      <w:r w:rsidRPr="00B72A96">
        <w:t>Weberling</w:t>
      </w:r>
      <w:proofErr w:type="spellEnd"/>
      <w:r w:rsidRPr="00B72A96">
        <w:t xml:space="preserve"> A, </w:t>
      </w:r>
      <w:proofErr w:type="spellStart"/>
      <w:r w:rsidRPr="00B72A96">
        <w:t>Zernicka</w:t>
      </w:r>
      <w:proofErr w:type="spellEnd"/>
      <w:r w:rsidRPr="00B72A96">
        <w:t xml:space="preserve">-Goetz M. Comparative analysis of human and mouse development: from zygote to pre-gastrulation. Curr Top Dev Biol. </w:t>
      </w:r>
      <w:proofErr w:type="gramStart"/>
      <w:r w:rsidRPr="00B72A96">
        <w:t>2020;136:113</w:t>
      </w:r>
      <w:proofErr w:type="gramEnd"/>
      <w:r w:rsidRPr="00B72A96">
        <w:t>–38.</w:t>
      </w:r>
    </w:p>
    <w:p w14:paraId="56EC2BCD" w14:textId="77777777" w:rsidR="008A0113" w:rsidRPr="00B72A96" w:rsidRDefault="00000000" w:rsidP="00BD5E4C">
      <w:pPr>
        <w:pStyle w:val="ListParagraph"/>
        <w:numPr>
          <w:ilvl w:val="0"/>
          <w:numId w:val="17"/>
        </w:numPr>
        <w:ind w:left="0" w:firstLine="0"/>
        <w:mirrorIndents/>
      </w:pPr>
      <w:r w:rsidRPr="00B72A96">
        <w:t>Loh KM, et al. Efficient endoderm induction from human pluripotent stem cells by logically directing signals controlling lineage bifurcations. Cell Stem Cell. 2014;14(2):237–52.</w:t>
      </w:r>
    </w:p>
    <w:p w14:paraId="3D594C36" w14:textId="77777777" w:rsidR="008A0113" w:rsidRPr="00B72A96" w:rsidRDefault="00000000" w:rsidP="00BD5E4C">
      <w:pPr>
        <w:pStyle w:val="ListParagraph"/>
        <w:numPr>
          <w:ilvl w:val="0"/>
          <w:numId w:val="17"/>
        </w:numPr>
        <w:ind w:left="0" w:firstLine="0"/>
        <w:mirrorIndents/>
      </w:pPr>
      <w:r w:rsidRPr="00B72A96">
        <w:t>Loh KM, et al. Mapping the pairwise choices leading from pluripotency to human bone, heart, and other mesoderm cell types. Cell. 2016;166(2):451–67.</w:t>
      </w:r>
    </w:p>
    <w:p w14:paraId="25CD8D4F" w14:textId="77777777" w:rsidR="008A0113" w:rsidRPr="00B72A96" w:rsidRDefault="00000000" w:rsidP="00BD5E4C">
      <w:pPr>
        <w:pStyle w:val="ListParagraph"/>
        <w:numPr>
          <w:ilvl w:val="0"/>
          <w:numId w:val="17"/>
        </w:numPr>
        <w:ind w:left="0" w:firstLine="0"/>
        <w:mirrorIndents/>
      </w:pPr>
      <w:proofErr w:type="spellStart"/>
      <w:r w:rsidRPr="00B72A96">
        <w:t>Tchieu</w:t>
      </w:r>
      <w:proofErr w:type="spellEnd"/>
      <w:r w:rsidRPr="00B72A96">
        <w:t xml:space="preserve"> J, et al. A modular platform for differentiation of human PSCs into all major ectodermal lineages. Cell Stem Cell. 2017;21(3):399–410.e7.</w:t>
      </w:r>
    </w:p>
    <w:p w14:paraId="59B2D36F" w14:textId="77777777" w:rsidR="008A0113" w:rsidRPr="00B72A96" w:rsidRDefault="00000000" w:rsidP="00BD5E4C">
      <w:pPr>
        <w:pStyle w:val="ListParagraph"/>
        <w:numPr>
          <w:ilvl w:val="0"/>
          <w:numId w:val="17"/>
        </w:numPr>
        <w:ind w:left="0" w:firstLine="0"/>
        <w:mirrorIndents/>
      </w:pPr>
      <w:r w:rsidRPr="00B72A96">
        <w:lastRenderedPageBreak/>
        <w:t>Moghe P, et al. Coupling of cell shape, matrix and tissue dynamics ensures embryonic patterning robustness. Nat Cell Biol. 2025;27(3):408–23.</w:t>
      </w:r>
    </w:p>
    <w:p w14:paraId="3C662AF5" w14:textId="77777777" w:rsidR="008A0113" w:rsidRPr="00B72A96" w:rsidRDefault="00000000" w:rsidP="00BD5E4C">
      <w:pPr>
        <w:pStyle w:val="ListParagraph"/>
        <w:numPr>
          <w:ilvl w:val="0"/>
          <w:numId w:val="17"/>
        </w:numPr>
        <w:ind w:left="0" w:firstLine="0"/>
        <w:mirrorIndents/>
      </w:pPr>
      <w:proofErr w:type="spellStart"/>
      <w:r w:rsidRPr="00B72A96">
        <w:t>Rossant</w:t>
      </w:r>
      <w:proofErr w:type="spellEnd"/>
      <w:r w:rsidRPr="00B72A96">
        <w:t xml:space="preserve"> J, Tam PPL. Opportunities and challenges with stem cell-based embryo models. Stem Cell Reports. 2021;16(5):1031–8.</w:t>
      </w:r>
    </w:p>
    <w:p w14:paraId="368AC67B" w14:textId="77777777" w:rsidR="008A0113" w:rsidRPr="00B72A96" w:rsidRDefault="00000000" w:rsidP="00BD5E4C">
      <w:pPr>
        <w:pStyle w:val="ListParagraph"/>
        <w:numPr>
          <w:ilvl w:val="0"/>
          <w:numId w:val="17"/>
        </w:numPr>
        <w:ind w:left="0" w:firstLine="0"/>
        <w:mirrorIndents/>
      </w:pPr>
      <w:r w:rsidRPr="00B72A96">
        <w:t>Oldak B, et al. Complete human day 14 post-implantation embryo models from naive ES cells. Nature. 2023;622(7983):562–73.</w:t>
      </w:r>
    </w:p>
    <w:p w14:paraId="04ED2F7C" w14:textId="77777777" w:rsidR="008A0113" w:rsidRPr="00B72A96" w:rsidRDefault="00000000" w:rsidP="00BD5E4C">
      <w:pPr>
        <w:pStyle w:val="ListParagraph"/>
        <w:numPr>
          <w:ilvl w:val="0"/>
          <w:numId w:val="17"/>
        </w:numPr>
        <w:ind w:left="0" w:firstLine="0"/>
        <w:mirrorIndents/>
      </w:pPr>
      <w:r w:rsidRPr="00B72A96">
        <w:t xml:space="preserve">Fu J, </w:t>
      </w:r>
      <w:proofErr w:type="spellStart"/>
      <w:r w:rsidRPr="00B72A96">
        <w:t>Warmflash</w:t>
      </w:r>
      <w:proofErr w:type="spellEnd"/>
      <w:r w:rsidRPr="00B72A96">
        <w:t xml:space="preserve"> A, </w:t>
      </w:r>
      <w:proofErr w:type="spellStart"/>
      <w:r w:rsidRPr="00B72A96">
        <w:t>Lutolf</w:t>
      </w:r>
      <w:proofErr w:type="spellEnd"/>
      <w:r w:rsidRPr="00B72A96">
        <w:t xml:space="preserve"> MP. Stem-cell-based embryo models for fundamental research and translation. Nat Mater. 2021;20(2):132–44.</w:t>
      </w:r>
    </w:p>
    <w:p w14:paraId="1A435083" w14:textId="77777777" w:rsidR="008A0113" w:rsidRPr="00B72A96" w:rsidRDefault="00000000" w:rsidP="00BD5E4C">
      <w:pPr>
        <w:pStyle w:val="ListParagraph"/>
        <w:numPr>
          <w:ilvl w:val="0"/>
          <w:numId w:val="17"/>
        </w:numPr>
        <w:ind w:left="0" w:firstLine="0"/>
        <w:mirrorIndents/>
      </w:pPr>
      <w:proofErr w:type="spellStart"/>
      <w:r w:rsidRPr="00B72A96">
        <w:t>Niehrs</w:t>
      </w:r>
      <w:proofErr w:type="spellEnd"/>
      <w:r w:rsidRPr="00B72A96">
        <w:t xml:space="preserve"> C. The Spemann organizer and embryonic head induction. EMBO J. 2001;20(4):631–7.</w:t>
      </w:r>
    </w:p>
    <w:p w14:paraId="2374685D" w14:textId="77777777" w:rsidR="008A0113" w:rsidRPr="00B72A96" w:rsidRDefault="00000000" w:rsidP="00BD5E4C">
      <w:pPr>
        <w:pStyle w:val="ListParagraph"/>
        <w:numPr>
          <w:ilvl w:val="0"/>
          <w:numId w:val="17"/>
        </w:numPr>
        <w:ind w:left="0" w:firstLine="0"/>
        <w:mirrorIndents/>
      </w:pPr>
      <w:proofErr w:type="spellStart"/>
      <w:r w:rsidRPr="00B72A96">
        <w:t>Sasai</w:t>
      </w:r>
      <w:proofErr w:type="spellEnd"/>
      <w:r w:rsidRPr="00B72A96">
        <w:t xml:space="preserve"> Y, Lu B, Steinbeisser H, De Robertis EM. Regulation of neural induction by the </w:t>
      </w:r>
      <w:proofErr w:type="spellStart"/>
      <w:r w:rsidRPr="00B72A96">
        <w:t>Chd</w:t>
      </w:r>
      <w:proofErr w:type="spellEnd"/>
      <w:r w:rsidRPr="00B72A96">
        <w:t xml:space="preserve"> and Bmp-4 antagonistic patterning signals in Xenopus. Nature. 1995;378(6555):419–22.</w:t>
      </w:r>
    </w:p>
    <w:p w14:paraId="43D48928" w14:textId="77777777" w:rsidR="008A0113" w:rsidRPr="00B72A96" w:rsidRDefault="00000000" w:rsidP="00BD5E4C">
      <w:pPr>
        <w:pStyle w:val="ListParagraph"/>
        <w:numPr>
          <w:ilvl w:val="0"/>
          <w:numId w:val="17"/>
        </w:numPr>
        <w:ind w:left="0" w:firstLine="0"/>
        <w:mirrorIndents/>
      </w:pPr>
      <w:proofErr w:type="spellStart"/>
      <w:r w:rsidRPr="00B72A96">
        <w:t>Rossant</w:t>
      </w:r>
      <w:proofErr w:type="spellEnd"/>
      <w:r w:rsidRPr="00B72A96">
        <w:t xml:space="preserve"> J, Tam PPL. Emerging asymmetry and embryonic patterning in early mouse development. Dev Cell. 2004;7(2):155–64.</w:t>
      </w:r>
    </w:p>
    <w:p w14:paraId="4B9EA769" w14:textId="77777777" w:rsidR="008A0113" w:rsidRPr="00B72A96" w:rsidRDefault="00000000" w:rsidP="00BD5E4C">
      <w:pPr>
        <w:pStyle w:val="ListParagraph"/>
        <w:numPr>
          <w:ilvl w:val="0"/>
          <w:numId w:val="17"/>
        </w:numPr>
        <w:ind w:left="0" w:firstLine="0"/>
        <w:mirrorIndents/>
      </w:pPr>
      <w:r w:rsidRPr="00B72A96">
        <w:t xml:space="preserve">Steventon B, et al. Differential requirements of BMP and </w:t>
      </w:r>
      <w:proofErr w:type="spellStart"/>
      <w:r w:rsidRPr="00B72A96">
        <w:t>Wnt</w:t>
      </w:r>
      <w:proofErr w:type="spellEnd"/>
      <w:r w:rsidRPr="00B72A96">
        <w:t xml:space="preserve"> </w:t>
      </w:r>
      <w:proofErr w:type="spellStart"/>
      <w:r w:rsidRPr="00B72A96">
        <w:t>signalling</w:t>
      </w:r>
      <w:proofErr w:type="spellEnd"/>
      <w:r w:rsidRPr="00B72A96">
        <w:t xml:space="preserve"> during gastrulation and neurulation define two steps in neural crest induction. Development. 2009;136(5):771–9.</w:t>
      </w:r>
    </w:p>
    <w:p w14:paraId="208945DB" w14:textId="77777777" w:rsidR="008A0113" w:rsidRPr="00B72A96" w:rsidRDefault="00000000" w:rsidP="00BD5E4C">
      <w:pPr>
        <w:pStyle w:val="ListParagraph"/>
        <w:numPr>
          <w:ilvl w:val="0"/>
          <w:numId w:val="17"/>
        </w:numPr>
        <w:ind w:left="0" w:firstLine="0"/>
        <w:mirrorIndents/>
      </w:pPr>
      <w:proofErr w:type="spellStart"/>
      <w:r w:rsidRPr="00B72A96">
        <w:t>Morgani</w:t>
      </w:r>
      <w:proofErr w:type="spellEnd"/>
      <w:r w:rsidRPr="00B72A96">
        <w:t xml:space="preserve"> SM, </w:t>
      </w:r>
      <w:proofErr w:type="spellStart"/>
      <w:r w:rsidRPr="00B72A96">
        <w:t>Hadjantonakis</w:t>
      </w:r>
      <w:proofErr w:type="spellEnd"/>
      <w:r w:rsidRPr="00B72A96">
        <w:t xml:space="preserve"> AK. Signaling regulation during gastrulation: insights from mouse embryos and in vitro systems. Curr Top Dev Biol. </w:t>
      </w:r>
      <w:proofErr w:type="gramStart"/>
      <w:r w:rsidRPr="00B72A96">
        <w:t>2020;137:391</w:t>
      </w:r>
      <w:proofErr w:type="gramEnd"/>
      <w:r w:rsidRPr="00B72A96">
        <w:t>–431.</w:t>
      </w:r>
    </w:p>
    <w:p w14:paraId="4D49ACD0" w14:textId="77777777" w:rsidR="008A0113" w:rsidRPr="00B72A96" w:rsidRDefault="00000000" w:rsidP="00BD5E4C">
      <w:pPr>
        <w:pStyle w:val="ListParagraph"/>
        <w:numPr>
          <w:ilvl w:val="0"/>
          <w:numId w:val="17"/>
        </w:numPr>
        <w:ind w:left="0" w:firstLine="0"/>
        <w:mirrorIndents/>
      </w:pPr>
      <w:proofErr w:type="spellStart"/>
      <w:r w:rsidRPr="00B72A96">
        <w:t>Sasai</w:t>
      </w:r>
      <w:proofErr w:type="spellEnd"/>
      <w:r w:rsidRPr="00B72A96">
        <w:t xml:space="preserve"> Y, De Robertis EM. Ectodermal patterning in vertebrate embryos. Dev Biol. 1997;182(1):5–20.</w:t>
      </w:r>
    </w:p>
    <w:p w14:paraId="1E7781A1" w14:textId="77777777" w:rsidR="008A0113" w:rsidRPr="00B72A96" w:rsidRDefault="00000000" w:rsidP="00BD5E4C">
      <w:pPr>
        <w:pStyle w:val="ListParagraph"/>
        <w:numPr>
          <w:ilvl w:val="0"/>
          <w:numId w:val="17"/>
        </w:numPr>
        <w:ind w:left="0" w:firstLine="0"/>
        <w:mirrorIndents/>
      </w:pPr>
      <w:r w:rsidRPr="00B72A96">
        <w:t xml:space="preserve">Takata N, </w:t>
      </w:r>
      <w:proofErr w:type="spellStart"/>
      <w:r w:rsidRPr="00B72A96">
        <w:t>Sakakura</w:t>
      </w:r>
      <w:proofErr w:type="spellEnd"/>
      <w:r w:rsidRPr="00B72A96">
        <w:t xml:space="preserve"> E, </w:t>
      </w:r>
      <w:proofErr w:type="spellStart"/>
      <w:r w:rsidRPr="00B72A96">
        <w:t>Eiraku</w:t>
      </w:r>
      <w:proofErr w:type="spellEnd"/>
      <w:r w:rsidRPr="00B72A96">
        <w:t xml:space="preserve"> M, </w:t>
      </w:r>
      <w:proofErr w:type="spellStart"/>
      <w:r w:rsidRPr="00B72A96">
        <w:t>Kasukawa</w:t>
      </w:r>
      <w:proofErr w:type="spellEnd"/>
      <w:r w:rsidRPr="00B72A96">
        <w:t xml:space="preserve"> T, </w:t>
      </w:r>
      <w:proofErr w:type="spellStart"/>
      <w:r w:rsidRPr="00B72A96">
        <w:t>Sasai</w:t>
      </w:r>
      <w:proofErr w:type="spellEnd"/>
      <w:r w:rsidRPr="00B72A96">
        <w:t xml:space="preserve"> Y. Self-patterning of rostral-caudal neuroectoderm requires dual role of </w:t>
      </w:r>
      <w:proofErr w:type="spellStart"/>
      <w:r w:rsidRPr="00B72A96">
        <w:t>Fgf</w:t>
      </w:r>
      <w:proofErr w:type="spellEnd"/>
      <w:r w:rsidRPr="00B72A96">
        <w:t xml:space="preserve"> signaling for localized </w:t>
      </w:r>
      <w:proofErr w:type="spellStart"/>
      <w:r w:rsidRPr="00B72A96">
        <w:t>Wnt</w:t>
      </w:r>
      <w:proofErr w:type="spellEnd"/>
      <w:r w:rsidRPr="00B72A96">
        <w:t xml:space="preserve"> antagonism. Nat Commun. </w:t>
      </w:r>
      <w:proofErr w:type="gramStart"/>
      <w:r w:rsidRPr="00B72A96">
        <w:t>2017;8:12501</w:t>
      </w:r>
      <w:proofErr w:type="gramEnd"/>
      <w:r w:rsidRPr="00B72A96">
        <w:t>.</w:t>
      </w:r>
    </w:p>
    <w:p w14:paraId="69B4BDB3" w14:textId="77777777" w:rsidR="008A0113" w:rsidRPr="00B72A96" w:rsidRDefault="00000000" w:rsidP="00BD5E4C">
      <w:pPr>
        <w:pStyle w:val="ListParagraph"/>
        <w:numPr>
          <w:ilvl w:val="0"/>
          <w:numId w:val="17"/>
        </w:numPr>
        <w:ind w:left="0" w:firstLine="0"/>
        <w:mirrorIndents/>
      </w:pPr>
      <w:r w:rsidRPr="00B72A96">
        <w:t xml:space="preserve">Watanabe K, et al. Directed differentiation of telencephalic precursors from embryonic stem cells. Nat </w:t>
      </w:r>
      <w:proofErr w:type="spellStart"/>
      <w:r w:rsidRPr="00B72A96">
        <w:t>Neurosci</w:t>
      </w:r>
      <w:proofErr w:type="spellEnd"/>
      <w:r w:rsidRPr="00B72A96">
        <w:t>. 2005;8(3):288–96.</w:t>
      </w:r>
    </w:p>
    <w:p w14:paraId="55DE6F6A" w14:textId="77777777" w:rsidR="008A0113" w:rsidRPr="00B72A96" w:rsidRDefault="00000000" w:rsidP="00BD5E4C">
      <w:pPr>
        <w:pStyle w:val="ListParagraph"/>
        <w:numPr>
          <w:ilvl w:val="0"/>
          <w:numId w:val="17"/>
        </w:numPr>
        <w:ind w:left="0" w:firstLine="0"/>
        <w:mirrorIndents/>
      </w:pPr>
      <w:r w:rsidRPr="00B72A96">
        <w:t>de Jaime-</w:t>
      </w:r>
      <w:proofErr w:type="spellStart"/>
      <w:r w:rsidRPr="00B72A96">
        <w:t>Soguero</w:t>
      </w:r>
      <w:proofErr w:type="spellEnd"/>
      <w:r w:rsidRPr="00B72A96">
        <w:t xml:space="preserve"> A, et al. Long-term prevention of aneuploidy in human pluripotent stem cells by fine-tuning GSK3 activity. bioRxiv. 2025:2025.10.27.684724. Available from: https://doi.org/10.1101/2025.10.27.684724</w:t>
      </w:r>
    </w:p>
    <w:p w14:paraId="51652B38" w14:textId="77777777" w:rsidR="008A0113" w:rsidRPr="00B72A96" w:rsidRDefault="00000000" w:rsidP="00BD5E4C">
      <w:pPr>
        <w:pStyle w:val="ListParagraph"/>
        <w:numPr>
          <w:ilvl w:val="0"/>
          <w:numId w:val="17"/>
        </w:numPr>
        <w:ind w:left="0" w:firstLine="0"/>
        <w:mirrorIndents/>
      </w:pPr>
      <w:r w:rsidRPr="00B72A96">
        <w:t>de Jaime-</w:t>
      </w:r>
      <w:proofErr w:type="spellStart"/>
      <w:r w:rsidRPr="00B72A96">
        <w:t>Soguero</w:t>
      </w:r>
      <w:proofErr w:type="spellEnd"/>
      <w:r w:rsidRPr="00B72A96">
        <w:t xml:space="preserve"> A, et al. Developmental signals control chromosome segregation fidelity during pluripotency and neurogenesis by modulating replicative stress. Nat Commun. 2024;15(1):634.</w:t>
      </w:r>
    </w:p>
    <w:p w14:paraId="3137EAE5" w14:textId="77777777" w:rsidR="008A0113" w:rsidRPr="00B72A96" w:rsidRDefault="00000000" w:rsidP="00BD5E4C">
      <w:pPr>
        <w:pStyle w:val="ListParagraph"/>
        <w:numPr>
          <w:ilvl w:val="0"/>
          <w:numId w:val="17"/>
        </w:numPr>
        <w:ind w:left="0" w:firstLine="0"/>
        <w:mirrorIndents/>
      </w:pPr>
      <w:r w:rsidRPr="00B72A96">
        <w:t>Lamm N, et al. Genomic instability in human pluripotent stem cells arises from replicative stress and chromosome condensation defects. Cell Stem Cell. 2016;18(2):253–61.</w:t>
      </w:r>
    </w:p>
    <w:p w14:paraId="493B2E14" w14:textId="77777777" w:rsidR="008A0113" w:rsidRPr="00B72A96" w:rsidRDefault="00000000" w:rsidP="00BD5E4C">
      <w:pPr>
        <w:pStyle w:val="ListParagraph"/>
        <w:numPr>
          <w:ilvl w:val="0"/>
          <w:numId w:val="17"/>
        </w:numPr>
        <w:ind w:left="0" w:firstLine="0"/>
        <w:mirrorIndents/>
      </w:pPr>
      <w:r w:rsidRPr="00B72A96">
        <w:t>Na J, et al. Aneuploidy in pluripotent stem cells and implications for cancerous transformation. Protein Cell. 2014;5(8):569–79.</w:t>
      </w:r>
    </w:p>
    <w:p w14:paraId="7E639BC4" w14:textId="77777777" w:rsidR="008A0113" w:rsidRPr="00B72A96" w:rsidRDefault="00000000" w:rsidP="00BD5E4C">
      <w:pPr>
        <w:pStyle w:val="ListParagraph"/>
        <w:numPr>
          <w:ilvl w:val="0"/>
          <w:numId w:val="17"/>
        </w:numPr>
        <w:ind w:left="0" w:firstLine="0"/>
        <w:mirrorIndents/>
      </w:pPr>
      <w:r w:rsidRPr="00B72A96">
        <w:t>Jacobs K, et al. Higher-density culture in human embryonic stem cells results in DNA damage and genome instability. Stem Cell Reports. 2016;6(3):330–41.</w:t>
      </w:r>
    </w:p>
    <w:p w14:paraId="4E5B9AA0" w14:textId="77777777" w:rsidR="008A0113" w:rsidRPr="00B72A96" w:rsidRDefault="00000000" w:rsidP="00BD5E4C">
      <w:pPr>
        <w:pStyle w:val="ListParagraph"/>
        <w:numPr>
          <w:ilvl w:val="0"/>
          <w:numId w:val="17"/>
        </w:numPr>
        <w:ind w:left="0" w:firstLine="0"/>
        <w:mirrorIndents/>
      </w:pPr>
      <w:proofErr w:type="spellStart"/>
      <w:r w:rsidRPr="00B72A96">
        <w:t>Acebrón</w:t>
      </w:r>
      <w:proofErr w:type="spellEnd"/>
      <w:r w:rsidRPr="00B72A96">
        <w:t xml:space="preserve"> SP, Hattemer J, Rausch T, De Jaime-</w:t>
      </w:r>
      <w:proofErr w:type="spellStart"/>
      <w:r w:rsidRPr="00B72A96">
        <w:t>Soguero</w:t>
      </w:r>
      <w:proofErr w:type="spellEnd"/>
      <w:r w:rsidRPr="00B72A96">
        <w:t xml:space="preserve"> A. Morphogen gradients as drivers of mosaicism during early human development. </w:t>
      </w:r>
      <w:proofErr w:type="spellStart"/>
      <w:r w:rsidRPr="00B72A96">
        <w:t>BioEssays</w:t>
      </w:r>
      <w:proofErr w:type="spellEnd"/>
      <w:r w:rsidRPr="00B72A96">
        <w:t>. 2026;</w:t>
      </w:r>
      <w:proofErr w:type="gramStart"/>
      <w:r w:rsidRPr="00B72A96">
        <w:t>48:e</w:t>
      </w:r>
      <w:proofErr w:type="gramEnd"/>
      <w:r w:rsidRPr="00B72A96">
        <w:t>70128.</w:t>
      </w:r>
    </w:p>
    <w:p w14:paraId="2B47BFAC" w14:textId="77777777" w:rsidR="008A0113" w:rsidRPr="00B72A96" w:rsidRDefault="00000000" w:rsidP="00BD5E4C">
      <w:pPr>
        <w:pStyle w:val="ListParagraph"/>
        <w:numPr>
          <w:ilvl w:val="0"/>
          <w:numId w:val="17"/>
        </w:numPr>
        <w:ind w:left="0" w:firstLine="0"/>
        <w:mirrorIndents/>
      </w:pPr>
      <w:r w:rsidRPr="00B72A96">
        <w:t xml:space="preserve">Bufe A, et al. </w:t>
      </w:r>
      <w:proofErr w:type="spellStart"/>
      <w:r w:rsidRPr="00B72A96">
        <w:t>Wnt</w:t>
      </w:r>
      <w:proofErr w:type="spellEnd"/>
      <w:r w:rsidRPr="00B72A96">
        <w:t xml:space="preserve"> signaling recruits KIF2A to the spindle to ensure chromosome congression and alignment during mitosis. Cell Death </w:t>
      </w:r>
      <w:proofErr w:type="spellStart"/>
      <w:r w:rsidRPr="00B72A96">
        <w:t>Discov</w:t>
      </w:r>
      <w:proofErr w:type="spellEnd"/>
      <w:r w:rsidRPr="00B72A96">
        <w:t>. 2021;7(1):263.</w:t>
      </w:r>
    </w:p>
    <w:p w14:paraId="6AC7C077" w14:textId="77777777" w:rsidR="008A0113" w:rsidRPr="00B72A96" w:rsidRDefault="00000000" w:rsidP="00BD5E4C">
      <w:pPr>
        <w:pStyle w:val="ListParagraph"/>
        <w:numPr>
          <w:ilvl w:val="0"/>
          <w:numId w:val="17"/>
        </w:numPr>
        <w:ind w:left="0" w:firstLine="0"/>
        <w:mirrorIndents/>
      </w:pPr>
      <w:r w:rsidRPr="00B72A96">
        <w:t xml:space="preserve">Lam AQ, et al. Rapid and efficient differentiation of human pluripotent stem cells into intermediate mesoderm that forms tubules expressing kidney proximal tubular markers. J Am </w:t>
      </w:r>
      <w:r w:rsidRPr="00B72A96">
        <w:lastRenderedPageBreak/>
        <w:t>Soc Nephrol. 2014;25(6):1211–25.</w:t>
      </w:r>
    </w:p>
    <w:p w14:paraId="0C2F833B" w14:textId="77777777" w:rsidR="008A0113" w:rsidRPr="00B72A96" w:rsidRDefault="00000000" w:rsidP="00BD5E4C">
      <w:pPr>
        <w:pStyle w:val="ListParagraph"/>
        <w:numPr>
          <w:ilvl w:val="0"/>
          <w:numId w:val="17"/>
        </w:numPr>
        <w:ind w:left="0" w:firstLine="0"/>
        <w:mirrorIndents/>
      </w:pPr>
      <w:r w:rsidRPr="00B72A96">
        <w:t>Boon R, et al. Amino acid levels determine metabolism and CYP450 function of hepatocytes and hepatoma cell lines. Nat Commun. 2020;11(1):1393.</w:t>
      </w:r>
    </w:p>
    <w:p w14:paraId="15CA146D" w14:textId="77777777" w:rsidR="008A0113" w:rsidRPr="00B72A96" w:rsidRDefault="00000000" w:rsidP="00BD5E4C">
      <w:pPr>
        <w:pStyle w:val="ListParagraph"/>
        <w:numPr>
          <w:ilvl w:val="0"/>
          <w:numId w:val="17"/>
        </w:numPr>
        <w:ind w:left="0" w:firstLine="0"/>
        <w:mirrorIndents/>
      </w:pPr>
      <w:r w:rsidRPr="00B72A96">
        <w:t xml:space="preserve">Ben-David U, et al. Aneuploidy induces profound changes in gene expression, proliferation and tumorigenicity of human pluripotent stem cells. Nat Commun. </w:t>
      </w:r>
      <w:proofErr w:type="gramStart"/>
      <w:r w:rsidRPr="00B72A96">
        <w:t>2014;5:4825</w:t>
      </w:r>
      <w:proofErr w:type="gramEnd"/>
      <w:r w:rsidRPr="00B72A96">
        <w:t>.</w:t>
      </w:r>
    </w:p>
    <w:p w14:paraId="047E5099" w14:textId="77777777" w:rsidR="008A0113" w:rsidRPr="00B72A96" w:rsidRDefault="00000000" w:rsidP="00BD5E4C">
      <w:pPr>
        <w:pStyle w:val="ListParagraph"/>
        <w:numPr>
          <w:ilvl w:val="0"/>
          <w:numId w:val="17"/>
        </w:numPr>
        <w:ind w:left="0" w:firstLine="0"/>
        <w:mirrorIndents/>
      </w:pPr>
      <w:r w:rsidRPr="00B72A96">
        <w:t>Ben-David U, Amon A. Context is everything: aneuploidy in cancer. Nat Rev Genet. 2020;21(1):44–62.</w:t>
      </w:r>
    </w:p>
    <w:p w14:paraId="7CE6BD7E" w14:textId="77777777" w:rsidR="008A0113" w:rsidRPr="00B72A96" w:rsidRDefault="00000000" w:rsidP="00BD5E4C">
      <w:pPr>
        <w:pStyle w:val="ListParagraph"/>
        <w:numPr>
          <w:ilvl w:val="0"/>
          <w:numId w:val="17"/>
        </w:numPr>
        <w:ind w:left="0" w:firstLine="0"/>
        <w:mirrorIndents/>
      </w:pPr>
      <w:r w:rsidRPr="00B72A96">
        <w:t xml:space="preserve">Krivec N, et al. Gain of 1q confers an MDM4-driven growth advantage to undifferentiated and differentiating </w:t>
      </w:r>
      <w:proofErr w:type="spellStart"/>
      <w:r w:rsidRPr="00B72A96">
        <w:t>hESC</w:t>
      </w:r>
      <w:proofErr w:type="spellEnd"/>
      <w:r w:rsidRPr="00B72A96">
        <w:t xml:space="preserve"> while altering their differentiation capacity. Cell Death Dis. 2024;15(11):852.</w:t>
      </w:r>
    </w:p>
    <w:p w14:paraId="3B0088A7" w14:textId="77777777" w:rsidR="008A0113" w:rsidRPr="00B72A96" w:rsidRDefault="00000000" w:rsidP="00BD5E4C">
      <w:pPr>
        <w:pStyle w:val="ListParagraph"/>
        <w:numPr>
          <w:ilvl w:val="0"/>
          <w:numId w:val="17"/>
        </w:numPr>
        <w:ind w:left="0" w:firstLine="0"/>
        <w:mirrorIndents/>
      </w:pPr>
      <w:r w:rsidRPr="00B72A96">
        <w:t>Zhang M, et al. Aneuploid embryonic stem cells exhibit impaired differentiation and increased neoplastic potential. EMBO J. 2016;35(21):2285–300.</w:t>
      </w:r>
    </w:p>
    <w:p w14:paraId="1E874E81" w14:textId="77777777" w:rsidR="008A0113" w:rsidRPr="00B72A96" w:rsidRDefault="00000000" w:rsidP="00BD5E4C">
      <w:pPr>
        <w:pStyle w:val="ListParagraph"/>
        <w:numPr>
          <w:ilvl w:val="0"/>
          <w:numId w:val="17"/>
        </w:numPr>
        <w:ind w:left="0" w:firstLine="0"/>
        <w:mirrorIndents/>
      </w:pPr>
      <w:r w:rsidRPr="00B72A96">
        <w:t>Su J, et al. Genomic integrity safeguards self-renewal in embryonic stem cells. Cell Rep. 2019;28(6):1400–</w:t>
      </w:r>
      <w:proofErr w:type="gramStart"/>
      <w:r w:rsidRPr="00B72A96">
        <w:t>9.e</w:t>
      </w:r>
      <w:proofErr w:type="gramEnd"/>
      <w:r w:rsidRPr="00B72A96">
        <w:t>4.</w:t>
      </w:r>
    </w:p>
    <w:p w14:paraId="47DB6A8D" w14:textId="77777777" w:rsidR="008A0113" w:rsidRPr="00B72A96" w:rsidRDefault="00000000" w:rsidP="00BD5E4C">
      <w:pPr>
        <w:pStyle w:val="ListParagraph"/>
        <w:numPr>
          <w:ilvl w:val="0"/>
          <w:numId w:val="17"/>
        </w:numPr>
        <w:ind w:left="0" w:firstLine="0"/>
        <w:mirrorIndents/>
      </w:pPr>
      <w:r w:rsidRPr="00B72A96">
        <w:t xml:space="preserve">Devalle S, et al. Implications of aneuploidy for stem cell biology and brain therapeutics. Front Cell </w:t>
      </w:r>
      <w:proofErr w:type="spellStart"/>
      <w:r w:rsidRPr="00B72A96">
        <w:t>Neurosci</w:t>
      </w:r>
      <w:proofErr w:type="spellEnd"/>
      <w:r w:rsidRPr="00B72A96">
        <w:t xml:space="preserve">. </w:t>
      </w:r>
      <w:proofErr w:type="gramStart"/>
      <w:r w:rsidRPr="00B72A96">
        <w:t>2012;6:20</w:t>
      </w:r>
      <w:proofErr w:type="gramEnd"/>
      <w:r w:rsidRPr="00B72A96">
        <w:t>.</w:t>
      </w:r>
    </w:p>
    <w:p w14:paraId="47938C32" w14:textId="77777777" w:rsidR="008A0113" w:rsidRPr="00B72A96" w:rsidRDefault="00000000" w:rsidP="00BD5E4C">
      <w:pPr>
        <w:pStyle w:val="ListParagraph"/>
        <w:numPr>
          <w:ilvl w:val="0"/>
          <w:numId w:val="17"/>
        </w:numPr>
        <w:ind w:left="0" w:firstLine="0"/>
        <w:mirrorIndents/>
      </w:pPr>
      <w:r w:rsidRPr="00B72A96">
        <w:t xml:space="preserve">Kurashima K, Kamikawa Y, </w:t>
      </w:r>
      <w:proofErr w:type="spellStart"/>
      <w:r w:rsidRPr="00B72A96">
        <w:t>Tsubouchi</w:t>
      </w:r>
      <w:proofErr w:type="spellEnd"/>
      <w:r w:rsidRPr="00B72A96">
        <w:t xml:space="preserve"> T. Embryonic stem cells maintain high origin activity and slow forks to coordinate replication with cell cycle progression. EMBO Rep. 2024;25(8):3757–76.</w:t>
      </w:r>
    </w:p>
    <w:p w14:paraId="0276465D" w14:textId="77777777" w:rsidR="008A0113" w:rsidRPr="00B72A96" w:rsidRDefault="00000000" w:rsidP="00BD5E4C">
      <w:pPr>
        <w:pStyle w:val="ListParagraph"/>
        <w:numPr>
          <w:ilvl w:val="0"/>
          <w:numId w:val="17"/>
        </w:numPr>
        <w:ind w:left="0" w:firstLine="0"/>
        <w:mirrorIndents/>
      </w:pPr>
      <w:r w:rsidRPr="00B72A96">
        <w:t xml:space="preserve">Matson JP, et al. Rapid DNA replication origin licensing protects stem cell pluripotency. </w:t>
      </w:r>
      <w:proofErr w:type="spellStart"/>
      <w:r w:rsidRPr="00B72A96">
        <w:t>eLife</w:t>
      </w:r>
      <w:proofErr w:type="spellEnd"/>
      <w:r w:rsidRPr="00B72A96">
        <w:t>. 2017;</w:t>
      </w:r>
      <w:proofErr w:type="gramStart"/>
      <w:r w:rsidRPr="00B72A96">
        <w:t>6:e</w:t>
      </w:r>
      <w:proofErr w:type="gramEnd"/>
      <w:r w:rsidRPr="00B72A96">
        <w:t>30473.</w:t>
      </w:r>
    </w:p>
    <w:p w14:paraId="0E761C5B" w14:textId="77777777" w:rsidR="008A0113" w:rsidRPr="00B72A96" w:rsidRDefault="00000000" w:rsidP="00BD5E4C">
      <w:pPr>
        <w:pStyle w:val="ListParagraph"/>
        <w:numPr>
          <w:ilvl w:val="0"/>
          <w:numId w:val="17"/>
        </w:numPr>
        <w:ind w:left="0" w:firstLine="0"/>
        <w:mirrorIndents/>
      </w:pPr>
      <w:proofErr w:type="spellStart"/>
      <w:r w:rsidRPr="00B72A96">
        <w:t>Böhly</w:t>
      </w:r>
      <w:proofErr w:type="spellEnd"/>
      <w:r w:rsidRPr="00B72A96">
        <w:t xml:space="preserve"> N, Kistner M, Bastians H. Mild replication stress causes aneuploidy by deregulating microtubule dynamics in mitosis. Cell Cycle. 2019;18(20):2770–83.</w:t>
      </w:r>
    </w:p>
    <w:p w14:paraId="642A75DF" w14:textId="77777777" w:rsidR="008A0113" w:rsidRPr="00B72A96" w:rsidRDefault="00000000" w:rsidP="00BD5E4C">
      <w:pPr>
        <w:pStyle w:val="ListParagraph"/>
        <w:numPr>
          <w:ilvl w:val="0"/>
          <w:numId w:val="17"/>
        </w:numPr>
        <w:ind w:left="0" w:firstLine="0"/>
        <w:mirrorIndents/>
      </w:pPr>
      <w:proofErr w:type="spellStart"/>
      <w:r w:rsidRPr="00B72A96">
        <w:t>Sofueva</w:t>
      </w:r>
      <w:proofErr w:type="spellEnd"/>
      <w:r w:rsidRPr="00B72A96">
        <w:t xml:space="preserve"> S, et al. Ultrafine anaphase bridges, broken DNA and illegitimate recombination induced by a replication fork barrier. Nucleic Acids Res. 2011;39(15):6568–84.</w:t>
      </w:r>
    </w:p>
    <w:p w14:paraId="4BF8E04D" w14:textId="77777777" w:rsidR="008A0113" w:rsidRPr="00B72A96" w:rsidRDefault="00000000" w:rsidP="00BD5E4C">
      <w:pPr>
        <w:pStyle w:val="ListParagraph"/>
        <w:numPr>
          <w:ilvl w:val="0"/>
          <w:numId w:val="17"/>
        </w:numPr>
        <w:ind w:left="0" w:firstLine="0"/>
        <w:mirrorIndents/>
      </w:pPr>
      <w:r w:rsidRPr="00B72A96">
        <w:t xml:space="preserve">Chan KL, North PS, Hickson ID. BLM is required for faithful chromosome </w:t>
      </w:r>
      <w:proofErr w:type="gramStart"/>
      <w:r w:rsidRPr="00B72A96">
        <w:t>segregation</w:t>
      </w:r>
      <w:proofErr w:type="gramEnd"/>
      <w:r w:rsidRPr="00B72A96">
        <w:t xml:space="preserve"> and its localization defines a class of ultrafine anaphase bridges. EMBO J. 2007;26(14):3397–409.</w:t>
      </w:r>
    </w:p>
    <w:p w14:paraId="25C1C038" w14:textId="77777777" w:rsidR="008A0113" w:rsidRPr="00B72A96" w:rsidRDefault="00000000" w:rsidP="00BD5E4C">
      <w:pPr>
        <w:pStyle w:val="ListParagraph"/>
        <w:numPr>
          <w:ilvl w:val="0"/>
          <w:numId w:val="17"/>
        </w:numPr>
        <w:ind w:left="0" w:firstLine="0"/>
        <w:mirrorIndents/>
      </w:pPr>
      <w:r w:rsidRPr="00B72A96">
        <w:t xml:space="preserve">Fenech M, et al. Micronuclei as biomarkers of DNA damage, aneuploidy, inducers of chromosomal hypermutation and as sources of pro-inflammatory DNA in humans. </w:t>
      </w:r>
      <w:proofErr w:type="spellStart"/>
      <w:r w:rsidRPr="00B72A96">
        <w:t>Mutat</w:t>
      </w:r>
      <w:proofErr w:type="spellEnd"/>
      <w:r w:rsidRPr="00B72A96">
        <w:t xml:space="preserve"> Res Rev </w:t>
      </w:r>
      <w:proofErr w:type="spellStart"/>
      <w:r w:rsidRPr="00B72A96">
        <w:t>Mutat</w:t>
      </w:r>
      <w:proofErr w:type="spellEnd"/>
      <w:r w:rsidRPr="00B72A96">
        <w:t xml:space="preserve"> Res. </w:t>
      </w:r>
      <w:proofErr w:type="gramStart"/>
      <w:r w:rsidRPr="00B72A96">
        <w:t>2020;786:108342</w:t>
      </w:r>
      <w:proofErr w:type="gramEnd"/>
      <w:r w:rsidRPr="00B72A96">
        <w:t>.</w:t>
      </w:r>
    </w:p>
    <w:p w14:paraId="14F7DA72" w14:textId="77777777" w:rsidR="008A0113" w:rsidRPr="00B72A96" w:rsidRDefault="00000000" w:rsidP="00BD5E4C">
      <w:pPr>
        <w:pStyle w:val="ListParagraph"/>
        <w:numPr>
          <w:ilvl w:val="0"/>
          <w:numId w:val="17"/>
        </w:numPr>
        <w:ind w:left="0" w:firstLine="0"/>
        <w:mirrorIndents/>
      </w:pPr>
      <w:r w:rsidRPr="00B72A96">
        <w:t xml:space="preserve">MacKenzie KJ, et al. </w:t>
      </w:r>
      <w:proofErr w:type="spellStart"/>
      <w:r w:rsidRPr="00B72A96">
        <w:t>cGAS</w:t>
      </w:r>
      <w:proofErr w:type="spellEnd"/>
      <w:r w:rsidRPr="00B72A96">
        <w:t xml:space="preserve"> surveillance of micronuclei links genome instability to innate immunity. Nature. 2017;548(7668):461–5.</w:t>
      </w:r>
    </w:p>
    <w:p w14:paraId="03840070" w14:textId="77777777" w:rsidR="008A0113" w:rsidRPr="00B72A96" w:rsidRDefault="00000000" w:rsidP="00BD5E4C">
      <w:pPr>
        <w:pStyle w:val="ListParagraph"/>
        <w:numPr>
          <w:ilvl w:val="0"/>
          <w:numId w:val="17"/>
        </w:numPr>
        <w:ind w:left="0" w:firstLine="0"/>
        <w:mirrorIndents/>
      </w:pPr>
      <w:r w:rsidRPr="00B72A96">
        <w:t xml:space="preserve">Berg S, et al. </w:t>
      </w:r>
      <w:proofErr w:type="spellStart"/>
      <w:r w:rsidRPr="00B72A96">
        <w:t>ilastik</w:t>
      </w:r>
      <w:proofErr w:type="spellEnd"/>
      <w:r w:rsidRPr="00B72A96">
        <w:t>: interactive machine learning for (bio)image analysis. Nat Methods. 2019;16(12):1226–32.</w:t>
      </w:r>
    </w:p>
    <w:p w14:paraId="7A1184ED" w14:textId="77777777" w:rsidR="008A0113" w:rsidRPr="00B72A96" w:rsidRDefault="00000000" w:rsidP="00BD5E4C">
      <w:pPr>
        <w:pStyle w:val="ListParagraph"/>
        <w:numPr>
          <w:ilvl w:val="0"/>
          <w:numId w:val="17"/>
        </w:numPr>
        <w:ind w:left="0" w:firstLine="0"/>
        <w:mirrorIndents/>
      </w:pPr>
      <w:r w:rsidRPr="00B72A96">
        <w:t xml:space="preserve">Stringer C, Wang T, </w:t>
      </w:r>
      <w:proofErr w:type="spellStart"/>
      <w:r w:rsidRPr="00B72A96">
        <w:t>Michaelos</w:t>
      </w:r>
      <w:proofErr w:type="spellEnd"/>
      <w:r w:rsidRPr="00B72A96">
        <w:t xml:space="preserve"> M, </w:t>
      </w:r>
      <w:proofErr w:type="spellStart"/>
      <w:r w:rsidRPr="00B72A96">
        <w:t>Pachitariu</w:t>
      </w:r>
      <w:proofErr w:type="spellEnd"/>
      <w:r w:rsidRPr="00B72A96">
        <w:t xml:space="preserve"> M. </w:t>
      </w:r>
      <w:proofErr w:type="spellStart"/>
      <w:r w:rsidRPr="00B72A96">
        <w:t>Cellpose</w:t>
      </w:r>
      <w:proofErr w:type="spellEnd"/>
      <w:r w:rsidRPr="00B72A96">
        <w:t>: a generalist algorithm for cellular segmentation. Nat Methods. 2021;18(1):100–6.</w:t>
      </w:r>
    </w:p>
    <w:p w14:paraId="0D2579CD" w14:textId="77777777" w:rsidR="008A0113" w:rsidRPr="00B72A96" w:rsidRDefault="00000000" w:rsidP="00BD5E4C">
      <w:pPr>
        <w:pStyle w:val="ListParagraph"/>
        <w:numPr>
          <w:ilvl w:val="0"/>
          <w:numId w:val="17"/>
        </w:numPr>
        <w:ind w:left="0" w:firstLine="0"/>
        <w:mirrorIndents/>
      </w:pPr>
      <w:r w:rsidRPr="00B72A96">
        <w:t>Shahbazi MN, Pasque V. Early human development and stem cell-based human embryo models. Cell Stem Cell. 2024;31(10):1398–418.</w:t>
      </w:r>
    </w:p>
    <w:p w14:paraId="71BE7121" w14:textId="77777777" w:rsidR="008A0113" w:rsidRPr="00B72A96" w:rsidRDefault="00000000" w:rsidP="00BD5E4C">
      <w:pPr>
        <w:pStyle w:val="ListParagraph"/>
        <w:numPr>
          <w:ilvl w:val="0"/>
          <w:numId w:val="17"/>
        </w:numPr>
        <w:ind w:left="0" w:firstLine="0"/>
        <w:mirrorIndents/>
      </w:pPr>
      <w:r w:rsidRPr="00B72A96">
        <w:t>Dobbs FM, et al. Precision digital mapping of endogenous and induced genomic DNA breaks by INDUCE-seq. Nat Commun. 2022;13(1):3989.</w:t>
      </w:r>
    </w:p>
    <w:p w14:paraId="1D5FB7B3" w14:textId="59DCF7A9" w:rsidR="008A0113" w:rsidRDefault="00000000" w:rsidP="00BD5E4C">
      <w:pPr>
        <w:pStyle w:val="ListParagraph"/>
        <w:numPr>
          <w:ilvl w:val="0"/>
          <w:numId w:val="17"/>
        </w:numPr>
        <w:ind w:left="0" w:firstLine="0"/>
        <w:mirrorIndents/>
      </w:pPr>
      <w:proofErr w:type="spellStart"/>
      <w:r w:rsidRPr="00B72A96">
        <w:t>Minussi</w:t>
      </w:r>
      <w:proofErr w:type="spellEnd"/>
      <w:r w:rsidRPr="00B72A96">
        <w:t xml:space="preserve"> DC, et al. Breast </w:t>
      </w:r>
      <w:proofErr w:type="spellStart"/>
      <w:r w:rsidRPr="00B72A96">
        <w:t>tumours</w:t>
      </w:r>
      <w:proofErr w:type="spellEnd"/>
      <w:r w:rsidRPr="00B72A96">
        <w:t xml:space="preserve"> maintain a reservoir of </w:t>
      </w:r>
      <w:proofErr w:type="spellStart"/>
      <w:r w:rsidRPr="00B72A96">
        <w:t>subclonal</w:t>
      </w:r>
      <w:proofErr w:type="spellEnd"/>
      <w:r w:rsidRPr="00B72A96">
        <w:t xml:space="preserve"> diversity during expansion. Nature. 2021;592(7852):302–8.</w:t>
      </w:r>
    </w:p>
    <w:p w14:paraId="50DDD081" w14:textId="77777777" w:rsidR="00390F9D" w:rsidRDefault="00390F9D" w:rsidP="00390F9D">
      <w:pPr>
        <w:pStyle w:val="ListParagraph"/>
        <w:numPr>
          <w:ilvl w:val="0"/>
          <w:numId w:val="17"/>
        </w:numPr>
        <w:mirrorIndents/>
      </w:pPr>
      <w:r>
        <w:t xml:space="preserve">Kafer GR, et al. Replication stress tolerance and management differs between naïve and primed pluripotent cells. bioRxiv. 2022:2022.05.12.491744. </w:t>
      </w:r>
    </w:p>
    <w:p w14:paraId="6894C4EB" w14:textId="77777777" w:rsidR="00390F9D" w:rsidRDefault="00390F9D" w:rsidP="00584979">
      <w:pPr>
        <w:pStyle w:val="ListParagraph"/>
        <w:numPr>
          <w:ilvl w:val="0"/>
          <w:numId w:val="17"/>
        </w:numPr>
        <w:ind w:left="0" w:firstLine="0"/>
        <w:mirrorIndents/>
      </w:pPr>
      <w:r>
        <w:lastRenderedPageBreak/>
        <w:t>Deng C, Ya A, Compton DA, Godek KM. A pluripotent developmental state confers a low fidelity of chromosome segregation. Stem Cell Reports. 2023;18(2):475–88.</w:t>
      </w:r>
    </w:p>
    <w:p w14:paraId="128FAE6A" w14:textId="77777777" w:rsidR="00390F9D" w:rsidRPr="00B72A96" w:rsidRDefault="00390F9D" w:rsidP="00584979">
      <w:pPr>
        <w:pStyle w:val="ListParagraph"/>
        <w:ind w:left="0"/>
        <w:mirrorIndents/>
      </w:pPr>
    </w:p>
    <w:p w14:paraId="6D30FED6" w14:textId="32FE385F" w:rsidR="000C3DAE" w:rsidRPr="00FB0A45" w:rsidRDefault="000C3DAE" w:rsidP="00BD5E4C">
      <w:pPr>
        <w:autoSpaceDE w:val="0"/>
        <w:autoSpaceDN w:val="0"/>
        <w:adjustRightInd w:val="0"/>
        <w:contextualSpacing/>
        <w:mirrorIndents/>
        <w:jc w:val="left"/>
      </w:pPr>
    </w:p>
    <w:sectPr w:rsidR="000C3DAE" w:rsidRPr="00FB0A45" w:rsidSect="00FB0A45">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6A257A" w14:textId="77777777" w:rsidR="00BC1F48" w:rsidRDefault="00BC1F48">
      <w:r>
        <w:separator/>
      </w:r>
    </w:p>
  </w:endnote>
  <w:endnote w:type="continuationSeparator" w:id="0">
    <w:p w14:paraId="413B396E" w14:textId="77777777" w:rsidR="00BC1F48" w:rsidRDefault="00BC1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ADED763-206A-E744-A085-1A3C29AEBB62}"/>
    <w:embedBold r:id="rId2" w:fontKey="{0F936D88-D12E-C948-A319-68F3DAE4598E}"/>
    <w:embedItalic r:id="rId3" w:fontKey="{8DCD67D4-B543-3E4E-B496-16589D27CFE4}"/>
    <w:embedBoldItalic r:id="rId4" w:fontKey="{A56899C4-C453-904A-A661-9A70934424CD}"/>
  </w:font>
  <w:font w:name="Symbol">
    <w:panose1 w:val="05050102010706020507"/>
    <w:charset w:val="02"/>
    <w:family w:val="decorative"/>
    <w:pitch w:val="variable"/>
    <w:sig w:usb0="00000000" w:usb1="10000000" w:usb2="00000000" w:usb3="00000000" w:csb0="80000000" w:csb1="00000000"/>
    <w:embedRegular r:id="rId5" w:fontKey="{0419BC51-A616-3B40-8856-7BE7FE84B53E}"/>
  </w:font>
  <w:font w:name="Courier New">
    <w:panose1 w:val="02070309020205020404"/>
    <w:charset w:val="00"/>
    <w:family w:val="modern"/>
    <w:pitch w:val="fixed"/>
    <w:sig w:usb0="E0002EFF" w:usb1="C0007843" w:usb2="00000009" w:usb3="00000000" w:csb0="000001FF" w:csb1="00000000"/>
    <w:embedRegular r:id="rId6" w:fontKey="{5718B5E5-4BF8-CC4B-BC8D-E8B6CB11720E}"/>
  </w:font>
  <w:font w:name="Wingdings">
    <w:panose1 w:val="05000000000000000000"/>
    <w:charset w:val="4D"/>
    <w:family w:val="decorative"/>
    <w:pitch w:val="variable"/>
    <w:sig w:usb0="00000003" w:usb1="00000000" w:usb2="00000000" w:usb3="00000000" w:csb0="80000001" w:csb1="00000000"/>
    <w:embedRegular r:id="rId7" w:fontKey="{CC1F569B-FDB0-9444-A621-1BC9677DB821}"/>
  </w:font>
  <w:font w:name="Calibri">
    <w:panose1 w:val="020F0502020204030204"/>
    <w:charset w:val="00"/>
    <w:family w:val="swiss"/>
    <w:pitch w:val="variable"/>
    <w:sig w:usb0="E4002EFF" w:usb1="C200ACFF" w:usb2="00000009" w:usb3="00000000" w:csb0="000001FF" w:csb1="00000000"/>
    <w:embedRegular r:id="rId8" w:fontKey="{04A4DAD6-A87B-0941-9B88-A594380004E4}"/>
    <w:embedBold r:id="rId9" w:fontKey="{F50DA801-52C8-CC46-9776-E5BA36EBC3A7}"/>
    <w:embedItalic r:id="rId10" w:fontKey="{8B9407CE-38CA-6840-B22C-1E3CE82327E0}"/>
    <w:embedBoldItalic r:id="rId11" w:fontKey="{7D51B6E9-51B9-FE4A-976F-1D1F69F60BE4}"/>
  </w:font>
  <w:font w:name="Cambria">
    <w:panose1 w:val="02040503050406030204"/>
    <w:charset w:val="00"/>
    <w:family w:val="roman"/>
    <w:pitch w:val="variable"/>
    <w:sig w:usb0="E00006FF" w:usb1="420024FF" w:usb2="02000000" w:usb3="00000000" w:csb0="0000019F" w:csb1="00000000"/>
    <w:embedRegular r:id="rId12" w:fontKey="{EE4A0C5C-8BD1-BB47-BF3E-D98358D1945D}"/>
    <w:embedBold r:id="rId13" w:fontKey="{5880C53D-CF9B-E042-BE5E-7F5748E5D18F}"/>
  </w:font>
  <w:font w:name="Georgia">
    <w:panose1 w:val="02040502050405020303"/>
    <w:charset w:val="00"/>
    <w:family w:val="roman"/>
    <w:pitch w:val="variable"/>
    <w:sig w:usb0="00000287" w:usb1="00000000" w:usb2="00000000" w:usb3="00000000" w:csb0="0000009F" w:csb1="00000000"/>
    <w:embedItalic r:id="rId14" w:fontKey="{7A7A05A6-95BD-A943-940A-FA6486998C15}"/>
  </w:font>
  <w:font w:name="Roboto">
    <w:panose1 w:val="02000000000000000000"/>
    <w:charset w:val="00"/>
    <w:family w:val="auto"/>
    <w:pitch w:val="variable"/>
    <w:sig w:usb0="E0000AFF" w:usb1="5000217F" w:usb2="00000021" w:usb3="00000000" w:csb0="0000019F" w:csb1="00000000"/>
    <w:embedRegular r:id="rId15" w:fontKey="{2EBF2205-95C4-4545-941C-31EA92F533ED}"/>
  </w:font>
  <w:font w:name="Cambria Math">
    <w:panose1 w:val="02040503050406030204"/>
    <w:charset w:val="00"/>
    <w:family w:val="roman"/>
    <w:pitch w:val="variable"/>
    <w:sig w:usb0="E00006FF" w:usb1="420024FF" w:usb2="02000000" w:usb3="00000000" w:csb0="0000019F" w:csb1="00000000"/>
    <w:embedRegular r:id="rId16" w:fontKey="{E06C6B8B-69D2-5445-AC61-5D6359EAE0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D6EBA" w14:textId="77777777" w:rsidR="000C3DAE" w:rsidRDefault="000C3DA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116653" w14:textId="77777777" w:rsidR="00BC1F48" w:rsidRDefault="00BC1F48">
      <w:r>
        <w:separator/>
      </w:r>
    </w:p>
  </w:footnote>
  <w:footnote w:type="continuationSeparator" w:id="0">
    <w:p w14:paraId="72A2FA4D" w14:textId="77777777" w:rsidR="00BC1F48" w:rsidRDefault="00BC1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E37C0" w14:textId="77777777" w:rsidR="000C3DAE" w:rsidRDefault="000C3DA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6FDD2" w14:textId="77777777" w:rsidR="000C3DAE"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72F40" w14:textId="76461223" w:rsidR="000C3DAE" w:rsidRDefault="000C3DAE">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C034D"/>
    <w:multiLevelType w:val="hybridMultilevel"/>
    <w:tmpl w:val="592C5D90"/>
    <w:lvl w:ilvl="0" w:tplc="FBC66F98">
      <w:start w:val="1"/>
      <w:numFmt w:val="decimal"/>
      <w:lvlText w:val="4.1.%1"/>
      <w:lvlJc w:val="center"/>
      <w:pPr>
        <w:ind w:left="720" w:hanging="360"/>
      </w:pPr>
      <w:rPr>
        <w:rFonts w:hint="default"/>
        <w:b w:val="0"/>
        <w:bCs w:val="0"/>
      </w:rPr>
    </w:lvl>
    <w:lvl w:ilvl="1" w:tplc="ADA64026" w:tentative="1">
      <w:start w:val="1"/>
      <w:numFmt w:val="lowerLetter"/>
      <w:lvlText w:val="%2."/>
      <w:lvlJc w:val="left"/>
      <w:pPr>
        <w:ind w:left="1440" w:hanging="360"/>
      </w:pPr>
    </w:lvl>
    <w:lvl w:ilvl="2" w:tplc="7B284E5A" w:tentative="1">
      <w:start w:val="1"/>
      <w:numFmt w:val="lowerRoman"/>
      <w:lvlText w:val="%3."/>
      <w:lvlJc w:val="right"/>
      <w:pPr>
        <w:ind w:left="2160" w:hanging="180"/>
      </w:pPr>
    </w:lvl>
    <w:lvl w:ilvl="3" w:tplc="3934105A" w:tentative="1">
      <w:start w:val="1"/>
      <w:numFmt w:val="decimal"/>
      <w:lvlText w:val="%4."/>
      <w:lvlJc w:val="left"/>
      <w:pPr>
        <w:ind w:left="2880" w:hanging="360"/>
      </w:pPr>
    </w:lvl>
    <w:lvl w:ilvl="4" w:tplc="B7967D2C" w:tentative="1">
      <w:start w:val="1"/>
      <w:numFmt w:val="lowerLetter"/>
      <w:lvlText w:val="%5."/>
      <w:lvlJc w:val="left"/>
      <w:pPr>
        <w:ind w:left="3600" w:hanging="360"/>
      </w:pPr>
    </w:lvl>
    <w:lvl w:ilvl="5" w:tplc="9ED495BE" w:tentative="1">
      <w:start w:val="1"/>
      <w:numFmt w:val="lowerRoman"/>
      <w:lvlText w:val="%6."/>
      <w:lvlJc w:val="right"/>
      <w:pPr>
        <w:ind w:left="4320" w:hanging="180"/>
      </w:pPr>
    </w:lvl>
    <w:lvl w:ilvl="6" w:tplc="0E6E0DA0" w:tentative="1">
      <w:start w:val="1"/>
      <w:numFmt w:val="decimal"/>
      <w:lvlText w:val="%7."/>
      <w:lvlJc w:val="left"/>
      <w:pPr>
        <w:ind w:left="5040" w:hanging="360"/>
      </w:pPr>
    </w:lvl>
    <w:lvl w:ilvl="7" w:tplc="2B3AB56A" w:tentative="1">
      <w:start w:val="1"/>
      <w:numFmt w:val="lowerLetter"/>
      <w:lvlText w:val="%8."/>
      <w:lvlJc w:val="left"/>
      <w:pPr>
        <w:ind w:left="5760" w:hanging="360"/>
      </w:pPr>
    </w:lvl>
    <w:lvl w:ilvl="8" w:tplc="1096BC9C" w:tentative="1">
      <w:start w:val="1"/>
      <w:numFmt w:val="lowerRoman"/>
      <w:lvlText w:val="%9."/>
      <w:lvlJc w:val="right"/>
      <w:pPr>
        <w:ind w:left="6480" w:hanging="180"/>
      </w:pPr>
    </w:lvl>
  </w:abstractNum>
  <w:abstractNum w:abstractNumId="1" w15:restartNumberingAfterBreak="0">
    <w:nsid w:val="08CA65AE"/>
    <w:multiLevelType w:val="hybridMultilevel"/>
    <w:tmpl w:val="093CBD88"/>
    <w:lvl w:ilvl="0" w:tplc="5754C796">
      <w:start w:val="1"/>
      <w:numFmt w:val="decimal"/>
      <w:lvlText w:val="4.3.%1"/>
      <w:lvlJc w:val="center"/>
      <w:pPr>
        <w:ind w:left="720" w:hanging="360"/>
      </w:pPr>
      <w:rPr>
        <w:rFonts w:hint="default"/>
        <w:b w:val="0"/>
        <w:bCs w:val="0"/>
      </w:rPr>
    </w:lvl>
    <w:lvl w:ilvl="1" w:tplc="04090001">
      <w:start w:val="1"/>
      <w:numFmt w:val="bullet"/>
      <w:lvlText w:val=""/>
      <w:lvlJc w:val="left"/>
      <w:pPr>
        <w:ind w:left="720" w:hanging="360"/>
      </w:pPr>
      <w:rPr>
        <w:rFonts w:ascii="Symbol" w:hAnsi="Symbol" w:hint="default"/>
      </w:rPr>
    </w:lvl>
    <w:lvl w:ilvl="2" w:tplc="277C3C0A">
      <w:start w:val="1"/>
      <w:numFmt w:val="lowerRoman"/>
      <w:lvlText w:val="%3."/>
      <w:lvlJc w:val="right"/>
      <w:pPr>
        <w:ind w:left="2160" w:hanging="180"/>
      </w:pPr>
    </w:lvl>
    <w:lvl w:ilvl="3" w:tplc="9BC692AE" w:tentative="1">
      <w:start w:val="1"/>
      <w:numFmt w:val="decimal"/>
      <w:lvlText w:val="%4."/>
      <w:lvlJc w:val="left"/>
      <w:pPr>
        <w:ind w:left="2880" w:hanging="360"/>
      </w:pPr>
    </w:lvl>
    <w:lvl w:ilvl="4" w:tplc="B6F2DD84" w:tentative="1">
      <w:start w:val="1"/>
      <w:numFmt w:val="lowerLetter"/>
      <w:lvlText w:val="%5."/>
      <w:lvlJc w:val="left"/>
      <w:pPr>
        <w:ind w:left="3600" w:hanging="360"/>
      </w:pPr>
    </w:lvl>
    <w:lvl w:ilvl="5" w:tplc="D19AAD52" w:tentative="1">
      <w:start w:val="1"/>
      <w:numFmt w:val="lowerRoman"/>
      <w:lvlText w:val="%6."/>
      <w:lvlJc w:val="right"/>
      <w:pPr>
        <w:ind w:left="4320" w:hanging="180"/>
      </w:pPr>
    </w:lvl>
    <w:lvl w:ilvl="6" w:tplc="BACC98E8" w:tentative="1">
      <w:start w:val="1"/>
      <w:numFmt w:val="decimal"/>
      <w:lvlText w:val="%7."/>
      <w:lvlJc w:val="left"/>
      <w:pPr>
        <w:ind w:left="5040" w:hanging="360"/>
      </w:pPr>
    </w:lvl>
    <w:lvl w:ilvl="7" w:tplc="77BE3240" w:tentative="1">
      <w:start w:val="1"/>
      <w:numFmt w:val="lowerLetter"/>
      <w:lvlText w:val="%8."/>
      <w:lvlJc w:val="left"/>
      <w:pPr>
        <w:ind w:left="5760" w:hanging="360"/>
      </w:pPr>
    </w:lvl>
    <w:lvl w:ilvl="8" w:tplc="08EA5B86" w:tentative="1">
      <w:start w:val="1"/>
      <w:numFmt w:val="lowerRoman"/>
      <w:lvlText w:val="%9."/>
      <w:lvlJc w:val="right"/>
      <w:pPr>
        <w:ind w:left="6480" w:hanging="180"/>
      </w:pPr>
    </w:lvl>
  </w:abstractNum>
  <w:abstractNum w:abstractNumId="2" w15:restartNumberingAfterBreak="0">
    <w:nsid w:val="0BA154A1"/>
    <w:multiLevelType w:val="hybridMultilevel"/>
    <w:tmpl w:val="01C2BD0A"/>
    <w:lvl w:ilvl="0" w:tplc="A5F4F5C6">
      <w:start w:val="1"/>
      <w:numFmt w:val="decimal"/>
      <w:lvlText w:val="4.2.%1"/>
      <w:lvlJc w:val="center"/>
      <w:pPr>
        <w:ind w:left="720" w:hanging="360"/>
      </w:pPr>
      <w:rPr>
        <w:rFonts w:hint="default"/>
        <w:b w:val="0"/>
        <w:bCs w:val="0"/>
      </w:rPr>
    </w:lvl>
    <w:lvl w:ilvl="1" w:tplc="7C5EC8BC">
      <w:start w:val="1"/>
      <w:numFmt w:val="lowerLetter"/>
      <w:lvlText w:val="%2."/>
      <w:lvlJc w:val="left"/>
      <w:pPr>
        <w:ind w:left="1440" w:hanging="360"/>
      </w:pPr>
    </w:lvl>
    <w:lvl w:ilvl="2" w:tplc="4C362364" w:tentative="1">
      <w:start w:val="1"/>
      <w:numFmt w:val="lowerRoman"/>
      <w:lvlText w:val="%3."/>
      <w:lvlJc w:val="right"/>
      <w:pPr>
        <w:ind w:left="2160" w:hanging="180"/>
      </w:pPr>
    </w:lvl>
    <w:lvl w:ilvl="3" w:tplc="1BC0EC18" w:tentative="1">
      <w:start w:val="1"/>
      <w:numFmt w:val="decimal"/>
      <w:lvlText w:val="%4."/>
      <w:lvlJc w:val="left"/>
      <w:pPr>
        <w:ind w:left="2880" w:hanging="360"/>
      </w:pPr>
    </w:lvl>
    <w:lvl w:ilvl="4" w:tplc="05E21D8A" w:tentative="1">
      <w:start w:val="1"/>
      <w:numFmt w:val="lowerLetter"/>
      <w:lvlText w:val="%5."/>
      <w:lvlJc w:val="left"/>
      <w:pPr>
        <w:ind w:left="3600" w:hanging="360"/>
      </w:pPr>
    </w:lvl>
    <w:lvl w:ilvl="5" w:tplc="C1069EFA" w:tentative="1">
      <w:start w:val="1"/>
      <w:numFmt w:val="lowerRoman"/>
      <w:lvlText w:val="%6."/>
      <w:lvlJc w:val="right"/>
      <w:pPr>
        <w:ind w:left="4320" w:hanging="180"/>
      </w:pPr>
    </w:lvl>
    <w:lvl w:ilvl="6" w:tplc="853E1586" w:tentative="1">
      <w:start w:val="1"/>
      <w:numFmt w:val="decimal"/>
      <w:lvlText w:val="%7."/>
      <w:lvlJc w:val="left"/>
      <w:pPr>
        <w:ind w:left="5040" w:hanging="360"/>
      </w:pPr>
    </w:lvl>
    <w:lvl w:ilvl="7" w:tplc="2CAE6432" w:tentative="1">
      <w:start w:val="1"/>
      <w:numFmt w:val="lowerLetter"/>
      <w:lvlText w:val="%8."/>
      <w:lvlJc w:val="left"/>
      <w:pPr>
        <w:ind w:left="5760" w:hanging="360"/>
      </w:pPr>
    </w:lvl>
    <w:lvl w:ilvl="8" w:tplc="5ABC3C88" w:tentative="1">
      <w:start w:val="1"/>
      <w:numFmt w:val="lowerRoman"/>
      <w:lvlText w:val="%9."/>
      <w:lvlJc w:val="right"/>
      <w:pPr>
        <w:ind w:left="6480" w:hanging="180"/>
      </w:pPr>
    </w:lvl>
  </w:abstractNum>
  <w:abstractNum w:abstractNumId="3" w15:restartNumberingAfterBreak="0">
    <w:nsid w:val="19FC14D2"/>
    <w:multiLevelType w:val="hybridMultilevel"/>
    <w:tmpl w:val="CC5A3410"/>
    <w:lvl w:ilvl="0" w:tplc="D64A81E6">
      <w:start w:val="1"/>
      <w:numFmt w:val="bullet"/>
      <w:lvlText w:val="o"/>
      <w:lvlJc w:val="left"/>
      <w:pPr>
        <w:ind w:left="1080" w:hanging="360"/>
      </w:pPr>
      <w:rPr>
        <w:rFonts w:ascii="Courier New" w:hAnsi="Courier New" w:cs="Courier New" w:hint="default"/>
      </w:rPr>
    </w:lvl>
    <w:lvl w:ilvl="1" w:tplc="C9F8D392" w:tentative="1">
      <w:start w:val="1"/>
      <w:numFmt w:val="bullet"/>
      <w:lvlText w:val="o"/>
      <w:lvlJc w:val="left"/>
      <w:pPr>
        <w:ind w:left="1800" w:hanging="360"/>
      </w:pPr>
      <w:rPr>
        <w:rFonts w:ascii="Courier New" w:hAnsi="Courier New" w:cs="Courier New" w:hint="default"/>
      </w:rPr>
    </w:lvl>
    <w:lvl w:ilvl="2" w:tplc="2A9AC0AE" w:tentative="1">
      <w:start w:val="1"/>
      <w:numFmt w:val="bullet"/>
      <w:lvlText w:val=""/>
      <w:lvlJc w:val="left"/>
      <w:pPr>
        <w:ind w:left="2520" w:hanging="360"/>
      </w:pPr>
      <w:rPr>
        <w:rFonts w:ascii="Wingdings" w:hAnsi="Wingdings" w:hint="default"/>
      </w:rPr>
    </w:lvl>
    <w:lvl w:ilvl="3" w:tplc="511ADC58" w:tentative="1">
      <w:start w:val="1"/>
      <w:numFmt w:val="bullet"/>
      <w:lvlText w:val=""/>
      <w:lvlJc w:val="left"/>
      <w:pPr>
        <w:ind w:left="3240" w:hanging="360"/>
      </w:pPr>
      <w:rPr>
        <w:rFonts w:ascii="Symbol" w:hAnsi="Symbol" w:hint="default"/>
      </w:rPr>
    </w:lvl>
    <w:lvl w:ilvl="4" w:tplc="DCAC4FB4" w:tentative="1">
      <w:start w:val="1"/>
      <w:numFmt w:val="bullet"/>
      <w:lvlText w:val="o"/>
      <w:lvlJc w:val="left"/>
      <w:pPr>
        <w:ind w:left="3960" w:hanging="360"/>
      </w:pPr>
      <w:rPr>
        <w:rFonts w:ascii="Courier New" w:hAnsi="Courier New" w:cs="Courier New" w:hint="default"/>
      </w:rPr>
    </w:lvl>
    <w:lvl w:ilvl="5" w:tplc="01FCA2C8" w:tentative="1">
      <w:start w:val="1"/>
      <w:numFmt w:val="bullet"/>
      <w:lvlText w:val=""/>
      <w:lvlJc w:val="left"/>
      <w:pPr>
        <w:ind w:left="4680" w:hanging="360"/>
      </w:pPr>
      <w:rPr>
        <w:rFonts w:ascii="Wingdings" w:hAnsi="Wingdings" w:hint="default"/>
      </w:rPr>
    </w:lvl>
    <w:lvl w:ilvl="6" w:tplc="7528006E" w:tentative="1">
      <w:start w:val="1"/>
      <w:numFmt w:val="bullet"/>
      <w:lvlText w:val=""/>
      <w:lvlJc w:val="left"/>
      <w:pPr>
        <w:ind w:left="5400" w:hanging="360"/>
      </w:pPr>
      <w:rPr>
        <w:rFonts w:ascii="Symbol" w:hAnsi="Symbol" w:hint="default"/>
      </w:rPr>
    </w:lvl>
    <w:lvl w:ilvl="7" w:tplc="DB7CBA2E" w:tentative="1">
      <w:start w:val="1"/>
      <w:numFmt w:val="bullet"/>
      <w:lvlText w:val="o"/>
      <w:lvlJc w:val="left"/>
      <w:pPr>
        <w:ind w:left="6120" w:hanging="360"/>
      </w:pPr>
      <w:rPr>
        <w:rFonts w:ascii="Courier New" w:hAnsi="Courier New" w:cs="Courier New" w:hint="default"/>
      </w:rPr>
    </w:lvl>
    <w:lvl w:ilvl="8" w:tplc="013A8442" w:tentative="1">
      <w:start w:val="1"/>
      <w:numFmt w:val="bullet"/>
      <w:lvlText w:val=""/>
      <w:lvlJc w:val="left"/>
      <w:pPr>
        <w:ind w:left="6840" w:hanging="360"/>
      </w:pPr>
      <w:rPr>
        <w:rFonts w:ascii="Wingdings" w:hAnsi="Wingdings" w:hint="default"/>
      </w:rPr>
    </w:lvl>
  </w:abstractNum>
  <w:abstractNum w:abstractNumId="4" w15:restartNumberingAfterBreak="0">
    <w:nsid w:val="1B7A4D67"/>
    <w:multiLevelType w:val="hybridMultilevel"/>
    <w:tmpl w:val="514AE6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F177F51"/>
    <w:multiLevelType w:val="hybridMultilevel"/>
    <w:tmpl w:val="34840E96"/>
    <w:lvl w:ilvl="0" w:tplc="FA6C83BC">
      <w:start w:val="1"/>
      <w:numFmt w:val="decimal"/>
      <w:lvlText w:val="%1."/>
      <w:lvlJc w:val="left"/>
      <w:pPr>
        <w:ind w:left="720" w:hanging="360"/>
      </w:pPr>
    </w:lvl>
    <w:lvl w:ilvl="1" w:tplc="69CE9FAE" w:tentative="1">
      <w:start w:val="1"/>
      <w:numFmt w:val="lowerLetter"/>
      <w:lvlText w:val="%2."/>
      <w:lvlJc w:val="left"/>
      <w:pPr>
        <w:ind w:left="1440" w:hanging="360"/>
      </w:pPr>
    </w:lvl>
    <w:lvl w:ilvl="2" w:tplc="5574D5B6" w:tentative="1">
      <w:start w:val="1"/>
      <w:numFmt w:val="lowerRoman"/>
      <w:lvlText w:val="%3."/>
      <w:lvlJc w:val="right"/>
      <w:pPr>
        <w:ind w:left="2160" w:hanging="180"/>
      </w:pPr>
    </w:lvl>
    <w:lvl w:ilvl="3" w:tplc="64941C8A" w:tentative="1">
      <w:start w:val="1"/>
      <w:numFmt w:val="decimal"/>
      <w:lvlText w:val="%4."/>
      <w:lvlJc w:val="left"/>
      <w:pPr>
        <w:ind w:left="2880" w:hanging="360"/>
      </w:pPr>
    </w:lvl>
    <w:lvl w:ilvl="4" w:tplc="36DE5782" w:tentative="1">
      <w:start w:val="1"/>
      <w:numFmt w:val="lowerLetter"/>
      <w:lvlText w:val="%5."/>
      <w:lvlJc w:val="left"/>
      <w:pPr>
        <w:ind w:left="3600" w:hanging="360"/>
      </w:pPr>
    </w:lvl>
    <w:lvl w:ilvl="5" w:tplc="9B48958E" w:tentative="1">
      <w:start w:val="1"/>
      <w:numFmt w:val="lowerRoman"/>
      <w:lvlText w:val="%6."/>
      <w:lvlJc w:val="right"/>
      <w:pPr>
        <w:ind w:left="4320" w:hanging="180"/>
      </w:pPr>
    </w:lvl>
    <w:lvl w:ilvl="6" w:tplc="D80CF2A4" w:tentative="1">
      <w:start w:val="1"/>
      <w:numFmt w:val="decimal"/>
      <w:lvlText w:val="%7."/>
      <w:lvlJc w:val="left"/>
      <w:pPr>
        <w:ind w:left="5040" w:hanging="360"/>
      </w:pPr>
    </w:lvl>
    <w:lvl w:ilvl="7" w:tplc="027220C6" w:tentative="1">
      <w:start w:val="1"/>
      <w:numFmt w:val="lowerLetter"/>
      <w:lvlText w:val="%8."/>
      <w:lvlJc w:val="left"/>
      <w:pPr>
        <w:ind w:left="5760" w:hanging="360"/>
      </w:pPr>
    </w:lvl>
    <w:lvl w:ilvl="8" w:tplc="A98CF406" w:tentative="1">
      <w:start w:val="1"/>
      <w:numFmt w:val="lowerRoman"/>
      <w:lvlText w:val="%9."/>
      <w:lvlJc w:val="right"/>
      <w:pPr>
        <w:ind w:left="6480" w:hanging="180"/>
      </w:pPr>
    </w:lvl>
  </w:abstractNum>
  <w:abstractNum w:abstractNumId="6" w15:restartNumberingAfterBreak="0">
    <w:nsid w:val="2AB777DD"/>
    <w:multiLevelType w:val="hybridMultilevel"/>
    <w:tmpl w:val="5A04E248"/>
    <w:lvl w:ilvl="0" w:tplc="018E2688">
      <w:start w:val="1"/>
      <w:numFmt w:val="decimal"/>
      <w:lvlText w:val="6.2.%1"/>
      <w:lvlJc w:val="center"/>
      <w:pPr>
        <w:ind w:left="720" w:hanging="360"/>
      </w:pPr>
      <w:rPr>
        <w:rFonts w:hint="default"/>
        <w:b w:val="0"/>
        <w:bCs w:val="0"/>
      </w:rPr>
    </w:lvl>
    <w:lvl w:ilvl="1" w:tplc="E2C4FF44">
      <w:start w:val="1"/>
      <w:numFmt w:val="lowerLetter"/>
      <w:lvlText w:val="%2."/>
      <w:lvlJc w:val="left"/>
      <w:pPr>
        <w:ind w:left="1440" w:hanging="360"/>
      </w:pPr>
    </w:lvl>
    <w:lvl w:ilvl="2" w:tplc="7F3A5984" w:tentative="1">
      <w:start w:val="1"/>
      <w:numFmt w:val="lowerRoman"/>
      <w:lvlText w:val="%3."/>
      <w:lvlJc w:val="right"/>
      <w:pPr>
        <w:ind w:left="2160" w:hanging="180"/>
      </w:pPr>
    </w:lvl>
    <w:lvl w:ilvl="3" w:tplc="95B00FAE" w:tentative="1">
      <w:start w:val="1"/>
      <w:numFmt w:val="decimal"/>
      <w:lvlText w:val="%4."/>
      <w:lvlJc w:val="left"/>
      <w:pPr>
        <w:ind w:left="2880" w:hanging="360"/>
      </w:pPr>
    </w:lvl>
    <w:lvl w:ilvl="4" w:tplc="E11CA340" w:tentative="1">
      <w:start w:val="1"/>
      <w:numFmt w:val="lowerLetter"/>
      <w:lvlText w:val="%5."/>
      <w:lvlJc w:val="left"/>
      <w:pPr>
        <w:ind w:left="3600" w:hanging="360"/>
      </w:pPr>
    </w:lvl>
    <w:lvl w:ilvl="5" w:tplc="4E743C9E" w:tentative="1">
      <w:start w:val="1"/>
      <w:numFmt w:val="lowerRoman"/>
      <w:lvlText w:val="%6."/>
      <w:lvlJc w:val="right"/>
      <w:pPr>
        <w:ind w:left="4320" w:hanging="180"/>
      </w:pPr>
    </w:lvl>
    <w:lvl w:ilvl="6" w:tplc="FED4B596" w:tentative="1">
      <w:start w:val="1"/>
      <w:numFmt w:val="decimal"/>
      <w:lvlText w:val="%7."/>
      <w:lvlJc w:val="left"/>
      <w:pPr>
        <w:ind w:left="5040" w:hanging="360"/>
      </w:pPr>
    </w:lvl>
    <w:lvl w:ilvl="7" w:tplc="D070D8E6" w:tentative="1">
      <w:start w:val="1"/>
      <w:numFmt w:val="lowerLetter"/>
      <w:lvlText w:val="%8."/>
      <w:lvlJc w:val="left"/>
      <w:pPr>
        <w:ind w:left="5760" w:hanging="360"/>
      </w:pPr>
    </w:lvl>
    <w:lvl w:ilvl="8" w:tplc="7B004704" w:tentative="1">
      <w:start w:val="1"/>
      <w:numFmt w:val="lowerRoman"/>
      <w:lvlText w:val="%9."/>
      <w:lvlJc w:val="right"/>
      <w:pPr>
        <w:ind w:left="6480" w:hanging="180"/>
      </w:pPr>
    </w:lvl>
  </w:abstractNum>
  <w:abstractNum w:abstractNumId="7" w15:restartNumberingAfterBreak="0">
    <w:nsid w:val="2CAB53B1"/>
    <w:multiLevelType w:val="hybridMultilevel"/>
    <w:tmpl w:val="01382E4A"/>
    <w:lvl w:ilvl="0" w:tplc="31FCDFEA">
      <w:start w:val="1"/>
      <w:numFmt w:val="bullet"/>
      <w:lvlText w:val=""/>
      <w:lvlJc w:val="left"/>
      <w:pPr>
        <w:ind w:left="720" w:hanging="360"/>
      </w:pPr>
      <w:rPr>
        <w:rFonts w:ascii="Symbol" w:hAnsi="Symbol"/>
      </w:rPr>
    </w:lvl>
    <w:lvl w:ilvl="1" w:tplc="BB1C96B6">
      <w:start w:val="1"/>
      <w:numFmt w:val="bullet"/>
      <w:lvlText w:val=""/>
      <w:lvlJc w:val="left"/>
      <w:pPr>
        <w:ind w:left="720" w:hanging="360"/>
      </w:pPr>
      <w:rPr>
        <w:rFonts w:ascii="Symbol" w:hAnsi="Symbol"/>
      </w:rPr>
    </w:lvl>
    <w:lvl w:ilvl="2" w:tplc="51A80E92">
      <w:start w:val="1"/>
      <w:numFmt w:val="bullet"/>
      <w:lvlText w:val=""/>
      <w:lvlJc w:val="left"/>
      <w:pPr>
        <w:ind w:left="720" w:hanging="360"/>
      </w:pPr>
      <w:rPr>
        <w:rFonts w:ascii="Symbol" w:hAnsi="Symbol"/>
      </w:rPr>
    </w:lvl>
    <w:lvl w:ilvl="3" w:tplc="6630CFAC">
      <w:start w:val="1"/>
      <w:numFmt w:val="bullet"/>
      <w:lvlText w:val=""/>
      <w:lvlJc w:val="left"/>
      <w:pPr>
        <w:ind w:left="720" w:hanging="360"/>
      </w:pPr>
      <w:rPr>
        <w:rFonts w:ascii="Symbol" w:hAnsi="Symbol"/>
      </w:rPr>
    </w:lvl>
    <w:lvl w:ilvl="4" w:tplc="7BB8B88C">
      <w:start w:val="1"/>
      <w:numFmt w:val="bullet"/>
      <w:lvlText w:val=""/>
      <w:lvlJc w:val="left"/>
      <w:pPr>
        <w:ind w:left="720" w:hanging="360"/>
      </w:pPr>
      <w:rPr>
        <w:rFonts w:ascii="Symbol" w:hAnsi="Symbol"/>
      </w:rPr>
    </w:lvl>
    <w:lvl w:ilvl="5" w:tplc="8C285628">
      <w:start w:val="1"/>
      <w:numFmt w:val="bullet"/>
      <w:lvlText w:val=""/>
      <w:lvlJc w:val="left"/>
      <w:pPr>
        <w:ind w:left="720" w:hanging="360"/>
      </w:pPr>
      <w:rPr>
        <w:rFonts w:ascii="Symbol" w:hAnsi="Symbol"/>
      </w:rPr>
    </w:lvl>
    <w:lvl w:ilvl="6" w:tplc="9BA23050">
      <w:start w:val="1"/>
      <w:numFmt w:val="bullet"/>
      <w:lvlText w:val=""/>
      <w:lvlJc w:val="left"/>
      <w:pPr>
        <w:ind w:left="720" w:hanging="360"/>
      </w:pPr>
      <w:rPr>
        <w:rFonts w:ascii="Symbol" w:hAnsi="Symbol"/>
      </w:rPr>
    </w:lvl>
    <w:lvl w:ilvl="7" w:tplc="B3067938">
      <w:start w:val="1"/>
      <w:numFmt w:val="bullet"/>
      <w:lvlText w:val=""/>
      <w:lvlJc w:val="left"/>
      <w:pPr>
        <w:ind w:left="720" w:hanging="360"/>
      </w:pPr>
      <w:rPr>
        <w:rFonts w:ascii="Symbol" w:hAnsi="Symbol"/>
      </w:rPr>
    </w:lvl>
    <w:lvl w:ilvl="8" w:tplc="B86A631E">
      <w:start w:val="1"/>
      <w:numFmt w:val="bullet"/>
      <w:lvlText w:val=""/>
      <w:lvlJc w:val="left"/>
      <w:pPr>
        <w:ind w:left="720" w:hanging="360"/>
      </w:pPr>
      <w:rPr>
        <w:rFonts w:ascii="Symbol" w:hAnsi="Symbol"/>
      </w:rPr>
    </w:lvl>
  </w:abstractNum>
  <w:abstractNum w:abstractNumId="8" w15:restartNumberingAfterBreak="0">
    <w:nsid w:val="333F484B"/>
    <w:multiLevelType w:val="hybridMultilevel"/>
    <w:tmpl w:val="851C1A34"/>
    <w:lvl w:ilvl="0" w:tplc="B3A420B4">
      <w:start w:val="1"/>
      <w:numFmt w:val="decimal"/>
      <w:lvlText w:val="5.1.%1"/>
      <w:lvlJc w:val="center"/>
      <w:pPr>
        <w:ind w:left="502" w:hanging="360"/>
      </w:pPr>
      <w:rPr>
        <w:rFonts w:hint="default"/>
        <w:b w:val="0"/>
        <w:bCs w:val="0"/>
      </w:rPr>
    </w:lvl>
    <w:lvl w:ilvl="1" w:tplc="27E0000A" w:tentative="1">
      <w:start w:val="1"/>
      <w:numFmt w:val="lowerLetter"/>
      <w:lvlText w:val="%2."/>
      <w:lvlJc w:val="left"/>
      <w:pPr>
        <w:ind w:left="1440" w:hanging="360"/>
      </w:pPr>
    </w:lvl>
    <w:lvl w:ilvl="2" w:tplc="CF441372" w:tentative="1">
      <w:start w:val="1"/>
      <w:numFmt w:val="lowerRoman"/>
      <w:lvlText w:val="%3."/>
      <w:lvlJc w:val="right"/>
      <w:pPr>
        <w:ind w:left="2160" w:hanging="180"/>
      </w:pPr>
    </w:lvl>
    <w:lvl w:ilvl="3" w:tplc="4B5A3D74" w:tentative="1">
      <w:start w:val="1"/>
      <w:numFmt w:val="decimal"/>
      <w:lvlText w:val="%4."/>
      <w:lvlJc w:val="left"/>
      <w:pPr>
        <w:ind w:left="2880" w:hanging="360"/>
      </w:pPr>
    </w:lvl>
    <w:lvl w:ilvl="4" w:tplc="EF042C38" w:tentative="1">
      <w:start w:val="1"/>
      <w:numFmt w:val="lowerLetter"/>
      <w:lvlText w:val="%5."/>
      <w:lvlJc w:val="left"/>
      <w:pPr>
        <w:ind w:left="3600" w:hanging="360"/>
      </w:pPr>
    </w:lvl>
    <w:lvl w:ilvl="5" w:tplc="AC4424B0" w:tentative="1">
      <w:start w:val="1"/>
      <w:numFmt w:val="lowerRoman"/>
      <w:lvlText w:val="%6."/>
      <w:lvlJc w:val="right"/>
      <w:pPr>
        <w:ind w:left="4320" w:hanging="180"/>
      </w:pPr>
    </w:lvl>
    <w:lvl w:ilvl="6" w:tplc="CAB4EC5C" w:tentative="1">
      <w:start w:val="1"/>
      <w:numFmt w:val="decimal"/>
      <w:lvlText w:val="%7."/>
      <w:lvlJc w:val="left"/>
      <w:pPr>
        <w:ind w:left="5040" w:hanging="360"/>
      </w:pPr>
    </w:lvl>
    <w:lvl w:ilvl="7" w:tplc="030C3292" w:tentative="1">
      <w:start w:val="1"/>
      <w:numFmt w:val="lowerLetter"/>
      <w:lvlText w:val="%8."/>
      <w:lvlJc w:val="left"/>
      <w:pPr>
        <w:ind w:left="5760" w:hanging="360"/>
      </w:pPr>
    </w:lvl>
    <w:lvl w:ilvl="8" w:tplc="928A5C26" w:tentative="1">
      <w:start w:val="1"/>
      <w:numFmt w:val="lowerRoman"/>
      <w:lvlText w:val="%9."/>
      <w:lvlJc w:val="right"/>
      <w:pPr>
        <w:ind w:left="6480" w:hanging="180"/>
      </w:pPr>
    </w:lvl>
  </w:abstractNum>
  <w:abstractNum w:abstractNumId="9" w15:restartNumberingAfterBreak="0">
    <w:nsid w:val="39E015C3"/>
    <w:multiLevelType w:val="hybridMultilevel"/>
    <w:tmpl w:val="9D2AD2FC"/>
    <w:lvl w:ilvl="0" w:tplc="AD2CF93C">
      <w:start w:val="1"/>
      <w:numFmt w:val="decimal"/>
      <w:lvlText w:val="5.2.%1"/>
      <w:lvlJc w:val="center"/>
      <w:pPr>
        <w:ind w:left="502" w:hanging="360"/>
      </w:pPr>
      <w:rPr>
        <w:rFonts w:hint="default"/>
        <w:b w:val="0"/>
        <w:bCs w:val="0"/>
      </w:rPr>
    </w:lvl>
    <w:lvl w:ilvl="1" w:tplc="B4C6B3BE">
      <w:start w:val="1"/>
      <w:numFmt w:val="lowerLetter"/>
      <w:lvlText w:val="%2."/>
      <w:lvlJc w:val="left"/>
      <w:pPr>
        <w:ind w:left="1440" w:hanging="360"/>
      </w:pPr>
    </w:lvl>
    <w:lvl w:ilvl="2" w:tplc="EC2ACCCE" w:tentative="1">
      <w:start w:val="1"/>
      <w:numFmt w:val="lowerRoman"/>
      <w:lvlText w:val="%3."/>
      <w:lvlJc w:val="right"/>
      <w:pPr>
        <w:ind w:left="2160" w:hanging="180"/>
      </w:pPr>
    </w:lvl>
    <w:lvl w:ilvl="3" w:tplc="9E5A8DE6" w:tentative="1">
      <w:start w:val="1"/>
      <w:numFmt w:val="decimal"/>
      <w:lvlText w:val="%4."/>
      <w:lvlJc w:val="left"/>
      <w:pPr>
        <w:ind w:left="2880" w:hanging="360"/>
      </w:pPr>
    </w:lvl>
    <w:lvl w:ilvl="4" w:tplc="2CCA8814" w:tentative="1">
      <w:start w:val="1"/>
      <w:numFmt w:val="lowerLetter"/>
      <w:lvlText w:val="%5."/>
      <w:lvlJc w:val="left"/>
      <w:pPr>
        <w:ind w:left="3600" w:hanging="360"/>
      </w:pPr>
    </w:lvl>
    <w:lvl w:ilvl="5" w:tplc="FBB02CC2" w:tentative="1">
      <w:start w:val="1"/>
      <w:numFmt w:val="lowerRoman"/>
      <w:lvlText w:val="%6."/>
      <w:lvlJc w:val="right"/>
      <w:pPr>
        <w:ind w:left="4320" w:hanging="180"/>
      </w:pPr>
    </w:lvl>
    <w:lvl w:ilvl="6" w:tplc="5E848AE4" w:tentative="1">
      <w:start w:val="1"/>
      <w:numFmt w:val="decimal"/>
      <w:lvlText w:val="%7."/>
      <w:lvlJc w:val="left"/>
      <w:pPr>
        <w:ind w:left="5040" w:hanging="360"/>
      </w:pPr>
    </w:lvl>
    <w:lvl w:ilvl="7" w:tplc="BC14EEC0" w:tentative="1">
      <w:start w:val="1"/>
      <w:numFmt w:val="lowerLetter"/>
      <w:lvlText w:val="%8."/>
      <w:lvlJc w:val="left"/>
      <w:pPr>
        <w:ind w:left="5760" w:hanging="360"/>
      </w:pPr>
    </w:lvl>
    <w:lvl w:ilvl="8" w:tplc="BE4ABB26" w:tentative="1">
      <w:start w:val="1"/>
      <w:numFmt w:val="lowerRoman"/>
      <w:lvlText w:val="%9."/>
      <w:lvlJc w:val="right"/>
      <w:pPr>
        <w:ind w:left="6480" w:hanging="180"/>
      </w:pPr>
    </w:lvl>
  </w:abstractNum>
  <w:abstractNum w:abstractNumId="10" w15:restartNumberingAfterBreak="0">
    <w:nsid w:val="3A5A3F40"/>
    <w:multiLevelType w:val="multilevel"/>
    <w:tmpl w:val="FF4227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A903BD"/>
    <w:multiLevelType w:val="multilevel"/>
    <w:tmpl w:val="B03A2B8E"/>
    <w:lvl w:ilvl="0">
      <w:start w:val="1"/>
      <w:numFmt w:val="none"/>
      <w:lvlText w:val="1.5.1"/>
      <w:lvlJc w:val="center"/>
      <w:pPr>
        <w:ind w:left="720" w:hanging="360"/>
      </w:pPr>
      <w:rPr>
        <w:rFonts w:hint="default"/>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C4322C2"/>
    <w:multiLevelType w:val="hybridMultilevel"/>
    <w:tmpl w:val="51884B12"/>
    <w:lvl w:ilvl="0" w:tplc="2E20EFAE">
      <w:start w:val="1"/>
      <w:numFmt w:val="decimal"/>
      <w:lvlText w:val="%1."/>
      <w:lvlJc w:val="left"/>
      <w:pPr>
        <w:ind w:left="1020" w:hanging="360"/>
      </w:pPr>
    </w:lvl>
    <w:lvl w:ilvl="1" w:tplc="6E4CC4A6">
      <w:start w:val="1"/>
      <w:numFmt w:val="decimal"/>
      <w:lvlText w:val="%2."/>
      <w:lvlJc w:val="left"/>
      <w:pPr>
        <w:ind w:left="1020" w:hanging="360"/>
      </w:pPr>
    </w:lvl>
    <w:lvl w:ilvl="2" w:tplc="9372F5AC">
      <w:start w:val="1"/>
      <w:numFmt w:val="decimal"/>
      <w:lvlText w:val="%3."/>
      <w:lvlJc w:val="left"/>
      <w:pPr>
        <w:ind w:left="1020" w:hanging="360"/>
      </w:pPr>
    </w:lvl>
    <w:lvl w:ilvl="3" w:tplc="7BEC9860">
      <w:start w:val="1"/>
      <w:numFmt w:val="decimal"/>
      <w:lvlText w:val="%4."/>
      <w:lvlJc w:val="left"/>
      <w:pPr>
        <w:ind w:left="1020" w:hanging="360"/>
      </w:pPr>
    </w:lvl>
    <w:lvl w:ilvl="4" w:tplc="305C861C">
      <w:start w:val="1"/>
      <w:numFmt w:val="decimal"/>
      <w:lvlText w:val="%5."/>
      <w:lvlJc w:val="left"/>
      <w:pPr>
        <w:ind w:left="1020" w:hanging="360"/>
      </w:pPr>
    </w:lvl>
    <w:lvl w:ilvl="5" w:tplc="53DEE4DA">
      <w:start w:val="1"/>
      <w:numFmt w:val="decimal"/>
      <w:lvlText w:val="%6."/>
      <w:lvlJc w:val="left"/>
      <w:pPr>
        <w:ind w:left="1020" w:hanging="360"/>
      </w:pPr>
    </w:lvl>
    <w:lvl w:ilvl="6" w:tplc="26EEE6C6">
      <w:start w:val="1"/>
      <w:numFmt w:val="decimal"/>
      <w:lvlText w:val="%7."/>
      <w:lvlJc w:val="left"/>
      <w:pPr>
        <w:ind w:left="1020" w:hanging="360"/>
      </w:pPr>
    </w:lvl>
    <w:lvl w:ilvl="7" w:tplc="EC6A36B0">
      <w:start w:val="1"/>
      <w:numFmt w:val="decimal"/>
      <w:lvlText w:val="%8."/>
      <w:lvlJc w:val="left"/>
      <w:pPr>
        <w:ind w:left="1020" w:hanging="360"/>
      </w:pPr>
    </w:lvl>
    <w:lvl w:ilvl="8" w:tplc="5756D4DC">
      <w:start w:val="1"/>
      <w:numFmt w:val="decimal"/>
      <w:lvlText w:val="%9."/>
      <w:lvlJc w:val="left"/>
      <w:pPr>
        <w:ind w:left="1020" w:hanging="360"/>
      </w:pPr>
    </w:lvl>
  </w:abstractNum>
  <w:abstractNum w:abstractNumId="13" w15:restartNumberingAfterBreak="0">
    <w:nsid w:val="47484CE8"/>
    <w:multiLevelType w:val="hybridMultilevel"/>
    <w:tmpl w:val="E362DA74"/>
    <w:lvl w:ilvl="0" w:tplc="37F6355A">
      <w:start w:val="1"/>
      <w:numFmt w:val="decimal"/>
      <w:lvlText w:val="6.1.%1"/>
      <w:lvlJc w:val="center"/>
      <w:pPr>
        <w:ind w:left="720" w:hanging="360"/>
      </w:pPr>
      <w:rPr>
        <w:rFonts w:hint="default"/>
        <w:b w:val="0"/>
        <w:bCs w:val="0"/>
      </w:rPr>
    </w:lvl>
    <w:lvl w:ilvl="1" w:tplc="06B493DA">
      <w:start w:val="1"/>
      <w:numFmt w:val="lowerLetter"/>
      <w:lvlText w:val="%2."/>
      <w:lvlJc w:val="left"/>
      <w:pPr>
        <w:ind w:left="1440" w:hanging="360"/>
      </w:pPr>
    </w:lvl>
    <w:lvl w:ilvl="2" w:tplc="7AA6ABE4" w:tentative="1">
      <w:start w:val="1"/>
      <w:numFmt w:val="lowerRoman"/>
      <w:lvlText w:val="%3."/>
      <w:lvlJc w:val="right"/>
      <w:pPr>
        <w:ind w:left="2160" w:hanging="180"/>
      </w:pPr>
    </w:lvl>
    <w:lvl w:ilvl="3" w:tplc="D0DAD2B6" w:tentative="1">
      <w:start w:val="1"/>
      <w:numFmt w:val="decimal"/>
      <w:lvlText w:val="%4."/>
      <w:lvlJc w:val="left"/>
      <w:pPr>
        <w:ind w:left="2880" w:hanging="360"/>
      </w:pPr>
    </w:lvl>
    <w:lvl w:ilvl="4" w:tplc="2ADED2D8" w:tentative="1">
      <w:start w:val="1"/>
      <w:numFmt w:val="lowerLetter"/>
      <w:lvlText w:val="%5."/>
      <w:lvlJc w:val="left"/>
      <w:pPr>
        <w:ind w:left="3600" w:hanging="360"/>
      </w:pPr>
    </w:lvl>
    <w:lvl w:ilvl="5" w:tplc="5AB42136" w:tentative="1">
      <w:start w:val="1"/>
      <w:numFmt w:val="lowerRoman"/>
      <w:lvlText w:val="%6."/>
      <w:lvlJc w:val="right"/>
      <w:pPr>
        <w:ind w:left="4320" w:hanging="180"/>
      </w:pPr>
    </w:lvl>
    <w:lvl w:ilvl="6" w:tplc="9E52507A" w:tentative="1">
      <w:start w:val="1"/>
      <w:numFmt w:val="decimal"/>
      <w:lvlText w:val="%7."/>
      <w:lvlJc w:val="left"/>
      <w:pPr>
        <w:ind w:left="5040" w:hanging="360"/>
      </w:pPr>
    </w:lvl>
    <w:lvl w:ilvl="7" w:tplc="A872986C" w:tentative="1">
      <w:start w:val="1"/>
      <w:numFmt w:val="lowerLetter"/>
      <w:lvlText w:val="%8."/>
      <w:lvlJc w:val="left"/>
      <w:pPr>
        <w:ind w:left="5760" w:hanging="360"/>
      </w:pPr>
    </w:lvl>
    <w:lvl w:ilvl="8" w:tplc="12209202" w:tentative="1">
      <w:start w:val="1"/>
      <w:numFmt w:val="lowerRoman"/>
      <w:lvlText w:val="%9."/>
      <w:lvlJc w:val="right"/>
      <w:pPr>
        <w:ind w:left="6480" w:hanging="180"/>
      </w:pPr>
    </w:lvl>
  </w:abstractNum>
  <w:abstractNum w:abstractNumId="14" w15:restartNumberingAfterBreak="0">
    <w:nsid w:val="481E6EE8"/>
    <w:multiLevelType w:val="multilevel"/>
    <w:tmpl w:val="FD2E7026"/>
    <w:lvl w:ilvl="0">
      <w:start w:val="1"/>
      <w:numFmt w:val="decimal"/>
      <w:lvlText w:val="%1."/>
      <w:lvlJc w:val="left"/>
      <w:pPr>
        <w:ind w:left="360" w:hanging="360"/>
      </w:pPr>
      <w:rPr>
        <w:b/>
        <w:bCs/>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1135F3B"/>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840FC4"/>
    <w:multiLevelType w:val="hybridMultilevel"/>
    <w:tmpl w:val="89F4DFB0"/>
    <w:lvl w:ilvl="0" w:tplc="EF80B2D0">
      <w:start w:val="1"/>
      <w:numFmt w:val="decimal"/>
      <w:lvlText w:val="7.1.%1"/>
      <w:lvlJc w:val="center"/>
      <w:pPr>
        <w:ind w:left="720" w:hanging="360"/>
      </w:pPr>
      <w:rPr>
        <w:rFonts w:hint="default"/>
        <w:b w:val="0"/>
        <w:bCs w:val="0"/>
      </w:rPr>
    </w:lvl>
    <w:lvl w:ilvl="1" w:tplc="EC54FF90">
      <w:start w:val="1"/>
      <w:numFmt w:val="lowerLetter"/>
      <w:lvlText w:val="%2."/>
      <w:lvlJc w:val="left"/>
      <w:pPr>
        <w:ind w:left="1440" w:hanging="360"/>
      </w:pPr>
    </w:lvl>
    <w:lvl w:ilvl="2" w:tplc="C5108BD6" w:tentative="1">
      <w:start w:val="1"/>
      <w:numFmt w:val="lowerRoman"/>
      <w:lvlText w:val="%3."/>
      <w:lvlJc w:val="right"/>
      <w:pPr>
        <w:ind w:left="2160" w:hanging="180"/>
      </w:pPr>
    </w:lvl>
    <w:lvl w:ilvl="3" w:tplc="3CB42AF0" w:tentative="1">
      <w:start w:val="1"/>
      <w:numFmt w:val="decimal"/>
      <w:lvlText w:val="%4."/>
      <w:lvlJc w:val="left"/>
      <w:pPr>
        <w:ind w:left="2880" w:hanging="360"/>
      </w:pPr>
    </w:lvl>
    <w:lvl w:ilvl="4" w:tplc="86B2F99C" w:tentative="1">
      <w:start w:val="1"/>
      <w:numFmt w:val="lowerLetter"/>
      <w:lvlText w:val="%5."/>
      <w:lvlJc w:val="left"/>
      <w:pPr>
        <w:ind w:left="3600" w:hanging="360"/>
      </w:pPr>
    </w:lvl>
    <w:lvl w:ilvl="5" w:tplc="5C1E69C0" w:tentative="1">
      <w:start w:val="1"/>
      <w:numFmt w:val="lowerRoman"/>
      <w:lvlText w:val="%6."/>
      <w:lvlJc w:val="right"/>
      <w:pPr>
        <w:ind w:left="4320" w:hanging="180"/>
      </w:pPr>
    </w:lvl>
    <w:lvl w:ilvl="6" w:tplc="448E8566" w:tentative="1">
      <w:start w:val="1"/>
      <w:numFmt w:val="decimal"/>
      <w:lvlText w:val="%7."/>
      <w:lvlJc w:val="left"/>
      <w:pPr>
        <w:ind w:left="5040" w:hanging="360"/>
      </w:pPr>
    </w:lvl>
    <w:lvl w:ilvl="7" w:tplc="345AD5A0" w:tentative="1">
      <w:start w:val="1"/>
      <w:numFmt w:val="lowerLetter"/>
      <w:lvlText w:val="%8."/>
      <w:lvlJc w:val="left"/>
      <w:pPr>
        <w:ind w:left="5760" w:hanging="360"/>
      </w:pPr>
    </w:lvl>
    <w:lvl w:ilvl="8" w:tplc="FF449E18" w:tentative="1">
      <w:start w:val="1"/>
      <w:numFmt w:val="lowerRoman"/>
      <w:lvlText w:val="%9."/>
      <w:lvlJc w:val="right"/>
      <w:pPr>
        <w:ind w:left="6480" w:hanging="180"/>
      </w:pPr>
    </w:lvl>
  </w:abstractNum>
  <w:abstractNum w:abstractNumId="17" w15:restartNumberingAfterBreak="0">
    <w:nsid w:val="668D7C99"/>
    <w:multiLevelType w:val="hybridMultilevel"/>
    <w:tmpl w:val="8BC0D36E"/>
    <w:lvl w:ilvl="0" w:tplc="379CDA6A">
      <w:start w:val="1"/>
      <w:numFmt w:val="decimal"/>
      <w:lvlText w:val="7.3.%1"/>
      <w:lvlJc w:val="center"/>
      <w:pPr>
        <w:ind w:left="720" w:hanging="360"/>
      </w:pPr>
      <w:rPr>
        <w:rFonts w:hint="default"/>
        <w:b w:val="0"/>
        <w:bCs w:val="0"/>
      </w:rPr>
    </w:lvl>
    <w:lvl w:ilvl="1" w:tplc="F42E20E2">
      <w:start w:val="1"/>
      <w:numFmt w:val="lowerLetter"/>
      <w:lvlText w:val="%2."/>
      <w:lvlJc w:val="left"/>
      <w:pPr>
        <w:ind w:left="1440" w:hanging="360"/>
      </w:pPr>
    </w:lvl>
    <w:lvl w:ilvl="2" w:tplc="FD1E31EE" w:tentative="1">
      <w:start w:val="1"/>
      <w:numFmt w:val="lowerRoman"/>
      <w:lvlText w:val="%3."/>
      <w:lvlJc w:val="right"/>
      <w:pPr>
        <w:ind w:left="2160" w:hanging="180"/>
      </w:pPr>
    </w:lvl>
    <w:lvl w:ilvl="3" w:tplc="FFB42C26" w:tentative="1">
      <w:start w:val="1"/>
      <w:numFmt w:val="decimal"/>
      <w:lvlText w:val="%4."/>
      <w:lvlJc w:val="left"/>
      <w:pPr>
        <w:ind w:left="2880" w:hanging="360"/>
      </w:pPr>
    </w:lvl>
    <w:lvl w:ilvl="4" w:tplc="1C009816" w:tentative="1">
      <w:start w:val="1"/>
      <w:numFmt w:val="lowerLetter"/>
      <w:lvlText w:val="%5."/>
      <w:lvlJc w:val="left"/>
      <w:pPr>
        <w:ind w:left="3600" w:hanging="360"/>
      </w:pPr>
    </w:lvl>
    <w:lvl w:ilvl="5" w:tplc="F3C8DA70" w:tentative="1">
      <w:start w:val="1"/>
      <w:numFmt w:val="lowerRoman"/>
      <w:lvlText w:val="%6."/>
      <w:lvlJc w:val="right"/>
      <w:pPr>
        <w:ind w:left="4320" w:hanging="180"/>
      </w:pPr>
    </w:lvl>
    <w:lvl w:ilvl="6" w:tplc="983EF2D8" w:tentative="1">
      <w:start w:val="1"/>
      <w:numFmt w:val="decimal"/>
      <w:lvlText w:val="%7."/>
      <w:lvlJc w:val="left"/>
      <w:pPr>
        <w:ind w:left="5040" w:hanging="360"/>
      </w:pPr>
    </w:lvl>
    <w:lvl w:ilvl="7" w:tplc="D896996C" w:tentative="1">
      <w:start w:val="1"/>
      <w:numFmt w:val="lowerLetter"/>
      <w:lvlText w:val="%8."/>
      <w:lvlJc w:val="left"/>
      <w:pPr>
        <w:ind w:left="5760" w:hanging="360"/>
      </w:pPr>
    </w:lvl>
    <w:lvl w:ilvl="8" w:tplc="364C92FE" w:tentative="1">
      <w:start w:val="1"/>
      <w:numFmt w:val="lowerRoman"/>
      <w:lvlText w:val="%9."/>
      <w:lvlJc w:val="right"/>
      <w:pPr>
        <w:ind w:left="6480" w:hanging="180"/>
      </w:pPr>
    </w:lvl>
  </w:abstractNum>
  <w:abstractNum w:abstractNumId="18" w15:restartNumberingAfterBreak="0">
    <w:nsid w:val="6B282CDE"/>
    <w:multiLevelType w:val="multilevel"/>
    <w:tmpl w:val="66A2F642"/>
    <w:lvl w:ilvl="0">
      <w:start w:val="1"/>
      <w:numFmt w:val="none"/>
      <w:lvlText w:val="1.4.1"/>
      <w:lvlJc w:val="center"/>
      <w:pPr>
        <w:ind w:left="720" w:hanging="360"/>
      </w:pPr>
      <w:rPr>
        <w:rFonts w:hint="default"/>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34737AC"/>
    <w:multiLevelType w:val="hybridMultilevel"/>
    <w:tmpl w:val="DADCC676"/>
    <w:lvl w:ilvl="0" w:tplc="552E1654">
      <w:start w:val="1"/>
      <w:numFmt w:val="decimal"/>
      <w:lvlText w:val="3.1.%1"/>
      <w:lvlJc w:val="center"/>
      <w:pPr>
        <w:ind w:left="720" w:hanging="360"/>
      </w:pPr>
      <w:rPr>
        <w:rFonts w:hint="default"/>
        <w:b w:val="0"/>
        <w:bCs w:val="0"/>
      </w:rPr>
    </w:lvl>
    <w:lvl w:ilvl="1" w:tplc="978415DA">
      <w:start w:val="1"/>
      <w:numFmt w:val="lowerLetter"/>
      <w:lvlText w:val="%2."/>
      <w:lvlJc w:val="left"/>
      <w:pPr>
        <w:ind w:left="1440" w:hanging="360"/>
      </w:pPr>
    </w:lvl>
    <w:lvl w:ilvl="2" w:tplc="9D1E22CC" w:tentative="1">
      <w:start w:val="1"/>
      <w:numFmt w:val="lowerRoman"/>
      <w:lvlText w:val="%3."/>
      <w:lvlJc w:val="right"/>
      <w:pPr>
        <w:ind w:left="2160" w:hanging="180"/>
      </w:pPr>
    </w:lvl>
    <w:lvl w:ilvl="3" w:tplc="526C54AC" w:tentative="1">
      <w:start w:val="1"/>
      <w:numFmt w:val="decimal"/>
      <w:lvlText w:val="%4."/>
      <w:lvlJc w:val="left"/>
      <w:pPr>
        <w:ind w:left="2880" w:hanging="360"/>
      </w:pPr>
    </w:lvl>
    <w:lvl w:ilvl="4" w:tplc="CFA82068" w:tentative="1">
      <w:start w:val="1"/>
      <w:numFmt w:val="lowerLetter"/>
      <w:lvlText w:val="%5."/>
      <w:lvlJc w:val="left"/>
      <w:pPr>
        <w:ind w:left="3600" w:hanging="360"/>
      </w:pPr>
    </w:lvl>
    <w:lvl w:ilvl="5" w:tplc="AB740728" w:tentative="1">
      <w:start w:val="1"/>
      <w:numFmt w:val="lowerRoman"/>
      <w:lvlText w:val="%6."/>
      <w:lvlJc w:val="right"/>
      <w:pPr>
        <w:ind w:left="4320" w:hanging="180"/>
      </w:pPr>
    </w:lvl>
    <w:lvl w:ilvl="6" w:tplc="D40E9BDC" w:tentative="1">
      <w:start w:val="1"/>
      <w:numFmt w:val="decimal"/>
      <w:lvlText w:val="%7."/>
      <w:lvlJc w:val="left"/>
      <w:pPr>
        <w:ind w:left="5040" w:hanging="360"/>
      </w:pPr>
    </w:lvl>
    <w:lvl w:ilvl="7" w:tplc="BE520732" w:tentative="1">
      <w:start w:val="1"/>
      <w:numFmt w:val="lowerLetter"/>
      <w:lvlText w:val="%8."/>
      <w:lvlJc w:val="left"/>
      <w:pPr>
        <w:ind w:left="5760" w:hanging="360"/>
      </w:pPr>
    </w:lvl>
    <w:lvl w:ilvl="8" w:tplc="4F6422EC" w:tentative="1">
      <w:start w:val="1"/>
      <w:numFmt w:val="lowerRoman"/>
      <w:lvlText w:val="%9."/>
      <w:lvlJc w:val="right"/>
      <w:pPr>
        <w:ind w:left="6480" w:hanging="180"/>
      </w:pPr>
    </w:lvl>
  </w:abstractNum>
  <w:abstractNum w:abstractNumId="20" w15:restartNumberingAfterBreak="0">
    <w:nsid w:val="767D7B4B"/>
    <w:multiLevelType w:val="multilevel"/>
    <w:tmpl w:val="F5B48C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9032E1C"/>
    <w:multiLevelType w:val="hybridMultilevel"/>
    <w:tmpl w:val="B72E06C6"/>
    <w:lvl w:ilvl="0" w:tplc="E79AC21E">
      <w:start w:val="1"/>
      <w:numFmt w:val="decimal"/>
      <w:lvlText w:val="3.2.%1"/>
      <w:lvlJc w:val="center"/>
      <w:pPr>
        <w:ind w:left="720" w:hanging="360"/>
      </w:pPr>
      <w:rPr>
        <w:rFonts w:hint="default"/>
        <w:b w:val="0"/>
        <w:bCs w:val="0"/>
      </w:rPr>
    </w:lvl>
    <w:lvl w:ilvl="1" w:tplc="CCEE5B14">
      <w:start w:val="1"/>
      <w:numFmt w:val="lowerLetter"/>
      <w:lvlText w:val="%2."/>
      <w:lvlJc w:val="left"/>
      <w:pPr>
        <w:ind w:left="1440" w:hanging="360"/>
      </w:pPr>
    </w:lvl>
    <w:lvl w:ilvl="2" w:tplc="9868643C" w:tentative="1">
      <w:start w:val="1"/>
      <w:numFmt w:val="lowerRoman"/>
      <w:lvlText w:val="%3."/>
      <w:lvlJc w:val="right"/>
      <w:pPr>
        <w:ind w:left="2160" w:hanging="180"/>
      </w:pPr>
    </w:lvl>
    <w:lvl w:ilvl="3" w:tplc="BAD04B4A" w:tentative="1">
      <w:start w:val="1"/>
      <w:numFmt w:val="decimal"/>
      <w:lvlText w:val="%4."/>
      <w:lvlJc w:val="left"/>
      <w:pPr>
        <w:ind w:left="2880" w:hanging="360"/>
      </w:pPr>
    </w:lvl>
    <w:lvl w:ilvl="4" w:tplc="CBAAE522" w:tentative="1">
      <w:start w:val="1"/>
      <w:numFmt w:val="lowerLetter"/>
      <w:lvlText w:val="%5."/>
      <w:lvlJc w:val="left"/>
      <w:pPr>
        <w:ind w:left="3600" w:hanging="360"/>
      </w:pPr>
    </w:lvl>
    <w:lvl w:ilvl="5" w:tplc="FB4A0A98" w:tentative="1">
      <w:start w:val="1"/>
      <w:numFmt w:val="lowerRoman"/>
      <w:lvlText w:val="%6."/>
      <w:lvlJc w:val="right"/>
      <w:pPr>
        <w:ind w:left="4320" w:hanging="180"/>
      </w:pPr>
    </w:lvl>
    <w:lvl w:ilvl="6" w:tplc="D16E1EFA" w:tentative="1">
      <w:start w:val="1"/>
      <w:numFmt w:val="decimal"/>
      <w:lvlText w:val="%7."/>
      <w:lvlJc w:val="left"/>
      <w:pPr>
        <w:ind w:left="5040" w:hanging="360"/>
      </w:pPr>
    </w:lvl>
    <w:lvl w:ilvl="7" w:tplc="A25E7FEE" w:tentative="1">
      <w:start w:val="1"/>
      <w:numFmt w:val="lowerLetter"/>
      <w:lvlText w:val="%8."/>
      <w:lvlJc w:val="left"/>
      <w:pPr>
        <w:ind w:left="5760" w:hanging="360"/>
      </w:pPr>
    </w:lvl>
    <w:lvl w:ilvl="8" w:tplc="54522804" w:tentative="1">
      <w:start w:val="1"/>
      <w:numFmt w:val="lowerRoman"/>
      <w:lvlText w:val="%9."/>
      <w:lvlJc w:val="right"/>
      <w:pPr>
        <w:ind w:left="6480" w:hanging="180"/>
      </w:pPr>
    </w:lvl>
  </w:abstractNum>
  <w:abstractNum w:abstractNumId="22" w15:restartNumberingAfterBreak="0">
    <w:nsid w:val="7E717BBA"/>
    <w:multiLevelType w:val="hybridMultilevel"/>
    <w:tmpl w:val="3F5C3B94"/>
    <w:lvl w:ilvl="0" w:tplc="BAB8A76E">
      <w:start w:val="1"/>
      <w:numFmt w:val="decimal"/>
      <w:lvlText w:val="7.2.%1"/>
      <w:lvlJc w:val="center"/>
      <w:pPr>
        <w:ind w:left="720" w:hanging="360"/>
      </w:pPr>
      <w:rPr>
        <w:rFonts w:hint="default"/>
        <w:b w:val="0"/>
        <w:bCs w:val="0"/>
      </w:rPr>
    </w:lvl>
    <w:lvl w:ilvl="1" w:tplc="8E7CC8DE">
      <w:start w:val="1"/>
      <w:numFmt w:val="lowerLetter"/>
      <w:lvlText w:val="%2."/>
      <w:lvlJc w:val="left"/>
      <w:pPr>
        <w:ind w:left="1440" w:hanging="360"/>
      </w:pPr>
    </w:lvl>
    <w:lvl w:ilvl="2" w:tplc="8D04749A" w:tentative="1">
      <w:start w:val="1"/>
      <w:numFmt w:val="lowerRoman"/>
      <w:lvlText w:val="%3."/>
      <w:lvlJc w:val="right"/>
      <w:pPr>
        <w:ind w:left="2160" w:hanging="180"/>
      </w:pPr>
    </w:lvl>
    <w:lvl w:ilvl="3" w:tplc="D33AE05E" w:tentative="1">
      <w:start w:val="1"/>
      <w:numFmt w:val="decimal"/>
      <w:lvlText w:val="%4."/>
      <w:lvlJc w:val="left"/>
      <w:pPr>
        <w:ind w:left="2880" w:hanging="360"/>
      </w:pPr>
    </w:lvl>
    <w:lvl w:ilvl="4" w:tplc="0DF243C6" w:tentative="1">
      <w:start w:val="1"/>
      <w:numFmt w:val="lowerLetter"/>
      <w:lvlText w:val="%5."/>
      <w:lvlJc w:val="left"/>
      <w:pPr>
        <w:ind w:left="3600" w:hanging="360"/>
      </w:pPr>
    </w:lvl>
    <w:lvl w:ilvl="5" w:tplc="4F3C1530" w:tentative="1">
      <w:start w:val="1"/>
      <w:numFmt w:val="lowerRoman"/>
      <w:lvlText w:val="%6."/>
      <w:lvlJc w:val="right"/>
      <w:pPr>
        <w:ind w:left="4320" w:hanging="180"/>
      </w:pPr>
    </w:lvl>
    <w:lvl w:ilvl="6" w:tplc="3BC672A2" w:tentative="1">
      <w:start w:val="1"/>
      <w:numFmt w:val="decimal"/>
      <w:lvlText w:val="%7."/>
      <w:lvlJc w:val="left"/>
      <w:pPr>
        <w:ind w:left="5040" w:hanging="360"/>
      </w:pPr>
    </w:lvl>
    <w:lvl w:ilvl="7" w:tplc="2C5AEBD8" w:tentative="1">
      <w:start w:val="1"/>
      <w:numFmt w:val="lowerLetter"/>
      <w:lvlText w:val="%8."/>
      <w:lvlJc w:val="left"/>
      <w:pPr>
        <w:ind w:left="5760" w:hanging="360"/>
      </w:pPr>
    </w:lvl>
    <w:lvl w:ilvl="8" w:tplc="47D0694C" w:tentative="1">
      <w:start w:val="1"/>
      <w:numFmt w:val="lowerRoman"/>
      <w:lvlText w:val="%9."/>
      <w:lvlJc w:val="right"/>
      <w:pPr>
        <w:ind w:left="6480" w:hanging="180"/>
      </w:pPr>
    </w:lvl>
  </w:abstractNum>
  <w:num w:numId="1" w16cid:durableId="1788543363">
    <w:abstractNumId w:val="18"/>
  </w:num>
  <w:num w:numId="2" w16cid:durableId="1448349231">
    <w:abstractNumId w:val="11"/>
  </w:num>
  <w:num w:numId="3" w16cid:durableId="56632137">
    <w:abstractNumId w:val="14"/>
  </w:num>
  <w:num w:numId="4" w16cid:durableId="2142653450">
    <w:abstractNumId w:val="19"/>
  </w:num>
  <w:num w:numId="5" w16cid:durableId="496459474">
    <w:abstractNumId w:val="21"/>
  </w:num>
  <w:num w:numId="6" w16cid:durableId="786235892">
    <w:abstractNumId w:val="3"/>
  </w:num>
  <w:num w:numId="7" w16cid:durableId="2048214727">
    <w:abstractNumId w:val="0"/>
  </w:num>
  <w:num w:numId="8" w16cid:durableId="1473374">
    <w:abstractNumId w:val="2"/>
  </w:num>
  <w:num w:numId="9" w16cid:durableId="1548301128">
    <w:abstractNumId w:val="1"/>
  </w:num>
  <w:num w:numId="10" w16cid:durableId="1252589848">
    <w:abstractNumId w:val="8"/>
  </w:num>
  <w:num w:numId="11" w16cid:durableId="1706255331">
    <w:abstractNumId w:val="9"/>
  </w:num>
  <w:num w:numId="12" w16cid:durableId="137577848">
    <w:abstractNumId w:val="13"/>
  </w:num>
  <w:num w:numId="13" w16cid:durableId="1010452231">
    <w:abstractNumId w:val="6"/>
  </w:num>
  <w:num w:numId="14" w16cid:durableId="2070419933">
    <w:abstractNumId w:val="16"/>
  </w:num>
  <w:num w:numId="15" w16cid:durableId="2138597085">
    <w:abstractNumId w:val="22"/>
  </w:num>
  <w:num w:numId="16" w16cid:durableId="1407268829">
    <w:abstractNumId w:val="17"/>
  </w:num>
  <w:num w:numId="17" w16cid:durableId="1304197792">
    <w:abstractNumId w:val="5"/>
  </w:num>
  <w:num w:numId="18" w16cid:durableId="1658142735">
    <w:abstractNumId w:val="12"/>
  </w:num>
  <w:num w:numId="19" w16cid:durableId="885945623">
    <w:abstractNumId w:val="7"/>
  </w:num>
  <w:num w:numId="20" w16cid:durableId="1256281711">
    <w:abstractNumId w:val="4"/>
  </w:num>
  <w:num w:numId="21" w16cid:durableId="904489448">
    <w:abstractNumId w:val="10"/>
  </w:num>
  <w:num w:numId="22" w16cid:durableId="862400534">
    <w:abstractNumId w:val="20"/>
  </w:num>
  <w:num w:numId="23" w16cid:durableId="1843468414">
    <w:abstractNumId w:val="15"/>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removePersonalInformation/>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DAE"/>
    <w:rsid w:val="00041EDC"/>
    <w:rsid w:val="00043B97"/>
    <w:rsid w:val="00057C6B"/>
    <w:rsid w:val="00065F6E"/>
    <w:rsid w:val="00067879"/>
    <w:rsid w:val="000812F1"/>
    <w:rsid w:val="000855F4"/>
    <w:rsid w:val="000903DA"/>
    <w:rsid w:val="000913B7"/>
    <w:rsid w:val="000B0A0D"/>
    <w:rsid w:val="000B3F19"/>
    <w:rsid w:val="000B4C3C"/>
    <w:rsid w:val="000C3DAE"/>
    <w:rsid w:val="000C68E8"/>
    <w:rsid w:val="000E571D"/>
    <w:rsid w:val="000F1511"/>
    <w:rsid w:val="001004BF"/>
    <w:rsid w:val="00116B34"/>
    <w:rsid w:val="00140661"/>
    <w:rsid w:val="0014276B"/>
    <w:rsid w:val="001464E1"/>
    <w:rsid w:val="00147E37"/>
    <w:rsid w:val="00152E85"/>
    <w:rsid w:val="00165AA3"/>
    <w:rsid w:val="00166920"/>
    <w:rsid w:val="001720E7"/>
    <w:rsid w:val="0017439A"/>
    <w:rsid w:val="00176C6B"/>
    <w:rsid w:val="0019052C"/>
    <w:rsid w:val="001A5755"/>
    <w:rsid w:val="001B2D92"/>
    <w:rsid w:val="001B55A5"/>
    <w:rsid w:val="001C19C6"/>
    <w:rsid w:val="001E133B"/>
    <w:rsid w:val="001E3540"/>
    <w:rsid w:val="00211C40"/>
    <w:rsid w:val="002161D7"/>
    <w:rsid w:val="0022461C"/>
    <w:rsid w:val="00227044"/>
    <w:rsid w:val="00253220"/>
    <w:rsid w:val="00262FC1"/>
    <w:rsid w:val="00277660"/>
    <w:rsid w:val="00286FFF"/>
    <w:rsid w:val="002C4AB3"/>
    <w:rsid w:val="002F71FE"/>
    <w:rsid w:val="003000BB"/>
    <w:rsid w:val="00302E2F"/>
    <w:rsid w:val="0031328E"/>
    <w:rsid w:val="00315E16"/>
    <w:rsid w:val="00330CB2"/>
    <w:rsid w:val="00336C7E"/>
    <w:rsid w:val="00340CBF"/>
    <w:rsid w:val="003472F4"/>
    <w:rsid w:val="00351BB1"/>
    <w:rsid w:val="00382F23"/>
    <w:rsid w:val="00390F9D"/>
    <w:rsid w:val="00393EBD"/>
    <w:rsid w:val="003A011C"/>
    <w:rsid w:val="003A4A32"/>
    <w:rsid w:val="003B1916"/>
    <w:rsid w:val="003C6952"/>
    <w:rsid w:val="003D453C"/>
    <w:rsid w:val="003F3DFE"/>
    <w:rsid w:val="00412D3E"/>
    <w:rsid w:val="00415088"/>
    <w:rsid w:val="00420FA9"/>
    <w:rsid w:val="00425809"/>
    <w:rsid w:val="00430F35"/>
    <w:rsid w:val="004421E4"/>
    <w:rsid w:val="0045469C"/>
    <w:rsid w:val="00471743"/>
    <w:rsid w:val="00480A2A"/>
    <w:rsid w:val="004859F8"/>
    <w:rsid w:val="004A3B52"/>
    <w:rsid w:val="004A58F5"/>
    <w:rsid w:val="004E0292"/>
    <w:rsid w:val="004E5438"/>
    <w:rsid w:val="00522345"/>
    <w:rsid w:val="0053114E"/>
    <w:rsid w:val="0053575E"/>
    <w:rsid w:val="005416C1"/>
    <w:rsid w:val="00544F26"/>
    <w:rsid w:val="00545F13"/>
    <w:rsid w:val="00564FFE"/>
    <w:rsid w:val="00571C4B"/>
    <w:rsid w:val="00575375"/>
    <w:rsid w:val="00577D49"/>
    <w:rsid w:val="00580C5C"/>
    <w:rsid w:val="00584979"/>
    <w:rsid w:val="005A3965"/>
    <w:rsid w:val="005B0153"/>
    <w:rsid w:val="005B35AC"/>
    <w:rsid w:val="005B43BD"/>
    <w:rsid w:val="005C2486"/>
    <w:rsid w:val="005D263F"/>
    <w:rsid w:val="005F02A1"/>
    <w:rsid w:val="005F04D6"/>
    <w:rsid w:val="00617433"/>
    <w:rsid w:val="006545B7"/>
    <w:rsid w:val="006650A9"/>
    <w:rsid w:val="00665266"/>
    <w:rsid w:val="00675F5C"/>
    <w:rsid w:val="00690F5E"/>
    <w:rsid w:val="006957F6"/>
    <w:rsid w:val="006A35E1"/>
    <w:rsid w:val="006B4CE8"/>
    <w:rsid w:val="006C5BB5"/>
    <w:rsid w:val="006D2880"/>
    <w:rsid w:val="006F3AB4"/>
    <w:rsid w:val="006F7513"/>
    <w:rsid w:val="00722434"/>
    <w:rsid w:val="00723FF2"/>
    <w:rsid w:val="007250AE"/>
    <w:rsid w:val="00726AA9"/>
    <w:rsid w:val="00753606"/>
    <w:rsid w:val="00760F13"/>
    <w:rsid w:val="00777FEE"/>
    <w:rsid w:val="00780617"/>
    <w:rsid w:val="00797551"/>
    <w:rsid w:val="007A19B5"/>
    <w:rsid w:val="007C7597"/>
    <w:rsid w:val="007E11B8"/>
    <w:rsid w:val="007F029F"/>
    <w:rsid w:val="007F305D"/>
    <w:rsid w:val="007F4309"/>
    <w:rsid w:val="0080103D"/>
    <w:rsid w:val="00813AA0"/>
    <w:rsid w:val="00815629"/>
    <w:rsid w:val="008177F1"/>
    <w:rsid w:val="008370B6"/>
    <w:rsid w:val="0084262F"/>
    <w:rsid w:val="008443D8"/>
    <w:rsid w:val="008634EF"/>
    <w:rsid w:val="00865A5D"/>
    <w:rsid w:val="00874F19"/>
    <w:rsid w:val="00881BA0"/>
    <w:rsid w:val="0088414D"/>
    <w:rsid w:val="00887C46"/>
    <w:rsid w:val="0089544C"/>
    <w:rsid w:val="00896A97"/>
    <w:rsid w:val="008A0113"/>
    <w:rsid w:val="008C1323"/>
    <w:rsid w:val="008D24D1"/>
    <w:rsid w:val="008D7875"/>
    <w:rsid w:val="008F5ED5"/>
    <w:rsid w:val="008F6545"/>
    <w:rsid w:val="00905F78"/>
    <w:rsid w:val="009060EA"/>
    <w:rsid w:val="0091758E"/>
    <w:rsid w:val="00924743"/>
    <w:rsid w:val="009361DA"/>
    <w:rsid w:val="00984B91"/>
    <w:rsid w:val="009913D6"/>
    <w:rsid w:val="009A3339"/>
    <w:rsid w:val="009A474A"/>
    <w:rsid w:val="009A648A"/>
    <w:rsid w:val="009D40CB"/>
    <w:rsid w:val="009D4ED6"/>
    <w:rsid w:val="009D6EBC"/>
    <w:rsid w:val="00A33400"/>
    <w:rsid w:val="00A3633C"/>
    <w:rsid w:val="00A417A2"/>
    <w:rsid w:val="00A654A1"/>
    <w:rsid w:val="00A955D6"/>
    <w:rsid w:val="00AA10E1"/>
    <w:rsid w:val="00AA50E4"/>
    <w:rsid w:val="00AC160E"/>
    <w:rsid w:val="00AD5444"/>
    <w:rsid w:val="00AE2DAB"/>
    <w:rsid w:val="00AE3FAB"/>
    <w:rsid w:val="00B26F53"/>
    <w:rsid w:val="00B46F67"/>
    <w:rsid w:val="00B548E0"/>
    <w:rsid w:val="00B6189E"/>
    <w:rsid w:val="00B64D67"/>
    <w:rsid w:val="00B72A96"/>
    <w:rsid w:val="00B74390"/>
    <w:rsid w:val="00B76CC4"/>
    <w:rsid w:val="00B90022"/>
    <w:rsid w:val="00B9652E"/>
    <w:rsid w:val="00BA0CC4"/>
    <w:rsid w:val="00BC0400"/>
    <w:rsid w:val="00BC1F48"/>
    <w:rsid w:val="00BC5F52"/>
    <w:rsid w:val="00BD5E4C"/>
    <w:rsid w:val="00BE4C09"/>
    <w:rsid w:val="00BE6844"/>
    <w:rsid w:val="00BF1391"/>
    <w:rsid w:val="00BF4837"/>
    <w:rsid w:val="00C03CFC"/>
    <w:rsid w:val="00C14DAA"/>
    <w:rsid w:val="00C26B0D"/>
    <w:rsid w:val="00C4133E"/>
    <w:rsid w:val="00C42DEE"/>
    <w:rsid w:val="00C574FD"/>
    <w:rsid w:val="00C6783A"/>
    <w:rsid w:val="00C85BD9"/>
    <w:rsid w:val="00CD346D"/>
    <w:rsid w:val="00D00564"/>
    <w:rsid w:val="00D0276B"/>
    <w:rsid w:val="00D06BCA"/>
    <w:rsid w:val="00D22E1A"/>
    <w:rsid w:val="00D4039F"/>
    <w:rsid w:val="00D474D3"/>
    <w:rsid w:val="00D72FD2"/>
    <w:rsid w:val="00D74516"/>
    <w:rsid w:val="00D91852"/>
    <w:rsid w:val="00D924CC"/>
    <w:rsid w:val="00DA2A06"/>
    <w:rsid w:val="00DA2CD5"/>
    <w:rsid w:val="00DB62DF"/>
    <w:rsid w:val="00DE245F"/>
    <w:rsid w:val="00E001B8"/>
    <w:rsid w:val="00E10833"/>
    <w:rsid w:val="00E12955"/>
    <w:rsid w:val="00E16217"/>
    <w:rsid w:val="00E21FAE"/>
    <w:rsid w:val="00E220A6"/>
    <w:rsid w:val="00E30842"/>
    <w:rsid w:val="00E32E51"/>
    <w:rsid w:val="00E34060"/>
    <w:rsid w:val="00E44980"/>
    <w:rsid w:val="00E6046D"/>
    <w:rsid w:val="00E66CA2"/>
    <w:rsid w:val="00E7648E"/>
    <w:rsid w:val="00E827E9"/>
    <w:rsid w:val="00E83739"/>
    <w:rsid w:val="00E85411"/>
    <w:rsid w:val="00E8656F"/>
    <w:rsid w:val="00EA0746"/>
    <w:rsid w:val="00EA38EC"/>
    <w:rsid w:val="00EE2294"/>
    <w:rsid w:val="00EE31F9"/>
    <w:rsid w:val="00EF1A65"/>
    <w:rsid w:val="00F053C2"/>
    <w:rsid w:val="00F22069"/>
    <w:rsid w:val="00F30587"/>
    <w:rsid w:val="00F54C10"/>
    <w:rsid w:val="00F57220"/>
    <w:rsid w:val="00F60C93"/>
    <w:rsid w:val="00F667DA"/>
    <w:rsid w:val="00F76DA8"/>
    <w:rsid w:val="00F81BA4"/>
    <w:rsid w:val="00F82E2E"/>
    <w:rsid w:val="00F841AC"/>
    <w:rsid w:val="00F84929"/>
    <w:rsid w:val="00F9209A"/>
    <w:rsid w:val="00FA173A"/>
    <w:rsid w:val="00FA1B53"/>
    <w:rsid w:val="00FB0A45"/>
    <w:rsid w:val="00FC780F"/>
    <w:rsid w:val="00FD58CC"/>
    <w:rsid w:val="00FF71B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4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425809"/>
  </w:style>
  <w:style w:type="paragraph" w:styleId="Revision">
    <w:name w:val="Revision"/>
    <w:hidden/>
    <w:uiPriority w:val="99"/>
    <w:semiHidden/>
    <w:rsid w:val="00E827E9"/>
    <w:pPr>
      <w:widowControl/>
      <w:jc w:val="left"/>
    </w:pPr>
  </w:style>
  <w:style w:type="paragraph" w:styleId="ListParagraph">
    <w:name w:val="List Paragraph"/>
    <w:basedOn w:val="Normal"/>
    <w:uiPriority w:val="34"/>
    <w:qFormat/>
    <w:rsid w:val="0053575E"/>
    <w:pPr>
      <w:ind w:left="720"/>
      <w:contextualSpacing/>
    </w:pPr>
  </w:style>
  <w:style w:type="paragraph" w:styleId="NormalWeb">
    <w:name w:val="Normal (Web)"/>
    <w:basedOn w:val="Normal"/>
    <w:uiPriority w:val="99"/>
    <w:semiHidden/>
    <w:unhideWhenUsed/>
    <w:rsid w:val="00887C46"/>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4859F8"/>
    <w:rPr>
      <w:b/>
      <w:bCs/>
    </w:rPr>
  </w:style>
  <w:style w:type="character" w:customStyle="1" w:styleId="CommentSubjectChar">
    <w:name w:val="Comment Subject Char"/>
    <w:basedOn w:val="CommentTextChar"/>
    <w:link w:val="CommentSubject"/>
    <w:uiPriority w:val="99"/>
    <w:semiHidden/>
    <w:rsid w:val="004859F8"/>
    <w:rPr>
      <w:b/>
      <w:bCs/>
      <w:sz w:val="20"/>
      <w:szCs w:val="20"/>
    </w:rPr>
  </w:style>
  <w:style w:type="paragraph" w:customStyle="1" w:styleId="ProtocolTitle">
    <w:name w:val="Protocol Title"/>
    <w:rsid w:val="00F30587"/>
    <w:pPr>
      <w:keepNext/>
      <w:widowControl/>
      <w:spacing w:after="120"/>
      <w:jc w:val="left"/>
    </w:pPr>
    <w:rPr>
      <w:rFonts w:eastAsiaTheme="minorEastAsia" w:cstheme="minorBidi"/>
      <w:b/>
      <w:sz w:val="28"/>
      <w:szCs w:val="22"/>
      <w:lang w:val="en-US"/>
    </w:rPr>
  </w:style>
  <w:style w:type="paragraph" w:customStyle="1" w:styleId="ProtocolSection">
    <w:name w:val="Protocol Section"/>
    <w:rsid w:val="00F30587"/>
    <w:pPr>
      <w:keepNext/>
      <w:widowControl/>
      <w:spacing w:after="120"/>
      <w:jc w:val="left"/>
    </w:pPr>
    <w:rPr>
      <w:rFonts w:eastAsiaTheme="minorEastAsia" w:cstheme="minorBidi"/>
      <w:b/>
      <w:szCs w:val="22"/>
      <w:lang w:val="en-US"/>
    </w:rPr>
  </w:style>
  <w:style w:type="paragraph" w:customStyle="1" w:styleId="ProtocolSubsection">
    <w:name w:val="Protocol Subsection"/>
    <w:rsid w:val="00F30587"/>
    <w:pPr>
      <w:keepNext/>
      <w:widowControl/>
      <w:spacing w:after="120"/>
      <w:ind w:left="288"/>
      <w:jc w:val="left"/>
    </w:pPr>
    <w:rPr>
      <w:rFonts w:eastAsiaTheme="minorEastAsia" w:cstheme="minorBidi"/>
      <w:b/>
      <w:szCs w:val="22"/>
      <w:lang w:val="en-US"/>
    </w:rPr>
  </w:style>
  <w:style w:type="paragraph" w:customStyle="1" w:styleId="ProtocolStep">
    <w:name w:val="Protocol Step"/>
    <w:rsid w:val="00F30587"/>
    <w:pPr>
      <w:widowControl/>
      <w:spacing w:after="120"/>
      <w:ind w:left="504" w:hanging="504"/>
      <w:jc w:val="left"/>
    </w:pPr>
    <w:rPr>
      <w:rFonts w:eastAsiaTheme="minorEastAsia" w:cstheme="minorBidi"/>
      <w:szCs w:val="22"/>
      <w:lang w:val="en-US"/>
    </w:rPr>
  </w:style>
  <w:style w:type="paragraph" w:customStyle="1" w:styleId="ProtocolNote">
    <w:name w:val="Protocol Note"/>
    <w:rsid w:val="00F30587"/>
    <w:pPr>
      <w:widowControl/>
      <w:spacing w:after="120"/>
      <w:jc w:val="left"/>
    </w:pPr>
    <w:rPr>
      <w:rFonts w:eastAsiaTheme="minorEastAsia" w:cstheme="minorBid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sY4YgW/r5ASW3Emr2E9tv+PbDw==">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</go:docsCustomData>
</go:gDocsCustomXmlDataStorage>
</file>

<file path=customXml/itemProps1.xml><?xml version="1.0" encoding="utf-8"?>
<ds:datastoreItem xmlns:ds="http://schemas.openxmlformats.org/officeDocument/2006/customXml" ds:itemID="{D7B0AD07-9BCC-324D-99B1-589D6F88CD6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52248</Words>
  <Characters>297814</Characters>
  <Application>Microsoft Office Word</Application>
  <DocSecurity>0</DocSecurity>
  <Lines>2481</Lines>
  <Paragraphs>698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2026-09-24T20:19:00Z</dcterms:created>
  <dcterms:modified xsi:type="dcterms:W3CDTF">2026-09-24T20:19:00Z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70a9bd1e-c8fd-49c1-bb1f-e6750e9f2ea1</vt:lpwstr>
  </property>
</Properties>
</file>