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3A133D" w14:textId="77777777" w:rsidR="00EC4BAF" w:rsidRPr="00B07A3B" w:rsidRDefault="00EC4BAF" w:rsidP="00EC4BAF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>
        <w:rPr>
          <w:rFonts w:eastAsia="Times New Roman" w:cstheme="minorHAnsi"/>
          <w:b/>
        </w:rPr>
        <w:t>73178</w:t>
      </w:r>
    </w:p>
    <w:p w14:paraId="4600F1D0" w14:textId="77777777" w:rsidR="00EC4BAF" w:rsidRDefault="00EC4BAF" w:rsidP="00EC4BAF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>
        <w:rPr>
          <w:rFonts w:eastAsia="Times New Roman" w:cstheme="minorHAnsi"/>
          <w:b/>
        </w:rPr>
        <w:t>Pallavi Sharma</w:t>
      </w:r>
    </w:p>
    <w:p w14:paraId="2D498C8F" w14:textId="77777777" w:rsidR="00EC4BAF" w:rsidRPr="00B07A3B" w:rsidRDefault="00EC4BAF" w:rsidP="00EC4BAF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>
        <w:rPr>
          <w:rFonts w:eastAsia="Times New Roman" w:cstheme="minorHAnsi"/>
          <w:b/>
        </w:rPr>
        <w:t xml:space="preserve"> </w:t>
      </w:r>
      <w:hyperlink r:id="rId7" w:history="1">
        <w:r w:rsidRPr="003A7AAA">
          <w:rPr>
            <w:rStyle w:val="Hyperlink"/>
            <w:rFonts w:eastAsia="Times New Roman" w:cstheme="minorHAnsi"/>
            <w:b/>
          </w:rPr>
          <w:t>https://review.jove.com/files_upload.php?src=22319338</w:t>
        </w:r>
      </w:hyperlink>
    </w:p>
    <w:p w14:paraId="79A2152D" w14:textId="77777777" w:rsidR="00EC4BAF" w:rsidRPr="00B07A3B" w:rsidRDefault="00EC4BAF" w:rsidP="00EC4BAF">
      <w:pPr>
        <w:outlineLvl w:val="0"/>
        <w:rPr>
          <w:rFonts w:eastAsia="Times New Roman" w:cstheme="minorHAnsi"/>
          <w:b/>
        </w:rPr>
      </w:pPr>
    </w:p>
    <w:p w14:paraId="5A134746" w14:textId="77777777" w:rsidR="00EC4BAF" w:rsidRPr="00B97B1F" w:rsidRDefault="00EC4BAF" w:rsidP="00EC4BAF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Pr="00B97B1F">
        <w:rPr>
          <w:b/>
          <w:sz w:val="32"/>
          <w:szCs w:val="32"/>
        </w:rPr>
        <w:t>Establishment of a TGF-β–Induced Rodent Myopia Model Using Subconjunctival Injections</w:t>
      </w:r>
    </w:p>
    <w:p w14:paraId="30A21FDF" w14:textId="77777777" w:rsidR="00EC4BAF" w:rsidRDefault="00EC4BAF" w:rsidP="00EC4BAF">
      <w:pPr>
        <w:outlineLvl w:val="0"/>
        <w:rPr>
          <w:rFonts w:eastAsia="Times New Roman" w:cstheme="minorHAnsi"/>
          <w:b/>
        </w:rPr>
      </w:pPr>
    </w:p>
    <w:p w14:paraId="56AD86E0" w14:textId="77777777" w:rsidR="00EC4BAF" w:rsidRDefault="00EC4BAF" w:rsidP="00EC4BAF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A1C298C" w14:textId="77777777" w:rsidR="00EC4BAF" w:rsidRDefault="00EC4BAF" w:rsidP="00EC4BA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572C877" w14:textId="77777777" w:rsidR="00EC4BAF" w:rsidRPr="00365C3C" w:rsidRDefault="00EC4BAF" w:rsidP="00EC4BAF">
      <w:pPr>
        <w:pStyle w:val="p1"/>
        <w:contextualSpacing/>
        <w:mirrorIndents/>
        <w:rPr>
          <w:rFonts w:ascii="Calibri" w:hAnsi="Calibri" w:cs="Calibri"/>
          <w:color w:val="auto"/>
          <w:sz w:val="28"/>
          <w:szCs w:val="28"/>
        </w:rPr>
      </w:pPr>
      <w:r w:rsidRPr="00365C3C">
        <w:rPr>
          <w:rFonts w:ascii="Calibri" w:hAnsi="Calibri" w:cs="Calibri"/>
          <w:color w:val="auto"/>
          <w:sz w:val="28"/>
          <w:szCs w:val="28"/>
        </w:rPr>
        <w:t>Ying-Chi Chen</w:t>
      </w:r>
      <w:r w:rsidRPr="00365C3C">
        <w:rPr>
          <w:rFonts w:ascii="Calibri" w:hAnsi="Calibri" w:cs="Calibri"/>
          <w:color w:val="auto"/>
          <w:sz w:val="28"/>
          <w:szCs w:val="28"/>
          <w:vertAlign w:val="superscript"/>
        </w:rPr>
        <w:t>1</w:t>
      </w:r>
      <w:r w:rsidRPr="00365C3C">
        <w:rPr>
          <w:rFonts w:ascii="Calibri" w:hAnsi="Calibri" w:cs="Calibri"/>
          <w:color w:val="auto"/>
          <w:sz w:val="28"/>
          <w:szCs w:val="28"/>
        </w:rPr>
        <w:t>, Yu-An Hsu</w:t>
      </w:r>
      <w:r w:rsidRPr="00365C3C">
        <w:rPr>
          <w:rFonts w:ascii="Calibri" w:hAnsi="Calibri" w:cs="Calibri"/>
          <w:color w:val="auto"/>
          <w:sz w:val="28"/>
          <w:szCs w:val="28"/>
          <w:vertAlign w:val="superscript"/>
        </w:rPr>
        <w:t>2,3</w:t>
      </w:r>
      <w:r w:rsidRPr="00365C3C">
        <w:rPr>
          <w:rFonts w:ascii="Calibri" w:hAnsi="Calibri" w:cs="Calibri"/>
          <w:color w:val="auto"/>
          <w:sz w:val="28"/>
          <w:szCs w:val="28"/>
        </w:rPr>
        <w:t>, Chen-Hao Chen</w:t>
      </w:r>
      <w:r w:rsidRPr="00365C3C">
        <w:rPr>
          <w:rFonts w:ascii="Calibri" w:hAnsi="Calibri" w:cs="Calibri"/>
          <w:color w:val="auto"/>
          <w:sz w:val="28"/>
          <w:szCs w:val="28"/>
          <w:vertAlign w:val="superscript"/>
        </w:rPr>
        <w:t>2</w:t>
      </w:r>
      <w:r w:rsidRPr="00365C3C">
        <w:rPr>
          <w:rFonts w:ascii="Calibri" w:hAnsi="Calibri" w:cs="Calibri"/>
          <w:color w:val="auto"/>
          <w:sz w:val="28"/>
          <w:szCs w:val="28"/>
        </w:rPr>
        <w:t>, Yung-Lan Chou</w:t>
      </w:r>
      <w:r w:rsidRPr="00365C3C">
        <w:rPr>
          <w:rFonts w:ascii="Calibri" w:hAnsi="Calibri" w:cs="Calibri"/>
          <w:color w:val="auto"/>
          <w:sz w:val="28"/>
          <w:szCs w:val="28"/>
          <w:vertAlign w:val="superscript"/>
        </w:rPr>
        <w:t>4</w:t>
      </w:r>
      <w:r w:rsidRPr="00365C3C">
        <w:rPr>
          <w:rFonts w:ascii="Calibri" w:hAnsi="Calibri" w:cs="Calibri"/>
          <w:color w:val="auto"/>
          <w:sz w:val="28"/>
          <w:szCs w:val="28"/>
        </w:rPr>
        <w:t>,</w:t>
      </w:r>
      <w:r>
        <w:rPr>
          <w:rFonts w:ascii="Calibri" w:hAnsi="Calibri" w:cs="Calibri"/>
          <w:color w:val="auto"/>
          <w:sz w:val="28"/>
          <w:szCs w:val="28"/>
        </w:rPr>
        <w:t xml:space="preserve"> </w:t>
      </w:r>
      <w:r w:rsidRPr="00365C3C">
        <w:rPr>
          <w:rFonts w:ascii="Calibri" w:hAnsi="Calibri" w:cs="Calibri"/>
          <w:color w:val="auto"/>
          <w:sz w:val="28"/>
          <w:szCs w:val="28"/>
        </w:rPr>
        <w:t>Jeng-Rung Chen</w:t>
      </w:r>
      <w:r w:rsidRPr="00365C3C">
        <w:rPr>
          <w:rFonts w:ascii="Calibri" w:hAnsi="Calibri" w:cs="Calibri"/>
          <w:color w:val="auto"/>
          <w:sz w:val="28"/>
          <w:szCs w:val="28"/>
          <w:vertAlign w:val="superscript"/>
        </w:rPr>
        <w:t>1</w:t>
      </w:r>
      <w:r w:rsidRPr="00365C3C">
        <w:rPr>
          <w:rFonts w:ascii="Calibri" w:hAnsi="Calibri" w:cs="Calibri"/>
          <w:color w:val="auto"/>
          <w:sz w:val="28"/>
          <w:szCs w:val="28"/>
        </w:rPr>
        <w:t>, Lei Wan</w:t>
      </w:r>
      <w:r w:rsidRPr="00365C3C">
        <w:rPr>
          <w:rFonts w:ascii="Calibri" w:hAnsi="Calibri" w:cs="Calibri"/>
          <w:color w:val="auto"/>
          <w:sz w:val="28"/>
          <w:szCs w:val="28"/>
          <w:vertAlign w:val="superscript"/>
        </w:rPr>
        <w:t>2,5</w:t>
      </w:r>
    </w:p>
    <w:p w14:paraId="1F812039" w14:textId="77777777" w:rsidR="00EC4BAF" w:rsidRPr="00365C3C" w:rsidRDefault="00EC4BAF" w:rsidP="00EC4BAF">
      <w:pPr>
        <w:pStyle w:val="p1"/>
        <w:contextualSpacing/>
        <w:mirrorIndents/>
        <w:rPr>
          <w:rFonts w:ascii="Calibri" w:hAnsi="Calibri" w:cs="Calibri"/>
          <w:color w:val="auto"/>
          <w:sz w:val="28"/>
          <w:szCs w:val="28"/>
        </w:rPr>
      </w:pPr>
    </w:p>
    <w:p w14:paraId="37BDFDE1" w14:textId="77777777" w:rsidR="00EC4BAF" w:rsidRPr="00365C3C" w:rsidRDefault="00EC4BAF" w:rsidP="00EC4BAF">
      <w:pPr>
        <w:pStyle w:val="p1"/>
        <w:contextualSpacing/>
        <w:mirrorIndents/>
        <w:rPr>
          <w:rFonts w:ascii="Calibri" w:hAnsi="Calibri" w:cs="Calibri"/>
          <w:color w:val="auto"/>
          <w:sz w:val="28"/>
          <w:szCs w:val="28"/>
        </w:rPr>
      </w:pPr>
      <w:r w:rsidRPr="00365C3C">
        <w:rPr>
          <w:rFonts w:ascii="Calibri" w:hAnsi="Calibri" w:cs="Calibri"/>
          <w:color w:val="auto"/>
          <w:sz w:val="28"/>
          <w:szCs w:val="28"/>
          <w:vertAlign w:val="superscript"/>
        </w:rPr>
        <w:t>1</w:t>
      </w:r>
      <w:r w:rsidRPr="00365C3C">
        <w:rPr>
          <w:rFonts w:ascii="Calibri" w:hAnsi="Calibri" w:cs="Calibri"/>
          <w:color w:val="auto"/>
          <w:sz w:val="28"/>
          <w:szCs w:val="28"/>
        </w:rPr>
        <w:t>Department of Veterinary Medicine, College of Veterinary Medicine, National Chung-Hsing University</w:t>
      </w:r>
    </w:p>
    <w:p w14:paraId="0EC16C0B" w14:textId="77777777" w:rsidR="00EC4BAF" w:rsidRPr="00365C3C" w:rsidRDefault="00EC4BAF" w:rsidP="00EC4BAF">
      <w:pPr>
        <w:pStyle w:val="p1"/>
        <w:contextualSpacing/>
        <w:mirrorIndents/>
        <w:rPr>
          <w:rFonts w:ascii="Calibri" w:hAnsi="Calibri" w:cs="Calibri"/>
          <w:color w:val="auto"/>
          <w:sz w:val="28"/>
          <w:szCs w:val="28"/>
        </w:rPr>
      </w:pPr>
      <w:r w:rsidRPr="00365C3C">
        <w:rPr>
          <w:rFonts w:ascii="Calibri" w:hAnsi="Calibri" w:cs="Calibri"/>
          <w:color w:val="auto"/>
          <w:sz w:val="28"/>
          <w:szCs w:val="28"/>
          <w:vertAlign w:val="superscript"/>
        </w:rPr>
        <w:t>2</w:t>
      </w:r>
      <w:r w:rsidRPr="00365C3C">
        <w:rPr>
          <w:rFonts w:ascii="Calibri" w:hAnsi="Calibri" w:cs="Calibri"/>
          <w:color w:val="auto"/>
          <w:sz w:val="28"/>
          <w:szCs w:val="28"/>
        </w:rPr>
        <w:t>School of Chinese Medicine, China Medical University</w:t>
      </w:r>
    </w:p>
    <w:p w14:paraId="2D5AAA87" w14:textId="77777777" w:rsidR="00EC4BAF" w:rsidRPr="00365C3C" w:rsidRDefault="00EC4BAF" w:rsidP="00EC4BAF">
      <w:pPr>
        <w:pStyle w:val="p1"/>
        <w:contextualSpacing/>
        <w:mirrorIndents/>
        <w:rPr>
          <w:rFonts w:ascii="Calibri" w:hAnsi="Calibri" w:cs="Calibri"/>
          <w:color w:val="auto"/>
          <w:sz w:val="28"/>
          <w:szCs w:val="28"/>
        </w:rPr>
      </w:pPr>
      <w:r w:rsidRPr="00365C3C">
        <w:rPr>
          <w:rFonts w:ascii="Calibri" w:hAnsi="Calibri" w:cs="Calibri"/>
          <w:color w:val="auto"/>
          <w:sz w:val="28"/>
          <w:szCs w:val="28"/>
          <w:vertAlign w:val="superscript"/>
        </w:rPr>
        <w:t>3</w:t>
      </w:r>
      <w:r w:rsidRPr="00365C3C">
        <w:rPr>
          <w:rFonts w:ascii="Calibri" w:hAnsi="Calibri" w:cs="Calibri"/>
          <w:color w:val="auto"/>
          <w:sz w:val="28"/>
          <w:szCs w:val="28"/>
        </w:rPr>
        <w:t>Department of Chemistry, National Central University</w:t>
      </w:r>
    </w:p>
    <w:p w14:paraId="0A4CD04B" w14:textId="77777777" w:rsidR="00EC4BAF" w:rsidRPr="00365C3C" w:rsidRDefault="00EC4BAF" w:rsidP="00EC4BAF">
      <w:pPr>
        <w:pStyle w:val="p1"/>
        <w:contextualSpacing/>
        <w:mirrorIndents/>
        <w:rPr>
          <w:rFonts w:ascii="Calibri" w:hAnsi="Calibri" w:cs="Calibri"/>
          <w:color w:val="auto"/>
          <w:sz w:val="28"/>
          <w:szCs w:val="28"/>
        </w:rPr>
      </w:pPr>
      <w:r w:rsidRPr="00365C3C">
        <w:rPr>
          <w:rFonts w:ascii="Calibri" w:hAnsi="Calibri" w:cs="Calibri"/>
          <w:color w:val="auto"/>
          <w:sz w:val="28"/>
          <w:szCs w:val="28"/>
          <w:vertAlign w:val="superscript"/>
        </w:rPr>
        <w:t>4</w:t>
      </w:r>
      <w:r w:rsidRPr="00365C3C">
        <w:rPr>
          <w:rFonts w:ascii="Calibri" w:hAnsi="Calibri" w:cs="Calibri"/>
          <w:color w:val="auto"/>
          <w:sz w:val="28"/>
          <w:szCs w:val="28"/>
        </w:rPr>
        <w:t>Department of Biomedical Engineering and Environmental Sciences, National Tsing Hua University</w:t>
      </w:r>
    </w:p>
    <w:p w14:paraId="3FDF7928" w14:textId="77777777" w:rsidR="00EC4BAF" w:rsidRPr="00B07A3B" w:rsidRDefault="00EC4BAF" w:rsidP="00EC4BAF">
      <w:pPr>
        <w:pStyle w:val="p1"/>
        <w:contextualSpacing/>
        <w:mirrorIndents/>
        <w:rPr>
          <w:rFonts w:eastAsia="Times New Roman" w:cstheme="minorHAnsi"/>
          <w:b/>
          <w:sz w:val="28"/>
          <w:szCs w:val="28"/>
        </w:rPr>
      </w:pPr>
      <w:r w:rsidRPr="00365C3C">
        <w:rPr>
          <w:rFonts w:ascii="Calibri" w:hAnsi="Calibri" w:cs="Calibri"/>
          <w:color w:val="auto"/>
          <w:sz w:val="28"/>
          <w:szCs w:val="28"/>
          <w:vertAlign w:val="superscript"/>
        </w:rPr>
        <w:t>5</w:t>
      </w:r>
      <w:r w:rsidRPr="00365C3C">
        <w:rPr>
          <w:rFonts w:ascii="Calibri" w:hAnsi="Calibri" w:cs="Calibri"/>
          <w:color w:val="auto"/>
          <w:sz w:val="28"/>
          <w:szCs w:val="28"/>
        </w:rPr>
        <w:t>Department of Obstetrics and Gynecology, China Medical University Hospital</w:t>
      </w:r>
    </w:p>
    <w:p w14:paraId="7B37B7F0" w14:textId="77777777" w:rsidR="00EC4BAF" w:rsidRPr="00B07A3B" w:rsidRDefault="00EC4BAF" w:rsidP="00EC4BA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3986C2C" w14:textId="77777777" w:rsidR="00EC4BAF" w:rsidRPr="00B07A3B" w:rsidRDefault="00EC4BAF" w:rsidP="00EC4BA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97AA2BC" w14:textId="77777777" w:rsidR="00EC4BAF" w:rsidRPr="00B07A3B" w:rsidRDefault="00EC4BAF" w:rsidP="00EC4BAF">
      <w:pPr>
        <w:outlineLvl w:val="0"/>
        <w:rPr>
          <w:rFonts w:eastAsia="Times New Roman" w:cstheme="minorHAnsi"/>
        </w:rPr>
      </w:pPr>
    </w:p>
    <w:p w14:paraId="60C1DC76" w14:textId="77777777" w:rsidR="00EC4BAF" w:rsidRPr="00B07A3B" w:rsidRDefault="00EC4BAF" w:rsidP="00EC4BAF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83396BA" w14:textId="77777777" w:rsidR="00EC4BAF" w:rsidRPr="002F50B0" w:rsidRDefault="00EC4BAF" w:rsidP="00EC4BAF">
      <w:pPr>
        <w:pStyle w:val="p1"/>
        <w:contextualSpacing/>
        <w:mirrorIndents/>
        <w:rPr>
          <w:rFonts w:ascii="Calibri" w:hAnsi="Calibri" w:cs="Calibri"/>
          <w:color w:val="auto"/>
          <w:sz w:val="24"/>
          <w:szCs w:val="24"/>
        </w:rPr>
      </w:pPr>
      <w:bookmarkStart w:id="0" w:name="_Hlk25233958"/>
      <w:r w:rsidRPr="002F50B0">
        <w:rPr>
          <w:rFonts w:ascii="Calibri" w:hAnsi="Calibri" w:cs="Calibri"/>
          <w:color w:val="auto"/>
          <w:sz w:val="24"/>
          <w:szCs w:val="24"/>
        </w:rPr>
        <w:t>Jeng-Rung Chen                          chenjr@dragon.nchu.edu.tw</w:t>
      </w:r>
    </w:p>
    <w:p w14:paraId="3E2A1AB6" w14:textId="77777777" w:rsidR="00EC4BAF" w:rsidRPr="002F50B0" w:rsidRDefault="00EC4BAF" w:rsidP="00EC4BAF">
      <w:pPr>
        <w:pStyle w:val="p1"/>
        <w:contextualSpacing/>
        <w:mirrorIndents/>
        <w:rPr>
          <w:rFonts w:ascii="Calibri" w:hAnsi="Calibri" w:cs="Calibri"/>
          <w:color w:val="auto"/>
          <w:sz w:val="24"/>
          <w:szCs w:val="24"/>
          <w:lang w:val="de-DE"/>
        </w:rPr>
      </w:pPr>
      <w:r w:rsidRPr="002F50B0">
        <w:rPr>
          <w:rFonts w:ascii="Calibri" w:hAnsi="Calibri" w:cs="Calibri"/>
          <w:color w:val="auto"/>
          <w:sz w:val="24"/>
          <w:szCs w:val="24"/>
          <w:lang w:val="de-DE"/>
        </w:rPr>
        <w:t>Lei Wan                                        leiwan@cmu.edu.tw</w:t>
      </w:r>
    </w:p>
    <w:p w14:paraId="704F9A58" w14:textId="77777777" w:rsidR="00EC4BAF" w:rsidRPr="00A00251" w:rsidRDefault="00EC4BAF" w:rsidP="00EC4BAF">
      <w:pPr>
        <w:outlineLvl w:val="0"/>
        <w:rPr>
          <w:rFonts w:eastAsia="Times New Roman" w:cstheme="minorHAnsi"/>
          <w:lang w:val="de-DE"/>
        </w:rPr>
      </w:pPr>
    </w:p>
    <w:p w14:paraId="38E12731" w14:textId="77777777" w:rsidR="00EC4BAF" w:rsidRPr="00A00251" w:rsidRDefault="00EC4BAF" w:rsidP="00EC4BAF">
      <w:pPr>
        <w:outlineLvl w:val="0"/>
        <w:rPr>
          <w:rFonts w:eastAsia="Times New Roman" w:cstheme="minorHAnsi"/>
          <w:lang w:val="de-DE"/>
        </w:rPr>
      </w:pPr>
    </w:p>
    <w:p w14:paraId="30A95AFE" w14:textId="77777777" w:rsidR="00EC4BAF" w:rsidRPr="00B07A3B" w:rsidRDefault="00EC4BAF" w:rsidP="00EC4BAF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</w:p>
    <w:bookmarkEnd w:id="0"/>
    <w:p w14:paraId="6C149418" w14:textId="77777777" w:rsidR="00EC4BAF" w:rsidRPr="00B07A3B" w:rsidRDefault="00EC4BAF" w:rsidP="00EC4BAF">
      <w:pPr>
        <w:outlineLvl w:val="0"/>
        <w:rPr>
          <w:rFonts w:cstheme="minorHAnsi"/>
          <w:b/>
          <w:sz w:val="22"/>
          <w:szCs w:val="22"/>
        </w:rPr>
      </w:pPr>
    </w:p>
    <w:p w14:paraId="6C82440B" w14:textId="77777777" w:rsidR="00EC4BAF" w:rsidRPr="002F50B0" w:rsidRDefault="00EC4BAF" w:rsidP="00EC4BAF">
      <w:pPr>
        <w:pStyle w:val="p1"/>
        <w:contextualSpacing/>
        <w:mirrorIndents/>
        <w:rPr>
          <w:rFonts w:ascii="Calibri" w:hAnsi="Calibri" w:cs="Calibri"/>
          <w:color w:val="auto"/>
          <w:sz w:val="24"/>
          <w:szCs w:val="24"/>
        </w:rPr>
      </w:pPr>
      <w:r w:rsidRPr="002F50B0">
        <w:rPr>
          <w:rFonts w:ascii="Calibri" w:hAnsi="Calibri" w:cs="Calibri"/>
          <w:color w:val="auto"/>
          <w:sz w:val="24"/>
          <w:szCs w:val="24"/>
        </w:rPr>
        <w:t xml:space="preserve">Ying-Chi Chen                             ukwine11234@gmail.com     </w:t>
      </w:r>
    </w:p>
    <w:p w14:paraId="5C79466A" w14:textId="77777777" w:rsidR="00EC4BAF" w:rsidRPr="002F50B0" w:rsidRDefault="00EC4BAF" w:rsidP="00EC4BAF">
      <w:pPr>
        <w:pStyle w:val="p1"/>
        <w:contextualSpacing/>
        <w:mirrorIndents/>
        <w:rPr>
          <w:rFonts w:ascii="Calibri" w:hAnsi="Calibri" w:cs="Calibri"/>
          <w:color w:val="auto"/>
          <w:sz w:val="24"/>
          <w:szCs w:val="24"/>
          <w:vertAlign w:val="superscript"/>
          <w:lang w:val="de-DE"/>
        </w:rPr>
      </w:pPr>
      <w:r w:rsidRPr="002F50B0">
        <w:rPr>
          <w:rFonts w:ascii="Calibri" w:hAnsi="Calibri" w:cs="Calibri"/>
          <w:color w:val="auto"/>
          <w:sz w:val="24"/>
          <w:szCs w:val="24"/>
          <w:lang w:val="de-DE"/>
        </w:rPr>
        <w:t>Yu-An Hsu                                   annhsu007@gmail.com</w:t>
      </w:r>
    </w:p>
    <w:p w14:paraId="338F4A6B" w14:textId="77777777" w:rsidR="00EC4BAF" w:rsidRPr="002F50B0" w:rsidRDefault="00EC4BAF" w:rsidP="00EC4BAF">
      <w:pPr>
        <w:pStyle w:val="p1"/>
        <w:contextualSpacing/>
        <w:mirrorIndents/>
        <w:rPr>
          <w:rFonts w:ascii="Calibri" w:hAnsi="Calibri" w:cs="Calibri"/>
          <w:color w:val="auto"/>
          <w:sz w:val="24"/>
          <w:szCs w:val="24"/>
          <w:vertAlign w:val="superscript"/>
          <w:lang w:val="de-DE"/>
        </w:rPr>
      </w:pPr>
      <w:r w:rsidRPr="002F50B0">
        <w:rPr>
          <w:rFonts w:ascii="Calibri" w:hAnsi="Calibri" w:cs="Calibri"/>
          <w:color w:val="auto"/>
          <w:sz w:val="24"/>
          <w:szCs w:val="24"/>
          <w:lang w:val="de-DE"/>
        </w:rPr>
        <w:t>Chen-Hao Chen                          gosjan24@gmail.com</w:t>
      </w:r>
    </w:p>
    <w:p w14:paraId="1B26B2A8" w14:textId="77777777" w:rsidR="00EC4BAF" w:rsidRPr="002F50B0" w:rsidRDefault="00EC4BAF" w:rsidP="00EC4BAF">
      <w:pPr>
        <w:pStyle w:val="p1"/>
        <w:contextualSpacing/>
        <w:mirrorIndents/>
        <w:rPr>
          <w:rFonts w:ascii="Calibri" w:hAnsi="Calibri" w:cs="Calibri"/>
          <w:color w:val="auto"/>
          <w:sz w:val="24"/>
          <w:szCs w:val="24"/>
        </w:rPr>
      </w:pPr>
      <w:r w:rsidRPr="002F50B0">
        <w:rPr>
          <w:rFonts w:ascii="Calibri" w:hAnsi="Calibri" w:cs="Calibri"/>
          <w:color w:val="auto"/>
          <w:sz w:val="24"/>
          <w:szCs w:val="24"/>
        </w:rPr>
        <w:t>Yung-Lan Chou                           chou22635461@gmail.com</w:t>
      </w:r>
    </w:p>
    <w:p w14:paraId="36A08AF5" w14:textId="77777777" w:rsidR="00EC4BAF" w:rsidRPr="00A00251" w:rsidRDefault="00EC4BAF" w:rsidP="00EC4BAF">
      <w:pPr>
        <w:pStyle w:val="p1"/>
        <w:contextualSpacing/>
        <w:mirrorIndents/>
        <w:rPr>
          <w:rFonts w:ascii="Calibri" w:hAnsi="Calibri" w:cs="Calibri"/>
          <w:color w:val="auto"/>
          <w:sz w:val="24"/>
          <w:szCs w:val="24"/>
          <w:lang w:val="de-DE"/>
        </w:rPr>
      </w:pPr>
      <w:r w:rsidRPr="00A00251">
        <w:rPr>
          <w:rFonts w:ascii="Calibri" w:hAnsi="Calibri" w:cs="Calibri"/>
          <w:color w:val="auto"/>
          <w:sz w:val="24"/>
          <w:szCs w:val="24"/>
          <w:lang w:val="de-DE"/>
        </w:rPr>
        <w:t>Jeng-Rung Chen                          chenjr@dragon.nchu.edu.tw</w:t>
      </w:r>
    </w:p>
    <w:p w14:paraId="47FFAE1F" w14:textId="77777777" w:rsidR="00EC4BAF" w:rsidRPr="002F50B0" w:rsidRDefault="00EC4BAF" w:rsidP="00EC4BAF">
      <w:pPr>
        <w:pStyle w:val="p1"/>
        <w:contextualSpacing/>
        <w:mirrorIndents/>
        <w:rPr>
          <w:rFonts w:ascii="Calibri" w:hAnsi="Calibri" w:cs="Calibri"/>
          <w:color w:val="auto"/>
          <w:sz w:val="24"/>
          <w:szCs w:val="24"/>
          <w:lang w:val="de-DE"/>
        </w:rPr>
      </w:pPr>
      <w:r w:rsidRPr="002F50B0">
        <w:rPr>
          <w:rFonts w:ascii="Calibri" w:hAnsi="Calibri" w:cs="Calibri"/>
          <w:color w:val="auto"/>
          <w:sz w:val="24"/>
          <w:szCs w:val="24"/>
          <w:lang w:val="de-DE"/>
        </w:rPr>
        <w:t>Lei Wan                                        leiwan@cmu.edu.tw</w:t>
      </w:r>
    </w:p>
    <w:p w14:paraId="36C7C24A" w14:textId="77777777" w:rsidR="00EC4BAF" w:rsidRPr="002F50B0" w:rsidRDefault="00EC4BAF" w:rsidP="00EC4BAF">
      <w:pPr>
        <w:pBdr>
          <w:top w:val="nil"/>
          <w:left w:val="nil"/>
          <w:bottom w:val="nil"/>
          <w:right w:val="nil"/>
          <w:between w:val="nil"/>
        </w:pBdr>
        <w:contextualSpacing/>
        <w:mirrorIndents/>
        <w:rPr>
          <w:lang w:val="de-DE"/>
        </w:rPr>
      </w:pPr>
    </w:p>
    <w:p w14:paraId="2875615C" w14:textId="77777777" w:rsidR="00EC4BAF" w:rsidRPr="00A00251" w:rsidRDefault="00EC4BAF" w:rsidP="00EC4BAF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3A24BD0C" w14:textId="77777777" w:rsidR="00EC4BAF" w:rsidRDefault="00EC4BAF" w:rsidP="00EC4BAF">
      <w:pPr>
        <w:rPr>
          <w:rFonts w:eastAsia="Times New Roman" w:cstheme="minorHAnsi"/>
          <w:b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br w:type="page"/>
      </w:r>
    </w:p>
    <w:p w14:paraId="2E7538CC" w14:textId="77777777" w:rsidR="00EC4BAF" w:rsidRPr="00FD00B1" w:rsidRDefault="00EC4BAF" w:rsidP="00EC4BAF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6210AFDE" w14:textId="77777777" w:rsidR="00EC4BAF" w:rsidRPr="00B07A3B" w:rsidRDefault="00EC4BAF" w:rsidP="00EC4BAF">
      <w:pPr>
        <w:spacing w:before="120"/>
        <w:ind w:left="216" w:hanging="216"/>
        <w:rPr>
          <w:rFonts w:eastAsia="Times New Roman" w:cstheme="minorHAnsi"/>
          <w:b/>
          <w:lang w:eastAsia="zh-TW"/>
        </w:rPr>
      </w:pPr>
      <w:r>
        <w:rPr>
          <w:b/>
          <w:bCs/>
        </w:rPr>
        <w:t>1. Microscopy</w:t>
      </w:r>
      <w:r>
        <w:t xml:space="preserve">: Does your protocol require the use of a dissecting or stereomicroscope for performing a complex dissection, microinjection technique, or something similar?  </w:t>
      </w:r>
      <w:r>
        <w:rPr>
          <w:b/>
          <w:bCs/>
          <w:highlight w:val="yellow"/>
        </w:rPr>
        <w:t>YES</w:t>
      </w:r>
    </w:p>
    <w:p w14:paraId="3537B59C" w14:textId="77777777" w:rsidR="00EC4BAF" w:rsidRDefault="00EC4BAF" w:rsidP="00EC4BAF">
      <w:pPr>
        <w:spacing w:before="120"/>
        <w:ind w:left="720"/>
        <w:rPr>
          <w:rFonts w:eastAsia="Times New Roman" w:cstheme="minorHAnsi"/>
          <w:b/>
        </w:rPr>
      </w:pPr>
      <w:r>
        <w:t xml:space="preserve">If </w:t>
      </w:r>
      <w:r>
        <w:rPr>
          <w:b/>
          <w:bCs/>
        </w:rPr>
        <w:t>Yes</w:t>
      </w:r>
      <w:r>
        <w:t xml:space="preserve">, can you record movies/images using your own microscope camera?  </w:t>
      </w:r>
      <w:r>
        <w:rPr>
          <w:b/>
          <w:bCs/>
          <w:highlight w:val="yellow"/>
        </w:rPr>
        <w:t>Authors</w:t>
      </w:r>
      <w:r>
        <w:rPr>
          <w:highlight w:val="yellow"/>
        </w:rPr>
        <w:t>: Please answer this, as steps 6.7 and 6.10 are performed under magnification.</w:t>
      </w:r>
    </w:p>
    <w:p w14:paraId="353EF2F8" w14:textId="77777777" w:rsidR="00EC4BAF" w:rsidRPr="00D7547B" w:rsidRDefault="00EC4BAF" w:rsidP="00EC4BAF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4AFBF101" w14:textId="77777777" w:rsidR="00EC4BAF" w:rsidRDefault="00EC4BAF" w:rsidP="00EC4BAF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tab/>
      </w:r>
      <w:commentRangeStart w:id="1"/>
      <w:r>
        <w:rPr>
          <w:b/>
          <w:bCs/>
        </w:rPr>
        <w:t>6.7.1 - inspection of the 33 G needle tip under magnification; 6.10.1 - post-recovery inspection of the eyes under the stereomicroscope.</w:t>
      </w:r>
      <w:commentRangeEnd w:id="1"/>
      <w:r>
        <w:rPr>
          <w:rStyle w:val="CommentReference"/>
          <w:rFonts w:eastAsia="Times New Roman" w:cstheme="minorHAnsi"/>
          <w:b/>
          <w:color w:val="7F7F7F" w:themeColor="text1" w:themeTint="80"/>
          <w:sz w:val="24"/>
          <w:szCs w:val="24"/>
        </w:rPr>
        <w:commentReference w:id="1"/>
      </w:r>
    </w:p>
    <w:p w14:paraId="3E599632" w14:textId="77777777" w:rsidR="00EC4BAF" w:rsidRPr="00D7547B" w:rsidRDefault="00EC4BAF" w:rsidP="00EC4BAF">
      <w:pPr>
        <w:spacing w:before="120"/>
        <w:ind w:left="720"/>
        <w:jc w:val="center"/>
        <w:rPr>
          <w:rFonts w:eastAsia="Times New Roman" w:cstheme="minorHAnsi"/>
          <w:b/>
          <w:color w:val="7F7F7F" w:themeColor="text1" w:themeTint="80"/>
        </w:rPr>
      </w:pPr>
    </w:p>
    <w:p w14:paraId="0DE3C60C" w14:textId="77777777" w:rsidR="00EC4BAF" w:rsidRPr="00B07A3B" w:rsidRDefault="00EC4BAF" w:rsidP="00EC4BA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>Yes, done</w:t>
      </w:r>
    </w:p>
    <w:p w14:paraId="76317194" w14:textId="77777777" w:rsidR="00EC4BAF" w:rsidRPr="00B07A3B" w:rsidRDefault="00EC4BAF" w:rsidP="00EC4BAF">
      <w:pPr>
        <w:spacing w:before="120"/>
        <w:rPr>
          <w:rFonts w:eastAsia="Times New Roman" w:cstheme="minorHAnsi"/>
          <w:b/>
        </w:rPr>
      </w:pPr>
    </w:p>
    <w:p w14:paraId="61DF35F2" w14:textId="77777777" w:rsidR="00EC4BAF" w:rsidRPr="00B07A3B" w:rsidRDefault="00EC4BAF" w:rsidP="00EC4BA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Pr="00B07A3B">
        <w:rPr>
          <w:rFonts w:eastAsia="Times New Roman" w:cstheme="minorHAnsi"/>
          <w:b/>
        </w:rPr>
        <w:t>. Filming location:</w:t>
      </w:r>
      <w:r w:rsidRPr="00B07A3B">
        <w:rPr>
          <w:rFonts w:eastAsia="Times New Roman" w:cstheme="minorHAnsi"/>
        </w:rPr>
        <w:t xml:space="preserve"> Will the filming need to take place in multiple locations? </w:t>
      </w:r>
      <w:r w:rsidRPr="00B07A3B">
        <w:rPr>
          <w:rFonts w:eastAsia="Times New Roman" w:cstheme="minorHAnsi"/>
          <w:b/>
        </w:rPr>
        <w:t xml:space="preserve">  </w:t>
      </w:r>
      <w:r>
        <w:rPr>
          <w:rFonts w:eastAsia="Times New Roman" w:cstheme="minorHAnsi"/>
          <w:b/>
          <w:bCs/>
        </w:rPr>
        <w:t>No</w:t>
      </w:r>
    </w:p>
    <w:p w14:paraId="4B25766E" w14:textId="77777777" w:rsidR="00EC4BAF" w:rsidRDefault="00EC4BAF" w:rsidP="00EC4BAF">
      <w:pPr>
        <w:spacing w:before="120"/>
        <w:ind w:left="720"/>
        <w:rPr>
          <w:rFonts w:eastAsia="Times New Roman" w:cstheme="minorHAnsi"/>
        </w:rPr>
      </w:pPr>
    </w:p>
    <w:p w14:paraId="773D3AEA" w14:textId="77777777" w:rsidR="00EC4BAF" w:rsidRDefault="00EC4BAF" w:rsidP="00EC4BAF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>
        <w:rPr>
          <w:rFonts w:eastAsia="Times New Roman" w:cstheme="minorHAnsi"/>
          <w:b/>
          <w:bCs/>
        </w:rPr>
        <w:t>No</w:t>
      </w:r>
    </w:p>
    <w:p w14:paraId="030A24DD" w14:textId="77777777" w:rsidR="00EC4BAF" w:rsidRDefault="00EC4BAF" w:rsidP="00EC4BAF">
      <w:pPr>
        <w:rPr>
          <w:rFonts w:cstheme="minorHAnsi"/>
          <w:b/>
          <w:sz w:val="22"/>
          <w:szCs w:val="22"/>
        </w:rPr>
      </w:pPr>
    </w:p>
    <w:p w14:paraId="3734DD85" w14:textId="77777777" w:rsidR="00EC4BAF" w:rsidRDefault="00EC4BAF" w:rsidP="00EC4BAF">
      <w:pPr>
        <w:rPr>
          <w:rFonts w:cstheme="minorHAnsi"/>
          <w:b/>
          <w:sz w:val="22"/>
          <w:szCs w:val="22"/>
        </w:rPr>
      </w:pPr>
    </w:p>
    <w:p w14:paraId="022309BE" w14:textId="77777777" w:rsidR="00EC4BAF" w:rsidRDefault="00EC4BAF" w:rsidP="00EC4BAF">
      <w:pPr>
        <w:rPr>
          <w:rFonts w:cstheme="minorHAnsi"/>
          <w:b/>
          <w:sz w:val="22"/>
          <w:szCs w:val="22"/>
        </w:rPr>
      </w:pPr>
    </w:p>
    <w:p w14:paraId="15398103" w14:textId="77777777" w:rsidR="00EC4BAF" w:rsidRDefault="00EC4BAF" w:rsidP="00EC4BA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5A171267" w14:textId="77777777" w:rsidR="00EC4BAF" w:rsidRPr="00B847A0" w:rsidRDefault="00EC4BAF" w:rsidP="00EC4BAF">
      <w:pPr>
        <w:rPr>
          <w:rFonts w:cstheme="minorHAnsi"/>
          <w:bCs/>
          <w:sz w:val="22"/>
          <w:szCs w:val="22"/>
        </w:rPr>
      </w:pPr>
      <w:r>
        <w:t>Number of Steps:  13</w:t>
      </w:r>
    </w:p>
    <w:p w14:paraId="4229E0BF" w14:textId="77777777" w:rsidR="00EC4BAF" w:rsidRPr="00B07A3B" w:rsidRDefault="00EC4BAF" w:rsidP="00EC4BAF">
      <w:pPr>
        <w:rPr>
          <w:rFonts w:cstheme="minorHAnsi"/>
          <w:b/>
          <w:sz w:val="22"/>
          <w:szCs w:val="22"/>
        </w:rPr>
      </w:pPr>
      <w:r>
        <w:t>Number of Shots:  54 (2 Scope, 3 SC)</w:t>
      </w:r>
      <w:r w:rsidRPr="00B07A3B">
        <w:rPr>
          <w:rFonts w:cstheme="minorHAnsi"/>
          <w:b/>
          <w:sz w:val="22"/>
          <w:szCs w:val="22"/>
        </w:rPr>
        <w:br w:type="page"/>
      </w:r>
    </w:p>
    <w:p w14:paraId="5B9FC55E" w14:textId="77777777" w:rsidR="00EC4BAF" w:rsidRPr="000F326F" w:rsidRDefault="00EC4BAF" w:rsidP="00EC4BA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1B639A04" w14:textId="77777777" w:rsidR="00EC4BAF" w:rsidRPr="00A84C50" w:rsidRDefault="00EC4BAF" w:rsidP="00EC4BAF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</w:p>
    <w:p w14:paraId="57185063" w14:textId="77777777" w:rsidR="00EC4BAF" w:rsidRPr="00B07A3B" w:rsidRDefault="00EC4BAF" w:rsidP="00EC4BAF">
      <w:pPr>
        <w:rPr>
          <w:rFonts w:cstheme="minorHAnsi"/>
          <w:b/>
        </w:rPr>
      </w:pPr>
    </w:p>
    <w:p w14:paraId="5AD0C400" w14:textId="77777777" w:rsidR="00EC4BAF" w:rsidRPr="00AF3977" w:rsidRDefault="00EC4BAF" w:rsidP="00EC4BAF">
      <w:pPr>
        <w:rPr>
          <w:rFonts w:eastAsia="Times New Roman" w:cstheme="minorHAnsi"/>
          <w:b/>
        </w:rPr>
      </w:pPr>
    </w:p>
    <w:p w14:paraId="15FC0C45" w14:textId="77777777" w:rsidR="00EC4BAF" w:rsidRDefault="00EC4BAF" w:rsidP="00EC4BAF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016F657F" w14:textId="77777777" w:rsidR="00EC4BAF" w:rsidRDefault="00EC4BAF" w:rsidP="00EC4BAF">
      <w:pPr>
        <w:rPr>
          <w:rFonts w:cstheme="minorHAnsi"/>
          <w:b/>
          <w:bCs/>
          <w:color w:val="auto"/>
          <w:shd w:val="clear" w:color="auto" w:fill="FFFFFF"/>
        </w:rPr>
      </w:pPr>
    </w:p>
    <w:p w14:paraId="299575FB" w14:textId="77777777" w:rsidR="00EC4BAF" w:rsidRDefault="00EC4BAF" w:rsidP="00EC4BAF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5DBE48A" w14:textId="77777777" w:rsidR="00EC4BAF" w:rsidRDefault="00EC4BAF" w:rsidP="00EC4BAF">
      <w:pPr>
        <w:rPr>
          <w:rFonts w:cstheme="minorHAnsi"/>
          <w:b/>
          <w:bCs/>
          <w:color w:val="auto"/>
          <w:shd w:val="clear" w:color="auto" w:fill="FFFFFF"/>
        </w:rPr>
      </w:pPr>
    </w:p>
    <w:p w14:paraId="3FDB7CFA" w14:textId="77777777" w:rsidR="00EC4BAF" w:rsidRPr="009470DC" w:rsidRDefault="00EC4BAF" w:rsidP="00EC4BAF">
      <w:pPr>
        <w:rPr>
          <w:rFonts w:cstheme="minorHAnsi"/>
          <w:b/>
          <w:bCs/>
          <w:color w:val="auto"/>
          <w:shd w:val="clear" w:color="auto" w:fill="FFFFFF"/>
          <w:lang w:eastAsia="zh-TW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62566832" w14:textId="77777777" w:rsidR="00EC4BAF" w:rsidRPr="00B07A3B" w:rsidRDefault="00EC4BAF" w:rsidP="00EC4B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b/>
          <w:bCs/>
        </w:rPr>
        <w:t>Ying-Chi Chen</w:t>
      </w:r>
      <w:r>
        <w:rPr>
          <w:b/>
          <w:bCs/>
          <w:u w:val="single"/>
        </w:rPr>
        <w:t>:</w:t>
      </w:r>
      <w:r>
        <w:t xml:space="preserve"> We established a rodent model to study how subconjunctival TGF-beta-2 drives ocular inflammation and axial elongation.</w:t>
      </w:r>
    </w:p>
    <w:p w14:paraId="27E83D27" w14:textId="77777777" w:rsidR="00EC4BAF" w:rsidRDefault="00EC4BAF" w:rsidP="00EC4BAF">
      <w:pPr>
        <w:pStyle w:val="ShotDescription"/>
        <w:numPr>
          <w:ilvl w:val="2"/>
          <w:numId w:val="3"/>
        </w:numPr>
        <w:rPr>
          <w:rFonts w:eastAsia="Times New Roman" w:cstheme="minorHAnsi"/>
        </w:rPr>
      </w:pPr>
      <w:r>
        <w:t>INTERVIEW: Ying-Chi Chen says the statement above in an interview-style shot, looking slightly off-camera.</w:t>
      </w:r>
    </w:p>
    <w:p w14:paraId="137EC5BB" w14:textId="77777777" w:rsidR="00EC4BAF" w:rsidRPr="00B07A3B" w:rsidRDefault="00EC4BAF" w:rsidP="00EC4BAF">
      <w:pPr>
        <w:rPr>
          <w:rFonts w:eastAsia="Times New Roman" w:cstheme="minorHAnsi"/>
          <w:b/>
          <w:bCs/>
        </w:rPr>
      </w:pPr>
    </w:p>
    <w:p w14:paraId="01745222" w14:textId="77777777" w:rsidR="00EC4BAF" w:rsidRPr="007A149A" w:rsidRDefault="00EC4BAF" w:rsidP="00EC4B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667F827E" w14:textId="77777777" w:rsidR="00EC4BAF" w:rsidRPr="00D75084" w:rsidRDefault="00EC4BAF" w:rsidP="00EC4B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Ying-Chi Chen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Pr="00A2535A">
        <w:rPr>
          <w:rFonts w:cstheme="minorHAnsi"/>
        </w:rPr>
        <w:t>This goggle-free protocol provides a reliable model of inflammation-driven myopia for studying retino-scleral signaling and screening new therapies.</w:t>
      </w:r>
    </w:p>
    <w:p w14:paraId="44BE190E" w14:textId="77777777" w:rsidR="00EC4BAF" w:rsidRDefault="00EC4BAF" w:rsidP="00EC4BAF">
      <w:pPr>
        <w:pStyle w:val="ShotDescription"/>
        <w:numPr>
          <w:ilvl w:val="2"/>
          <w:numId w:val="3"/>
        </w:numPr>
        <w:rPr>
          <w:rFonts w:eastAsia="Times New Roman" w:cstheme="minorHAnsi"/>
        </w:rPr>
      </w:pPr>
      <w:r>
        <w:t>INTERVIEW: Ying-Chi Chen says the statement above in an interview-style shot, looking slightly off-camera.</w:t>
      </w:r>
    </w:p>
    <w:p w14:paraId="4BD40800" w14:textId="77777777" w:rsidR="00EC4BAF" w:rsidRDefault="00EC4BAF" w:rsidP="00EC4BAF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>
        <w:rPr>
          <w:rFonts w:eastAsia="Times New Roman" w:cstheme="minorHAnsi"/>
          <w:b/>
          <w:bCs/>
          <w:sz w:val="28"/>
          <w:szCs w:val="28"/>
        </w:rPr>
        <w:t>:</w:t>
      </w:r>
    </w:p>
    <w:p w14:paraId="2043C0A4" w14:textId="77777777" w:rsidR="00EC4BAF" w:rsidRPr="00D75084" w:rsidRDefault="00EC4BAF" w:rsidP="00EC4BAF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624228D8" w14:textId="77777777" w:rsidR="00EC4BAF" w:rsidRPr="00D75084" w:rsidRDefault="00EC4BAF" w:rsidP="00EC4B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Ying-Chi Chen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Pr="00A2535A">
        <w:rPr>
          <w:rFonts w:cstheme="minorHAnsi"/>
        </w:rPr>
        <w:t>This protocol reliably establishes an inflammation-mediated myopia model to measure refractive shifts, axial elongation, and retinal protein expression.</w:t>
      </w:r>
    </w:p>
    <w:p w14:paraId="1F25DB6F" w14:textId="77777777" w:rsidR="00EC4BAF" w:rsidRDefault="00EC4BAF" w:rsidP="00EC4BAF">
      <w:pPr>
        <w:pStyle w:val="ShotDescription"/>
        <w:numPr>
          <w:ilvl w:val="2"/>
          <w:numId w:val="3"/>
        </w:numPr>
        <w:rPr>
          <w:rFonts w:eastAsia="Times New Roman" w:cstheme="minorHAnsi"/>
        </w:rPr>
      </w:pPr>
      <w:r>
        <w:t>INTERVIEW: Ying-Chi Chen says the statement above in an interview-style shot, looking slightly off-camera.</w:t>
      </w:r>
    </w:p>
    <w:p w14:paraId="0A5FF98F" w14:textId="77777777" w:rsidR="00EC4BAF" w:rsidRPr="00AF3977" w:rsidRDefault="00EC4BAF" w:rsidP="00EC4BAF">
      <w:pPr>
        <w:rPr>
          <w:rFonts w:eastAsia="Times New Roman" w:cstheme="minorHAnsi"/>
          <w:b/>
          <w:bCs/>
        </w:rPr>
      </w:pPr>
    </w:p>
    <w:p w14:paraId="1EF59A53" w14:textId="77777777" w:rsidR="00EC4BAF" w:rsidRPr="007A149A" w:rsidRDefault="00EC4BAF" w:rsidP="00EC4BAF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4F2E1E8B" w14:textId="77777777" w:rsidR="00EC4BAF" w:rsidRPr="00B07A3B" w:rsidRDefault="00EC4BAF" w:rsidP="00EC4B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Ying-Chi Chen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Pr="00A2535A">
        <w:rPr>
          <w:rFonts w:cstheme="minorHAnsi"/>
        </w:rPr>
        <w:t>The main challenge is maintaining shallow micro-injections under the palpebral conjunctiva to form a bleb without perforating tissues.</w:t>
      </w:r>
    </w:p>
    <w:p w14:paraId="3756A3C5" w14:textId="77777777" w:rsidR="00EC4BAF" w:rsidRDefault="00EC4BAF" w:rsidP="00EC4BAF">
      <w:pPr>
        <w:pStyle w:val="ShotDescription"/>
        <w:numPr>
          <w:ilvl w:val="2"/>
          <w:numId w:val="3"/>
        </w:numPr>
        <w:rPr>
          <w:rFonts w:eastAsia="Times New Roman" w:cstheme="minorHAnsi"/>
        </w:rPr>
      </w:pPr>
      <w:r>
        <w:t>INTERVIEW: Ying-Chi Chen says the statement above in an interview-style shot, looking slightly off-camera.</w:t>
      </w:r>
    </w:p>
    <w:p w14:paraId="11D59E47" w14:textId="77777777" w:rsidR="00EC4BAF" w:rsidRPr="00B07A3B" w:rsidRDefault="00EC4BAF" w:rsidP="00EC4BAF">
      <w:pPr>
        <w:rPr>
          <w:rFonts w:eastAsia="Times New Roman" w:cstheme="minorHAnsi"/>
        </w:rPr>
      </w:pPr>
    </w:p>
    <w:p w14:paraId="4B25B7E0" w14:textId="77777777" w:rsidR="00EC4BAF" w:rsidRPr="007A149A" w:rsidRDefault="00EC4BAF" w:rsidP="00EC4B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010BDB0E" w14:textId="77777777" w:rsidR="00EC4BAF" w:rsidRPr="00B07A3B" w:rsidRDefault="00EC4BAF" w:rsidP="00EC4B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Ying-Chi Chen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Pr="00A2535A">
        <w:rPr>
          <w:rFonts w:cstheme="minorHAnsi"/>
        </w:rPr>
        <w:t>Researchers can perform electroretinography, retinal histology, and Western blotting to evaluate structural, functional, and molecular changes.</w:t>
      </w:r>
    </w:p>
    <w:p w14:paraId="3EDF50EC" w14:textId="77777777" w:rsidR="00EC4BAF" w:rsidRDefault="00EC4BAF" w:rsidP="00EC4BAF">
      <w:pPr>
        <w:pStyle w:val="ShotDescription"/>
        <w:numPr>
          <w:ilvl w:val="2"/>
          <w:numId w:val="3"/>
        </w:numPr>
        <w:rPr>
          <w:rFonts w:eastAsia="Times New Roman" w:cstheme="minorHAnsi"/>
        </w:rPr>
      </w:pPr>
      <w:r>
        <w:t>INTERVIEW: Ying-Chi Chen says the statement above in an interview-style shot, looking slightly off-camera.</w:t>
      </w:r>
    </w:p>
    <w:p w14:paraId="1830475A" w14:textId="77777777" w:rsidR="00EC4BAF" w:rsidRPr="00B07A3B" w:rsidRDefault="00EC4BAF" w:rsidP="00EC4BAF">
      <w:pPr>
        <w:rPr>
          <w:rFonts w:eastAsia="Times New Roman" w:cstheme="minorHAnsi"/>
          <w:b/>
          <w:bCs/>
        </w:rPr>
      </w:pPr>
    </w:p>
    <w:p w14:paraId="0F2E0FEE" w14:textId="77777777" w:rsidR="00EC4BAF" w:rsidRDefault="00EC4BAF" w:rsidP="00EC4BAF">
      <w:pPr>
        <w:contextualSpacing/>
        <w:outlineLvl w:val="0"/>
        <w:rPr>
          <w:rFonts w:eastAsia="Times New Roman" w:cstheme="minorHAnsi"/>
          <w:b/>
        </w:rPr>
      </w:pPr>
    </w:p>
    <w:p w14:paraId="7525D4D4" w14:textId="77777777" w:rsidR="00EC4BAF" w:rsidRDefault="00EC4BAF" w:rsidP="00EC4BAF">
      <w:pPr>
        <w:contextualSpacing/>
        <w:outlineLvl w:val="0"/>
        <w:rPr>
          <w:rFonts w:eastAsia="Times New Roman" w:cstheme="minorHAnsi"/>
          <w:b/>
        </w:rPr>
      </w:pPr>
    </w:p>
    <w:p w14:paraId="4762D222" w14:textId="77777777" w:rsidR="00EC4BAF" w:rsidRDefault="00EC4BAF" w:rsidP="00EC4BAF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35244BA0" w14:textId="77777777" w:rsidR="00EC4BAF" w:rsidRDefault="00EC4BAF" w:rsidP="00EC4BAF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Pr="00C63B19">
        <w:rPr>
          <w:rFonts w:cstheme="minorHAnsi"/>
          <w:b/>
          <w:bCs/>
        </w:rPr>
        <w:lastRenderedPageBreak/>
        <w:t>Ethics Title Card</w:t>
      </w:r>
    </w:p>
    <w:p w14:paraId="4C761AD5" w14:textId="77777777" w:rsidR="00EC4BAF" w:rsidRDefault="00EC4BAF" w:rsidP="00EC4BAF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t>This research was approved by the Institutional Animal Care and Use Committee (IACUC) at China Medical University</w:t>
      </w:r>
    </w:p>
    <w:p w14:paraId="69F031D2" w14:textId="77777777" w:rsidR="00EC4BAF" w:rsidRDefault="00EC4BAF" w:rsidP="00EC4BAF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3EB43A54" w14:textId="77777777" w:rsidR="00EC4BAF" w:rsidRPr="00B07A3B" w:rsidRDefault="00EC4BAF" w:rsidP="00EC4BAF">
      <w:pPr>
        <w:pStyle w:val="Heading1"/>
        <w:rPr>
          <w:rFonts w:cstheme="minorHAnsi"/>
          <w:lang w:eastAsia="zh-TW"/>
        </w:rPr>
      </w:pPr>
      <w:r>
        <w:lastRenderedPageBreak/>
        <w:t>Protocol</w:t>
      </w:r>
    </w:p>
    <w:p w14:paraId="232E77B8" w14:textId="77777777" w:rsidR="00EC4BAF" w:rsidRPr="008E4564" w:rsidRDefault="00EC4BAF" w:rsidP="00EC4BAF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48B38118" w14:textId="77777777" w:rsidR="00EC4BAF" w:rsidRDefault="00EC4BAF" w:rsidP="00EC4BA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96C58DA" w14:textId="77777777" w:rsidR="00EC4BAF" w:rsidRDefault="00EC4BAF" w:rsidP="00EC4BAF">
      <w:pPr>
        <w:pStyle w:val="ShotDescription"/>
        <w:ind w:left="0" w:firstLine="0"/>
        <w:rPr>
          <w:lang w:val="en-IN"/>
        </w:rPr>
      </w:pPr>
    </w:p>
    <w:p w14:paraId="3C996296" w14:textId="77777777" w:rsidR="00EC4BAF" w:rsidRPr="00433078" w:rsidRDefault="00EC4BAF" w:rsidP="00EC4BAF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b/>
          <w:bCs/>
        </w:rPr>
        <w:t>Ocular Refractive Error Assessment</w:t>
      </w:r>
    </w:p>
    <w:p w14:paraId="6367E197" w14:textId="77777777" w:rsidR="00EC4BAF" w:rsidRDefault="00EC4BAF" w:rsidP="00EC4BAF">
      <w:pPr>
        <w:pStyle w:val="ShotDescription"/>
        <w:ind w:left="360" w:firstLine="0"/>
        <w:rPr>
          <w:lang w:val="en-IN"/>
        </w:rPr>
      </w:pPr>
      <w:r w:rsidRPr="00433078">
        <w:rPr>
          <w:b/>
          <w:bCs/>
        </w:rPr>
        <w:t>Demonstrators</w:t>
      </w:r>
      <w:r w:rsidRPr="00433078">
        <w:t>: Ying-Chi Chen, Chen-Hao Chen</w:t>
      </w:r>
    </w:p>
    <w:p w14:paraId="23465A8A" w14:textId="77777777" w:rsidR="00EC4BAF" w:rsidRDefault="00EC4BAF" w:rsidP="00EC4BAF">
      <w:pPr>
        <w:pStyle w:val="ShotDescription"/>
        <w:rPr>
          <w:lang w:val="en-IN"/>
        </w:rPr>
      </w:pPr>
      <w:r>
        <w:rPr>
          <w:b/>
          <w:bCs/>
          <w:highlight w:val="yellow"/>
        </w:rPr>
        <w:t>NOTE to Authors: Please consider the following key points for shots involving live animals/survival surgery (as applicable) to avoid raising concerns by JoVE's veterinary reviewers.</w:t>
      </w:r>
    </w:p>
    <w:p w14:paraId="5D0C1D33" w14:textId="77777777" w:rsidR="00EC4BAF" w:rsidRDefault="00EC4BAF" w:rsidP="00EC4BAF">
      <w:pPr>
        <w:pStyle w:val="ShotDescription"/>
        <w:rPr>
          <w:lang w:val="en-IN"/>
        </w:rPr>
      </w:pPr>
      <w:r>
        <w:rPr>
          <w:highlight w:val="yellow"/>
        </w:rPr>
        <w:t>The animal should be held at the base of the tail, not by the tail tip.</w:t>
      </w:r>
    </w:p>
    <w:p w14:paraId="34C908CA" w14:textId="77777777" w:rsidR="00EC4BAF" w:rsidRDefault="00EC4BAF" w:rsidP="00EC4BAF">
      <w:pPr>
        <w:pStyle w:val="ShotDescription"/>
        <w:rPr>
          <w:lang w:val="en-IN"/>
        </w:rPr>
      </w:pPr>
      <w:r>
        <w:rPr>
          <w:highlight w:val="yellow"/>
        </w:rPr>
        <w:t>The surgical site should be shaved 150% of the incision area using a depilatory cream.</w:t>
      </w:r>
    </w:p>
    <w:p w14:paraId="1F63105E" w14:textId="77777777" w:rsidR="00EC4BAF" w:rsidRDefault="00EC4BAF" w:rsidP="00EC4BAF">
      <w:pPr>
        <w:pStyle w:val="ShotDescription"/>
        <w:rPr>
          <w:lang w:val="en-IN"/>
        </w:rPr>
      </w:pPr>
      <w:r>
        <w:rPr>
          <w:highlight w:val="yellow"/>
        </w:rPr>
        <w:t>The site should be scrubbed with iodine followed by alcohol, at least 3 times.</w:t>
      </w:r>
    </w:p>
    <w:p w14:paraId="3677979A" w14:textId="77777777" w:rsidR="00EC4BAF" w:rsidRDefault="00EC4BAF" w:rsidP="00EC4BAF">
      <w:pPr>
        <w:pStyle w:val="ShotDescription"/>
        <w:rPr>
          <w:lang w:val="en-IN"/>
        </w:rPr>
      </w:pPr>
      <w:r>
        <w:rPr>
          <w:highlight w:val="yellow"/>
        </w:rPr>
        <w:t>Only sterile gloves should be worn while handling the animal and the instruments.</w:t>
      </w:r>
    </w:p>
    <w:p w14:paraId="24FFC44A" w14:textId="77777777" w:rsidR="00EC4BAF" w:rsidRDefault="00EC4BAF" w:rsidP="00EC4BAF">
      <w:pPr>
        <w:pStyle w:val="ShotDescription"/>
        <w:rPr>
          <w:lang w:val="en-IN"/>
        </w:rPr>
      </w:pPr>
      <w:r>
        <w:rPr>
          <w:highlight w:val="yellow"/>
        </w:rPr>
        <w:t>A blade should be used to make the incision, not scissors.</w:t>
      </w:r>
    </w:p>
    <w:p w14:paraId="031A2074" w14:textId="77777777" w:rsidR="00EC4BAF" w:rsidRDefault="00EC4BAF" w:rsidP="00EC4BAF">
      <w:pPr>
        <w:pStyle w:val="ShotDescription"/>
        <w:rPr>
          <w:lang w:val="en-IN"/>
        </w:rPr>
      </w:pPr>
      <w:r>
        <w:rPr>
          <w:highlight w:val="yellow"/>
        </w:rPr>
        <w:t>Silk thread should not be used for suturing in survival surgery.</w:t>
      </w:r>
    </w:p>
    <w:p w14:paraId="1C5BC641" w14:textId="77777777" w:rsidR="00EC4BAF" w:rsidRDefault="00EC4BAF" w:rsidP="00EC4BAF">
      <w:pPr>
        <w:pStyle w:val="ShotDescription"/>
        <w:rPr>
          <w:lang w:val="en-IN"/>
        </w:rPr>
      </w:pPr>
      <w:r>
        <w:rPr>
          <w:highlight w:val="yellow"/>
        </w:rPr>
        <w:t>The organs should be pointed out before dissecting them.</w:t>
      </w:r>
    </w:p>
    <w:p w14:paraId="07D1635E" w14:textId="77777777" w:rsidR="00EC4BAF" w:rsidRDefault="00EC4BAF" w:rsidP="00EC4BAF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6DDB6AA" w14:textId="77777777" w:rsidR="00EC4BAF" w:rsidRPr="00386FF8" w:rsidRDefault="00EC4BAF" w:rsidP="00EC4BAF">
      <w:pPr>
        <w:pStyle w:val="Narration"/>
        <w:numPr>
          <w:ilvl w:val="1"/>
          <w:numId w:val="3"/>
        </w:numPr>
        <w:rPr>
          <w:lang w:val="en-IN"/>
        </w:rPr>
      </w:pPr>
      <w:r>
        <w:t xml:space="preserve">After </w:t>
      </w:r>
      <w:r w:rsidRPr="00386FF8">
        <w:t xml:space="preserve">anesthetizing a male C57-Black-6 mouse </w:t>
      </w:r>
      <w:r w:rsidRPr="00386FF8">
        <w:rPr>
          <w:b/>
          <w:bCs/>
        </w:rPr>
        <w:t>[1</w:t>
      </w:r>
      <w:r>
        <w:rPr>
          <w:b/>
          <w:bCs/>
        </w:rPr>
        <w:t>-TXT</w:t>
      </w:r>
      <w:r w:rsidRPr="00386FF8">
        <w:rPr>
          <w:b/>
          <w:bCs/>
        </w:rPr>
        <w:t>]</w:t>
      </w:r>
      <w:r w:rsidRPr="00386FF8">
        <w:t xml:space="preserve">, instill 1 drop of Mydrin-P, containing 0.5 percent tropicamide and 0.5 percent phenylephrine hydrochloride, into each eye to induce complete cycloplegia and pupillary dilation </w:t>
      </w:r>
      <w:r w:rsidRPr="00386FF8">
        <w:rPr>
          <w:b/>
          <w:bCs/>
        </w:rPr>
        <w:t>[2]</w:t>
      </w:r>
      <w:r w:rsidRPr="00386FF8">
        <w:t>.</w:t>
      </w:r>
      <w:r>
        <w:t xml:space="preserve"> Verify an adequate depth of anesthesia by confirming the absence of a toe-pinch withdrawal reflex </w:t>
      </w:r>
      <w:r>
        <w:rPr>
          <w:b/>
          <w:bCs/>
        </w:rPr>
        <w:t>[3]</w:t>
      </w:r>
      <w:r>
        <w:t>.</w:t>
      </w:r>
    </w:p>
    <w:p w14:paraId="02B53D00" w14:textId="77777777" w:rsidR="00EC4BAF" w:rsidRPr="00386FF8" w:rsidRDefault="00EC4BAF" w:rsidP="00EC4BAF">
      <w:pPr>
        <w:pStyle w:val="ShotDescription"/>
        <w:numPr>
          <w:ilvl w:val="2"/>
          <w:numId w:val="3"/>
        </w:numPr>
        <w:rPr>
          <w:lang w:val="en-IN"/>
        </w:rPr>
      </w:pPr>
      <w:r w:rsidRPr="00386FF8">
        <w:t xml:space="preserve">Talent placing the anesthetized mouse on a clean surface. </w:t>
      </w:r>
      <w:r w:rsidRPr="00386FF8">
        <w:rPr>
          <w:b/>
          <w:bCs/>
        </w:rPr>
        <w:t>TXT: 3 - 4% Isoflurane</w:t>
      </w:r>
    </w:p>
    <w:p w14:paraId="7DF1E70A" w14:textId="77777777" w:rsidR="00EC4BAF" w:rsidRPr="00433078" w:rsidRDefault="00EC4BAF" w:rsidP="00EC4BAF">
      <w:pPr>
        <w:pStyle w:val="ShotDescription"/>
        <w:numPr>
          <w:ilvl w:val="2"/>
          <w:numId w:val="3"/>
        </w:numPr>
        <w:rPr>
          <w:lang w:val="en-IN"/>
        </w:rPr>
      </w:pPr>
      <w:r w:rsidRPr="00386FF8">
        <w:t>Talent instilling 1 drop of Mydrin-P, containing 0.5% tropicamide and 0.5% phenylephrine hydrochloride, into each</w:t>
      </w:r>
      <w:r>
        <w:t xml:space="preserve"> eye. </w:t>
      </w:r>
      <w:r w:rsidRPr="00433078">
        <w:rPr>
          <w:b/>
          <w:bCs/>
        </w:rPr>
        <w:t>TXT: See text protocol for animal preparation</w:t>
      </w:r>
    </w:p>
    <w:p w14:paraId="443953C2" w14:textId="77777777" w:rsidR="00EC4BAF" w:rsidRPr="00433078" w:rsidRDefault="00EC4BAF" w:rsidP="00EC4BAF">
      <w:pPr>
        <w:pStyle w:val="ShotDescription"/>
        <w:numPr>
          <w:ilvl w:val="2"/>
          <w:numId w:val="3"/>
        </w:numPr>
        <w:rPr>
          <w:lang w:val="en-IN"/>
        </w:rPr>
      </w:pPr>
      <w:r>
        <w:t>Talent performing a toe pinch and confirming the absence of a withdrawal reflex.</w:t>
      </w:r>
    </w:p>
    <w:p w14:paraId="664F243F" w14:textId="77777777" w:rsidR="00EC4BAF" w:rsidRPr="00386FF8" w:rsidRDefault="00EC4BAF" w:rsidP="00EC4BAF">
      <w:pPr>
        <w:pStyle w:val="Narration"/>
        <w:ind w:firstLine="0"/>
        <w:rPr>
          <w:lang w:val="en-IN"/>
        </w:rPr>
      </w:pPr>
    </w:p>
    <w:p w14:paraId="052E7EE0" w14:textId="77777777" w:rsidR="00EC4BAF" w:rsidRDefault="00EC4BAF" w:rsidP="00EC4BAF">
      <w:pPr>
        <w:pStyle w:val="Narration"/>
        <w:numPr>
          <w:ilvl w:val="1"/>
          <w:numId w:val="3"/>
        </w:numPr>
        <w:rPr>
          <w:lang w:val="en-IN"/>
        </w:rPr>
      </w:pPr>
      <w:r w:rsidRPr="00386FF8">
        <w:t>During the anesthetic stabilization period, align and focus the automated infrared photo</w:t>
      </w:r>
      <w:r>
        <w:t>-</w:t>
      </w:r>
      <w:r w:rsidRPr="00386FF8">
        <w:t>refractometer onto the</w:t>
      </w:r>
      <w:r>
        <w:t xml:space="preserve"> stage under dim, indirect lighting </w:t>
      </w:r>
      <w:r>
        <w:rPr>
          <w:b/>
          <w:bCs/>
        </w:rPr>
        <w:t>[1]</w:t>
      </w:r>
      <w:r>
        <w:t>.</w:t>
      </w:r>
    </w:p>
    <w:p w14:paraId="63C5FFC2" w14:textId="77777777" w:rsidR="00EC4BAF" w:rsidRDefault="00EC4BAF" w:rsidP="00EC4BAF">
      <w:pPr>
        <w:pStyle w:val="ShotDescription"/>
        <w:numPr>
          <w:ilvl w:val="2"/>
          <w:numId w:val="3"/>
        </w:numPr>
        <w:rPr>
          <w:lang w:val="en-IN"/>
        </w:rPr>
      </w:pPr>
      <w:r>
        <w:lastRenderedPageBreak/>
        <w:t>Talent aligning and focusing the automated infrared photorefractometer onto the stage under dim lighting.</w:t>
      </w:r>
    </w:p>
    <w:p w14:paraId="3DF1B202" w14:textId="77777777" w:rsidR="00EC4BAF" w:rsidRPr="00386FF8" w:rsidRDefault="00EC4BAF" w:rsidP="00EC4BAF">
      <w:pPr>
        <w:pStyle w:val="Narration"/>
        <w:numPr>
          <w:ilvl w:val="1"/>
          <w:numId w:val="3"/>
        </w:numPr>
        <w:rPr>
          <w:lang w:val="en-IN"/>
        </w:rPr>
      </w:pPr>
      <w:r>
        <w:t xml:space="preserve">Transfer the </w:t>
      </w:r>
      <w:r w:rsidRPr="00386FF8">
        <w:t xml:space="preserve">animal onto a heated stage delivering 1 to 1.5 percent isoflurane via a nose cone to maintain body temperature and prevent anesthetic cataracts </w:t>
      </w:r>
      <w:r w:rsidRPr="00386FF8">
        <w:rPr>
          <w:b/>
          <w:bCs/>
        </w:rPr>
        <w:t>[1]</w:t>
      </w:r>
      <w:r w:rsidRPr="00386FF8">
        <w:t xml:space="preserve">. Position the animal in sternal recumbency </w:t>
      </w:r>
      <w:r w:rsidRPr="00386FF8">
        <w:rPr>
          <w:b/>
          <w:bCs/>
        </w:rPr>
        <w:t>[2]</w:t>
      </w:r>
      <w:r w:rsidRPr="00386FF8">
        <w:t xml:space="preserve">. Apply sterile Balanced Salt Solution to preserve corneal transparency </w:t>
      </w:r>
      <w:r w:rsidRPr="00386FF8">
        <w:rPr>
          <w:b/>
          <w:bCs/>
        </w:rPr>
        <w:t>[3]</w:t>
      </w:r>
      <w:r w:rsidRPr="00386FF8">
        <w:t>.</w:t>
      </w:r>
    </w:p>
    <w:p w14:paraId="7C46CC37" w14:textId="77777777" w:rsidR="00EC4BAF" w:rsidRPr="00386FF8" w:rsidRDefault="00EC4BAF" w:rsidP="00EC4BAF">
      <w:pPr>
        <w:pStyle w:val="ShotDescription"/>
        <w:numPr>
          <w:ilvl w:val="2"/>
          <w:numId w:val="3"/>
        </w:numPr>
        <w:rPr>
          <w:lang w:val="en-IN"/>
        </w:rPr>
      </w:pPr>
      <w:r w:rsidRPr="00386FF8">
        <w:t>WIDE: Talent placing the mouse onto the heated anesthesia-delivery stage and placing the nose cone.</w:t>
      </w:r>
    </w:p>
    <w:p w14:paraId="431563D9" w14:textId="77777777" w:rsidR="00EC4BAF" w:rsidRPr="00386FF8" w:rsidRDefault="00EC4BAF" w:rsidP="00EC4BAF">
      <w:pPr>
        <w:pStyle w:val="ShotDescription"/>
        <w:numPr>
          <w:ilvl w:val="2"/>
          <w:numId w:val="3"/>
        </w:numPr>
        <w:rPr>
          <w:lang w:val="en-IN"/>
        </w:rPr>
      </w:pPr>
      <w:r w:rsidRPr="00386FF8">
        <w:t>Talent positioning the animal in sternal recumbency on the heated stage.</w:t>
      </w:r>
    </w:p>
    <w:p w14:paraId="26A45E11" w14:textId="77777777" w:rsidR="00EC4BAF" w:rsidRPr="00386FF8" w:rsidRDefault="00EC4BAF" w:rsidP="00EC4BAF">
      <w:pPr>
        <w:pStyle w:val="ShotDescription"/>
        <w:numPr>
          <w:ilvl w:val="2"/>
          <w:numId w:val="3"/>
        </w:numPr>
        <w:rPr>
          <w:lang w:val="en-IN"/>
        </w:rPr>
      </w:pPr>
      <w:r w:rsidRPr="00386FF8">
        <w:t>Talent applying sterile BSS to the eye.</w:t>
      </w:r>
    </w:p>
    <w:p w14:paraId="0AB96AAD" w14:textId="77777777" w:rsidR="00EC4BAF" w:rsidRPr="00386FF8" w:rsidRDefault="00EC4BAF" w:rsidP="00EC4BAF">
      <w:pPr>
        <w:pStyle w:val="Narration"/>
        <w:ind w:firstLine="0"/>
        <w:rPr>
          <w:lang w:val="en-IN"/>
        </w:rPr>
      </w:pPr>
    </w:p>
    <w:p w14:paraId="063E20AE" w14:textId="77777777" w:rsidR="00EC4BAF" w:rsidRPr="006B100D" w:rsidRDefault="00EC4BAF" w:rsidP="00EC4BAF">
      <w:pPr>
        <w:pStyle w:val="Narration"/>
        <w:numPr>
          <w:ilvl w:val="1"/>
          <w:numId w:val="3"/>
        </w:numPr>
        <w:rPr>
          <w:lang w:val="en-IN"/>
        </w:rPr>
      </w:pPr>
      <w:r>
        <w:t xml:space="preserve">After launching the acquisition </w:t>
      </w:r>
      <w:r w:rsidRPr="00386FF8">
        <w:t>software</w:t>
      </w:r>
      <w:r>
        <w:t>, g</w:t>
      </w:r>
      <w:r w:rsidRPr="00386FF8">
        <w:t xml:space="preserve">ently dab away excess fluid from the target eye using a cotton swab to ensure clear optical capture </w:t>
      </w:r>
      <w:r w:rsidRPr="00386FF8">
        <w:rPr>
          <w:b/>
          <w:bCs/>
        </w:rPr>
        <w:t>[2]</w:t>
      </w:r>
      <w:r w:rsidRPr="00386FF8">
        <w:t xml:space="preserve">. Then, measure the ocular refraction across multiple angles within 5 to 10 minutes of anesthetic induction </w:t>
      </w:r>
      <w:r w:rsidRPr="00386FF8">
        <w:rPr>
          <w:b/>
          <w:bCs/>
        </w:rPr>
        <w:t>[3]</w:t>
      </w:r>
      <w:r w:rsidRPr="00386FF8">
        <w:t>.</w:t>
      </w:r>
    </w:p>
    <w:p w14:paraId="18785EAC" w14:textId="77777777" w:rsidR="00EC4BAF" w:rsidRPr="00386FF8" w:rsidRDefault="00EC4BAF" w:rsidP="00EC4BAF">
      <w:pPr>
        <w:pStyle w:val="ShotDescription"/>
        <w:numPr>
          <w:ilvl w:val="2"/>
          <w:numId w:val="3"/>
        </w:numPr>
        <w:rPr>
          <w:lang w:val="en-IN"/>
        </w:rPr>
      </w:pPr>
      <w:r w:rsidRPr="00386FF8">
        <w:t>Talent using a cotton swab to gently dab away excess liquid from the eye.</w:t>
      </w:r>
    </w:p>
    <w:p w14:paraId="5CD4AD72" w14:textId="77777777" w:rsidR="00EC4BAF" w:rsidRPr="00386FF8" w:rsidRDefault="00EC4BAF" w:rsidP="00EC4BAF">
      <w:pPr>
        <w:pStyle w:val="ShotDescription"/>
        <w:numPr>
          <w:ilvl w:val="2"/>
          <w:numId w:val="3"/>
        </w:numPr>
        <w:rPr>
          <w:lang w:val="en-IN"/>
        </w:rPr>
      </w:pPr>
      <w:r>
        <w:t>SCREEN: Refraction</w:t>
      </w:r>
      <w:r w:rsidRPr="00386FF8">
        <w:t>.</w:t>
      </w:r>
    </w:p>
    <w:p w14:paraId="660EDAC2" w14:textId="77777777" w:rsidR="00EC4BAF" w:rsidRDefault="00EC4BAF" w:rsidP="00EC4BAF">
      <w:pPr>
        <w:pStyle w:val="ShotDescription"/>
        <w:rPr>
          <w:lang w:val="en-IN"/>
        </w:rPr>
      </w:pPr>
    </w:p>
    <w:p w14:paraId="62EB3757" w14:textId="77777777" w:rsidR="00EC4BAF" w:rsidRDefault="00EC4BAF" w:rsidP="00EC4BAF">
      <w:pPr>
        <w:pStyle w:val="ShotDescription"/>
        <w:ind w:firstLine="0"/>
        <w:rPr>
          <w:lang w:val="en-IN"/>
        </w:rPr>
      </w:pPr>
    </w:p>
    <w:p w14:paraId="74B6EFE6" w14:textId="77777777" w:rsidR="00EC4BAF" w:rsidRDefault="00EC4BAF" w:rsidP="00EC4BAF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b/>
          <w:bCs/>
        </w:rPr>
        <w:t>Axial Length Measurement</w:t>
      </w:r>
    </w:p>
    <w:p w14:paraId="291E4EF4" w14:textId="77777777" w:rsidR="00EC4BAF" w:rsidRPr="00433078" w:rsidRDefault="00EC4BAF" w:rsidP="00EC4BAF">
      <w:pPr>
        <w:pStyle w:val="Narration"/>
        <w:numPr>
          <w:ilvl w:val="1"/>
          <w:numId w:val="3"/>
        </w:numPr>
        <w:rPr>
          <w:lang w:val="en-IN"/>
        </w:rPr>
      </w:pPr>
      <w:r w:rsidRPr="00433078">
        <w:t xml:space="preserve">Maintain the animal in sternal recumbency on a heating pad while delivering 1 to 1.5 percent isoflurane via a nose cone </w:t>
      </w:r>
      <w:r w:rsidRPr="00433078">
        <w:rPr>
          <w:b/>
          <w:bCs/>
        </w:rPr>
        <w:t>[1-TXT]</w:t>
      </w:r>
      <w:r w:rsidRPr="00433078">
        <w:t>. For C57BL/6 mice, apply a baseline protective layer of 0.2 percent carbomer gel directly onto the cornea</w:t>
      </w:r>
      <w:r>
        <w:t xml:space="preserve"> </w:t>
      </w:r>
      <w:r w:rsidRPr="00433078">
        <w:rPr>
          <w:b/>
          <w:bCs/>
        </w:rPr>
        <w:t>[</w:t>
      </w:r>
      <w:r>
        <w:rPr>
          <w:b/>
          <w:bCs/>
        </w:rPr>
        <w:t>2</w:t>
      </w:r>
      <w:r w:rsidRPr="00433078">
        <w:rPr>
          <w:b/>
          <w:bCs/>
        </w:rPr>
        <w:t>]</w:t>
      </w:r>
      <w:r w:rsidRPr="00433078">
        <w:t xml:space="preserve">, followed by a layer of acoustic gel </w:t>
      </w:r>
      <w:r w:rsidRPr="00433078">
        <w:rPr>
          <w:b/>
          <w:bCs/>
        </w:rPr>
        <w:t>[</w:t>
      </w:r>
      <w:r>
        <w:rPr>
          <w:b/>
          <w:bCs/>
        </w:rPr>
        <w:t>3</w:t>
      </w:r>
      <w:r w:rsidRPr="00433078">
        <w:rPr>
          <w:b/>
          <w:bCs/>
        </w:rPr>
        <w:t>]</w:t>
      </w:r>
      <w:r w:rsidRPr="00433078">
        <w:t>.</w:t>
      </w:r>
    </w:p>
    <w:p w14:paraId="0AC7BEFC" w14:textId="77777777" w:rsidR="00EC4BAF" w:rsidRDefault="00EC4BAF" w:rsidP="00EC4BAF">
      <w:pPr>
        <w:pStyle w:val="ShotDescription"/>
        <w:numPr>
          <w:ilvl w:val="2"/>
          <w:numId w:val="3"/>
        </w:numPr>
        <w:rPr>
          <w:lang w:val="en-IN"/>
        </w:rPr>
      </w:pPr>
      <w:r w:rsidRPr="00433078">
        <w:t>WIDE: Talent maintaining the</w:t>
      </w:r>
      <w:r>
        <w:t xml:space="preserve"> mouse in sternal recumbency on the heating pad with the nose cone attached.</w:t>
      </w:r>
    </w:p>
    <w:p w14:paraId="2BF682F2" w14:textId="77777777" w:rsidR="00EC4BAF" w:rsidRPr="00433078" w:rsidRDefault="00EC4BAF" w:rsidP="00EC4BAF">
      <w:pPr>
        <w:pStyle w:val="ShotDescription"/>
        <w:numPr>
          <w:ilvl w:val="2"/>
          <w:numId w:val="3"/>
        </w:numPr>
        <w:rPr>
          <w:lang w:val="en-IN"/>
        </w:rPr>
      </w:pPr>
      <w:r>
        <w:t xml:space="preserve">Talent applying a baseline </w:t>
      </w:r>
      <w:r w:rsidRPr="00433078">
        <w:t>protective layer of 0.2% carbomer gel directly onto the cornea</w:t>
      </w:r>
      <w:r>
        <w:t>.</w:t>
      </w:r>
    </w:p>
    <w:p w14:paraId="2B0A36A3" w14:textId="77777777" w:rsidR="00EC4BAF" w:rsidRPr="00433078" w:rsidRDefault="00EC4BAF" w:rsidP="00EC4BAF">
      <w:pPr>
        <w:pStyle w:val="ShotDescription"/>
        <w:numPr>
          <w:ilvl w:val="2"/>
          <w:numId w:val="3"/>
        </w:numPr>
        <w:rPr>
          <w:lang w:val="en-IN"/>
        </w:rPr>
      </w:pPr>
      <w:r>
        <w:t xml:space="preserve">Talent applying a </w:t>
      </w:r>
      <w:r w:rsidRPr="00433078">
        <w:t>layer of acoustic gel</w:t>
      </w:r>
      <w:r>
        <w:t>.</w:t>
      </w:r>
    </w:p>
    <w:p w14:paraId="41DED1F3" w14:textId="77777777" w:rsidR="00EC4BAF" w:rsidRDefault="00EC4BAF" w:rsidP="00EC4BAF">
      <w:pPr>
        <w:pStyle w:val="ShotDescription"/>
        <w:ind w:left="0" w:firstLine="0"/>
        <w:rPr>
          <w:lang w:val="en-IN"/>
        </w:rPr>
      </w:pPr>
    </w:p>
    <w:p w14:paraId="1C291CBD" w14:textId="77777777" w:rsidR="00EC4BAF" w:rsidRPr="00433078" w:rsidRDefault="00EC4BAF" w:rsidP="00EC4BAF">
      <w:pPr>
        <w:pStyle w:val="Narration"/>
        <w:numPr>
          <w:ilvl w:val="1"/>
          <w:numId w:val="3"/>
        </w:numPr>
        <w:rPr>
          <w:lang w:val="en-IN"/>
        </w:rPr>
      </w:pPr>
      <w:r w:rsidRPr="00433078">
        <w:t xml:space="preserve">Align the handheld 16-megahertz ultrasound probe along the central optical axis using an extremely light, zero-pressure touch </w:t>
      </w:r>
      <w:r w:rsidRPr="00433078">
        <w:rPr>
          <w:b/>
          <w:bCs/>
        </w:rPr>
        <w:t>[1]</w:t>
      </w:r>
      <w:r w:rsidRPr="00433078">
        <w:t xml:space="preserve">, and acquire 10 independent replicate B-scan traces per eye from the anterior ocular interface to the posterior scleral echo wall </w:t>
      </w:r>
      <w:r w:rsidRPr="00433078">
        <w:rPr>
          <w:b/>
          <w:bCs/>
        </w:rPr>
        <w:t>[2]</w:t>
      </w:r>
      <w:r w:rsidRPr="00433078">
        <w:t>.</w:t>
      </w:r>
    </w:p>
    <w:p w14:paraId="704040BF" w14:textId="77777777" w:rsidR="00EC4BAF" w:rsidRPr="00433078" w:rsidRDefault="00EC4BAF" w:rsidP="00EC4BAF">
      <w:pPr>
        <w:pStyle w:val="ShotDescription"/>
        <w:numPr>
          <w:ilvl w:val="2"/>
          <w:numId w:val="3"/>
        </w:numPr>
        <w:rPr>
          <w:lang w:val="en-IN"/>
        </w:rPr>
      </w:pPr>
      <w:r w:rsidRPr="00433078">
        <w:t>Talent aligning the 16 MHz ultrasound probe along the central optical axis with a zero-pressure touch.</w:t>
      </w:r>
    </w:p>
    <w:p w14:paraId="6C00C12A" w14:textId="77777777" w:rsidR="00EC4BAF" w:rsidRDefault="00EC4BAF" w:rsidP="00EC4BAF">
      <w:pPr>
        <w:pStyle w:val="ShotDescription"/>
        <w:numPr>
          <w:ilvl w:val="2"/>
          <w:numId w:val="3"/>
        </w:numPr>
        <w:rPr>
          <w:lang w:val="en-IN"/>
        </w:rPr>
      </w:pPr>
      <w:r w:rsidRPr="00433078">
        <w:lastRenderedPageBreak/>
        <w:t xml:space="preserve">SCREEN: </w:t>
      </w:r>
      <w:r>
        <w:t>B-scan. 00:00-00:12</w:t>
      </w:r>
    </w:p>
    <w:p w14:paraId="73FF6A1B" w14:textId="77777777" w:rsidR="00EC4BAF" w:rsidRPr="006B100D" w:rsidRDefault="00EC4BAF" w:rsidP="00EC4BAF">
      <w:pPr>
        <w:pStyle w:val="Narration"/>
        <w:ind w:firstLine="0"/>
        <w:rPr>
          <w:lang w:val="en-IN"/>
        </w:rPr>
      </w:pPr>
    </w:p>
    <w:p w14:paraId="289685C5" w14:textId="77777777" w:rsidR="00EC4BAF" w:rsidRPr="006B100D" w:rsidRDefault="00EC4BAF" w:rsidP="00EC4BAF">
      <w:pPr>
        <w:pStyle w:val="Narration"/>
        <w:numPr>
          <w:ilvl w:val="1"/>
          <w:numId w:val="3"/>
        </w:numPr>
        <w:rPr>
          <w:lang w:val="en-IN"/>
        </w:rPr>
      </w:pPr>
      <w:r w:rsidRPr="006B100D">
        <w:t xml:space="preserve">Gently flush the residual acoustic gel from the eye using sterile Balanced Salt Solution immediately following acquisition to prevent post-procedural corneal irritation </w:t>
      </w:r>
      <w:r w:rsidRPr="006B100D">
        <w:rPr>
          <w:b/>
          <w:bCs/>
        </w:rPr>
        <w:t>[1]</w:t>
      </w:r>
      <w:r w:rsidRPr="006B100D">
        <w:t>.</w:t>
      </w:r>
    </w:p>
    <w:p w14:paraId="3196A910" w14:textId="77777777" w:rsidR="00EC4BAF" w:rsidRPr="006B100D" w:rsidRDefault="00EC4BAF" w:rsidP="00EC4BAF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6B100D">
        <w:rPr>
          <w:color w:val="auto"/>
        </w:rPr>
        <w:t>Talent gently flushing residual acoustic gel from the eye using sterile BSS.</w:t>
      </w:r>
    </w:p>
    <w:p w14:paraId="7BE0A420" w14:textId="77777777" w:rsidR="00EC4BAF" w:rsidRPr="006B100D" w:rsidRDefault="00EC4BAF" w:rsidP="00EC4BAF">
      <w:pPr>
        <w:pStyle w:val="ShotDescription"/>
        <w:ind w:firstLine="0"/>
        <w:rPr>
          <w:color w:val="auto"/>
          <w:lang w:val="en-IN"/>
        </w:rPr>
      </w:pPr>
    </w:p>
    <w:p w14:paraId="74054D3E" w14:textId="77777777" w:rsidR="00EC4BAF" w:rsidRPr="006B100D" w:rsidRDefault="00EC4BAF" w:rsidP="00EC4BAF">
      <w:pPr>
        <w:pStyle w:val="Narration"/>
        <w:numPr>
          <w:ilvl w:val="1"/>
          <w:numId w:val="3"/>
        </w:numPr>
        <w:rPr>
          <w:lang w:val="en-IN"/>
        </w:rPr>
      </w:pPr>
      <w:r w:rsidRPr="006B100D">
        <w:t xml:space="preserve">Calculate the mean axial length, and log it together with the refractive error measurements into the acquisition software for subsequent offline analysis </w:t>
      </w:r>
      <w:r w:rsidRPr="006B100D">
        <w:rPr>
          <w:b/>
          <w:bCs/>
        </w:rPr>
        <w:t>[1]</w:t>
      </w:r>
      <w:r w:rsidRPr="006B100D">
        <w:t>.</w:t>
      </w:r>
    </w:p>
    <w:p w14:paraId="0A7139D7" w14:textId="77777777" w:rsidR="00EC4BAF" w:rsidRPr="006B100D" w:rsidRDefault="00EC4BAF" w:rsidP="00EC4BAF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6B100D">
        <w:rPr>
          <w:color w:val="auto"/>
        </w:rPr>
        <w:t xml:space="preserve">SCREEN: </w:t>
      </w:r>
      <w:r>
        <w:t>B-scan. 00:16-00:22 and 00:26-00:28</w:t>
      </w:r>
      <w:r w:rsidRPr="006B100D">
        <w:rPr>
          <w:color w:val="auto"/>
        </w:rPr>
        <w:t>.</w:t>
      </w:r>
    </w:p>
    <w:p w14:paraId="34C49964" w14:textId="77777777" w:rsidR="00EC4BAF" w:rsidRDefault="00EC4BAF" w:rsidP="00EC4BAF">
      <w:pPr>
        <w:pStyle w:val="ShotDescription"/>
        <w:ind w:firstLine="0"/>
        <w:rPr>
          <w:lang w:val="en-IN"/>
        </w:rPr>
      </w:pPr>
    </w:p>
    <w:p w14:paraId="753D5237" w14:textId="77777777" w:rsidR="00EC4BAF" w:rsidRDefault="00EC4BAF" w:rsidP="00EC4BAF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b/>
          <w:bCs/>
        </w:rPr>
        <w:t>Subconjunctival Injection Procedure</w:t>
      </w:r>
    </w:p>
    <w:p w14:paraId="4C87ED5C" w14:textId="77777777" w:rsidR="00EC4BAF" w:rsidRDefault="00EC4BAF" w:rsidP="00EC4BAF">
      <w:pPr>
        <w:pStyle w:val="Narration"/>
        <w:numPr>
          <w:ilvl w:val="1"/>
          <w:numId w:val="3"/>
        </w:numPr>
        <w:rPr>
          <w:lang w:val="en-IN"/>
        </w:rPr>
      </w:pPr>
      <w:r>
        <w:t xml:space="preserve">Transfer the anesthetized animal to a nose cone delivering 1.5 to 2 percent isoflurane for anesthetic maintenance </w:t>
      </w:r>
      <w:r>
        <w:rPr>
          <w:b/>
          <w:bCs/>
        </w:rPr>
        <w:t>[1]</w:t>
      </w:r>
      <w:r>
        <w:t xml:space="preserve">. </w:t>
      </w:r>
    </w:p>
    <w:p w14:paraId="15A9B31F" w14:textId="77777777" w:rsidR="00EC4BAF" w:rsidRPr="00433078" w:rsidRDefault="00EC4BAF" w:rsidP="00EC4BAF">
      <w:pPr>
        <w:pStyle w:val="ShotDescription"/>
        <w:numPr>
          <w:ilvl w:val="2"/>
          <w:numId w:val="3"/>
        </w:numPr>
        <w:rPr>
          <w:lang w:val="en-IN"/>
        </w:rPr>
      </w:pPr>
      <w:r w:rsidRPr="00433078">
        <w:t>Talent transferring the</w:t>
      </w:r>
      <w:r>
        <w:t xml:space="preserve"> animal to the nose cone for anesthetic maintenance. </w:t>
      </w:r>
      <w:r w:rsidRPr="00433078">
        <w:rPr>
          <w:b/>
          <w:bCs/>
          <w:highlight w:val="yellow"/>
        </w:rPr>
        <w:t>Authors</w:t>
      </w:r>
      <w:r w:rsidRPr="00433078">
        <w:rPr>
          <w:highlight w:val="yellow"/>
        </w:rPr>
        <w:t>: On Day 0 the animal receives both the baseline B-scan and the first subconjunctival injection. Please confirm the order, and whether this is 1 continuous anesthesia session or 2, so that the narration bridging sections is correct.</w:t>
      </w:r>
    </w:p>
    <w:p w14:paraId="2A4977CB" w14:textId="77777777" w:rsidR="00EC4BAF" w:rsidRPr="00433078" w:rsidRDefault="00EC4BAF" w:rsidP="00EC4BAF">
      <w:pPr>
        <w:pStyle w:val="ShotDescription"/>
        <w:ind w:firstLine="0"/>
        <w:rPr>
          <w:lang w:val="en-IN"/>
        </w:rPr>
      </w:pPr>
    </w:p>
    <w:p w14:paraId="5F855DD1" w14:textId="77777777" w:rsidR="00EC4BAF" w:rsidRPr="00433078" w:rsidRDefault="00EC4BAF" w:rsidP="00EC4BAF">
      <w:pPr>
        <w:pStyle w:val="Narration"/>
        <w:numPr>
          <w:ilvl w:val="1"/>
          <w:numId w:val="3"/>
        </w:numPr>
        <w:rPr>
          <w:lang w:val="en-IN"/>
        </w:rPr>
      </w:pPr>
      <w:r w:rsidRPr="00433078">
        <w:t xml:space="preserve">Sanitize the fine-tipped microforceps with 70 percent ethanol and wipe them dry </w:t>
      </w:r>
      <w:r w:rsidRPr="00433078">
        <w:rPr>
          <w:b/>
          <w:bCs/>
        </w:rPr>
        <w:t>[1]</w:t>
      </w:r>
      <w:r w:rsidRPr="00433078">
        <w:t xml:space="preserve">. Clean the 33-gauge needle of the 10-microliter glass micro-syringe with 70 percent ethanol and rinse it thoroughly with sterile saline </w:t>
      </w:r>
      <w:r w:rsidRPr="00433078">
        <w:rPr>
          <w:b/>
          <w:bCs/>
        </w:rPr>
        <w:t>[2]</w:t>
      </w:r>
      <w:r w:rsidRPr="00433078">
        <w:t xml:space="preserve">. Pre-wet the syringe cavity with Balanced Salt Solution </w:t>
      </w:r>
      <w:r w:rsidRPr="00433078">
        <w:rPr>
          <w:b/>
          <w:bCs/>
        </w:rPr>
        <w:t>[3]</w:t>
      </w:r>
      <w:r w:rsidRPr="00433078">
        <w:t xml:space="preserve">, then prime it 2 to 3 times with the TGF-β2 </w:t>
      </w:r>
      <w:r w:rsidRPr="00433078">
        <w:rPr>
          <w:i/>
          <w:iCs/>
          <w:color w:val="EE0000"/>
        </w:rPr>
        <w:t>(</w:t>
      </w:r>
      <w:r>
        <w:rPr>
          <w:i/>
          <w:iCs/>
          <w:color w:val="EE0000"/>
        </w:rPr>
        <w:t>T-G-F-Beta-2</w:t>
      </w:r>
      <w:r w:rsidRPr="00433078">
        <w:rPr>
          <w:i/>
          <w:iCs/>
          <w:color w:val="EE0000"/>
        </w:rPr>
        <w:t>)</w:t>
      </w:r>
      <w:r>
        <w:t xml:space="preserve"> </w:t>
      </w:r>
      <w:r w:rsidRPr="00433078">
        <w:t xml:space="preserve">working solution to eliminate dead space </w:t>
      </w:r>
      <w:r w:rsidRPr="00433078">
        <w:rPr>
          <w:b/>
          <w:bCs/>
        </w:rPr>
        <w:t>[4</w:t>
      </w:r>
      <w:r>
        <w:rPr>
          <w:b/>
          <w:bCs/>
        </w:rPr>
        <w:t>-TXT</w:t>
      </w:r>
      <w:r w:rsidRPr="00433078">
        <w:rPr>
          <w:b/>
          <w:bCs/>
        </w:rPr>
        <w:t>]</w:t>
      </w:r>
      <w:r w:rsidRPr="00433078">
        <w:t xml:space="preserve">. Load 1 microliter of the working solution and purge all microbubbles </w:t>
      </w:r>
      <w:r w:rsidRPr="00433078">
        <w:rPr>
          <w:b/>
          <w:bCs/>
        </w:rPr>
        <w:t>[5</w:t>
      </w:r>
      <w:r>
        <w:rPr>
          <w:b/>
          <w:bCs/>
        </w:rPr>
        <w:t>]</w:t>
      </w:r>
      <w:r w:rsidRPr="00433078">
        <w:t>.</w:t>
      </w:r>
    </w:p>
    <w:p w14:paraId="1A6D082D" w14:textId="77777777" w:rsidR="00EC4BAF" w:rsidRPr="00433078" w:rsidRDefault="00EC4BAF" w:rsidP="00EC4BAF">
      <w:pPr>
        <w:pStyle w:val="ShotDescription"/>
        <w:numPr>
          <w:ilvl w:val="2"/>
          <w:numId w:val="3"/>
        </w:numPr>
        <w:rPr>
          <w:lang w:val="en-IN"/>
        </w:rPr>
      </w:pPr>
      <w:r w:rsidRPr="00433078">
        <w:t>Talent sanitizing the microforceps with 70 percent ethanol and wiping them dry.</w:t>
      </w:r>
    </w:p>
    <w:p w14:paraId="63DF5361" w14:textId="77777777" w:rsidR="00EC4BAF" w:rsidRPr="00433078" w:rsidRDefault="00EC4BAF" w:rsidP="00EC4BAF">
      <w:pPr>
        <w:pStyle w:val="ShotDescription"/>
        <w:numPr>
          <w:ilvl w:val="2"/>
          <w:numId w:val="3"/>
        </w:numPr>
        <w:rPr>
          <w:lang w:val="en-IN"/>
        </w:rPr>
      </w:pPr>
      <w:r w:rsidRPr="00433078">
        <w:t>Talent cleaning the 33-gauge needle with 70 percent ethanol and rinsing it with sterile saline.</w:t>
      </w:r>
    </w:p>
    <w:p w14:paraId="098E9073" w14:textId="77777777" w:rsidR="00EC4BAF" w:rsidRPr="00433078" w:rsidRDefault="00EC4BAF" w:rsidP="00EC4BAF">
      <w:pPr>
        <w:pStyle w:val="ShotDescription"/>
        <w:numPr>
          <w:ilvl w:val="2"/>
          <w:numId w:val="3"/>
        </w:numPr>
        <w:rPr>
          <w:lang w:val="en-IN"/>
        </w:rPr>
      </w:pPr>
      <w:r w:rsidRPr="00433078">
        <w:t>Talent pre-wetting the 10 µL micro-syringe cavity with BSS.</w:t>
      </w:r>
    </w:p>
    <w:p w14:paraId="3D4847F2" w14:textId="77777777" w:rsidR="00EC4BAF" w:rsidRPr="00433078" w:rsidRDefault="00EC4BAF" w:rsidP="00EC4BAF">
      <w:pPr>
        <w:pStyle w:val="ShotDescription"/>
        <w:numPr>
          <w:ilvl w:val="2"/>
          <w:numId w:val="3"/>
        </w:numPr>
        <w:rPr>
          <w:lang w:val="en-IN"/>
        </w:rPr>
      </w:pPr>
      <w:r w:rsidRPr="00433078">
        <w:t>Talent priming the micro-syringe 2 to 3 times with the TGF-β2 working solution.</w:t>
      </w:r>
      <w:r>
        <w:t xml:space="preserve"> </w:t>
      </w:r>
      <w:r w:rsidRPr="00433078">
        <w:rPr>
          <w:b/>
          <w:bCs/>
        </w:rPr>
        <w:t>TXT: See text protocol for TGF-β2 (Transforming Growth Factor-β2) solution preparation</w:t>
      </w:r>
    </w:p>
    <w:p w14:paraId="18FCE349" w14:textId="77777777" w:rsidR="00EC4BAF" w:rsidRPr="00433078" w:rsidRDefault="00EC4BAF" w:rsidP="00EC4BAF">
      <w:pPr>
        <w:pStyle w:val="ShotDescription"/>
        <w:numPr>
          <w:ilvl w:val="2"/>
          <w:numId w:val="3"/>
        </w:numPr>
        <w:rPr>
          <w:lang w:val="en-IN"/>
        </w:rPr>
      </w:pPr>
      <w:r w:rsidRPr="00433078">
        <w:t>Talent loading 1 µL of the working solution and purging all microbubbles.</w:t>
      </w:r>
    </w:p>
    <w:p w14:paraId="38A82F3A" w14:textId="77777777" w:rsidR="00EC4BAF" w:rsidRDefault="00EC4BAF" w:rsidP="00EC4BAF">
      <w:pPr>
        <w:pStyle w:val="ShotDescription"/>
        <w:rPr>
          <w:lang w:val="en-IN"/>
        </w:rPr>
      </w:pPr>
      <w:r>
        <w:rPr>
          <w:b/>
          <w:bCs/>
          <w:highlight w:val="yellow"/>
        </w:rPr>
        <w:t>Authors</w:t>
      </w:r>
      <w:r>
        <w:rPr>
          <w:highlight w:val="yellow"/>
        </w:rPr>
        <w:t>: The loaded volume is now given as 1 µL as we are only filming mice.</w:t>
      </w:r>
    </w:p>
    <w:p w14:paraId="27289764" w14:textId="77777777" w:rsidR="00EC4BAF" w:rsidRDefault="00EC4BAF" w:rsidP="00EC4BAF">
      <w:pPr>
        <w:pStyle w:val="ShotDescription"/>
      </w:pPr>
      <w:r>
        <w:rPr>
          <w:b/>
          <w:bCs/>
          <w:highlight w:val="yellow"/>
        </w:rPr>
        <w:lastRenderedPageBreak/>
        <w:t>Authors</w:t>
      </w:r>
      <w:r>
        <w:rPr>
          <w:highlight w:val="yellow"/>
        </w:rPr>
        <w:t>: The manuscript pre-wets the syringe and needle with the working solution only; your revision adds a Balanced Salt Solution pre-wet first. Please confirm that both steps are performed, so we can update the manuscript to match.</w:t>
      </w:r>
    </w:p>
    <w:p w14:paraId="5B44B091" w14:textId="77777777" w:rsidR="00EC4BAF" w:rsidRDefault="00EC4BAF" w:rsidP="00EC4BAF">
      <w:pPr>
        <w:pStyle w:val="ShotDescription"/>
        <w:rPr>
          <w:lang w:val="en-IN"/>
        </w:rPr>
      </w:pPr>
    </w:p>
    <w:p w14:paraId="75369153" w14:textId="77777777" w:rsidR="00EC4BAF" w:rsidRPr="009934D2" w:rsidRDefault="00EC4BAF" w:rsidP="00EC4BAF">
      <w:pPr>
        <w:pStyle w:val="Narration"/>
        <w:numPr>
          <w:ilvl w:val="1"/>
          <w:numId w:val="3"/>
        </w:numPr>
        <w:rPr>
          <w:lang w:val="en-IN"/>
        </w:rPr>
      </w:pPr>
      <w:r w:rsidRPr="009934D2">
        <w:t xml:space="preserve">Position the anesthetized animal prone under a fiber-optic spotlight </w:t>
      </w:r>
      <w:r w:rsidRPr="009934D2">
        <w:rPr>
          <w:b/>
          <w:bCs/>
        </w:rPr>
        <w:t>[1]</w:t>
      </w:r>
      <w:r w:rsidRPr="009934D2">
        <w:t xml:space="preserve">. Under direct vision, use the fine-tipped microforceps to gently grasp, elevate, and evert the superior eyelid to expose the palpebral conjunctiva and the conjunctival fornix </w:t>
      </w:r>
      <w:r w:rsidRPr="009934D2">
        <w:rPr>
          <w:b/>
          <w:bCs/>
        </w:rPr>
        <w:t>[2]</w:t>
      </w:r>
      <w:r w:rsidRPr="009934D2">
        <w:t xml:space="preserve">. Orient the 33-gauge needle bevel-up and insert it through the conjunctival epithelium at a shallow 20- to 30-degree angle, advancing it into the subconjunctival domain while keeping the bevel visible beneath the translucent conjunctival surface to avoid the meibomian glands and the deeper ocular structures </w:t>
      </w:r>
      <w:r w:rsidRPr="009934D2">
        <w:rPr>
          <w:b/>
          <w:bCs/>
        </w:rPr>
        <w:t>[</w:t>
      </w:r>
      <w:r>
        <w:rPr>
          <w:b/>
          <w:bCs/>
        </w:rPr>
        <w:t>3</w:t>
      </w:r>
      <w:r w:rsidRPr="009934D2">
        <w:rPr>
          <w:b/>
          <w:bCs/>
        </w:rPr>
        <w:t>]</w:t>
      </w:r>
      <w:r w:rsidRPr="009934D2">
        <w:t>.</w:t>
      </w:r>
    </w:p>
    <w:p w14:paraId="49721783" w14:textId="77777777" w:rsidR="00EC4BAF" w:rsidRPr="009934D2" w:rsidRDefault="00EC4BAF" w:rsidP="00EC4BAF">
      <w:pPr>
        <w:pStyle w:val="ShotDescription"/>
        <w:numPr>
          <w:ilvl w:val="2"/>
          <w:numId w:val="3"/>
        </w:numPr>
        <w:rPr>
          <w:lang w:val="en-IN"/>
        </w:rPr>
      </w:pPr>
      <w:r w:rsidRPr="009934D2">
        <w:t>Talent positioning the animal prone under the fiber-optic spotlight.</w:t>
      </w:r>
    </w:p>
    <w:p w14:paraId="38FCC7E5" w14:textId="77777777" w:rsidR="00EC4BAF" w:rsidRPr="009934D2" w:rsidRDefault="00EC4BAF" w:rsidP="00EC4BAF">
      <w:pPr>
        <w:pStyle w:val="ShotDescription"/>
        <w:numPr>
          <w:ilvl w:val="2"/>
          <w:numId w:val="3"/>
        </w:numPr>
        <w:rPr>
          <w:lang w:val="en-IN"/>
        </w:rPr>
      </w:pPr>
      <w:r w:rsidRPr="009934D2">
        <w:t>Talent using fine-tipped microforceps under fiber-optic illumination to gently grasp, elevate, and evert the superior eyelid, exposing the palpebral conjunctiva and the conjunctival fornix.</w:t>
      </w:r>
    </w:p>
    <w:p w14:paraId="548D64B9" w14:textId="77777777" w:rsidR="00EC4BAF" w:rsidRPr="009934D2" w:rsidRDefault="00EC4BAF" w:rsidP="00EC4BAF">
      <w:pPr>
        <w:pStyle w:val="ShotDescription"/>
        <w:numPr>
          <w:ilvl w:val="2"/>
          <w:numId w:val="3"/>
        </w:numPr>
        <w:rPr>
          <w:lang w:val="en-IN"/>
        </w:rPr>
      </w:pPr>
      <w:r w:rsidRPr="009934D2">
        <w:t>CU: Talent inserting the 33-gauge needle bevel-up into the subconjunctival space at a shallow</w:t>
      </w:r>
      <w:r>
        <w:t xml:space="preserve"> 20- to 30-degree angle under direct vision.</w:t>
      </w:r>
    </w:p>
    <w:p w14:paraId="4F5DE074" w14:textId="77777777" w:rsidR="00EC4BAF" w:rsidRPr="009934D2" w:rsidRDefault="00EC4BAF" w:rsidP="00EC4BAF">
      <w:pPr>
        <w:pStyle w:val="ShotDescription"/>
        <w:ind w:firstLine="0"/>
        <w:rPr>
          <w:lang w:val="en-IN"/>
        </w:rPr>
      </w:pPr>
      <w:r>
        <w:t>(Optional LAB MEDIA: Figure 1 C)</w:t>
      </w:r>
    </w:p>
    <w:p w14:paraId="5F789469" w14:textId="77777777" w:rsidR="00EC4BAF" w:rsidRDefault="00EC4BAF" w:rsidP="00EC4BAF">
      <w:pPr>
        <w:pStyle w:val="ShotDescription"/>
      </w:pPr>
      <w:r>
        <w:rPr>
          <w:b/>
          <w:bCs/>
          <w:highlight w:val="yellow"/>
        </w:rPr>
        <w:t>Authors</w:t>
      </w:r>
      <w:r>
        <w:rPr>
          <w:highlight w:val="yellow"/>
        </w:rPr>
        <w:t>: We will use figure 1C only if the footage doesn’t clearly show the position)</w:t>
      </w:r>
    </w:p>
    <w:p w14:paraId="2FE26AEB" w14:textId="77777777" w:rsidR="00EC4BAF" w:rsidRDefault="00EC4BAF" w:rsidP="00EC4BAF">
      <w:pPr>
        <w:pStyle w:val="ShotDescription"/>
        <w:rPr>
          <w:lang w:val="en-IN"/>
        </w:rPr>
      </w:pPr>
    </w:p>
    <w:p w14:paraId="1C2C8CFE" w14:textId="77777777" w:rsidR="00EC4BAF" w:rsidRDefault="00EC4BAF" w:rsidP="00EC4BAF">
      <w:pPr>
        <w:pStyle w:val="ShotDescription"/>
        <w:rPr>
          <w:lang w:val="en-IN"/>
        </w:rPr>
      </w:pPr>
      <w:r>
        <w:rPr>
          <w:b/>
          <w:bCs/>
          <w:highlight w:val="yellow"/>
        </w:rPr>
        <w:t>Authors</w:t>
      </w:r>
      <w:r>
        <w:rPr>
          <w:highlight w:val="yellow"/>
        </w:rPr>
        <w:t>: During filming, please point out the parts being narrated.</w:t>
      </w:r>
    </w:p>
    <w:p w14:paraId="7429BB05" w14:textId="77777777" w:rsidR="00EC4BAF" w:rsidRPr="009934D2" w:rsidRDefault="00EC4BAF" w:rsidP="00EC4BAF">
      <w:pPr>
        <w:pStyle w:val="Narration"/>
        <w:numPr>
          <w:ilvl w:val="1"/>
          <w:numId w:val="3"/>
        </w:numPr>
        <w:rPr>
          <w:lang w:val="en-IN"/>
        </w:rPr>
      </w:pPr>
      <w:r w:rsidRPr="009934D2">
        <w:t xml:space="preserve">Release the microforceps once the needle is anchored </w:t>
      </w:r>
      <w:r w:rsidRPr="009934D2">
        <w:rPr>
          <w:b/>
          <w:bCs/>
        </w:rPr>
        <w:t>[1]</w:t>
      </w:r>
      <w:r w:rsidRPr="009934D2">
        <w:t xml:space="preserve">. Slowly depress the syringe plunger to inject the solution over 5 to 10 seconds, then hold the needle in place for an additional 5 seconds </w:t>
      </w:r>
      <w:r w:rsidRPr="009934D2">
        <w:rPr>
          <w:b/>
          <w:bCs/>
        </w:rPr>
        <w:t>[2]</w:t>
      </w:r>
      <w:r w:rsidRPr="009934D2">
        <w:t xml:space="preserve">. Re-evert the superior eyelid with the microforceps, then slowly withdraw the needle from the injection site to prevent fluid backflow </w:t>
      </w:r>
      <w:r w:rsidRPr="009934D2">
        <w:rPr>
          <w:b/>
          <w:bCs/>
        </w:rPr>
        <w:t>[3]</w:t>
      </w:r>
      <w:r w:rsidRPr="009934D2">
        <w:t>.</w:t>
      </w:r>
    </w:p>
    <w:p w14:paraId="7FF8AB58" w14:textId="77777777" w:rsidR="00EC4BAF" w:rsidRPr="009934D2" w:rsidRDefault="00EC4BAF" w:rsidP="00EC4BAF">
      <w:pPr>
        <w:pStyle w:val="ShotDescription"/>
        <w:numPr>
          <w:ilvl w:val="2"/>
          <w:numId w:val="3"/>
        </w:numPr>
        <w:rPr>
          <w:lang w:val="en-IN"/>
        </w:rPr>
      </w:pPr>
      <w:r>
        <w:t xml:space="preserve">Shot of </w:t>
      </w:r>
      <w:r w:rsidRPr="009934D2">
        <w:t>releasing the microforceps after initial needle placement.</w:t>
      </w:r>
    </w:p>
    <w:p w14:paraId="01D24AD4" w14:textId="77777777" w:rsidR="00EC4BAF" w:rsidRPr="009934D2" w:rsidRDefault="00EC4BAF" w:rsidP="00EC4BAF">
      <w:pPr>
        <w:pStyle w:val="ShotDescription"/>
        <w:numPr>
          <w:ilvl w:val="2"/>
          <w:numId w:val="3"/>
        </w:numPr>
        <w:rPr>
          <w:lang w:val="en-IN"/>
        </w:rPr>
      </w:pPr>
      <w:r>
        <w:t xml:space="preserve">Shot of </w:t>
      </w:r>
      <w:r w:rsidRPr="009934D2">
        <w:t>slowly depressing the plunger over 5 to 10 seconds to deliver the solution and holding for 5 seconds.</w:t>
      </w:r>
    </w:p>
    <w:p w14:paraId="7B8D643B" w14:textId="77777777" w:rsidR="00EC4BAF" w:rsidRPr="009934D2" w:rsidRDefault="00EC4BAF" w:rsidP="00EC4BAF">
      <w:pPr>
        <w:pStyle w:val="ShotDescription"/>
        <w:numPr>
          <w:ilvl w:val="2"/>
          <w:numId w:val="3"/>
        </w:numPr>
        <w:rPr>
          <w:lang w:val="en-IN"/>
        </w:rPr>
      </w:pPr>
      <w:r>
        <w:t xml:space="preserve">Shot of </w:t>
      </w:r>
      <w:r w:rsidRPr="009934D2">
        <w:t>re-everting the superior eyelid with microforceps before slowly withdrawing the needle from the injection site.</w:t>
      </w:r>
    </w:p>
    <w:p w14:paraId="7A4B14A2" w14:textId="77777777" w:rsidR="00EC4BAF" w:rsidRDefault="00EC4BAF" w:rsidP="00EC4BAF">
      <w:pPr>
        <w:pStyle w:val="ShotDescription"/>
        <w:ind w:left="0" w:firstLine="0"/>
        <w:rPr>
          <w:lang w:val="en-IN"/>
        </w:rPr>
      </w:pPr>
    </w:p>
    <w:p w14:paraId="2D637C85" w14:textId="77777777" w:rsidR="00EC4BAF" w:rsidRPr="009934D2" w:rsidRDefault="00EC4BAF" w:rsidP="00EC4BAF">
      <w:pPr>
        <w:pStyle w:val="Narration"/>
        <w:numPr>
          <w:ilvl w:val="1"/>
          <w:numId w:val="3"/>
        </w:numPr>
        <w:rPr>
          <w:lang w:val="en-IN"/>
        </w:rPr>
      </w:pPr>
      <w:r>
        <w:t xml:space="preserve">Immediately transfer the </w:t>
      </w:r>
      <w:r w:rsidRPr="009934D2">
        <w:t xml:space="preserve">mouse to a warm recovery cage lined with </w:t>
      </w:r>
      <w:r>
        <w:t xml:space="preserve">cleaned bedding </w:t>
      </w:r>
      <w:r w:rsidRPr="009934D2">
        <w:t xml:space="preserve"> </w:t>
      </w:r>
      <w:r w:rsidRPr="009934D2">
        <w:rPr>
          <w:b/>
          <w:bCs/>
        </w:rPr>
        <w:t>[1]</w:t>
      </w:r>
      <w:r w:rsidRPr="009934D2">
        <w:t xml:space="preserve">. Continuously monitor the animal, as mice recover rapidly from isoflurane anesthesia, until full sternal recumbency and normal ambulatory activity are restored </w:t>
      </w:r>
      <w:r w:rsidRPr="009934D2">
        <w:rPr>
          <w:b/>
          <w:bCs/>
        </w:rPr>
        <w:t>[2]</w:t>
      </w:r>
      <w:r w:rsidRPr="009934D2">
        <w:t>.</w:t>
      </w:r>
    </w:p>
    <w:p w14:paraId="5CACC2EC" w14:textId="77777777" w:rsidR="00EC4BAF" w:rsidRPr="009934D2" w:rsidRDefault="00EC4BAF" w:rsidP="00EC4BAF">
      <w:pPr>
        <w:pStyle w:val="ShotDescription"/>
        <w:numPr>
          <w:ilvl w:val="2"/>
          <w:numId w:val="3"/>
        </w:numPr>
        <w:rPr>
          <w:lang w:val="en-IN"/>
        </w:rPr>
      </w:pPr>
      <w:r w:rsidRPr="009934D2">
        <w:t>Talent placing the mouse into a warm recovery cage lined with paper towels.</w:t>
      </w:r>
    </w:p>
    <w:p w14:paraId="6ABEB1F2" w14:textId="77777777" w:rsidR="00EC4BAF" w:rsidRPr="009934D2" w:rsidRDefault="00EC4BAF" w:rsidP="00EC4BAF">
      <w:pPr>
        <w:pStyle w:val="ShotDescription"/>
        <w:numPr>
          <w:ilvl w:val="2"/>
          <w:numId w:val="3"/>
        </w:numPr>
        <w:rPr>
          <w:lang w:val="en-IN"/>
        </w:rPr>
      </w:pPr>
      <w:r w:rsidRPr="009934D2">
        <w:lastRenderedPageBreak/>
        <w:t>Talent observing the mouse regaining full sternal recumbency and normal ambulatory activity.</w:t>
      </w:r>
    </w:p>
    <w:p w14:paraId="30BD856E" w14:textId="77777777" w:rsidR="00EC4BAF" w:rsidRDefault="00EC4BAF" w:rsidP="00EC4BAF">
      <w:pPr>
        <w:pStyle w:val="ShotDescription"/>
      </w:pPr>
      <w:r>
        <w:rPr>
          <w:b/>
          <w:bCs/>
          <w:highlight w:val="yellow"/>
        </w:rPr>
        <w:t>Authors</w:t>
      </w:r>
      <w:r>
        <w:rPr>
          <w:highlight w:val="yellow"/>
        </w:rPr>
        <w:t>: Your revision lines the recovery cage with clean bedding, while the manuscript specifies paper towels. I have retained your revised version.</w:t>
      </w:r>
    </w:p>
    <w:p w14:paraId="71B491BE" w14:textId="77777777" w:rsidR="00EC4BAF" w:rsidRDefault="00EC4BAF" w:rsidP="00EC4BAF">
      <w:pPr>
        <w:pStyle w:val="ShotDescription"/>
        <w:rPr>
          <w:lang w:val="en-IN"/>
        </w:rPr>
      </w:pPr>
    </w:p>
    <w:p w14:paraId="37481C7C" w14:textId="77777777" w:rsidR="00EC4BAF" w:rsidRDefault="00EC4BAF" w:rsidP="00EC4BAF">
      <w:pPr>
        <w:pStyle w:val="ShotDescription"/>
        <w:ind w:firstLine="0"/>
        <w:rPr>
          <w:b/>
          <w:bCs/>
          <w:highlight w:val="cyan"/>
        </w:rPr>
      </w:pPr>
    </w:p>
    <w:p w14:paraId="6479A1A1" w14:textId="77777777" w:rsidR="00EC4BAF" w:rsidRDefault="00EC4BAF" w:rsidP="00EC4BAF">
      <w:pPr>
        <w:pStyle w:val="ShotDescription"/>
        <w:ind w:firstLine="0"/>
        <w:rPr>
          <w:b/>
          <w:bCs/>
          <w:highlight w:val="cyan"/>
        </w:rPr>
      </w:pPr>
      <w:r>
        <w:rPr>
          <w:b/>
          <w:bCs/>
          <w:highlight w:val="cyan"/>
        </w:rPr>
        <w:t xml:space="preserve">Authors: Do we need to state this plan? </w:t>
      </w:r>
    </w:p>
    <w:p w14:paraId="293A7C80" w14:textId="77777777" w:rsidR="00EC4BAF" w:rsidRDefault="00EC4BAF" w:rsidP="00EC4BAF">
      <w:pPr>
        <w:pStyle w:val="ShotDescription"/>
        <w:ind w:firstLine="0"/>
        <w:rPr>
          <w:lang w:val="en-IN"/>
        </w:rPr>
      </w:pPr>
      <w:r>
        <w:rPr>
          <w:b/>
          <w:bCs/>
          <w:highlight w:val="cyan"/>
        </w:rPr>
        <w:t>Injections on Days 0, 7, and 14; refraction repeated on Day 20 and axial length on Day 21.</w:t>
      </w:r>
      <w:r>
        <w:rPr>
          <w:b/>
          <w:bCs/>
          <w:highlight w:val="cyan"/>
        </w:rPr>
        <w:br/>
      </w:r>
      <w:r>
        <w:rPr>
          <w:b/>
          <w:bCs/>
          <w:highlight w:val="cyan"/>
        </w:rPr>
        <w:br/>
        <w:t>If yes, do you have a schematic or something? You can reply to this query after the shoot as well as this will NOT affect filming</w:t>
      </w:r>
    </w:p>
    <w:p w14:paraId="43C6FA44" w14:textId="77777777" w:rsidR="00EC4BAF" w:rsidRDefault="00EC4BAF" w:rsidP="00EC4BAF">
      <w:pPr>
        <w:pStyle w:val="ShotDescription"/>
        <w:rPr>
          <w:lang w:val="en-IN"/>
        </w:rPr>
      </w:pPr>
    </w:p>
    <w:p w14:paraId="437BCC48" w14:textId="77777777" w:rsidR="00EC4BAF" w:rsidRPr="000F326F" w:rsidRDefault="00EC4BAF" w:rsidP="00EC4BAF">
      <w:pPr>
        <w:pStyle w:val="ListParagraph"/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F58CE3A" w14:textId="77777777" w:rsidR="00EC4BAF" w:rsidRPr="00B07A3B" w:rsidRDefault="00EC4BAF" w:rsidP="00EC4BAF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0CEC92BD" w14:textId="77777777" w:rsidR="00EC4BAF" w:rsidRPr="00985FE6" w:rsidRDefault="00EC4BAF" w:rsidP="00EC4BAF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6AC62650" w14:textId="77777777" w:rsidR="00EC4BAF" w:rsidRPr="00985FE6" w:rsidRDefault="00EC4BAF" w:rsidP="00EC4BAF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EB8BA1B" w14:textId="77777777" w:rsidR="00EC4BAF" w:rsidRPr="004F342F" w:rsidRDefault="00EC4BAF" w:rsidP="00EC4BAF">
      <w:pPr>
        <w:pStyle w:val="Narration"/>
        <w:numPr>
          <w:ilvl w:val="1"/>
          <w:numId w:val="3"/>
        </w:numPr>
      </w:pPr>
      <w:r>
        <w:t xml:space="preserve">In rats, TGF-β1 </w:t>
      </w:r>
      <w:r>
        <w:rPr>
          <w:i/>
          <w:iCs/>
          <w:color w:val="EE0000"/>
        </w:rPr>
        <w:t>(T-G-F-</w:t>
      </w:r>
      <w:r w:rsidRPr="004F342F">
        <w:rPr>
          <w:i/>
          <w:iCs/>
          <w:color w:val="EE0000"/>
        </w:rPr>
        <w:t>Beta-One)</w:t>
      </w:r>
      <w:r w:rsidRPr="004F342F">
        <w:t xml:space="preserve">, TGF-β2 </w:t>
      </w:r>
      <w:r w:rsidRPr="004F342F">
        <w:rPr>
          <w:i/>
          <w:iCs/>
          <w:color w:val="EE0000"/>
        </w:rPr>
        <w:t>(T-G-F-Beta-Two)</w:t>
      </w:r>
      <w:r w:rsidRPr="004F342F">
        <w:t xml:space="preserve">, and TGF-β3 </w:t>
      </w:r>
      <w:r w:rsidRPr="004F342F">
        <w:rPr>
          <w:i/>
          <w:iCs/>
          <w:color w:val="EE0000"/>
        </w:rPr>
        <w:t>(T-G-F-Beta-Three)</w:t>
      </w:r>
      <w:r w:rsidRPr="004F342F">
        <w:t xml:space="preserve"> significantly increased axial elongation versus controls </w:t>
      </w:r>
      <w:r w:rsidRPr="004F342F">
        <w:rPr>
          <w:b/>
          <w:bCs/>
        </w:rPr>
        <w:t>[1]</w:t>
      </w:r>
      <w:r w:rsidRPr="004F342F">
        <w:t xml:space="preserve">, with TGF-β2 producing the greatest increase </w:t>
      </w:r>
      <w:r w:rsidRPr="004F342F">
        <w:rPr>
          <w:b/>
          <w:bCs/>
        </w:rPr>
        <w:t>[2]</w:t>
      </w:r>
      <w:r w:rsidRPr="004F342F">
        <w:t>.</w:t>
      </w:r>
    </w:p>
    <w:p w14:paraId="1FC87EFE" w14:textId="77777777" w:rsidR="00EC4BAF" w:rsidRPr="004F342F" w:rsidRDefault="00EC4BAF" w:rsidP="00EC4BAF">
      <w:pPr>
        <w:pStyle w:val="ShotDescription"/>
        <w:numPr>
          <w:ilvl w:val="2"/>
          <w:numId w:val="3"/>
        </w:numPr>
        <w:rPr>
          <w:lang w:val="en-IN"/>
        </w:rPr>
      </w:pPr>
      <w:r w:rsidRPr="004F342F">
        <w:t xml:space="preserve">LAB MEDIA: Figure 2A. </w:t>
      </w:r>
      <w:r w:rsidRPr="004F342F">
        <w:rPr>
          <w:i/>
          <w:iCs/>
          <w:color w:val="3333FF"/>
        </w:rPr>
        <w:t>Video editor: Please sequentially emphasize each bar.</w:t>
      </w:r>
    </w:p>
    <w:p w14:paraId="69BCA04D" w14:textId="77777777" w:rsidR="00EC4BAF" w:rsidRDefault="00EC4BAF" w:rsidP="00EC4BAF">
      <w:pPr>
        <w:pStyle w:val="ShotDescription"/>
        <w:numPr>
          <w:ilvl w:val="2"/>
          <w:numId w:val="3"/>
        </w:numPr>
        <w:rPr>
          <w:lang w:val="en-IN"/>
        </w:rPr>
      </w:pPr>
      <w:r w:rsidRPr="004F342F">
        <w:t xml:space="preserve">LAB MEDIA: Figure 2A. </w:t>
      </w:r>
      <w:r w:rsidRPr="004F342F">
        <w:rPr>
          <w:i/>
          <w:iCs/>
          <w:color w:val="3333FF"/>
        </w:rPr>
        <w:t>Video editor: Highlight the bar labeled ‘TGF-β2</w:t>
      </w:r>
      <w:r>
        <w:rPr>
          <w:i/>
          <w:iCs/>
          <w:color w:val="3333FF"/>
        </w:rPr>
        <w:t xml:space="preserve"> 500 pg’.</w:t>
      </w:r>
    </w:p>
    <w:p w14:paraId="045E9580" w14:textId="77777777" w:rsidR="00EC4BAF" w:rsidRDefault="00EC4BAF" w:rsidP="00EC4BAF">
      <w:pPr>
        <w:pStyle w:val="Narration"/>
        <w:ind w:firstLine="0"/>
      </w:pPr>
    </w:p>
    <w:p w14:paraId="3B99F5B7" w14:textId="77777777" w:rsidR="00EC4BAF" w:rsidRPr="003D4E3F" w:rsidRDefault="00EC4BAF" w:rsidP="00EC4BAF">
      <w:pPr>
        <w:pStyle w:val="Narration"/>
        <w:numPr>
          <w:ilvl w:val="1"/>
          <w:numId w:val="3"/>
        </w:numPr>
        <w:rPr>
          <w:b/>
          <w:bCs/>
        </w:rPr>
      </w:pPr>
      <w:r>
        <w:t xml:space="preserve">Based on the rat screening results, TGF-β2 was further evaluated in mice at 250, 375, and 500 picograms per eye </w:t>
      </w:r>
      <w:r>
        <w:rPr>
          <w:b/>
          <w:bCs/>
        </w:rPr>
        <w:t>[1]</w:t>
      </w:r>
      <w:r>
        <w:t xml:space="preserve">. An inverted U-shaped dose response was observed, with 250 picograms per eye producing the greatest axial elongation compared with vehicle controls </w:t>
      </w:r>
      <w:r>
        <w:rPr>
          <w:b/>
          <w:bCs/>
        </w:rPr>
        <w:t>[2]</w:t>
      </w:r>
      <w:r>
        <w:t>.</w:t>
      </w:r>
    </w:p>
    <w:p w14:paraId="1C743963" w14:textId="77777777" w:rsidR="00EC4BAF" w:rsidRPr="004F342F" w:rsidRDefault="00EC4BAF" w:rsidP="00EC4BAF">
      <w:pPr>
        <w:pStyle w:val="ShotDescription"/>
        <w:numPr>
          <w:ilvl w:val="2"/>
          <w:numId w:val="3"/>
        </w:numPr>
        <w:rPr>
          <w:lang w:val="en-IN"/>
        </w:rPr>
      </w:pPr>
      <w:r>
        <w:t xml:space="preserve">LAB </w:t>
      </w:r>
      <w:r w:rsidRPr="004F342F">
        <w:t xml:space="preserve">MEDIA: Figure 2B. </w:t>
      </w:r>
      <w:r w:rsidRPr="004F342F">
        <w:rPr>
          <w:i/>
          <w:iCs/>
          <w:color w:val="3333FF"/>
        </w:rPr>
        <w:t>Video editor: Please sequentially emphasize each bar.</w:t>
      </w:r>
    </w:p>
    <w:p w14:paraId="31CA3E84" w14:textId="77777777" w:rsidR="00EC4BAF" w:rsidRPr="004F342F" w:rsidRDefault="00EC4BAF" w:rsidP="00EC4BAF">
      <w:pPr>
        <w:pStyle w:val="ShotDescription"/>
        <w:numPr>
          <w:ilvl w:val="2"/>
          <w:numId w:val="3"/>
        </w:numPr>
        <w:rPr>
          <w:lang w:val="en-IN"/>
        </w:rPr>
      </w:pPr>
      <w:r w:rsidRPr="004F342F">
        <w:t xml:space="preserve">LAB MEDIA: Figure 2B. </w:t>
      </w:r>
      <w:r w:rsidRPr="004F342F">
        <w:rPr>
          <w:i/>
          <w:iCs/>
          <w:color w:val="3333FF"/>
        </w:rPr>
        <w:t>Video editor: Highlight the bar labeled ‘TGF-β2 250 pg’.</w:t>
      </w:r>
    </w:p>
    <w:p w14:paraId="36CD2698" w14:textId="77777777" w:rsidR="00EC4BAF" w:rsidRPr="004F342F" w:rsidRDefault="00EC4BAF" w:rsidP="00EC4BAF">
      <w:pPr>
        <w:pStyle w:val="ShotDescription"/>
        <w:ind w:firstLine="0"/>
        <w:rPr>
          <w:lang w:val="en-IN"/>
        </w:rPr>
      </w:pPr>
    </w:p>
    <w:p w14:paraId="774E6A7C" w14:textId="77777777" w:rsidR="00EC4BAF" w:rsidRPr="004F342F" w:rsidRDefault="00EC4BAF" w:rsidP="00EC4BAF">
      <w:pPr>
        <w:pStyle w:val="Narration"/>
        <w:numPr>
          <w:ilvl w:val="1"/>
          <w:numId w:val="3"/>
        </w:numPr>
      </w:pPr>
      <w:r w:rsidRPr="004F342F">
        <w:t xml:space="preserve">Rats receiving 500 picograms per eye TGF-β2 showed significantly greater axial elongation </w:t>
      </w:r>
      <w:r w:rsidRPr="004F342F">
        <w:rPr>
          <w:b/>
          <w:bCs/>
        </w:rPr>
        <w:t>[1]</w:t>
      </w:r>
      <w:r w:rsidRPr="004F342F">
        <w:t xml:space="preserve"> and a significant myopic refractive shift versus controls </w:t>
      </w:r>
      <w:r w:rsidRPr="004F342F">
        <w:rPr>
          <w:b/>
          <w:bCs/>
        </w:rPr>
        <w:t>[2]</w:t>
      </w:r>
      <w:r w:rsidRPr="004F342F">
        <w:t xml:space="preserve">, while mice receiving 250 picograms per eye TGF-β2 showed significantly greater axial elongation </w:t>
      </w:r>
      <w:r w:rsidRPr="004F342F">
        <w:rPr>
          <w:b/>
          <w:bCs/>
        </w:rPr>
        <w:t>[3]</w:t>
      </w:r>
      <w:r w:rsidRPr="004F342F">
        <w:t xml:space="preserve"> and a significant myopic refractive shift </w:t>
      </w:r>
      <w:r w:rsidRPr="004F342F">
        <w:rPr>
          <w:b/>
          <w:bCs/>
        </w:rPr>
        <w:t>[4]</w:t>
      </w:r>
      <w:r w:rsidRPr="004F342F">
        <w:t>.</w:t>
      </w:r>
    </w:p>
    <w:p w14:paraId="16580C03" w14:textId="77777777" w:rsidR="00EC4BAF" w:rsidRPr="004F342F" w:rsidRDefault="00EC4BAF" w:rsidP="00EC4BAF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4F342F">
        <w:t xml:space="preserve">LAB MEDIA: Figure 3A. </w:t>
      </w:r>
      <w:r w:rsidRPr="004F342F">
        <w:rPr>
          <w:i/>
          <w:iCs/>
          <w:color w:val="3333FF"/>
        </w:rPr>
        <w:t>Video editor: Highlight the bar labeled ‘Rat_TGF-β2 (500 pg)’ and compare it to ‘Rat_Control’.</w:t>
      </w:r>
    </w:p>
    <w:p w14:paraId="4AD19765" w14:textId="77777777" w:rsidR="00EC4BAF" w:rsidRPr="004F342F" w:rsidRDefault="00EC4BAF" w:rsidP="00EC4BAF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4F342F">
        <w:t xml:space="preserve">LAB MEDIA: Figure 3B. </w:t>
      </w:r>
      <w:r w:rsidRPr="004F342F">
        <w:rPr>
          <w:i/>
          <w:iCs/>
          <w:color w:val="3333FF"/>
        </w:rPr>
        <w:t>Video editor: Highlight the bar labeled ‘Rat_TGF-β2 (500 pg)’ and compare it to ‘Rat_Control’.</w:t>
      </w:r>
    </w:p>
    <w:p w14:paraId="65A9E265" w14:textId="77777777" w:rsidR="00EC4BAF" w:rsidRPr="004F342F" w:rsidRDefault="00EC4BAF" w:rsidP="00EC4BAF">
      <w:pPr>
        <w:pStyle w:val="ShotDescription"/>
        <w:numPr>
          <w:ilvl w:val="2"/>
          <w:numId w:val="3"/>
        </w:numPr>
        <w:rPr>
          <w:lang w:val="en-IN"/>
        </w:rPr>
      </w:pPr>
      <w:r w:rsidRPr="004F342F">
        <w:t xml:space="preserve">LAB MEDIA: Figure 3C. </w:t>
      </w:r>
      <w:r w:rsidRPr="004F342F">
        <w:rPr>
          <w:i/>
          <w:iCs/>
          <w:color w:val="3333FF"/>
        </w:rPr>
        <w:t>Video editor: Highlight the bar labeled ‘Mouse_TGF-β2 (250 pg)’ and compare it to ‘Mouse_Control’.</w:t>
      </w:r>
    </w:p>
    <w:p w14:paraId="415F1B53" w14:textId="77777777" w:rsidR="00EC4BAF" w:rsidRPr="004F342F" w:rsidRDefault="00EC4BAF" w:rsidP="00EC4BAF">
      <w:pPr>
        <w:pStyle w:val="ShotDescription"/>
        <w:numPr>
          <w:ilvl w:val="2"/>
          <w:numId w:val="3"/>
        </w:numPr>
        <w:rPr>
          <w:lang w:val="en-IN"/>
        </w:rPr>
      </w:pPr>
      <w:r w:rsidRPr="004F342F">
        <w:t xml:space="preserve">LAB MEDIA: Figure 3D. </w:t>
      </w:r>
      <w:r w:rsidRPr="004F342F">
        <w:rPr>
          <w:i/>
          <w:iCs/>
          <w:color w:val="3333FF"/>
        </w:rPr>
        <w:t>Video editor: Highlight the bar labeled ‘Mouse_TGF-β2 (250 pg)’ and compare it to ‘Mouse_Control’.</w:t>
      </w:r>
    </w:p>
    <w:p w14:paraId="78A828CC" w14:textId="77777777" w:rsidR="00EC4BAF" w:rsidRDefault="00EC4BAF" w:rsidP="00EC4BAF">
      <w:pPr>
        <w:pStyle w:val="ShotDescription"/>
        <w:rPr>
          <w:lang w:val="en-IN"/>
        </w:rPr>
      </w:pPr>
    </w:p>
    <w:p w14:paraId="66321EA8" w14:textId="77777777" w:rsidR="00EC4BAF" w:rsidRPr="004F342F" w:rsidRDefault="00EC4BAF" w:rsidP="00EC4BAF">
      <w:pPr>
        <w:pStyle w:val="Narration"/>
        <w:numPr>
          <w:ilvl w:val="1"/>
          <w:numId w:val="3"/>
        </w:numPr>
      </w:pPr>
      <w:r w:rsidRPr="004F342F">
        <w:t xml:space="preserve">At Day 21, 500 picograms per eye TGF-β2 significantly increased matrix metalloproteinase 2, or MMP2 </w:t>
      </w:r>
      <w:r w:rsidRPr="004F342F">
        <w:rPr>
          <w:i/>
          <w:iCs/>
          <w:color w:val="EE0000"/>
        </w:rPr>
        <w:t>(M-M-P-Two)</w:t>
      </w:r>
      <w:r w:rsidRPr="004F342F">
        <w:t xml:space="preserve">, protein levels within the rat scleral stroma compared with vehicle controls </w:t>
      </w:r>
      <w:r w:rsidRPr="004F342F">
        <w:rPr>
          <w:b/>
          <w:bCs/>
        </w:rPr>
        <w:t>[1]</w:t>
      </w:r>
      <w:r w:rsidRPr="004F342F">
        <w:t>.</w:t>
      </w:r>
    </w:p>
    <w:p w14:paraId="2BCEF94F" w14:textId="77777777" w:rsidR="00EC4BAF" w:rsidRPr="004F342F" w:rsidRDefault="00EC4BAF" w:rsidP="00EC4BAF">
      <w:pPr>
        <w:pStyle w:val="ShotDescription"/>
        <w:numPr>
          <w:ilvl w:val="2"/>
          <w:numId w:val="3"/>
        </w:numPr>
        <w:rPr>
          <w:lang w:val="en-IN"/>
        </w:rPr>
      </w:pPr>
      <w:r w:rsidRPr="004F342F">
        <w:t xml:space="preserve">LAB MEDIA: Figure 4A, B. </w:t>
      </w:r>
      <w:r w:rsidRPr="004F342F">
        <w:rPr>
          <w:i/>
          <w:iCs/>
          <w:color w:val="3333FF"/>
        </w:rPr>
        <w:t>Video editor: Highlight the lower row of Figure 4A, labeled ‘TGF-β2’, and the green bar in Figure 4B.</w:t>
      </w:r>
    </w:p>
    <w:p w14:paraId="3E3F2337" w14:textId="77777777" w:rsidR="00EC4BAF" w:rsidRPr="004F342F" w:rsidRDefault="00EC4BAF" w:rsidP="00EC4BAF">
      <w:pPr>
        <w:pStyle w:val="ShotDescription"/>
        <w:ind w:firstLine="0"/>
        <w:rPr>
          <w:lang w:val="en-IN"/>
        </w:rPr>
      </w:pPr>
    </w:p>
    <w:p w14:paraId="1736D4D1" w14:textId="77777777" w:rsidR="00EC4BAF" w:rsidRPr="004F342F" w:rsidRDefault="00EC4BAF" w:rsidP="00EC4BAF">
      <w:pPr>
        <w:pStyle w:val="Narration"/>
        <w:numPr>
          <w:ilvl w:val="1"/>
          <w:numId w:val="3"/>
        </w:numPr>
      </w:pPr>
      <w:r w:rsidRPr="004F342F">
        <w:t xml:space="preserve">In rat retinas, 500 picograms per eye TGF-β2 significantly increased TGF-β2, MMP2, NOD-like receptor protein 3, or NLRP3 </w:t>
      </w:r>
      <w:r w:rsidRPr="004F342F">
        <w:rPr>
          <w:i/>
          <w:iCs/>
          <w:color w:val="EE0000"/>
        </w:rPr>
        <w:t>(N-L-R-P-Three)</w:t>
      </w:r>
      <w:r w:rsidRPr="004F342F">
        <w:t xml:space="preserve">, and interleukin 1 beta, or IL-1β </w:t>
      </w:r>
      <w:r w:rsidRPr="004F342F">
        <w:rPr>
          <w:i/>
          <w:iCs/>
          <w:color w:val="EE0000"/>
        </w:rPr>
        <w:t>(I-L-One-Beta)</w:t>
      </w:r>
      <w:r w:rsidRPr="004F342F">
        <w:t xml:space="preserve">, expression </w:t>
      </w:r>
      <w:r w:rsidRPr="004F342F">
        <w:rPr>
          <w:b/>
          <w:bCs/>
        </w:rPr>
        <w:t>[1]</w:t>
      </w:r>
      <w:r w:rsidRPr="004F342F">
        <w:t xml:space="preserve">. In mouse retinas, 250 picograms per eye TGF-β2 significantly increased the same 4 proteins </w:t>
      </w:r>
      <w:r w:rsidRPr="004F342F">
        <w:rPr>
          <w:b/>
          <w:bCs/>
        </w:rPr>
        <w:t>[2]</w:t>
      </w:r>
      <w:r w:rsidRPr="004F342F">
        <w:t>.</w:t>
      </w:r>
    </w:p>
    <w:p w14:paraId="2D8F159E" w14:textId="77777777" w:rsidR="00EC4BAF" w:rsidRPr="004F342F" w:rsidRDefault="00EC4BAF" w:rsidP="00EC4BAF">
      <w:pPr>
        <w:pStyle w:val="ShotDescription"/>
        <w:numPr>
          <w:ilvl w:val="2"/>
          <w:numId w:val="3"/>
        </w:numPr>
        <w:rPr>
          <w:lang w:val="en-IN"/>
        </w:rPr>
      </w:pPr>
      <w:r w:rsidRPr="004F342F">
        <w:t xml:space="preserve">LAB MEDIA: Figure 5A-E. </w:t>
      </w:r>
      <w:r w:rsidRPr="004F342F">
        <w:rPr>
          <w:i/>
          <w:iCs/>
          <w:color w:val="3333FF"/>
        </w:rPr>
        <w:t>Video editor: Please emphasize the green bars in Figure 5E.</w:t>
      </w:r>
    </w:p>
    <w:p w14:paraId="653D1102" w14:textId="77777777" w:rsidR="00EC4BAF" w:rsidRPr="004F342F" w:rsidRDefault="00EC4BAF" w:rsidP="00EC4BAF">
      <w:pPr>
        <w:pStyle w:val="ShotDescription"/>
        <w:numPr>
          <w:ilvl w:val="2"/>
          <w:numId w:val="3"/>
        </w:numPr>
        <w:rPr>
          <w:lang w:val="en-IN"/>
        </w:rPr>
      </w:pPr>
      <w:r w:rsidRPr="004F342F">
        <w:t xml:space="preserve">LAB MEDIA: Figure 5A-D, F. </w:t>
      </w:r>
      <w:r w:rsidRPr="004F342F">
        <w:rPr>
          <w:i/>
          <w:iCs/>
          <w:color w:val="3333FF"/>
        </w:rPr>
        <w:t>Video editor: Please emphasize the light-blue bars in Figure 5F.</w:t>
      </w:r>
    </w:p>
    <w:p w14:paraId="72C265EC" w14:textId="77777777" w:rsidR="00EC4BAF" w:rsidRDefault="00EC4BAF" w:rsidP="00EC4BAF">
      <w:pPr>
        <w:pStyle w:val="ShotDescription"/>
        <w:rPr>
          <w:lang w:val="en-IN"/>
        </w:rPr>
      </w:pPr>
    </w:p>
    <w:p w14:paraId="10C7DE25" w14:textId="1335C8DE" w:rsidR="00C823D5" w:rsidRPr="004B1BE4" w:rsidRDefault="00C823D5" w:rsidP="004B1BE4">
      <w:pPr>
        <w:spacing w:before="120"/>
        <w:ind w:left="360"/>
      </w:pPr>
    </w:p>
    <w:sectPr w:rsidR="00C823D5" w:rsidRPr="004B1BE4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1" w:author="Poornima  G" w:date="2026-09-25T14:16:00Z" w:initials="PG">
    <w:p w14:paraId="26CCF3AA" w14:textId="77777777" w:rsidR="00EC4BAF" w:rsidRDefault="00EC4BAF" w:rsidP="006B100D">
      <w:r>
        <w:rPr>
          <w:rStyle w:val="CommentReference"/>
        </w:rPr>
        <w:annotationRef/>
      </w:r>
      <w:r>
        <w:rPr>
          <w:highlight w:val="yellow"/>
          <w:lang w:val="x-none" w:eastAsia="x-none"/>
        </w:rPr>
        <w:t>Authors: Please revise this as per the following new version of the script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26CCF3A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1FD97CCF" w16cex:dateUtc="2026-09-25T08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26CCF3AA" w16cid:durableId="1FD97CC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AC40FB9" w14:textId="77777777" w:rsidR="007E7265" w:rsidRDefault="007E7265">
      <w:r>
        <w:separator/>
      </w:r>
    </w:p>
    <w:p w14:paraId="2E9C19AE" w14:textId="77777777" w:rsidR="007E7265" w:rsidRDefault="007E7265"/>
  </w:endnote>
  <w:endnote w:type="continuationSeparator" w:id="0">
    <w:p w14:paraId="39D087A6" w14:textId="77777777" w:rsidR="007E7265" w:rsidRDefault="007E7265">
      <w:r>
        <w:continuationSeparator/>
      </w:r>
    </w:p>
    <w:p w14:paraId="0FF0CEF6" w14:textId="77777777" w:rsidR="007E7265" w:rsidRDefault="007E72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SimSu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20B0604020202020204"/>
    <w:charset w:val="00"/>
    <w:family w:val="roman"/>
    <w:pitch w:val="default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eiryo">
    <w:altName w:val="メイリオ"/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6ABD70" w14:textId="30BC95A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C4BA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AD190C">
      <w:rPr>
        <w:rFonts w:cstheme="minorHAnsi"/>
      </w:rPr>
      <w:t xml:space="preserve">September </w:t>
    </w:r>
    <w:r w:rsidR="00EC4BAF">
      <w:rPr>
        <w:rFonts w:cstheme="minorHAnsi"/>
      </w:rPr>
      <w:t>24</w:t>
    </w:r>
    <w:r w:rsidR="00AD190C">
      <w:rPr>
        <w:rFonts w:cstheme="minorHAnsi"/>
      </w:rPr>
      <w:t>, 2026</w:t>
    </w:r>
    <w:r w:rsidR="00AD190C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B23CFB2" w14:textId="77777777" w:rsidR="007E7265" w:rsidRDefault="007E7265">
      <w:r>
        <w:separator/>
      </w:r>
    </w:p>
    <w:p w14:paraId="07E3CAE4" w14:textId="77777777" w:rsidR="007E7265" w:rsidRDefault="007E7265"/>
  </w:footnote>
  <w:footnote w:type="continuationSeparator" w:id="0">
    <w:p w14:paraId="03A466CC" w14:textId="77777777" w:rsidR="007E7265" w:rsidRDefault="007E7265">
      <w:r>
        <w:continuationSeparator/>
      </w:r>
    </w:p>
    <w:p w14:paraId="55085229" w14:textId="77777777" w:rsidR="007E7265" w:rsidRDefault="007E726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8024144" w14:textId="67F1BACD" w:rsidR="00336C61" w:rsidRPr="006D3AC7" w:rsidRDefault="00336C61" w:rsidP="00AD190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569711236" name="Picture 15697112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r w:rsidR="00AD190C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5911B4"/>
    <w:multiLevelType w:val="hybridMultilevel"/>
    <w:tmpl w:val="E69EDD9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4827085">
    <w:abstractNumId w:val="35"/>
  </w:num>
  <w:num w:numId="2" w16cid:durableId="506865907">
    <w:abstractNumId w:val="37"/>
  </w:num>
  <w:num w:numId="3" w16cid:durableId="1345980061">
    <w:abstractNumId w:val="36"/>
  </w:num>
  <w:num w:numId="4" w16cid:durableId="157578840">
    <w:abstractNumId w:val="27"/>
  </w:num>
  <w:num w:numId="5" w16cid:durableId="959147481">
    <w:abstractNumId w:val="13"/>
  </w:num>
  <w:num w:numId="6" w16cid:durableId="104234691">
    <w:abstractNumId w:val="30"/>
  </w:num>
  <w:num w:numId="7" w16cid:durableId="35279523">
    <w:abstractNumId w:val="39"/>
  </w:num>
  <w:num w:numId="8" w16cid:durableId="1762070581">
    <w:abstractNumId w:val="11"/>
  </w:num>
  <w:num w:numId="9" w16cid:durableId="123930666">
    <w:abstractNumId w:val="16"/>
  </w:num>
  <w:num w:numId="10" w16cid:durableId="1915507834">
    <w:abstractNumId w:val="24"/>
  </w:num>
  <w:num w:numId="11" w16cid:durableId="69168488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63658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8711739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7075448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3557175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9249150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8018757">
    <w:abstractNumId w:val="34"/>
  </w:num>
  <w:num w:numId="18" w16cid:durableId="671032997">
    <w:abstractNumId w:val="28"/>
  </w:num>
  <w:num w:numId="19" w16cid:durableId="367729514">
    <w:abstractNumId w:val="26"/>
  </w:num>
  <w:num w:numId="20" w16cid:durableId="814878457">
    <w:abstractNumId w:val="19"/>
  </w:num>
  <w:num w:numId="21" w16cid:durableId="1343509515">
    <w:abstractNumId w:val="18"/>
  </w:num>
  <w:num w:numId="22" w16cid:durableId="1571886576">
    <w:abstractNumId w:val="10"/>
  </w:num>
  <w:num w:numId="23" w16cid:durableId="453869180">
    <w:abstractNumId w:val="15"/>
  </w:num>
  <w:num w:numId="24" w16cid:durableId="1595017836">
    <w:abstractNumId w:val="31"/>
  </w:num>
  <w:num w:numId="25" w16cid:durableId="1193493435">
    <w:abstractNumId w:val="12"/>
  </w:num>
  <w:num w:numId="26" w16cid:durableId="1991206753">
    <w:abstractNumId w:val="25"/>
  </w:num>
  <w:num w:numId="27" w16cid:durableId="2106681205">
    <w:abstractNumId w:val="21"/>
  </w:num>
  <w:num w:numId="28" w16cid:durableId="1032808373">
    <w:abstractNumId w:val="9"/>
  </w:num>
  <w:num w:numId="29" w16cid:durableId="1466115869">
    <w:abstractNumId w:val="7"/>
  </w:num>
  <w:num w:numId="30" w16cid:durableId="1880971308">
    <w:abstractNumId w:val="6"/>
  </w:num>
  <w:num w:numId="31" w16cid:durableId="83454932">
    <w:abstractNumId w:val="5"/>
  </w:num>
  <w:num w:numId="32" w16cid:durableId="1904564159">
    <w:abstractNumId w:val="4"/>
  </w:num>
  <w:num w:numId="33" w16cid:durableId="1637950893">
    <w:abstractNumId w:val="8"/>
  </w:num>
  <w:num w:numId="34" w16cid:durableId="1961178817">
    <w:abstractNumId w:val="3"/>
  </w:num>
  <w:num w:numId="35" w16cid:durableId="1035884922">
    <w:abstractNumId w:val="2"/>
  </w:num>
  <w:num w:numId="36" w16cid:durableId="1768308711">
    <w:abstractNumId w:val="1"/>
  </w:num>
  <w:num w:numId="37" w16cid:durableId="1763260198">
    <w:abstractNumId w:val="0"/>
  </w:num>
  <w:num w:numId="38" w16cid:durableId="855314476">
    <w:abstractNumId w:val="14"/>
  </w:num>
  <w:num w:numId="39" w16cid:durableId="742222159">
    <w:abstractNumId w:val="38"/>
  </w:num>
  <w:num w:numId="40" w16cid:durableId="661274987">
    <w:abstractNumId w:val="20"/>
  </w:num>
  <w:num w:numId="41" w16cid:durableId="451368999">
    <w:abstractNumId w:val="22"/>
  </w:num>
  <w:num w:numId="42" w16cid:durableId="1147741430">
    <w:abstractNumId w:val="29"/>
  </w:num>
  <w:num w:numId="43" w16cid:durableId="1003825577">
    <w:abstractNumId w:val="17"/>
  </w:num>
  <w:num w:numId="44" w16cid:durableId="1639064266">
    <w:abstractNumId w:val="23"/>
  </w:num>
  <w:num w:numId="45" w16cid:durableId="1575778607">
    <w:abstractNumId w:val="32"/>
  </w:num>
  <w:num w:numId="46" w16cid:durableId="2073313317">
    <w:abstractNumId w:val="3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9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4C9A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7005"/>
    <w:rsid w:val="000F05F6"/>
    <w:rsid w:val="000F0F14"/>
    <w:rsid w:val="000F105C"/>
    <w:rsid w:val="000F1A61"/>
    <w:rsid w:val="000F2956"/>
    <w:rsid w:val="000F326F"/>
    <w:rsid w:val="000F5D09"/>
    <w:rsid w:val="001016BD"/>
    <w:rsid w:val="001026D1"/>
    <w:rsid w:val="00103EB4"/>
    <w:rsid w:val="001052C8"/>
    <w:rsid w:val="00105E93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85DBA"/>
    <w:rsid w:val="00191A77"/>
    <w:rsid w:val="00194DBB"/>
    <w:rsid w:val="0019607C"/>
    <w:rsid w:val="0019635A"/>
    <w:rsid w:val="00197875"/>
    <w:rsid w:val="001A0411"/>
    <w:rsid w:val="001B2B18"/>
    <w:rsid w:val="001B3024"/>
    <w:rsid w:val="001B5C46"/>
    <w:rsid w:val="001B79AD"/>
    <w:rsid w:val="001C3C85"/>
    <w:rsid w:val="001C5DB5"/>
    <w:rsid w:val="001C7BBC"/>
    <w:rsid w:val="001D621E"/>
    <w:rsid w:val="001D66A5"/>
    <w:rsid w:val="001D6C62"/>
    <w:rsid w:val="001D705B"/>
    <w:rsid w:val="001E2225"/>
    <w:rsid w:val="001E230F"/>
    <w:rsid w:val="001E52A3"/>
    <w:rsid w:val="001F0890"/>
    <w:rsid w:val="001F615E"/>
    <w:rsid w:val="00213342"/>
    <w:rsid w:val="00214268"/>
    <w:rsid w:val="002152AB"/>
    <w:rsid w:val="00226089"/>
    <w:rsid w:val="00231F0D"/>
    <w:rsid w:val="002328F8"/>
    <w:rsid w:val="002422D6"/>
    <w:rsid w:val="00244CDB"/>
    <w:rsid w:val="00247BFF"/>
    <w:rsid w:val="0025310D"/>
    <w:rsid w:val="002531A2"/>
    <w:rsid w:val="00253B81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64AA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1FBF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75A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50F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E331B"/>
    <w:rsid w:val="003F38EE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47E6A"/>
    <w:rsid w:val="00450B27"/>
    <w:rsid w:val="00452194"/>
    <w:rsid w:val="00453116"/>
    <w:rsid w:val="00454D14"/>
    <w:rsid w:val="00455510"/>
    <w:rsid w:val="00455638"/>
    <w:rsid w:val="004566CC"/>
    <w:rsid w:val="00456A5D"/>
    <w:rsid w:val="0046279E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7A5D"/>
    <w:rsid w:val="00491B01"/>
    <w:rsid w:val="00493A57"/>
    <w:rsid w:val="00495959"/>
    <w:rsid w:val="004A72BD"/>
    <w:rsid w:val="004B1BE4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16043"/>
    <w:rsid w:val="0052184A"/>
    <w:rsid w:val="00524258"/>
    <w:rsid w:val="00530DD9"/>
    <w:rsid w:val="005320E4"/>
    <w:rsid w:val="0053230A"/>
    <w:rsid w:val="00534B83"/>
    <w:rsid w:val="00535160"/>
    <w:rsid w:val="005363E2"/>
    <w:rsid w:val="00536D89"/>
    <w:rsid w:val="00544E06"/>
    <w:rsid w:val="005463CB"/>
    <w:rsid w:val="00547699"/>
    <w:rsid w:val="00554F0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4D2B"/>
    <w:rsid w:val="005B6859"/>
    <w:rsid w:val="005C2915"/>
    <w:rsid w:val="005C53CF"/>
    <w:rsid w:val="005C6D1E"/>
    <w:rsid w:val="005D0E9C"/>
    <w:rsid w:val="005D0EFA"/>
    <w:rsid w:val="005D0F8B"/>
    <w:rsid w:val="005D2CA3"/>
    <w:rsid w:val="005D783F"/>
    <w:rsid w:val="005E1ACC"/>
    <w:rsid w:val="005E27DD"/>
    <w:rsid w:val="005E2B7E"/>
    <w:rsid w:val="005E5F20"/>
    <w:rsid w:val="005F0509"/>
    <w:rsid w:val="005F18A3"/>
    <w:rsid w:val="005F1ADF"/>
    <w:rsid w:val="005F5C0C"/>
    <w:rsid w:val="00604177"/>
    <w:rsid w:val="00612101"/>
    <w:rsid w:val="006137EC"/>
    <w:rsid w:val="00615AA0"/>
    <w:rsid w:val="006174E2"/>
    <w:rsid w:val="00621081"/>
    <w:rsid w:val="00622BE8"/>
    <w:rsid w:val="00626AF2"/>
    <w:rsid w:val="006335A3"/>
    <w:rsid w:val="006346FE"/>
    <w:rsid w:val="00637544"/>
    <w:rsid w:val="006402D4"/>
    <w:rsid w:val="006408EA"/>
    <w:rsid w:val="006446A3"/>
    <w:rsid w:val="00645A61"/>
    <w:rsid w:val="00645B93"/>
    <w:rsid w:val="00646050"/>
    <w:rsid w:val="00652165"/>
    <w:rsid w:val="006533AB"/>
    <w:rsid w:val="00654735"/>
    <w:rsid w:val="006556DE"/>
    <w:rsid w:val="00655C6D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051A"/>
    <w:rsid w:val="00681C47"/>
    <w:rsid w:val="006830D0"/>
    <w:rsid w:val="0069665E"/>
    <w:rsid w:val="006A0250"/>
    <w:rsid w:val="006A0AFD"/>
    <w:rsid w:val="006A110F"/>
    <w:rsid w:val="006A14A2"/>
    <w:rsid w:val="006A1B4F"/>
    <w:rsid w:val="006A21CB"/>
    <w:rsid w:val="006A32B3"/>
    <w:rsid w:val="006A6324"/>
    <w:rsid w:val="006A7D9E"/>
    <w:rsid w:val="006B15E2"/>
    <w:rsid w:val="006B205A"/>
    <w:rsid w:val="006B2573"/>
    <w:rsid w:val="006B48F0"/>
    <w:rsid w:val="006B5F4E"/>
    <w:rsid w:val="006B7108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4327"/>
    <w:rsid w:val="0076691B"/>
    <w:rsid w:val="0077071A"/>
    <w:rsid w:val="00772380"/>
    <w:rsid w:val="00772548"/>
    <w:rsid w:val="00776C6F"/>
    <w:rsid w:val="00777388"/>
    <w:rsid w:val="00785075"/>
    <w:rsid w:val="007908E2"/>
    <w:rsid w:val="00790E8C"/>
    <w:rsid w:val="007A149A"/>
    <w:rsid w:val="007A4E1D"/>
    <w:rsid w:val="007B0FBB"/>
    <w:rsid w:val="007B3E0E"/>
    <w:rsid w:val="007B72C5"/>
    <w:rsid w:val="007D4222"/>
    <w:rsid w:val="007D61A8"/>
    <w:rsid w:val="007D6817"/>
    <w:rsid w:val="007E3966"/>
    <w:rsid w:val="007E7265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437E"/>
    <w:rsid w:val="0084482C"/>
    <w:rsid w:val="008459FC"/>
    <w:rsid w:val="00851B3E"/>
    <w:rsid w:val="00851C4B"/>
    <w:rsid w:val="00854994"/>
    <w:rsid w:val="00860BC3"/>
    <w:rsid w:val="00866791"/>
    <w:rsid w:val="008672DA"/>
    <w:rsid w:val="00871F2E"/>
    <w:rsid w:val="00873D1A"/>
    <w:rsid w:val="00875BE8"/>
    <w:rsid w:val="00877B88"/>
    <w:rsid w:val="0088113B"/>
    <w:rsid w:val="00892E68"/>
    <w:rsid w:val="0089568B"/>
    <w:rsid w:val="008A00F0"/>
    <w:rsid w:val="008A0177"/>
    <w:rsid w:val="008A413E"/>
    <w:rsid w:val="008A4368"/>
    <w:rsid w:val="008A7A3E"/>
    <w:rsid w:val="008C642C"/>
    <w:rsid w:val="008D0E4A"/>
    <w:rsid w:val="008D2A6A"/>
    <w:rsid w:val="008D52FB"/>
    <w:rsid w:val="008D5443"/>
    <w:rsid w:val="008D58EC"/>
    <w:rsid w:val="008E4564"/>
    <w:rsid w:val="008E6510"/>
    <w:rsid w:val="008E74F7"/>
    <w:rsid w:val="008F239E"/>
    <w:rsid w:val="008F301B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7657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7A82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61A4"/>
    <w:rsid w:val="009E7BDA"/>
    <w:rsid w:val="009F0554"/>
    <w:rsid w:val="009F356C"/>
    <w:rsid w:val="009F51F2"/>
    <w:rsid w:val="00A0160C"/>
    <w:rsid w:val="00A07468"/>
    <w:rsid w:val="00A13CC3"/>
    <w:rsid w:val="00A15216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0AA8"/>
    <w:rsid w:val="00A622CC"/>
    <w:rsid w:val="00A64D8E"/>
    <w:rsid w:val="00A72FC5"/>
    <w:rsid w:val="00A730E3"/>
    <w:rsid w:val="00A77CF6"/>
    <w:rsid w:val="00A84BA8"/>
    <w:rsid w:val="00A84C50"/>
    <w:rsid w:val="00A91283"/>
    <w:rsid w:val="00A95BD7"/>
    <w:rsid w:val="00AA132F"/>
    <w:rsid w:val="00AA2236"/>
    <w:rsid w:val="00AB3338"/>
    <w:rsid w:val="00AB7E2B"/>
    <w:rsid w:val="00AC16C3"/>
    <w:rsid w:val="00AC4231"/>
    <w:rsid w:val="00AC597A"/>
    <w:rsid w:val="00AC5EF4"/>
    <w:rsid w:val="00AC63FC"/>
    <w:rsid w:val="00AD190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5C95"/>
    <w:rsid w:val="00B17312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0A74"/>
    <w:rsid w:val="00BA2EF5"/>
    <w:rsid w:val="00BB27C1"/>
    <w:rsid w:val="00BC01E5"/>
    <w:rsid w:val="00BC3F28"/>
    <w:rsid w:val="00BC6DA7"/>
    <w:rsid w:val="00BC7E90"/>
    <w:rsid w:val="00BD4346"/>
    <w:rsid w:val="00BE051D"/>
    <w:rsid w:val="00BE300B"/>
    <w:rsid w:val="00BE679C"/>
    <w:rsid w:val="00BE756D"/>
    <w:rsid w:val="00BF21DE"/>
    <w:rsid w:val="00BF2674"/>
    <w:rsid w:val="00BF2B34"/>
    <w:rsid w:val="00BF3754"/>
    <w:rsid w:val="00BF5F55"/>
    <w:rsid w:val="00C00198"/>
    <w:rsid w:val="00C00F3F"/>
    <w:rsid w:val="00C035C7"/>
    <w:rsid w:val="00C058AE"/>
    <w:rsid w:val="00C12062"/>
    <w:rsid w:val="00C260A1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3D5"/>
    <w:rsid w:val="00C82679"/>
    <w:rsid w:val="00C82857"/>
    <w:rsid w:val="00C836F3"/>
    <w:rsid w:val="00C90658"/>
    <w:rsid w:val="00C9250E"/>
    <w:rsid w:val="00C931BB"/>
    <w:rsid w:val="00C96FC6"/>
    <w:rsid w:val="00C97B11"/>
    <w:rsid w:val="00CA41E4"/>
    <w:rsid w:val="00CB039A"/>
    <w:rsid w:val="00CB0B79"/>
    <w:rsid w:val="00CB5DE5"/>
    <w:rsid w:val="00CB6DC7"/>
    <w:rsid w:val="00CB7F54"/>
    <w:rsid w:val="00CC056B"/>
    <w:rsid w:val="00CC0C58"/>
    <w:rsid w:val="00CC1850"/>
    <w:rsid w:val="00CC213D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E7294"/>
    <w:rsid w:val="00CF2130"/>
    <w:rsid w:val="00CF22F6"/>
    <w:rsid w:val="00CF2C73"/>
    <w:rsid w:val="00CF6830"/>
    <w:rsid w:val="00CF771C"/>
    <w:rsid w:val="00D00CA2"/>
    <w:rsid w:val="00D00EF4"/>
    <w:rsid w:val="00D041EC"/>
    <w:rsid w:val="00D05623"/>
    <w:rsid w:val="00D05C4E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113D"/>
    <w:rsid w:val="00D83E16"/>
    <w:rsid w:val="00D87F73"/>
    <w:rsid w:val="00D93499"/>
    <w:rsid w:val="00D94887"/>
    <w:rsid w:val="00D95C4C"/>
    <w:rsid w:val="00DA117F"/>
    <w:rsid w:val="00DA17FB"/>
    <w:rsid w:val="00DA4A78"/>
    <w:rsid w:val="00DB16A4"/>
    <w:rsid w:val="00DB3580"/>
    <w:rsid w:val="00DB7EBA"/>
    <w:rsid w:val="00DC058D"/>
    <w:rsid w:val="00DC0F13"/>
    <w:rsid w:val="00DC1E10"/>
    <w:rsid w:val="00DC2504"/>
    <w:rsid w:val="00DC311D"/>
    <w:rsid w:val="00DC44E8"/>
    <w:rsid w:val="00DC7C84"/>
    <w:rsid w:val="00DC7D3A"/>
    <w:rsid w:val="00DD147A"/>
    <w:rsid w:val="00DD1839"/>
    <w:rsid w:val="00DD231A"/>
    <w:rsid w:val="00DD2719"/>
    <w:rsid w:val="00DD2CF9"/>
    <w:rsid w:val="00DE0E89"/>
    <w:rsid w:val="00DE2554"/>
    <w:rsid w:val="00DE2882"/>
    <w:rsid w:val="00DE46DB"/>
    <w:rsid w:val="00DE55C8"/>
    <w:rsid w:val="00DE66F3"/>
    <w:rsid w:val="00DF0865"/>
    <w:rsid w:val="00DF1693"/>
    <w:rsid w:val="00DF307B"/>
    <w:rsid w:val="00DF4C61"/>
    <w:rsid w:val="00DF6EE3"/>
    <w:rsid w:val="00E04EFB"/>
    <w:rsid w:val="00E068CA"/>
    <w:rsid w:val="00E072C2"/>
    <w:rsid w:val="00E10DF3"/>
    <w:rsid w:val="00E14DB4"/>
    <w:rsid w:val="00E16307"/>
    <w:rsid w:val="00E20E96"/>
    <w:rsid w:val="00E24673"/>
    <w:rsid w:val="00E24898"/>
    <w:rsid w:val="00E27EF5"/>
    <w:rsid w:val="00E31512"/>
    <w:rsid w:val="00E345AC"/>
    <w:rsid w:val="00E355EE"/>
    <w:rsid w:val="00E35FB3"/>
    <w:rsid w:val="00E44C46"/>
    <w:rsid w:val="00E4663E"/>
    <w:rsid w:val="00E514F0"/>
    <w:rsid w:val="00E52377"/>
    <w:rsid w:val="00E55496"/>
    <w:rsid w:val="00E55F56"/>
    <w:rsid w:val="00E56C8C"/>
    <w:rsid w:val="00E65758"/>
    <w:rsid w:val="00E662CA"/>
    <w:rsid w:val="00E66975"/>
    <w:rsid w:val="00E73CBB"/>
    <w:rsid w:val="00E8076C"/>
    <w:rsid w:val="00E86E4B"/>
    <w:rsid w:val="00E87DA4"/>
    <w:rsid w:val="00E87F1D"/>
    <w:rsid w:val="00EA15F6"/>
    <w:rsid w:val="00EA20E5"/>
    <w:rsid w:val="00EA2756"/>
    <w:rsid w:val="00EA341C"/>
    <w:rsid w:val="00EA4B94"/>
    <w:rsid w:val="00EA60D4"/>
    <w:rsid w:val="00EB1186"/>
    <w:rsid w:val="00EB7FB3"/>
    <w:rsid w:val="00EC098C"/>
    <w:rsid w:val="00EC3C46"/>
    <w:rsid w:val="00EC4BAF"/>
    <w:rsid w:val="00EC69FF"/>
    <w:rsid w:val="00ED00F1"/>
    <w:rsid w:val="00ED23F4"/>
    <w:rsid w:val="00ED2FBA"/>
    <w:rsid w:val="00ED592D"/>
    <w:rsid w:val="00ED6438"/>
    <w:rsid w:val="00EE00CF"/>
    <w:rsid w:val="00EE1E2F"/>
    <w:rsid w:val="00EE1E6D"/>
    <w:rsid w:val="00EE39ED"/>
    <w:rsid w:val="00EE4460"/>
    <w:rsid w:val="00EE6470"/>
    <w:rsid w:val="00EF4E2B"/>
    <w:rsid w:val="00F02831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02FA"/>
    <w:rsid w:val="00F22F5E"/>
    <w:rsid w:val="00F3061E"/>
    <w:rsid w:val="00F35094"/>
    <w:rsid w:val="00F35B29"/>
    <w:rsid w:val="00F3618A"/>
    <w:rsid w:val="00F4412A"/>
    <w:rsid w:val="00F54B19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2F3E"/>
    <w:rsid w:val="00F83448"/>
    <w:rsid w:val="00F86CBB"/>
    <w:rsid w:val="00F917CF"/>
    <w:rsid w:val="00F95E8D"/>
    <w:rsid w:val="00FA1A9D"/>
    <w:rsid w:val="00FA532D"/>
    <w:rsid w:val="00FA7A79"/>
    <w:rsid w:val="00FA7D51"/>
    <w:rsid w:val="00FA7DC5"/>
    <w:rsid w:val="00FB3077"/>
    <w:rsid w:val="00FC5752"/>
    <w:rsid w:val="00FD00B1"/>
    <w:rsid w:val="00FD1497"/>
    <w:rsid w:val="00FD2B9E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link w:val="Heading2Char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Heading2Char">
    <w:name w:val="Heading 2 Char"/>
    <w:basedOn w:val="DefaultParagraphFont"/>
    <w:link w:val="Heading2"/>
    <w:rsid w:val="00C823D5"/>
    <w:rPr>
      <w:rFonts w:eastAsia="Times New Roman" w:cs="Calibri"/>
      <w:bCs/>
      <w:sz w:val="52"/>
      <w:szCs w:val="52"/>
    </w:rPr>
  </w:style>
  <w:style w:type="paragraph" w:customStyle="1" w:styleId="p1">
    <w:name w:val="p1"/>
    <w:basedOn w:val="Normal"/>
    <w:rsid w:val="00EC4BAF"/>
    <w:rPr>
      <w:rFonts w:ascii="Times New Roman" w:eastAsia="PMingLiU" w:hAnsi="Times New Roman" w:cs="Times New Roman"/>
      <w:color w:val="353535"/>
      <w:sz w:val="18"/>
      <w:szCs w:val="18"/>
      <w:lang w:eastAsia="zh-TW"/>
    </w:rPr>
  </w:style>
  <w:style w:type="paragraph" w:customStyle="1" w:styleId="Narration">
    <w:name w:val="Narration"/>
    <w:basedOn w:val="Normal"/>
    <w:link w:val="NarrationChar"/>
    <w:qFormat/>
    <w:rsid w:val="00EC4BAF"/>
    <w:pPr>
      <w:widowControl w:val="0"/>
      <w:spacing w:before="120"/>
      <w:ind w:left="907" w:hanging="547"/>
      <w:jc w:val="both"/>
    </w:pPr>
    <w:rPr>
      <w:rFonts w:ascii="Calibri" w:eastAsia="PMingLiU" w:hAnsi="Calibri"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EC4BAF"/>
    <w:rPr>
      <w:rFonts w:ascii="Calibri" w:eastAsia="PMingLiU" w:hAnsi="Calibri" w:cs="Calibri"/>
      <w:color w:val="7030A0"/>
      <w:lang w:val="en-GB"/>
    </w:rPr>
  </w:style>
  <w:style w:type="paragraph" w:customStyle="1" w:styleId="ShotDescription">
    <w:name w:val="Shot Description"/>
    <w:basedOn w:val="Normal"/>
    <w:link w:val="ShotDescriptionChar"/>
    <w:qFormat/>
    <w:rsid w:val="00EC4BAF"/>
    <w:pPr>
      <w:widowControl w:val="0"/>
      <w:spacing w:before="120"/>
      <w:ind w:left="1627" w:hanging="720"/>
      <w:jc w:val="both"/>
    </w:pPr>
    <w:rPr>
      <w:rFonts w:ascii="Calibri" w:eastAsia="PMingLiU" w:hAnsi="Calibri" w:cs="Calibri"/>
    </w:rPr>
  </w:style>
  <w:style w:type="character" w:customStyle="1" w:styleId="ShotDescriptionChar">
    <w:name w:val="Shot Description Char"/>
    <w:basedOn w:val="DefaultParagraphFont"/>
    <w:link w:val="ShotDescription"/>
    <w:rsid w:val="00EC4BAF"/>
    <w:rPr>
      <w:rFonts w:ascii="Calibri" w:eastAsia="PMingLiU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files_upload.php?src=22319338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2325</Words>
  <Characters>13257</Characters>
  <Application>Microsoft Office Word</Application>
  <DocSecurity>0</DocSecurity>
  <Lines>110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15551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2026-09-25T08:48:00Z</dcterms:created>
  <dcterms:modified xsi:type="dcterms:W3CDTF">2026-09-25T08:48:00Z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