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66FC693" w14:textId="77777777" w:rsidR="007F6F5F" w:rsidRDefault="00000000">
      <w:r>
        <w:rPr>
          <w:b/>
        </w:rPr>
        <w:t>TITLE:</w:t>
      </w:r>
      <w:r>
        <w:t xml:space="preserve"> </w:t>
      </w:r>
    </w:p>
    <w:p w14:paraId="7921C798" w14:textId="77777777" w:rsidR="007F6F5F" w:rsidRDefault="00000000">
      <w:r>
        <w:t xml:space="preserve">A Step-by-Step Protocol for Manual Reduction and </w:t>
      </w:r>
      <w:r>
        <w:rPr>
          <w:rFonts w:eastAsia="SimSun"/>
          <w:lang w:eastAsia="zh-CN"/>
        </w:rPr>
        <w:t>S</w:t>
      </w:r>
      <w:r>
        <w:t xml:space="preserve">plint </w:t>
      </w:r>
      <w:r>
        <w:rPr>
          <w:rFonts w:eastAsia="SimSun"/>
          <w:lang w:eastAsia="zh-CN"/>
        </w:rPr>
        <w:t>I</w:t>
      </w:r>
      <w:r>
        <w:t>mmobilization of Distal Radius Fractures</w:t>
      </w:r>
    </w:p>
    <w:p w14:paraId="1FF31C64" w14:textId="77777777" w:rsidR="007F6F5F" w:rsidRDefault="007F6F5F">
      <w:pPr>
        <w:rPr>
          <w:b/>
        </w:rPr>
      </w:pPr>
    </w:p>
    <w:p w14:paraId="4C94D9B5" w14:textId="77777777" w:rsidR="007F6F5F" w:rsidRDefault="00000000">
      <w:r>
        <w:rPr>
          <w:b/>
        </w:rPr>
        <w:t xml:space="preserve">AUTHORS AND AFFILIATIONS: </w:t>
      </w:r>
    </w:p>
    <w:p w14:paraId="0570C322" w14:textId="77777777" w:rsidR="007F6F5F" w:rsidRDefault="00000000">
      <w:pPr>
        <w:rPr>
          <w:lang w:eastAsia="zh-CN"/>
        </w:rPr>
      </w:pPr>
      <w:r>
        <w:rPr>
          <w:lang w:eastAsia="zh-CN"/>
        </w:rPr>
        <w:t>Zekai Qu</w:t>
      </w:r>
      <w:r>
        <w:rPr>
          <w:vertAlign w:val="superscript"/>
          <w:lang w:eastAsia="zh-CN"/>
        </w:rPr>
        <w:t>1,2*</w:t>
      </w:r>
      <w:r>
        <w:rPr>
          <w:lang w:eastAsia="zh-CN"/>
        </w:rPr>
        <w:t xml:space="preserve">, </w:t>
      </w:r>
      <w:proofErr w:type="spellStart"/>
      <w:r>
        <w:rPr>
          <w:lang w:eastAsia="zh-CN"/>
        </w:rPr>
        <w:t>Zhixian</w:t>
      </w:r>
      <w:proofErr w:type="spellEnd"/>
      <w:r>
        <w:rPr>
          <w:lang w:eastAsia="zh-CN"/>
        </w:rPr>
        <w:t xml:space="preserve"> Gong</w:t>
      </w:r>
      <w:r>
        <w:rPr>
          <w:vertAlign w:val="superscript"/>
          <w:lang w:eastAsia="zh-CN"/>
        </w:rPr>
        <w:t>2*</w:t>
      </w:r>
      <w:proofErr w:type="gramStart"/>
      <w:r>
        <w:rPr>
          <w:vertAlign w:val="superscript"/>
          <w:lang w:eastAsia="zh-CN"/>
        </w:rPr>
        <w:t>#</w:t>
      </w:r>
      <w:r>
        <w:rPr>
          <w:lang w:eastAsia="zh-CN"/>
        </w:rPr>
        <w:t>,Yantao</w:t>
      </w:r>
      <w:proofErr w:type="gramEnd"/>
      <w:r>
        <w:rPr>
          <w:lang w:eastAsia="zh-CN"/>
        </w:rPr>
        <w:t xml:space="preserve"> Guo</w:t>
      </w:r>
      <w:r>
        <w:rPr>
          <w:vertAlign w:val="superscript"/>
          <w:lang w:eastAsia="zh-CN"/>
        </w:rPr>
        <w:t>2</w:t>
      </w:r>
      <w:r>
        <w:rPr>
          <w:lang w:eastAsia="zh-CN"/>
        </w:rPr>
        <w:t>, Zhiming Tang</w:t>
      </w:r>
      <w:r>
        <w:rPr>
          <w:vertAlign w:val="superscript"/>
          <w:lang w:eastAsia="zh-CN"/>
        </w:rPr>
        <w:t>2</w:t>
      </w:r>
      <w:r>
        <w:rPr>
          <w:lang w:eastAsia="zh-CN"/>
        </w:rPr>
        <w:t xml:space="preserve">, </w:t>
      </w:r>
      <w:proofErr w:type="spellStart"/>
      <w:r>
        <w:rPr>
          <w:lang w:eastAsia="zh-CN"/>
        </w:rPr>
        <w:t>Xuyi</w:t>
      </w:r>
      <w:proofErr w:type="spellEnd"/>
      <w:r>
        <w:rPr>
          <w:lang w:eastAsia="zh-CN"/>
        </w:rPr>
        <w:t xml:space="preserve"> Tan</w:t>
      </w:r>
      <w:r>
        <w:rPr>
          <w:vertAlign w:val="superscript"/>
          <w:lang w:eastAsia="zh-CN"/>
        </w:rPr>
        <w:t>3</w:t>
      </w:r>
      <w:r>
        <w:rPr>
          <w:lang w:eastAsia="zh-CN"/>
        </w:rPr>
        <w:t xml:space="preserve">, </w:t>
      </w:r>
      <w:proofErr w:type="spellStart"/>
      <w:r>
        <w:rPr>
          <w:lang w:eastAsia="zh-CN"/>
        </w:rPr>
        <w:t>Gaoyan</w:t>
      </w:r>
      <w:proofErr w:type="spellEnd"/>
      <w:r>
        <w:rPr>
          <w:lang w:eastAsia="zh-CN"/>
        </w:rPr>
        <w:t xml:space="preserve"> Kuang</w:t>
      </w:r>
      <w:r>
        <w:rPr>
          <w:vertAlign w:val="superscript"/>
          <w:lang w:eastAsia="zh-CN"/>
        </w:rPr>
        <w:t>1</w:t>
      </w:r>
      <w:r>
        <w:rPr>
          <w:lang w:eastAsia="zh-CN"/>
        </w:rPr>
        <w:t xml:space="preserve">, </w:t>
      </w:r>
      <w:proofErr w:type="spellStart"/>
      <w:r>
        <w:rPr>
          <w:lang w:eastAsia="zh-CN"/>
        </w:rPr>
        <w:t>Shaofeng</w:t>
      </w:r>
      <w:proofErr w:type="spellEnd"/>
      <w:r>
        <w:rPr>
          <w:lang w:eastAsia="zh-CN"/>
        </w:rPr>
        <w:t xml:space="preserve"> Yang</w:t>
      </w:r>
      <w:r>
        <w:rPr>
          <w:vertAlign w:val="superscript"/>
          <w:lang w:eastAsia="zh-CN"/>
        </w:rPr>
        <w:t>2</w:t>
      </w:r>
      <w:r>
        <w:rPr>
          <w:lang w:eastAsia="zh-CN"/>
        </w:rPr>
        <w:t>, Min Lu</w:t>
      </w:r>
      <w:r>
        <w:rPr>
          <w:vertAlign w:val="superscript"/>
          <w:lang w:eastAsia="zh-CN"/>
        </w:rPr>
        <w:t>2</w:t>
      </w:r>
    </w:p>
    <w:p w14:paraId="496F609A" w14:textId="77777777" w:rsidR="007F6F5F" w:rsidRDefault="007F6F5F">
      <w:pPr>
        <w:rPr>
          <w:vertAlign w:val="superscript"/>
          <w:lang w:eastAsia="zh-CN"/>
        </w:rPr>
      </w:pPr>
    </w:p>
    <w:p w14:paraId="51FAA2AD" w14:textId="77777777" w:rsidR="007F6F5F" w:rsidRDefault="00000000">
      <w:pPr>
        <w:rPr>
          <w:lang w:eastAsia="zh-CN"/>
        </w:rPr>
      </w:pPr>
      <w:r>
        <w:rPr>
          <w:vertAlign w:val="superscript"/>
          <w:lang w:eastAsia="zh-CN"/>
        </w:rPr>
        <w:t>1</w:t>
      </w:r>
      <w:r>
        <w:rPr>
          <w:lang w:eastAsia="zh-CN"/>
        </w:rPr>
        <w:t>Hunan University of Chinese Medicine, Changsha 410000, China.</w:t>
      </w:r>
    </w:p>
    <w:p w14:paraId="173FB0F3" w14:textId="77777777" w:rsidR="007F6F5F" w:rsidRDefault="00000000">
      <w:pPr>
        <w:rPr>
          <w:lang w:eastAsia="zh-CN"/>
        </w:rPr>
      </w:pPr>
      <w:r>
        <w:rPr>
          <w:vertAlign w:val="superscript"/>
          <w:lang w:eastAsia="zh-CN"/>
        </w:rPr>
        <w:t>2</w:t>
      </w:r>
      <w:r>
        <w:rPr>
          <w:lang w:eastAsia="zh-CN"/>
        </w:rPr>
        <w:t>The First Hospital of Hunan University of Chinese Medicine</w:t>
      </w:r>
      <w:r>
        <w:rPr>
          <w:rFonts w:eastAsiaTheme="minorEastAsia"/>
          <w:lang w:eastAsia="zh-CN"/>
        </w:rPr>
        <w:t xml:space="preserve">, </w:t>
      </w:r>
      <w:r>
        <w:rPr>
          <w:lang w:eastAsia="zh-CN"/>
        </w:rPr>
        <w:t>Changsha 410000, China.</w:t>
      </w:r>
    </w:p>
    <w:p w14:paraId="0174158D" w14:textId="77777777" w:rsidR="007F6F5F" w:rsidRDefault="00000000">
      <w:r>
        <w:rPr>
          <w:vertAlign w:val="superscript"/>
          <w:lang w:eastAsia="zh-CN"/>
        </w:rPr>
        <w:t>3</w:t>
      </w:r>
      <w:r>
        <w:rPr>
          <w:lang w:eastAsia="zh-CN"/>
        </w:rPr>
        <w:t>Hunan Integrated Traditional Chinese and Western Medicine Hospital</w:t>
      </w:r>
      <w:r>
        <w:rPr>
          <w:rFonts w:eastAsia="SimSun"/>
          <w:lang w:eastAsia="zh-CN"/>
        </w:rPr>
        <w:t xml:space="preserve">, </w:t>
      </w:r>
      <w:r>
        <w:rPr>
          <w:lang w:eastAsia="zh-CN"/>
        </w:rPr>
        <w:t>Changsha 410006, China</w:t>
      </w:r>
      <w:r>
        <w:t>.</w:t>
      </w:r>
    </w:p>
    <w:p w14:paraId="007B200C" w14:textId="77777777" w:rsidR="007F6F5F" w:rsidRDefault="007F6F5F">
      <w:pPr>
        <w:rPr>
          <w:lang w:eastAsia="zh-CN"/>
        </w:rPr>
      </w:pPr>
    </w:p>
    <w:p w14:paraId="7CB4DB09" w14:textId="77777777" w:rsidR="007F6F5F" w:rsidRDefault="00000000">
      <w:pPr>
        <w:rPr>
          <w:b/>
          <w:bCs/>
          <w:lang w:eastAsia="zh-CN"/>
        </w:rPr>
      </w:pPr>
      <w:r>
        <w:rPr>
          <w:b/>
          <w:bCs/>
          <w:vertAlign w:val="superscript"/>
          <w:lang w:eastAsia="zh-CN"/>
        </w:rPr>
        <w:t>#</w:t>
      </w:r>
      <w:r>
        <w:rPr>
          <w:b/>
          <w:bCs/>
          <w:lang w:eastAsia="zh-CN"/>
        </w:rPr>
        <w:t>Email address of the corresponding author:</w:t>
      </w:r>
    </w:p>
    <w:p w14:paraId="4143E8EC" w14:textId="77777777" w:rsidR="007F6F5F" w:rsidRDefault="00000000">
      <w:pPr>
        <w:rPr>
          <w:lang w:eastAsia="zh-CN"/>
        </w:rPr>
      </w:pPr>
      <w:proofErr w:type="spellStart"/>
      <w:r>
        <w:rPr>
          <w:lang w:eastAsia="zh-CN"/>
        </w:rPr>
        <w:t>Zhixian</w:t>
      </w:r>
      <w:proofErr w:type="spellEnd"/>
      <w:r>
        <w:rPr>
          <w:lang w:eastAsia="zh-CN"/>
        </w:rPr>
        <w:t xml:space="preserve"> Gong</w:t>
      </w:r>
      <w:r>
        <w:rPr>
          <w:lang w:eastAsia="zh-CN"/>
        </w:rPr>
        <w:tab/>
      </w:r>
      <w:r>
        <w:rPr>
          <w:lang w:eastAsia="zh-CN"/>
        </w:rPr>
        <w:tab/>
      </w:r>
      <w:r>
        <w:rPr>
          <w:lang w:eastAsia="zh-CN"/>
        </w:rPr>
        <w:tab/>
      </w:r>
      <w:r>
        <w:rPr>
          <w:lang w:eastAsia="zh-CN"/>
        </w:rPr>
        <w:tab/>
        <w:t xml:space="preserve"> 1986075428@qq.com</w:t>
      </w:r>
    </w:p>
    <w:p w14:paraId="2CD6929B" w14:textId="77777777" w:rsidR="007F6F5F" w:rsidRDefault="007F6F5F">
      <w:pPr>
        <w:rPr>
          <w:lang w:eastAsia="zh-CN"/>
        </w:rPr>
      </w:pPr>
    </w:p>
    <w:p w14:paraId="34136E68" w14:textId="77777777" w:rsidR="007F6F5F" w:rsidRDefault="00000000">
      <w:pPr>
        <w:rPr>
          <w:b/>
          <w:bCs/>
          <w:lang w:eastAsia="zh-CN"/>
        </w:rPr>
      </w:pPr>
      <w:r>
        <w:rPr>
          <w:b/>
          <w:bCs/>
          <w:lang w:eastAsia="zh-CN"/>
        </w:rPr>
        <w:t>Email address of the co-authors:</w:t>
      </w:r>
    </w:p>
    <w:p w14:paraId="29F7042B" w14:textId="77777777" w:rsidR="007F6F5F" w:rsidRPr="00E43D28" w:rsidRDefault="00000000">
      <w:pPr>
        <w:rPr>
          <w:lang w:val="de-DE" w:eastAsia="zh-CN"/>
        </w:rPr>
      </w:pPr>
      <w:r w:rsidRPr="00E43D28">
        <w:rPr>
          <w:lang w:val="de-DE" w:eastAsia="zh-CN"/>
        </w:rPr>
        <w:t>Zekai Qu</w:t>
      </w:r>
      <w:r w:rsidRPr="00E43D28">
        <w:rPr>
          <w:lang w:val="de-DE" w:eastAsia="zh-CN"/>
        </w:rPr>
        <w:tab/>
      </w:r>
      <w:r w:rsidRPr="00E43D28">
        <w:rPr>
          <w:lang w:val="de-DE" w:eastAsia="zh-CN"/>
        </w:rPr>
        <w:tab/>
      </w:r>
      <w:r w:rsidRPr="00E43D28">
        <w:rPr>
          <w:lang w:val="de-DE" w:eastAsia="zh-CN"/>
        </w:rPr>
        <w:tab/>
      </w:r>
      <w:r w:rsidRPr="00E43D28">
        <w:rPr>
          <w:lang w:val="de-DE" w:eastAsia="zh-CN"/>
        </w:rPr>
        <w:tab/>
        <w:t>qvzekai@stu.hnucm.edu.cn</w:t>
      </w:r>
    </w:p>
    <w:p w14:paraId="5532E145" w14:textId="77777777" w:rsidR="007F6F5F" w:rsidRDefault="00000000">
      <w:pPr>
        <w:rPr>
          <w:lang w:eastAsia="zh-CN"/>
        </w:rPr>
      </w:pPr>
      <w:proofErr w:type="spellStart"/>
      <w:r>
        <w:rPr>
          <w:lang w:eastAsia="zh-CN"/>
        </w:rPr>
        <w:t>Yantao</w:t>
      </w:r>
      <w:proofErr w:type="spellEnd"/>
      <w:r>
        <w:rPr>
          <w:lang w:eastAsia="zh-CN"/>
        </w:rPr>
        <w:t xml:space="preserve"> Guo</w:t>
      </w:r>
      <w:r>
        <w:rPr>
          <w:lang w:eastAsia="zh-CN"/>
        </w:rPr>
        <w:tab/>
      </w:r>
      <w:r>
        <w:rPr>
          <w:lang w:eastAsia="zh-CN"/>
        </w:rPr>
        <w:tab/>
      </w:r>
      <w:r>
        <w:rPr>
          <w:lang w:eastAsia="zh-CN"/>
        </w:rPr>
        <w:tab/>
      </w:r>
      <w:r>
        <w:rPr>
          <w:lang w:eastAsia="zh-CN"/>
        </w:rPr>
        <w:tab/>
        <w:t>19860758@qq.com</w:t>
      </w:r>
    </w:p>
    <w:p w14:paraId="1BF90210" w14:textId="77777777" w:rsidR="007F6F5F" w:rsidRDefault="00000000">
      <w:pPr>
        <w:rPr>
          <w:lang w:eastAsia="zh-CN"/>
        </w:rPr>
      </w:pPr>
      <w:r>
        <w:rPr>
          <w:lang w:eastAsia="zh-CN"/>
        </w:rPr>
        <w:t>Zhiming Tang</w:t>
      </w:r>
      <w:r>
        <w:rPr>
          <w:lang w:eastAsia="zh-CN"/>
        </w:rPr>
        <w:tab/>
      </w:r>
      <w:r>
        <w:rPr>
          <w:lang w:eastAsia="zh-CN"/>
        </w:rPr>
        <w:tab/>
      </w:r>
      <w:r>
        <w:rPr>
          <w:lang w:eastAsia="zh-CN"/>
        </w:rPr>
        <w:tab/>
      </w:r>
      <w:r>
        <w:rPr>
          <w:lang w:eastAsia="zh-CN"/>
        </w:rPr>
        <w:tab/>
        <w:t>198608@qq.com</w:t>
      </w:r>
    </w:p>
    <w:p w14:paraId="3AD0EC2A" w14:textId="77777777" w:rsidR="007F6F5F" w:rsidRDefault="00000000">
      <w:pPr>
        <w:rPr>
          <w:lang w:eastAsia="zh-CN"/>
        </w:rPr>
      </w:pPr>
      <w:proofErr w:type="spellStart"/>
      <w:r>
        <w:rPr>
          <w:lang w:eastAsia="zh-CN"/>
        </w:rPr>
        <w:t>Xuyi</w:t>
      </w:r>
      <w:proofErr w:type="spellEnd"/>
      <w:r>
        <w:rPr>
          <w:lang w:eastAsia="zh-CN"/>
        </w:rPr>
        <w:t xml:space="preserve"> Tan</w:t>
      </w:r>
      <w:r>
        <w:rPr>
          <w:lang w:eastAsia="zh-CN"/>
        </w:rPr>
        <w:tab/>
      </w:r>
      <w:r>
        <w:rPr>
          <w:lang w:eastAsia="zh-CN"/>
        </w:rPr>
        <w:tab/>
      </w:r>
      <w:r>
        <w:rPr>
          <w:lang w:eastAsia="zh-CN"/>
        </w:rPr>
        <w:tab/>
      </w:r>
      <w:r>
        <w:rPr>
          <w:lang w:eastAsia="zh-CN"/>
        </w:rPr>
        <w:tab/>
        <w:t>1986@qq.com</w:t>
      </w:r>
    </w:p>
    <w:p w14:paraId="7C00E49D" w14:textId="77777777" w:rsidR="007F6F5F" w:rsidRDefault="00000000">
      <w:pPr>
        <w:rPr>
          <w:lang w:eastAsia="zh-CN"/>
        </w:rPr>
      </w:pPr>
      <w:proofErr w:type="spellStart"/>
      <w:r>
        <w:rPr>
          <w:lang w:eastAsia="zh-CN"/>
        </w:rPr>
        <w:t>Gaoyan</w:t>
      </w:r>
      <w:proofErr w:type="spellEnd"/>
      <w:r>
        <w:rPr>
          <w:lang w:eastAsia="zh-CN"/>
        </w:rPr>
        <w:t xml:space="preserve"> Kuang</w:t>
      </w:r>
      <w:r>
        <w:rPr>
          <w:lang w:eastAsia="zh-CN"/>
        </w:rPr>
        <w:tab/>
      </w:r>
      <w:r>
        <w:rPr>
          <w:lang w:eastAsia="zh-CN"/>
        </w:rPr>
        <w:tab/>
      </w:r>
      <w:r>
        <w:rPr>
          <w:lang w:eastAsia="zh-CN"/>
        </w:rPr>
        <w:tab/>
      </w:r>
      <w:r>
        <w:rPr>
          <w:lang w:eastAsia="zh-CN"/>
        </w:rPr>
        <w:tab/>
        <w:t>198428@qq.com</w:t>
      </w:r>
    </w:p>
    <w:p w14:paraId="494F67AD" w14:textId="77777777" w:rsidR="007F6F5F" w:rsidRDefault="00000000">
      <w:pPr>
        <w:rPr>
          <w:lang w:eastAsia="zh-CN"/>
        </w:rPr>
      </w:pPr>
      <w:proofErr w:type="spellStart"/>
      <w:r>
        <w:rPr>
          <w:lang w:eastAsia="zh-CN"/>
        </w:rPr>
        <w:t>Shaofeng</w:t>
      </w:r>
      <w:proofErr w:type="spellEnd"/>
      <w:r>
        <w:rPr>
          <w:lang w:eastAsia="zh-CN"/>
        </w:rPr>
        <w:t xml:space="preserve"> Yang</w:t>
      </w:r>
      <w:r>
        <w:rPr>
          <w:lang w:eastAsia="zh-CN"/>
        </w:rPr>
        <w:tab/>
      </w:r>
      <w:r>
        <w:rPr>
          <w:lang w:eastAsia="zh-CN"/>
        </w:rPr>
        <w:tab/>
      </w:r>
      <w:r>
        <w:rPr>
          <w:lang w:eastAsia="zh-CN"/>
        </w:rPr>
        <w:tab/>
      </w:r>
      <w:r>
        <w:rPr>
          <w:lang w:eastAsia="zh-CN"/>
        </w:rPr>
        <w:tab/>
        <w:t>1984111128@qq.com</w:t>
      </w:r>
    </w:p>
    <w:p w14:paraId="092143BF" w14:textId="77777777" w:rsidR="007F6F5F" w:rsidRDefault="00000000">
      <w:pPr>
        <w:rPr>
          <w:lang w:eastAsia="zh-CN"/>
        </w:rPr>
      </w:pPr>
      <w:r>
        <w:rPr>
          <w:lang w:eastAsia="zh-CN"/>
        </w:rPr>
        <w:t>Min Lu</w:t>
      </w:r>
      <w:r>
        <w:rPr>
          <w:lang w:eastAsia="zh-CN"/>
        </w:rPr>
        <w:tab/>
      </w:r>
      <w:r>
        <w:rPr>
          <w:lang w:eastAsia="zh-CN"/>
        </w:rPr>
        <w:tab/>
      </w:r>
      <w:r>
        <w:rPr>
          <w:lang w:eastAsia="zh-CN"/>
        </w:rPr>
        <w:tab/>
      </w:r>
      <w:r>
        <w:rPr>
          <w:lang w:eastAsia="zh-CN"/>
        </w:rPr>
        <w:tab/>
      </w:r>
      <w:r>
        <w:rPr>
          <w:lang w:eastAsia="zh-CN"/>
        </w:rPr>
        <w:tab/>
        <w:t>198411111128@qq.com</w:t>
      </w:r>
    </w:p>
    <w:p w14:paraId="654B7AED" w14:textId="77777777" w:rsidR="007F6F5F" w:rsidRDefault="007F6F5F"/>
    <w:p w14:paraId="24DE9A4E" w14:textId="77777777" w:rsidR="007F6F5F" w:rsidRDefault="00000000">
      <w:pPr>
        <w:rPr>
          <w:i/>
          <w:iCs/>
          <w:lang w:eastAsia="zh-CN"/>
        </w:rPr>
      </w:pPr>
      <w:r>
        <w:rPr>
          <w:i/>
          <w:iCs/>
          <w:vertAlign w:val="superscript"/>
          <w:lang w:eastAsia="zh-CN"/>
        </w:rPr>
        <w:t>*</w:t>
      </w:r>
      <w:r>
        <w:rPr>
          <w:i/>
          <w:iCs/>
          <w:lang w:eastAsia="zh-CN"/>
        </w:rPr>
        <w:t>These authors contributed equally</w:t>
      </w:r>
    </w:p>
    <w:p w14:paraId="3FE8A494" w14:textId="77777777" w:rsidR="007F6F5F" w:rsidRDefault="007F6F5F"/>
    <w:p w14:paraId="172D521D" w14:textId="77777777" w:rsidR="007F6F5F" w:rsidRDefault="00000000">
      <w:pPr>
        <w:rPr>
          <w:b/>
        </w:rPr>
      </w:pPr>
      <w:r>
        <w:rPr>
          <w:b/>
        </w:rPr>
        <w:t xml:space="preserve">Keywords: </w:t>
      </w:r>
    </w:p>
    <w:p w14:paraId="53546BE1" w14:textId="77777777" w:rsidR="007F6F5F" w:rsidRDefault="00000000">
      <w:pPr>
        <w:rPr>
          <w:bCs/>
        </w:rPr>
      </w:pPr>
      <w:r>
        <w:rPr>
          <w:bCs/>
        </w:rPr>
        <w:t>Closed reduction; Distal radius fracture; Hematoma block; Manual reduction; Splint immobilization; Volar tilt</w:t>
      </w:r>
    </w:p>
    <w:p w14:paraId="0DE31CE8" w14:textId="77777777" w:rsidR="007F6F5F" w:rsidRDefault="007F6F5F">
      <w:pPr>
        <w:rPr>
          <w:b/>
        </w:rPr>
      </w:pPr>
    </w:p>
    <w:p w14:paraId="1BB7C418" w14:textId="77777777" w:rsidR="007F6F5F" w:rsidRDefault="00000000">
      <w:r>
        <w:rPr>
          <w:b/>
        </w:rPr>
        <w:t>SUMMARY:</w:t>
      </w:r>
      <w:r>
        <w:t xml:space="preserve"> </w:t>
      </w:r>
    </w:p>
    <w:p w14:paraId="6096279B" w14:textId="77777777" w:rsidR="007F6F5F" w:rsidRDefault="00000000">
      <w:r>
        <w:t>This article provides a structured, step-by-step protocol for manual reduction and four-splint immobilization of selected dorsally displaced distal radius fractures, with emphasis on patient selection, reduction maneuvers, splint application, and serial neurovascular assessment.</w:t>
      </w:r>
    </w:p>
    <w:p w14:paraId="53D858BD" w14:textId="77777777" w:rsidR="007F6F5F" w:rsidRDefault="007F6F5F"/>
    <w:p w14:paraId="09FF24E7" w14:textId="77777777" w:rsidR="007F6F5F" w:rsidRDefault="00000000">
      <w:r>
        <w:rPr>
          <w:b/>
        </w:rPr>
        <w:t>ABSTRACT:</w:t>
      </w:r>
      <w:r>
        <w:t xml:space="preserve"> </w:t>
      </w:r>
    </w:p>
    <w:p w14:paraId="11A10CC1" w14:textId="77777777" w:rsidR="007F6F5F" w:rsidRDefault="00000000">
      <w:pPr>
        <w:widowControl/>
      </w:pPr>
      <w:r>
        <w:rPr>
          <w:rFonts w:eastAsia="SimSun"/>
          <w:lang w:eastAsia="zh-CN"/>
        </w:rPr>
        <w:t xml:space="preserve">Distal radius fractures (DRFs) are among the most common upper extremity fractures encountered in clinical practice. Closed reduction followed by external immobilization remains a fundamental treatment approach; however, the procedure is highly operator-dependent and lacks standardization. This article presents a step-by-step protocol for manual reduction and four-splint immobilization using volar, dorsal, radial, and ulnar splints for acute DRFs. The protocol encompasses patient selection, anesthesia administration, patient positioning, sustained longitudinal traction with countertraction, restoration of radial length, correction of dorsal or volar translation and angulation, controlled adjustment of wrist position and forearm rotation, </w:t>
      </w:r>
      <w:r>
        <w:rPr>
          <w:rFonts w:eastAsia="SimSun"/>
          <w:lang w:eastAsia="zh-CN"/>
        </w:rPr>
        <w:lastRenderedPageBreak/>
        <w:t>and secure four-splint immobilization. A representative case of a 53-year-old woman with a dorsally displaced fracture of the left distal radius is presented. Pre-reduction radiographs showed a volar tilt of approximately -15°, a radial inclination of approximately 12°, and a radial height of approximately 6 mm. Immediate post-reduction radiographs showed a volar tilt of 11.4° and a radial inclination of 17.7°. Follow-up radiographs obtained 6 and 15 days after reduction showed volar tilts of 11.7° and 11.4° and radial inclinations of 15.8° and 15.2°, respectively. This article provides a structured visual protocol describing the direction and sequence of reduction forces and the application of four-splint immobilization. The representative case illustrates procedural feasibility and short-term maintenance of alignment; however, it does not establish comparative effectiveness, safety, superiority, or generalizability. These outcomes require evaluation in larger prospective studies.</w:t>
      </w:r>
    </w:p>
    <w:p w14:paraId="5E847A4A" w14:textId="77777777" w:rsidR="007F6F5F" w:rsidRDefault="007F6F5F">
      <w:pPr>
        <w:widowControl/>
      </w:pPr>
    </w:p>
    <w:p w14:paraId="22CCC0A4" w14:textId="77777777" w:rsidR="007F6F5F" w:rsidRDefault="00000000">
      <w:pPr>
        <w:widowControl/>
      </w:pPr>
      <w:r>
        <w:rPr>
          <w:b/>
        </w:rPr>
        <w:t>INTRODUCTION:</w:t>
      </w:r>
      <w:r>
        <w:t xml:space="preserve"> </w:t>
      </w:r>
    </w:p>
    <w:p w14:paraId="13C0B933" w14:textId="77777777" w:rsidR="007F6F5F" w:rsidRDefault="00000000">
      <w:r>
        <w:t>Distal radius fractures are common injuries resulting from both low- and high-energy trauma¹. For appropriately selected fractures, closed reduction followed by external immobilization remains an established nonoperative treatment option¹. The goals of treatment are to restore acceptable alignment, maintain reduction during healing, preserve neurovascular function, and minimize complications related to immobilization. Common post-reduction immobilization methods include plaster casts, sugar-tong splints, volar-dorsal splints, and short-arm constructs; the choice depends on fracture stability, soft-tissue swelling, patient characteristics, local clinical practice, and available resources²˒³. Fracture instability and the risk of secondary displacement should also be considered when selecting patients for continued conservative treatment⁴. Four-piece Chinese external splinting systems have also been described following successful manipulative reduction⁵.</w:t>
      </w:r>
    </w:p>
    <w:p w14:paraId="638D8B81" w14:textId="77777777" w:rsidR="007F6F5F" w:rsidRDefault="007F6F5F"/>
    <w:p w14:paraId="482DB39F" w14:textId="77777777" w:rsidR="007F6F5F" w:rsidRDefault="00000000">
      <w:r>
        <w:t>Closed reduction of distal radius fractures is highly dependent on the direction and magnitude of applied forces, the sequence of correction, and maintenance of the achieved position during immobilization. Manual traction allows the operator to adjust force based on tactile feedback, whereas other approaches, such as finger-trap traction, provide sustained axial traction. Likewise, post-reduction immobilization can be achieved using several different constructs, and no single method is appropriate for every fracture pattern. These variations highlight the need for a clearly described and reproducible procedural sequence that defines patient selection, reduction maneuvers, splint application, and post-procedure assessment.</w:t>
      </w:r>
    </w:p>
    <w:p w14:paraId="1C50B9D9" w14:textId="77777777" w:rsidR="007F6F5F" w:rsidRDefault="007F6F5F"/>
    <w:p w14:paraId="5FF68090" w14:textId="77777777" w:rsidR="007F6F5F" w:rsidRDefault="00000000">
      <w:r>
        <w:t xml:space="preserve">The present article describes a patient-specific four-splint immobilization technique used in the </w:t>
      </w:r>
      <w:proofErr w:type="gramStart"/>
      <w:r>
        <w:t>authors’</w:t>
      </w:r>
      <w:proofErr w:type="gramEnd"/>
      <w:r>
        <w:t xml:space="preserve"> clinical practice. The construct uses separate volar, dorsal, radial, and ulnar splints that can be individually positioned and adjusted after reduction. This technique is presented as an alternative procedural method rather than as evidence of superiority over established plaster or splint constructs. The method is intended for appropriately selected dorsally displaced distal radius fractures in which closed reduction is clinically appropriate and acceptable alignment can be achieved and maintained.</w:t>
      </w:r>
    </w:p>
    <w:p w14:paraId="0EAF0023" w14:textId="77777777" w:rsidR="007F6F5F" w:rsidRDefault="007F6F5F"/>
    <w:p w14:paraId="6A596AA8" w14:textId="77777777" w:rsidR="007F6F5F" w:rsidRDefault="00000000">
      <w:r>
        <w:t xml:space="preserve">The aim of this article is to provide a detailed, step-by-step visual protocol for manual reduction and four-splint immobilization of selected dorsally displaced distal radius fractures, with </w:t>
      </w:r>
      <w:r>
        <w:lastRenderedPageBreak/>
        <w:t xml:space="preserve">emphasis on the direction and sequence of reduction forces, maintenance of reduction during splint application, and serial neurovascular assessment. </w:t>
      </w:r>
    </w:p>
    <w:p w14:paraId="1881FC4C" w14:textId="77777777" w:rsidR="007F6F5F" w:rsidRDefault="007F6F5F">
      <w:pPr>
        <w:rPr>
          <w:b/>
        </w:rPr>
      </w:pPr>
    </w:p>
    <w:p w14:paraId="648F24C5" w14:textId="77777777" w:rsidR="007F6F5F" w:rsidRDefault="00000000">
      <w:r>
        <w:rPr>
          <w:b/>
        </w:rPr>
        <w:t>PROTOCOL:</w:t>
      </w:r>
      <w:r>
        <w:t xml:space="preserve"> </w:t>
      </w:r>
    </w:p>
    <w:p w14:paraId="0C8C75F4" w14:textId="77777777" w:rsidR="007F6F5F" w:rsidRDefault="00000000">
      <w:pPr>
        <w:rPr>
          <w:bCs/>
        </w:rPr>
      </w:pPr>
      <w:r>
        <w:rPr>
          <w:bCs/>
        </w:rPr>
        <w:t xml:space="preserve">The publication of de-identified clinical information, radiographs, clinical images, and the procedural video was approved by the Institutional Review Board of The First Hospital of Hunan University of Chinese Medicine (Approval No. HN-LL-YJSLW-2026-101). The Institutional Review Board waived the requirement for individual informed consent for publication of these de-identified materials. All patient and institutional identifiers were removed before submission. The research tools used in this protocol are listed in the </w:t>
      </w:r>
      <w:r>
        <w:rPr>
          <w:b/>
        </w:rPr>
        <w:t>Table of Materials</w:t>
      </w:r>
      <w:r>
        <w:rPr>
          <w:bCs/>
        </w:rPr>
        <w:t xml:space="preserve">. </w:t>
      </w:r>
    </w:p>
    <w:p w14:paraId="1E96D0B1" w14:textId="77777777" w:rsidR="007F6F5F" w:rsidRDefault="007F6F5F">
      <w:pPr>
        <w:rPr>
          <w:b/>
        </w:rPr>
      </w:pPr>
    </w:p>
    <w:p w14:paraId="0395C8B8" w14:textId="77777777" w:rsidR="007F6F5F" w:rsidRDefault="00000000">
      <w:pPr>
        <w:rPr>
          <w:b/>
        </w:rPr>
      </w:pPr>
      <w:r>
        <w:rPr>
          <w:b/>
        </w:rPr>
        <w:t>1. Patient selection</w:t>
      </w:r>
    </w:p>
    <w:p w14:paraId="3D20F107" w14:textId="77777777" w:rsidR="007F6F5F" w:rsidRDefault="007F6F5F">
      <w:pPr>
        <w:rPr>
          <w:b/>
        </w:rPr>
      </w:pPr>
    </w:p>
    <w:p w14:paraId="2441DB5D" w14:textId="77777777" w:rsidR="007F6F5F" w:rsidRDefault="00000000">
      <w:pPr>
        <w:rPr>
          <w:bCs/>
        </w:rPr>
      </w:pPr>
      <w:r>
        <w:rPr>
          <w:bCs/>
        </w:rPr>
        <w:t>1.1. Inclusion criteria</w:t>
      </w:r>
    </w:p>
    <w:p w14:paraId="0D89522F" w14:textId="77777777" w:rsidR="007F6F5F" w:rsidRDefault="007F6F5F">
      <w:pPr>
        <w:rPr>
          <w:bCs/>
        </w:rPr>
      </w:pPr>
    </w:p>
    <w:p w14:paraId="68228EEB" w14:textId="77777777" w:rsidR="007F6F5F" w:rsidRDefault="00000000">
      <w:pPr>
        <w:rPr>
          <w:bCs/>
        </w:rPr>
      </w:pPr>
      <w:r>
        <w:rPr>
          <w:bCs/>
        </w:rPr>
        <w:t>1.1.1. Include patients with an acute, closed distal radius fracture confirmed on standard posteroanterior and lateral wrist radiographs.</w:t>
      </w:r>
    </w:p>
    <w:p w14:paraId="10D1AFE8" w14:textId="77777777" w:rsidR="007F6F5F" w:rsidRDefault="007F6F5F">
      <w:pPr>
        <w:rPr>
          <w:bCs/>
        </w:rPr>
      </w:pPr>
    </w:p>
    <w:p w14:paraId="57560549" w14:textId="77777777" w:rsidR="007F6F5F" w:rsidRDefault="00000000">
      <w:pPr>
        <w:rPr>
          <w:bCs/>
        </w:rPr>
      </w:pPr>
      <w:r>
        <w:rPr>
          <w:bCs/>
        </w:rPr>
        <w:t>1.1.2. Include fractures showing displacement, angulation, or radial shortening for which an initial trial of closed reduction is clinically appropriate.</w:t>
      </w:r>
    </w:p>
    <w:p w14:paraId="1A15AF98" w14:textId="77777777" w:rsidR="007F6F5F" w:rsidRDefault="007F6F5F">
      <w:pPr>
        <w:rPr>
          <w:bCs/>
        </w:rPr>
      </w:pPr>
    </w:p>
    <w:p w14:paraId="4CFE072D" w14:textId="77777777" w:rsidR="007F6F5F" w:rsidRDefault="00000000">
      <w:pPr>
        <w:rPr>
          <w:bCs/>
        </w:rPr>
      </w:pPr>
      <w:r>
        <w:rPr>
          <w:bCs/>
        </w:rPr>
        <w:t>1.1.3. Confirm that the skin is intact. Exclude any open wound communicating with the fracture, threatened skin, or clinical evidence of compartment syndrome.</w:t>
      </w:r>
    </w:p>
    <w:p w14:paraId="48662296" w14:textId="77777777" w:rsidR="007F6F5F" w:rsidRDefault="007F6F5F">
      <w:pPr>
        <w:rPr>
          <w:bCs/>
        </w:rPr>
      </w:pPr>
    </w:p>
    <w:p w14:paraId="1149BB26" w14:textId="77777777" w:rsidR="007F6F5F" w:rsidRDefault="00000000">
      <w:pPr>
        <w:rPr>
          <w:bCs/>
        </w:rPr>
      </w:pPr>
      <w:r>
        <w:rPr>
          <w:bCs/>
        </w:rPr>
        <w:t>1.1.4. Confirm that distal perfusion is preserved. Exclude patients with a progressive median, radial, or ulnar nerve deficit requiring urgent surgical intervention.</w:t>
      </w:r>
    </w:p>
    <w:p w14:paraId="549D4E6F" w14:textId="77777777" w:rsidR="007F6F5F" w:rsidRDefault="007F6F5F">
      <w:pPr>
        <w:rPr>
          <w:bCs/>
        </w:rPr>
      </w:pPr>
    </w:p>
    <w:p w14:paraId="31D6E9EB" w14:textId="77777777" w:rsidR="007F6F5F" w:rsidRDefault="00000000">
      <w:pPr>
        <w:rPr>
          <w:bCs/>
        </w:rPr>
      </w:pPr>
      <w:r>
        <w:rPr>
          <w:bCs/>
        </w:rPr>
        <w:t>1.1.5. Include simple or moderately displaced metaphyseal fracture patterns. Exclude fractures with severe comminution, an irreducible intra-articular fragment, fracture-dislocation, or soft-tissue interposition.</w:t>
      </w:r>
    </w:p>
    <w:p w14:paraId="1CD89DF0" w14:textId="77777777" w:rsidR="007F6F5F" w:rsidRDefault="007F6F5F">
      <w:pPr>
        <w:rPr>
          <w:bCs/>
        </w:rPr>
      </w:pPr>
    </w:p>
    <w:p w14:paraId="3D2FB131" w14:textId="77777777" w:rsidR="007F6F5F" w:rsidRDefault="00000000">
      <w:pPr>
        <w:rPr>
          <w:bCs/>
        </w:rPr>
      </w:pPr>
      <w:r>
        <w:rPr>
          <w:bCs/>
        </w:rPr>
        <w:t>1.1.6. Continue conservative treatment only when acceptable alignment is obtained after reduction and can be maintained with the four-splint construct.</w:t>
      </w:r>
    </w:p>
    <w:p w14:paraId="69AD76B2" w14:textId="77777777" w:rsidR="007F6F5F" w:rsidRDefault="007F6F5F">
      <w:pPr>
        <w:rPr>
          <w:bCs/>
        </w:rPr>
      </w:pPr>
    </w:p>
    <w:p w14:paraId="3EAF78F5" w14:textId="77777777" w:rsidR="007F6F5F" w:rsidRDefault="00000000">
      <w:pPr>
        <w:rPr>
          <w:bCs/>
        </w:rPr>
      </w:pPr>
      <w:r>
        <w:rPr>
          <w:b/>
        </w:rPr>
        <w:t>NOTE:</w:t>
      </w:r>
      <w:r>
        <w:rPr>
          <w:bCs/>
        </w:rPr>
        <w:t xml:space="preserve"> Define acceptable alignment according to the institution’s prespecified radiographic criteria for volar tilt, radial inclination, radial shortening, ulnar variance, and articular step-off.</w:t>
      </w:r>
    </w:p>
    <w:p w14:paraId="6CC0373A" w14:textId="77777777" w:rsidR="007F6F5F" w:rsidRDefault="007F6F5F">
      <w:pPr>
        <w:rPr>
          <w:bCs/>
        </w:rPr>
      </w:pPr>
    </w:p>
    <w:p w14:paraId="25139F50" w14:textId="77777777" w:rsidR="007F6F5F" w:rsidRDefault="00000000">
      <w:pPr>
        <w:rPr>
          <w:bCs/>
        </w:rPr>
      </w:pPr>
      <w:r>
        <w:rPr>
          <w:bCs/>
        </w:rPr>
        <w:t>1.2. Exclusion criteria</w:t>
      </w:r>
    </w:p>
    <w:p w14:paraId="7CD3819F" w14:textId="77777777" w:rsidR="007F6F5F" w:rsidRDefault="007F6F5F">
      <w:pPr>
        <w:rPr>
          <w:bCs/>
        </w:rPr>
      </w:pPr>
    </w:p>
    <w:p w14:paraId="5920AE7D" w14:textId="77777777" w:rsidR="007F6F5F" w:rsidRDefault="00000000">
      <w:pPr>
        <w:rPr>
          <w:bCs/>
        </w:rPr>
      </w:pPr>
      <w:r>
        <w:rPr>
          <w:bCs/>
        </w:rPr>
        <w:t>1.2.1. Exclude open fractures, fractures associated with compartment syndrome, and fractures with threatened skin requiring urgent intervention.</w:t>
      </w:r>
    </w:p>
    <w:p w14:paraId="55D2E9D2" w14:textId="77777777" w:rsidR="007F6F5F" w:rsidRDefault="007F6F5F">
      <w:pPr>
        <w:rPr>
          <w:bCs/>
        </w:rPr>
      </w:pPr>
    </w:p>
    <w:p w14:paraId="1760F329" w14:textId="77777777" w:rsidR="007F6F5F" w:rsidRDefault="00000000">
      <w:pPr>
        <w:rPr>
          <w:bCs/>
        </w:rPr>
      </w:pPr>
      <w:r>
        <w:rPr>
          <w:bCs/>
        </w:rPr>
        <w:t>1.2.2. Exclude severely comminuted, irreducible, unstable intra-articular, or fracture-dislocation patterns that are unlikely to maintain alignment after closed reduction.</w:t>
      </w:r>
    </w:p>
    <w:p w14:paraId="7D5D2583" w14:textId="77777777" w:rsidR="007F6F5F" w:rsidRDefault="007F6F5F">
      <w:pPr>
        <w:rPr>
          <w:bCs/>
        </w:rPr>
      </w:pPr>
    </w:p>
    <w:p w14:paraId="79750693" w14:textId="77777777" w:rsidR="007F6F5F" w:rsidRDefault="00000000">
      <w:pPr>
        <w:rPr>
          <w:bCs/>
        </w:rPr>
      </w:pPr>
      <w:r>
        <w:rPr>
          <w:bCs/>
        </w:rPr>
        <w:t>1.2.3. Exclude patients with persistent vascular compromise or progressive neurological dysfunction requiring urgent surgical exploration.</w:t>
      </w:r>
    </w:p>
    <w:p w14:paraId="198A3C80" w14:textId="77777777" w:rsidR="007F6F5F" w:rsidRDefault="007F6F5F">
      <w:pPr>
        <w:rPr>
          <w:bCs/>
        </w:rPr>
      </w:pPr>
    </w:p>
    <w:p w14:paraId="673FC128" w14:textId="77777777" w:rsidR="007F6F5F" w:rsidRDefault="00000000">
      <w:pPr>
        <w:rPr>
          <w:bCs/>
        </w:rPr>
      </w:pPr>
      <w:r>
        <w:rPr>
          <w:bCs/>
        </w:rPr>
        <w:t xml:space="preserve">1.2.4. Exclude fractures that remain outside the predefined acceptable radiographic limits after two reduction attempts. Exclude fractures that immediately </w:t>
      </w:r>
      <w:proofErr w:type="spellStart"/>
      <w:r>
        <w:rPr>
          <w:bCs/>
        </w:rPr>
        <w:t>redisplace</w:t>
      </w:r>
      <w:proofErr w:type="spellEnd"/>
      <w:r>
        <w:rPr>
          <w:bCs/>
        </w:rPr>
        <w:t xml:space="preserve"> after splint application.</w:t>
      </w:r>
    </w:p>
    <w:p w14:paraId="13E20063" w14:textId="77777777" w:rsidR="007F6F5F" w:rsidRDefault="007F6F5F">
      <w:pPr>
        <w:rPr>
          <w:bCs/>
        </w:rPr>
      </w:pPr>
    </w:p>
    <w:p w14:paraId="60359C2C" w14:textId="77777777" w:rsidR="007F6F5F" w:rsidRDefault="00000000">
      <w:pPr>
        <w:rPr>
          <w:bCs/>
        </w:rPr>
      </w:pPr>
      <w:r>
        <w:rPr>
          <w:bCs/>
        </w:rPr>
        <w:t>1.2.5. Exclude patients who cannot tolerate or cooperate with the procedure or who are unlikely to comply with early radiographic follow-up.</w:t>
      </w:r>
    </w:p>
    <w:p w14:paraId="03B52565" w14:textId="77777777" w:rsidR="007F6F5F" w:rsidRDefault="007F6F5F">
      <w:pPr>
        <w:rPr>
          <w:b/>
        </w:rPr>
      </w:pPr>
    </w:p>
    <w:p w14:paraId="57684C43" w14:textId="77777777" w:rsidR="007F6F5F" w:rsidRDefault="00000000">
      <w:pPr>
        <w:rPr>
          <w:b/>
        </w:rPr>
      </w:pPr>
      <w:r>
        <w:rPr>
          <w:b/>
        </w:rPr>
        <w:t>2. Preparation</w:t>
      </w:r>
    </w:p>
    <w:p w14:paraId="526CCE7B" w14:textId="77777777" w:rsidR="007F6F5F" w:rsidRDefault="007F6F5F">
      <w:pPr>
        <w:rPr>
          <w:b/>
        </w:rPr>
      </w:pPr>
    </w:p>
    <w:p w14:paraId="5742857F" w14:textId="77777777" w:rsidR="007F6F5F" w:rsidRDefault="00000000">
      <w:pPr>
        <w:rPr>
          <w:bCs/>
        </w:rPr>
      </w:pPr>
      <w:r>
        <w:rPr>
          <w:bCs/>
        </w:rPr>
        <w:t>2.1. Patient positioning</w:t>
      </w:r>
    </w:p>
    <w:p w14:paraId="2E084D34" w14:textId="77777777" w:rsidR="007F6F5F" w:rsidRDefault="007F6F5F">
      <w:pPr>
        <w:rPr>
          <w:bCs/>
        </w:rPr>
      </w:pPr>
    </w:p>
    <w:p w14:paraId="0F86853B" w14:textId="77777777" w:rsidR="007F6F5F" w:rsidRDefault="00000000">
      <w:pPr>
        <w:rPr>
          <w:bCs/>
        </w:rPr>
      </w:pPr>
      <w:r>
        <w:rPr>
          <w:bCs/>
        </w:rPr>
        <w:t xml:space="preserve">2.1.1. Position the patient in a seated or supine position. Place the affected upper limb on </w:t>
      </w:r>
      <w:proofErr w:type="gramStart"/>
      <w:r>
        <w:rPr>
          <w:bCs/>
        </w:rPr>
        <w:t>a stable</w:t>
      </w:r>
      <w:proofErr w:type="gramEnd"/>
      <w:r>
        <w:rPr>
          <w:bCs/>
        </w:rPr>
        <w:t xml:space="preserve"> support.</w:t>
      </w:r>
    </w:p>
    <w:p w14:paraId="36B1EAE5" w14:textId="77777777" w:rsidR="007F6F5F" w:rsidRDefault="007F6F5F">
      <w:pPr>
        <w:rPr>
          <w:bCs/>
        </w:rPr>
      </w:pPr>
    </w:p>
    <w:p w14:paraId="628D3173" w14:textId="77777777" w:rsidR="007F6F5F" w:rsidRDefault="00000000">
      <w:pPr>
        <w:rPr>
          <w:bCs/>
        </w:rPr>
      </w:pPr>
      <w:r>
        <w:rPr>
          <w:bCs/>
        </w:rPr>
        <w:t>2.1.2. Flex the affected elbow to approximately 90°. Keep the forearm accessible to both the operator and the assistant.</w:t>
      </w:r>
    </w:p>
    <w:p w14:paraId="5DAEF5F2" w14:textId="77777777" w:rsidR="007F6F5F" w:rsidRDefault="007F6F5F">
      <w:pPr>
        <w:rPr>
          <w:bCs/>
        </w:rPr>
      </w:pPr>
    </w:p>
    <w:p w14:paraId="1C1E37B5" w14:textId="77777777" w:rsidR="007F6F5F" w:rsidRDefault="00000000">
      <w:pPr>
        <w:rPr>
          <w:bCs/>
        </w:rPr>
      </w:pPr>
      <w:r>
        <w:rPr>
          <w:bCs/>
        </w:rPr>
        <w:t>2.1.3. Ask the assistant to stabilize the elbow and proximal forearm. Leave the wrist and distal forearm fully accessible for reduction.</w:t>
      </w:r>
    </w:p>
    <w:p w14:paraId="4E4BD8B8" w14:textId="77777777" w:rsidR="007F6F5F" w:rsidRDefault="007F6F5F">
      <w:pPr>
        <w:rPr>
          <w:bCs/>
        </w:rPr>
      </w:pPr>
    </w:p>
    <w:p w14:paraId="4EC5ED00" w14:textId="77777777" w:rsidR="007F6F5F" w:rsidRDefault="00000000">
      <w:pPr>
        <w:rPr>
          <w:bCs/>
        </w:rPr>
      </w:pPr>
      <w:r>
        <w:rPr>
          <w:bCs/>
        </w:rPr>
        <w:t>2.2. Analgesia, anesthesia, and physiological monitoring</w:t>
      </w:r>
    </w:p>
    <w:p w14:paraId="1A21F0E5" w14:textId="77777777" w:rsidR="007F6F5F" w:rsidRDefault="007F6F5F">
      <w:pPr>
        <w:rPr>
          <w:bCs/>
        </w:rPr>
      </w:pPr>
    </w:p>
    <w:p w14:paraId="23233724" w14:textId="77777777" w:rsidR="007F6F5F" w:rsidRDefault="00000000">
      <w:pPr>
        <w:rPr>
          <w:bCs/>
        </w:rPr>
      </w:pPr>
      <w:r>
        <w:rPr>
          <w:bCs/>
        </w:rPr>
        <w:t>2.2.1. Record the baseline pain score using a 0–10 numerical rating scale. Measure blood pressure, heart rate, oxygen saturation, and level of consciousness.</w:t>
      </w:r>
    </w:p>
    <w:p w14:paraId="19073187" w14:textId="77777777" w:rsidR="007F6F5F" w:rsidRDefault="007F6F5F">
      <w:pPr>
        <w:rPr>
          <w:bCs/>
        </w:rPr>
      </w:pPr>
    </w:p>
    <w:p w14:paraId="4403CC87" w14:textId="77777777" w:rsidR="007F6F5F" w:rsidRDefault="00000000">
      <w:pPr>
        <w:rPr>
          <w:bCs/>
        </w:rPr>
      </w:pPr>
      <w:r>
        <w:rPr>
          <w:bCs/>
        </w:rPr>
        <w:t>2.2.2. Confirm that the patient has no known allergy to lidocaine or infection at the intended injection site. Exclude any other contraindication to a hematoma block.</w:t>
      </w:r>
    </w:p>
    <w:p w14:paraId="60CA31A1" w14:textId="77777777" w:rsidR="007F6F5F" w:rsidRDefault="007F6F5F">
      <w:pPr>
        <w:rPr>
          <w:bCs/>
        </w:rPr>
      </w:pPr>
    </w:p>
    <w:p w14:paraId="47DEDE7B" w14:textId="77777777" w:rsidR="007F6F5F" w:rsidRDefault="00000000">
      <w:pPr>
        <w:rPr>
          <w:bCs/>
        </w:rPr>
      </w:pPr>
      <w:r>
        <w:rPr>
          <w:bCs/>
        </w:rPr>
        <w:t>2.2.3. Prepare 10–15 mL of 1% lidocaine without epinephrine in a 20 mL syringe fitted with a 22–25 G needle.</w:t>
      </w:r>
    </w:p>
    <w:p w14:paraId="4C09EB3A" w14:textId="77777777" w:rsidR="007F6F5F" w:rsidRDefault="007F6F5F">
      <w:pPr>
        <w:rPr>
          <w:bCs/>
        </w:rPr>
      </w:pPr>
    </w:p>
    <w:p w14:paraId="3391E20B" w14:textId="77777777" w:rsidR="007F6F5F" w:rsidRDefault="00000000">
      <w:pPr>
        <w:rPr>
          <w:bCs/>
        </w:rPr>
      </w:pPr>
      <w:r>
        <w:rPr>
          <w:bCs/>
        </w:rPr>
        <w:t>2.2.4. Calculate the maximum allowable dose according to the patient’s body weight. Do not exceed 4.5 mg/kg.</w:t>
      </w:r>
    </w:p>
    <w:p w14:paraId="7E998EE4" w14:textId="77777777" w:rsidR="007F6F5F" w:rsidRDefault="007F6F5F">
      <w:pPr>
        <w:rPr>
          <w:bCs/>
        </w:rPr>
      </w:pPr>
    </w:p>
    <w:p w14:paraId="640BCB4B" w14:textId="77777777" w:rsidR="007F6F5F" w:rsidRDefault="00000000">
      <w:pPr>
        <w:rPr>
          <w:bCs/>
        </w:rPr>
      </w:pPr>
      <w:r>
        <w:rPr>
          <w:bCs/>
        </w:rPr>
        <w:t>2.2.5. Disinfect the dorsal skin over the fracture site using the institutional antiseptic solution. Allow the solution to dry completely.</w:t>
      </w:r>
    </w:p>
    <w:p w14:paraId="3382EFDD" w14:textId="77777777" w:rsidR="007F6F5F" w:rsidRDefault="007F6F5F">
      <w:pPr>
        <w:rPr>
          <w:bCs/>
        </w:rPr>
      </w:pPr>
    </w:p>
    <w:p w14:paraId="4138AF2D" w14:textId="77777777" w:rsidR="007F6F5F" w:rsidRDefault="00000000">
      <w:pPr>
        <w:rPr>
          <w:bCs/>
        </w:rPr>
      </w:pPr>
      <w:r>
        <w:rPr>
          <w:bCs/>
        </w:rPr>
        <w:t>2.2.6. Insert the needle toward the fracture hematoma under aseptic conditions. Aspirate gently until dark, non-clotting blood confirms that the needle tip is within the hematoma.</w:t>
      </w:r>
    </w:p>
    <w:p w14:paraId="36A52C89" w14:textId="77777777" w:rsidR="007F6F5F" w:rsidRDefault="007F6F5F">
      <w:pPr>
        <w:rPr>
          <w:bCs/>
        </w:rPr>
      </w:pPr>
    </w:p>
    <w:p w14:paraId="79AA5FC7" w14:textId="77777777" w:rsidR="007F6F5F" w:rsidRDefault="00000000">
      <w:pPr>
        <w:rPr>
          <w:bCs/>
        </w:rPr>
      </w:pPr>
      <w:r>
        <w:rPr>
          <w:bCs/>
        </w:rPr>
        <w:t xml:space="preserve">2.2.7. Inject the lidocaine slowly into the fracture hematoma. Aspirate intermittently to reduce </w:t>
      </w:r>
      <w:r>
        <w:rPr>
          <w:bCs/>
        </w:rPr>
        <w:lastRenderedPageBreak/>
        <w:t>the risk of intravascular injection.</w:t>
      </w:r>
    </w:p>
    <w:p w14:paraId="18295799" w14:textId="77777777" w:rsidR="007F6F5F" w:rsidRDefault="007F6F5F">
      <w:pPr>
        <w:rPr>
          <w:bCs/>
        </w:rPr>
      </w:pPr>
    </w:p>
    <w:p w14:paraId="05123744" w14:textId="77777777" w:rsidR="007F6F5F" w:rsidRDefault="00000000">
      <w:pPr>
        <w:rPr>
          <w:bCs/>
        </w:rPr>
      </w:pPr>
      <w:r>
        <w:rPr>
          <w:bCs/>
        </w:rPr>
        <w:t>2.2.8. Remove the needle and apply sterile pressure to the puncture site.</w:t>
      </w:r>
    </w:p>
    <w:p w14:paraId="26DEE566" w14:textId="77777777" w:rsidR="007F6F5F" w:rsidRDefault="007F6F5F">
      <w:pPr>
        <w:rPr>
          <w:bCs/>
        </w:rPr>
      </w:pPr>
    </w:p>
    <w:p w14:paraId="50134EA6" w14:textId="77777777" w:rsidR="007F6F5F" w:rsidRDefault="00000000">
      <w:pPr>
        <w:rPr>
          <w:bCs/>
        </w:rPr>
      </w:pPr>
      <w:r>
        <w:rPr>
          <w:bCs/>
        </w:rPr>
        <w:t>2.2.9. Wait 10–15 min and reassess the pain score. Proceed with reduction only after adequate analgesia has been achieved and the patient’s physiological status remains stable.</w:t>
      </w:r>
    </w:p>
    <w:p w14:paraId="0FBD12EB" w14:textId="77777777" w:rsidR="007F6F5F" w:rsidRDefault="007F6F5F">
      <w:pPr>
        <w:rPr>
          <w:bCs/>
        </w:rPr>
      </w:pPr>
    </w:p>
    <w:p w14:paraId="638B8854" w14:textId="77777777" w:rsidR="007F6F5F" w:rsidRDefault="00000000">
      <w:pPr>
        <w:rPr>
          <w:bCs/>
        </w:rPr>
      </w:pPr>
      <w:r>
        <w:rPr>
          <w:bCs/>
        </w:rPr>
        <w:t>2.2.10. Monitor blood pressure, heart rate, oxygen saturation, and level of consciousness throughout anesthesia, reduction, and splint application.</w:t>
      </w:r>
    </w:p>
    <w:p w14:paraId="7AF9D8E0" w14:textId="77777777" w:rsidR="007F6F5F" w:rsidRDefault="007F6F5F">
      <w:pPr>
        <w:rPr>
          <w:bCs/>
        </w:rPr>
      </w:pPr>
    </w:p>
    <w:p w14:paraId="5E020BD3" w14:textId="77777777" w:rsidR="007F6F5F" w:rsidRDefault="00000000">
      <w:pPr>
        <w:rPr>
          <w:bCs/>
        </w:rPr>
      </w:pPr>
      <w:r>
        <w:rPr>
          <w:bCs/>
        </w:rPr>
        <w:t>2.2.11. Monitor for perioral numbness, tinnitus, dizziness, altered consciousness, seizure activity, or cardiovascular instability.</w:t>
      </w:r>
    </w:p>
    <w:p w14:paraId="0F8C80A3" w14:textId="77777777" w:rsidR="007F6F5F" w:rsidRDefault="007F6F5F">
      <w:pPr>
        <w:rPr>
          <w:bCs/>
        </w:rPr>
      </w:pPr>
    </w:p>
    <w:p w14:paraId="1C2F9EAC" w14:textId="77777777" w:rsidR="007F6F5F" w:rsidRDefault="00000000">
      <w:pPr>
        <w:rPr>
          <w:bCs/>
        </w:rPr>
      </w:pPr>
      <w:r>
        <w:rPr>
          <w:bCs/>
        </w:rPr>
        <w:t>2.2.12. Stop the procedure and initiate appropriate management if any symptom of local-anesthetic systemic toxicity occurs.</w:t>
      </w:r>
    </w:p>
    <w:p w14:paraId="69E6DB76" w14:textId="77777777" w:rsidR="007F6F5F" w:rsidRDefault="007F6F5F">
      <w:pPr>
        <w:rPr>
          <w:bCs/>
        </w:rPr>
      </w:pPr>
    </w:p>
    <w:p w14:paraId="587E39CC" w14:textId="77777777" w:rsidR="007F6F5F" w:rsidRDefault="00000000">
      <w:pPr>
        <w:rPr>
          <w:bCs/>
        </w:rPr>
      </w:pPr>
      <w:r>
        <w:rPr>
          <w:bCs/>
        </w:rPr>
        <w:t>2.2.13. Observe the patient for at least 30 min after completion of reduction and splint application. Continue monitoring blood pressure, heart rate, oxygen saturation, level of consciousness, pain intensity, and distal neurovascular status.</w:t>
      </w:r>
    </w:p>
    <w:p w14:paraId="7D7C3194" w14:textId="77777777" w:rsidR="007F6F5F" w:rsidRDefault="007F6F5F">
      <w:pPr>
        <w:rPr>
          <w:bCs/>
        </w:rPr>
      </w:pPr>
    </w:p>
    <w:p w14:paraId="2086FF3E" w14:textId="77777777" w:rsidR="007F6F5F" w:rsidRDefault="00000000">
      <w:pPr>
        <w:rPr>
          <w:bCs/>
        </w:rPr>
      </w:pPr>
      <w:r>
        <w:rPr>
          <w:bCs/>
        </w:rPr>
        <w:t>2.2.14. Extend the observation period if neurological or cardiovascular symptoms develop, if the lidocaine dose approaches the maximum allowable dose, or if any post-procedural abnormality is identified.</w:t>
      </w:r>
    </w:p>
    <w:p w14:paraId="75FAA664" w14:textId="77777777" w:rsidR="007F6F5F" w:rsidRDefault="007F6F5F">
      <w:pPr>
        <w:rPr>
          <w:bCs/>
        </w:rPr>
      </w:pPr>
    </w:p>
    <w:p w14:paraId="2BCE455D" w14:textId="77777777" w:rsidR="007F6F5F" w:rsidRDefault="00000000">
      <w:pPr>
        <w:rPr>
          <w:bCs/>
        </w:rPr>
      </w:pPr>
      <w:r>
        <w:rPr>
          <w:bCs/>
        </w:rPr>
        <w:t>2.3. Pre-procedural assessment</w:t>
      </w:r>
    </w:p>
    <w:p w14:paraId="2347BE27" w14:textId="77777777" w:rsidR="007F6F5F" w:rsidRDefault="007F6F5F">
      <w:pPr>
        <w:rPr>
          <w:bCs/>
        </w:rPr>
      </w:pPr>
    </w:p>
    <w:p w14:paraId="1256AEF2" w14:textId="77777777" w:rsidR="007F6F5F" w:rsidRDefault="00000000">
      <w:pPr>
        <w:rPr>
          <w:bCs/>
        </w:rPr>
      </w:pPr>
      <w:r>
        <w:rPr>
          <w:bCs/>
        </w:rPr>
        <w:t>2.3.1. Obtain standard posteroanterior and lateral wrist radiographs. Determine the fracture configuration and displacement pattern.</w:t>
      </w:r>
    </w:p>
    <w:p w14:paraId="2282260D" w14:textId="77777777" w:rsidR="007F6F5F" w:rsidRDefault="007F6F5F">
      <w:pPr>
        <w:rPr>
          <w:bCs/>
        </w:rPr>
      </w:pPr>
    </w:p>
    <w:p w14:paraId="75FA73AC" w14:textId="77777777" w:rsidR="007F6F5F" w:rsidRDefault="00000000">
      <w:pPr>
        <w:rPr>
          <w:bCs/>
        </w:rPr>
      </w:pPr>
      <w:r>
        <w:rPr>
          <w:bCs/>
        </w:rPr>
        <w:t>2.3.2. Assess capillary refill time, radial and ulnar pulses, skin color and temperature, and active finger flexion and extension. Record all findings before reduction.</w:t>
      </w:r>
    </w:p>
    <w:p w14:paraId="24347B1B" w14:textId="77777777" w:rsidR="007F6F5F" w:rsidRDefault="007F6F5F">
      <w:pPr>
        <w:rPr>
          <w:bCs/>
        </w:rPr>
      </w:pPr>
    </w:p>
    <w:p w14:paraId="0C638AC3" w14:textId="77777777" w:rsidR="007F6F5F" w:rsidRDefault="00000000">
      <w:pPr>
        <w:rPr>
          <w:bCs/>
        </w:rPr>
      </w:pPr>
      <w:r>
        <w:rPr>
          <w:bCs/>
        </w:rPr>
        <w:t>2.3.3. Assess median nerve function using thumb opposition and sensation over the palmar aspect of the index finger.</w:t>
      </w:r>
    </w:p>
    <w:p w14:paraId="61CF070C" w14:textId="77777777" w:rsidR="007F6F5F" w:rsidRDefault="007F6F5F">
      <w:pPr>
        <w:rPr>
          <w:bCs/>
        </w:rPr>
      </w:pPr>
    </w:p>
    <w:p w14:paraId="5E4E37A4" w14:textId="77777777" w:rsidR="007F6F5F" w:rsidRDefault="00000000">
      <w:pPr>
        <w:rPr>
          <w:bCs/>
        </w:rPr>
      </w:pPr>
      <w:r>
        <w:rPr>
          <w:bCs/>
        </w:rPr>
        <w:t>2.3.4. Assess radial nerve function using thumb or finger extension and sensation over the first dorsal web space.</w:t>
      </w:r>
    </w:p>
    <w:p w14:paraId="79B97813" w14:textId="77777777" w:rsidR="007F6F5F" w:rsidRDefault="007F6F5F">
      <w:pPr>
        <w:rPr>
          <w:bCs/>
        </w:rPr>
      </w:pPr>
    </w:p>
    <w:p w14:paraId="5B406783" w14:textId="77777777" w:rsidR="007F6F5F" w:rsidRDefault="00000000">
      <w:pPr>
        <w:rPr>
          <w:bCs/>
        </w:rPr>
      </w:pPr>
      <w:r>
        <w:rPr>
          <w:bCs/>
        </w:rPr>
        <w:t>2.3.5. Assess ulnar nerve function using finger abduction and sensation over the palmar aspect of the little finger.</w:t>
      </w:r>
    </w:p>
    <w:p w14:paraId="50CFFB1C" w14:textId="77777777" w:rsidR="007F6F5F" w:rsidRDefault="007F6F5F">
      <w:pPr>
        <w:rPr>
          <w:bCs/>
        </w:rPr>
      </w:pPr>
    </w:p>
    <w:p w14:paraId="55E137F0" w14:textId="77777777" w:rsidR="007F6F5F" w:rsidRDefault="00000000">
      <w:pPr>
        <w:rPr>
          <w:bCs/>
        </w:rPr>
      </w:pPr>
      <w:r>
        <w:rPr>
          <w:bCs/>
        </w:rPr>
        <w:t>2.3.6. Document all motor and sensory findings in the clinical record.</w:t>
      </w:r>
    </w:p>
    <w:p w14:paraId="3C2BD911" w14:textId="77777777" w:rsidR="007F6F5F" w:rsidRDefault="007F6F5F">
      <w:pPr>
        <w:rPr>
          <w:bCs/>
        </w:rPr>
      </w:pPr>
    </w:p>
    <w:p w14:paraId="793323B5" w14:textId="77777777" w:rsidR="007F6F5F" w:rsidRDefault="00000000">
      <w:pPr>
        <w:rPr>
          <w:bCs/>
          <w:highlight w:val="yellow"/>
        </w:rPr>
      </w:pPr>
      <w:r>
        <w:rPr>
          <w:bCs/>
          <w:highlight w:val="yellow"/>
        </w:rPr>
        <w:t>2.4. Materials preparation</w:t>
      </w:r>
    </w:p>
    <w:p w14:paraId="39EDE259" w14:textId="77777777" w:rsidR="007F6F5F" w:rsidRDefault="007F6F5F">
      <w:pPr>
        <w:rPr>
          <w:bCs/>
          <w:highlight w:val="yellow"/>
        </w:rPr>
      </w:pPr>
    </w:p>
    <w:p w14:paraId="76113317" w14:textId="77777777" w:rsidR="007F6F5F" w:rsidRDefault="00000000">
      <w:pPr>
        <w:rPr>
          <w:bCs/>
          <w:highlight w:val="yellow"/>
        </w:rPr>
      </w:pPr>
      <w:r>
        <w:rPr>
          <w:bCs/>
          <w:highlight w:val="yellow"/>
        </w:rPr>
        <w:t>2.4.1. Prepare four fir-bark splints: volar, dorsal, radial, and ulnar. Size the splints according to the dimensions of the affected forearm.</w:t>
      </w:r>
    </w:p>
    <w:p w14:paraId="0CE1F37E" w14:textId="77777777" w:rsidR="007F6F5F" w:rsidRDefault="007F6F5F">
      <w:pPr>
        <w:rPr>
          <w:bCs/>
          <w:highlight w:val="yellow"/>
        </w:rPr>
      </w:pPr>
    </w:p>
    <w:p w14:paraId="5346DF3F" w14:textId="77777777" w:rsidR="007F6F5F" w:rsidRDefault="00000000">
      <w:pPr>
        <w:rPr>
          <w:bCs/>
          <w:highlight w:val="yellow"/>
        </w:rPr>
      </w:pPr>
      <w:r>
        <w:rPr>
          <w:bCs/>
          <w:highlight w:val="yellow"/>
        </w:rPr>
        <w:t>2.4.2. Trim each splint so that its width is slightly narrower than the corresponding aspect of the affected limb.</w:t>
      </w:r>
    </w:p>
    <w:p w14:paraId="60EF4FBF" w14:textId="77777777" w:rsidR="007F6F5F" w:rsidRDefault="007F6F5F">
      <w:pPr>
        <w:rPr>
          <w:bCs/>
          <w:highlight w:val="yellow"/>
        </w:rPr>
      </w:pPr>
    </w:p>
    <w:p w14:paraId="57D346C0" w14:textId="77777777" w:rsidR="007F6F5F" w:rsidRDefault="00000000">
      <w:pPr>
        <w:rPr>
          <w:bCs/>
          <w:highlight w:val="yellow"/>
        </w:rPr>
      </w:pPr>
      <w:r>
        <w:rPr>
          <w:bCs/>
          <w:highlight w:val="yellow"/>
        </w:rPr>
        <w:t>2.4.3. Pad the splints appropriately to protect the skin and bony prominences.</w:t>
      </w:r>
    </w:p>
    <w:p w14:paraId="5F4E10F6" w14:textId="77777777" w:rsidR="007F6F5F" w:rsidRDefault="007F6F5F">
      <w:pPr>
        <w:rPr>
          <w:bCs/>
          <w:highlight w:val="yellow"/>
        </w:rPr>
      </w:pPr>
    </w:p>
    <w:p w14:paraId="50ED85B5" w14:textId="77777777" w:rsidR="007F6F5F" w:rsidRDefault="00000000">
      <w:pPr>
        <w:rPr>
          <w:bCs/>
          <w:highlight w:val="yellow"/>
        </w:rPr>
      </w:pPr>
      <w:r>
        <w:rPr>
          <w:bCs/>
          <w:highlight w:val="yellow"/>
        </w:rPr>
        <w:t>2.4.4. Prepare the fixation straps, bandage, and scissors. Keep all materials readily accessible before reduction.</w:t>
      </w:r>
    </w:p>
    <w:p w14:paraId="432F5083" w14:textId="77777777" w:rsidR="007F6F5F" w:rsidRDefault="007F6F5F">
      <w:pPr>
        <w:rPr>
          <w:bCs/>
        </w:rPr>
      </w:pPr>
    </w:p>
    <w:p w14:paraId="093090AD" w14:textId="77777777" w:rsidR="007F6F5F" w:rsidRPr="00E43D28" w:rsidRDefault="00000000">
      <w:pPr>
        <w:rPr>
          <w:bCs/>
          <w:highlight w:val="yellow"/>
        </w:rPr>
      </w:pPr>
      <w:r>
        <w:rPr>
          <w:bCs/>
        </w:rPr>
        <w:t>2</w:t>
      </w:r>
      <w:r w:rsidRPr="00E43D28">
        <w:rPr>
          <w:bCs/>
          <w:highlight w:val="yellow"/>
        </w:rPr>
        <w:t>.4.5. Arrange the materials so that immobilization can be applied immediately after satisfactory alignment has been achieved (</w:t>
      </w:r>
      <w:r w:rsidRPr="00E43D28">
        <w:rPr>
          <w:b/>
          <w:highlight w:val="yellow"/>
        </w:rPr>
        <w:t>Figure 1</w:t>
      </w:r>
      <w:r w:rsidRPr="00E43D28">
        <w:rPr>
          <w:bCs/>
          <w:highlight w:val="yellow"/>
        </w:rPr>
        <w:t>).</w:t>
      </w:r>
    </w:p>
    <w:p w14:paraId="272B0395" w14:textId="77777777" w:rsidR="007F6F5F" w:rsidRPr="00E43D28" w:rsidRDefault="007F6F5F">
      <w:pPr>
        <w:rPr>
          <w:b/>
          <w:highlight w:val="yellow"/>
        </w:rPr>
      </w:pPr>
    </w:p>
    <w:p w14:paraId="38353097" w14:textId="77777777" w:rsidR="007F6F5F" w:rsidRPr="00E43D28" w:rsidRDefault="00000000">
      <w:pPr>
        <w:rPr>
          <w:b/>
          <w:highlight w:val="yellow"/>
        </w:rPr>
      </w:pPr>
      <w:r w:rsidRPr="00E43D28">
        <w:rPr>
          <w:b/>
          <w:highlight w:val="yellow"/>
        </w:rPr>
        <w:t>3. Manual reduction procedure</w:t>
      </w:r>
    </w:p>
    <w:p w14:paraId="046C1D5F" w14:textId="77777777" w:rsidR="007F6F5F" w:rsidRPr="00E43D28" w:rsidRDefault="007F6F5F">
      <w:pPr>
        <w:rPr>
          <w:b/>
          <w:highlight w:val="yellow"/>
        </w:rPr>
      </w:pPr>
    </w:p>
    <w:p w14:paraId="42AF70BF" w14:textId="77777777" w:rsidR="007F6F5F" w:rsidRPr="00E43D28" w:rsidRDefault="00000000">
      <w:pPr>
        <w:rPr>
          <w:bCs/>
          <w:highlight w:val="yellow"/>
        </w:rPr>
      </w:pPr>
      <w:r w:rsidRPr="00E43D28">
        <w:rPr>
          <w:bCs/>
          <w:highlight w:val="yellow"/>
        </w:rPr>
        <w:t>3.1. Establishment of traction and countertraction</w:t>
      </w:r>
    </w:p>
    <w:p w14:paraId="5F8521CE" w14:textId="77777777" w:rsidR="007F6F5F" w:rsidRPr="00E43D28" w:rsidRDefault="007F6F5F">
      <w:pPr>
        <w:rPr>
          <w:bCs/>
          <w:highlight w:val="yellow"/>
        </w:rPr>
      </w:pPr>
    </w:p>
    <w:p w14:paraId="116ED48C" w14:textId="77777777" w:rsidR="007F6F5F" w:rsidRPr="00E43D28" w:rsidRDefault="00000000">
      <w:pPr>
        <w:rPr>
          <w:bCs/>
          <w:highlight w:val="yellow"/>
        </w:rPr>
      </w:pPr>
      <w:r w:rsidRPr="00E43D28">
        <w:rPr>
          <w:bCs/>
          <w:highlight w:val="yellow"/>
        </w:rPr>
        <w:t>3.1.1. Ask the assistant to stabilize the elbow and proximal forearm. Align the assistant’s countertraction force with the longitudinal axis of the forearm.</w:t>
      </w:r>
    </w:p>
    <w:p w14:paraId="63DCCA3C" w14:textId="77777777" w:rsidR="007F6F5F" w:rsidRPr="00E43D28" w:rsidRDefault="007F6F5F">
      <w:pPr>
        <w:rPr>
          <w:bCs/>
          <w:highlight w:val="yellow"/>
        </w:rPr>
      </w:pPr>
    </w:p>
    <w:p w14:paraId="284755A9" w14:textId="77777777" w:rsidR="007F6F5F" w:rsidRPr="00E43D28" w:rsidRDefault="00000000">
      <w:pPr>
        <w:rPr>
          <w:bCs/>
          <w:highlight w:val="yellow"/>
        </w:rPr>
      </w:pPr>
      <w:r w:rsidRPr="00E43D28">
        <w:rPr>
          <w:bCs/>
          <w:highlight w:val="yellow"/>
        </w:rPr>
        <w:t>3.1.2. Grasp the patient’s distal hand with both hands. Avoid direct pressure over the fracture site.</w:t>
      </w:r>
    </w:p>
    <w:p w14:paraId="53AE0385" w14:textId="77777777" w:rsidR="007F6F5F" w:rsidRPr="00E43D28" w:rsidRDefault="007F6F5F">
      <w:pPr>
        <w:rPr>
          <w:bCs/>
          <w:highlight w:val="yellow"/>
        </w:rPr>
      </w:pPr>
    </w:p>
    <w:p w14:paraId="55C9D7F6" w14:textId="77777777" w:rsidR="007F6F5F" w:rsidRPr="00E43D28" w:rsidRDefault="00000000">
      <w:pPr>
        <w:rPr>
          <w:bCs/>
          <w:highlight w:val="yellow"/>
        </w:rPr>
      </w:pPr>
      <w:r w:rsidRPr="00E43D28">
        <w:rPr>
          <w:bCs/>
          <w:highlight w:val="yellow"/>
        </w:rPr>
        <w:t>3.1.3. Align the operator’s traction force with the longitudinal axis of the forearm (</w:t>
      </w:r>
      <w:r w:rsidRPr="00E43D28">
        <w:rPr>
          <w:b/>
          <w:highlight w:val="yellow"/>
        </w:rPr>
        <w:t>Figure 2</w:t>
      </w:r>
      <w:r w:rsidRPr="00E43D28">
        <w:rPr>
          <w:bCs/>
          <w:highlight w:val="yellow"/>
        </w:rPr>
        <w:t>).</w:t>
      </w:r>
    </w:p>
    <w:p w14:paraId="3B6EDF9E" w14:textId="77777777" w:rsidR="007F6F5F" w:rsidRPr="00E43D28" w:rsidRDefault="007F6F5F">
      <w:pPr>
        <w:rPr>
          <w:bCs/>
          <w:highlight w:val="yellow"/>
        </w:rPr>
      </w:pPr>
    </w:p>
    <w:p w14:paraId="278595C7" w14:textId="77777777" w:rsidR="007F6F5F" w:rsidRPr="00E43D28" w:rsidRDefault="00000000">
      <w:pPr>
        <w:rPr>
          <w:bCs/>
          <w:highlight w:val="yellow"/>
        </w:rPr>
      </w:pPr>
      <w:r w:rsidRPr="00E43D28">
        <w:rPr>
          <w:bCs/>
          <w:highlight w:val="yellow"/>
        </w:rPr>
        <w:t xml:space="preserve">3.1.4. Confirm the pre-reduction neurovascular findings immediately before </w:t>
      </w:r>
      <w:proofErr w:type="gramStart"/>
      <w:r w:rsidRPr="00E43D28">
        <w:rPr>
          <w:bCs/>
          <w:highlight w:val="yellow"/>
        </w:rPr>
        <w:t>applying</w:t>
      </w:r>
      <w:proofErr w:type="gramEnd"/>
      <w:r w:rsidRPr="00E43D28">
        <w:rPr>
          <w:bCs/>
          <w:highlight w:val="yellow"/>
        </w:rPr>
        <w:t xml:space="preserve"> traction. Stop the procedure if a new vascular or neurological abnormality is identified.</w:t>
      </w:r>
    </w:p>
    <w:p w14:paraId="4ACFC3EA" w14:textId="77777777" w:rsidR="007F6F5F" w:rsidRPr="00E43D28" w:rsidRDefault="007F6F5F">
      <w:pPr>
        <w:rPr>
          <w:bCs/>
          <w:highlight w:val="yellow"/>
        </w:rPr>
      </w:pPr>
    </w:p>
    <w:p w14:paraId="1F9BD2EF" w14:textId="77777777" w:rsidR="007F6F5F" w:rsidRPr="00E43D28" w:rsidRDefault="00000000">
      <w:pPr>
        <w:rPr>
          <w:bCs/>
          <w:highlight w:val="yellow"/>
        </w:rPr>
      </w:pPr>
      <w:r w:rsidRPr="00E43D28">
        <w:rPr>
          <w:bCs/>
          <w:highlight w:val="yellow"/>
        </w:rPr>
        <w:t>3.2. Longitudinal traction</w:t>
      </w:r>
    </w:p>
    <w:p w14:paraId="37F7D605" w14:textId="77777777" w:rsidR="007F6F5F" w:rsidRPr="00E43D28" w:rsidRDefault="007F6F5F">
      <w:pPr>
        <w:rPr>
          <w:bCs/>
          <w:highlight w:val="yellow"/>
        </w:rPr>
      </w:pPr>
    </w:p>
    <w:p w14:paraId="39DA4453" w14:textId="77777777" w:rsidR="007F6F5F" w:rsidRPr="00E43D28" w:rsidRDefault="00000000">
      <w:pPr>
        <w:rPr>
          <w:bCs/>
          <w:highlight w:val="yellow"/>
        </w:rPr>
      </w:pPr>
      <w:r w:rsidRPr="00E43D28">
        <w:rPr>
          <w:bCs/>
          <w:highlight w:val="yellow"/>
        </w:rPr>
        <w:t>3.2.1. Apply gradual longitudinal traction while the assistant applies equal countertraction in the opposite direction. Avoid sudden or forceful pulling.</w:t>
      </w:r>
    </w:p>
    <w:p w14:paraId="057BFB13" w14:textId="77777777" w:rsidR="007F6F5F" w:rsidRPr="00E43D28" w:rsidRDefault="007F6F5F">
      <w:pPr>
        <w:rPr>
          <w:bCs/>
          <w:highlight w:val="yellow"/>
        </w:rPr>
      </w:pPr>
    </w:p>
    <w:p w14:paraId="005BAFFE" w14:textId="77777777" w:rsidR="007F6F5F" w:rsidRPr="00E43D28" w:rsidRDefault="00000000">
      <w:pPr>
        <w:rPr>
          <w:bCs/>
          <w:highlight w:val="yellow"/>
        </w:rPr>
      </w:pPr>
      <w:r w:rsidRPr="00E43D28">
        <w:rPr>
          <w:bCs/>
          <w:highlight w:val="yellow"/>
        </w:rPr>
        <w:t>3.2.2. Maintain traction for approximately 3–5 min or until muscle resistance decreases and the impacted fragments become mobile.</w:t>
      </w:r>
    </w:p>
    <w:p w14:paraId="587B5D91" w14:textId="77777777" w:rsidR="007F6F5F" w:rsidRPr="00E43D28" w:rsidRDefault="007F6F5F">
      <w:pPr>
        <w:rPr>
          <w:bCs/>
          <w:highlight w:val="yellow"/>
        </w:rPr>
      </w:pPr>
    </w:p>
    <w:p w14:paraId="0FC169A8" w14:textId="77777777" w:rsidR="007F6F5F" w:rsidRPr="00E43D28" w:rsidRDefault="00000000">
      <w:pPr>
        <w:rPr>
          <w:bCs/>
          <w:highlight w:val="yellow"/>
        </w:rPr>
      </w:pPr>
      <w:r w:rsidRPr="00E43D28">
        <w:rPr>
          <w:bCs/>
          <w:highlight w:val="yellow"/>
        </w:rPr>
        <w:t>3.2.3. Restore radial length before correcting translation and angulation. Maintain continuous traction during the subsequent corrective maneuvers.</w:t>
      </w:r>
    </w:p>
    <w:p w14:paraId="09FF1C10" w14:textId="77777777" w:rsidR="007F6F5F" w:rsidRPr="00E43D28" w:rsidRDefault="007F6F5F">
      <w:pPr>
        <w:rPr>
          <w:bCs/>
          <w:highlight w:val="yellow"/>
        </w:rPr>
      </w:pPr>
    </w:p>
    <w:p w14:paraId="1AE456F9" w14:textId="77777777" w:rsidR="007F6F5F" w:rsidRPr="00E43D28" w:rsidRDefault="00000000">
      <w:pPr>
        <w:rPr>
          <w:bCs/>
          <w:highlight w:val="yellow"/>
        </w:rPr>
      </w:pPr>
      <w:r w:rsidRPr="00E43D28">
        <w:rPr>
          <w:bCs/>
          <w:highlight w:val="yellow"/>
        </w:rPr>
        <w:t>3.3. Angular correction</w:t>
      </w:r>
    </w:p>
    <w:p w14:paraId="44E95B09" w14:textId="77777777" w:rsidR="007F6F5F" w:rsidRPr="00E43D28" w:rsidRDefault="007F6F5F">
      <w:pPr>
        <w:rPr>
          <w:bCs/>
          <w:highlight w:val="yellow"/>
        </w:rPr>
      </w:pPr>
    </w:p>
    <w:p w14:paraId="4756342C" w14:textId="77777777" w:rsidR="007F6F5F" w:rsidRPr="00E43D28" w:rsidRDefault="00000000">
      <w:pPr>
        <w:rPr>
          <w:bCs/>
          <w:highlight w:val="yellow"/>
        </w:rPr>
      </w:pPr>
      <w:r w:rsidRPr="00E43D28">
        <w:rPr>
          <w:bCs/>
          <w:highlight w:val="yellow"/>
        </w:rPr>
        <w:t xml:space="preserve">3.3.1. For a dorsally displaced fracture, stabilize the proximal fragment and apply volar-directed </w:t>
      </w:r>
      <w:r w:rsidRPr="00E43D28">
        <w:rPr>
          <w:bCs/>
          <w:highlight w:val="yellow"/>
        </w:rPr>
        <w:lastRenderedPageBreak/>
        <w:t>pressure to the distal fragment.</w:t>
      </w:r>
    </w:p>
    <w:p w14:paraId="511C55E6" w14:textId="77777777" w:rsidR="007F6F5F" w:rsidRPr="00E43D28" w:rsidRDefault="007F6F5F">
      <w:pPr>
        <w:rPr>
          <w:bCs/>
          <w:highlight w:val="yellow"/>
        </w:rPr>
      </w:pPr>
    </w:p>
    <w:p w14:paraId="47183132" w14:textId="77777777" w:rsidR="007F6F5F" w:rsidRPr="00E43D28" w:rsidRDefault="00000000">
      <w:pPr>
        <w:rPr>
          <w:bCs/>
          <w:highlight w:val="yellow"/>
        </w:rPr>
      </w:pPr>
      <w:r w:rsidRPr="00E43D28">
        <w:rPr>
          <w:bCs/>
          <w:highlight w:val="yellow"/>
        </w:rPr>
        <w:t>3.3.2. Correct radial translation and dorsal angulation in a controlled sequence.</w:t>
      </w:r>
    </w:p>
    <w:p w14:paraId="06242070" w14:textId="77777777" w:rsidR="007F6F5F" w:rsidRPr="00E43D28" w:rsidRDefault="007F6F5F">
      <w:pPr>
        <w:rPr>
          <w:bCs/>
          <w:highlight w:val="yellow"/>
        </w:rPr>
      </w:pPr>
    </w:p>
    <w:p w14:paraId="32FD10ED" w14:textId="77777777" w:rsidR="007F6F5F" w:rsidRPr="00E43D28" w:rsidRDefault="00000000">
      <w:pPr>
        <w:rPr>
          <w:bCs/>
          <w:highlight w:val="yellow"/>
        </w:rPr>
      </w:pPr>
      <w:r w:rsidRPr="00E43D28">
        <w:rPr>
          <w:bCs/>
          <w:highlight w:val="yellow"/>
        </w:rPr>
        <w:t xml:space="preserve">3.3.3. For a </w:t>
      </w:r>
      <w:proofErr w:type="spellStart"/>
      <w:r w:rsidRPr="00E43D28">
        <w:rPr>
          <w:bCs/>
          <w:highlight w:val="yellow"/>
        </w:rPr>
        <w:t>volarly</w:t>
      </w:r>
      <w:proofErr w:type="spellEnd"/>
      <w:r w:rsidRPr="00E43D28">
        <w:rPr>
          <w:bCs/>
          <w:highlight w:val="yellow"/>
        </w:rPr>
        <w:t xml:space="preserve"> displaced fracture, apply dorsal-directed pressure to the distal fragment while maintaining longitudinal traction.</w:t>
      </w:r>
    </w:p>
    <w:p w14:paraId="317F1C54" w14:textId="77777777" w:rsidR="007F6F5F" w:rsidRPr="00E43D28" w:rsidRDefault="007F6F5F">
      <w:pPr>
        <w:rPr>
          <w:bCs/>
          <w:highlight w:val="yellow"/>
        </w:rPr>
      </w:pPr>
    </w:p>
    <w:p w14:paraId="746EA03F" w14:textId="77777777" w:rsidR="007F6F5F" w:rsidRPr="00E43D28" w:rsidRDefault="00000000">
      <w:pPr>
        <w:rPr>
          <w:bCs/>
          <w:highlight w:val="yellow"/>
        </w:rPr>
      </w:pPr>
      <w:r w:rsidRPr="00E43D28">
        <w:rPr>
          <w:b/>
          <w:highlight w:val="yellow"/>
        </w:rPr>
        <w:t>NOTE:</w:t>
      </w:r>
      <w:r w:rsidRPr="00E43D28">
        <w:rPr>
          <w:bCs/>
          <w:highlight w:val="yellow"/>
        </w:rPr>
        <w:t xml:space="preserve"> Use this maneuver only for fracture configurations considered suitable for closed reduction.</w:t>
      </w:r>
    </w:p>
    <w:p w14:paraId="53069A01" w14:textId="77777777" w:rsidR="007F6F5F" w:rsidRPr="00E43D28" w:rsidRDefault="007F6F5F">
      <w:pPr>
        <w:rPr>
          <w:bCs/>
          <w:highlight w:val="yellow"/>
        </w:rPr>
      </w:pPr>
    </w:p>
    <w:p w14:paraId="3F4F01CA" w14:textId="77777777" w:rsidR="007F6F5F" w:rsidRPr="00E43D28" w:rsidRDefault="00000000">
      <w:pPr>
        <w:rPr>
          <w:bCs/>
          <w:highlight w:val="yellow"/>
        </w:rPr>
      </w:pPr>
      <w:r w:rsidRPr="00E43D28">
        <w:rPr>
          <w:bCs/>
          <w:highlight w:val="yellow"/>
        </w:rPr>
        <w:t>3.3.4. Adjust the forearm and wrist position incrementally until the clinical deformity is corrected. Avoid excessive flexion, extension, pronation, or supination.</w:t>
      </w:r>
    </w:p>
    <w:p w14:paraId="55046BA9" w14:textId="77777777" w:rsidR="007F6F5F" w:rsidRPr="00E43D28" w:rsidRDefault="007F6F5F">
      <w:pPr>
        <w:rPr>
          <w:bCs/>
          <w:highlight w:val="yellow"/>
        </w:rPr>
      </w:pPr>
    </w:p>
    <w:p w14:paraId="25A324F6" w14:textId="77777777" w:rsidR="007F6F5F" w:rsidRPr="00E43D28" w:rsidRDefault="00000000">
      <w:pPr>
        <w:rPr>
          <w:bCs/>
          <w:highlight w:val="yellow"/>
        </w:rPr>
      </w:pPr>
      <w:r w:rsidRPr="00E43D28">
        <w:rPr>
          <w:bCs/>
          <w:highlight w:val="yellow"/>
        </w:rPr>
        <w:t>3.4. Confirmation of reduction</w:t>
      </w:r>
    </w:p>
    <w:p w14:paraId="7ECDC0CA" w14:textId="77777777" w:rsidR="007F6F5F" w:rsidRPr="00E43D28" w:rsidRDefault="007F6F5F">
      <w:pPr>
        <w:rPr>
          <w:bCs/>
          <w:highlight w:val="yellow"/>
        </w:rPr>
      </w:pPr>
    </w:p>
    <w:p w14:paraId="3669F3E7" w14:textId="77777777" w:rsidR="007F6F5F" w:rsidRPr="00E43D28" w:rsidRDefault="00000000">
      <w:pPr>
        <w:rPr>
          <w:bCs/>
          <w:highlight w:val="yellow"/>
        </w:rPr>
      </w:pPr>
      <w:r w:rsidRPr="00E43D28">
        <w:rPr>
          <w:bCs/>
          <w:highlight w:val="yellow"/>
        </w:rPr>
        <w:t>3.4.1. Maintain longitudinal traction and inspect the wrist from the dorsal, volar, and lateral aspects.</w:t>
      </w:r>
    </w:p>
    <w:p w14:paraId="19BEBBC3" w14:textId="77777777" w:rsidR="007F6F5F" w:rsidRPr="00E43D28" w:rsidRDefault="007F6F5F">
      <w:pPr>
        <w:rPr>
          <w:bCs/>
          <w:highlight w:val="yellow"/>
        </w:rPr>
      </w:pPr>
    </w:p>
    <w:p w14:paraId="4535EF52" w14:textId="77777777" w:rsidR="007F6F5F" w:rsidRPr="00E43D28" w:rsidRDefault="00000000">
      <w:pPr>
        <w:rPr>
          <w:bCs/>
          <w:highlight w:val="yellow"/>
        </w:rPr>
      </w:pPr>
      <w:r w:rsidRPr="00E43D28">
        <w:rPr>
          <w:bCs/>
          <w:highlight w:val="yellow"/>
        </w:rPr>
        <w:t>3.4.2. Confirm that the dorsal prominence and radial deviation have improved and that the wrist contour approximates that of the contralateral side.</w:t>
      </w:r>
    </w:p>
    <w:p w14:paraId="412B0191" w14:textId="77777777" w:rsidR="007F6F5F" w:rsidRPr="00E43D28" w:rsidRDefault="007F6F5F">
      <w:pPr>
        <w:rPr>
          <w:bCs/>
          <w:highlight w:val="yellow"/>
        </w:rPr>
      </w:pPr>
    </w:p>
    <w:p w14:paraId="29E7FD48" w14:textId="77777777" w:rsidR="007F6F5F" w:rsidRPr="00E43D28" w:rsidRDefault="00000000">
      <w:pPr>
        <w:rPr>
          <w:bCs/>
          <w:highlight w:val="yellow"/>
        </w:rPr>
      </w:pPr>
      <w:r w:rsidRPr="00E43D28">
        <w:rPr>
          <w:bCs/>
          <w:highlight w:val="yellow"/>
        </w:rPr>
        <w:t xml:space="preserve">3.4.3. Compare the apparent radial length and the relative positions of the radial and ulnar </w:t>
      </w:r>
      <w:proofErr w:type="spellStart"/>
      <w:r w:rsidRPr="00E43D28">
        <w:rPr>
          <w:bCs/>
          <w:highlight w:val="yellow"/>
        </w:rPr>
        <w:t>styloids</w:t>
      </w:r>
      <w:proofErr w:type="spellEnd"/>
      <w:r w:rsidRPr="00E43D28">
        <w:rPr>
          <w:bCs/>
          <w:highlight w:val="yellow"/>
        </w:rPr>
        <w:t xml:space="preserve"> with those of the contralateral wrist.</w:t>
      </w:r>
    </w:p>
    <w:p w14:paraId="43EC7252" w14:textId="77777777" w:rsidR="007F6F5F" w:rsidRPr="00E43D28" w:rsidRDefault="007F6F5F">
      <w:pPr>
        <w:rPr>
          <w:bCs/>
          <w:highlight w:val="yellow"/>
        </w:rPr>
      </w:pPr>
    </w:p>
    <w:p w14:paraId="60EA9259" w14:textId="77777777" w:rsidR="007F6F5F" w:rsidRPr="00E43D28" w:rsidRDefault="00000000">
      <w:pPr>
        <w:rPr>
          <w:bCs/>
          <w:highlight w:val="yellow"/>
        </w:rPr>
      </w:pPr>
      <w:r w:rsidRPr="00E43D28">
        <w:rPr>
          <w:b/>
          <w:highlight w:val="yellow"/>
        </w:rPr>
        <w:t xml:space="preserve">NOTE: </w:t>
      </w:r>
      <w:r w:rsidRPr="00E43D28">
        <w:rPr>
          <w:bCs/>
          <w:highlight w:val="yellow"/>
        </w:rPr>
        <w:t xml:space="preserve">Use this assessment only as a preliminary clinical indicator. Confirm the reduction radiographically as described in </w:t>
      </w:r>
      <w:r w:rsidRPr="00E43D28">
        <w:rPr>
          <w:bCs/>
          <w:i/>
          <w:iCs/>
          <w:highlight w:val="yellow"/>
        </w:rPr>
        <w:t>section 5.1</w:t>
      </w:r>
      <w:r w:rsidRPr="00E43D28">
        <w:rPr>
          <w:bCs/>
          <w:highlight w:val="yellow"/>
        </w:rPr>
        <w:t>.</w:t>
      </w:r>
    </w:p>
    <w:p w14:paraId="21FD4304" w14:textId="77777777" w:rsidR="007F6F5F" w:rsidRPr="00E43D28" w:rsidRDefault="007F6F5F">
      <w:pPr>
        <w:rPr>
          <w:bCs/>
          <w:highlight w:val="yellow"/>
        </w:rPr>
      </w:pPr>
    </w:p>
    <w:p w14:paraId="0C00AC66" w14:textId="77777777" w:rsidR="007F6F5F" w:rsidRPr="00E43D28" w:rsidRDefault="00000000">
      <w:pPr>
        <w:rPr>
          <w:bCs/>
          <w:highlight w:val="yellow"/>
        </w:rPr>
      </w:pPr>
      <w:r w:rsidRPr="00E43D28">
        <w:rPr>
          <w:bCs/>
          <w:highlight w:val="yellow"/>
        </w:rPr>
        <w:t>3.4.4. Ask the patient to actively flex and extend all fingers. Confirm that finger movement is smooth and does not produce mechanical blocking or severe pain.</w:t>
      </w:r>
    </w:p>
    <w:p w14:paraId="10E28486" w14:textId="77777777" w:rsidR="007F6F5F" w:rsidRPr="00E43D28" w:rsidRDefault="007F6F5F">
      <w:pPr>
        <w:rPr>
          <w:bCs/>
          <w:highlight w:val="yellow"/>
        </w:rPr>
      </w:pPr>
    </w:p>
    <w:p w14:paraId="5D02B662" w14:textId="77777777" w:rsidR="007F6F5F" w:rsidRPr="00E43D28" w:rsidRDefault="00000000">
      <w:pPr>
        <w:rPr>
          <w:bCs/>
          <w:highlight w:val="yellow"/>
        </w:rPr>
      </w:pPr>
      <w:r w:rsidRPr="00E43D28">
        <w:rPr>
          <w:bCs/>
          <w:highlight w:val="yellow"/>
        </w:rPr>
        <w:t>3.4.5. Stop further manipulation if finger motion becomes restricted or marked pain is elicited.</w:t>
      </w:r>
    </w:p>
    <w:p w14:paraId="4C1BC629" w14:textId="77777777" w:rsidR="007F6F5F" w:rsidRPr="00E43D28" w:rsidRDefault="007F6F5F">
      <w:pPr>
        <w:rPr>
          <w:bCs/>
          <w:highlight w:val="yellow"/>
        </w:rPr>
      </w:pPr>
    </w:p>
    <w:p w14:paraId="608DF6B3" w14:textId="77777777" w:rsidR="007F6F5F" w:rsidRPr="00E43D28" w:rsidRDefault="00000000">
      <w:pPr>
        <w:rPr>
          <w:bCs/>
          <w:highlight w:val="yellow"/>
        </w:rPr>
      </w:pPr>
      <w:r w:rsidRPr="00E43D28">
        <w:rPr>
          <w:bCs/>
          <w:highlight w:val="yellow"/>
        </w:rPr>
        <w:t>3.4.6. Repeat and document the complete distal neurovascular assessment, including capillary refill, radial and ulnar pulses, skin color and temperature, active finger movement, and median, radial, and ulnar nerve motor and sensory function.</w:t>
      </w:r>
    </w:p>
    <w:p w14:paraId="413E08C5" w14:textId="77777777" w:rsidR="007F6F5F" w:rsidRPr="00E43D28" w:rsidRDefault="007F6F5F">
      <w:pPr>
        <w:rPr>
          <w:bCs/>
          <w:highlight w:val="yellow"/>
        </w:rPr>
      </w:pPr>
    </w:p>
    <w:p w14:paraId="03E33BF2" w14:textId="77777777" w:rsidR="007F6F5F" w:rsidRPr="00E43D28" w:rsidRDefault="00000000">
      <w:pPr>
        <w:rPr>
          <w:bCs/>
          <w:highlight w:val="yellow"/>
        </w:rPr>
      </w:pPr>
      <w:r w:rsidRPr="00E43D28">
        <w:rPr>
          <w:bCs/>
          <w:highlight w:val="yellow"/>
        </w:rPr>
        <w:t>3.4.7. Stop the procedure if any new neurovascular abnormality is identified.</w:t>
      </w:r>
    </w:p>
    <w:p w14:paraId="3F7F663E" w14:textId="77777777" w:rsidR="007F6F5F" w:rsidRPr="00E43D28" w:rsidRDefault="007F6F5F">
      <w:pPr>
        <w:rPr>
          <w:bCs/>
          <w:highlight w:val="yellow"/>
        </w:rPr>
      </w:pPr>
    </w:p>
    <w:p w14:paraId="15821C43" w14:textId="77777777" w:rsidR="007F6F5F" w:rsidRPr="00E43D28" w:rsidRDefault="00000000">
      <w:pPr>
        <w:rPr>
          <w:bCs/>
          <w:highlight w:val="yellow"/>
        </w:rPr>
      </w:pPr>
      <w:r w:rsidRPr="00E43D28">
        <w:rPr>
          <w:bCs/>
          <w:highlight w:val="yellow"/>
        </w:rPr>
        <w:t>3.5. Maintenance of reduction</w:t>
      </w:r>
    </w:p>
    <w:p w14:paraId="3B82F19C" w14:textId="77777777" w:rsidR="007F6F5F" w:rsidRPr="00E43D28" w:rsidRDefault="007F6F5F">
      <w:pPr>
        <w:rPr>
          <w:bCs/>
          <w:highlight w:val="yellow"/>
        </w:rPr>
      </w:pPr>
    </w:p>
    <w:p w14:paraId="297BBB26" w14:textId="77777777" w:rsidR="007F6F5F" w:rsidRPr="00E43D28" w:rsidRDefault="00000000">
      <w:pPr>
        <w:rPr>
          <w:bCs/>
          <w:highlight w:val="yellow"/>
        </w:rPr>
      </w:pPr>
      <w:r w:rsidRPr="00E43D28">
        <w:rPr>
          <w:bCs/>
          <w:highlight w:val="yellow"/>
        </w:rPr>
        <w:t>3.5.1. Maintain the corrected wrist in approximately 15°–20° of palmar flexion and 10°–15° of ulnar deviation.</w:t>
      </w:r>
    </w:p>
    <w:p w14:paraId="0AC7739B" w14:textId="77777777" w:rsidR="007F6F5F" w:rsidRPr="00E43D28" w:rsidRDefault="007F6F5F">
      <w:pPr>
        <w:rPr>
          <w:bCs/>
          <w:highlight w:val="yellow"/>
        </w:rPr>
      </w:pPr>
    </w:p>
    <w:p w14:paraId="20AAA9C6" w14:textId="77777777" w:rsidR="007F6F5F" w:rsidRPr="00E43D28" w:rsidRDefault="00000000">
      <w:pPr>
        <w:rPr>
          <w:bCs/>
          <w:highlight w:val="yellow"/>
        </w:rPr>
      </w:pPr>
      <w:r w:rsidRPr="00E43D28">
        <w:rPr>
          <w:bCs/>
          <w:highlight w:val="yellow"/>
        </w:rPr>
        <w:t>3.5.2. Maintain the forearm in a neutral position or slight supination of approximately 15°–20°.</w:t>
      </w:r>
    </w:p>
    <w:p w14:paraId="4E3FC7B4" w14:textId="77777777" w:rsidR="007F6F5F" w:rsidRPr="00E43D28" w:rsidRDefault="007F6F5F">
      <w:pPr>
        <w:rPr>
          <w:bCs/>
          <w:highlight w:val="yellow"/>
        </w:rPr>
      </w:pPr>
    </w:p>
    <w:p w14:paraId="7FDD15C2" w14:textId="77777777" w:rsidR="007F6F5F" w:rsidRPr="00E43D28" w:rsidRDefault="00000000">
      <w:pPr>
        <w:rPr>
          <w:bCs/>
          <w:highlight w:val="yellow"/>
        </w:rPr>
      </w:pPr>
      <w:r w:rsidRPr="00E43D28">
        <w:rPr>
          <w:bCs/>
          <w:highlight w:val="yellow"/>
        </w:rPr>
        <w:t>3.5.3. Maintain continuous control of the distal fragment while the assistant applies the pressure pads, protective padding, and four splints.</w:t>
      </w:r>
    </w:p>
    <w:p w14:paraId="5F98BDB8" w14:textId="77777777" w:rsidR="007F6F5F" w:rsidRPr="00E43D28" w:rsidRDefault="007F6F5F">
      <w:pPr>
        <w:rPr>
          <w:bCs/>
          <w:highlight w:val="yellow"/>
        </w:rPr>
      </w:pPr>
    </w:p>
    <w:p w14:paraId="01B31AA2" w14:textId="77777777" w:rsidR="007F6F5F" w:rsidRPr="00E43D28" w:rsidRDefault="00000000">
      <w:pPr>
        <w:rPr>
          <w:bCs/>
          <w:highlight w:val="yellow"/>
        </w:rPr>
      </w:pPr>
      <w:r w:rsidRPr="00E43D28">
        <w:rPr>
          <w:bCs/>
          <w:highlight w:val="yellow"/>
        </w:rPr>
        <w:t>3.5.4. Do not release the reduction until all splints and fixation straps have been secured.</w:t>
      </w:r>
    </w:p>
    <w:p w14:paraId="4F1163B6" w14:textId="77777777" w:rsidR="007F6F5F" w:rsidRPr="00E43D28" w:rsidRDefault="007F6F5F">
      <w:pPr>
        <w:rPr>
          <w:bCs/>
          <w:highlight w:val="yellow"/>
        </w:rPr>
      </w:pPr>
    </w:p>
    <w:p w14:paraId="692B130F" w14:textId="77777777" w:rsidR="007F6F5F" w:rsidRPr="00E43D28" w:rsidRDefault="00000000">
      <w:pPr>
        <w:rPr>
          <w:bCs/>
          <w:highlight w:val="yellow"/>
        </w:rPr>
      </w:pPr>
      <w:r w:rsidRPr="00E43D28">
        <w:rPr>
          <w:bCs/>
          <w:highlight w:val="yellow"/>
        </w:rPr>
        <w:t>3.5.5. Repeat the complete reduction maneuver no more than two times.</w:t>
      </w:r>
    </w:p>
    <w:p w14:paraId="34872468" w14:textId="77777777" w:rsidR="007F6F5F" w:rsidRPr="00E43D28" w:rsidRDefault="007F6F5F">
      <w:pPr>
        <w:rPr>
          <w:bCs/>
          <w:highlight w:val="yellow"/>
        </w:rPr>
      </w:pPr>
    </w:p>
    <w:p w14:paraId="3F8C6A38" w14:textId="77777777" w:rsidR="007F6F5F" w:rsidRPr="00E43D28" w:rsidRDefault="00000000">
      <w:pPr>
        <w:rPr>
          <w:bCs/>
          <w:highlight w:val="yellow"/>
        </w:rPr>
      </w:pPr>
      <w:r w:rsidRPr="00E43D28">
        <w:rPr>
          <w:bCs/>
          <w:highlight w:val="yellow"/>
        </w:rPr>
        <w:t xml:space="preserve">3.5.6. Discontinue closed reduction and evaluate the patient for surgical treatment if acceptable alignment cannot be achieved or maintained, if the fracture immediately </w:t>
      </w:r>
      <w:proofErr w:type="spellStart"/>
      <w:r w:rsidRPr="00E43D28">
        <w:rPr>
          <w:bCs/>
          <w:highlight w:val="yellow"/>
        </w:rPr>
        <w:t>redisplaces</w:t>
      </w:r>
      <w:proofErr w:type="spellEnd"/>
      <w:r w:rsidRPr="00E43D28">
        <w:rPr>
          <w:bCs/>
          <w:highlight w:val="yellow"/>
        </w:rPr>
        <w:t>, or if neurovascular function deteriorates.</w:t>
      </w:r>
    </w:p>
    <w:p w14:paraId="08D3C847" w14:textId="77777777" w:rsidR="007F6F5F" w:rsidRPr="00E43D28" w:rsidRDefault="007F6F5F">
      <w:pPr>
        <w:rPr>
          <w:b/>
          <w:highlight w:val="yellow"/>
        </w:rPr>
      </w:pPr>
    </w:p>
    <w:p w14:paraId="3FB70EC7" w14:textId="77777777" w:rsidR="007F6F5F" w:rsidRPr="00E43D28" w:rsidRDefault="00000000">
      <w:pPr>
        <w:rPr>
          <w:b/>
          <w:highlight w:val="yellow"/>
        </w:rPr>
      </w:pPr>
      <w:r w:rsidRPr="00E43D28">
        <w:rPr>
          <w:b/>
          <w:highlight w:val="yellow"/>
        </w:rPr>
        <w:t>4. Splint immobilization</w:t>
      </w:r>
    </w:p>
    <w:p w14:paraId="76E7C46A" w14:textId="77777777" w:rsidR="007F6F5F" w:rsidRPr="00E43D28" w:rsidRDefault="007F6F5F">
      <w:pPr>
        <w:rPr>
          <w:b/>
          <w:highlight w:val="yellow"/>
        </w:rPr>
      </w:pPr>
    </w:p>
    <w:p w14:paraId="6CBED0F7" w14:textId="77777777" w:rsidR="007F6F5F" w:rsidRPr="00E43D28" w:rsidRDefault="00000000">
      <w:pPr>
        <w:rPr>
          <w:bCs/>
          <w:highlight w:val="yellow"/>
        </w:rPr>
      </w:pPr>
      <w:r w:rsidRPr="00E43D28">
        <w:rPr>
          <w:bCs/>
          <w:highlight w:val="yellow"/>
        </w:rPr>
        <w:t>4.1. Preparation of the limb</w:t>
      </w:r>
    </w:p>
    <w:p w14:paraId="6F638A6A" w14:textId="77777777" w:rsidR="007F6F5F" w:rsidRPr="00E43D28" w:rsidRDefault="007F6F5F">
      <w:pPr>
        <w:rPr>
          <w:bCs/>
          <w:highlight w:val="yellow"/>
        </w:rPr>
      </w:pPr>
    </w:p>
    <w:p w14:paraId="58C1F9EB" w14:textId="77777777" w:rsidR="007F6F5F" w:rsidRPr="00E43D28" w:rsidRDefault="00000000">
      <w:pPr>
        <w:rPr>
          <w:bCs/>
          <w:highlight w:val="yellow"/>
        </w:rPr>
      </w:pPr>
      <w:r w:rsidRPr="00E43D28">
        <w:rPr>
          <w:bCs/>
          <w:highlight w:val="yellow"/>
        </w:rPr>
        <w:t>4.1.1. Maintain the reduced wrist position. Apply protective padding over the fracture region and bony prominences.</w:t>
      </w:r>
    </w:p>
    <w:p w14:paraId="249D9E7D" w14:textId="77777777" w:rsidR="007F6F5F" w:rsidRPr="00E43D28" w:rsidRDefault="007F6F5F">
      <w:pPr>
        <w:rPr>
          <w:bCs/>
          <w:highlight w:val="yellow"/>
        </w:rPr>
      </w:pPr>
    </w:p>
    <w:p w14:paraId="4DD5ED63" w14:textId="77777777" w:rsidR="007F6F5F" w:rsidRPr="00E43D28" w:rsidRDefault="00000000">
      <w:pPr>
        <w:rPr>
          <w:bCs/>
          <w:highlight w:val="yellow"/>
        </w:rPr>
      </w:pPr>
      <w:r w:rsidRPr="00E43D28">
        <w:rPr>
          <w:bCs/>
          <w:highlight w:val="yellow"/>
        </w:rPr>
        <w:t>4.1.2. Smooth the padding to prevent folds and focal pressure.</w:t>
      </w:r>
    </w:p>
    <w:p w14:paraId="2300CFD9" w14:textId="77777777" w:rsidR="007F6F5F" w:rsidRPr="00E43D28" w:rsidRDefault="007F6F5F">
      <w:pPr>
        <w:rPr>
          <w:bCs/>
          <w:highlight w:val="yellow"/>
        </w:rPr>
      </w:pPr>
    </w:p>
    <w:p w14:paraId="71328C59" w14:textId="77777777" w:rsidR="007F6F5F" w:rsidRPr="00E43D28" w:rsidRDefault="00000000">
      <w:pPr>
        <w:rPr>
          <w:bCs/>
          <w:highlight w:val="yellow"/>
        </w:rPr>
      </w:pPr>
      <w:r w:rsidRPr="00E43D28">
        <w:rPr>
          <w:bCs/>
          <w:highlight w:val="yellow"/>
        </w:rPr>
        <w:t>4.1.3. Confirm that the four fir-bark splints have been trimmed according to the patient’s forearm dimensions.</w:t>
      </w:r>
    </w:p>
    <w:p w14:paraId="3B3F2E57" w14:textId="77777777" w:rsidR="007F6F5F" w:rsidRPr="00E43D28" w:rsidRDefault="007F6F5F">
      <w:pPr>
        <w:rPr>
          <w:bCs/>
          <w:highlight w:val="yellow"/>
        </w:rPr>
      </w:pPr>
    </w:p>
    <w:p w14:paraId="01E18AC3" w14:textId="77777777" w:rsidR="007F6F5F" w:rsidRPr="00E43D28" w:rsidRDefault="00000000">
      <w:pPr>
        <w:rPr>
          <w:bCs/>
          <w:highlight w:val="yellow"/>
        </w:rPr>
      </w:pPr>
      <w:r w:rsidRPr="00E43D28">
        <w:rPr>
          <w:bCs/>
          <w:highlight w:val="yellow"/>
        </w:rPr>
        <w:t>4.1.4. Ensure that all edges have been smoothed and covered with two layers of gauze.</w:t>
      </w:r>
    </w:p>
    <w:p w14:paraId="4495156F" w14:textId="77777777" w:rsidR="007F6F5F" w:rsidRPr="00E43D28" w:rsidRDefault="007F6F5F">
      <w:pPr>
        <w:rPr>
          <w:bCs/>
          <w:highlight w:val="yellow"/>
        </w:rPr>
      </w:pPr>
    </w:p>
    <w:p w14:paraId="26641ED1" w14:textId="77777777" w:rsidR="007F6F5F" w:rsidRPr="00E43D28" w:rsidRDefault="00000000">
      <w:pPr>
        <w:rPr>
          <w:bCs/>
          <w:highlight w:val="yellow"/>
        </w:rPr>
      </w:pPr>
      <w:r w:rsidRPr="00E43D28">
        <w:rPr>
          <w:bCs/>
          <w:highlight w:val="yellow"/>
        </w:rPr>
        <w:t>4.2. Placement of the four splints</w:t>
      </w:r>
    </w:p>
    <w:p w14:paraId="69FEFA16" w14:textId="77777777" w:rsidR="007F6F5F" w:rsidRPr="00E43D28" w:rsidRDefault="007F6F5F">
      <w:pPr>
        <w:rPr>
          <w:bCs/>
          <w:highlight w:val="yellow"/>
        </w:rPr>
      </w:pPr>
    </w:p>
    <w:p w14:paraId="75CD06BD" w14:textId="77777777" w:rsidR="007F6F5F" w:rsidRPr="00E43D28" w:rsidRDefault="00000000">
      <w:pPr>
        <w:rPr>
          <w:bCs/>
          <w:highlight w:val="yellow"/>
        </w:rPr>
      </w:pPr>
      <w:r w:rsidRPr="00E43D28">
        <w:rPr>
          <w:bCs/>
          <w:highlight w:val="yellow"/>
        </w:rPr>
        <w:t>4.2.1. Place the volar and dorsal splints along the corresponding aspects of the forearm while maintaining the reduction.</w:t>
      </w:r>
    </w:p>
    <w:p w14:paraId="55887E50" w14:textId="77777777" w:rsidR="007F6F5F" w:rsidRPr="00E43D28" w:rsidRDefault="007F6F5F">
      <w:pPr>
        <w:rPr>
          <w:bCs/>
          <w:highlight w:val="yellow"/>
        </w:rPr>
      </w:pPr>
    </w:p>
    <w:p w14:paraId="7062B46D" w14:textId="77777777" w:rsidR="007F6F5F" w:rsidRPr="00E43D28" w:rsidRDefault="00000000">
      <w:pPr>
        <w:rPr>
          <w:bCs/>
          <w:highlight w:val="yellow"/>
        </w:rPr>
      </w:pPr>
      <w:r w:rsidRPr="00E43D28">
        <w:rPr>
          <w:bCs/>
          <w:highlight w:val="yellow"/>
        </w:rPr>
        <w:t>4.2.2. Leave the fingers and elbow free for examination and movement.</w:t>
      </w:r>
    </w:p>
    <w:p w14:paraId="15B0B2FC" w14:textId="77777777" w:rsidR="007F6F5F" w:rsidRPr="00E43D28" w:rsidRDefault="007F6F5F">
      <w:pPr>
        <w:rPr>
          <w:bCs/>
          <w:highlight w:val="yellow"/>
        </w:rPr>
      </w:pPr>
    </w:p>
    <w:p w14:paraId="36CF2AEA" w14:textId="77777777" w:rsidR="007F6F5F" w:rsidRPr="00E43D28" w:rsidRDefault="00000000">
      <w:pPr>
        <w:rPr>
          <w:bCs/>
          <w:highlight w:val="yellow"/>
        </w:rPr>
      </w:pPr>
      <w:r w:rsidRPr="00E43D28">
        <w:rPr>
          <w:bCs/>
          <w:highlight w:val="yellow"/>
        </w:rPr>
        <w:t>4.2.3. Place the radial and ulnar splints along the corresponding sides of the forearm.</w:t>
      </w:r>
    </w:p>
    <w:p w14:paraId="44AE23C8" w14:textId="77777777" w:rsidR="007F6F5F" w:rsidRPr="00E43D28" w:rsidRDefault="007F6F5F">
      <w:pPr>
        <w:rPr>
          <w:bCs/>
          <w:highlight w:val="yellow"/>
        </w:rPr>
      </w:pPr>
    </w:p>
    <w:p w14:paraId="679F8226" w14:textId="77777777" w:rsidR="007F6F5F" w:rsidRPr="00E43D28" w:rsidRDefault="00000000">
      <w:pPr>
        <w:rPr>
          <w:bCs/>
          <w:highlight w:val="yellow"/>
        </w:rPr>
      </w:pPr>
      <w:r w:rsidRPr="00E43D28">
        <w:rPr>
          <w:bCs/>
          <w:highlight w:val="yellow"/>
        </w:rPr>
        <w:t>4.2.4. Maintain a small interval between adjacent splints to accommodate swelling and avoid circumferential compression.</w:t>
      </w:r>
    </w:p>
    <w:p w14:paraId="6D50EB7B" w14:textId="77777777" w:rsidR="007F6F5F" w:rsidRPr="00E43D28" w:rsidRDefault="007F6F5F">
      <w:pPr>
        <w:rPr>
          <w:bCs/>
          <w:highlight w:val="yellow"/>
        </w:rPr>
      </w:pPr>
    </w:p>
    <w:p w14:paraId="5466BB4E" w14:textId="77777777" w:rsidR="007F6F5F" w:rsidRPr="00E43D28" w:rsidRDefault="00000000">
      <w:pPr>
        <w:rPr>
          <w:bCs/>
          <w:highlight w:val="yellow"/>
        </w:rPr>
      </w:pPr>
      <w:r w:rsidRPr="00E43D28">
        <w:rPr>
          <w:bCs/>
          <w:highlight w:val="yellow"/>
        </w:rPr>
        <w:t>4.2.5. Confirm that the splints cover the fracture region without directly compressing the radial styloid, ulnar styloid, or other bony prominences.</w:t>
      </w:r>
    </w:p>
    <w:p w14:paraId="042C6F4A" w14:textId="77777777" w:rsidR="007F6F5F" w:rsidRPr="00E43D28" w:rsidRDefault="007F6F5F">
      <w:pPr>
        <w:rPr>
          <w:bCs/>
          <w:highlight w:val="yellow"/>
        </w:rPr>
      </w:pPr>
    </w:p>
    <w:p w14:paraId="37B61617" w14:textId="77777777" w:rsidR="007F6F5F" w:rsidRPr="00E43D28" w:rsidRDefault="00000000">
      <w:pPr>
        <w:rPr>
          <w:bCs/>
          <w:highlight w:val="yellow"/>
        </w:rPr>
      </w:pPr>
      <w:r w:rsidRPr="00E43D28">
        <w:rPr>
          <w:bCs/>
          <w:highlight w:val="yellow"/>
        </w:rPr>
        <w:t>4.2.6. Adjust the padding where necessary.</w:t>
      </w:r>
    </w:p>
    <w:p w14:paraId="5F7A50A3" w14:textId="77777777" w:rsidR="007F6F5F" w:rsidRPr="00E43D28" w:rsidRDefault="007F6F5F">
      <w:pPr>
        <w:rPr>
          <w:bCs/>
          <w:highlight w:val="yellow"/>
        </w:rPr>
      </w:pPr>
    </w:p>
    <w:p w14:paraId="727466B6" w14:textId="77777777" w:rsidR="007F6F5F" w:rsidRPr="00E43D28" w:rsidRDefault="00000000">
      <w:pPr>
        <w:rPr>
          <w:bCs/>
          <w:highlight w:val="yellow"/>
        </w:rPr>
      </w:pPr>
      <w:r w:rsidRPr="00E43D28">
        <w:rPr>
          <w:bCs/>
          <w:highlight w:val="yellow"/>
        </w:rPr>
        <w:t>4.3. Securing the splints</w:t>
      </w:r>
    </w:p>
    <w:p w14:paraId="76954ABA" w14:textId="77777777" w:rsidR="007F6F5F" w:rsidRPr="00E43D28" w:rsidRDefault="007F6F5F">
      <w:pPr>
        <w:rPr>
          <w:bCs/>
          <w:highlight w:val="yellow"/>
        </w:rPr>
      </w:pPr>
    </w:p>
    <w:p w14:paraId="5860B017" w14:textId="77777777" w:rsidR="007F6F5F" w:rsidRPr="00E43D28" w:rsidRDefault="00000000">
      <w:pPr>
        <w:rPr>
          <w:bCs/>
          <w:highlight w:val="yellow"/>
        </w:rPr>
      </w:pPr>
      <w:r w:rsidRPr="00E43D28">
        <w:rPr>
          <w:bCs/>
          <w:highlight w:val="yellow"/>
        </w:rPr>
        <w:t>4.3.1. Secure the splints using the prepared fixation straps and bandage. Apply the straps in the predetermined sequence while maintaining the corrected wrist position.</w:t>
      </w:r>
    </w:p>
    <w:p w14:paraId="10503933" w14:textId="77777777" w:rsidR="007F6F5F" w:rsidRPr="00E43D28" w:rsidRDefault="007F6F5F">
      <w:pPr>
        <w:rPr>
          <w:bCs/>
          <w:highlight w:val="yellow"/>
        </w:rPr>
      </w:pPr>
    </w:p>
    <w:p w14:paraId="70AF2102" w14:textId="77777777" w:rsidR="007F6F5F" w:rsidRPr="00E43D28" w:rsidRDefault="00000000">
      <w:pPr>
        <w:rPr>
          <w:bCs/>
          <w:highlight w:val="yellow"/>
        </w:rPr>
      </w:pPr>
      <w:r w:rsidRPr="00E43D28">
        <w:rPr>
          <w:bCs/>
          <w:highlight w:val="yellow"/>
        </w:rPr>
        <w:t>4.3.2. Tighten each strap sufficiently to stabilize the splints. Allow approximately one finger to pass beneath each strap.</w:t>
      </w:r>
    </w:p>
    <w:p w14:paraId="09922E82" w14:textId="77777777" w:rsidR="007F6F5F" w:rsidRPr="00E43D28" w:rsidRDefault="007F6F5F">
      <w:pPr>
        <w:rPr>
          <w:bCs/>
          <w:highlight w:val="yellow"/>
        </w:rPr>
      </w:pPr>
    </w:p>
    <w:p w14:paraId="480EF08A" w14:textId="77777777" w:rsidR="007F6F5F" w:rsidRPr="00E43D28" w:rsidRDefault="00000000">
      <w:pPr>
        <w:rPr>
          <w:bCs/>
          <w:highlight w:val="yellow"/>
        </w:rPr>
      </w:pPr>
      <w:r w:rsidRPr="00E43D28">
        <w:rPr>
          <w:bCs/>
          <w:highlight w:val="yellow"/>
        </w:rPr>
        <w:t>4.3.3. Use releasable knots so that the construct can be loosened promptly if swelling develops.</w:t>
      </w:r>
    </w:p>
    <w:p w14:paraId="002ECAA2" w14:textId="77777777" w:rsidR="007F6F5F" w:rsidRPr="00E43D28" w:rsidRDefault="007F6F5F">
      <w:pPr>
        <w:rPr>
          <w:bCs/>
          <w:highlight w:val="yellow"/>
        </w:rPr>
      </w:pPr>
    </w:p>
    <w:p w14:paraId="1E205CEE" w14:textId="77777777" w:rsidR="007F6F5F" w:rsidRPr="00E43D28" w:rsidRDefault="00000000">
      <w:pPr>
        <w:rPr>
          <w:bCs/>
          <w:highlight w:val="yellow"/>
        </w:rPr>
      </w:pPr>
      <w:r w:rsidRPr="00E43D28">
        <w:rPr>
          <w:bCs/>
          <w:highlight w:val="yellow"/>
        </w:rPr>
        <w:t>4.3.4. Confirm that the wrist and forearm remain in the intended position after all straps have been secured.</w:t>
      </w:r>
    </w:p>
    <w:p w14:paraId="5A99D327" w14:textId="77777777" w:rsidR="007F6F5F" w:rsidRPr="00E43D28" w:rsidRDefault="007F6F5F">
      <w:pPr>
        <w:rPr>
          <w:bCs/>
          <w:highlight w:val="yellow"/>
        </w:rPr>
      </w:pPr>
    </w:p>
    <w:p w14:paraId="5A466C56" w14:textId="77777777" w:rsidR="007F6F5F" w:rsidRPr="00E43D28" w:rsidRDefault="00000000">
      <w:pPr>
        <w:rPr>
          <w:bCs/>
          <w:highlight w:val="yellow"/>
        </w:rPr>
      </w:pPr>
      <w:r w:rsidRPr="00E43D28">
        <w:rPr>
          <w:bCs/>
          <w:highlight w:val="yellow"/>
        </w:rPr>
        <w:t>4.3.5. Re-adjust the construct if alignment is lost.</w:t>
      </w:r>
    </w:p>
    <w:p w14:paraId="5AB71208" w14:textId="77777777" w:rsidR="007F6F5F" w:rsidRPr="00E43D28" w:rsidRDefault="007F6F5F">
      <w:pPr>
        <w:rPr>
          <w:bCs/>
          <w:highlight w:val="yellow"/>
        </w:rPr>
      </w:pPr>
    </w:p>
    <w:p w14:paraId="3C3BA13C" w14:textId="77777777" w:rsidR="007F6F5F" w:rsidRPr="00E43D28" w:rsidRDefault="00000000">
      <w:pPr>
        <w:rPr>
          <w:bCs/>
          <w:highlight w:val="yellow"/>
        </w:rPr>
      </w:pPr>
      <w:r w:rsidRPr="00E43D28">
        <w:rPr>
          <w:bCs/>
          <w:highlight w:val="yellow"/>
        </w:rPr>
        <w:t>4.4. Post-splint neurovascular assessment</w:t>
      </w:r>
    </w:p>
    <w:p w14:paraId="56A55CF4" w14:textId="77777777" w:rsidR="007F6F5F" w:rsidRPr="00E43D28" w:rsidRDefault="007F6F5F">
      <w:pPr>
        <w:rPr>
          <w:bCs/>
          <w:highlight w:val="yellow"/>
        </w:rPr>
      </w:pPr>
    </w:p>
    <w:p w14:paraId="20EBD489" w14:textId="77777777" w:rsidR="007F6F5F" w:rsidRPr="00E43D28" w:rsidRDefault="00000000">
      <w:pPr>
        <w:rPr>
          <w:bCs/>
          <w:highlight w:val="yellow"/>
        </w:rPr>
      </w:pPr>
      <w:r w:rsidRPr="00E43D28">
        <w:rPr>
          <w:bCs/>
          <w:highlight w:val="yellow"/>
        </w:rPr>
        <w:t>4.4.1. Reassess capillary refill time, radial and ulnar pulses, skin color and temperature, and active finger movement immediately after splint application.</w:t>
      </w:r>
    </w:p>
    <w:p w14:paraId="124541B9" w14:textId="77777777" w:rsidR="007F6F5F" w:rsidRPr="00E43D28" w:rsidRDefault="007F6F5F">
      <w:pPr>
        <w:rPr>
          <w:bCs/>
          <w:highlight w:val="yellow"/>
        </w:rPr>
      </w:pPr>
    </w:p>
    <w:p w14:paraId="05F7014B" w14:textId="77777777" w:rsidR="007F6F5F" w:rsidRPr="00E43D28" w:rsidRDefault="00000000">
      <w:pPr>
        <w:rPr>
          <w:bCs/>
          <w:highlight w:val="yellow"/>
        </w:rPr>
      </w:pPr>
      <w:r w:rsidRPr="00E43D28">
        <w:rPr>
          <w:bCs/>
          <w:highlight w:val="yellow"/>
        </w:rPr>
        <w:t>4.4.2. Reassess median, radial, and ulnar nerve motor and sensory function.</w:t>
      </w:r>
    </w:p>
    <w:p w14:paraId="6FF95EBA" w14:textId="77777777" w:rsidR="007F6F5F" w:rsidRPr="00E43D28" w:rsidRDefault="007F6F5F">
      <w:pPr>
        <w:rPr>
          <w:bCs/>
          <w:highlight w:val="yellow"/>
        </w:rPr>
      </w:pPr>
    </w:p>
    <w:p w14:paraId="4CB40685" w14:textId="77777777" w:rsidR="007F6F5F" w:rsidRPr="00E43D28" w:rsidRDefault="00000000">
      <w:pPr>
        <w:rPr>
          <w:bCs/>
          <w:highlight w:val="yellow"/>
        </w:rPr>
      </w:pPr>
      <w:r w:rsidRPr="00E43D28">
        <w:rPr>
          <w:bCs/>
          <w:highlight w:val="yellow"/>
        </w:rPr>
        <w:t>4.4.3. Compare all findings with the pre-reduction and immediate post-reduction records.</w:t>
      </w:r>
    </w:p>
    <w:p w14:paraId="316B0D62" w14:textId="77777777" w:rsidR="007F6F5F" w:rsidRPr="00E43D28" w:rsidRDefault="007F6F5F">
      <w:pPr>
        <w:rPr>
          <w:bCs/>
          <w:highlight w:val="yellow"/>
        </w:rPr>
      </w:pPr>
    </w:p>
    <w:p w14:paraId="72ED461C" w14:textId="77777777" w:rsidR="007F6F5F" w:rsidRPr="00E43D28" w:rsidRDefault="00000000">
      <w:pPr>
        <w:rPr>
          <w:bCs/>
          <w:highlight w:val="yellow"/>
        </w:rPr>
      </w:pPr>
      <w:r w:rsidRPr="00E43D28">
        <w:rPr>
          <w:bCs/>
          <w:highlight w:val="yellow"/>
        </w:rPr>
        <w:t>4.4.4. Loosen or remove the splint immediately if the patient develops increasing pain, pallor, cyanosis, reduced skin temperature, delayed capillary refill, numbness, weakness, or loss of pulse.</w:t>
      </w:r>
    </w:p>
    <w:p w14:paraId="13A79464" w14:textId="77777777" w:rsidR="007F6F5F" w:rsidRPr="00E43D28" w:rsidRDefault="007F6F5F">
      <w:pPr>
        <w:rPr>
          <w:bCs/>
          <w:highlight w:val="yellow"/>
        </w:rPr>
      </w:pPr>
    </w:p>
    <w:p w14:paraId="1EF46951" w14:textId="77777777" w:rsidR="007F6F5F" w:rsidRDefault="00000000">
      <w:pPr>
        <w:rPr>
          <w:bCs/>
        </w:rPr>
      </w:pPr>
      <w:r w:rsidRPr="00E43D28">
        <w:rPr>
          <w:bCs/>
          <w:highlight w:val="yellow"/>
        </w:rPr>
        <w:t>4.4.5. Escalate treatment if the abnormality does not resolve promptly.</w:t>
      </w:r>
    </w:p>
    <w:p w14:paraId="2179099E" w14:textId="77777777" w:rsidR="007F6F5F" w:rsidRDefault="007F6F5F">
      <w:pPr>
        <w:rPr>
          <w:b/>
        </w:rPr>
      </w:pPr>
    </w:p>
    <w:p w14:paraId="3B72A6EC" w14:textId="77777777" w:rsidR="007F6F5F" w:rsidRDefault="00000000">
      <w:pPr>
        <w:rPr>
          <w:b/>
        </w:rPr>
      </w:pPr>
      <w:r>
        <w:rPr>
          <w:b/>
        </w:rPr>
        <w:t>5. Post-procedure assessment</w:t>
      </w:r>
    </w:p>
    <w:p w14:paraId="024A1372" w14:textId="77777777" w:rsidR="007F6F5F" w:rsidRDefault="007F6F5F">
      <w:pPr>
        <w:rPr>
          <w:b/>
        </w:rPr>
      </w:pPr>
    </w:p>
    <w:p w14:paraId="387A923D" w14:textId="77777777" w:rsidR="007F6F5F" w:rsidRDefault="00000000">
      <w:pPr>
        <w:rPr>
          <w:bCs/>
        </w:rPr>
      </w:pPr>
      <w:r>
        <w:rPr>
          <w:bCs/>
        </w:rPr>
        <w:t>5.1. Radiographic evaluation</w:t>
      </w:r>
    </w:p>
    <w:p w14:paraId="5148F438" w14:textId="77777777" w:rsidR="007F6F5F" w:rsidRDefault="007F6F5F">
      <w:pPr>
        <w:rPr>
          <w:bCs/>
        </w:rPr>
      </w:pPr>
    </w:p>
    <w:p w14:paraId="76CDDBD0" w14:textId="77777777" w:rsidR="007F6F5F" w:rsidRDefault="00000000">
      <w:pPr>
        <w:rPr>
          <w:bCs/>
        </w:rPr>
      </w:pPr>
      <w:r>
        <w:rPr>
          <w:bCs/>
        </w:rPr>
        <w:t>5.1.1. Obtain post-reduction posteroanterior and lateral radiographs.</w:t>
      </w:r>
    </w:p>
    <w:p w14:paraId="5276A1BD" w14:textId="77777777" w:rsidR="007F6F5F" w:rsidRDefault="007F6F5F">
      <w:pPr>
        <w:rPr>
          <w:bCs/>
        </w:rPr>
      </w:pPr>
    </w:p>
    <w:p w14:paraId="2C27AE25" w14:textId="77777777" w:rsidR="007F6F5F" w:rsidRDefault="00000000">
      <w:pPr>
        <w:rPr>
          <w:bCs/>
        </w:rPr>
      </w:pPr>
      <w:r>
        <w:rPr>
          <w:bCs/>
        </w:rPr>
        <w:t>5.1.2. Assess volar tilt, radial inclination, radial shortening, ulnar variance, and articular congruity.</w:t>
      </w:r>
    </w:p>
    <w:p w14:paraId="09509D28" w14:textId="77777777" w:rsidR="007F6F5F" w:rsidRDefault="007F6F5F">
      <w:pPr>
        <w:rPr>
          <w:bCs/>
        </w:rPr>
      </w:pPr>
    </w:p>
    <w:p w14:paraId="74A9C798" w14:textId="77777777" w:rsidR="007F6F5F" w:rsidRDefault="00000000">
      <w:pPr>
        <w:rPr>
          <w:bCs/>
        </w:rPr>
      </w:pPr>
      <w:r>
        <w:rPr>
          <w:bCs/>
        </w:rPr>
        <w:t>5.1.3. Define acceptable post-reduction alignment as neutral or volar tilt with no more than 10</w:t>
      </w:r>
      <w:proofErr w:type="gramStart"/>
      <w:r>
        <w:rPr>
          <w:bCs/>
        </w:rPr>
        <w:t>° of residual</w:t>
      </w:r>
      <w:proofErr w:type="gramEnd"/>
      <w:r>
        <w:rPr>
          <w:bCs/>
        </w:rPr>
        <w:t xml:space="preserve"> dorsal tilt, radial inclination of at least 15°, radial shortening of no more than 3 mm, and an articular step-off or gap of less than 2 mm.</w:t>
      </w:r>
    </w:p>
    <w:p w14:paraId="305AF7AC" w14:textId="77777777" w:rsidR="007F6F5F" w:rsidRDefault="007F6F5F">
      <w:pPr>
        <w:rPr>
          <w:bCs/>
        </w:rPr>
      </w:pPr>
    </w:p>
    <w:p w14:paraId="2CDC593A" w14:textId="77777777" w:rsidR="007F6F5F" w:rsidRDefault="00000000">
      <w:pPr>
        <w:rPr>
          <w:bCs/>
        </w:rPr>
      </w:pPr>
      <w:r>
        <w:rPr>
          <w:bCs/>
        </w:rPr>
        <w:t>5.1.4. Repeat the reduction or evaluate the patient for surgical treatment if the predefined alignment criteria are not achieved or cannot be maintained.</w:t>
      </w:r>
    </w:p>
    <w:p w14:paraId="1C57D473" w14:textId="77777777" w:rsidR="007F6F5F" w:rsidRDefault="007F6F5F">
      <w:pPr>
        <w:rPr>
          <w:bCs/>
        </w:rPr>
      </w:pPr>
    </w:p>
    <w:p w14:paraId="707DF31A" w14:textId="77777777" w:rsidR="007F6F5F" w:rsidRDefault="00000000">
      <w:pPr>
        <w:rPr>
          <w:bCs/>
        </w:rPr>
      </w:pPr>
      <w:r>
        <w:rPr>
          <w:bCs/>
        </w:rPr>
        <w:lastRenderedPageBreak/>
        <w:t>5.2. Clinical observation before discharge</w:t>
      </w:r>
    </w:p>
    <w:p w14:paraId="2AE4168C" w14:textId="77777777" w:rsidR="007F6F5F" w:rsidRDefault="007F6F5F">
      <w:pPr>
        <w:rPr>
          <w:bCs/>
        </w:rPr>
      </w:pPr>
    </w:p>
    <w:p w14:paraId="0B41B422" w14:textId="77777777" w:rsidR="007F6F5F" w:rsidRDefault="00000000">
      <w:pPr>
        <w:rPr>
          <w:bCs/>
        </w:rPr>
      </w:pPr>
      <w:r>
        <w:rPr>
          <w:bCs/>
        </w:rPr>
        <w:t>5.2.1. Observe the patient for at least 30 min after completion of reduction and splint application.</w:t>
      </w:r>
    </w:p>
    <w:p w14:paraId="72A82376" w14:textId="77777777" w:rsidR="007F6F5F" w:rsidRDefault="007F6F5F">
      <w:pPr>
        <w:rPr>
          <w:bCs/>
        </w:rPr>
      </w:pPr>
    </w:p>
    <w:p w14:paraId="37655F07" w14:textId="77777777" w:rsidR="007F6F5F" w:rsidRDefault="00000000">
      <w:pPr>
        <w:rPr>
          <w:bCs/>
        </w:rPr>
      </w:pPr>
      <w:r>
        <w:rPr>
          <w:bCs/>
        </w:rPr>
        <w:t>5.2.2. Monitor blood pressure, heart rate, oxygen saturation, pain intensity, and level of consciousness throughout the observation period.</w:t>
      </w:r>
    </w:p>
    <w:p w14:paraId="46FB5E71" w14:textId="77777777" w:rsidR="007F6F5F" w:rsidRDefault="007F6F5F">
      <w:pPr>
        <w:rPr>
          <w:bCs/>
        </w:rPr>
      </w:pPr>
    </w:p>
    <w:p w14:paraId="3462F928" w14:textId="77777777" w:rsidR="007F6F5F" w:rsidRDefault="00000000">
      <w:pPr>
        <w:rPr>
          <w:bCs/>
        </w:rPr>
      </w:pPr>
      <w:r>
        <w:rPr>
          <w:bCs/>
        </w:rPr>
        <w:t>5.2.3. Repeat and document the complete distal neurovascular assessment at the end of the observation period.</w:t>
      </w:r>
    </w:p>
    <w:p w14:paraId="53FD40C8" w14:textId="77777777" w:rsidR="007F6F5F" w:rsidRDefault="007F6F5F">
      <w:pPr>
        <w:rPr>
          <w:bCs/>
        </w:rPr>
      </w:pPr>
    </w:p>
    <w:p w14:paraId="35AB1CE9" w14:textId="77777777" w:rsidR="007F6F5F" w:rsidRDefault="00000000">
      <w:pPr>
        <w:rPr>
          <w:bCs/>
        </w:rPr>
      </w:pPr>
      <w:r>
        <w:rPr>
          <w:bCs/>
        </w:rPr>
        <w:t xml:space="preserve">5.2.4. Confirm that capillary refill, radial and ulnar pulses, skin </w:t>
      </w:r>
      <w:proofErr w:type="spellStart"/>
      <w:r>
        <w:rPr>
          <w:bCs/>
        </w:rPr>
        <w:t>colour</w:t>
      </w:r>
      <w:proofErr w:type="spellEnd"/>
      <w:r>
        <w:rPr>
          <w:bCs/>
        </w:rPr>
        <w:t xml:space="preserve"> and temperature, active finger movement, and median, radial, and ulnar nerve function remain stable.</w:t>
      </w:r>
    </w:p>
    <w:p w14:paraId="0080F1D6" w14:textId="77777777" w:rsidR="007F6F5F" w:rsidRDefault="007F6F5F">
      <w:pPr>
        <w:rPr>
          <w:bCs/>
        </w:rPr>
      </w:pPr>
    </w:p>
    <w:p w14:paraId="6DCA5463" w14:textId="77777777" w:rsidR="007F6F5F" w:rsidRDefault="00000000">
      <w:pPr>
        <w:rPr>
          <w:bCs/>
        </w:rPr>
      </w:pPr>
      <w:r>
        <w:rPr>
          <w:bCs/>
        </w:rPr>
        <w:t>5.2.5. Extend the observation period and initiate appropriate evaluation if the patient develops increasing pain, dizziness, tinnitus, perioral numbness, altered consciousness, cardiovascular instability, or deterioration of distal neurovascular function.</w:t>
      </w:r>
    </w:p>
    <w:p w14:paraId="06145C45" w14:textId="77777777" w:rsidR="007F6F5F" w:rsidRDefault="007F6F5F">
      <w:pPr>
        <w:rPr>
          <w:bCs/>
        </w:rPr>
      </w:pPr>
    </w:p>
    <w:p w14:paraId="56247D49" w14:textId="77777777" w:rsidR="007F6F5F" w:rsidRDefault="00000000">
      <w:pPr>
        <w:rPr>
          <w:bCs/>
        </w:rPr>
      </w:pPr>
      <w:r>
        <w:rPr>
          <w:bCs/>
        </w:rPr>
        <w:t>5.2.6. Discharge the patient only after the vital signs remain stable, adequate pain control is achieved, and no new neurovascular abnormality is identified.</w:t>
      </w:r>
    </w:p>
    <w:p w14:paraId="50E73887" w14:textId="77777777" w:rsidR="007F6F5F" w:rsidRDefault="007F6F5F">
      <w:pPr>
        <w:rPr>
          <w:bCs/>
        </w:rPr>
      </w:pPr>
    </w:p>
    <w:p w14:paraId="5170792B" w14:textId="77777777" w:rsidR="007F6F5F" w:rsidRDefault="00000000">
      <w:pPr>
        <w:rPr>
          <w:bCs/>
        </w:rPr>
      </w:pPr>
      <w:r>
        <w:rPr>
          <w:bCs/>
        </w:rPr>
        <w:t>5.2.7. Provide written instructions to return immediately if increasing pain, numbness, weakness, finger discoloration, reduced skin temperature, excessive swelling, or restricted finger movement occurs.</w:t>
      </w:r>
    </w:p>
    <w:p w14:paraId="62E55690" w14:textId="77777777" w:rsidR="007F6F5F" w:rsidRDefault="007F6F5F">
      <w:pPr>
        <w:rPr>
          <w:bCs/>
        </w:rPr>
      </w:pPr>
    </w:p>
    <w:p w14:paraId="1336BA64" w14:textId="77777777" w:rsidR="007F6F5F" w:rsidRDefault="00000000">
      <w:pPr>
        <w:rPr>
          <w:bCs/>
        </w:rPr>
      </w:pPr>
      <w:r>
        <w:rPr>
          <w:bCs/>
        </w:rPr>
        <w:t>5.3. Follow-up</w:t>
      </w:r>
    </w:p>
    <w:p w14:paraId="35994D45" w14:textId="77777777" w:rsidR="007F6F5F" w:rsidRDefault="007F6F5F">
      <w:pPr>
        <w:rPr>
          <w:bCs/>
        </w:rPr>
      </w:pPr>
    </w:p>
    <w:p w14:paraId="553619B8" w14:textId="77777777" w:rsidR="007F6F5F" w:rsidRDefault="00000000">
      <w:pPr>
        <w:rPr>
          <w:bCs/>
        </w:rPr>
      </w:pPr>
      <w:r>
        <w:rPr>
          <w:bCs/>
        </w:rPr>
        <w:t>5.3.1. Arrange early clinical and radiographic follow-up according to the institutional protocol.</w:t>
      </w:r>
    </w:p>
    <w:p w14:paraId="178596E4" w14:textId="77777777" w:rsidR="007F6F5F" w:rsidRDefault="007F6F5F">
      <w:pPr>
        <w:rPr>
          <w:bCs/>
        </w:rPr>
      </w:pPr>
    </w:p>
    <w:p w14:paraId="7AFA63A5" w14:textId="77777777" w:rsidR="007F6F5F" w:rsidRDefault="00000000">
      <w:pPr>
        <w:rPr>
          <w:bCs/>
        </w:rPr>
      </w:pPr>
      <w:r>
        <w:rPr>
          <w:bCs/>
        </w:rPr>
        <w:t>5.3.2. Reassess fracture alignment, splint tightness, skin condition, and neurovascular function at each visit.</w:t>
      </w:r>
    </w:p>
    <w:p w14:paraId="72CDA155" w14:textId="77777777" w:rsidR="007F6F5F" w:rsidRDefault="007F6F5F">
      <w:pPr>
        <w:rPr>
          <w:bCs/>
        </w:rPr>
      </w:pPr>
    </w:p>
    <w:p w14:paraId="55B32566" w14:textId="77777777" w:rsidR="007F6F5F" w:rsidRDefault="00000000">
      <w:pPr>
        <w:rPr>
          <w:bCs/>
        </w:rPr>
      </w:pPr>
      <w:r>
        <w:rPr>
          <w:bCs/>
        </w:rPr>
        <w:t>5.3.3. Loosen or tighten the fixation straps as swelling changes while maintaining fracture alignment.</w:t>
      </w:r>
    </w:p>
    <w:p w14:paraId="54AEAD12" w14:textId="77777777" w:rsidR="007F6F5F" w:rsidRDefault="007F6F5F">
      <w:pPr>
        <w:rPr>
          <w:bCs/>
        </w:rPr>
      </w:pPr>
    </w:p>
    <w:p w14:paraId="4C325E69" w14:textId="77777777" w:rsidR="007F6F5F" w:rsidRDefault="00000000">
      <w:pPr>
        <w:rPr>
          <w:bCs/>
        </w:rPr>
      </w:pPr>
      <w:r>
        <w:rPr>
          <w:bCs/>
        </w:rPr>
        <w:t xml:space="preserve">5.3.4. </w:t>
      </w:r>
      <w:proofErr w:type="gramStart"/>
      <w:r>
        <w:rPr>
          <w:bCs/>
        </w:rPr>
        <w:t>Repeat</w:t>
      </w:r>
      <w:proofErr w:type="gramEnd"/>
      <w:r>
        <w:rPr>
          <w:bCs/>
        </w:rPr>
        <w:t xml:space="preserve"> radiographs if clinical deformity, increasing pain, or loss of splint fit suggests </w:t>
      </w:r>
      <w:proofErr w:type="spellStart"/>
      <w:r>
        <w:rPr>
          <w:bCs/>
        </w:rPr>
        <w:t>redisplacement</w:t>
      </w:r>
      <w:proofErr w:type="spellEnd"/>
      <w:r>
        <w:rPr>
          <w:bCs/>
        </w:rPr>
        <w:t>.</w:t>
      </w:r>
    </w:p>
    <w:p w14:paraId="435CB7F0" w14:textId="77777777" w:rsidR="007F6F5F" w:rsidRDefault="007F6F5F">
      <w:pPr>
        <w:rPr>
          <w:bCs/>
        </w:rPr>
      </w:pPr>
    </w:p>
    <w:p w14:paraId="57094B34" w14:textId="77777777" w:rsidR="007F6F5F" w:rsidRDefault="00000000">
      <w:pPr>
        <w:rPr>
          <w:bCs/>
        </w:rPr>
      </w:pPr>
      <w:r>
        <w:rPr>
          <w:bCs/>
        </w:rPr>
        <w:t>5.3.5. Document the date of each radiographic examination and whether the splint remained in place during imaging.</w:t>
      </w:r>
    </w:p>
    <w:p w14:paraId="1A96DBA4" w14:textId="77777777" w:rsidR="007F6F5F" w:rsidRDefault="007F6F5F">
      <w:pPr>
        <w:rPr>
          <w:bCs/>
        </w:rPr>
      </w:pPr>
    </w:p>
    <w:p w14:paraId="405EED5B" w14:textId="77777777" w:rsidR="007F6F5F" w:rsidRDefault="00000000">
      <w:pPr>
        <w:rPr>
          <w:bCs/>
        </w:rPr>
      </w:pPr>
      <w:r>
        <w:rPr>
          <w:bCs/>
        </w:rPr>
        <w:t>5.3.6. Document the date immobilization ended and the final clinical status.</w:t>
      </w:r>
    </w:p>
    <w:p w14:paraId="4870C2FE" w14:textId="77777777" w:rsidR="007F6F5F" w:rsidRDefault="007F6F5F">
      <w:pPr>
        <w:rPr>
          <w:b/>
        </w:rPr>
      </w:pPr>
    </w:p>
    <w:p w14:paraId="684A4FFE" w14:textId="77777777" w:rsidR="007F6F5F" w:rsidRDefault="00000000">
      <w:pPr>
        <w:rPr>
          <w:rFonts w:eastAsia="Times New Roman"/>
          <w:snapToGrid w:val="0"/>
        </w:rPr>
      </w:pPr>
      <w:r>
        <w:rPr>
          <w:rFonts w:eastAsia="Times New Roman"/>
          <w:snapToGrid w:val="0"/>
        </w:rPr>
        <w:t xml:space="preserve">[Place </w:t>
      </w:r>
      <w:r>
        <w:rPr>
          <w:rFonts w:eastAsia="Times New Roman"/>
          <w:b/>
          <w:bCs/>
          <w:snapToGrid w:val="0"/>
        </w:rPr>
        <w:t>Figure 1</w:t>
      </w:r>
      <w:r>
        <w:rPr>
          <w:rFonts w:eastAsia="Times New Roman"/>
          <w:snapToGrid w:val="0"/>
        </w:rPr>
        <w:t xml:space="preserve"> here]</w:t>
      </w:r>
    </w:p>
    <w:p w14:paraId="0FE9E44F" w14:textId="77777777" w:rsidR="007F6F5F" w:rsidRDefault="007F6F5F">
      <w:pPr>
        <w:rPr>
          <w:b/>
        </w:rPr>
      </w:pPr>
    </w:p>
    <w:p w14:paraId="311DB293" w14:textId="77777777" w:rsidR="007F6F5F" w:rsidRDefault="00000000">
      <w:pPr>
        <w:rPr>
          <w:rFonts w:eastAsia="Times New Roman"/>
          <w:snapToGrid w:val="0"/>
        </w:rPr>
      </w:pPr>
      <w:r>
        <w:rPr>
          <w:rFonts w:eastAsia="Times New Roman"/>
          <w:snapToGrid w:val="0"/>
        </w:rPr>
        <w:lastRenderedPageBreak/>
        <w:t xml:space="preserve">[Place </w:t>
      </w:r>
      <w:r>
        <w:rPr>
          <w:rFonts w:eastAsia="Times New Roman"/>
          <w:b/>
          <w:bCs/>
          <w:snapToGrid w:val="0"/>
        </w:rPr>
        <w:t>Figure 2</w:t>
      </w:r>
      <w:r>
        <w:rPr>
          <w:rFonts w:eastAsia="Times New Roman"/>
          <w:snapToGrid w:val="0"/>
        </w:rPr>
        <w:t xml:space="preserve"> here]</w:t>
      </w:r>
    </w:p>
    <w:p w14:paraId="31B3BA88" w14:textId="77777777" w:rsidR="007F6F5F" w:rsidRDefault="007F6F5F">
      <w:pPr>
        <w:rPr>
          <w:b/>
        </w:rPr>
      </w:pPr>
    </w:p>
    <w:p w14:paraId="3EC24CC9" w14:textId="77777777" w:rsidR="007F6F5F" w:rsidRDefault="00000000">
      <w:r>
        <w:rPr>
          <w:b/>
        </w:rPr>
        <w:t xml:space="preserve">REPRESENTATIVE RESULTS: </w:t>
      </w:r>
    </w:p>
    <w:p w14:paraId="2D46FFD9" w14:textId="77777777" w:rsidR="007F6F5F" w:rsidRDefault="00000000">
      <w:pPr>
        <w:rPr>
          <w:rFonts w:eastAsia="Times New Roman"/>
          <w:snapToGrid w:val="0"/>
        </w:rPr>
      </w:pPr>
      <w:r>
        <w:rPr>
          <w:rFonts w:eastAsia="Times New Roman"/>
          <w:snapToGrid w:val="0"/>
        </w:rPr>
        <w:t>A representative case is presented to illustrate the application of the manual reduction and four-splint immobilization protocol rather than to demonstrate comparative effectiveness. A 53-year-old woman presented with pain, swelling, and deformity of the left wrist following a fall. Pre-reduction radiographs obtained on May 29, 2026, demonstrated a dorsally displaced Colles-type distal radius fracture. The volar tilt was approximately −15.24°, and the radial inclination was approximately 1.74° (</w:t>
      </w:r>
      <w:r>
        <w:rPr>
          <w:rFonts w:eastAsia="Times New Roman"/>
          <w:b/>
          <w:bCs/>
          <w:snapToGrid w:val="0"/>
        </w:rPr>
        <w:t>Figure 3</w:t>
      </w:r>
      <w:r>
        <w:rPr>
          <w:rFonts w:eastAsia="Times New Roman"/>
          <w:snapToGrid w:val="0"/>
        </w:rPr>
        <w:t>).</w:t>
      </w:r>
    </w:p>
    <w:p w14:paraId="5536541B" w14:textId="77777777" w:rsidR="007F6F5F" w:rsidRDefault="007F6F5F">
      <w:pPr>
        <w:rPr>
          <w:rFonts w:eastAsia="Times New Roman"/>
          <w:snapToGrid w:val="0"/>
        </w:rPr>
      </w:pPr>
    </w:p>
    <w:p w14:paraId="17D1E487" w14:textId="77777777" w:rsidR="007F6F5F" w:rsidRDefault="00000000">
      <w:pPr>
        <w:rPr>
          <w:rFonts w:eastAsia="Times New Roman"/>
          <w:snapToGrid w:val="0"/>
        </w:rPr>
      </w:pPr>
      <w:r>
        <w:rPr>
          <w:rFonts w:eastAsia="Times New Roman"/>
          <w:snapToGrid w:val="0"/>
        </w:rPr>
        <w:t>Manual reduction was performed using longitudinal traction and countertraction, followed by correction of radial shortening, dorsal displacement, and angulation. The corrected position was maintained while the volar, dorsal, radial, and ulnar fir-bark splints were applied. Immediate post-reduction radiographs obtained on May 29, 2026, showed a volar tilt of 11.4° and a radial inclination of 17.7° (</w:t>
      </w:r>
      <w:r>
        <w:rPr>
          <w:rFonts w:eastAsia="Times New Roman"/>
          <w:b/>
          <w:bCs/>
          <w:snapToGrid w:val="0"/>
        </w:rPr>
        <w:t>Figure 4</w:t>
      </w:r>
      <w:r>
        <w:rPr>
          <w:rFonts w:eastAsia="Times New Roman"/>
          <w:snapToGrid w:val="0"/>
        </w:rPr>
        <w:t>). Both measurements met the prespecified criteria for acceptable alignment.</w:t>
      </w:r>
    </w:p>
    <w:p w14:paraId="59CDC843" w14:textId="77777777" w:rsidR="007F6F5F" w:rsidRDefault="007F6F5F">
      <w:pPr>
        <w:rPr>
          <w:rFonts w:eastAsia="Times New Roman"/>
          <w:snapToGrid w:val="0"/>
        </w:rPr>
      </w:pPr>
    </w:p>
    <w:p w14:paraId="6A38C776" w14:textId="77777777" w:rsidR="007F6F5F" w:rsidRDefault="00000000">
      <w:pPr>
        <w:rPr>
          <w:rFonts w:eastAsia="Times New Roman"/>
          <w:snapToGrid w:val="0"/>
        </w:rPr>
      </w:pPr>
      <w:proofErr w:type="gramStart"/>
      <w:r>
        <w:rPr>
          <w:rFonts w:eastAsia="Times New Roman"/>
          <w:snapToGrid w:val="0"/>
        </w:rPr>
        <w:t>At the first follow-up on</w:t>
      </w:r>
      <w:proofErr w:type="gramEnd"/>
      <w:r>
        <w:rPr>
          <w:rFonts w:eastAsia="Times New Roman"/>
          <w:snapToGrid w:val="0"/>
        </w:rPr>
        <w:t xml:space="preserve"> June 4, 2026, 6 days after reduction, the volar tilt was 11.7°, and the radial inclination was 15.8° (</w:t>
      </w:r>
      <w:r>
        <w:rPr>
          <w:rFonts w:eastAsia="Times New Roman"/>
          <w:b/>
          <w:bCs/>
          <w:snapToGrid w:val="0"/>
        </w:rPr>
        <w:t>Figure 5</w:t>
      </w:r>
      <w:r>
        <w:rPr>
          <w:rFonts w:eastAsia="Times New Roman"/>
          <w:snapToGrid w:val="0"/>
        </w:rPr>
        <w:t>). At the second follow-up on June 13, 2026, 15 days after reduction, the volar tilt was 11.4°, and the radial inclination was 15.2° (</w:t>
      </w:r>
      <w:r>
        <w:rPr>
          <w:rFonts w:eastAsia="Times New Roman"/>
          <w:b/>
          <w:bCs/>
          <w:snapToGrid w:val="0"/>
        </w:rPr>
        <w:t>Figure 6</w:t>
      </w:r>
      <w:r>
        <w:rPr>
          <w:rFonts w:eastAsia="Times New Roman"/>
          <w:snapToGrid w:val="0"/>
        </w:rPr>
        <w:t>). The radial inclination decreased by 2.5° between the immediate post-reduction examination and the final available follow-up, whereas the volar tilt remained between 11.4° and 11.7°. All measured angles remained within the prespecified criteria for acceptable alignment.</w:t>
      </w:r>
    </w:p>
    <w:p w14:paraId="7EF48845" w14:textId="77777777" w:rsidR="007F6F5F" w:rsidRDefault="007F6F5F">
      <w:pPr>
        <w:rPr>
          <w:rFonts w:eastAsia="Times New Roman"/>
          <w:snapToGrid w:val="0"/>
        </w:rPr>
      </w:pPr>
    </w:p>
    <w:p w14:paraId="1F48F174" w14:textId="77777777" w:rsidR="007F6F5F" w:rsidRDefault="00000000">
      <w:pPr>
        <w:rPr>
          <w:rFonts w:eastAsia="Times New Roman"/>
          <w:snapToGrid w:val="0"/>
        </w:rPr>
      </w:pPr>
      <w:r>
        <w:rPr>
          <w:rFonts w:eastAsia="Times New Roman"/>
          <w:snapToGrid w:val="0"/>
        </w:rPr>
        <w:t xml:space="preserve">Ulnar variance and articular step-off/gap </w:t>
      </w:r>
      <w:proofErr w:type="gramStart"/>
      <w:r>
        <w:rPr>
          <w:rFonts w:eastAsia="Times New Roman"/>
          <w:snapToGrid w:val="0"/>
        </w:rPr>
        <w:t>were</w:t>
      </w:r>
      <w:proofErr w:type="gramEnd"/>
      <w:r>
        <w:rPr>
          <w:rFonts w:eastAsia="Times New Roman"/>
          <w:snapToGrid w:val="0"/>
        </w:rPr>
        <w:t xml:space="preserve"> not assessed in the available records. The four-splint construct remained in place during the available radiographic follow-up. Active finger movement and distal perfusion were preserved, and no new neurovascular abnormality was documented. The splint was </w:t>
      </w:r>
      <w:proofErr w:type="gramStart"/>
      <w:r>
        <w:rPr>
          <w:rFonts w:eastAsia="Times New Roman"/>
          <w:snapToGrid w:val="0"/>
        </w:rPr>
        <w:t>discontinued</w:t>
      </w:r>
      <w:proofErr w:type="gramEnd"/>
      <w:r>
        <w:rPr>
          <w:rFonts w:eastAsia="Times New Roman"/>
          <w:snapToGrid w:val="0"/>
        </w:rPr>
        <w:t xml:space="preserve"> 8 weeks after reduction, after which the patient gradually resumed normal use of the affected limb under medical guidance. These findings demonstrate only short-term maintenance of alignment in this illustrative case and do not establish effectiveness, superiority, or fracture union.</w:t>
      </w:r>
    </w:p>
    <w:p w14:paraId="19455C45" w14:textId="77777777" w:rsidR="007F6F5F" w:rsidRDefault="007F6F5F">
      <w:pPr>
        <w:rPr>
          <w:rFonts w:eastAsia="Times New Roman"/>
          <w:snapToGrid w:val="0"/>
        </w:rPr>
      </w:pPr>
    </w:p>
    <w:p w14:paraId="17D13A69" w14:textId="77777777" w:rsidR="007F6F5F" w:rsidRDefault="00000000">
      <w:pPr>
        <w:rPr>
          <w:rFonts w:eastAsia="Times New Roman"/>
          <w:snapToGrid w:val="0"/>
        </w:rPr>
      </w:pPr>
      <w:r>
        <w:rPr>
          <w:rFonts w:eastAsia="Times New Roman"/>
          <w:snapToGrid w:val="0"/>
        </w:rPr>
        <w:t xml:space="preserve">[Place </w:t>
      </w:r>
      <w:r>
        <w:rPr>
          <w:rFonts w:eastAsia="Times New Roman"/>
          <w:b/>
          <w:bCs/>
          <w:snapToGrid w:val="0"/>
        </w:rPr>
        <w:t>Figure 3</w:t>
      </w:r>
      <w:r>
        <w:rPr>
          <w:rFonts w:eastAsia="Times New Roman"/>
          <w:snapToGrid w:val="0"/>
        </w:rPr>
        <w:t xml:space="preserve"> here]</w:t>
      </w:r>
    </w:p>
    <w:p w14:paraId="7515112D" w14:textId="77777777" w:rsidR="007F6F5F" w:rsidRDefault="007F6F5F">
      <w:pPr>
        <w:rPr>
          <w:rFonts w:eastAsia="Times New Roman"/>
          <w:snapToGrid w:val="0"/>
        </w:rPr>
      </w:pPr>
    </w:p>
    <w:p w14:paraId="3794F8B5" w14:textId="77777777" w:rsidR="007F6F5F" w:rsidRDefault="00000000">
      <w:pPr>
        <w:rPr>
          <w:rFonts w:eastAsia="Times New Roman"/>
          <w:snapToGrid w:val="0"/>
        </w:rPr>
      </w:pPr>
      <w:r>
        <w:rPr>
          <w:rFonts w:eastAsia="Times New Roman"/>
          <w:snapToGrid w:val="0"/>
        </w:rPr>
        <w:t xml:space="preserve">[Place </w:t>
      </w:r>
      <w:r>
        <w:rPr>
          <w:rFonts w:eastAsia="Times New Roman"/>
          <w:b/>
          <w:bCs/>
          <w:snapToGrid w:val="0"/>
        </w:rPr>
        <w:t>Figure 4</w:t>
      </w:r>
      <w:r>
        <w:rPr>
          <w:rFonts w:eastAsia="Times New Roman"/>
          <w:snapToGrid w:val="0"/>
        </w:rPr>
        <w:t xml:space="preserve"> here]</w:t>
      </w:r>
    </w:p>
    <w:p w14:paraId="21F4E1A2" w14:textId="77777777" w:rsidR="007F6F5F" w:rsidRDefault="007F6F5F">
      <w:pPr>
        <w:rPr>
          <w:rFonts w:eastAsia="Times New Roman"/>
          <w:snapToGrid w:val="0"/>
        </w:rPr>
      </w:pPr>
    </w:p>
    <w:p w14:paraId="62FC0531" w14:textId="77777777" w:rsidR="007F6F5F" w:rsidRDefault="00000000">
      <w:pPr>
        <w:rPr>
          <w:rFonts w:eastAsia="Times New Roman"/>
          <w:snapToGrid w:val="0"/>
        </w:rPr>
      </w:pPr>
      <w:r>
        <w:rPr>
          <w:rFonts w:eastAsia="Times New Roman"/>
          <w:snapToGrid w:val="0"/>
        </w:rPr>
        <w:t xml:space="preserve">[Place </w:t>
      </w:r>
      <w:r>
        <w:rPr>
          <w:rFonts w:eastAsia="Times New Roman"/>
          <w:b/>
          <w:bCs/>
          <w:snapToGrid w:val="0"/>
        </w:rPr>
        <w:t>Figure 5</w:t>
      </w:r>
      <w:r>
        <w:rPr>
          <w:rFonts w:eastAsia="Times New Roman"/>
          <w:snapToGrid w:val="0"/>
        </w:rPr>
        <w:t xml:space="preserve"> here]</w:t>
      </w:r>
    </w:p>
    <w:p w14:paraId="79DFD7BC" w14:textId="77777777" w:rsidR="007F6F5F" w:rsidRDefault="007F6F5F">
      <w:pPr>
        <w:rPr>
          <w:rFonts w:eastAsia="Times New Roman"/>
          <w:snapToGrid w:val="0"/>
        </w:rPr>
      </w:pPr>
    </w:p>
    <w:p w14:paraId="4E0EA17E" w14:textId="77777777" w:rsidR="007F6F5F" w:rsidRDefault="00000000">
      <w:pPr>
        <w:rPr>
          <w:rFonts w:eastAsia="Times New Roman"/>
          <w:snapToGrid w:val="0"/>
        </w:rPr>
      </w:pPr>
      <w:r>
        <w:rPr>
          <w:rFonts w:eastAsia="Times New Roman"/>
          <w:snapToGrid w:val="0"/>
        </w:rPr>
        <w:t xml:space="preserve">[Place </w:t>
      </w:r>
      <w:r>
        <w:rPr>
          <w:rFonts w:eastAsia="Times New Roman"/>
          <w:b/>
          <w:bCs/>
          <w:snapToGrid w:val="0"/>
        </w:rPr>
        <w:t>Figure 6</w:t>
      </w:r>
      <w:r>
        <w:rPr>
          <w:rFonts w:eastAsia="Times New Roman"/>
          <w:snapToGrid w:val="0"/>
        </w:rPr>
        <w:t xml:space="preserve"> here]</w:t>
      </w:r>
    </w:p>
    <w:p w14:paraId="2CA5E93B" w14:textId="77777777" w:rsidR="007F6F5F" w:rsidRDefault="007F6F5F">
      <w:pPr>
        <w:rPr>
          <w:rFonts w:eastAsia="Times New Roman"/>
          <w:snapToGrid w:val="0"/>
        </w:rPr>
      </w:pPr>
    </w:p>
    <w:p w14:paraId="6AD1193F" w14:textId="77777777" w:rsidR="007F6F5F" w:rsidRDefault="00000000">
      <w:r>
        <w:rPr>
          <w:b/>
        </w:rPr>
        <w:t>FIGURE LEGENDS:</w:t>
      </w:r>
      <w:r>
        <w:t xml:space="preserve"> </w:t>
      </w:r>
    </w:p>
    <w:p w14:paraId="58A14AAF" w14:textId="77777777" w:rsidR="007F6F5F" w:rsidRDefault="00000000">
      <w:r>
        <w:rPr>
          <w:b/>
          <w:bCs/>
        </w:rPr>
        <w:t>Figure 1: Materials used for manual reduction and four-splint immobilization.</w:t>
      </w:r>
      <w:r>
        <w:t xml:space="preserve"> (</w:t>
      </w:r>
      <w:r>
        <w:rPr>
          <w:b/>
          <w:bCs/>
        </w:rPr>
        <w:t>A</w:t>
      </w:r>
      <w:r>
        <w:t>) Fixation straps. (</w:t>
      </w:r>
      <w:r>
        <w:rPr>
          <w:b/>
          <w:bCs/>
        </w:rPr>
        <w:t>B</w:t>
      </w:r>
      <w:r>
        <w:t>) Gauze bandage. (</w:t>
      </w:r>
      <w:r>
        <w:rPr>
          <w:b/>
          <w:bCs/>
        </w:rPr>
        <w:t>C</w:t>
      </w:r>
      <w:r>
        <w:t xml:space="preserve">) Four patient-specific fir-bark splints comprise the radial, ulnar, dorsal, and volar splints. The splints were trimmed according to the dimensions of the patient’s </w:t>
      </w:r>
      <w:r>
        <w:lastRenderedPageBreak/>
        <w:t>forearm, and their edges were smoothed before application. (</w:t>
      </w:r>
      <w:r>
        <w:rPr>
          <w:b/>
          <w:bCs/>
        </w:rPr>
        <w:t>D</w:t>
      </w:r>
      <w:r>
        <w:t>) Scissors. (</w:t>
      </w:r>
      <w:r>
        <w:rPr>
          <w:b/>
          <w:bCs/>
        </w:rPr>
        <w:t>E</w:t>
      </w:r>
      <w:r>
        <w:t>) Overview of the materials prepared for the procedure, including antiseptic solution, a syringe and needle, local anesthetic, sterile cotton swabs, adhesive tape, protective padding, fixation straps, and other immobilization materials.</w:t>
      </w:r>
    </w:p>
    <w:p w14:paraId="4336B12E" w14:textId="77777777" w:rsidR="007F6F5F" w:rsidRDefault="007F6F5F"/>
    <w:p w14:paraId="3EBB0BF8" w14:textId="77777777" w:rsidR="007F6F5F" w:rsidRDefault="00000000">
      <w:r>
        <w:rPr>
          <w:b/>
          <w:bCs/>
        </w:rPr>
        <w:t>Figure 2: Key steps of manual reduction and four-splint immobilization.</w:t>
      </w:r>
      <w:r>
        <w:t xml:space="preserve"> (</w:t>
      </w:r>
      <w:r>
        <w:rPr>
          <w:b/>
          <w:bCs/>
        </w:rPr>
        <w:t>A</w:t>
      </w:r>
      <w:r>
        <w:t>) Traction and countertraction during closed reduction. The operator applies longitudinal traction to the distal hand while the assistant provides countertraction in the opposite direction. (</w:t>
      </w:r>
      <w:r>
        <w:rPr>
          <w:b/>
          <w:bCs/>
        </w:rPr>
        <w:t>B</w:t>
      </w:r>
      <w:r>
        <w:t>) Final appearance after application of the four-splint construct and fixation straps.</w:t>
      </w:r>
    </w:p>
    <w:p w14:paraId="5420B2C4" w14:textId="77777777" w:rsidR="007F6F5F" w:rsidRDefault="007F6F5F"/>
    <w:p w14:paraId="28C6EE41" w14:textId="77777777" w:rsidR="007F6F5F" w:rsidRDefault="00000000">
      <w:r>
        <w:rPr>
          <w:b/>
          <w:bCs/>
        </w:rPr>
        <w:t>Figure 3: Pre-reduction radiographs of the left distal radius fracture.</w:t>
      </w:r>
      <w:r>
        <w:t xml:space="preserve"> (</w:t>
      </w:r>
      <w:r>
        <w:rPr>
          <w:b/>
          <w:bCs/>
        </w:rPr>
        <w:t>A</w:t>
      </w:r>
      <w:r>
        <w:t>) Posteroanterior radiograph showing loss of radial inclination, with a measured angle of approximately 1.74°. (</w:t>
      </w:r>
      <w:r>
        <w:rPr>
          <w:b/>
          <w:bCs/>
        </w:rPr>
        <w:t>B</w:t>
      </w:r>
      <w:r>
        <w:t>) Lateral radiograph showing dorsal angulation of the distal fragment, corresponding to a volar tilt of approximately −15.24°. Measurement lines and values are shown on the radiographs.</w:t>
      </w:r>
    </w:p>
    <w:p w14:paraId="3A95A1E6" w14:textId="77777777" w:rsidR="007F6F5F" w:rsidRDefault="007F6F5F"/>
    <w:p w14:paraId="72AF0030" w14:textId="77777777" w:rsidR="007F6F5F" w:rsidRDefault="00000000">
      <w:r>
        <w:rPr>
          <w:b/>
          <w:bCs/>
        </w:rPr>
        <w:t>Figure 4: Immediate post-reduction radiographs of the left distal radius fracture.</w:t>
      </w:r>
      <w:r>
        <w:t xml:space="preserve"> Posteroanterior (</w:t>
      </w:r>
      <w:r>
        <w:rPr>
          <w:b/>
          <w:bCs/>
        </w:rPr>
        <w:t>A</w:t>
      </w:r>
      <w:r>
        <w:t>) and lateral (</w:t>
      </w:r>
      <w:r>
        <w:rPr>
          <w:b/>
          <w:bCs/>
        </w:rPr>
        <w:t>B</w:t>
      </w:r>
      <w:r>
        <w:t>) radiographs obtained immediately after manual reduction and four-splint immobilization. The radial inclination was 17.7°, and the volar tilt was 11.4°. Measurement lines and corresponding values are shown on the radiographs. The four-splint construct remained in place during imaging.</w:t>
      </w:r>
    </w:p>
    <w:p w14:paraId="2EEAE838" w14:textId="77777777" w:rsidR="007F6F5F" w:rsidRDefault="007F6F5F"/>
    <w:p w14:paraId="3EA723B4" w14:textId="77777777" w:rsidR="007F6F5F" w:rsidRDefault="00000000">
      <w:r>
        <w:rPr>
          <w:b/>
          <w:bCs/>
        </w:rPr>
        <w:t>Figure 5: First follow-up radiographs of the left distal radius fracture.</w:t>
      </w:r>
      <w:r>
        <w:t xml:space="preserve"> Posteroanterior (</w:t>
      </w:r>
      <w:r>
        <w:rPr>
          <w:b/>
          <w:bCs/>
        </w:rPr>
        <w:t>A</w:t>
      </w:r>
      <w:r>
        <w:t>) and lateral (</w:t>
      </w:r>
      <w:r>
        <w:rPr>
          <w:b/>
          <w:bCs/>
        </w:rPr>
        <w:t>B</w:t>
      </w:r>
      <w:r>
        <w:t>) radiographs obtained 6 days after reduction. The radial inclination was 15.8°, and the volar tilt was 11.7°. The measurements remained within the prespecified criteria for acceptable alignment. The four-splint construct remained in place during imaging.</w:t>
      </w:r>
    </w:p>
    <w:p w14:paraId="41C8AA39" w14:textId="77777777" w:rsidR="007F6F5F" w:rsidRDefault="007F6F5F"/>
    <w:p w14:paraId="2D118A62" w14:textId="77777777" w:rsidR="007F6F5F" w:rsidRDefault="00000000">
      <w:r>
        <w:rPr>
          <w:b/>
          <w:bCs/>
        </w:rPr>
        <w:t>Figure 6: Second follow-up radiographs of the left distal radius fracture.</w:t>
      </w:r>
      <w:r>
        <w:t xml:space="preserve"> Posteroanterior (</w:t>
      </w:r>
      <w:r>
        <w:rPr>
          <w:b/>
          <w:bCs/>
        </w:rPr>
        <w:t>A</w:t>
      </w:r>
      <w:r>
        <w:t>) and lateral (</w:t>
      </w:r>
      <w:r>
        <w:rPr>
          <w:b/>
          <w:bCs/>
        </w:rPr>
        <w:t>B</w:t>
      </w:r>
      <w:r>
        <w:t xml:space="preserve">) radiographs </w:t>
      </w:r>
      <w:proofErr w:type="gramStart"/>
      <w:r>
        <w:t>obtained</w:t>
      </w:r>
      <w:proofErr w:type="gramEnd"/>
      <w:r>
        <w:t xml:space="preserve"> 15 days after reduction. The radial inclination was 15.2°, and the volar tilt was 11.4°. The measurements remained within the prespecified criteria for acceptable alignment. These images demonstrate short-term maintenance of alignment but do not establish fracture union. The four-splint construct remained in place during imaging.</w:t>
      </w:r>
    </w:p>
    <w:p w14:paraId="734C2287" w14:textId="77777777" w:rsidR="007F6F5F" w:rsidRDefault="007F6F5F"/>
    <w:p w14:paraId="2FF0C6EF" w14:textId="77777777" w:rsidR="007F6F5F" w:rsidRDefault="00000000">
      <w:pPr>
        <w:rPr>
          <w:b/>
        </w:rPr>
      </w:pPr>
      <w:r>
        <w:rPr>
          <w:b/>
        </w:rPr>
        <w:t xml:space="preserve">DISCUSSION: </w:t>
      </w:r>
    </w:p>
    <w:p w14:paraId="7F1611E2" w14:textId="77777777" w:rsidR="007F6F5F" w:rsidRDefault="00000000">
      <w:pPr>
        <w:rPr>
          <w:rFonts w:eastAsia="Times New Roman"/>
          <w:snapToGrid w:val="0"/>
        </w:rPr>
      </w:pPr>
      <w:r>
        <w:rPr>
          <w:rFonts w:eastAsia="Times New Roman"/>
          <w:snapToGrid w:val="0"/>
        </w:rPr>
        <w:t>This article describes a structured protocol for manual reduction followed by four-splint immobilization of selected dorsally displaced distal radius fractures. The critical steps include appropriate patient selection, adequate analgesia, controlled traction and countertraction, correction of shortening and angulation, maintenance of reduction during splint application, and repeated neurovascular assessment. Closed treatment should be discontinued when acceptable alignment cannot be achieved or maintained, or when progressive neurovascular compromise occurs¹.</w:t>
      </w:r>
    </w:p>
    <w:p w14:paraId="3EA69811" w14:textId="77777777" w:rsidR="007F6F5F" w:rsidRDefault="007F6F5F">
      <w:pPr>
        <w:rPr>
          <w:rFonts w:eastAsia="Times New Roman"/>
          <w:snapToGrid w:val="0"/>
        </w:rPr>
      </w:pPr>
    </w:p>
    <w:p w14:paraId="0CB904F0" w14:textId="77777777" w:rsidR="007F6F5F" w:rsidRDefault="00000000">
      <w:pPr>
        <w:rPr>
          <w:rFonts w:eastAsia="Times New Roman"/>
          <w:snapToGrid w:val="0"/>
        </w:rPr>
      </w:pPr>
      <w:r>
        <w:rPr>
          <w:rFonts w:eastAsia="Times New Roman"/>
          <w:snapToGrid w:val="0"/>
        </w:rPr>
        <w:t xml:space="preserve">Manual traction allows the operator to adjust the direction and magnitude of force according to tactile feedback, whereas finger-trap traction provides more sustained axial traction. Prospective and systematic evidence has not demonstrated a clear overall superiority of either reduction </w:t>
      </w:r>
      <w:r>
        <w:rPr>
          <w:rFonts w:eastAsia="Times New Roman"/>
          <w:snapToGrid w:val="0"/>
        </w:rPr>
        <w:lastRenderedPageBreak/>
        <w:t>method⁶˒⁷. After reduction, commonly used immobilization strategies include sugar-tong, volar-dorsal, short-arm, and cast constructs. Comparative studies suggest that no single construct is optimal for all fracture patterns, and the choice should consider fracture stability, swelling, patient comfort, local expertise, and follow-up availability²˒⁸.</w:t>
      </w:r>
    </w:p>
    <w:p w14:paraId="658435A2" w14:textId="77777777" w:rsidR="007F6F5F" w:rsidRDefault="007F6F5F">
      <w:pPr>
        <w:rPr>
          <w:rFonts w:eastAsia="Times New Roman"/>
          <w:snapToGrid w:val="0"/>
        </w:rPr>
      </w:pPr>
    </w:p>
    <w:p w14:paraId="30FF2C27" w14:textId="77777777" w:rsidR="007F6F5F" w:rsidRDefault="00000000">
      <w:pPr>
        <w:rPr>
          <w:rFonts w:eastAsia="Times New Roman"/>
          <w:snapToGrid w:val="0"/>
        </w:rPr>
      </w:pPr>
      <w:r>
        <w:rPr>
          <w:rFonts w:eastAsia="Times New Roman"/>
          <w:snapToGrid w:val="0"/>
        </w:rPr>
        <w:t>The present four-splint construct uses separate volar, dorsal, radial, and ulnar fir-bark splints secured with adjustable straps. This arrangement permits individualized contouring and adjustment as swelling changes. However, the present single-case report does not demonstrate that this technique is superior to conventional plaster, fiberglass, or other splinting methods. Loss of reduction remains an important concern during conservative treatment, particularly in fractures with instability features or inadequate reduction and molding⁹˒¹⁰. Therefore, early radiographic follow-up, reassessment of splint fit and alignment, and prompt adjustment or surgical evaluation are required when alignment deteriorates. The duration of immobilization should also be individualized according to fracture stability and follow-up findings¹¹.</w:t>
      </w:r>
    </w:p>
    <w:p w14:paraId="0244FB17" w14:textId="77777777" w:rsidR="007F6F5F" w:rsidRDefault="007F6F5F">
      <w:pPr>
        <w:rPr>
          <w:rFonts w:eastAsia="Times New Roman"/>
          <w:snapToGrid w:val="0"/>
        </w:rPr>
      </w:pPr>
    </w:p>
    <w:p w14:paraId="484D9A27" w14:textId="77777777" w:rsidR="007F6F5F" w:rsidRDefault="00000000">
      <w:pPr>
        <w:rPr>
          <w:rFonts w:eastAsia="Times New Roman"/>
          <w:snapToGrid w:val="0"/>
        </w:rPr>
      </w:pPr>
      <w:r>
        <w:rPr>
          <w:rFonts w:eastAsia="Times New Roman"/>
          <w:snapToGrid w:val="0"/>
        </w:rPr>
        <w:t>This report is limited by the inclusion of only one illustrative case, the absence of a comparator group, and short-term radiographic follow-up. The findings demonstrate procedural feasibility and short-term maintenance of alignment but do not establish effectiveness, safety, reproducibility, fracture union, or broad applicability.</w:t>
      </w:r>
    </w:p>
    <w:p w14:paraId="656BED8C" w14:textId="77777777" w:rsidR="007F6F5F" w:rsidRDefault="007F6F5F"/>
    <w:p w14:paraId="78850E37" w14:textId="77777777" w:rsidR="007F6F5F" w:rsidRDefault="00000000">
      <w:pPr>
        <w:rPr>
          <w:rFonts w:eastAsia="SimSun"/>
          <w:b/>
          <w:lang w:eastAsia="zh-CN"/>
        </w:rPr>
      </w:pPr>
      <w:r>
        <w:rPr>
          <w:b/>
        </w:rPr>
        <w:t>CONCLUSION</w:t>
      </w:r>
      <w:r>
        <w:rPr>
          <w:rFonts w:eastAsia="SimSun"/>
          <w:b/>
          <w:lang w:eastAsia="zh-CN"/>
        </w:rPr>
        <w:t>:</w:t>
      </w:r>
    </w:p>
    <w:p w14:paraId="7CDB7BD3" w14:textId="77777777" w:rsidR="007F6F5F" w:rsidRDefault="00000000">
      <w:pPr>
        <w:rPr>
          <w:rFonts w:eastAsia="Times New Roman"/>
          <w:snapToGrid w:val="0"/>
        </w:rPr>
      </w:pPr>
      <w:r>
        <w:rPr>
          <w:rFonts w:eastAsia="Times New Roman"/>
          <w:snapToGrid w:val="0"/>
        </w:rPr>
        <w:t>This article describes a step-by-step protocol for manual reduction and four-splint immobilization of selected dorsally displaced distal radius fractures. The protocol is intended to provide a visual and procedural framework for training and replication. The single illustrative case demonstrates procedural feasibility and short-term maintenance of alignment but does not establish effectiveness, safety, reproducibility, superiority, fracture union, or broad clinical applicability. Comparative prospective studies with larger sample sizes and longer follow-up are required.</w:t>
      </w:r>
    </w:p>
    <w:p w14:paraId="290ACFF0" w14:textId="77777777" w:rsidR="007F6F5F" w:rsidRDefault="007F6F5F">
      <w:pPr>
        <w:rPr>
          <w:rFonts w:eastAsia="Times New Roman"/>
          <w:snapToGrid w:val="0"/>
        </w:rPr>
      </w:pPr>
    </w:p>
    <w:p w14:paraId="649CD9F6" w14:textId="77777777" w:rsidR="007F6F5F" w:rsidRDefault="00000000">
      <w:r>
        <w:rPr>
          <w:b/>
        </w:rPr>
        <w:t xml:space="preserve">ACKNOWLEDGMENTS: </w:t>
      </w:r>
    </w:p>
    <w:p w14:paraId="59324DDB" w14:textId="77777777" w:rsidR="007F6F5F" w:rsidRDefault="00000000">
      <w:pPr>
        <w:rPr>
          <w:rFonts w:eastAsia="Times New Roman"/>
          <w:snapToGrid w:val="0"/>
          <w:lang w:eastAsia="zh-CN"/>
        </w:rPr>
      </w:pPr>
      <w:r>
        <w:rPr>
          <w:rFonts w:eastAsia="Times New Roman"/>
          <w:snapToGrid w:val="0"/>
          <w:lang w:eastAsia="zh-CN"/>
        </w:rPr>
        <w:t>The authors acknowledge financial support from the National Natural Science Foundation of China (82274543), the National Key Clinical Specialty Program of Chinese Medicine for Orthopedics and Traumatology (czxm-gsk-2024002), and the 2024 Hunan Provincial Clinical Specialty Cluster Program of Chinese Medicine for Orthopedics and Traumatology (czxm-gsk-2024004).</w:t>
      </w:r>
    </w:p>
    <w:p w14:paraId="3A4E9086" w14:textId="77777777" w:rsidR="007F6F5F" w:rsidRDefault="007F6F5F">
      <w:pPr>
        <w:rPr>
          <w:rFonts w:eastAsia="Segoe UI"/>
          <w:b/>
          <w:bCs/>
          <w:shd w:val="clear" w:color="auto" w:fill="FFFFFF"/>
        </w:rPr>
      </w:pPr>
    </w:p>
    <w:p w14:paraId="79E19FE6" w14:textId="77777777" w:rsidR="007F6F5F" w:rsidRDefault="00000000">
      <w:r>
        <w:rPr>
          <w:b/>
        </w:rPr>
        <w:t>DISCLOSURES:</w:t>
      </w:r>
    </w:p>
    <w:p w14:paraId="12E91E69" w14:textId="77777777" w:rsidR="007F6F5F" w:rsidRDefault="00000000">
      <w:pPr>
        <w:widowControl/>
        <w:rPr>
          <w:rFonts w:eastAsia="Times New Roman"/>
          <w:snapToGrid w:val="0"/>
        </w:rPr>
      </w:pPr>
      <w:r>
        <w:rPr>
          <w:rFonts w:eastAsia="Times New Roman"/>
          <w:snapToGrid w:val="0"/>
        </w:rPr>
        <w:t xml:space="preserve">The authors report no conflicts of interest. During the preparation of this work, the authors used ChatGPT to improve the English language and readability of the manuscript. After using this tool, the authors reviewed and edited the content as needed and </w:t>
      </w:r>
      <w:proofErr w:type="gramStart"/>
      <w:r>
        <w:rPr>
          <w:rFonts w:eastAsia="Times New Roman"/>
          <w:snapToGrid w:val="0"/>
        </w:rPr>
        <w:t>take</w:t>
      </w:r>
      <w:proofErr w:type="gramEnd"/>
      <w:r>
        <w:rPr>
          <w:rFonts w:eastAsia="Times New Roman"/>
          <w:snapToGrid w:val="0"/>
        </w:rPr>
        <w:t xml:space="preserve"> full responsibility for the content of the publication.</w:t>
      </w:r>
    </w:p>
    <w:p w14:paraId="67312746" w14:textId="77777777" w:rsidR="007F6F5F" w:rsidRDefault="007F6F5F">
      <w:pPr>
        <w:widowControl/>
        <w:jc w:val="left"/>
        <w:rPr>
          <w:rFonts w:eastAsia="Times New Roman"/>
          <w:snapToGrid w:val="0"/>
        </w:rPr>
      </w:pPr>
    </w:p>
    <w:p w14:paraId="023A152C" w14:textId="77777777" w:rsidR="007F6F5F" w:rsidRDefault="00000000">
      <w:pPr>
        <w:widowControl/>
        <w:jc w:val="left"/>
        <w:rPr>
          <w:rFonts w:eastAsiaTheme="minorEastAsia"/>
          <w:b/>
          <w:lang w:eastAsia="zh-CN"/>
        </w:rPr>
      </w:pPr>
      <w:proofErr w:type="gramStart"/>
      <w:r>
        <w:rPr>
          <w:rFonts w:eastAsiaTheme="minorEastAsia"/>
          <w:b/>
          <w:lang w:eastAsia="zh-CN"/>
        </w:rPr>
        <w:t>REFERENCES</w:t>
      </w:r>
      <w:proofErr w:type="gramEnd"/>
      <w:r>
        <w:rPr>
          <w:rFonts w:eastAsiaTheme="minorEastAsia"/>
          <w:b/>
          <w:lang w:eastAsia="zh-CN"/>
        </w:rPr>
        <w:t>:</w:t>
      </w:r>
    </w:p>
    <w:p w14:paraId="2449B110" w14:textId="77777777" w:rsidR="007F6F5F" w:rsidRDefault="00000000">
      <w:pPr>
        <w:pStyle w:val="ListParagraph"/>
        <w:numPr>
          <w:ilvl w:val="0"/>
          <w:numId w:val="1"/>
        </w:numPr>
        <w:ind w:left="0" w:firstLine="0"/>
        <w:jc w:val="both"/>
        <w:rPr>
          <w:rFonts w:ascii="Calibri" w:hAnsi="Calibri" w:cs="Calibri"/>
          <w:bCs/>
          <w:sz w:val="24"/>
          <w:szCs w:val="24"/>
        </w:rPr>
      </w:pPr>
      <w:r>
        <w:rPr>
          <w:rFonts w:ascii="Calibri" w:hAnsi="Calibri" w:cs="Calibri"/>
          <w:bCs/>
          <w:sz w:val="24"/>
          <w:szCs w:val="24"/>
        </w:rPr>
        <w:lastRenderedPageBreak/>
        <w:t xml:space="preserve">Kamal RN, Shapiro LM. American Academy of </w:t>
      </w:r>
      <w:proofErr w:type="spellStart"/>
      <w:r>
        <w:rPr>
          <w:rFonts w:ascii="Calibri" w:hAnsi="Calibri" w:cs="Calibri"/>
          <w:bCs/>
          <w:sz w:val="24"/>
          <w:szCs w:val="24"/>
        </w:rPr>
        <w:t>Orthopaedic</w:t>
      </w:r>
      <w:proofErr w:type="spellEnd"/>
      <w:r>
        <w:rPr>
          <w:rFonts w:ascii="Calibri" w:hAnsi="Calibri" w:cs="Calibri"/>
          <w:bCs/>
          <w:sz w:val="24"/>
          <w:szCs w:val="24"/>
        </w:rPr>
        <w:t xml:space="preserve"> Surgeons/American Society for Surgery of the Hand clinical practice guideline summary: Management of distal radius fractures. J Am Acad </w:t>
      </w:r>
      <w:proofErr w:type="spellStart"/>
      <w:r>
        <w:rPr>
          <w:rFonts w:ascii="Calibri" w:hAnsi="Calibri" w:cs="Calibri"/>
          <w:bCs/>
          <w:sz w:val="24"/>
          <w:szCs w:val="24"/>
        </w:rPr>
        <w:t>Orthop</w:t>
      </w:r>
      <w:proofErr w:type="spellEnd"/>
      <w:r>
        <w:rPr>
          <w:rFonts w:ascii="Calibri" w:hAnsi="Calibri" w:cs="Calibri"/>
          <w:bCs/>
          <w:sz w:val="24"/>
          <w:szCs w:val="24"/>
        </w:rPr>
        <w:t xml:space="preserve"> Surg. 2022;30(4</w:t>
      </w:r>
      <w:proofErr w:type="gramStart"/>
      <w:r>
        <w:rPr>
          <w:rFonts w:ascii="Calibri" w:hAnsi="Calibri" w:cs="Calibri"/>
          <w:bCs/>
          <w:sz w:val="24"/>
          <w:szCs w:val="24"/>
        </w:rPr>
        <w:t>):e</w:t>
      </w:r>
      <w:proofErr w:type="gramEnd"/>
      <w:r>
        <w:rPr>
          <w:rFonts w:ascii="Calibri" w:hAnsi="Calibri" w:cs="Calibri"/>
          <w:bCs/>
          <w:sz w:val="24"/>
          <w:szCs w:val="24"/>
        </w:rPr>
        <w:t>480–e486.</w:t>
      </w:r>
    </w:p>
    <w:p w14:paraId="3A1A73A0" w14:textId="77777777" w:rsidR="007F6F5F" w:rsidRDefault="00000000">
      <w:pPr>
        <w:pStyle w:val="ListParagraph"/>
        <w:numPr>
          <w:ilvl w:val="0"/>
          <w:numId w:val="1"/>
        </w:numPr>
        <w:ind w:left="0" w:firstLine="0"/>
        <w:jc w:val="both"/>
        <w:rPr>
          <w:rFonts w:ascii="Calibri" w:hAnsi="Calibri" w:cs="Calibri"/>
          <w:bCs/>
          <w:sz w:val="24"/>
          <w:szCs w:val="24"/>
        </w:rPr>
      </w:pPr>
      <w:r>
        <w:rPr>
          <w:rFonts w:ascii="Calibri" w:hAnsi="Calibri" w:cs="Calibri"/>
          <w:bCs/>
          <w:sz w:val="24"/>
          <w:szCs w:val="24"/>
        </w:rPr>
        <w:t xml:space="preserve">Jackson T, </w:t>
      </w:r>
      <w:r>
        <w:rPr>
          <w:rFonts w:ascii="Calibri" w:hAnsi="Calibri" w:cs="Calibri"/>
          <w:bCs/>
          <w:i/>
          <w:iCs/>
          <w:sz w:val="24"/>
          <w:szCs w:val="24"/>
        </w:rPr>
        <w:t xml:space="preserve">et al. </w:t>
      </w:r>
      <w:r>
        <w:rPr>
          <w:rFonts w:ascii="Calibri" w:hAnsi="Calibri" w:cs="Calibri"/>
          <w:bCs/>
          <w:sz w:val="24"/>
          <w:szCs w:val="24"/>
        </w:rPr>
        <w:t xml:space="preserve">A comparison of sugar-tong and volar-dorsal splints for provisional immobilization of distal radius fractures in the adult population. </w:t>
      </w:r>
      <w:proofErr w:type="spellStart"/>
      <w:r>
        <w:rPr>
          <w:rFonts w:ascii="Calibri" w:hAnsi="Calibri" w:cs="Calibri"/>
          <w:bCs/>
          <w:sz w:val="24"/>
          <w:szCs w:val="24"/>
        </w:rPr>
        <w:t>Eur</w:t>
      </w:r>
      <w:proofErr w:type="spellEnd"/>
      <w:r>
        <w:rPr>
          <w:rFonts w:ascii="Calibri" w:hAnsi="Calibri" w:cs="Calibri"/>
          <w:bCs/>
          <w:sz w:val="24"/>
          <w:szCs w:val="24"/>
        </w:rPr>
        <w:t xml:space="preserve"> J </w:t>
      </w:r>
      <w:proofErr w:type="spellStart"/>
      <w:r>
        <w:rPr>
          <w:rFonts w:ascii="Calibri" w:hAnsi="Calibri" w:cs="Calibri"/>
          <w:bCs/>
          <w:sz w:val="24"/>
          <w:szCs w:val="24"/>
        </w:rPr>
        <w:t>Orthop</w:t>
      </w:r>
      <w:proofErr w:type="spellEnd"/>
      <w:r>
        <w:rPr>
          <w:rFonts w:ascii="Calibri" w:hAnsi="Calibri" w:cs="Calibri"/>
          <w:bCs/>
          <w:sz w:val="24"/>
          <w:szCs w:val="24"/>
        </w:rPr>
        <w:t xml:space="preserve"> Surg </w:t>
      </w:r>
      <w:proofErr w:type="spellStart"/>
      <w:r>
        <w:rPr>
          <w:rFonts w:ascii="Calibri" w:hAnsi="Calibri" w:cs="Calibri"/>
          <w:bCs/>
          <w:sz w:val="24"/>
          <w:szCs w:val="24"/>
        </w:rPr>
        <w:t>Traumatol</w:t>
      </w:r>
      <w:proofErr w:type="spellEnd"/>
      <w:r>
        <w:rPr>
          <w:rFonts w:ascii="Calibri" w:hAnsi="Calibri" w:cs="Calibri"/>
          <w:bCs/>
          <w:sz w:val="24"/>
          <w:szCs w:val="24"/>
        </w:rPr>
        <w:t>. 2021;31(2):229–234.</w:t>
      </w:r>
    </w:p>
    <w:p w14:paraId="23D29F89" w14:textId="77777777" w:rsidR="007F6F5F" w:rsidRDefault="00000000">
      <w:pPr>
        <w:pStyle w:val="ListParagraph"/>
        <w:numPr>
          <w:ilvl w:val="0"/>
          <w:numId w:val="1"/>
        </w:numPr>
        <w:ind w:left="0" w:firstLine="0"/>
        <w:jc w:val="both"/>
        <w:rPr>
          <w:rFonts w:ascii="Calibri" w:hAnsi="Calibri" w:cs="Calibri"/>
          <w:bCs/>
          <w:sz w:val="24"/>
          <w:szCs w:val="24"/>
        </w:rPr>
      </w:pPr>
      <w:proofErr w:type="spellStart"/>
      <w:r>
        <w:rPr>
          <w:rFonts w:ascii="Calibri" w:hAnsi="Calibri" w:cs="Calibri"/>
          <w:bCs/>
          <w:sz w:val="24"/>
          <w:szCs w:val="24"/>
        </w:rPr>
        <w:t>Gamba</w:t>
      </w:r>
      <w:proofErr w:type="spellEnd"/>
      <w:r>
        <w:rPr>
          <w:rFonts w:ascii="Calibri" w:hAnsi="Calibri" w:cs="Calibri"/>
          <w:bCs/>
          <w:sz w:val="24"/>
          <w:szCs w:val="24"/>
        </w:rPr>
        <w:t xml:space="preserve"> C, </w:t>
      </w:r>
      <w:r>
        <w:rPr>
          <w:rFonts w:ascii="Calibri" w:hAnsi="Calibri" w:cs="Calibri"/>
          <w:bCs/>
          <w:i/>
          <w:iCs/>
          <w:sz w:val="24"/>
          <w:szCs w:val="24"/>
        </w:rPr>
        <w:t xml:space="preserve">et al. </w:t>
      </w:r>
      <w:r>
        <w:rPr>
          <w:rFonts w:ascii="Calibri" w:hAnsi="Calibri" w:cs="Calibri"/>
          <w:bCs/>
          <w:sz w:val="24"/>
          <w:szCs w:val="24"/>
        </w:rPr>
        <w:t xml:space="preserve">Which immobilization is better for distal radius fracture? A prospective randomized trial. Int </w:t>
      </w:r>
      <w:proofErr w:type="spellStart"/>
      <w:r>
        <w:rPr>
          <w:rFonts w:ascii="Calibri" w:hAnsi="Calibri" w:cs="Calibri"/>
          <w:bCs/>
          <w:sz w:val="24"/>
          <w:szCs w:val="24"/>
        </w:rPr>
        <w:t>Orthop</w:t>
      </w:r>
      <w:proofErr w:type="spellEnd"/>
      <w:r>
        <w:rPr>
          <w:rFonts w:ascii="Calibri" w:hAnsi="Calibri" w:cs="Calibri"/>
          <w:bCs/>
          <w:sz w:val="24"/>
          <w:szCs w:val="24"/>
        </w:rPr>
        <w:t>. 2017;41(9):1723–1727.</w:t>
      </w:r>
    </w:p>
    <w:p w14:paraId="623F1F83" w14:textId="77777777" w:rsidR="007F6F5F" w:rsidRDefault="00000000">
      <w:pPr>
        <w:pStyle w:val="ListParagraph"/>
        <w:numPr>
          <w:ilvl w:val="0"/>
          <w:numId w:val="1"/>
        </w:numPr>
        <w:ind w:left="0" w:firstLine="0"/>
        <w:jc w:val="both"/>
        <w:rPr>
          <w:rFonts w:ascii="Calibri" w:hAnsi="Calibri" w:cs="Calibri"/>
          <w:bCs/>
          <w:sz w:val="24"/>
          <w:szCs w:val="24"/>
        </w:rPr>
      </w:pPr>
      <w:proofErr w:type="spellStart"/>
      <w:r>
        <w:rPr>
          <w:rFonts w:ascii="Calibri" w:hAnsi="Calibri" w:cs="Calibri"/>
          <w:bCs/>
          <w:sz w:val="24"/>
          <w:szCs w:val="24"/>
        </w:rPr>
        <w:t>Mackenney</w:t>
      </w:r>
      <w:proofErr w:type="spellEnd"/>
      <w:r>
        <w:rPr>
          <w:rFonts w:ascii="Calibri" w:hAnsi="Calibri" w:cs="Calibri"/>
          <w:bCs/>
          <w:sz w:val="24"/>
          <w:szCs w:val="24"/>
        </w:rPr>
        <w:t xml:space="preserve"> PJ, </w:t>
      </w:r>
      <w:proofErr w:type="spellStart"/>
      <w:r>
        <w:rPr>
          <w:rFonts w:ascii="Calibri" w:hAnsi="Calibri" w:cs="Calibri"/>
          <w:bCs/>
          <w:sz w:val="24"/>
          <w:szCs w:val="24"/>
        </w:rPr>
        <w:t>Mcqueen</w:t>
      </w:r>
      <w:proofErr w:type="spellEnd"/>
      <w:r>
        <w:rPr>
          <w:rFonts w:ascii="Calibri" w:hAnsi="Calibri" w:cs="Calibri"/>
          <w:bCs/>
          <w:sz w:val="24"/>
          <w:szCs w:val="24"/>
        </w:rPr>
        <w:t xml:space="preserve"> MM, Elton R. Prediction of instability in distal radial fractures. J Bone Joint Surg Am. 2006;88(9):1944–1951.</w:t>
      </w:r>
    </w:p>
    <w:p w14:paraId="2AA8CF24" w14:textId="77777777" w:rsidR="007F6F5F" w:rsidRDefault="00000000">
      <w:pPr>
        <w:pStyle w:val="ListParagraph"/>
        <w:numPr>
          <w:ilvl w:val="0"/>
          <w:numId w:val="1"/>
        </w:numPr>
        <w:ind w:left="0" w:firstLine="0"/>
        <w:jc w:val="both"/>
        <w:rPr>
          <w:rFonts w:ascii="Calibri" w:hAnsi="Calibri" w:cs="Calibri"/>
          <w:bCs/>
          <w:sz w:val="24"/>
          <w:szCs w:val="24"/>
        </w:rPr>
      </w:pPr>
      <w:proofErr w:type="spellStart"/>
      <w:r>
        <w:rPr>
          <w:rFonts w:ascii="Calibri" w:hAnsi="Calibri" w:cs="Calibri"/>
          <w:bCs/>
          <w:sz w:val="24"/>
          <w:szCs w:val="24"/>
        </w:rPr>
        <w:t>Futami</w:t>
      </w:r>
      <w:proofErr w:type="spellEnd"/>
      <w:r>
        <w:rPr>
          <w:rFonts w:ascii="Calibri" w:hAnsi="Calibri" w:cs="Calibri"/>
          <w:bCs/>
          <w:sz w:val="24"/>
          <w:szCs w:val="24"/>
        </w:rPr>
        <w:t xml:space="preserve"> T, Yamamoto M. Chinese external fixation treatment for fractures of the distal end of the radius. J Hand Surg Am. 1989;14(6):1028–1032.</w:t>
      </w:r>
    </w:p>
    <w:p w14:paraId="291F56CB" w14:textId="77777777" w:rsidR="007F6F5F" w:rsidRDefault="00000000">
      <w:pPr>
        <w:pStyle w:val="ListParagraph"/>
        <w:numPr>
          <w:ilvl w:val="0"/>
          <w:numId w:val="1"/>
        </w:numPr>
        <w:ind w:left="0" w:firstLine="0"/>
        <w:jc w:val="both"/>
        <w:rPr>
          <w:rFonts w:ascii="Calibri" w:hAnsi="Calibri" w:cs="Calibri"/>
          <w:bCs/>
          <w:sz w:val="24"/>
          <w:szCs w:val="24"/>
        </w:rPr>
      </w:pPr>
      <w:proofErr w:type="spellStart"/>
      <w:r>
        <w:rPr>
          <w:rFonts w:ascii="Calibri" w:hAnsi="Calibri" w:cs="Calibri"/>
          <w:bCs/>
          <w:sz w:val="24"/>
          <w:szCs w:val="24"/>
        </w:rPr>
        <w:t>Sosborg</w:t>
      </w:r>
      <w:proofErr w:type="spellEnd"/>
      <w:r>
        <w:rPr>
          <w:rFonts w:ascii="Calibri" w:hAnsi="Calibri" w:cs="Calibri"/>
          <w:bCs/>
          <w:sz w:val="24"/>
          <w:szCs w:val="24"/>
        </w:rPr>
        <w:t>-Wurtz H, Corap Gellert S, Ladeby Erichsen J, Viberg B. Closed reduction of distal radius fractures: A systematic review and meta-analysis. EFORT Open Rev. 2018;3(4):114–120.</w:t>
      </w:r>
    </w:p>
    <w:p w14:paraId="325184DC" w14:textId="77777777" w:rsidR="007F6F5F" w:rsidRDefault="00000000">
      <w:pPr>
        <w:pStyle w:val="ListParagraph"/>
        <w:numPr>
          <w:ilvl w:val="0"/>
          <w:numId w:val="1"/>
        </w:numPr>
        <w:ind w:left="0" w:firstLine="0"/>
        <w:jc w:val="both"/>
        <w:rPr>
          <w:rFonts w:ascii="Calibri" w:hAnsi="Calibri" w:cs="Calibri"/>
          <w:bCs/>
          <w:sz w:val="24"/>
          <w:szCs w:val="24"/>
        </w:rPr>
      </w:pPr>
      <w:r>
        <w:rPr>
          <w:rFonts w:ascii="Calibri" w:hAnsi="Calibri" w:cs="Calibri"/>
          <w:bCs/>
          <w:sz w:val="24"/>
          <w:szCs w:val="24"/>
        </w:rPr>
        <w:t>Earnshaw SA, Aladin A, Surendran S, Moran CG. Closed reduction of Colles fractures: Comparison of manual manipulation and finger-trap traction: A prospective, randomized study. J Bone Joint Surg Am. 2002;84(3):354–358.</w:t>
      </w:r>
    </w:p>
    <w:p w14:paraId="7C62C0F6" w14:textId="77777777" w:rsidR="007F6F5F" w:rsidRDefault="00000000">
      <w:pPr>
        <w:pStyle w:val="ListParagraph"/>
        <w:numPr>
          <w:ilvl w:val="0"/>
          <w:numId w:val="1"/>
        </w:numPr>
        <w:ind w:left="0" w:firstLine="0"/>
        <w:jc w:val="both"/>
        <w:rPr>
          <w:rFonts w:ascii="Calibri" w:hAnsi="Calibri" w:cs="Calibri"/>
          <w:bCs/>
          <w:sz w:val="24"/>
          <w:szCs w:val="24"/>
        </w:rPr>
      </w:pPr>
      <w:r>
        <w:rPr>
          <w:rFonts w:ascii="Calibri" w:hAnsi="Calibri" w:cs="Calibri"/>
          <w:bCs/>
          <w:sz w:val="24"/>
          <w:szCs w:val="24"/>
        </w:rPr>
        <w:t xml:space="preserve">Chaudhry YP, </w:t>
      </w:r>
      <w:r>
        <w:rPr>
          <w:rFonts w:ascii="Calibri" w:hAnsi="Calibri" w:cs="Calibri"/>
          <w:bCs/>
          <w:i/>
          <w:iCs/>
          <w:sz w:val="24"/>
          <w:szCs w:val="24"/>
        </w:rPr>
        <w:t xml:space="preserve">et al. </w:t>
      </w:r>
      <w:r>
        <w:rPr>
          <w:rFonts w:ascii="Calibri" w:hAnsi="Calibri" w:cs="Calibri"/>
          <w:bCs/>
          <w:sz w:val="24"/>
          <w:szCs w:val="24"/>
        </w:rPr>
        <w:t>Comparison of short-arm immobilization and long-arm immobilization in conservatively managed distal radius fractures: A meta-analysis and systematic review. Cureus. 2024;16(3</w:t>
      </w:r>
      <w:proofErr w:type="gramStart"/>
      <w:r>
        <w:rPr>
          <w:rFonts w:ascii="Calibri" w:hAnsi="Calibri" w:cs="Calibri"/>
          <w:bCs/>
          <w:sz w:val="24"/>
          <w:szCs w:val="24"/>
        </w:rPr>
        <w:t>):e</w:t>
      </w:r>
      <w:proofErr w:type="gramEnd"/>
      <w:r>
        <w:rPr>
          <w:rFonts w:ascii="Calibri" w:hAnsi="Calibri" w:cs="Calibri"/>
          <w:bCs/>
          <w:sz w:val="24"/>
          <w:szCs w:val="24"/>
        </w:rPr>
        <w:t xml:space="preserve">55813. </w:t>
      </w:r>
      <w:proofErr w:type="spellStart"/>
      <w:r>
        <w:rPr>
          <w:rFonts w:ascii="Calibri" w:hAnsi="Calibri" w:cs="Calibri"/>
          <w:bCs/>
          <w:sz w:val="24"/>
          <w:szCs w:val="24"/>
        </w:rPr>
        <w:t>doi</w:t>
      </w:r>
      <w:proofErr w:type="spellEnd"/>
      <w:r>
        <w:rPr>
          <w:rFonts w:ascii="Calibri" w:hAnsi="Calibri" w:cs="Calibri"/>
          <w:bCs/>
          <w:sz w:val="24"/>
          <w:szCs w:val="24"/>
        </w:rPr>
        <w:t>: 10.7759/cureus.55813.</w:t>
      </w:r>
    </w:p>
    <w:p w14:paraId="7391A3C9" w14:textId="77777777" w:rsidR="007F6F5F" w:rsidRDefault="00000000">
      <w:pPr>
        <w:pStyle w:val="ListParagraph"/>
        <w:numPr>
          <w:ilvl w:val="0"/>
          <w:numId w:val="1"/>
        </w:numPr>
        <w:ind w:left="0" w:firstLine="0"/>
        <w:jc w:val="both"/>
        <w:rPr>
          <w:rFonts w:ascii="Calibri" w:hAnsi="Calibri" w:cs="Calibri"/>
          <w:bCs/>
          <w:sz w:val="24"/>
          <w:szCs w:val="24"/>
        </w:rPr>
      </w:pPr>
      <w:proofErr w:type="spellStart"/>
      <w:r>
        <w:rPr>
          <w:rFonts w:ascii="Calibri" w:hAnsi="Calibri" w:cs="Calibri"/>
          <w:bCs/>
          <w:sz w:val="24"/>
          <w:szCs w:val="24"/>
        </w:rPr>
        <w:t>Alemdaroglu</w:t>
      </w:r>
      <w:proofErr w:type="spellEnd"/>
      <w:r>
        <w:rPr>
          <w:rFonts w:ascii="Calibri" w:hAnsi="Calibri" w:cs="Calibri"/>
          <w:bCs/>
          <w:sz w:val="24"/>
          <w:szCs w:val="24"/>
        </w:rPr>
        <w:t xml:space="preserve"> KB, </w:t>
      </w:r>
      <w:r>
        <w:rPr>
          <w:rFonts w:ascii="Calibri" w:hAnsi="Calibri" w:cs="Calibri"/>
          <w:bCs/>
          <w:i/>
          <w:iCs/>
          <w:sz w:val="24"/>
          <w:szCs w:val="24"/>
        </w:rPr>
        <w:t xml:space="preserve">et al. </w:t>
      </w:r>
      <w:r>
        <w:rPr>
          <w:rFonts w:ascii="Calibri" w:hAnsi="Calibri" w:cs="Calibri"/>
          <w:bCs/>
          <w:sz w:val="24"/>
          <w:szCs w:val="24"/>
        </w:rPr>
        <w:t xml:space="preserve">Three-point index in predicting </w:t>
      </w:r>
      <w:proofErr w:type="spellStart"/>
      <w:r>
        <w:rPr>
          <w:rFonts w:ascii="Calibri" w:hAnsi="Calibri" w:cs="Calibri"/>
          <w:bCs/>
          <w:sz w:val="24"/>
          <w:szCs w:val="24"/>
        </w:rPr>
        <w:t>redisplacement</w:t>
      </w:r>
      <w:proofErr w:type="spellEnd"/>
      <w:r>
        <w:rPr>
          <w:rFonts w:ascii="Calibri" w:hAnsi="Calibri" w:cs="Calibri"/>
          <w:bCs/>
          <w:sz w:val="24"/>
          <w:szCs w:val="24"/>
        </w:rPr>
        <w:t xml:space="preserve"> of extra-articular distal radial fractures in adults. Injury. 2010;41(2):197–203.</w:t>
      </w:r>
    </w:p>
    <w:p w14:paraId="35455121" w14:textId="77777777" w:rsidR="007F6F5F" w:rsidRDefault="00000000">
      <w:pPr>
        <w:pStyle w:val="ListParagraph"/>
        <w:numPr>
          <w:ilvl w:val="0"/>
          <w:numId w:val="1"/>
        </w:numPr>
        <w:ind w:left="0" w:firstLine="0"/>
        <w:jc w:val="both"/>
        <w:rPr>
          <w:rFonts w:ascii="Calibri" w:hAnsi="Calibri" w:cs="Calibri"/>
          <w:bCs/>
          <w:sz w:val="24"/>
          <w:szCs w:val="24"/>
        </w:rPr>
      </w:pPr>
      <w:r>
        <w:rPr>
          <w:rFonts w:ascii="Calibri" w:hAnsi="Calibri" w:cs="Calibri"/>
          <w:bCs/>
          <w:sz w:val="24"/>
          <w:szCs w:val="24"/>
        </w:rPr>
        <w:t xml:space="preserve">Lafontaine M, Hardy D, </w:t>
      </w:r>
      <w:proofErr w:type="spellStart"/>
      <w:r>
        <w:rPr>
          <w:rFonts w:ascii="Calibri" w:hAnsi="Calibri" w:cs="Calibri"/>
          <w:bCs/>
          <w:sz w:val="24"/>
          <w:szCs w:val="24"/>
        </w:rPr>
        <w:t>Delince</w:t>
      </w:r>
      <w:proofErr w:type="spellEnd"/>
      <w:r>
        <w:rPr>
          <w:rFonts w:ascii="Calibri" w:hAnsi="Calibri" w:cs="Calibri"/>
          <w:bCs/>
          <w:sz w:val="24"/>
          <w:szCs w:val="24"/>
        </w:rPr>
        <w:t xml:space="preserve"> P. Stability assessment of distal radius fractures. Injury. 1989;20(4):208–210.</w:t>
      </w:r>
    </w:p>
    <w:p w14:paraId="188D6175" w14:textId="77777777" w:rsidR="007F6F5F" w:rsidRDefault="00000000">
      <w:pPr>
        <w:pStyle w:val="ListParagraph"/>
        <w:numPr>
          <w:ilvl w:val="0"/>
          <w:numId w:val="1"/>
        </w:numPr>
        <w:ind w:left="0" w:firstLine="0"/>
        <w:jc w:val="both"/>
        <w:rPr>
          <w:rFonts w:ascii="Calibri" w:eastAsia="Calibri" w:hAnsi="Calibri" w:cs="Calibri"/>
          <w:bCs/>
          <w:sz w:val="28"/>
          <w:szCs w:val="28"/>
        </w:rPr>
      </w:pPr>
      <w:r>
        <w:rPr>
          <w:rFonts w:ascii="Calibri" w:hAnsi="Calibri" w:cs="Calibri"/>
          <w:bCs/>
          <w:sz w:val="24"/>
          <w:szCs w:val="24"/>
        </w:rPr>
        <w:t xml:space="preserve">Van Delft </w:t>
      </w:r>
      <w:proofErr w:type="spellStart"/>
      <w:r>
        <w:rPr>
          <w:rFonts w:ascii="Calibri" w:hAnsi="Calibri" w:cs="Calibri"/>
          <w:bCs/>
          <w:sz w:val="24"/>
          <w:szCs w:val="24"/>
        </w:rPr>
        <w:t>EaK</w:t>
      </w:r>
      <w:proofErr w:type="spellEnd"/>
      <w:r>
        <w:rPr>
          <w:rFonts w:ascii="Calibri" w:hAnsi="Calibri" w:cs="Calibri"/>
          <w:bCs/>
          <w:sz w:val="24"/>
          <w:szCs w:val="24"/>
        </w:rPr>
        <w:t xml:space="preserve">, </w:t>
      </w:r>
      <w:r>
        <w:rPr>
          <w:rFonts w:ascii="Calibri" w:hAnsi="Calibri" w:cs="Calibri"/>
          <w:bCs/>
          <w:i/>
          <w:iCs/>
          <w:sz w:val="24"/>
          <w:szCs w:val="24"/>
        </w:rPr>
        <w:t xml:space="preserve">et al. </w:t>
      </w:r>
      <w:r>
        <w:rPr>
          <w:rFonts w:ascii="Calibri" w:hAnsi="Calibri" w:cs="Calibri"/>
          <w:bCs/>
          <w:sz w:val="24"/>
          <w:szCs w:val="24"/>
        </w:rPr>
        <w:t xml:space="preserve">Four weeks versus six weeks of immobilization in a cast following closed reduction for displaced distal radial fractures in adult patients: A </w:t>
      </w:r>
      <w:proofErr w:type="spellStart"/>
      <w:r>
        <w:rPr>
          <w:rFonts w:ascii="Calibri" w:hAnsi="Calibri" w:cs="Calibri"/>
          <w:bCs/>
          <w:sz w:val="24"/>
          <w:szCs w:val="24"/>
        </w:rPr>
        <w:t>multicentre</w:t>
      </w:r>
      <w:proofErr w:type="spellEnd"/>
      <w:r>
        <w:rPr>
          <w:rFonts w:ascii="Calibri" w:hAnsi="Calibri" w:cs="Calibri"/>
          <w:bCs/>
          <w:sz w:val="24"/>
          <w:szCs w:val="24"/>
        </w:rPr>
        <w:t xml:space="preserve"> randomized controlled trial. Bone Joint J. 2023;105-</w:t>
      </w:r>
      <w:proofErr w:type="gramStart"/>
      <w:r>
        <w:rPr>
          <w:rFonts w:ascii="Calibri" w:hAnsi="Calibri" w:cs="Calibri"/>
          <w:bCs/>
          <w:sz w:val="24"/>
          <w:szCs w:val="24"/>
        </w:rPr>
        <w:t>B(</w:t>
      </w:r>
      <w:proofErr w:type="gramEnd"/>
      <w:r>
        <w:rPr>
          <w:rFonts w:ascii="Calibri" w:hAnsi="Calibri" w:cs="Calibri"/>
          <w:bCs/>
          <w:sz w:val="24"/>
          <w:szCs w:val="24"/>
        </w:rPr>
        <w:t>9):993–999.</w:t>
      </w:r>
    </w:p>
    <w:sectPr w:rsidR="007F6F5F">
      <w:headerReference w:type="even" r:id="rId7"/>
      <w:headerReference w:type="default" r:id="rId8"/>
      <w:footerReference w:type="even" r:id="rId9"/>
      <w:footerReference w:type="default" r:id="rId10"/>
      <w:headerReference w:type="first" r:id="rId11"/>
      <w:footerReference w:type="first" r:id="rId12"/>
      <w:pgSz w:w="12240" w:h="15840"/>
      <w:pgMar w:top="1440" w:right="1440" w:bottom="1440" w:left="1440" w:header="720" w:footer="605" w:gutter="0"/>
      <w:lnNumType w:countBy="1" w:restart="continuous"/>
      <w:pgNumType w:start="1"/>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A272C22" w14:textId="77777777" w:rsidR="00272105" w:rsidRDefault="00272105">
      <w:r>
        <w:separator/>
      </w:r>
    </w:p>
  </w:endnote>
  <w:endnote w:type="continuationSeparator" w:id="0">
    <w:p w14:paraId="386B5E4B" w14:textId="77777777" w:rsidR="00272105" w:rsidRDefault="0027210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8A11C2" w14:textId="77777777" w:rsidR="007F6F5F" w:rsidRDefault="007F6F5F">
    <w:pPr>
      <w:tabs>
        <w:tab w:val="center" w:pos="4680"/>
        <w:tab w:val="right" w:pos="9360"/>
      </w:tabs>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A862CF" w14:textId="77777777" w:rsidR="007F6F5F" w:rsidRDefault="007F6F5F">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292305" w14:textId="77777777" w:rsidR="007F6F5F" w:rsidRDefault="007F6F5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6967801" w14:textId="77777777" w:rsidR="00272105" w:rsidRDefault="00272105">
      <w:r>
        <w:separator/>
      </w:r>
    </w:p>
  </w:footnote>
  <w:footnote w:type="continuationSeparator" w:id="0">
    <w:p w14:paraId="08D74590" w14:textId="77777777" w:rsidR="00272105" w:rsidRDefault="0027210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6D2676" w14:textId="77777777" w:rsidR="007F6F5F" w:rsidRDefault="007F6F5F">
    <w:pPr>
      <w:tabs>
        <w:tab w:val="center" w:pos="4680"/>
        <w:tab w:val="right" w:pos="9360"/>
      </w:tabs>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CC9903" w14:textId="77777777" w:rsidR="007F6F5F" w:rsidRDefault="00000000">
    <w:pPr>
      <w:tabs>
        <w:tab w:val="center" w:pos="4680"/>
        <w:tab w:val="left" w:pos="5724"/>
        <w:tab w:val="right" w:pos="9360"/>
      </w:tabs>
      <w:rPr>
        <w:b/>
        <w:color w:val="1F497D"/>
        <w:sz w:val="28"/>
        <w:szCs w:val="28"/>
      </w:rPr>
    </w:pPr>
    <w:r>
      <w:rPr>
        <w:color w:val="000000"/>
        <w:sz w:val="22"/>
        <w:szCs w:val="22"/>
      </w:rPr>
      <w:tab/>
    </w:r>
    <w:r>
      <w:rPr>
        <w:color w:val="000000"/>
        <w:sz w:val="22"/>
        <w:szCs w:val="22"/>
      </w:rPr>
      <w:tab/>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7F37C8" w14:textId="77777777" w:rsidR="007F6F5F" w:rsidRDefault="007F6F5F">
    <w:pPr>
      <w:tabs>
        <w:tab w:val="center" w:pos="4680"/>
        <w:tab w:val="right" w:pos="9360"/>
      </w:tabs>
      <w:jc w:val="right"/>
      <w:rPr>
        <w:b/>
        <w:color w:val="1F497D"/>
        <w:sz w:val="32"/>
        <w:szCs w:val="3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C911B9E"/>
    <w:multiLevelType w:val="multilevel"/>
    <w:tmpl w:val="7C911B9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16cid:durableId="49276658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hideSpellingErrors/>
  <w:hideGrammaticalErrors/>
  <w:proofState w:spelling="clean" w:grammar="clean"/>
  <w:defaultTabStop w:val="720"/>
  <w:noPunctuationKerning/>
  <w:characterSpacingControl w:val="doNotCompress"/>
  <w:footnotePr>
    <w:footnote w:id="-1"/>
    <w:footnote w:id="0"/>
  </w:footnotePr>
  <w:endnotePr>
    <w:endnote w:id="-1"/>
    <w:endnote w:id="0"/>
  </w:endnotePr>
  <w:compat>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2MDc0MrcwNjQxtzA1tTBU0lEKTi0uzszPAykwNK4FAIFA4bYtAAAA"/>
    <w:docVar w:name="EN.InstantFormat" w:val="&lt;ENInstantFormat&gt;&lt;Enabled&gt;0&lt;/Enabled&gt;&lt;ScanUnformatted&gt;1&lt;/ScanUnformatted&gt;&lt;ScanChanges&gt;1&lt;/ScanChanges&gt;&lt;Suspended&gt;0&lt;/Suspended&gt;&lt;/ENInstantFormat&gt;"/>
    <w:docVar w:name="EN.Layout" w:val="&lt;ENLayout&gt;&lt;Style&gt;Chinese Std GBT7714 (numeric) (1)&lt;/Style&gt;&lt;LeftDelim&gt;{&lt;/LeftDelim&gt;&lt;RightDelim&gt;}&lt;/RightDelim&gt;&lt;FontName&gt;Calibri&lt;/FontName&gt;&lt;FontSize&gt;12&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sx2vfzzskxppwgez906x2z2hezfdzvfspxrs&quot;&gt;工程菌&lt;record-ids&gt;&lt;item&gt;2540&lt;/item&gt;&lt;item&gt;2542&lt;/item&gt;&lt;item&gt;2543&lt;/item&gt;&lt;item&gt;2544&lt;/item&gt;&lt;item&gt;2545&lt;/item&gt;&lt;item&gt;2547&lt;/item&gt;&lt;item&gt;2548&lt;/item&gt;&lt;item&gt;2602&lt;/item&gt;&lt;item&gt;2603&lt;/item&gt;&lt;item&gt;2604&lt;/item&gt;&lt;item&gt;2605&lt;/item&gt;&lt;item&gt;2606&lt;/item&gt;&lt;item&gt;2607&lt;/item&gt;&lt;/record-ids&gt;&lt;/item&gt;&lt;/Libraries&gt;"/>
  </w:docVars>
  <w:rsids>
    <w:rsidRoot w:val="006E4797"/>
    <w:rsid w:val="0000515B"/>
    <w:rsid w:val="00006A87"/>
    <w:rsid w:val="00011457"/>
    <w:rsid w:val="00013652"/>
    <w:rsid w:val="00034DD1"/>
    <w:rsid w:val="00036212"/>
    <w:rsid w:val="0004355D"/>
    <w:rsid w:val="00057B67"/>
    <w:rsid w:val="00061E0E"/>
    <w:rsid w:val="0007506F"/>
    <w:rsid w:val="00076815"/>
    <w:rsid w:val="00081F44"/>
    <w:rsid w:val="00082A5F"/>
    <w:rsid w:val="00083ADB"/>
    <w:rsid w:val="00091586"/>
    <w:rsid w:val="00092608"/>
    <w:rsid w:val="000A7949"/>
    <w:rsid w:val="000B41B6"/>
    <w:rsid w:val="000C6F70"/>
    <w:rsid w:val="000D3211"/>
    <w:rsid w:val="000E2ABF"/>
    <w:rsid w:val="000E3F21"/>
    <w:rsid w:val="000E4C51"/>
    <w:rsid w:val="000E731A"/>
    <w:rsid w:val="00111366"/>
    <w:rsid w:val="001118AA"/>
    <w:rsid w:val="0014270C"/>
    <w:rsid w:val="001470F2"/>
    <w:rsid w:val="00147268"/>
    <w:rsid w:val="00147CBA"/>
    <w:rsid w:val="0015327B"/>
    <w:rsid w:val="00160FB0"/>
    <w:rsid w:val="001624E4"/>
    <w:rsid w:val="00181A81"/>
    <w:rsid w:val="0018412F"/>
    <w:rsid w:val="00194C04"/>
    <w:rsid w:val="00194CE8"/>
    <w:rsid w:val="001959A2"/>
    <w:rsid w:val="001A1CA1"/>
    <w:rsid w:val="001A3A38"/>
    <w:rsid w:val="001A3D0F"/>
    <w:rsid w:val="001A78F1"/>
    <w:rsid w:val="001B1221"/>
    <w:rsid w:val="001B3607"/>
    <w:rsid w:val="001D1578"/>
    <w:rsid w:val="001D5AFA"/>
    <w:rsid w:val="001F2EA5"/>
    <w:rsid w:val="001F3109"/>
    <w:rsid w:val="002018DC"/>
    <w:rsid w:val="00210DD6"/>
    <w:rsid w:val="00214319"/>
    <w:rsid w:val="00216774"/>
    <w:rsid w:val="0022739D"/>
    <w:rsid w:val="00231F3E"/>
    <w:rsid w:val="0023296D"/>
    <w:rsid w:val="00232DDC"/>
    <w:rsid w:val="00233691"/>
    <w:rsid w:val="00252077"/>
    <w:rsid w:val="00272105"/>
    <w:rsid w:val="00273EDD"/>
    <w:rsid w:val="002A5E32"/>
    <w:rsid w:val="002B677D"/>
    <w:rsid w:val="002D463F"/>
    <w:rsid w:val="002E00F2"/>
    <w:rsid w:val="00313A9C"/>
    <w:rsid w:val="0031658E"/>
    <w:rsid w:val="00333D4B"/>
    <w:rsid w:val="00345A90"/>
    <w:rsid w:val="00351087"/>
    <w:rsid w:val="003548DA"/>
    <w:rsid w:val="00356228"/>
    <w:rsid w:val="00356880"/>
    <w:rsid w:val="00375BEE"/>
    <w:rsid w:val="00376E47"/>
    <w:rsid w:val="00387CDA"/>
    <w:rsid w:val="003A5297"/>
    <w:rsid w:val="003D0BB3"/>
    <w:rsid w:val="003D67E2"/>
    <w:rsid w:val="003E78D7"/>
    <w:rsid w:val="0040579A"/>
    <w:rsid w:val="00414ADE"/>
    <w:rsid w:val="004361C8"/>
    <w:rsid w:val="00436CF5"/>
    <w:rsid w:val="00436F4D"/>
    <w:rsid w:val="00442381"/>
    <w:rsid w:val="004620C9"/>
    <w:rsid w:val="004939EE"/>
    <w:rsid w:val="004969D3"/>
    <w:rsid w:val="004C0985"/>
    <w:rsid w:val="004D362E"/>
    <w:rsid w:val="004F6AD9"/>
    <w:rsid w:val="00513CCF"/>
    <w:rsid w:val="00516914"/>
    <w:rsid w:val="00521072"/>
    <w:rsid w:val="00551D82"/>
    <w:rsid w:val="0055344F"/>
    <w:rsid w:val="005734D7"/>
    <w:rsid w:val="00575E55"/>
    <w:rsid w:val="00585BF5"/>
    <w:rsid w:val="00597E96"/>
    <w:rsid w:val="005A637B"/>
    <w:rsid w:val="005E1EE7"/>
    <w:rsid w:val="00604100"/>
    <w:rsid w:val="00615035"/>
    <w:rsid w:val="00620842"/>
    <w:rsid w:val="00622578"/>
    <w:rsid w:val="006239A1"/>
    <w:rsid w:val="00634672"/>
    <w:rsid w:val="00641575"/>
    <w:rsid w:val="00641821"/>
    <w:rsid w:val="00647209"/>
    <w:rsid w:val="0065736C"/>
    <w:rsid w:val="00663CFB"/>
    <w:rsid w:val="006755EE"/>
    <w:rsid w:val="006824BF"/>
    <w:rsid w:val="006A6821"/>
    <w:rsid w:val="006B0637"/>
    <w:rsid w:val="006C37FD"/>
    <w:rsid w:val="006E4797"/>
    <w:rsid w:val="006E4C70"/>
    <w:rsid w:val="006E547A"/>
    <w:rsid w:val="006E7C64"/>
    <w:rsid w:val="00702ADE"/>
    <w:rsid w:val="0070444F"/>
    <w:rsid w:val="00714BE0"/>
    <w:rsid w:val="00736371"/>
    <w:rsid w:val="00746EAB"/>
    <w:rsid w:val="00751D3D"/>
    <w:rsid w:val="00753313"/>
    <w:rsid w:val="0077097F"/>
    <w:rsid w:val="007953FC"/>
    <w:rsid w:val="007A4BBA"/>
    <w:rsid w:val="007B04B5"/>
    <w:rsid w:val="007B488F"/>
    <w:rsid w:val="007B72A4"/>
    <w:rsid w:val="007D6BE0"/>
    <w:rsid w:val="007F13E9"/>
    <w:rsid w:val="007F2030"/>
    <w:rsid w:val="007F5EB0"/>
    <w:rsid w:val="007F6F5F"/>
    <w:rsid w:val="00833B96"/>
    <w:rsid w:val="00835291"/>
    <w:rsid w:val="00840AD0"/>
    <w:rsid w:val="008425A4"/>
    <w:rsid w:val="008461C6"/>
    <w:rsid w:val="00847017"/>
    <w:rsid w:val="0085421A"/>
    <w:rsid w:val="0085548D"/>
    <w:rsid w:val="008934E4"/>
    <w:rsid w:val="008A4859"/>
    <w:rsid w:val="008A7A39"/>
    <w:rsid w:val="008B2D50"/>
    <w:rsid w:val="008B35D2"/>
    <w:rsid w:val="008D293E"/>
    <w:rsid w:val="008D6B6C"/>
    <w:rsid w:val="008E19AC"/>
    <w:rsid w:val="008F11F2"/>
    <w:rsid w:val="00901C81"/>
    <w:rsid w:val="00911EF7"/>
    <w:rsid w:val="00911FBB"/>
    <w:rsid w:val="00930D00"/>
    <w:rsid w:val="00936E08"/>
    <w:rsid w:val="009409EA"/>
    <w:rsid w:val="009545E9"/>
    <w:rsid w:val="00994F50"/>
    <w:rsid w:val="009A2F6C"/>
    <w:rsid w:val="009C08D7"/>
    <w:rsid w:val="00A1684A"/>
    <w:rsid w:val="00A35853"/>
    <w:rsid w:val="00A61636"/>
    <w:rsid w:val="00A624BE"/>
    <w:rsid w:val="00A63203"/>
    <w:rsid w:val="00AB4038"/>
    <w:rsid w:val="00AC2C0F"/>
    <w:rsid w:val="00AC6AA2"/>
    <w:rsid w:val="00AF60BF"/>
    <w:rsid w:val="00B1267F"/>
    <w:rsid w:val="00B379A9"/>
    <w:rsid w:val="00B66177"/>
    <w:rsid w:val="00B81064"/>
    <w:rsid w:val="00B852E3"/>
    <w:rsid w:val="00B86087"/>
    <w:rsid w:val="00B87681"/>
    <w:rsid w:val="00B91614"/>
    <w:rsid w:val="00B96726"/>
    <w:rsid w:val="00BA7E27"/>
    <w:rsid w:val="00BB1BCC"/>
    <w:rsid w:val="00BC0B2F"/>
    <w:rsid w:val="00BC7F04"/>
    <w:rsid w:val="00BD3767"/>
    <w:rsid w:val="00BD383B"/>
    <w:rsid w:val="00BE22A2"/>
    <w:rsid w:val="00BE2769"/>
    <w:rsid w:val="00BE6C37"/>
    <w:rsid w:val="00C10B2E"/>
    <w:rsid w:val="00C11D93"/>
    <w:rsid w:val="00C27C71"/>
    <w:rsid w:val="00C305C6"/>
    <w:rsid w:val="00C331C5"/>
    <w:rsid w:val="00C3402F"/>
    <w:rsid w:val="00C34846"/>
    <w:rsid w:val="00C366E0"/>
    <w:rsid w:val="00C429FA"/>
    <w:rsid w:val="00C54707"/>
    <w:rsid w:val="00C550F3"/>
    <w:rsid w:val="00C652D8"/>
    <w:rsid w:val="00C875D1"/>
    <w:rsid w:val="00CB1713"/>
    <w:rsid w:val="00CB1783"/>
    <w:rsid w:val="00CC7BBD"/>
    <w:rsid w:val="00CD52AF"/>
    <w:rsid w:val="00CE34C3"/>
    <w:rsid w:val="00CF1AB6"/>
    <w:rsid w:val="00CF683A"/>
    <w:rsid w:val="00D06B14"/>
    <w:rsid w:val="00D07A90"/>
    <w:rsid w:val="00D2510B"/>
    <w:rsid w:val="00D572F8"/>
    <w:rsid w:val="00D57F1F"/>
    <w:rsid w:val="00D661BB"/>
    <w:rsid w:val="00D802EA"/>
    <w:rsid w:val="00D86D57"/>
    <w:rsid w:val="00D94818"/>
    <w:rsid w:val="00D959E7"/>
    <w:rsid w:val="00D9606F"/>
    <w:rsid w:val="00DA154A"/>
    <w:rsid w:val="00DA3C5C"/>
    <w:rsid w:val="00DC0E61"/>
    <w:rsid w:val="00DC18A7"/>
    <w:rsid w:val="00DC3ED2"/>
    <w:rsid w:val="00DD0D2A"/>
    <w:rsid w:val="00DF06F2"/>
    <w:rsid w:val="00E03054"/>
    <w:rsid w:val="00E1198C"/>
    <w:rsid w:val="00E401D5"/>
    <w:rsid w:val="00E43D28"/>
    <w:rsid w:val="00EA4683"/>
    <w:rsid w:val="00EB1E68"/>
    <w:rsid w:val="00EC0649"/>
    <w:rsid w:val="00EC57F0"/>
    <w:rsid w:val="00F01044"/>
    <w:rsid w:val="00F012B9"/>
    <w:rsid w:val="00F1719C"/>
    <w:rsid w:val="00F22FB1"/>
    <w:rsid w:val="00F36869"/>
    <w:rsid w:val="00F379CC"/>
    <w:rsid w:val="00F41DE1"/>
    <w:rsid w:val="00F50278"/>
    <w:rsid w:val="00F511BF"/>
    <w:rsid w:val="00F63B8D"/>
    <w:rsid w:val="00F72213"/>
    <w:rsid w:val="00FA3B53"/>
    <w:rsid w:val="00FA6C9C"/>
    <w:rsid w:val="00FD758B"/>
    <w:rsid w:val="00FF4595"/>
    <w:rsid w:val="09960564"/>
    <w:rsid w:val="0EA45F96"/>
    <w:rsid w:val="1126606F"/>
    <w:rsid w:val="1FBC5A21"/>
    <w:rsid w:val="22364E65"/>
    <w:rsid w:val="272817B6"/>
    <w:rsid w:val="2CF51881"/>
    <w:rsid w:val="2FC26410"/>
    <w:rsid w:val="32016124"/>
    <w:rsid w:val="397C1D9B"/>
    <w:rsid w:val="3C344905"/>
    <w:rsid w:val="3C3D77CB"/>
    <w:rsid w:val="3DCA5921"/>
    <w:rsid w:val="3E2C4307"/>
    <w:rsid w:val="47793C18"/>
    <w:rsid w:val="483F4603"/>
    <w:rsid w:val="4C686F6E"/>
    <w:rsid w:val="4FA6486E"/>
    <w:rsid w:val="5727613E"/>
    <w:rsid w:val="5BC50439"/>
    <w:rsid w:val="5C7D01F4"/>
    <w:rsid w:val="5D6D3919"/>
    <w:rsid w:val="69126A56"/>
    <w:rsid w:val="6F614461"/>
    <w:rsid w:val="6FAE7B4B"/>
    <w:rsid w:val="7BEF07F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922556F6-54F2-4171-91B5-94BFB4D6FE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Times New Roman"/>
        <w:lang w:val="en-IN" w:eastAsia="en-I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unhideWhenUsed="1" w:qFormat="1"/>
    <w:lsdException w:name="header" w:semiHidden="1" w:unhideWhenUsed="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qFormat="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qFormat="1"/>
    <w:lsdException w:name="FollowedHyperlink" w:semiHidden="1" w:unhideWhenUsed="1" w:qFormat="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uiPriority="0"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34" w:qFormat="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widowControl w:val="0"/>
      <w:jc w:val="both"/>
    </w:pPr>
    <w:rPr>
      <w:rFonts w:ascii="Calibri" w:eastAsia="Calibri" w:hAnsi="Calibri" w:cs="Calibri"/>
      <w:sz w:val="24"/>
      <w:szCs w:val="24"/>
      <w:lang w:val="en-US" w:eastAsia="en-US"/>
    </w:rPr>
  </w:style>
  <w:style w:type="paragraph" w:styleId="Heading1">
    <w:name w:val="heading 1"/>
    <w:basedOn w:val="Normal"/>
    <w:next w:val="Normal"/>
    <w:uiPriority w:val="9"/>
    <w:qFormat/>
    <w:pPr>
      <w:keepNext/>
      <w:spacing w:before="240" w:after="60"/>
      <w:outlineLvl w:val="0"/>
    </w:pPr>
    <w:rPr>
      <w:b/>
      <w:sz w:val="28"/>
      <w:szCs w:val="28"/>
    </w:rPr>
  </w:style>
  <w:style w:type="paragraph" w:styleId="Heading2">
    <w:name w:val="heading 2"/>
    <w:basedOn w:val="Normal"/>
    <w:next w:val="Normal"/>
    <w:uiPriority w:val="9"/>
    <w:semiHidden/>
    <w:unhideWhenUsed/>
    <w:qFormat/>
    <w:pPr>
      <w:keepNext/>
      <w:outlineLvl w:val="1"/>
    </w:pPr>
    <w:rPr>
      <w:b/>
    </w:rPr>
  </w:style>
  <w:style w:type="paragraph" w:styleId="Heading3">
    <w:name w:val="heading 3"/>
    <w:basedOn w:val="Normal"/>
    <w:next w:val="Normal"/>
    <w:uiPriority w:val="9"/>
    <w:semiHidden/>
    <w:unhideWhenUsed/>
    <w:qFormat/>
    <w:pPr>
      <w:keepNext/>
      <w:keepLines/>
      <w:spacing w:before="200"/>
      <w:outlineLvl w:val="2"/>
    </w:pPr>
    <w:rPr>
      <w:rFonts w:ascii="Cambria" w:eastAsia="Cambria" w:hAnsi="Cambria" w:cs="Cambria"/>
      <w:b/>
      <w:color w:val="4F81BD"/>
    </w:rPr>
  </w:style>
  <w:style w:type="paragraph" w:styleId="Heading4">
    <w:name w:val="heading 4"/>
    <w:basedOn w:val="Normal"/>
    <w:next w:val="Normal"/>
    <w:uiPriority w:val="9"/>
    <w:semiHidden/>
    <w:unhideWhenUsed/>
    <w:qFormat/>
    <w:pPr>
      <w:keepNext/>
      <w:keepLines/>
      <w:spacing w:before="240" w:after="40"/>
      <w:outlineLvl w:val="3"/>
    </w:pPr>
    <w:rPr>
      <w:b/>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ommentText">
    <w:name w:val="annotation text"/>
    <w:basedOn w:val="Normal"/>
    <w:link w:val="CommentTextChar"/>
    <w:uiPriority w:val="99"/>
    <w:unhideWhenUsed/>
    <w:qFormat/>
    <w:rPr>
      <w:sz w:val="20"/>
      <w:szCs w:val="20"/>
    </w:rPr>
  </w:style>
  <w:style w:type="paragraph" w:styleId="BodyText">
    <w:name w:val="Body Text"/>
    <w:basedOn w:val="Normal"/>
    <w:semiHidden/>
    <w:qFormat/>
    <w:rPr>
      <w:rFonts w:ascii="Times New Roman" w:eastAsia="Times New Roman" w:hAnsi="Times New Roman" w:cs="Times New Roman"/>
    </w:rPr>
  </w:style>
  <w:style w:type="paragraph" w:styleId="Footer">
    <w:name w:val="footer"/>
    <w:basedOn w:val="Normal"/>
    <w:link w:val="FooterChar"/>
    <w:uiPriority w:val="99"/>
    <w:unhideWhenUsed/>
    <w:qFormat/>
    <w:pPr>
      <w:tabs>
        <w:tab w:val="center" w:pos="4680"/>
        <w:tab w:val="right" w:pos="9360"/>
      </w:tabs>
    </w:p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paragraph" w:styleId="NormalWeb">
    <w:name w:val="Normal (Web)"/>
    <w:basedOn w:val="Normal"/>
    <w:qFormat/>
    <w:pPr>
      <w:spacing w:beforeAutospacing="1" w:afterAutospacing="1"/>
      <w:jc w:val="left"/>
    </w:pPr>
    <w:rPr>
      <w:rFonts w:cs="Times New Roman"/>
      <w:lang w:eastAsia="zh-CN"/>
    </w:rPr>
  </w:style>
  <w:style w:type="paragraph" w:styleId="Title">
    <w:name w:val="Title"/>
    <w:basedOn w:val="Normal"/>
    <w:next w:val="Normal"/>
    <w:uiPriority w:val="10"/>
    <w:qFormat/>
    <w:pPr>
      <w:keepNext/>
      <w:keepLines/>
      <w:spacing w:before="480" w:after="120"/>
    </w:pPr>
    <w:rPr>
      <w:b/>
      <w:sz w:val="72"/>
      <w:szCs w:val="72"/>
    </w:rPr>
  </w:style>
  <w:style w:type="paragraph" w:styleId="CommentSubject">
    <w:name w:val="annotation subject"/>
    <w:basedOn w:val="CommentText"/>
    <w:next w:val="CommentText"/>
    <w:link w:val="CommentSubjectChar"/>
    <w:uiPriority w:val="99"/>
    <w:semiHidden/>
    <w:unhideWhenUsed/>
    <w:qFormat/>
    <w:rPr>
      <w:b/>
      <w:bCs/>
    </w:rPr>
  </w:style>
  <w:style w:type="character" w:styleId="FollowedHyperlink">
    <w:name w:val="FollowedHyperlink"/>
    <w:basedOn w:val="DefaultParagraphFont"/>
    <w:uiPriority w:val="99"/>
    <w:semiHidden/>
    <w:unhideWhenUsed/>
    <w:qFormat/>
    <w:rPr>
      <w:color w:val="800080" w:themeColor="followedHyperlink"/>
      <w:u w:val="single"/>
    </w:rPr>
  </w:style>
  <w:style w:type="character" w:styleId="LineNumber">
    <w:name w:val="line number"/>
    <w:basedOn w:val="DefaultParagraphFont"/>
    <w:uiPriority w:val="99"/>
    <w:semiHidden/>
    <w:unhideWhenUsed/>
    <w:qFormat/>
  </w:style>
  <w:style w:type="character" w:styleId="Hyperlink">
    <w:name w:val="Hyperlink"/>
    <w:basedOn w:val="DefaultParagraphFont"/>
    <w:uiPriority w:val="99"/>
    <w:unhideWhenUsed/>
    <w:qFormat/>
    <w:rPr>
      <w:color w:val="0000FF" w:themeColor="hyperlink"/>
      <w:u w:val="single"/>
    </w:rPr>
  </w:style>
  <w:style w:type="character" w:styleId="CommentReference">
    <w:name w:val="annotation reference"/>
    <w:basedOn w:val="DefaultParagraphFont"/>
    <w:uiPriority w:val="99"/>
    <w:semiHidden/>
    <w:unhideWhenUsed/>
    <w:qFormat/>
    <w:rPr>
      <w:sz w:val="16"/>
      <w:szCs w:val="16"/>
    </w:rPr>
  </w:style>
  <w:style w:type="character" w:customStyle="1" w:styleId="1">
    <w:name w:val="未处理的提及1"/>
    <w:basedOn w:val="DefaultParagraphFont"/>
    <w:uiPriority w:val="99"/>
    <w:semiHidden/>
    <w:unhideWhenUsed/>
    <w:qFormat/>
    <w:rPr>
      <w:color w:val="605E5C"/>
      <w:shd w:val="clear" w:color="auto" w:fill="E1DFDD"/>
    </w:rPr>
  </w:style>
  <w:style w:type="character" w:customStyle="1" w:styleId="FooterChar">
    <w:name w:val="Footer Char"/>
    <w:basedOn w:val="DefaultParagraphFont"/>
    <w:link w:val="Footer"/>
    <w:uiPriority w:val="99"/>
    <w:qFormat/>
  </w:style>
  <w:style w:type="paragraph" w:customStyle="1" w:styleId="10">
    <w:name w:val="修订1"/>
    <w:hidden/>
    <w:uiPriority w:val="99"/>
    <w:semiHidden/>
    <w:qFormat/>
    <w:rPr>
      <w:rFonts w:ascii="Calibri" w:eastAsia="Calibri" w:hAnsi="Calibri" w:cs="Calibri"/>
      <w:sz w:val="24"/>
      <w:szCs w:val="24"/>
      <w:lang w:val="en-US" w:eastAsia="en-US"/>
    </w:rPr>
  </w:style>
  <w:style w:type="paragraph" w:styleId="ListParagraph">
    <w:name w:val="List Paragraph"/>
    <w:basedOn w:val="Normal"/>
    <w:uiPriority w:val="34"/>
    <w:qFormat/>
    <w:pPr>
      <w:widowControl/>
      <w:spacing w:after="200" w:line="276" w:lineRule="auto"/>
      <w:ind w:left="720"/>
      <w:contextualSpacing/>
      <w:jc w:val="left"/>
    </w:pPr>
    <w:rPr>
      <w:rFonts w:asciiTheme="minorHAnsi" w:eastAsiaTheme="minorHAnsi" w:hAnsiTheme="minorHAnsi" w:cstheme="minorBidi"/>
      <w:sz w:val="22"/>
      <w:szCs w:val="22"/>
    </w:rPr>
  </w:style>
  <w:style w:type="character" w:customStyle="1" w:styleId="CommentTextChar">
    <w:name w:val="Comment Text Char"/>
    <w:basedOn w:val="DefaultParagraphFont"/>
    <w:link w:val="CommentText"/>
    <w:uiPriority w:val="99"/>
    <w:qFormat/>
    <w:rPr>
      <w:sz w:val="20"/>
      <w:szCs w:val="20"/>
    </w:rPr>
  </w:style>
  <w:style w:type="character" w:customStyle="1" w:styleId="CommentSubjectChar">
    <w:name w:val="Comment Subject Char"/>
    <w:basedOn w:val="CommentTextChar"/>
    <w:link w:val="CommentSubject"/>
    <w:uiPriority w:val="99"/>
    <w:semiHidden/>
    <w:qFormat/>
    <w:rPr>
      <w:b/>
      <w:bCs/>
      <w:sz w:val="20"/>
      <w:szCs w:val="20"/>
    </w:rPr>
  </w:style>
  <w:style w:type="character" w:customStyle="1" w:styleId="cf01">
    <w:name w:val="cf01"/>
    <w:basedOn w:val="DefaultParagraphFont"/>
    <w:qFormat/>
    <w:rPr>
      <w:rFonts w:ascii="Segoe UI" w:hAnsi="Segoe UI" w:cs="Segoe UI" w:hint="default"/>
      <w:sz w:val="18"/>
      <w:szCs w:val="18"/>
    </w:rPr>
  </w:style>
  <w:style w:type="paragraph" w:customStyle="1" w:styleId="Revision1">
    <w:name w:val="Revision1"/>
    <w:hidden/>
    <w:uiPriority w:val="99"/>
    <w:unhideWhenUsed/>
    <w:rPr>
      <w:rFonts w:ascii="Calibri" w:eastAsia="Calibri" w:hAnsi="Calibri" w:cs="Calibri"/>
      <w:sz w:val="24"/>
      <w:szCs w:val="24"/>
      <w:lang w:val="en-US" w:eastAsia="en-US"/>
    </w:rPr>
  </w:style>
  <w:style w:type="character" w:customStyle="1" w:styleId="UnresolvedMention1">
    <w:name w:val="Unresolved Mention1"/>
    <w:basedOn w:val="DefaultParagraphFont"/>
    <w:uiPriority w:val="99"/>
    <w:semiHidden/>
    <w:unhideWhenUsed/>
    <w:rPr>
      <w:color w:val="605E5C"/>
      <w:shd w:val="clear" w:color="auto" w:fill="E1DFDD"/>
    </w:rPr>
  </w:style>
  <w:style w:type="paragraph" w:customStyle="1" w:styleId="EndNoteBibliographyTitle">
    <w:name w:val="EndNote Bibliography Title"/>
    <w:basedOn w:val="Normal"/>
    <w:link w:val="EndNoteBibliographyTitle0"/>
    <w:pPr>
      <w:jc w:val="center"/>
    </w:pPr>
  </w:style>
  <w:style w:type="character" w:customStyle="1" w:styleId="EndNoteBibliographyTitle0">
    <w:name w:val="EndNote Bibliography Title 字符"/>
    <w:basedOn w:val="DefaultParagraphFont"/>
    <w:link w:val="EndNoteBibliographyTitle"/>
    <w:rPr>
      <w:rFonts w:ascii="Calibri" w:eastAsia="Calibri" w:hAnsi="Calibri" w:cs="Calibri"/>
      <w:sz w:val="24"/>
      <w:szCs w:val="24"/>
      <w:lang w:eastAsia="en-US"/>
    </w:rPr>
  </w:style>
  <w:style w:type="paragraph" w:customStyle="1" w:styleId="EndNoteBibliography">
    <w:name w:val="EndNote Bibliography"/>
    <w:basedOn w:val="Normal"/>
    <w:link w:val="EndNoteBibliography0"/>
  </w:style>
  <w:style w:type="character" w:customStyle="1" w:styleId="EndNoteBibliography0">
    <w:name w:val="EndNote Bibliography 字符"/>
    <w:basedOn w:val="DefaultParagraphFont"/>
    <w:link w:val="EndNoteBibliography"/>
    <w:rPr>
      <w:rFonts w:ascii="Calibri" w:eastAsia="Calibri" w:hAnsi="Calibri" w:cs="Calibri"/>
      <w:sz w:val="24"/>
      <w:szCs w:val="24"/>
      <w:lang w:eastAsia="en-US"/>
    </w:rPr>
  </w:style>
  <w:style w:type="paragraph" w:customStyle="1" w:styleId="Revision2">
    <w:name w:val="Revision2"/>
    <w:hidden/>
    <w:uiPriority w:val="99"/>
    <w:unhideWhenUsed/>
    <w:rPr>
      <w:rFonts w:ascii="Calibri" w:eastAsia="Calibri" w:hAnsi="Calibri" w:cs="Calibri"/>
      <w:sz w:val="24"/>
      <w:szCs w:val="24"/>
      <w:lang w:val="en-US" w:eastAsia="en-US"/>
    </w:rPr>
  </w:style>
  <w:style w:type="character" w:customStyle="1" w:styleId="UnresolvedMention2">
    <w:name w:val="Unresolved Mention2"/>
    <w:basedOn w:val="DefaultParagraphFont"/>
    <w:uiPriority w:val="99"/>
    <w:semiHidden/>
    <w:unhideWhenUse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124</TotalTime>
  <Pages>14</Pages>
  <Words>4237</Words>
  <Characters>27034</Characters>
  <Application>Microsoft Office Word</Application>
  <DocSecurity>0</DocSecurity>
  <Lines>600</Lines>
  <Paragraphs>229</Paragraphs>
  <ScaleCrop>false</ScaleCrop>
  <Company/>
  <LinksUpToDate>false</LinksUpToDate>
  <CharactersWithSpaces>31042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Vineeta</dc:creator>
  <cp:lastModifiedBy>Swati Madhu</cp:lastModifiedBy>
  <cp:revision>39</cp:revision>
  <dcterms:created xsi:type="dcterms:W3CDTF">2026-08-10T04:27:00Z</dcterms:created>
  <dcterms:modified xsi:type="dcterms:W3CDTF">2026-08-12T03:27:00Z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3715554084b6a3f5e957734f7bc0a214320c29b962d00a0a526411b9a5528181</vt:lpwstr>
  </property>
  <property fmtid="{D5CDD505-2E9C-101B-9397-08002B2CF9AE}" pid="3" name="KSOTemplateDocerSaveRecord">
    <vt:lpwstr>eyJoZGlkIjoiOGFkYmJlOWY2M2E4ODVkZDM4MjE0ZTFjNDUyNDU2MGQiLCJ1c2VySWQiOiI2NjA2ODA1MzAifQ==</vt:lpwstr>
  </property>
  <property fmtid="{D5CDD505-2E9C-101B-9397-08002B2CF9AE}" pid="4" name="KSOProductBuildVer">
    <vt:lpwstr>2052-12.1.0.24034</vt:lpwstr>
  </property>
  <property fmtid="{D5CDD505-2E9C-101B-9397-08002B2CF9AE}" pid="5" name="ICV">
    <vt:lpwstr>B50D6FA4AEA34A9EBCF773D08383249D_13</vt:lpwstr>
  </property>
</Properties>
</file>