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B76D73" w14:textId="77777777" w:rsidR="001F477B" w:rsidRPr="00FF3ECB" w:rsidRDefault="008219F9" w:rsidP="00FF3ECB">
      <w:pPr>
        <w:rPr>
          <w:highlight w:val="yellow"/>
        </w:rPr>
      </w:pPr>
      <w:r w:rsidRPr="00FF3ECB">
        <w:rPr>
          <w:b/>
        </w:rPr>
        <w:t>TITLE:</w:t>
      </w:r>
    </w:p>
    <w:p w14:paraId="77EEC3F8" w14:textId="283CB049" w:rsidR="001F477B" w:rsidRPr="00FF3ECB" w:rsidRDefault="008219F9" w:rsidP="00FF3ECB">
      <w:r w:rsidRPr="00FF3ECB">
        <w:t>G</w:t>
      </w:r>
      <w:r w:rsidR="00012935" w:rsidRPr="00FF3ECB">
        <w:t xml:space="preserve">enerating and </w:t>
      </w:r>
      <w:r w:rsidRPr="00FF3ECB">
        <w:t xml:space="preserve">Imaging Three-Dimensional Self-Organized Models </w:t>
      </w:r>
      <w:r w:rsidR="00012935" w:rsidRPr="00FF3ECB">
        <w:t xml:space="preserve">of the </w:t>
      </w:r>
      <w:r w:rsidRPr="00FF3ECB">
        <w:t xml:space="preserve">Human Chorion </w:t>
      </w:r>
      <w:r w:rsidR="00012935" w:rsidRPr="00FF3ECB">
        <w:t xml:space="preserve">from </w:t>
      </w:r>
      <w:r w:rsidRPr="00FF3ECB">
        <w:t>Pluripotent Stem Cells</w:t>
      </w:r>
    </w:p>
    <w:p w14:paraId="1DE0F037" w14:textId="77777777" w:rsidR="001F477B" w:rsidRPr="00FF3ECB" w:rsidRDefault="001F477B" w:rsidP="00FF3ECB">
      <w:pPr>
        <w:rPr>
          <w:b/>
          <w:bCs/>
        </w:rPr>
      </w:pPr>
    </w:p>
    <w:p w14:paraId="596C2FD7" w14:textId="77777777" w:rsidR="001F477B" w:rsidRPr="00FF3ECB" w:rsidRDefault="008219F9" w:rsidP="00FF3ECB">
      <w:pPr>
        <w:rPr>
          <w:color w:val="808080"/>
          <w:highlight w:val="yellow"/>
        </w:rPr>
      </w:pPr>
      <w:r w:rsidRPr="00FF3ECB">
        <w:rPr>
          <w:b/>
        </w:rPr>
        <w:t>AUTHORS AND AFFILIATIONS:</w:t>
      </w:r>
    </w:p>
    <w:p w14:paraId="54889DBE" w14:textId="70E1F85E" w:rsidR="001F477B" w:rsidRDefault="008219F9" w:rsidP="00FF3ECB">
      <w:r w:rsidRPr="00FF3ECB">
        <w:t>Ryan L Lim</w:t>
      </w:r>
      <w:r w:rsidRPr="00FF3ECB">
        <w:rPr>
          <w:vertAlign w:val="superscript"/>
        </w:rPr>
        <w:t>1,</w:t>
      </w:r>
      <w:r w:rsidR="003B71D1" w:rsidRPr="00FF3ECB">
        <w:rPr>
          <w:vertAlign w:val="superscript"/>
        </w:rPr>
        <w:t>2</w:t>
      </w:r>
      <w:r w:rsidRPr="00FF3ECB">
        <w:t xml:space="preserve">, </w:t>
      </w:r>
      <w:proofErr w:type="spellStart"/>
      <w:r w:rsidRPr="00FF3ECB">
        <w:t>Miaoci</w:t>
      </w:r>
      <w:proofErr w:type="spellEnd"/>
      <w:r w:rsidRPr="00FF3ECB">
        <w:t xml:space="preserve"> Zhang</w:t>
      </w:r>
      <w:r w:rsidRPr="00FF3ECB">
        <w:rPr>
          <w:vertAlign w:val="superscript"/>
        </w:rPr>
        <w:t>1,</w:t>
      </w:r>
      <w:r w:rsidR="003B71D1" w:rsidRPr="00FF3ECB">
        <w:rPr>
          <w:vertAlign w:val="superscript"/>
        </w:rPr>
        <w:t>2</w:t>
      </w:r>
      <w:r w:rsidRPr="00FF3ECB">
        <w:t>, Alice H. Reis</w:t>
      </w:r>
      <w:r w:rsidRPr="00FF3ECB">
        <w:rPr>
          <w:vertAlign w:val="superscript"/>
        </w:rPr>
        <w:t>1</w:t>
      </w:r>
      <w:r w:rsidR="003B71D1" w:rsidRPr="00FF3ECB">
        <w:rPr>
          <w:vertAlign w:val="superscript"/>
        </w:rPr>
        <w:t>,2</w:t>
      </w:r>
      <w:r w:rsidRPr="00FF3ECB">
        <w:t>, Ashika Gullapalli</w:t>
      </w:r>
      <w:r w:rsidR="003B71D1" w:rsidRPr="00FF3ECB">
        <w:rPr>
          <w:vertAlign w:val="superscript"/>
        </w:rPr>
        <w:t>3</w:t>
      </w:r>
      <w:r w:rsidRPr="00FF3ECB">
        <w:t xml:space="preserve">, </w:t>
      </w:r>
      <w:r w:rsidR="00895884" w:rsidRPr="00FF3ECB">
        <w:t>Aman Mahajan</w:t>
      </w:r>
      <w:r w:rsidR="00895884" w:rsidRPr="00FF3ECB">
        <w:rPr>
          <w:vertAlign w:val="superscript"/>
        </w:rPr>
        <w:t>1,</w:t>
      </w:r>
      <w:r w:rsidR="003B71D1" w:rsidRPr="00FF3ECB">
        <w:rPr>
          <w:vertAlign w:val="superscript"/>
        </w:rPr>
        <w:t>2</w:t>
      </w:r>
      <w:r w:rsidR="00895884" w:rsidRPr="00FF3ECB">
        <w:t xml:space="preserve">, </w:t>
      </w:r>
      <w:r w:rsidRPr="00FF3ECB">
        <w:t>Mijo Simunovic</w:t>
      </w:r>
      <w:r w:rsidRPr="00FF3ECB">
        <w:rPr>
          <w:vertAlign w:val="superscript"/>
        </w:rPr>
        <w:t>1</w:t>
      </w:r>
      <w:r w:rsidR="003B71D1" w:rsidRPr="00FF3ECB">
        <w:rPr>
          <w:vertAlign w:val="superscript"/>
        </w:rPr>
        <w:t>,</w:t>
      </w:r>
      <w:r w:rsidR="003C6B68" w:rsidRPr="00FF3ECB">
        <w:rPr>
          <w:vertAlign w:val="superscript"/>
        </w:rPr>
        <w:t>2</w:t>
      </w:r>
      <w:r w:rsidR="003B71D1" w:rsidRPr="00FF3ECB">
        <w:rPr>
          <w:vertAlign w:val="superscript"/>
        </w:rPr>
        <w:t>,4</w:t>
      </w:r>
      <w:r w:rsidR="00C7055A" w:rsidRPr="00C7055A">
        <w:t>*</w:t>
      </w:r>
    </w:p>
    <w:p w14:paraId="1F722AD6" w14:textId="77777777" w:rsidR="00C7055A" w:rsidRPr="00FF3ECB" w:rsidRDefault="00C7055A" w:rsidP="00FF3ECB"/>
    <w:p w14:paraId="181871D2" w14:textId="77777777" w:rsidR="001F477B" w:rsidRPr="00FF3ECB" w:rsidRDefault="008219F9" w:rsidP="00FF3ECB">
      <w:r w:rsidRPr="00FF3ECB">
        <w:rPr>
          <w:vertAlign w:val="superscript"/>
        </w:rPr>
        <w:t>1</w:t>
      </w:r>
      <w:r w:rsidRPr="00FF3ECB">
        <w:t>Department of Chemical Engineering, Columbia University, New York, NY, USA</w:t>
      </w:r>
    </w:p>
    <w:p w14:paraId="59890599" w14:textId="1FBCF26E" w:rsidR="003B71D1" w:rsidRPr="00FF3ECB" w:rsidRDefault="003B71D1" w:rsidP="00FF3ECB">
      <w:r w:rsidRPr="00FF3ECB">
        <w:rPr>
          <w:vertAlign w:val="superscript"/>
        </w:rPr>
        <w:t>2</w:t>
      </w:r>
      <w:r w:rsidRPr="00FF3ECB">
        <w:t xml:space="preserve">Columbia Stem Cell Initiative, Columbia University Irving Medical Center, New York, NY, USA </w:t>
      </w:r>
    </w:p>
    <w:p w14:paraId="2FEA7A7A" w14:textId="67A6583C" w:rsidR="001F477B" w:rsidRPr="00FF3ECB" w:rsidRDefault="003B71D1" w:rsidP="00FF3ECB">
      <w:r w:rsidRPr="00FF3ECB">
        <w:rPr>
          <w:vertAlign w:val="superscript"/>
        </w:rPr>
        <w:t>3</w:t>
      </w:r>
      <w:r w:rsidRPr="00FF3ECB">
        <w:t>Department of Ecology, Evolution, and Environmental Biology, Columbia University, New York, NY, USA</w:t>
      </w:r>
    </w:p>
    <w:p w14:paraId="586D66FF" w14:textId="7393D8A0" w:rsidR="003B71D1" w:rsidRPr="00FF3ECB" w:rsidRDefault="003B71D1" w:rsidP="00FF3ECB">
      <w:r w:rsidRPr="00FF3ECB">
        <w:rPr>
          <w:vertAlign w:val="superscript"/>
        </w:rPr>
        <w:t>4</w:t>
      </w:r>
      <w:r w:rsidRPr="00FF3ECB">
        <w:t xml:space="preserve">Department of Genetics and Development, Columbia University Irving Medical Center, New York, NY, USA </w:t>
      </w:r>
    </w:p>
    <w:p w14:paraId="4CCD816C" w14:textId="77777777" w:rsidR="00C7055A" w:rsidRDefault="00C7055A" w:rsidP="00C7055A"/>
    <w:p w14:paraId="1D5D33F0" w14:textId="070F706C" w:rsidR="00C7055A" w:rsidRPr="00FF3ECB" w:rsidRDefault="00C7055A" w:rsidP="00C7055A">
      <w:r w:rsidRPr="00FF3ECB">
        <w:t xml:space="preserve">Email addresses of </w:t>
      </w:r>
      <w:r>
        <w:t xml:space="preserve">the </w:t>
      </w:r>
      <w:r w:rsidRPr="00FF3ECB">
        <w:t>co</w:t>
      </w:r>
      <w:r>
        <w:t>-</w:t>
      </w:r>
      <w:r w:rsidRPr="00FF3ECB">
        <w:t>authors:</w:t>
      </w:r>
    </w:p>
    <w:p w14:paraId="1B9E357D" w14:textId="2B3F6C55" w:rsidR="00C7055A" w:rsidRPr="00FF3ECB" w:rsidRDefault="00C7055A" w:rsidP="00C7055A">
      <w:pPr>
        <w:rPr>
          <w:lang w:val="en-US"/>
        </w:rPr>
      </w:pPr>
      <w:r w:rsidRPr="00FF3ECB">
        <w:rPr>
          <w:lang w:val="en-US"/>
        </w:rPr>
        <w:t xml:space="preserve">Ryan L Lim </w:t>
      </w:r>
      <w:r w:rsidR="0095341F">
        <w:rPr>
          <w:lang w:val="en-US"/>
        </w:rPr>
        <w:tab/>
      </w:r>
      <w:r w:rsidR="0095341F">
        <w:rPr>
          <w:lang w:val="en-US"/>
        </w:rPr>
        <w:tab/>
      </w:r>
      <w:r w:rsidRPr="00FF3ECB">
        <w:rPr>
          <w:lang w:val="en-US"/>
        </w:rPr>
        <w:t>(</w:t>
      </w:r>
      <w:hyperlink r:id="rId8" w:history="1">
        <w:r w:rsidRPr="00FF3ECB">
          <w:rPr>
            <w:rStyle w:val="Hyperlink"/>
            <w:lang w:val="en-US"/>
          </w:rPr>
          <w:t>rll2190@columbia.edu</w:t>
        </w:r>
      </w:hyperlink>
      <w:r w:rsidRPr="00FF3ECB">
        <w:rPr>
          <w:lang w:val="en-US"/>
        </w:rPr>
        <w:t>)</w:t>
      </w:r>
    </w:p>
    <w:p w14:paraId="1F76B1D6" w14:textId="6A3B936B" w:rsidR="00C7055A" w:rsidRPr="00FF3ECB" w:rsidRDefault="00C7055A" w:rsidP="00C7055A">
      <w:proofErr w:type="spellStart"/>
      <w:r w:rsidRPr="00FF3ECB">
        <w:rPr>
          <w:lang w:val="en-US"/>
        </w:rPr>
        <w:t>Miaoci</w:t>
      </w:r>
      <w:proofErr w:type="spellEnd"/>
      <w:r w:rsidRPr="00FF3ECB">
        <w:rPr>
          <w:lang w:val="en-US"/>
        </w:rPr>
        <w:t xml:space="preserve"> Zhang </w:t>
      </w:r>
      <w:r w:rsidR="0095341F">
        <w:rPr>
          <w:lang w:val="en-US"/>
        </w:rPr>
        <w:tab/>
      </w:r>
      <w:r w:rsidR="0095341F">
        <w:rPr>
          <w:lang w:val="en-US"/>
        </w:rPr>
        <w:tab/>
      </w:r>
      <w:r w:rsidRPr="00FF3ECB">
        <w:rPr>
          <w:lang w:val="en-US"/>
        </w:rPr>
        <w:t>(</w:t>
      </w:r>
      <w:hyperlink r:id="rId9" w:history="1">
        <w:r w:rsidRPr="00FF3ECB">
          <w:rPr>
            <w:rStyle w:val="Hyperlink"/>
            <w:lang w:val="en-US"/>
          </w:rPr>
          <w:t>mz2750@columbia.edu</w:t>
        </w:r>
      </w:hyperlink>
      <w:r w:rsidRPr="00FF3ECB">
        <w:rPr>
          <w:lang w:val="en-US"/>
        </w:rPr>
        <w:t>)</w:t>
      </w:r>
    </w:p>
    <w:p w14:paraId="279125C7" w14:textId="0047F85A" w:rsidR="00C7055A" w:rsidRPr="00FF3ECB" w:rsidRDefault="00C7055A" w:rsidP="00C7055A">
      <w:r w:rsidRPr="00FF3ECB">
        <w:rPr>
          <w:lang w:val="en-US"/>
        </w:rPr>
        <w:t xml:space="preserve">Alice H. Reis </w:t>
      </w:r>
      <w:r w:rsidR="0095341F">
        <w:rPr>
          <w:lang w:val="en-US"/>
        </w:rPr>
        <w:tab/>
      </w:r>
      <w:r w:rsidR="0095341F">
        <w:rPr>
          <w:lang w:val="en-US"/>
        </w:rPr>
        <w:tab/>
      </w:r>
      <w:r w:rsidRPr="00FF3ECB">
        <w:rPr>
          <w:lang w:val="en-US"/>
        </w:rPr>
        <w:t>(</w:t>
      </w:r>
      <w:hyperlink r:id="rId10" w:history="1">
        <w:r w:rsidRPr="00FF3ECB">
          <w:rPr>
            <w:rStyle w:val="Hyperlink"/>
            <w:lang w:val="en-US"/>
          </w:rPr>
          <w:t>ad3971@columbia.edu</w:t>
        </w:r>
      </w:hyperlink>
      <w:r w:rsidRPr="00FF3ECB">
        <w:rPr>
          <w:lang w:val="en-US"/>
        </w:rPr>
        <w:t>)</w:t>
      </w:r>
    </w:p>
    <w:p w14:paraId="0662FE44" w14:textId="6A6E4651" w:rsidR="00C7055A" w:rsidRPr="00FF3ECB" w:rsidRDefault="00C7055A" w:rsidP="00C7055A">
      <w:r w:rsidRPr="00FF3ECB">
        <w:rPr>
          <w:lang w:val="en-US"/>
        </w:rPr>
        <w:t xml:space="preserve">Ashika Gullapalli </w:t>
      </w:r>
      <w:r w:rsidR="0095341F">
        <w:rPr>
          <w:lang w:val="en-US"/>
        </w:rPr>
        <w:tab/>
      </w:r>
      <w:r w:rsidRPr="00FF3ECB">
        <w:rPr>
          <w:lang w:val="en-US"/>
        </w:rPr>
        <w:t>(</w:t>
      </w:r>
      <w:hyperlink r:id="rId11" w:history="1">
        <w:r w:rsidRPr="00FF3ECB">
          <w:rPr>
            <w:rStyle w:val="Hyperlink"/>
            <w:lang w:val="en-US"/>
          </w:rPr>
          <w:t>abg2199@columbia.edu</w:t>
        </w:r>
      </w:hyperlink>
      <w:r w:rsidRPr="00FF3ECB">
        <w:rPr>
          <w:lang w:val="en-US"/>
        </w:rPr>
        <w:t>)</w:t>
      </w:r>
    </w:p>
    <w:p w14:paraId="1EC1284F" w14:textId="41E49133" w:rsidR="00C7055A" w:rsidRPr="00FF3ECB" w:rsidRDefault="00C7055A" w:rsidP="00C7055A">
      <w:r w:rsidRPr="00FF3ECB">
        <w:rPr>
          <w:lang w:val="en-US"/>
        </w:rPr>
        <w:t xml:space="preserve">Aman Mahajan </w:t>
      </w:r>
      <w:r w:rsidR="0095341F">
        <w:rPr>
          <w:lang w:val="en-US"/>
        </w:rPr>
        <w:tab/>
      </w:r>
      <w:r w:rsidRPr="00FF3ECB">
        <w:rPr>
          <w:lang w:val="en-US"/>
        </w:rPr>
        <w:t>(</w:t>
      </w:r>
      <w:hyperlink r:id="rId12" w:history="1">
        <w:r w:rsidRPr="00FF3ECB">
          <w:rPr>
            <w:rStyle w:val="Hyperlink"/>
            <w:lang w:val="en-US"/>
          </w:rPr>
          <w:t>am6523@columbia.edu</w:t>
        </w:r>
      </w:hyperlink>
      <w:r w:rsidRPr="00FF3ECB">
        <w:rPr>
          <w:lang w:val="en-US"/>
        </w:rPr>
        <w:t>)</w:t>
      </w:r>
    </w:p>
    <w:p w14:paraId="516977FB" w14:textId="77777777" w:rsidR="001F477B" w:rsidRPr="00FF3ECB" w:rsidRDefault="001F477B" w:rsidP="00FF3ECB"/>
    <w:p w14:paraId="562CB3F8" w14:textId="0EAC4832" w:rsidR="001F477B" w:rsidRPr="00FF3ECB" w:rsidRDefault="0095341F" w:rsidP="00FF3ECB">
      <w:r>
        <w:t>*</w:t>
      </w:r>
      <w:r w:rsidR="008219F9" w:rsidRPr="00FF3ECB">
        <w:t xml:space="preserve">Corresponding </w:t>
      </w:r>
      <w:r>
        <w:t>a</w:t>
      </w:r>
      <w:r w:rsidR="008219F9" w:rsidRPr="00FF3ECB">
        <w:t>uthor:</w:t>
      </w:r>
    </w:p>
    <w:p w14:paraId="0C011E7E" w14:textId="0AF0A362" w:rsidR="001F477B" w:rsidRPr="00FF3ECB" w:rsidRDefault="008219F9" w:rsidP="00FF3ECB">
      <w:r w:rsidRPr="00FF3ECB">
        <w:t xml:space="preserve">Mijo Simunovic </w:t>
      </w:r>
      <w:r w:rsidR="0095341F">
        <w:tab/>
      </w:r>
      <w:r w:rsidRPr="00FF3ECB">
        <w:t>(</w:t>
      </w:r>
      <w:hyperlink r:id="rId13" w:history="1">
        <w:r w:rsidR="00203068" w:rsidRPr="00FF3ECB">
          <w:rPr>
            <w:rStyle w:val="Hyperlink"/>
          </w:rPr>
          <w:t>ms6051@columbia.edu</w:t>
        </w:r>
      </w:hyperlink>
      <w:r w:rsidRPr="00FF3ECB">
        <w:t>)</w:t>
      </w:r>
    </w:p>
    <w:p w14:paraId="74DAC648" w14:textId="77777777" w:rsidR="00203068" w:rsidRPr="00FF3ECB" w:rsidRDefault="00203068" w:rsidP="00FF3ECB"/>
    <w:p w14:paraId="48D38AFD" w14:textId="77777777" w:rsidR="001F477B" w:rsidRPr="00FF3ECB" w:rsidRDefault="008219F9" w:rsidP="00FF3ECB">
      <w:pPr>
        <w:rPr>
          <w:highlight w:val="yellow"/>
        </w:rPr>
      </w:pPr>
      <w:r w:rsidRPr="00FF3ECB">
        <w:rPr>
          <w:b/>
        </w:rPr>
        <w:t>SUMMARY:</w:t>
      </w:r>
    </w:p>
    <w:p w14:paraId="7687EF30" w14:textId="6F2ADF5A" w:rsidR="001F477B" w:rsidRPr="00FF3ECB" w:rsidRDefault="00C74C86" w:rsidP="00FF3ECB">
      <w:pPr>
        <w:rPr>
          <w:color w:val="808080"/>
        </w:rPr>
      </w:pPr>
      <w:r w:rsidRPr="00FF3ECB">
        <w:t xml:space="preserve">This protocol describes a developmentally informed workflow to generate and </w:t>
      </w:r>
      <w:r w:rsidR="0081499F" w:rsidRPr="00FF3ECB">
        <w:t>image human</w:t>
      </w:r>
      <w:r w:rsidRPr="00FF3ECB">
        <w:t xml:space="preserve"> chorion models that recapitulate the emergence of the early placental cell diversity and architecture from human pluripotent stem cells.</w:t>
      </w:r>
    </w:p>
    <w:p w14:paraId="57EFF820" w14:textId="77777777" w:rsidR="001F477B" w:rsidRPr="00FF3ECB" w:rsidRDefault="001F477B" w:rsidP="00FF3ECB"/>
    <w:p w14:paraId="2C0ECED9" w14:textId="77777777" w:rsidR="001F477B" w:rsidRPr="00FF3ECB" w:rsidRDefault="008219F9" w:rsidP="00FF3ECB">
      <w:pPr>
        <w:rPr>
          <w:color w:val="808080"/>
          <w:highlight w:val="yellow"/>
        </w:rPr>
      </w:pPr>
      <w:r w:rsidRPr="00FF3ECB">
        <w:rPr>
          <w:b/>
        </w:rPr>
        <w:t>ABSTRACT:</w:t>
      </w:r>
    </w:p>
    <w:p w14:paraId="4F2231E6" w14:textId="232398FA" w:rsidR="001F477B" w:rsidRPr="00FF3ECB" w:rsidRDefault="008219F9" w:rsidP="00FF3ECB">
      <w:pPr>
        <w:rPr>
          <w:b/>
          <w:bCs/>
          <w:highlight w:val="yellow"/>
        </w:rPr>
      </w:pPr>
      <w:r w:rsidRPr="00FF3ECB">
        <w:t xml:space="preserve">During the first lineage bifurcation in the mammalian blastocyst, differential </w:t>
      </w:r>
      <w:r w:rsidR="00303338" w:rsidRPr="00FF3ECB">
        <w:t xml:space="preserve">activity of the </w:t>
      </w:r>
      <w:r w:rsidRPr="00FF3ECB">
        <w:t xml:space="preserve">HIPPO pathway commits outer blastomeres to the trophectoderm and initiates the developmental trajectory that forms the placental chorion. By the end of the second week of human development, trophoblast lineages organize with extraembryonic mesoderm to form the chorionic villi, the first organized structures of the placenta. </w:t>
      </w:r>
      <w:r w:rsidR="00012935" w:rsidRPr="00FF3ECB">
        <w:t xml:space="preserve">Trophoblast organoids are a common three-dimensional </w:t>
      </w:r>
      <w:r w:rsidR="00012935" w:rsidRPr="00FF3ECB">
        <w:rPr>
          <w:i/>
          <w:iCs/>
        </w:rPr>
        <w:t>in vitro</w:t>
      </w:r>
      <w:r w:rsidR="00012935" w:rsidRPr="00FF3ECB">
        <w:t xml:space="preserve"> culture model used to study placental development. However, most approaches do not </w:t>
      </w:r>
      <w:r w:rsidR="000B2510" w:rsidRPr="00FF3ECB">
        <w:t>recapitulate the developmental sequence of trophoblast induction</w:t>
      </w:r>
      <w:r w:rsidR="00D50EEB">
        <w:t>,</w:t>
      </w:r>
      <w:r w:rsidR="000B2510" w:rsidRPr="00FF3ECB">
        <w:t xml:space="preserve"> and they lack the full chorionic diversity, in particular the mesoderm</w:t>
      </w:r>
      <w:r w:rsidR="00012935" w:rsidRPr="00FF3ECB">
        <w:t xml:space="preserve">. In addition, the conventional gel-embedding techniques often exhibit inverted polarity, with multinucleated </w:t>
      </w:r>
      <w:proofErr w:type="spellStart"/>
      <w:r w:rsidR="00012935" w:rsidRPr="00FF3ECB">
        <w:t>syncytiotrophoblast</w:t>
      </w:r>
      <w:proofErr w:type="spellEnd"/>
      <w:r w:rsidR="00012935" w:rsidRPr="00FF3ECB">
        <w:t xml:space="preserve"> developing within the inner core of the organoids rather than on the exterior, as observed in native chorionic villi. </w:t>
      </w:r>
      <w:r w:rsidR="001408E2" w:rsidRPr="00FF3ECB">
        <w:t>Here</w:t>
      </w:r>
      <w:r w:rsidR="004D7D30" w:rsidRPr="00FF3ECB">
        <w:t>,</w:t>
      </w:r>
      <w:r w:rsidR="001408E2" w:rsidRPr="00FF3ECB">
        <w:t xml:space="preserve"> a</w:t>
      </w:r>
      <w:r w:rsidR="00012935" w:rsidRPr="00FF3ECB">
        <w:t xml:space="preserve"> developmentally informed, non-embedded framework </w:t>
      </w:r>
      <w:r w:rsidR="00C74C86" w:rsidRPr="00FF3ECB">
        <w:t xml:space="preserve">is presented </w:t>
      </w:r>
      <w:r w:rsidR="00012935" w:rsidRPr="00FF3ECB">
        <w:t>that recapitulate</w:t>
      </w:r>
      <w:r w:rsidR="004B6EB9" w:rsidRPr="00FF3ECB">
        <w:t>s</w:t>
      </w:r>
      <w:r w:rsidR="00012935" w:rsidRPr="00FF3ECB">
        <w:t xml:space="preserve"> staged trophoblast development and generate</w:t>
      </w:r>
      <w:r w:rsidR="00F809B1" w:rsidRPr="00FF3ECB">
        <w:t>s</w:t>
      </w:r>
      <w:r w:rsidR="00012935" w:rsidRPr="00FF3ECB">
        <w:t xml:space="preserve"> a self-organized 3D model of the secondary chorion from human pluripotent stem cells</w:t>
      </w:r>
      <w:r w:rsidRPr="00FF3ECB">
        <w:t>.</w:t>
      </w:r>
      <w:r w:rsidR="00012935" w:rsidRPr="00FF3ECB">
        <w:t xml:space="preserve"> </w:t>
      </w:r>
      <w:r w:rsidRPr="00FF3ECB">
        <w:t xml:space="preserve">The workflow proceeds through four </w:t>
      </w:r>
      <w:r w:rsidR="00012935" w:rsidRPr="00FF3ECB">
        <w:lastRenderedPageBreak/>
        <w:t>steps</w:t>
      </w:r>
      <w:r w:rsidRPr="00FF3ECB">
        <w:t xml:space="preserve">. First, primed human pluripotent stem cells are transiently reset to a trophectoderm-competent ground state. Second, targeted LATS kinase inhibition induces trophectoderm specification. Third, trophectoderm cells are dissociated and seeded into anti-adherent microwells to generate uniform aggregates. Fourth, aggregates are transitioned into chorion-inducing medium and then maintained in suspension under agitation, </w:t>
      </w:r>
      <w:r w:rsidR="00012935" w:rsidRPr="00FF3ECB">
        <w:t>enabling</w:t>
      </w:r>
      <w:r w:rsidRPr="00FF3ECB">
        <w:t xml:space="preserve"> a spatially organized chorion model. After model formation, aggregates are fixed, immunolabeled, optically cleared, and imaged by confocal microscopy to enable high-resolution, whole-mount visualization of lineage organization and tissue architecture.</w:t>
      </w:r>
    </w:p>
    <w:p w14:paraId="631E8D99" w14:textId="77777777" w:rsidR="00F60B96" w:rsidRPr="00FF3ECB" w:rsidRDefault="00F60B96" w:rsidP="00FF3ECB">
      <w:pPr>
        <w:rPr>
          <w:b/>
        </w:rPr>
      </w:pPr>
    </w:p>
    <w:p w14:paraId="6DE120F0" w14:textId="0855EAD4" w:rsidR="001F477B" w:rsidRPr="00FF3ECB" w:rsidRDefault="008219F9" w:rsidP="00FF3ECB">
      <w:pPr>
        <w:rPr>
          <w:color w:val="808080"/>
          <w:highlight w:val="yellow"/>
        </w:rPr>
      </w:pPr>
      <w:r w:rsidRPr="00FF3ECB">
        <w:rPr>
          <w:b/>
        </w:rPr>
        <w:t>INTRODUCTION:</w:t>
      </w:r>
    </w:p>
    <w:p w14:paraId="70B995F7" w14:textId="5F1E2226" w:rsidR="00012935" w:rsidRPr="00FF3ECB" w:rsidRDefault="008219F9" w:rsidP="00FF3ECB">
      <w:pPr>
        <w:rPr>
          <w:color w:val="000000"/>
        </w:rPr>
      </w:pPr>
      <w:r w:rsidRPr="00FF3ECB">
        <w:rPr>
          <w:color w:val="000000"/>
        </w:rPr>
        <w:t>In mammalian development, the first lineage bifurcation occurs during blastocyst formation, when positional cues commit outer blastomere</w:t>
      </w:r>
      <w:r w:rsidR="00CD2E01" w:rsidRPr="00FF3ECB">
        <w:rPr>
          <w:color w:val="000000"/>
        </w:rPr>
        <w:t>s</w:t>
      </w:r>
      <w:r w:rsidRPr="00FF3ECB">
        <w:rPr>
          <w:color w:val="000000"/>
        </w:rPr>
        <w:t xml:space="preserve"> to the trophectoderm (TE)</w:t>
      </w:r>
      <w:r w:rsidR="008074ED" w:rsidRPr="00FF3ECB">
        <w:rPr>
          <w:color w:val="000000"/>
        </w:rPr>
        <w:t xml:space="preserve">. Following TE specification, this outer epithelium differentiates into the trophoblast (TB) lineages that establish the </w:t>
      </w:r>
      <w:r w:rsidR="008529B6" w:rsidRPr="00FF3ECB">
        <w:rPr>
          <w:color w:val="000000"/>
        </w:rPr>
        <w:t>uterine-</w:t>
      </w:r>
      <w:r w:rsidR="008074ED" w:rsidRPr="00FF3ECB">
        <w:rPr>
          <w:color w:val="000000"/>
        </w:rPr>
        <w:t>fetal interface and mediate implantation. By the second week of human development, these lineages organize into the chorionic villi, the earliest recognizable structures of the placenta.</w:t>
      </w:r>
      <w:r w:rsidR="00504995" w:rsidRPr="00FF3ECB">
        <w:rPr>
          <w:color w:val="000000"/>
        </w:rPr>
        <w:t xml:space="preserve"> </w:t>
      </w:r>
      <w:r w:rsidR="000B2510" w:rsidRPr="00FF3ECB">
        <w:rPr>
          <w:color w:val="000000"/>
        </w:rPr>
        <w:t xml:space="preserve">Secondary </w:t>
      </w:r>
      <w:r w:rsidR="00504995" w:rsidRPr="00FF3ECB">
        <w:rPr>
          <w:color w:val="000000"/>
        </w:rPr>
        <w:t xml:space="preserve">chorionic villi exhibit a layered architecture consisting of an inner extraembryonic mesoderm-derived stromal core enclosed by villous cytotrophoblast progenitors, which give rise to </w:t>
      </w:r>
      <w:proofErr w:type="spellStart"/>
      <w:r w:rsidR="00504995" w:rsidRPr="00FF3ECB">
        <w:rPr>
          <w:color w:val="000000"/>
        </w:rPr>
        <w:t>syncytiotrophoblast</w:t>
      </w:r>
      <w:proofErr w:type="spellEnd"/>
      <w:r w:rsidR="00504995" w:rsidRPr="00FF3ECB">
        <w:rPr>
          <w:color w:val="000000"/>
        </w:rPr>
        <w:t xml:space="preserve"> </w:t>
      </w:r>
      <w:r w:rsidRPr="00FF3ECB">
        <w:rPr>
          <w:color w:val="000000"/>
        </w:rPr>
        <w:t xml:space="preserve">(STB) </w:t>
      </w:r>
      <w:r w:rsidR="00504995" w:rsidRPr="00FF3ECB">
        <w:rPr>
          <w:color w:val="000000"/>
        </w:rPr>
        <w:t xml:space="preserve">and </w:t>
      </w:r>
      <w:proofErr w:type="spellStart"/>
      <w:r w:rsidR="00504995" w:rsidRPr="00FF3ECB">
        <w:rPr>
          <w:color w:val="000000"/>
        </w:rPr>
        <w:t>extravillous</w:t>
      </w:r>
      <w:proofErr w:type="spellEnd"/>
      <w:r w:rsidR="00504995" w:rsidRPr="00FF3ECB">
        <w:rPr>
          <w:color w:val="000000"/>
        </w:rPr>
        <w:t xml:space="preserve"> trophoblast</w:t>
      </w:r>
      <w:r w:rsidRPr="00FF3ECB">
        <w:rPr>
          <w:color w:val="000000"/>
        </w:rPr>
        <w:t xml:space="preserve"> (EVT)</w:t>
      </w:r>
      <w:r w:rsidR="00504995" w:rsidRPr="00FF3ECB">
        <w:rPr>
          <w:color w:val="000000"/>
        </w:rPr>
        <w:t>.</w:t>
      </w:r>
      <w:r w:rsidRPr="00FF3ECB">
        <w:rPr>
          <w:color w:val="000000"/>
        </w:rPr>
        <w:t xml:space="preserve"> </w:t>
      </w:r>
      <w:bookmarkStart w:id="0" w:name="_Hlk235543470"/>
      <w:r w:rsidRPr="00FF3ECB">
        <w:rPr>
          <w:color w:val="000000"/>
        </w:rPr>
        <w:t>Improper development of the chorion can severely compromise placental function and is associated with pregnancy complications such as preeclampsia and intrauterine growth restriction</w:t>
      </w:r>
      <w:r w:rsidRPr="00FF3ECB">
        <w:rPr>
          <w:color w:val="000000"/>
        </w:rPr>
        <w:fldChar w:fldCharType="begin"/>
      </w:r>
      <w:r w:rsidR="00A620F1" w:rsidRPr="00FF3ECB">
        <w:rPr>
          <w:color w:val="000000"/>
        </w:rPr>
        <w:instrText xml:space="preserve"> ADDIN ZOTERO_ITEM CSL_CITATION {"citationID":"4K2ik18E","properties":{"unsorted":false,"formattedCitation":"\\super 1\\nosupersub{}","plainCitation":"1","noteIndex":0},"citationItems":[{"id":534,"uris":["http://zotero.org/users/6778933/items/M8TNT9HJ"],"itemData":{"id":534,"type":"article-journal","abstract":"Pre-eclampsia and fetal growth restriction arise from disorders of placental development and have some shared mechanistic features. Initiation is often rooted in the maldevelopment of a maternal–placental blood supply capable of providing for the growth requirements of the fetus in later pregnancy, without exerting undue stress on maternal body systems. Here, we review normal development of a placental bed with a safe and adequate blood supply and a villous placenta–blood interface from which nutrients and oxygen can be extracted for the growing fetus. We consider disease mechanisms that are intrinsic to the maternal environment, the placenta or the interaction between the two. Systemic signalling from the endocrine placenta targets the maternal endothelium and multiple organs to adjust metabolism for an optimal pregnancy and later lactation. This signalling capacity is skewed when placental damage occurs and can deliver a dangerous pathogenic stimulus. We discuss the placental secretome including glycoproteins, microRNAs and extracellular vesicles as potential biomarkers of disease. Angiomodulatory mediators, currently the only effective biomarkers, are discussed alongside non-invasive imaging approaches to the prediction of disease risk. Identifying the signs of impending pathology early enough to intervene and ameliorate disease in later pregnancy remains a complex and challenging objective.","container-title":"Nature Reviews Endocrinology","DOI":"10.1038/s41574-020-0372-6","ISSN":"1759-5037","issue":"9","journalAbbreviation":"Nature Reviews Endocrinology","page":"479-494","title":"Tracking placental development in health and disease","volume":"16","author":[{"family":"Aplin","given":"John D."},{"family":"Myers","given":"Jenny E."},{"family":"Timms","given":"Kate"},{"family":"Westwood","given":"Melissa"}],"issued":{"date-parts":[["2020",9,1]]}}}],"schema":"https://github.com/citation-style-language/schema/raw/master/csl-citation.json"} </w:instrText>
      </w:r>
      <w:r w:rsidRPr="00FF3ECB">
        <w:rPr>
          <w:color w:val="000000"/>
        </w:rPr>
        <w:fldChar w:fldCharType="separate"/>
      </w:r>
      <w:r w:rsidR="00A620F1" w:rsidRPr="00FF3ECB">
        <w:rPr>
          <w:color w:val="000000"/>
          <w:vertAlign w:val="superscript"/>
          <w:lang w:val="en-US"/>
        </w:rPr>
        <w:t>1</w:t>
      </w:r>
      <w:r w:rsidRPr="00FF3ECB">
        <w:rPr>
          <w:color w:val="000000"/>
        </w:rPr>
        <w:fldChar w:fldCharType="end"/>
      </w:r>
      <w:bookmarkEnd w:id="0"/>
      <w:r w:rsidRPr="00FF3ECB">
        <w:rPr>
          <w:color w:val="000000"/>
        </w:rPr>
        <w:t xml:space="preserve">. However, the developmental processes underlying nascent chorion formation remain poorly understood. This limitation underscores a critical need for novel </w:t>
      </w:r>
      <w:r w:rsidRPr="00FF3ECB">
        <w:rPr>
          <w:i/>
          <w:iCs/>
          <w:color w:val="000000"/>
        </w:rPr>
        <w:t>in vitro</w:t>
      </w:r>
      <w:r w:rsidRPr="00FF3ECB">
        <w:rPr>
          <w:color w:val="000000"/>
        </w:rPr>
        <w:t xml:space="preserve"> systems that faithfully recapitulate early placental development and enable mechanistic investigation of the cellular and molecular events governing the transition from TE specification to organized chorion formation.</w:t>
      </w:r>
    </w:p>
    <w:p w14:paraId="1ABB0B76" w14:textId="77777777" w:rsidR="008074ED" w:rsidRPr="00FF3ECB" w:rsidRDefault="008074ED" w:rsidP="00FF3ECB">
      <w:pPr>
        <w:rPr>
          <w:color w:val="000000"/>
        </w:rPr>
      </w:pPr>
    </w:p>
    <w:p w14:paraId="14B3628B" w14:textId="30E2B22C" w:rsidR="00356DB5" w:rsidRPr="00FF3ECB" w:rsidRDefault="008219F9" w:rsidP="00FF3ECB">
      <w:pPr>
        <w:rPr>
          <w:lang w:val="en-US"/>
        </w:rPr>
      </w:pPr>
      <w:r w:rsidRPr="00FF3ECB">
        <w:rPr>
          <w:lang w:val="en-US"/>
        </w:rPr>
        <w:t xml:space="preserve">Existing differentiation protocols can robustly generate human TB cells from </w:t>
      </w:r>
      <w:r w:rsidR="00E271D3" w:rsidRPr="00FF3ECB">
        <w:rPr>
          <w:lang w:val="en-US"/>
        </w:rPr>
        <w:t>human pluripotent stem cells (</w:t>
      </w:r>
      <w:proofErr w:type="spellStart"/>
      <w:r w:rsidRPr="00FF3ECB">
        <w:rPr>
          <w:lang w:val="en-US"/>
        </w:rPr>
        <w:t>hPSCs</w:t>
      </w:r>
      <w:proofErr w:type="spellEnd"/>
      <w:r w:rsidR="00E271D3" w:rsidRPr="00FF3ECB">
        <w:rPr>
          <w:lang w:val="en-US"/>
        </w:rPr>
        <w:t>)</w:t>
      </w:r>
      <w:r w:rsidRPr="00FF3ECB">
        <w:rPr>
          <w:lang w:val="en-US"/>
        </w:rPr>
        <w:t xml:space="preserve">, but they typically rely on exogenous morphogen induction and </w:t>
      </w:r>
      <w:r w:rsidR="000549F5" w:rsidRPr="00FF3ECB">
        <w:rPr>
          <w:lang w:val="en-US"/>
        </w:rPr>
        <w:t xml:space="preserve">often require </w:t>
      </w:r>
      <w:r w:rsidR="000B2510" w:rsidRPr="00FF3ECB">
        <w:rPr>
          <w:lang w:val="en-US"/>
        </w:rPr>
        <w:t>lineage sorting</w:t>
      </w:r>
      <w:r w:rsidR="000549F5" w:rsidRPr="00FF3ECB">
        <w:rPr>
          <w:lang w:val="en-US"/>
        </w:rPr>
        <w:t xml:space="preserve"> steps</w:t>
      </w:r>
      <w:r w:rsidRPr="00FF3ECB">
        <w:rPr>
          <w:lang w:val="en-US"/>
        </w:rPr>
        <w:t xml:space="preserve"> to derive homogeneous, self-renewing TB stem cell populations with post-implantation cytotrophoblast identity</w:t>
      </w:r>
      <w:r w:rsidRPr="00FF3ECB">
        <w:rPr>
          <w:color w:val="000000"/>
        </w:rPr>
        <w:fldChar w:fldCharType="begin"/>
      </w:r>
      <w:r w:rsidR="00A620F1" w:rsidRPr="00FF3ECB">
        <w:rPr>
          <w:color w:val="000000"/>
        </w:rPr>
        <w:instrText xml:space="preserve"> ADDIN ZOTERO_ITEM CSL_CITATION {"citationID":"r6tDijmL","properties":{"unsorted":false,"formattedCitation":"\\super 2\\uc0\\u8211{}18\\nosupersub{}","plainCitation":"2–18","noteIndex":0},"citationItems":[{"id":128,"uris":["http://zotero.org/users/6778933/items/46326QMG"],"itemData":{"id":128,"type":"article-journal","abstract":"The human placenta is vital for fetal development, yet little is understood about how it forms successfully to ensure a healthy pregnancy or why this process is inadequate in 1 in 10 pregnancies, leading to miscarriage, intrauterine growth restriction or preeclampsia. Trophoblasts are placenta-specific epithelial cells that maximize nutrient exchange. All trophoblast lineages are thought to arise from a population of trophoblast stem cells (TSCs). However, whilst the isolation of murine TSC has led to an explosion in understanding murine placentation, the isolation of an analogous human TSC has proved more difficult. Consequently, alternative methods of studying human trophoblast lineage development have been employed, including human embryonic stem cells (hESCs), induced pluripotent stem cells (iPS) and transformed cell lines; but what do these proxy models tell us about what is happening during early placental development?In this systematic review, we evaluate current approaches to understanding human trophoblast lineage development in order to collate and refine these models and inform future approaches aimed at establishing human TSC lines.To ensure all relevant articles were analysed, an unfiltered search of Pubmed, Embase, Scopus and Web of Science was conducted for 25 key terms on the 13th May 2016. In total, 47 313 articles were retrieved and manually filtered based on non-human, non-English, non-full text, non-original article and off-topic subject matter. This resulted in a total of 71 articles deemed relevant for review in this article.Candidate human TSC populations have been identified in, and isolated from, both the chorionic membrane and villous tissue of the placenta, but further investigation is required to validate these as ‘true’ human TSCs. Isolating human TSCs from blastocyst trophectoderm has not been successful in humans as it was in mice, although recently the first reported TSC line (USFB6) was isolated from an eight-cell morula. In lieu of human TSC lines, trophoblast-like cells have been induced to differentiate from hESCs and iPS. However, differentiation in these model systems is difficult to control, culture conditions employed are highly variable, and the extent to which they accurately convey the biology of ‘true’ human TSCs remains unclear, particularly as a consensus has not been met among the scientific community regarding which characteristics a human TSC must possess.Human TSC models have the potential to revolutionize our understanding of trophoblast differentiation, allowing us to make significant gains in understanding the underlying pathology of pregnancy disorders and to test potential therapeutic interventions on cell function in vitro. In order to do this, a collaborative effort is required to establish the criteria that define a human TSC to confirm the presence of human TSCs in both primary isolates and to determine how accurately trophoblast-like cells derived from current model systems reflect trophoblast from primary tissue. The in vitro systems currently used to model early trophoblast lineage formation have provided insights into early human placental formation but it is unclear whether these trophoblast-like cells are truly representative of primary human trophoblast. Consequently, continued refinement of current models, and standardization of culture protocols is essential to aid our ability to identify, isolate and propagate ‘true’ human TSCs from primary tissue.","container-title":"Human Reproduction Update","DOI":"10.1093/humupd/dmw026","ISSN":"1355-4786","issue":"1","journalAbbreviation":"Human Reproduction Update","page":"77-103","title":"Stem cell insights into human trophoblast lineage differentiation","volume":"23","author":[{"family":"Gamage","given":"Teena KJB"},{"family":"Chamley","given":"Lawrence W"},{"family":"James","given":"Joanna L"}],"issued":{"date-parts":[["2016",12,1]]}}},{"id":135,"uris":["http://zotero.org/users/6778933/items/NA22A46H"],"itemData":{"id":135,"type":"article-journal","abstract":"Summary\nTrophoblast cells play an essential role in the interactions between the fetus and mother. Mouse trophoblast stem (TS) cells have been derived and used as the best in vitro model for molecular and functional analysis of mouse trophoblast lineages, but attempts to derive human TS cells have so far been unsuccessful. Here we show that activation of Wingless/Integrated (Wnt) and EGF and inhibition of TGF-β, histone deacetylase (HDAC), and Rho-associated protein kinase (ROCK) enable long-term culture of human villous cytotrophoblast (CT) cells. The resulting cell lines have the capacity to give rise to the three major trophoblast lineages, which show transcriptomes similar to those of the corresponding primary trophoblast cells. Importantly, equivalent cell lines can be derived from human blastocysts. Our data strongly suggest that the CT- and blastocyst-derived cell lines are human TS cells, which will provide a powerful tool to study human trophoblast development and function.","container-title":"Cell Stem Cell","DOI":"10.1016/j.stem.2017.11.004","ISSN":"1934-5909","issue":"1","journalAbbreviation":"Cell Stem Cell","page":"50-63.e6","title":"Derivation of Human Trophoblast Stem Cells","volume":"22","author":[{"family":"Okae","given":"Hiroaki"},{"family":"Toh","given":"Hidehiro"},{"family":"Sato","given":"Tetsuya"},{"family":"Hiura","given":"Hitoshi"},{"family":"Takahashi","given":"Sota"},{"family":"Shirane","given":"Kenjiro"},{"family":"Kabayama","given":"Yuka"},{"family":"Suyama","given":"Mikita"},{"family":"Sasaki","given":"Hiroyuki"},{"family":"Arima","given":"Takahiro"}],"issued":{"date-parts":[["2018",1,4]]}}},{"id":134,"uris":["http://zotero.org/users/6778933/items/SKM47JMK"],"itemData":{"id":134,"type":"article-journal","abstract":"The excitement and controversy surrounding the potential role of human embryonic stem (ES)1,2 cells in transplantation therapy have often overshadowed their potentially more important use as a basic research tool for understanding the development and function of human tissues. Human ES cells can proliferate without a known limit and can form advanced derivatives of all three embryonic germ layers. What is less widely appreciated is that human ES cells can also form the extra-embryonic tissues that differentiate from the embryo before gastrulation. The use of human ES cells to derive early human trophoblast is particularly valuable, because it is difficult to obtain from other sources and is significantly different from mouse trophoblast. Here we show that bone morphogenetic protein 4 (BMP4), a member of the transforming growth factor-β (TGF-β) superfamily, induces the differentiation of human ES cells to trophoblast. DNA microarray, RT-PCR, and immunoassay analyses demonstrate that the differentiated cells express a range of trophoblast markers and secrete placental hormones. When plated at low density, the BMP4-treated cells form syncytia that express chorionic gonadotrophin (CG). These results underscore fundamental differences between human and mouse ES cells, which differentiate poorly, if at all, to trophoblast3. Human ES cells thus provide a tool for studying the differentiation and function of early human trophoblast and could provide a new understanding of some of the earliest differentiation events of human postimplantation development.","container-title":"Nature Biotechnology","DOI":"10.1038/nbt761","ISSN":"1546-1696","issue":"12","journalAbbreviation":"Nature Biotechnology","page":"1261-1264","title":"BMP4 initiates human embryonic stem cell differentiation to trophoblast","volume":"20","author":[{"family":"Xu","given":"Ren-He"},{"family":"Chen","given":"Xin"},{"family":"Li","given":"Dong S."},{"family":"Li","given":"Rui"},{"family":"Addicks","given":"Gregory C."},{"family":"Glennon","given":"Clay"},{"family":"Zwaka","given":"Thomas P."},{"family":"Thomson","given":"James A."}],"issued":{"date-parts":[["2002",12,1]]}}},{"id":132,"uris":["http://zotero.org/users/6778933/items/KCNZDT8Z"],"itemData":{"id":132,"type":"article-journal","abstract":"Human ES cells (hESC) exposed to bone morphogenic protein 4 (BMP4) in the absence of FGF2 have become widely used for studying trophoblast development, but the soundness of this model has been challenged by others, who concluded that differentiation was primarily toward mesoderm rather than trophoblast. Here we confirm that hESC grown under the standard conditions on a medium conditioned by mouse embryonic fibroblasts in the presence of BMP4 and absence of FGF2 on a Matrigel substratum rapidly convert to an epithelium that is largely KRT7+ within 48 h, with minimal expression of mesoderm markers, including T (Brachyury). Instead, they begin to express a series of trophoblast markers, including HLA-G, demonstrate invasive properties that are independent of the continued presence of BMP4 in the medium, and, over time, produce extensive amounts of human chorionic gonadotropin, progesterone, placental growth factor, and placental lactogen. This process of differentiation is not dependent on conditioning of the medium by mouse embryonic fibroblasts and is accelerated in the presence of inhibitors of Activin and FGF2 signaling, which at day 2 provide colonies that are entirely KRT7+ and in which the majority of cells are transiently CDX2+. Colonies grown on two chemically defined media, including the one in which BMP4 was reported to drive mesoderm formation, also differentiate at least partially to trophoblast in response to BMP4. The experiments demonstrate that the in vitro BMP4/hESC model is valid for studying the emergence and differentiation of trophoblasts.","container-title":"Proceedings of the National Academy of Sciences","DOI":"10.1073/pnas.1303094110","issue":"13","journalAbbreviation":"Proceedings of the National Academy of Sciences","page":"E1212-E1221","publisher":"Proceedings of the National Academy of Sciences","title":"Complete and unidirectional conversion of human embryonic stem cells to trophoblast by BMP4","volume":"110","author":[{"family":"Amita","given":"Mitsuyoshi"},{"family":"Adachi","given":"Katsuyuki"},{"family":"Alexenko","given":"Andrei P."},{"family":"Sinha","given":"Sunilima"},{"family":"Schust","given":"Danny J."},{"family":"Schulz","given":"Laura C."},{"family":"Roberts","given":"R. Michael"},{"family":"Ezashi","given":"Toshihiko"}],"issued":{"date-parts":[["2013",3,26]]}}},{"id":520,"uris":["http://zotero.org/users/6778933/items/CVZZ3KGR"],"itemData":{"id":520,"type":"article-journal","abstract":"Summary\nTrophoblast stem cells (TSCs) have recently been derived from human embryos and early-first-trimester placenta; however, aside from ethical challenges, the unknown disease potential of these cells limits their scientific utility. We have previously established a bone morphogetic protein 4 (BMP4)-based two-step protocol for differentiation of primed human pluripotent stem cells (hPSCs) into functional trophoblasts; however, those trophoblasts could not be maintained in a self-renewing TSC-like state. Here, we use the first step from this protocol, followed by a switch to newly developed TSC medium, to derive bona fide TSCs. We show that these cells resemble placenta- and naive hPSC-derived TSCs, based on their transcriptome as well as their in vitro and in vivo differentiation potential. We conclude that primed hPSCs can be used to generate functional TSCs through a simple protocol, which can be applied to a widely available set of existing hPSCs, including induced pluripotent stem cells, derived from patients with known birth outcomes.","container-title":"Stem Cell Reports","DOI":"10.1016/j.stemcr.2022.04.013","ISSN":"2213-6711","issue":"6","journalAbbreviation":"Stem Cell Reports","page":"1303-1317","title":"Derivation of functional trophoblast stem cells from primed human pluripotent stem cells","volume":"17","author":[{"family":"Soncin","given":"Francesca"},{"family":"Morey","given":"Robert"},{"family":"Bui","given":"Tony"},{"family":"Requena","given":"Daniela F."},{"family":"Cheung","given":"Virginia Chu"},{"family":"Kallol","given":"Sampada"},{"family":"Kittle","given":"Ryan"},{"family":"Jackson","given":"Madeline G."},{"family":"Farah","given":"Omar"},{"family":"Chousal","given":"Jennifer"},{"family":"Meads","given":"Morgan"},{"family":"Pizzo","given":"Donald"},{"family":"Horii","given":"Mariko"},{"family":"Fisch","given":"Kathleen M."},{"family":"Parast","given":"Mana M."}],"issued":{"date-parts":[["2022",6,14]]}}},{"id":521,"uris":["http://zotero.org/users/6778933/items/233FUJ5W"],"itemData":{"id":521,"type":"article-journal","abstract":"Summary\nThe observation that trophoblast (TB) can be generated from primed pluripotent stem cells (PSCs) by exposure to bone morphogenetic protein-4 (BMP4) when FGF2 and ACTIVIN signaling is minimized has recently been challenged with the suggestion that the procedure instead produces amnion. Here, by analyzing transcriptome data from multiple sources, including bulk and single-cell data, we show that the BMP4 procedure generates bona fide TB with similarities to both placental villous TB and TB generated from TB stem cells. The analyses also suggest that the transcriptomic signatures between embryonic amnion and different forms of TB have commonalities. Our data provide justification for the continued use of TB derived from PSCs as a model for investigating placental development.","container-title":"Stem Cell Reports","DOI":"10.1016/j.stemcr.2022.04.014","ISSN":"2213-6711","issue":"6","journalAbbreviation":"Stem Cell Reports","page":"1289-1302","title":"The product of BMP-directed differentiation protocols for human primed pluripotent stem cells is placental trophoblast and not amnion","volume":"17","author":[{"family":"Seetharam","given":"Arun S."},{"family":"Vu","given":"Ha T.H."},{"family":"Choi","given":"Sehee"},{"family":"Khan","given":"Teka"},{"family":"Sheridan","given":"Megan A."},{"family":"Ezashi","given":"Toshihiko"},{"family":"Roberts","given":"R. Michael"},{"family":"Tuteja","given":"Geetu"}],"issued":{"date-parts":[["2022",6,14]]}}},{"id":149,"uris":["http://zotero.org/users/6778933/items/YZAN47BV"],"itemData":{"id":149,"type":"article-journal","abstract":"Summary\nIsolating human MEK/ERK signaling-independent pluripotent stem cells (PSCs) with naive pluripotency characteristics while maintaining differentiation competence and (epi)genetic integrity remains challenging. Here, we engineer reporter systems that allow the screening for defined conditions that induce molecular and functional features of human naive pluripotency. Synergistic inhibition of WNT/β-CATENIN, protein kinase C (PKC), and SRC signaling consolidates the induction of teratoma-competent naive human PSCs, with the capacity to differentiate into trophoblast stem cells (TSCs) and extraembryonic naive endodermal (nEND) cells in vitro. Divergent signaling and transcriptional requirements for boosting naive pluripotency were found between mouse and human. P53 depletion in naive hPSCs increased their contribution to mouse-human cross-species chimeric embryos upon priming and differentiation. Finally, MEK/ERK inhibition can be substituted with the inhibition of NOTCH/RBPj, which induces alternative naive-like hPSCs with a diminished risk for deleterious global DNA hypomethylation. Our findings set a framework for defining the signaling foundations of human naive pluripotency.","container-title":"Cell Stem Cell","DOI":"10.1016/j.stem.2021.04.001","ISSN":"1934-5909","issue":"9","journalAbbreviation":"Cell Stem Cell","page":"1549-1565.e12","title":"Principles of signaling pathway modulation for enhancing human naive pluripotency induction","volume":"28","author":[{"family":"Bayerl","given":"Jonathan"},{"family":"Ayyash","given":"Muneef"},{"family":"Shani","given":"Tom"},{"family":"Manor","given":"Yair Shlomo"},{"family":"Gafni","given":"Ohad"},{"family":"Massarwa","given":"Rada"},{"family":"Kalma","given":"Yael"},{"family":"Aguilera-Castrejon","given":"Alejandro"},{"family":"Zerbib","given":"Mirie"},{"family":"Amir","given":"Hadar"},{"family":"Sheban","given":"Daoud"},{"family":"Geula","given":"Shay"},{"family":"Mor","given":"Nofar"},{"family":"Weinberger","given":"Leehee"},{"family":"Naveh Tassa","given":"Segev"},{"family":"Krupalnik","given":"Vladislav"},{"family":"Oldak","given":"Bernardo"},{"family":"Livnat","given":"Nir"},{"family":"Tarazi","given":"Shadi"},{"family":"Tawil","given":"Shadi"},{"family":"Wildschutz","given":"Emilie"},{"family":"Ashouokhi","given":"Shahd"},{"family":"Lasman","given":"Lior"},{"family":"Rotter","given":"Varda"},{"family":"Hanna","given":"Suhair"},{"family":"Ben-Yosef","given":"Dalit"},{"family":"Novershtern","given":"Noa"},{"family":"Viukov","given":"Sergey"},{"family":"Hanna","given":"Jacob H."}],"issued":{"date-parts":[["2021",9,2]]}}},{"id":211,"uris":["http://zotero.org/users/6778933/items/43HMCKJN"],"itemData":{"id":211,"type":"article-journal","abstract":"Summary\nThe recent derivation of human trophoblast stem cells (TSCs) from placental cytotrophoblasts and blastocysts opened opportunities for studying the development and function of the human placenta. Recent reports have suggested that human naïve, but not primed, pluripotent stem cells (PSCs) retain an exclusive potential to generate TSCs. Here we report that, in the absence of WNT stimulation, transforming growth factor β (TGF-β) pathway inhibition leads to direct and robust conversion of primed human PSCs into TSCs. The resulting primed PSC-derived TSC lines exhibit self-renewal, can differentiate into the main trophoblast lineages, and present RNA and epigenetic profiles that are indistinguishable from recently established TSC lines derived from human placenta, blastocysts, or isogenic human naïve PSCs expanded under human enhanced naïve stem cell medium (HENSM) conditions. Activation of nuclear Yes-associated protein (YAP) signaling is sufficient for this conversion and necessary for human TSC maintenance. Our findings underscore a residual plasticity in primed human PSCs that allows their in vitro conversion into extra-embryonic trophoblast lineages.","container-title":"Stem Cell Reports","DOI":"10.1016/j.stemcr.2022.09.008","ISSN":"2213-6711","issue":"11","journalAbbreviation":"Stem Cell Reports","page":"2484-2500","title":"Human primed and naïve PSCs are both able to differentiate into trophoblast stem cells","volume":"17","author":[{"family":"Viukov","given":"Sergey"},{"family":"Shani","given":"Tom"},{"family":"Bayerl","given":"Jonathan"},{"family":"Aguilera-Castrejon","given":"Alejandro"},{"family":"Oldak","given":"Bernardo"},{"family":"Sheban","given":"Daoud"},{"family":"Tarazi","given":"Shadi"},{"family":"Stelzer","given":"Yonatan"},{"family":"Hanna","given":"Jacob H."},{"family":"Novershtern","given":"Noa"}],"issued":{"date-parts":[["2022",11,8]]}}},{"id":148,"uris":["http://zotero.org/users/6778933/items/VI4HSNAK"],"itemData":{"id":148,"type":"article-journal","abstract":"Naïve human pluripotent stem cells (hPSCs) provide a unique experimental platform of cell fate decisions during pre-implantation development, but their lineage potential remains incompletely characterized. As naïve hPSCs share transcriptional and epigenomic signatures with trophoblast cells, it has been proposed that the naïve state may have enhanced predisposition for differentiation along this extraembryonic lineage. Here we examined the trophoblast potential of isogenic naïve and primed hPSCs. We found that naïve hPSCs can directly give rise to human trophoblast stem cells (hTSCs) and undergo further differentiation into both extravillous and syncytiotrophoblast. In contrast, primed hPSCs do not support hTSC derivation, but give rise to non-self-renewing cytotrophoblasts in response to BMP4. Global transcriptome and chromatin accessibility analyses indicate that hTSCs derived from naïve hPSCs are similar to blastocyst-derived hTSCs and acquire features of post-implantation trophectoderm. The derivation of hTSCs from naïve hPSCs will enable elucidation of early mechanisms that govern normal human trophoblast development and associated pathologies.","container-title":"eLife","DOI":"10.7554/eLife.52504","ISSN":"2050-084X","page":"e52504","publisher":"eLife Sciences Publications, Ltd","title":"Derivation of trophoblast stem cells from naïve human pluripotent stem cells","volume":"9","author":[{"family":"Dong","given":"Chen"},{"family":"Beltcheva","given":"Mariana"},{"family":"Gontarz","given":"Paul"},{"family":"Zhang","given":"Bo"},{"family":"Popli","given":"Pooja"},{"family":"Fischer","given":"Laura A"},{"family":"Khan","given":"Shafqat A"},{"family":"Park","given":"Kyoung-mi"},{"family":"Yoon","given":"Eun-Ja"},{"family":"Xing","given":"Xiaoyun"},{"family":"Kommagani","given":"Ramakrishna"},{"family":"Wang","given":"Ting"},{"family":"Solnica-Krezel","given":"Lilianna"},{"family":"Theunissen","given":"Thorold W"}],"editor":[{"family":"Bronner","given":"Marianne E"},{"family":"Zernicka-Goetz","given":"Magdalena"}],"issued":{"date-parts":[["2020",2,12]]}}},{"id":524,"uris":["http://zotero.org/users/6778933/items/DHCSPM5X"],"itemData":{"id":524,"type":"article-journal","abstract":"Treatment with bone morphogenetic protein 4 (BMP4) in human primed pluripotent stem cells (PSCs) for generating trophoblast lineage cells has sparked debate that the resulting cells are closer to amnion lineage cells rather than trophoblast. This study reports that trophoblast stem-like cells (TSLCs) can be generated from human primed PSCs by a short-term treatment of BMP4 without amnion lineage marker expression. In addition, we describe that TSLCs are self-renewing in long-term culture and bipotent as they can differentiate into functional extravillous trophoblasts and syncytiotrophoblasts. We propose an alternative method to generate an available model for studying human placental development from human primed PSCs. The placenta is a transient but important multifunctional organ crucial for healthy pregnancy for both mother and fetus. Nevertheless, limited access to human placenta samples and the paucity of a proper in vitro model system have hampered our understanding of the mechanisms underlying early human placental development and placenta-associated pregnancy complications. To overcome these constraints, we established a simple procedure with a short-term treatment of bone morphogenetic protein 4 (BMP4) in trophoblast stem cell culture medium (TSCM) to convert human primed pluripotent stem cells (PSCs) to trophoblast stem-like cells (TSLCs). These TSLCs show not only morphology and global gene expression profiles comparable to bona fide human trophoblast stem cells (TSCs) but also long-term self-renewal capacity with bipotency that allows the cells to differentiate into functional extravillous trophoblasts (EVT) and syncytiotrophoblasts (ST). These indicate that TSLCs are equivalent to genuine human TSCs. Our data suggest a straightforward approach to make human TSCs directly from preexisting primed PSCs and provide a valuable opportunity to study human placenta development and pathology from patients with placenta-related diseases.","container-title":"Proceedings of the National Academy of Sciences","DOI":"10.1073/pnas.2115709119","issue":"20","journalAbbreviation":"Proceedings of the National Academy of Sciences","page":"e2115709119","publisher":"Proceedings of the National Academy of Sciences","title":"Induction of human trophoblast stem-like cells from primed pluripotent stem cells","volume":"119","author":[{"family":"Jang","given":"Yu Jin"},{"family":"Kim","given":"Mijeong"},{"family":"Lee","given":"Bum-Kyu"},{"family":"Kim","given":"Jonghwan"}],"issued":{"date-parts":[["2022",5,17]]}}},{"id":526,"uris":["http://zotero.org/users/6778933/items/GN3N9TDG"],"itemData":{"id":526,"type":"article-journal","abstract":"Human pluripotent stem cells (hPSCs) continue to be underappreciated as a model for studying trophoblast differentiation. In this study, we provide a reproducible, two-step protocol by which hPSCs can be differentiated into bipotential cytotrophoblast (CTB) stem-like cells and subsequently into functional, terminally differentiated trophoblasts. In addition, we provide evidence that the response of hPSC-derived CTBs to low oxygen is similar to that of primary CTBs. Finally, using trisomy 21-affected hPSCs, we show, for the first time to our knowledge, that hPSCs can model a trophoblast differentiation defect. We propose that hPSCs are superior to other currently available models for studying human trophoblast differentiation. Trophoblast is the primary epithelial cell type in the placenta, a transient organ required for proper fetal growth and development. Different trophoblast subtypes are responsible for gas/nutrient exchange (syncytiotrophoblasts, STBs) and invasion and maternal vascular remodeling (extravillous trophoblasts, EVTs). Studies of early human placental development are severely hampered by the lack of a representative trophoblast stem cell (TSC) model with the capacity for self-renewal and the ability to differentiate into both STBs and EVTs. Primary cytotrophoblasts (CTBs) isolated from early-gestation (6?8 wk) human placentas are bipotential, a phenotype that is lost with increasing gestational age. We have identified a CDX2+/p63+ CTB subpopulation in the early postimplantation human placenta that is significantly reduced later in gestation. We describe a reproducible protocol, using defined medium containing bone morphogenetic protein 4 by which human pluripotent stem cells (hPSCs) can be differentiated into CDX2+/p63+ CTB stem-like cells. These cells can be replated and further differentiated into STB- and EVT-like cells, based on marker expression, hormone secretion, and invasive ability. As in primary CTBs, differentiation of hPSC-derived CTBs in low oxygen leads to reduced human chorionic gonadotropin secretion and STB-associated gene expression, instead promoting differentiation into HLA-G+ EVTs in an hypoxia-inducible, factor-dependent manner. To validate further the utility of hPSC-derived CTBs, we demonstrated that differentiation of trisomy 21 (T21) hPSCs recapitulates the delayed CTB maturation and blunted STB differentiation seen in T21 placentae. Collectively, our data suggest that hPSCs are a valuable model of human placental development, enabling us to recapitulate processes that result in both normal and diseased pregnancies.","container-title":"Proceedings of the National Academy of Sciences","DOI":"10.1073/pnas.1604747113","issue":"27","journalAbbreviation":"Proceedings of the National Academy of Sciences","page":"E3882-E3891","publisher":"Proceedings of the National Academy of Sciences","title":"Human pluripotent stem cells as a model of trophoblast differentiation in both normal development and disease","volume":"113","author":[{"family":"Horii","given":"Mariko"},{"family":"Li","given":"Yingchun"},{"family":"Wakeland","given":"Anna K."},{"family":"Pizzo","given":"Donald P."},{"family":"Nelson","given":"Katharine K."},{"family":"Sabatini","given":"Karen"},{"family":"Laurent","given":"Louise Chang"},{"family":"Liu","given":"Ying"},{"family":"Parast","given":"Mana M."}],"issued":{"date-parts":[["2016",7,5]]}}},{"id":528,"uris":["http://zotero.org/users/6778933/items/XZKXMTJM"],"itemData":{"id":528,"type":"article-journal","abstract":"The placenta is a transient organ that is necessary for proper fetal development. Its main functional component is the trophoblast, which is derived from extra-embryonic ectoderm. Little is known about early trophoblast differentiation in the human embryo, owing to lack of a proper in vitro model system. Human embryonic stem cells (hESCs) differentiate into functional trophoblast following BMP4 treatment in the presence of feeder-conditioned media; however, this model has not been widely accepted, in part owing to a lack of proof for a trophoblast progenitor population. We have previously shown that p63, a member of the p53 family of nuclear proteins, is expressed in proliferative cytotrophoblast (CTB), precursors to terminally differentiated syncytiotrophoblast (STB) in chorionic villi and extravillous trophoblast (EVT) at the implantation site. Here, we show that BMP4-treated hESCs differentiate into bona fide CTB by direct comparison with primary human placental tissues and isolated CTB through gene expression profiling. We show that, in primary CTB, p63 levels are reduced as cells differentiate into STB, and that forced expression of p63 maintains cyclin B1 and inhibits STB differentiation. We also establish that, similar to in vivo events, hESC differentiation into trophoblast is characterized by a p63+/KRT7+ CTB stem cell state, followed by formation of functional KLF4+ STB and HLA-G+ EVT. Finally, we illustrate that downregulation of p63 by shRNA inhibits differentiation of hESCs into functional trophoblast. Taken together, our results establish that BMP4-treated hESCs are an excellent model of human trophoblast differentiation, closely mimicking the in vivo progression from p63+ CTB stem cells to terminally differentiated trophoblast subtypes.","container-title":"Development","DOI":"10.1242/dev.092155","ISSN":"0950-1991","issue":"19","journalAbbreviation":"Development","page":"3965-3976","title":"BMP4-directed trophoblast differentiation of human embryonic stem cells is mediated through a ΔNp63+ cytotrophoblast stem cell state","volume":"140","author":[{"family":"Li","given":"Yingchun"},{"family":"Moretto-Zita","given":"Matteo"},{"family":"Soncin","given":"Francesca"},{"family":"Wakeland","given":"Anna"},{"family":"Wolfe","given":"Lynlee"},{"family":"Leon-Garcia","given":"Sandra"},{"family":"Pandian","given":"Raj"},{"family":"Pizzo","given":"Donald"},{"family":"Cui","given":"Li"},{"family":"Nazor","given":"Kristopher"},{"family":"Loring","given":"Jeanne F."},{"family":"Crum","given":"Christopher P."},{"family":"Laurent","given":"Louise C."},{"family":"Parast","given":"Mana M."}],"issued":{"date-parts":[["2013",10,1]]}}},{"id":529,"uris":["http://zotero.org/users/6778933/items/BLH3U4KC"],"itemData":{"id":529,"type":"article-journal","abstract":"A simple and efficient strategy to generate human trophoblast stem cells is reported to aid investigations of early placentation. Human trophoblast stem cells (hTSCs) provide a valuable model to study placental development and function. While primary hTSCs have been derived from embryos/early placenta, and transdifferentiated hTSCs from naïve human pluripotent stem cells (hPSCs), the generation of hTSCs from primed PSCs is problematic. We report the successful generation of TSCs from primed hPSCs and show that BMP4 substantially enhances this process. TSCs derived from primed hPSCs are similar to blastocyst-derived hTSCs in terms of morphology, proliferation, differentiation potential, and gene expression. We define the chromatin accessibility dynamics and histone modifications (H3K4me3/H3K27me3) that specify hPSC-derived TSCs. Consistent with low density of H3K27me3 in primed hPSC-derived hTSCs, we show that knockout of H3K27 methyltransferases (EZH1/2) increases the efficiency of hTSC derivation from primed hPSCs. Efficient derivation of hTSCs from primed hPSCs provides a simple and powerful model to understand human trophoblast development, including the pathogenesis of trophoblast-related disorders, by generating disease-specific hTSCs.","container-title":"Science Advances","DOI":"10.1126/sciadv.abf4416","issue":"33","journalAbbreviation":"Science Advances","page":"eabf4416","publisher":"American Association for the Advancement of Science","title":"Efficient derivation of human trophoblast stem cells from primed pluripotent stem cells","volume":"7","author":[{"family":"Wei","given":"Yanxing"},{"family":"Wang","given":"Tianyu"},{"family":"Ma","given":"Lishi"},{"family":"Zhang","given":"Yanqi"},{"family":"Zhao","given":"Yuan"},{"family":"Lye","given":"Kathryn"},{"family":"Xiao","given":"Lu"},{"family":"Chen","given":"Chunlin"},{"family":"Wang","given":"Zhijian"},{"family":"Ma","given":"Yanlin"},{"family":"Zhou","given":"Xiaohua"},{"family":"Sun","given":"Fei"},{"family":"Li","given":"Weili"},{"family":"Dunk","given":"Caroline"},{"family":"Li","given":"Siliang"},{"family":"Nagy","given":"Andras"},{"family":"Yu","given":"Yanhong"},{"family":"Pan","given":"Guangjin"},{"family":"Lye","given":"Stephen J."},{"family":"Shan","given":"Yongli"}]}},{"id":154,"uris":["http://zotero.org/users/6778933/items/CG8HTZ3G"],"itemData":{"id":154,"type":"article-journal","abstract":"Summary\nClassic embryological experiments have established that the early mouse embryo develops via sequential lineage bifurcations. The first segregated lineage is the trophectoderm, essential for blastocyst formation. Mouse naive epiblast and derivative embryonic stem cells are restricted accordingly from producing trophectoderm. Here we show, in contrast, that human naive embryonic stem cells readily make blastocyst trophectoderm and descendant trophoblast cell types. Trophectoderm was induced rapidly and efficiently by inhibition of ERK/mitogen-activated protein kinase (MAPK) and Nodal signaling. Transcriptome comparison with the human embryo substantiated direct formation of trophectoderm with subsequent differentiation into syncytiotrophoblast, cytotrophoblast, and downstream trophoblast stem cells. During pluripotency progression lineage potential switches from trophectoderm to amnion. Live-cell tracking revealed that epiblast cells in the human blastocyst are also able to produce trophectoderm. Thus, the paradigm of developmental specification coupled to lineage restriction does not apply to humans. Instead, epiblast plasticity and the potential for blastocyst regeneration are retained until implantation.","container-title":"Cell Stem Cell","DOI":"10.1016/j.stem.2021.02.025","ISSN":"1934-5909","issue":"6","journalAbbreviation":"Cell Stem Cell","page":"1040-1056.e6","title":"Human naive epiblast cells possess unrestricted lineage potential","volume":"28","author":[{"family":"Guo","given":"Ge"},{"family":"Stirparo","given":"Giuliano Giuseppe"},{"family":"Strawbridge","given":"Stanley E."},{"family":"Spindlow","given":"Daniel"},{"family":"Yang","given":"Jian"},{"family":"Clarke","given":"James"},{"family":"Dattani","given":"Anish"},{"family":"Yanagida","given":"Ayaka"},{"family":"Li","given":"Meng Amy"},{"family":"Myers","given":"Sam"},{"family":"Özel","given":"Buse Nurten"},{"family":"Nichols","given":"Jennifer"},{"family":"Smith","given":"Austin"}],"issued":{"date-parts":[["2021",6,3]]}}},{"id":531,"uris":["http://zotero.org/users/6778933/items/8GALKSAQ"],"itemData":{"id":531,"type":"article-journal","abstract":"Summary\nHuman embryonic stem cells (hESCs) readily differentiate to somatic or germ lineages but have impaired ability to form extra-embryonic lineages such as placenta or yolk sac. Here, we demonstrate that naive hESCs can be converted into cells that exhibit the cellular and molecular phenotypes of human trophoblast stem cells (hTSCs) derived from human placenta or blastocyst. The resulting “transdifferentiated” hTSCs show reactivation of core placental genes, acquisition of a placenta-like methylome, and the ability to differentiate to extravillous trophoblasts and syncytiotrophoblasts. Modest differences are observed between transdifferentiated and placental hTSCs, most notably in the expression of certain imprinted loci. These results suggest that naive hESCs can differentiate to extra-embryonic lineage and demonstrate a new way of modeling human trophoblast specification and placental methylome establishment.","container-title":"Stem Cell Reports","DOI":"10.1016/j.stemcr.2020.06.003","ISSN":"2213-6711","issue":"1","journalAbbreviation":"Stem Cell Reports","page":"198-213","title":"Naive Human Embryonic Stem Cells Can Give Rise to Cells with a Trophoblast-like Transcriptome and Methylome","volume":"15","author":[{"family":"Cinkornpumin","given":"Jessica K."},{"family":"Kwon","given":"Sin Young"},{"family":"Guo","given":"Yixin"},{"family":"Hossain","given":"Ishtiaque"},{"family":"Sirois","given":"Jacinthe"},{"family":"Russett","given":"Colleen S."},{"family":"Tseng","given":"Hsin-Wei"},{"family":"Okae","given":"Hiroaki"},{"family":"Arima","given":"Takahiro"},{"family":"Duchaine","given":"Thomas F."},{"family":"Liu","given":"Wanlu"},{"family":"Pastor","given":"William A."}],"issued":{"date-parts":[["2020",7,14]]}}},{"id":532,"uris":["http://zotero.org/users/6778933/items/L2W73D2V"],"itemData":{"id":532,"type":"article-journal","abstract":"The signalling pathways that maintain primed human pluripotent stem cells (hPSCs) have been well characterised, revealing a critical role for TGFβ/Activin/Nodal signalling. In contrast, the signalling requirements of naïve human pluripotency have not been fully established. Here, we demonstrate that TGFβ signalling is required to maintain naïve hPSCs. The downstream effector proteins – SMAD2/3 – bind common sites in naïve and primed hPSCs, including shared pluripotency genes. In naïve hPSCs, SMAD2/3 additionally bind to active regulatory regions near to naïve pluripotency genes. Inhibiting TGFβ signalling in naïve hPSCs causes the downregulation of SMAD2/3-target genes and pluripotency exit. Single-cell analyses reveal that naïve and primed hPSCs follow different transcriptional trajectories after inhibition of TGFβ signalling. Primed hPSCs differentiate into neuroectoderm cells, whereas naïve hPSCs transition into trophectoderm. These results establish that there is a continuum for TGFβ pathway function in human pluripotency spanning a developmental window from naïve to primed states.","container-title":"eLife","DOI":"10.7554/eLife.67259","ISSN":"2050-084X","page":"e67259","publisher":"eLife Sciences Publications, Ltd","title":"TGFβ signalling is required to maintain pluripotency of human naïve pluripotent stem cells","volume":"10","author":[{"family":"Osnato","given":"Anna"},{"family":"Brown","given":"Stephanie"},{"family":"Krueger","given":"Christel"},{"family":"Andrews","given":"Simon"},{"family":"Collier","given":"Amanda J"},{"family":"Nakanoh","given":"Shota"},{"family":"Quiroga Londoño","given":"Mariana"},{"family":"Wesley","given":"Brandon T"},{"family":"Muraro","given":"Daniele"},{"family":"Brumm","given":"A Sophie"},{"family":"Niakan","given":"Kathy K"},{"family":"Vallier","given":"Ludovic"},{"family":"Ortmann","given":"Daniel"},{"family":"Rugg-Gunn","given":"Peter J"}],"editor":[{"family":"Pera","given":"Martin"},{"family":"Bronner","given":"Marianne E"},{"family":"Pastor","given":"William"}],"issued":{"date-parts":[["2021",8,31]]}}},{"id":147,"uris":["http://zotero.org/users/6778933/items/NWQKLJY5"],"itemData":{"id":147,"type":"article-journal","abstract":"Summary\nTrophoblasts are extraembryonic cells that are essential for maintaining pregnancy. Human trophoblasts arise from the morula as trophectoderm (TE), which, after implantation, differentiates into cytotrophoblasts (CTs), syncytiotrophoblasts (STs), and extravillous trophoblasts (EVTs), composing the placenta. Here we show that naïve, but not primed, human pluripotent stem cells (PSCs) recapitulate trophoblast development. Naive PSC-derived TE and CTs (nCTs) recreated human and monkey TE-to-CT transition. nCTs self-renewed as CT stem cells and had the characteristics of proliferating villous CTs and CTs in the cell column of the first trimester. Notably, although primed PSCs differentiated into trophoblast-like cells (BMP4, A83-01, and PD173074 [BAP]-treated primed PSCs [pBAPs]), pBAPs were distinct from nCTs and human placenta-derived CT stem cells, exhibiting properties consistent with the amnion. Our findings establish an authentic paradigm for human trophoblast development, demonstrating the invaluable properties of naive human PSCs. Our system provides a platform to study the molecular mechanisms underlying trophoblast development and related diseases.","container-title":"Cell Stem Cell","DOI":"10.1016/j.stem.2021.03.013","ISSN":"1934-5909","issue":"6","journalAbbreviation":"Cell Stem Cell","page":"1023-1039.e13","title":"Capturing human trophoblast development with naive pluripotent stem cells in vitro","volume":"28","author":[{"family":"Io","given":"Shingo"},{"family":"Kabata","given":"Mio"},{"family":"Iemura","given":"Yoshiki"},{"family":"Semi","given":"Katsunori"},{"family":"Morone","given":"Nobuhiro"},{"family":"Minagawa","given":"Atsutaka"},{"family":"Wang","given":"Bo"},{"family":"Okamoto","given":"Ikuhiro"},{"family":"Nakamura","given":"Tomonori"},{"family":"Kojima","given":"Yoji"},{"family":"Iwatani","given":"Chizuru"},{"family":"Tsuchiya","given":"Hideaki"},{"family":"Kaswandy","given":"Belinda"},{"family":"Kondoh","given":"Eiji"},{"family":"Kaneko","given":"Shin"},{"family":"Woltjen","given":"Knut"},{"family":"Saitou","given":"Mitinori"},{"family":"Yamamoto","given":"Takuya"},{"family":"Mandai","given":"Masaki"},{"family":"Takashima","given":"Yasuhiro"}],"issued":{"date-parts":[["2021",6,3]]}}}],"schema":"https://github.com/citation-style-language/schema/raw/master/csl-citation.json"} </w:instrText>
      </w:r>
      <w:r w:rsidRPr="00FF3ECB">
        <w:rPr>
          <w:color w:val="000000"/>
        </w:rPr>
        <w:fldChar w:fldCharType="separate"/>
      </w:r>
      <w:r w:rsidR="00A620F1" w:rsidRPr="00FF3ECB">
        <w:rPr>
          <w:color w:val="000000"/>
          <w:vertAlign w:val="superscript"/>
          <w:lang w:val="en-US"/>
        </w:rPr>
        <w:t>2–18</w:t>
      </w:r>
      <w:r w:rsidRPr="00FF3ECB">
        <w:rPr>
          <w:color w:val="000000"/>
        </w:rPr>
        <w:fldChar w:fldCharType="end"/>
      </w:r>
      <w:r w:rsidRPr="00FF3ECB">
        <w:rPr>
          <w:lang w:val="en-US"/>
        </w:rPr>
        <w:t xml:space="preserve">. In three-dimensional culture, many </w:t>
      </w:r>
      <w:r w:rsidR="002713CA" w:rsidRPr="00FF3ECB">
        <w:rPr>
          <w:lang w:val="en-US"/>
        </w:rPr>
        <w:t>TB</w:t>
      </w:r>
      <w:r w:rsidRPr="00FF3ECB">
        <w:rPr>
          <w:lang w:val="en-US"/>
        </w:rPr>
        <w:t xml:space="preserve"> organoid approaches further rely on Matrigel embedding, which supports organoid growth but can produce an architecture in which </w:t>
      </w:r>
      <w:proofErr w:type="spellStart"/>
      <w:r w:rsidRPr="00FF3ECB">
        <w:rPr>
          <w:lang w:val="en-US"/>
        </w:rPr>
        <w:t>syncytiotrophoblast</w:t>
      </w:r>
      <w:proofErr w:type="spellEnd"/>
      <w:r w:rsidRPr="00FF3ECB">
        <w:rPr>
          <w:lang w:val="en-US"/>
        </w:rPr>
        <w:t xml:space="preserve"> forms with an inverted polarity</w:t>
      </w:r>
      <w:r w:rsidR="00951786" w:rsidRPr="00FF3ECB">
        <w:rPr>
          <w:lang w:val="en-US"/>
        </w:rPr>
        <w:fldChar w:fldCharType="begin"/>
      </w:r>
      <w:r w:rsidR="00A620F1" w:rsidRPr="00FF3ECB">
        <w:rPr>
          <w:lang w:val="en-US"/>
        </w:rPr>
        <w:instrText xml:space="preserve"> ADDIN ZOTERO_ITEM CSL_CITATION {"citationID":"ggK3frq7","properties":{"unsorted":false,"formattedCitation":"\\super 19,20\\nosupersub{}","plainCitation":"19,20","noteIndex":0},"citationItems":[{"id":508,"uris":["http://zotero.org/users/6778933/items/XZ7HEM27"],"itemData":{"id":508,"type":"article-journal","abstract":"The placenta is the extraembryonic organ that supports the fetus during intrauterine life. Although placental dysfunction results in major disorders of pregnancy with immediate and lifelong consequences for the mother and child, our knowledge of the human placenta is limited owing to a lack of functional experimental models1. After implantation, the trophectoderm of the blastocyst rapidly proliferates and generates the trophoblast, the unique cell type of the placenta. In vivo, proliferative villous cytotrophoblast cells differentiate into two main sub-populations: syncytiotrophoblast, the multinucleated epithelium of the villi responsible for nutrient exchange and hormone production, and extravillous trophoblast cells, which anchor the placenta to the maternal decidua and transform the maternal spiral arteries2. Here we describe the generation of long-term, genetically stable organoid cultures of trophoblast that can differentiate into both syncytiotrophoblast and extravillous trophoblast. We used human leukocyte antigen (HLA) typing to confirm that the organoids were derived from the fetus, and verified their identities against four trophoblast-specific criteria3. The cultures organize into villous-like structures, and we detected the secretion of placental-specific peptides and hormones, including human chorionic gonadotropin (hCG), growth differentiation factor 15 (GDF15) and pregnancy-specific glycoprotein (PSG) by mass spectrometry. The organoids also differentiate into HLA-G+ extravillous trophoblast cells, which vigorously invade in three-dimensional cultures. Analysis of the methylome reveals that the organoids closely resemble normal first trimester placentas. This organoid model will be transformative for studying human placental development and for investigating trophoblast interactions with the local and systemic maternal environment.","container-title":"Nature","DOI":"10.1038/s41586-018-0753-3","ISSN":"1476-4687","issue":"7735","journalAbbreviation":"Nature","page":"263-267","title":"Trophoblast organoids as a model for maternal–fetal interactions during human placentation","volume":"564","author":[{"family":"Turco","given":"Margherita Y."},{"family":"Gardner","given":"Lucy"},{"family":"Kay","given":"Richard G."},{"family":"Hamilton","given":"Russell S."},{"family":"Prater","given":"Malwina"},{"family":"Hollinshead","given":"Michael S."},{"family":"McWhinnie","given":"Alasdair"},{"family":"Esposito","given":"Laura"},{"family":"Fernando","given":"Ridma"},{"family":"Skelton","given":"Helen"},{"family":"Reimann","given":"Frank"},{"family":"Gribble","given":"Fiona M."},{"family":"Sharkey","given":"Andrew"},{"family":"Marsh","given":"Steven G. E."},{"family":"O’Rahilly","given":"Stephen"},{"family":"Hemberger","given":"Myriam"},{"family":"Burton","given":"Graham J."},{"family":"Moffett","given":"Ashley"}],"issued":{"date-parts":[["2018",12,1]]}}},{"id":509,"uris":["http://zotero.org/users/6778933/items/TLG7MB84"],"itemData":{"id":509,"type":"article-journal","abstract":"Summary\nDefective placentation is the underlying cause of various pregnancy complications, such as severe intrauterine growth restriction and preeclampsia. However, studies on human placental development are hampered by the lack of a self-renewing in vitro model that would recapitulate formation of trophoblast progenitors and differentiated subtypes, syncytiotrophoblast (STB) and invasive extravillous trophoblast (EVT), in a 3D orientation. Hence, we established long-term expanding organoid cultures from purified first-trimester cytotrophoblasts (CTBs). Molecular analyses revealed that the CTB organoid cultures (CTB-ORGs) express markers of trophoblast stemness and proliferation and are highly similar to primary CTBs at the level of global gene expression. Whereas CTB-ORGs spontaneously generated STBs, withdrawal of factors for self-renewal induced trophoblast outgrowth, expressing the EVT progenitor marker NOTCH1, and provoked formation of adjacent, distally located HLA-G+ EVTs. In summary, we established human CTB-ORGs that grow and differentiate under defined culture conditions, allowing future human placental disease modeling.","container-title":"Stem Cell Reports","DOI":"10.1016/j.stemcr.2018.07.004","ISSN":"2213-6711","issue":"2","journalAbbreviation":"Stem Cell Reports","page":"537-551","title":"Self-Renewing Trophoblast Organoids Recapitulate the Developmental Program of the Early Human Placenta","volume":"11","author":[{"family":"Haider","given":"Sandra"},{"family":"Meinhardt","given":"Gudrun"},{"family":"Saleh","given":"Leila"},{"family":"Kunihs","given":"Viktoria"},{"family":"Gamperl","given":"Magdalena"},{"family":"Kaindl","given":"Ulrich"},{"family":"Ellinger","given":"Adolf"},{"family":"Burkard","given":"Thomas R."},{"family":"Fiala","given":"Christian"},{"family":"Pollheimer","given":"Jürgen"},{"family":"Mendjan","given":"Sasha"},{"family":"Latos","given":"Paulina A."},{"family":"Knöfler","given":"Martin"}],"issued":{"date-parts":[["2018",8,14]]}}}],"schema":"https://github.com/citation-style-language/schema/raw/master/csl-citation.json"} </w:instrText>
      </w:r>
      <w:r w:rsidR="00951786" w:rsidRPr="00FF3ECB">
        <w:rPr>
          <w:lang w:val="en-US"/>
        </w:rPr>
        <w:fldChar w:fldCharType="separate"/>
      </w:r>
      <w:r w:rsidR="00A620F1" w:rsidRPr="00FF3ECB">
        <w:rPr>
          <w:vertAlign w:val="superscript"/>
          <w:lang w:val="en-US"/>
        </w:rPr>
        <w:t>19,20</w:t>
      </w:r>
      <w:r w:rsidR="00951786" w:rsidRPr="00FF3ECB">
        <w:rPr>
          <w:lang w:val="en-US"/>
        </w:rPr>
        <w:fldChar w:fldCharType="end"/>
      </w:r>
      <w:r w:rsidRPr="00FF3ECB">
        <w:rPr>
          <w:lang w:val="en-US"/>
        </w:rPr>
        <w:t>.</w:t>
      </w:r>
    </w:p>
    <w:p w14:paraId="40D83C92" w14:textId="77777777" w:rsidR="00356DB5" w:rsidRPr="00FF3ECB" w:rsidRDefault="00356DB5" w:rsidP="00FF3ECB">
      <w:pPr>
        <w:rPr>
          <w:lang w:val="en-US"/>
        </w:rPr>
      </w:pPr>
    </w:p>
    <w:p w14:paraId="42989138" w14:textId="5F746154" w:rsidR="00BE6013" w:rsidRPr="00FF3ECB" w:rsidRDefault="008219F9" w:rsidP="00FF3ECB">
      <w:r w:rsidRPr="00FF3ECB">
        <w:t xml:space="preserve">The protocol described here uses the developmental logic </w:t>
      </w:r>
      <w:r w:rsidR="000B2510" w:rsidRPr="00FF3ECB">
        <w:t>that specifies TE in the embryo</w:t>
      </w:r>
      <w:r w:rsidRPr="00FF3ECB">
        <w:t xml:space="preserve"> to generate chorion models from</w:t>
      </w:r>
      <w:r w:rsidR="000B2510" w:rsidRPr="00FF3ECB">
        <w:t xml:space="preserve"> transiently naïve</w:t>
      </w:r>
      <w:r w:rsidRPr="00FF3ECB">
        <w:t xml:space="preserve"> </w:t>
      </w:r>
      <w:proofErr w:type="spellStart"/>
      <w:r w:rsidRPr="00FF3ECB">
        <w:t>hPSCs</w:t>
      </w:r>
      <w:proofErr w:type="spellEnd"/>
      <w:r w:rsidR="00356DB5" w:rsidRPr="00FF3ECB">
        <w:rPr>
          <w:color w:val="000000"/>
          <w:lang w:val="en-US"/>
        </w:rPr>
        <w:fldChar w:fldCharType="begin"/>
      </w:r>
      <w:r w:rsidR="00297D16" w:rsidRPr="00FF3ECB">
        <w:rPr>
          <w:color w:val="000000"/>
          <w:lang w:val="en-US"/>
        </w:rPr>
        <w:instrText xml:space="preserve"> ADDIN ZOTERO_ITEM CSL_CITATION {"citationID":"HXRdwDhc","properties":{"unsorted":false,"formattedCitation":"\\super 21\\nosupersub{}","plainCitation":"21","noteIndex":0},"citationItems":[{"id":"R0aTIDOI/ZmrS9z01","uris":["http://zotero.org/users/17609913/items/TLQFE78P"],"itemData":{"id":2377,"type":"article","abstract":"The first lineage decision in the mammalian blastocyst commits outer cells to the trophectoderm and initiates the trajectory that gives rise to the placental chorion. The molecular sequence that unfolds downstream of HIPPO pathway inactivation, linking human trophectoderm specification to the early organization of the chorion, has remained unknown. Here, we establish a developmentally informed model that leverages HIPPO pathway modulation to induce the native trophectoderm trajectory in the absence of exogenous BMP or WNT signaling. We first transiently reset primed human pluripotent stem cells into a trophectoderm-competent ground state, followed by LATS kinase inhibition to set the trajectory in motion. To benchmark fidelity, we built an embryo-chorion single-cell reference integrating published early human and placental transcriptomes and applied a computational stage-matching tool to align our cultures to natural development. Stage matching revealed an ordered progression along the trophectoderm trajectory from early TE to post-implantation trophoblast. With extended culture, all major cell types of the nascent chorion emerged, encompassing both trophoblast and chorionic mesoderm lineages. Within the trophoblast, we identified proliferative and non-cycling villous cytotrophoblast, a columnar population connecting villous and extravillous domains, as well as syncytia and extravillous subtypes. When cultured in suspension, these lineages self-organized into three-dimensional organoids that recapitulated the stromal-epithelial architecture and proliferative-syncytial polarity of the emergent chorion. We identified CLDN6 as a defining surface marker of columnar trophoblast, the population that bridges villous and extravillous compartments. Prospective isolation of living CLDN6+ trophoblast revealed their capacity to reacquire a proliferative villous state and, under directed cues, generate both syncytial and extravillous fates, confirming their proposed dual developmental potential within the chorion. Together, these findings establish a developmentally informed framework that connects human trophectoderm specification to the emergent chorion and provides a dynamic platform for investigating the earliest steps of placental specification and the origins of implantation disorders.","DOI":"10.1101/2025.11.18.688276","language":"en","license":"© 2025, Posted by openRxiv. This pre-print is available under a Creative Commons License (Attribution-NonCommercial-NoDerivs 4.0 International), CC BY-NC-ND 4.0, as described at http://creativecommons.org/licenses/by-nc-nd/4.0/","note":"ISSN: 2692-8205\npage: 2025.11.18.688276\nsection: New Results","publisher":"bioRxiv","source":"bioRxiv","title":"Reconstructing the emergence of the human chorion via HIPPO-mediated trophoblast induction","URL":"https://www.biorxiv.org/content/10.1101/2025.11.18.688276v1","author":[{"family":"Zhang","given":"Miaoci"},{"family":"Lim","given":"Ryan L."},{"family":"Reis","given":"Alice H."},{"family":"Piszker","given":"Walter"},{"family":"Boyd","given":"Wallis W."},{"family":"Pagon","given":"Athena"},{"family":"Mahajan","given":"Aman"},{"family":"Wu","given":"Linlin"},{"family":"Zhao","given":"Cheng"},{"family":"Petropoulos","given":"Sophie"},{"family":"Ronda","given":"Carlotta"},{"family":"Simunovic","given":"Mijo"}],"accessed":{"date-parts":[["2025",11,28]]},"issued":{"date-parts":[["2025",11,18]]}}}],"schema":"https://github.com/citation-style-language/schema/raw/master/csl-citation.json"} </w:instrText>
      </w:r>
      <w:r w:rsidR="00356DB5" w:rsidRPr="00FF3ECB">
        <w:rPr>
          <w:color w:val="000000"/>
          <w:lang w:val="en-US"/>
        </w:rPr>
        <w:fldChar w:fldCharType="separate"/>
      </w:r>
      <w:r w:rsidR="00A620F1" w:rsidRPr="00FF3ECB">
        <w:rPr>
          <w:color w:val="000000"/>
          <w:vertAlign w:val="superscript"/>
          <w:lang w:val="en-US"/>
        </w:rPr>
        <w:t>21</w:t>
      </w:r>
      <w:r w:rsidR="00356DB5" w:rsidRPr="00FF3ECB">
        <w:rPr>
          <w:color w:val="000000"/>
          <w:lang w:val="en-US"/>
        </w:rPr>
        <w:fldChar w:fldCharType="end"/>
      </w:r>
      <w:r w:rsidR="00356DB5" w:rsidRPr="00FF3ECB">
        <w:t>. In the blastocyst, suppression of LATS kinase activity promotes nuclear YAP and activation of a TE-associated transcriptional program in the outer blastomeres</w:t>
      </w:r>
      <w:r w:rsidR="00EC4DDC" w:rsidRPr="00FF3ECB">
        <w:fldChar w:fldCharType="begin"/>
      </w:r>
      <w:r w:rsidR="00A620F1" w:rsidRPr="00FF3ECB">
        <w:instrText xml:space="preserve"> ADDIN ZOTERO_ITEM CSL_CITATION {"citationID":"x0sapKvt","properties":{"unsorted":false,"formattedCitation":"\\super 22\\uc0\\u8211{}26\\nosupersub{}","plainCitation":"22–26","noteIndex":0},"citationItems":[{"id":199,"uris":["http://zotero.org/users/6778933/items/LSVSGMNK"],"itemData":{"id":199,"type":"article-journal","abstract":"Summary\nOutside cells of the preimplantation mouse embryo form the trophectoderm (TE), a process requiring the transcription factor Tead4. Here, we show that transcriptionally active Tead4 can induce Cdx2 and other trophoblast genes in parallel in embryonic stem cells. In embryos, the Tead4 coactivator protein Yap localizes to nuclei of outside cells, and modulation of Tead4 or Yap activity leads to changes in Cdx2 expression. In inside cells, Yap is phosphorylated and cytoplasmic, and this involves the Hippo signaling pathway component Lats. We propose that active Tead4 promotes TE development in outside cells, whereas Tead4 activity is suppressed in inside cells by cell contact- and Lats-mediated inhibition of nuclear Yap localization. Thus, differential signaling between inside and outside cell populations leads to changes in cell fate specification during TE formation.","container-title":"Developmental Cell","DOI":"10.1016/j.devcel.2009.02.003","ISSN":"1534-5807","issue":"3","journalAbbreviation":"Developmental Cell","page":"398-410","title":"The Hippo Signaling Pathway Components Lats and Yap Pattern Tead4 Activity to Distinguish Mouse Trophectoderm from Inner Cell Mass","volume":"16","author":[{"family":"Nishioka","given":"Noriyuki"},{"family":"Inoue","given":"Ken-ichi"},{"family":"Adachi","given":"Kenjiro"},{"family":"Kiyonari","given":"Hiroshi"},{"family":"Ota","given":"Mitsunori"},{"family":"Ralston","given":"Amy"},{"family":"Yabuta","given":"Norikazu"},{"family":"Hirahara","given":"Shino"},{"family":"Stephenson","given":"Robert O."},{"family":"Ogonuki","given":"Narumi"},{"family":"Makita","given":"Ryosuke"},{"family":"Kurihara","given":"Hiroki"},{"family":"Morin-Kensicki","given":"Elizabeth M."},{"family":"Nojima","given":"Hiroshi"},{"family":"Rossant","given":"Janet"},{"family":"Nakao","given":"Kazuki"},{"family":"Niwa","given":"Hitoshi"},{"family":"Sasaki","given":"Hiroshi"}],"issued":{"date-parts":[["2009",3,17]]}}},{"id":514,"uris":["http://zotero.org/users/6778933/items/KKIMUM7J"],"itemData":{"id":514,"type":"article-journal","abstract":"Summary\nBackground\nIn preimplantation mouse embryos, the first cell fate specification to the trophectoderm or inner cell mass occurs by the early blastocyst stage. The cell fate is controlled by cell position-dependent Hippo signaling, although the mechanisms underlying position-dependent Hippo signaling are unknown.\nResults\nWe show that a combination of cell polarity and cell-cell adhesion establishes position-dependent Hippo signaling, where the outer and inner cells are polar and nonpolar, respectively. The junction-associated proteins angiomotin (Amot) and angiomotin-like 2 (Amotl2) are essential for Hippo pathway activation and appropriate cell fate specification. In the nonpolar inner cells, Amot localizes to adherens junctions (AJs), and cell-cell adhesion activates the Hippo pathway. In the outer cells, the cell polarity sequesters Amot from basolateral AJs to apical domains, thereby suppressing Hippo signaling. The N-terminal domain of Amot is required for actin binding, Nf2/Merlin-mediated association with the E-cadherin complex, and interaction with Lats protein kinase. In AJs, S176 in the N-terminal domain of Amot is phosphorylated by Lats, which inhibits the actin-binding activity, thereby stabilizing the Amot-Lats interaction to activate the Hippo pathway.\nConclusions\nWe propose that the phosphorylation of S176 in Amot is a critical step for activation of the Hippo pathway in AJs and that cell polarity disconnects the Hippo pathway from cell-cell adhesion by sequestering Amot from AJs. This mechanism converts positional information into differential Hippo signaling, thereby leading to differential cell fates.","container-title":"Current Biology","DOI":"10.1016/j.cub.2013.05.014","ISSN":"0960-9822","issue":"13","journalAbbreviation":"Current Biology","page":"1181-1194","title":"Polarity-Dependent Distribution of Angiomotin Localizes Hippo Signaling in Preimplantation Embryos","volume":"23","author":[{"family":"Hirate","given":"Yoshikazu"},{"family":"Hirahara","given":"Shino"},{"family":"Inoue","given":"Ken-ichi"},{"family":"Suzuki","given":"Atsushi"},{"family":"Alarcon","given":"Vernadeth B."},{"family":"Akimoto","given":"Kazunori"},{"family":"Hirai","given":"Takaaki"},{"family":"Hara","given":"Takeshi"},{"family":"Adachi","given":"Makoto"},{"family":"Chida","given":"Kazuhiro"},{"family":"Ohno","given":"Shigeo"},{"family":"Marikawa","given":"Yusuke"},{"family":"Nakao","given":"Kazuki"},{"family":"Shimono","given":"Akihiko"},{"family":"Sasaki","given":"Hiroshi"}],"issued":{"date-parts":[["2013",7,8]]}}},{"id":515,"uris":["http://zotero.org/users/6778933/items/6B4V6WUI"],"itemData":{"id":515,"type":"article-journal","abstract":"Summary\nDuring mammalian development, the first two lineages to be specified are the trophectoderm (TE) and the inner cell mass (ICM). The Hippo pathway kinases Lats 1 and 2 (Lats1/2) and the transcriptional coactivator Yap play important roles in this specification process [1]. In outside cells of the embryo, Yap is nuclear localized and cooperates with Tead4 to induce the TE-specifying transcription factor Cdx2. In inside cells, Lats1/2 phosphorylate Yap and prevent its nuclear localization. The factors acting upstream of Lats1/2 and Yap in this context have not been identified. Here, we demonstrate that the upstream Hippo pathway member Nf2/Merlin is required for Lats1/2-dependent Yap phosphorylation in the preimplantation embryo. Injection of dominant-negative Nf2 mRNA causes Yap mislocalization and ectopic Cdx2 expression, effects that can be rescued by overexpression of Lats2 kinase. Zygotic Nf2 mutant blastocysts have mild defects in Yap localization and Cdx2 expression, but these become much more severe upon removal of both maternal and zygotic Nf2. The inside cells of maternal-zygotic mutants fail to establish a pluripotent ICM and form excess TE, resulting in peri-implantation lethality. Together, these data establish a clear role for Nf2 upstream of Yap in the preimplantation embryo and demonstrate that Hippo signaling is essential to segregate the ICM from the TE.","container-title":"Current Biology","DOI":"10.1016/j.cub.2013.05.044","ISSN":"0960-9822","issue":"13","journalAbbreviation":"Current Biology","page":"1195-1201","title":"The Hippo Pathway Member Nf2 Is Required for Inner Cell Mass Specification","volume":"23","author":[{"family":"Cockburn","given":"Katie"},{"family":"Biechele","given":"Steffen"},{"family":"Garner","given":"Jodi"},{"family":"Rossant","given":"Janet"}],"issued":{"date-parts":[["2013",7,8]]}}},{"id":516,"uris":["http://zotero.org/users/6778933/items/CF2WW6Y6"],"itemData":{"id":516,"type":"article-journal","abstract":"The segregation of the trophectoderm (TE) from the inner cell mass (ICM) in the mouse blastocyst is determined by position-dependent Hippo signaling. However, the window of responsiveness to Hippo signaling, the exact timing of lineage commitment and the overall relationship between cell commitment and global gene expression changes are still unclear. Single-cell RNA sequencing during lineage segregation revealed that the TE transcriptional profile stabilizes earlier than the ICM and prior to blastocyst formation. Using quantitative Cdx2-eGFP expression as a readout of Hippo signaling activity, we assessed the experimental potential of individual blastomeres based on their level of Cdx2-eGFP expression and correlated potential with gene expression dynamics. We find that TE specification and commitment coincide and occur at the time of transcriptional stabilization, whereas ICM cells still retain the ability to regenerate TE up to the early blastocyst stage. Plasticity of both lineages is coincident with their window of sensitivity to Hippo signaling.","container-title":"eLife","DOI":"10.7554/eLife.22906","ISSN":"2050-084X","page":"e22906","publisher":"eLife Sciences Publications, Ltd","title":"Position- and Hippo signaling-dependent plasticity during lineage segregation in the early mouse embryo","volume":"6","author":[{"family":"Posfai","given":"Eszter"},{"family":"Petropoulos","given":"Sophie"},{"family":"Barros","given":"Flavia Regina Oliveira","non-dropping-particle":"de"},{"family":"Schell","given":"John Paul"},{"family":"Jurisica","given":"Igor"},{"family":"Sandberg","given":"Rickard"},{"family":"Lanner","given":"Fredrik"},{"family":"Rossant","given":"Janet"}],"editor":[{"family":"Krumlauf","given":"Robb"}],"issued":{"date-parts":[["2017",2,22]]}}},{"id":517,"uris":["http://zotero.org/users/6778933/items/UPH5QHDU"],"itemData":{"id":517,"type":"article-journal","abstract":"Cellular localization of the Yes-associated protein (YAP) is dependent on large tumor suppressor (LATS) kinase activity and initiates lineage specification in the preimplantation embryo. We temporally reduced LATS activity to disrupt this early event, allowing its reactivation at later stages. This interference resulted in an irreversible lineage misspecification and aberrant polarization of the inner cell mass (ICM). Complementation experiments revealed that neither epiblast nor primitive endoderm can be established from these ICMs. We therefore conclude that precisely timed YAP localization in early morulae is essential to prevent trophectoderm marker expression in, and lineage specification of, the ICM.","container-title":"Genes Dev.","DOI":"10.1101/gad.219618.113","ISSN":"0890-9369","issue":"13","page":"1441-1446","publisher":"Cold Spring Harbor Laboratory","title":"Temporal reduction of LATS kinases in the early preimplantation embryo prevents ICM lineage differentiation","volume":"27","author":[{"family":"Lorthongpanich","given":"Chanchao"},{"family":"Messerschmidt","given":"Daniel M"},{"family":"Chan","given":"Siew Wee"},{"family":"Hong","given":"Wanjin"},{"family":"Knowles","given":"Barbara B"},{"family":"Solter","given":"Davor"}],"issued":{"date-parts":[["2013",7,1]]}}}],"schema":"https://github.com/citation-style-language/schema/raw/master/csl-citation.json"} </w:instrText>
      </w:r>
      <w:r w:rsidR="00EC4DDC" w:rsidRPr="00FF3ECB">
        <w:fldChar w:fldCharType="separate"/>
      </w:r>
      <w:r w:rsidR="00A620F1" w:rsidRPr="00FF3ECB">
        <w:rPr>
          <w:vertAlign w:val="superscript"/>
          <w:lang w:val="en-US"/>
        </w:rPr>
        <w:t>22–26</w:t>
      </w:r>
      <w:r w:rsidR="00EC4DDC" w:rsidRPr="00FF3ECB">
        <w:fldChar w:fldCharType="end"/>
      </w:r>
      <w:r w:rsidR="00356DB5" w:rsidRPr="00FF3ECB">
        <w:t xml:space="preserve">, </w:t>
      </w:r>
      <w:r w:rsidR="00AC7D1F" w:rsidRPr="00FF3ECB">
        <w:t>through</w:t>
      </w:r>
      <w:r w:rsidR="00356DB5" w:rsidRPr="00FF3ECB">
        <w:t xml:space="preserve"> a mechanism that appears conserved across eutherian mammals</w:t>
      </w:r>
      <w:r w:rsidR="00356DB5" w:rsidRPr="00FF3ECB">
        <w:rPr>
          <w:color w:val="000000"/>
        </w:rPr>
        <w:fldChar w:fldCharType="begin"/>
      </w:r>
      <w:r w:rsidR="00A620F1" w:rsidRPr="00FF3ECB">
        <w:rPr>
          <w:color w:val="000000"/>
        </w:rPr>
        <w:instrText xml:space="preserve"> ADDIN ZOTERO_ITEM CSL_CITATION {"citationID":"P3UuRMRq","properties":{"unsorted":false,"formattedCitation":"\\super 27\\uc0\\u8211{}29\\nosupersub{}","plainCitation":"27–29","noteIndex":0},"citationItems":[{"id":160,"uris":["http://zotero.org/users/6778933/items/9T5CHJTV"],"itemData":{"id":160,"type":"article-journal","abstract":"Current understandings of cell specification in early mammalian pre-implantation development are based mainly on mouse studies. The first lineage differentiation event occurs at the morula stage, with outer cells initiating a trophectoderm (TE) placental progenitor program. The inner cell mass arises from inner cells during subsequent developmental stages and comprises precursor cells of the embryo proper and yolk sac1. Recent gene-expression analyses suggest that the mechanisms that regulate early lineage specification in the mouse may differ in other mammals, including human2–5 and cow6. Here we show the evolutionary conservation of a molecular cascade that initiates TE segregation in human, cow and mouse embryos. At the morula stage, outer cells acquire an apical–basal cell polarity, with expression of atypical protein kinase C (aPKC) at the contact-free domain, nuclear expression of Hippo signalling pathway effectors and restricted expression of TE-associated factors such as GATA3, which suggests initiation of a TE program. Furthermore, we demonstrate that inhibition of aPKC by small-molecule pharmacological modulation or Trim-Away protein depletion impairs TE initiation at the morula stage. Our comparative embryology analysis provides insights into early lineage specification and suggests that a similar mechanism initiates a TE program in human, cow and mouse embryos.","container-title":"Nature","DOI":"10.1038/s41586-020-2759-x","ISSN":"1476-4687","issue":"7834","journalAbbreviation":"Nature","page":"443-447","title":"Initiation of a conserved trophectoderm program in human, cow and mouse embryos","volume":"587","author":[{"family":"Gerri","given":"Claudia"},{"family":"McCarthy","given":"Afshan"},{"family":"Alanis-Lobato","given":"Gregorio"},{"family":"Demtschenko","given":"Andrej"},{"family":"Bruneau","given":"Alexandre"},{"family":"Loubersac","given":"Sophie"},{"family":"Fogarty","given":"Norah M. E."},{"family":"Hampshire","given":"Daniel"},{"family":"Elder","given":"Kay"},{"family":"Snell","given":"Phil"},{"family":"Christie","given":"Leila"},{"family":"David","given":"Laurent"},{"family":"Van de Velde","given":"Hilde"},{"family":"Fouladi-Nashta","given":"Ali A."},{"family":"Niakan","given":"Kathy K."}],"issued":{"date-parts":[["2020",11,1]]}}},{"id":213,"uris":["http://zotero.org/users/6778933/items/CW7FYC8P"],"itemData":{"id":213,"type":"article-journal","abstract":"Our understanding of the molecular events driving cell specification in early mammalian development relies mainly on mouse studies, and it remains unclear whether these mechanisms are conserved across mammals, including humans. We have shown that the establishment of cell polarity via aPKC is a conserved event in the initiation of the trophectoderm (TE) placental programme in mouse, cow and human embryos. However, the mechanisms transducing cell polarity into cell fate in cow and human embryos are unknown. Here, we have examined the evolutionary conservation of Hippo signalling, which is thought to function downstream of aPKC activity, in four different mammalian species: mouse, rat, cow and human. In all four species, inhibition of the Hippo pathway by targeting LATS kinases is sufficient to drive ectopic TE initiation and downregulation of SOX2. However, the timing and localisation of molecular markers differ across species, with rat embryos more closely recapitulating human and cow developmental dynamics, compared with the mouse. Our comparative embryology approach uncovered intriguing differences as well as similarities in a fundamental developmental process among mammals, reinforcing the importance of cross-species investigations.","container-title":"Development","DOI":"10.1242/dev.201112","ISSN":"0950-1991","issue":"8","publisher":"The Company of Biologists","title":"A conserved role of the Hippo signalling pathway in initiation of the first lineage specification event across mammals","URL":"http://dx.doi.org/10.1242/dev.201112","volume":"150","author":[{"family":"Gerri","given":"Claudia"},{"family":"McCarthy","given":"Afshan"},{"family":"Mei Scott","given":"Gwen"},{"family":"Regin","given":"Marius"},{"family":"Stamatiadis","given":"Panagiotis"},{"family":"Brumm","given":"Sophie"},{"family":"Simon","given":"Claire S"},{"family":"Lee","given":"Janet"},{"family":"Montesinos","given":"Cristina"},{"family":"Hassitt","given":"Caroline"},{"family":"Hockenhull","given":"Sarah"},{"family":"Hampshire","given":"Daniel"},{"family":"Elder","given":"Kay"},{"family":"Snell","given":"Phil"},{"family":"Christie","given":"Leila"},{"family":"Fouladi-Nashta","given":"Ali A"},{"family":"Van de Velde","given":"Hilde"},{"family":"Niakan","given":"Kathy K"}],"issued":{"date-parts":[["2023",4,15]]}}},{"id":533,"uris":["http://zotero.org/users/6778933/items/7XG2RVNU"],"itemData":{"id":533,"type":"article-journal","abstract":"Preimplantation development is an important window of human embryogenesis. However, ethical constraints and the limitations involved in studying human embryos often necessitate the use of alternative model systems. Here we identify the guinea pig as a promising small animal model to study human preimplantation development. Using single-cell RNA-sequencing, we generated an atlas of guinea pig preimplantation development, revealing its close resemblance to early human embryogenesis in terms of the timing of compaction, early-, mid- and late-blastocyst formation, and implantation, and the spatio-temporal expression of key lineage markers. We also show conserved roles of Hippo, MEK-ERK and JAK-STAT signalling. Furthermore, multi-species analysis highlights the spatio-temporal expression of conserved and divergent genes during preimplantation development and pluripotency. The guinea pig serves as a valuable animal model for advancing preimplantation development and stem cell research, and can be leveraged to better understand the longer-term impact of early exposures on offspring outcomes.","container-title":"Nature Cell Biology","DOI":"10.1038/s41556-025-01642-9","ISSN":"1476-4679","issue":"4","journalAbbreviation":"Nature Cell Biology","page":"696-710","title":"The guinea pig serves as an alternative model to study human preimplantation development","volume":"27","author":[{"family":"Canizo","given":"Jesica Romina"},{"family":"Zhao","given":"Cheng"},{"family":"Petropoulos","given":"Sophie"}],"issued":{"date-parts":[["2025",4,1]]}}}],"schema":"https://github.com/citation-style-language/schema/raw/master/csl-citation.json"} </w:instrText>
      </w:r>
      <w:r w:rsidR="00356DB5" w:rsidRPr="00FF3ECB">
        <w:rPr>
          <w:color w:val="000000"/>
        </w:rPr>
        <w:fldChar w:fldCharType="separate"/>
      </w:r>
      <w:r w:rsidR="00A620F1" w:rsidRPr="00FF3ECB">
        <w:rPr>
          <w:color w:val="000000"/>
          <w:vertAlign w:val="superscript"/>
          <w:lang w:val="en-US"/>
        </w:rPr>
        <w:t>27–29</w:t>
      </w:r>
      <w:r w:rsidR="00356DB5" w:rsidRPr="00FF3ECB">
        <w:rPr>
          <w:color w:val="000000"/>
        </w:rPr>
        <w:fldChar w:fldCharType="end"/>
      </w:r>
      <w:r w:rsidR="00356DB5" w:rsidRPr="00FF3ECB">
        <w:t xml:space="preserve">. </w:t>
      </w:r>
      <w:r w:rsidR="00FF30AA" w:rsidRPr="00FF3ECB">
        <w:rPr>
          <w:color w:val="000000"/>
        </w:rPr>
        <w:t xml:space="preserve">Based on this principle, a non-embedded, three-dimensional framework was developed that enables the self-organization of LATS inhibition-derived TE into chorion models </w:t>
      </w:r>
      <w:r w:rsidR="00FF30AA" w:rsidRPr="00FF3ECB">
        <w:t>that reproduce key features of the nascent chorion.</w:t>
      </w:r>
      <w:r w:rsidR="00FF30AA" w:rsidRPr="00FF3ECB">
        <w:rPr>
          <w:color w:val="000000"/>
        </w:rPr>
        <w:t xml:space="preserve"> Although this </w:t>
      </w:r>
      <w:r w:rsidR="00901C9D" w:rsidRPr="00FF3ECB">
        <w:rPr>
          <w:color w:val="000000"/>
        </w:rPr>
        <w:t>protocol</w:t>
      </w:r>
      <w:r w:rsidR="00FF30AA" w:rsidRPr="00FF3ECB">
        <w:rPr>
          <w:color w:val="000000"/>
        </w:rPr>
        <w:t xml:space="preserve"> does not reproduce all aspects of chorion morphogenesis </w:t>
      </w:r>
      <w:r w:rsidR="00FF30AA" w:rsidRPr="008219F9">
        <w:rPr>
          <w:i/>
          <w:iCs/>
          <w:color w:val="000000"/>
        </w:rPr>
        <w:t>in vivo</w:t>
      </w:r>
      <w:r w:rsidR="00FF30AA" w:rsidRPr="00FF3ECB">
        <w:rPr>
          <w:color w:val="000000"/>
        </w:rPr>
        <w:t>, including villus elongation and interactions with the decidual environment, its stepwise developmental progression generates</w:t>
      </w:r>
      <w:r w:rsidR="004D7D30" w:rsidRPr="00FF3ECB">
        <w:rPr>
          <w:color w:val="000000"/>
        </w:rPr>
        <w:t xml:space="preserve"> </w:t>
      </w:r>
      <w:r w:rsidR="00FF30AA" w:rsidRPr="00FF3ECB">
        <w:rPr>
          <w:color w:val="000000"/>
        </w:rPr>
        <w:t>model</w:t>
      </w:r>
      <w:r w:rsidR="00637541" w:rsidRPr="00FF3ECB">
        <w:rPr>
          <w:color w:val="000000"/>
        </w:rPr>
        <w:t>s</w:t>
      </w:r>
      <w:r w:rsidR="00FF30AA" w:rsidRPr="00FF3ECB">
        <w:rPr>
          <w:color w:val="000000"/>
        </w:rPr>
        <w:t xml:space="preserve"> that capture </w:t>
      </w:r>
      <w:r w:rsidR="006E7FE9" w:rsidRPr="00FF3ECB">
        <w:rPr>
          <w:color w:val="000000"/>
        </w:rPr>
        <w:t>characteristic</w:t>
      </w:r>
      <w:r w:rsidR="00FF30AA" w:rsidRPr="00FF3ECB">
        <w:rPr>
          <w:color w:val="000000"/>
        </w:rPr>
        <w:t xml:space="preserve"> features of the </w:t>
      </w:r>
      <w:r w:rsidR="00901C9D" w:rsidRPr="00FF3ECB">
        <w:rPr>
          <w:color w:val="000000"/>
        </w:rPr>
        <w:t>early placenta</w:t>
      </w:r>
      <w:r w:rsidR="00D80409" w:rsidRPr="00FF3ECB">
        <w:rPr>
          <w:color w:val="000000"/>
        </w:rPr>
        <w:t xml:space="preserve"> and support the emergence of diverse chorionic cell types within a</w:t>
      </w:r>
      <w:r w:rsidR="00EC3C0A" w:rsidRPr="00FF3ECB">
        <w:rPr>
          <w:color w:val="000000"/>
        </w:rPr>
        <w:t xml:space="preserve"> self-</w:t>
      </w:r>
      <w:r w:rsidR="00D80409" w:rsidRPr="00FF3ECB">
        <w:rPr>
          <w:color w:val="000000"/>
        </w:rPr>
        <w:t xml:space="preserve">organized epithelial-stromal architecture. </w:t>
      </w:r>
      <w:r w:rsidR="00FF30AA" w:rsidRPr="00FF3ECB">
        <w:rPr>
          <w:color w:val="000000"/>
        </w:rPr>
        <w:t xml:space="preserve">These features make the model </w:t>
      </w:r>
      <w:r w:rsidR="000C7895" w:rsidRPr="00FF3ECB">
        <w:rPr>
          <w:color w:val="000000"/>
        </w:rPr>
        <w:lastRenderedPageBreak/>
        <w:t xml:space="preserve">particularly useful </w:t>
      </w:r>
      <w:r w:rsidR="00FF30AA" w:rsidRPr="00FF3ECB">
        <w:rPr>
          <w:color w:val="000000"/>
        </w:rPr>
        <w:t>for</w:t>
      </w:r>
      <w:r w:rsidR="000C7895" w:rsidRPr="00FF3ECB">
        <w:rPr>
          <w:color w:val="000000"/>
        </w:rPr>
        <w:t xml:space="preserve"> </w:t>
      </w:r>
      <w:r w:rsidR="00EC3C0A" w:rsidRPr="00FF3ECB">
        <w:rPr>
          <w:color w:val="000000"/>
        </w:rPr>
        <w:t>studying</w:t>
      </w:r>
      <w:r w:rsidR="000C7895" w:rsidRPr="00FF3ECB">
        <w:rPr>
          <w:color w:val="000000"/>
        </w:rPr>
        <w:t xml:space="preserve"> the </w:t>
      </w:r>
      <w:r w:rsidR="0090215B" w:rsidRPr="00FF3ECB">
        <w:rPr>
          <w:color w:val="000000"/>
        </w:rPr>
        <w:t>specification</w:t>
      </w:r>
      <w:r w:rsidR="000C7895" w:rsidRPr="00FF3ECB">
        <w:rPr>
          <w:color w:val="000000"/>
        </w:rPr>
        <w:t xml:space="preserve"> of chorionic lineages</w:t>
      </w:r>
      <w:r w:rsidR="00C51382">
        <w:rPr>
          <w:color w:val="000000"/>
        </w:rPr>
        <w:t>,</w:t>
      </w:r>
      <w:r w:rsidR="00EC3C0A" w:rsidRPr="00FF3ECB">
        <w:rPr>
          <w:color w:val="000000"/>
        </w:rPr>
        <w:t xml:space="preserve"> which</w:t>
      </w:r>
      <w:r w:rsidR="00FF30AA" w:rsidRPr="00FF3ECB">
        <w:rPr>
          <w:color w:val="000000"/>
        </w:rPr>
        <w:t xml:space="preserve"> </w:t>
      </w:r>
      <w:r w:rsidR="00943C8B" w:rsidRPr="00FF3ECB">
        <w:rPr>
          <w:color w:val="000000"/>
        </w:rPr>
        <w:t>have remained experimentally inaccessible.</w:t>
      </w:r>
      <w:r w:rsidR="00FF30AA" w:rsidRPr="00FF3ECB">
        <w:t xml:space="preserve"> </w:t>
      </w:r>
      <w:r w:rsidR="00C46A26" w:rsidRPr="00FF3ECB">
        <w:t>The protocol presented here provides the practical workflow for generating these models and visualizing their spatial organization by whole-mount immunofluorescence, optical clearing, and confocal microscopy.</w:t>
      </w:r>
    </w:p>
    <w:p w14:paraId="7207E58F" w14:textId="77777777" w:rsidR="00356DB5" w:rsidRPr="00FF3ECB" w:rsidRDefault="00356DB5" w:rsidP="00FF3ECB">
      <w:pPr>
        <w:rPr>
          <w:lang w:val="en-US"/>
        </w:rPr>
      </w:pPr>
    </w:p>
    <w:p w14:paraId="33FEA572" w14:textId="77777777" w:rsidR="001F477B" w:rsidRPr="00FF3ECB" w:rsidRDefault="008219F9" w:rsidP="00FF3ECB">
      <w:r w:rsidRPr="00FF3ECB">
        <w:rPr>
          <w:b/>
        </w:rPr>
        <w:t>PROTOCOL:</w:t>
      </w:r>
    </w:p>
    <w:p w14:paraId="3A7DA4C9" w14:textId="4FE9E2C8" w:rsidR="00FF4BFA" w:rsidRPr="00FF3ECB" w:rsidRDefault="008219F9" w:rsidP="00FF3ECB">
      <w:r w:rsidRPr="00FF3ECB">
        <w:t>All experiments involving human embryonic stem cells were reviewed and approved by the Columbia University Human Embryonic and Human Pluripotent Stem Cell Research Committee and followed institutional guidelines.</w:t>
      </w:r>
      <w:r w:rsidR="00012935" w:rsidRPr="00FF3ECB">
        <w:t xml:space="preserve"> Before beginning the procedure, ensure that all work with human pluripotent stem cells has been reviewed and approved, or formally deemed exempt, by the appropriate institutional oversight committee and is performed in accordance with applicable institutional</w:t>
      </w:r>
      <w:r w:rsidR="00CF47D6" w:rsidRPr="00FF3ECB">
        <w:t xml:space="preserve"> guidelines as well as</w:t>
      </w:r>
      <w:r w:rsidR="00BE6013" w:rsidRPr="00FF3ECB">
        <w:t xml:space="preserve"> local and</w:t>
      </w:r>
      <w:r w:rsidR="00012935" w:rsidRPr="00FF3ECB">
        <w:t xml:space="preserve"> national</w:t>
      </w:r>
      <w:r w:rsidR="00BE6013" w:rsidRPr="00FF3ECB">
        <w:t xml:space="preserve"> policies and laws.</w:t>
      </w:r>
      <w:r w:rsidR="00FA43AD" w:rsidRPr="00FF3ECB">
        <w:t xml:space="preserve"> </w:t>
      </w:r>
      <w:r w:rsidR="002B2384" w:rsidRPr="008219F9">
        <w:rPr>
          <w:color w:val="000000"/>
        </w:rPr>
        <w:t>The following protocol was optimized using the RUES2</w:t>
      </w:r>
      <w:r w:rsidR="00EC3C0A" w:rsidRPr="00FF3ECB">
        <w:rPr>
          <w:color w:val="000000"/>
        </w:rPr>
        <w:t xml:space="preserve"> (XX)</w:t>
      </w:r>
      <w:r w:rsidR="002B2384" w:rsidRPr="008219F9">
        <w:rPr>
          <w:color w:val="000000"/>
        </w:rPr>
        <w:t xml:space="preserve"> cell line but has also been successfully applied to </w:t>
      </w:r>
      <w:r w:rsidR="00EC3C0A" w:rsidRPr="00FF3ECB">
        <w:rPr>
          <w:color w:val="000000"/>
        </w:rPr>
        <w:t>RUES1 (XY), H1 (XY), and H9 (XX) lines</w:t>
      </w:r>
      <w:r w:rsidR="00FA43AD" w:rsidRPr="00FF3ECB">
        <w:fldChar w:fldCharType="begin"/>
      </w:r>
      <w:r w:rsidR="00297D16" w:rsidRPr="00FF3ECB">
        <w:instrText xml:space="preserve"> ADDIN ZOTERO_ITEM CSL_CITATION {"citationID":"kOiJ4XVe","properties":{"unsorted":false,"formattedCitation":"\\super 21\\nosupersub{}","plainCitation":"21","noteIndex":0},"citationItems":[{"id":"R0aTIDOI/ZmrS9z01","uris":["http://zotero.org/users/17609913/items/TLQFE78P"],"itemData":{"id":"FS6natld/60ZV65W7","type":"article","abstract":"The first lineage decision in the mammalian blastocyst commits outer cells to the trophectoderm and initiates the trajectory that gives rise to the placental chorion. The molecular sequence that unfolds downstream of HIPPO pathway inactivation, linking human trophectoderm specification to the early organization of the chorion, has remained unknown. Here, we establish a developmentally informed model that leverages HIPPO pathway modulation to induce the native trophectoderm trajectory in the absence of exogenous BMP or WNT signaling. We first transiently reset primed human pluripotent stem cells into a trophectoderm-competent ground state, followed by LATS kinase inhibition to set the trajectory in motion. To benchmark fidelity, we built an embryo-chorion single-cell reference integrating published early human and placental transcriptomes and applied a computational stage-matching tool to align our cultures to natural development. Stage matching revealed an ordered progression along the trophectoderm trajectory from early TE to post-implantation trophoblast. With extended culture, all major cell types of the nascent chorion emerged, encompassing both trophoblast and chorionic mesoderm lineages. Within the trophoblast, we identified proliferative and non-cycling villous cytotrophoblast, a columnar population connecting villous and extravillous domains, as well as syncytia and extravillous subtypes. When cultured in suspension, these lineages self-organized into three-dimensional organoids that recapitulated the stromal-epithelial architecture and proliferative-syncytial polarity of the emergent chorion. We identified CLDN6 as a defining surface marker of columnar trophoblast, the population that bridges villous and extravillous compartments. Prospective isolation of living CLDN6+ trophoblast revealed their capacity to reacquire a proliferative villous state and, under directed cues, generate both syncytial and extravillous fates, confirming their proposed dual developmental potential within the chorion. Together, these findings establish a developmentally informed framework that connects human trophectoderm specification to the emergent chorion and provides a dynamic platform for investigating the earliest steps of placental specification and the origins of implantation disorders.","DOI":"10.1101/2025.11.18.688276","language":"en","license":"© 2025, Posted by openRxiv. This pre-print is available under a Creative Commons License (Attribution-NonCommercial-NoDerivs 4.0 International), CC BY-NC-ND 4.0, as described at http://creativecommons.org/licenses/by-nc-nd/4.0/","note":"ISSN: 2692-8205\npage: 2025.11.18.688276\nsection: New Results","publisher":"bioRxiv","source":"bioRxiv","title":"Reconstructing the emergence of the human chorion via HIPPO-mediated trophoblast induction","URL":"https://www.biorxiv.org/content/10.1101/2025.11.18.688276v1","author":[{"family":"Zhang","given":"Miaoci"},{"family":"Lim","given":"Ryan L."},{"family":"Reis","given":"Alice H."},{"family":"Piszker","given":"Walter"},{"family":"Boyd","given":"Wallis W."},{"family":"Pagon","given":"Athena"},{"family":"Mahajan","given":"Aman"},{"family":"Wu","given":"Linlin"},{"family":"Zhao","given":"Cheng"},{"family":"Petropoulos","given":"Sophie"},{"family":"Ronda","given":"Carlotta"},{"family":"Simunovic","given":"Mijo"}],"accessed":{"date-parts":[["2025",11,28]]},"issued":{"date-parts":[["2025",11,18]]}}}],"schema":"https://github.com/citation-style-language/schema/raw/master/csl-citation.json"} </w:instrText>
      </w:r>
      <w:r w:rsidR="00FA43AD" w:rsidRPr="00FF3ECB">
        <w:fldChar w:fldCharType="separate"/>
      </w:r>
      <w:r w:rsidR="00A620F1" w:rsidRPr="00FF3ECB">
        <w:rPr>
          <w:vertAlign w:val="superscript"/>
          <w:lang w:val="en-US"/>
        </w:rPr>
        <w:t>21</w:t>
      </w:r>
      <w:r w:rsidR="00FA43AD" w:rsidRPr="00FF3ECB">
        <w:fldChar w:fldCharType="end"/>
      </w:r>
      <w:r w:rsidR="00FA43AD" w:rsidRPr="00FF3ECB">
        <w:t xml:space="preserve">. </w:t>
      </w:r>
      <w:r w:rsidR="005E5950" w:rsidRPr="008219F9">
        <w:rPr>
          <w:color w:val="000000"/>
        </w:rPr>
        <w:t>RUES2 cells were confirmed to have a normal karyotype, routinely tested to ensure they were free of mycoplasma contamination, and not cultured beyond passage 80.</w:t>
      </w:r>
      <w:r w:rsidR="005E5950" w:rsidRPr="00FF3ECB">
        <w:t xml:space="preserve"> </w:t>
      </w:r>
      <w:r w:rsidR="00FA43AD" w:rsidRPr="00FF3ECB">
        <w:t xml:space="preserve">When establishing this protocol in a new </w:t>
      </w:r>
      <w:proofErr w:type="spellStart"/>
      <w:r w:rsidR="00FA43AD" w:rsidRPr="00FF3ECB">
        <w:t>hPSC</w:t>
      </w:r>
      <w:proofErr w:type="spellEnd"/>
      <w:r w:rsidR="00FA43AD" w:rsidRPr="00FF3ECB">
        <w:t xml:space="preserve"> line, it is recommended to assess the efficiency of each step before proceeding to the next. </w:t>
      </w:r>
      <w:r w:rsidR="00FF4BFA" w:rsidRPr="00FF3ECB">
        <w:t xml:space="preserve">For common problems encountered throughout the protocol, their potential causes, and suggested solutions, refer to </w:t>
      </w:r>
      <w:r w:rsidR="004D2A69" w:rsidRPr="00FF3ECB">
        <w:rPr>
          <w:b/>
          <w:bCs/>
        </w:rPr>
        <w:t>Table 1</w:t>
      </w:r>
      <w:r w:rsidR="00FF4BFA" w:rsidRPr="00FF3ECB">
        <w:t xml:space="preserve">. </w:t>
      </w:r>
      <w:r w:rsidR="00EC3C0A" w:rsidRPr="00FF3ECB">
        <w:t>A</w:t>
      </w:r>
      <w:r w:rsidR="00FF4BFA" w:rsidRPr="008219F9">
        <w:rPr>
          <w:color w:val="000000" w:themeColor="text1"/>
        </w:rPr>
        <w:t xml:space="preserve">ll data presented in this manuscript are original and were generated specifically for this study, </w:t>
      </w:r>
      <w:r w:rsidR="00FF4BFA" w:rsidRPr="00FF3ECB">
        <w:rPr>
          <w:color w:val="000000" w:themeColor="text1"/>
        </w:rPr>
        <w:t xml:space="preserve">with the exception of </w:t>
      </w:r>
      <w:r w:rsidR="00FF4BFA" w:rsidRPr="008219F9">
        <w:rPr>
          <w:b/>
          <w:bCs/>
          <w:color w:val="000000" w:themeColor="text1"/>
        </w:rPr>
        <w:t>Figure 1D</w:t>
      </w:r>
      <w:r w:rsidR="00FF4BFA" w:rsidRPr="008219F9">
        <w:rPr>
          <w:color w:val="000000" w:themeColor="text1"/>
        </w:rPr>
        <w:t>, which</w:t>
      </w:r>
      <w:r w:rsidR="00821CA5" w:rsidRPr="00FF3ECB">
        <w:rPr>
          <w:color w:val="000000" w:themeColor="text1"/>
        </w:rPr>
        <w:t xml:space="preserve"> consists of</w:t>
      </w:r>
      <w:r w:rsidR="00FF4BFA" w:rsidRPr="008219F9">
        <w:rPr>
          <w:color w:val="000000" w:themeColor="text1"/>
        </w:rPr>
        <w:t xml:space="preserve"> RNA</w:t>
      </w:r>
      <w:r w:rsidR="00931D4E" w:rsidRPr="00FF3ECB">
        <w:rPr>
          <w:color w:val="000000" w:themeColor="text1"/>
        </w:rPr>
        <w:t>-</w:t>
      </w:r>
      <w:r w:rsidR="00FF4BFA" w:rsidRPr="008219F9">
        <w:rPr>
          <w:color w:val="000000" w:themeColor="text1"/>
        </w:rPr>
        <w:t>seq</w:t>
      </w:r>
      <w:r w:rsidR="00454D9C" w:rsidRPr="00FF3ECB">
        <w:rPr>
          <w:color w:val="000000" w:themeColor="text1"/>
        </w:rPr>
        <w:t>uencing</w:t>
      </w:r>
      <w:r w:rsidR="00FF4BFA" w:rsidRPr="008219F9">
        <w:rPr>
          <w:color w:val="000000" w:themeColor="text1"/>
        </w:rPr>
        <w:t xml:space="preserve"> data reanalyzed from</w:t>
      </w:r>
      <w:r w:rsidR="006163E7">
        <w:rPr>
          <w:color w:val="000000" w:themeColor="text1"/>
        </w:rPr>
        <w:t xml:space="preserve"> Zhang et al.</w:t>
      </w:r>
      <w:r w:rsidR="00FF4BFA" w:rsidRPr="00FF3ECB">
        <w:rPr>
          <w:color w:val="000000" w:themeColor="text1"/>
        </w:rPr>
        <w:fldChar w:fldCharType="begin"/>
      </w:r>
      <w:r w:rsidR="00297D16" w:rsidRPr="00FF3ECB">
        <w:rPr>
          <w:color w:val="000000" w:themeColor="text1"/>
        </w:rPr>
        <w:instrText xml:space="preserve"> ADDIN ZOTERO_ITEM CSL_CITATION {"citationID":"bcdu6buQ","properties":{"unsorted":false,"formattedCitation":"\\super 21\\nosupersub{}","plainCitation":"21","noteIndex":0},"citationItems":[{"id":"R0aTIDOI/ZmrS9z01","uris":["http://zotero.org/users/17609913/items/TLQFE78P"],"itemData":{"id":"FS6natld/60ZV65W7","type":"article","abstract":"The first lineage decision in the mammalian blastocyst commits outer cells to the trophectoderm and initiates the trajectory that gives rise to the placental chorion. The molecular sequence that unfolds downstream of HIPPO pathway inactivation, linking human trophectoderm specification to the early organization of the chorion, has remained unknown. Here, we establish a developmentally informed model that leverages HIPPO pathway modulation to induce the native trophectoderm trajectory in the absence of exogenous BMP or WNT signaling. We first transiently reset primed human pluripotent stem cells into a trophectoderm-competent ground state, followed by LATS kinase inhibition to set the trajectory in motion. To benchmark fidelity, we built an embryo-chorion single-cell reference integrating published early human and placental transcriptomes and applied a computational stage-matching tool to align our cultures to natural development. Stage matching revealed an ordered progression along the trophectoderm trajectory from early TE to post-implantation trophoblast. With extended culture, all major cell types of the nascent chorion emerged, encompassing both trophoblast and chorionic mesoderm lineages. Within the trophoblast, we identified proliferative and non-cycling villous cytotrophoblast, a columnar population connecting villous and extravillous domains, as well as syncytia and extravillous subtypes. When cultured in suspension, these lineages self-organized into three-dimensional organoids that recapitulated the stromal-epithelial architecture and proliferative-syncytial polarity of the emergent chorion. We identified CLDN6 as a defining surface marker of columnar trophoblast, the population that bridges villous and extravillous compartments. Prospective isolation of living CLDN6+ trophoblast revealed their capacity to reacquire a proliferative villous state and, under directed cues, generate both syncytial and extravillous fates, confirming their proposed dual developmental potential within the chorion. Together, these findings establish a developmentally informed framework that connects human trophectoderm specification to the emergent chorion and provides a dynamic platform for investigating the earliest steps of placental specification and the origins of implantation disorders.","DOI":"10.1101/2025.11.18.688276","language":"en","license":"© 2025, Posted by openRxiv. This pre-print is available under a Creative Commons License (Attribution-NonCommercial-NoDerivs 4.0 International), CC BY-NC-ND 4.0, as described at http://creativecommons.org/licenses/by-nc-nd/4.0/","note":"ISSN: 2692-8205\npage: 2025.11.18.688276\nsection: New Results","publisher":"bioRxiv","source":"bioRxiv","title":"Reconstructing the emergence of the human chorion via HIPPO-mediated trophoblast induction","URL":"https://www.biorxiv.org/content/10.1101/2025.11.18.688276v1","author":[{"family":"Zhang","given":"Miaoci"},{"family":"Lim","given":"Ryan L."},{"family":"Reis","given":"Alice H."},{"family":"Piszker","given":"Walter"},{"family":"Boyd","given":"Wallis W."},{"family":"Pagon","given":"Athena"},{"family":"Mahajan","given":"Aman"},{"family":"Wu","given":"Linlin"},{"family":"Zhao","given":"Cheng"},{"family":"Petropoulos","given":"Sophie"},{"family":"Ronda","given":"Carlotta"},{"family":"Simunovic","given":"Mijo"}],"accessed":{"date-parts":[["2025",11,28]]},"issued":{"date-parts":[["2025",11,18]]}}}],"schema":"https://github.com/citation-style-language/schema/raw/master/csl-citation.json"} </w:instrText>
      </w:r>
      <w:r w:rsidR="00FF4BFA" w:rsidRPr="00FF3ECB">
        <w:rPr>
          <w:color w:val="000000" w:themeColor="text1"/>
        </w:rPr>
        <w:fldChar w:fldCharType="separate"/>
      </w:r>
      <w:r w:rsidR="00A620F1" w:rsidRPr="00FF3ECB">
        <w:rPr>
          <w:color w:val="000000"/>
          <w:vertAlign w:val="superscript"/>
          <w:lang w:val="en-US"/>
        </w:rPr>
        <w:t>21</w:t>
      </w:r>
      <w:r w:rsidR="00FF4BFA" w:rsidRPr="00FF3ECB">
        <w:rPr>
          <w:color w:val="000000" w:themeColor="text1"/>
        </w:rPr>
        <w:fldChar w:fldCharType="end"/>
      </w:r>
      <w:r w:rsidR="00FF4BFA" w:rsidRPr="00FF3ECB">
        <w:rPr>
          <w:color w:val="000000" w:themeColor="text1"/>
        </w:rPr>
        <w:t>.</w:t>
      </w:r>
      <w:r w:rsidR="00CC2691">
        <w:rPr>
          <w:color w:val="000000" w:themeColor="text1"/>
        </w:rPr>
        <w:t xml:space="preserve"> The reagents and the equipment used are listed in the </w:t>
      </w:r>
      <w:r w:rsidR="00CC2691" w:rsidRPr="00CC2691">
        <w:rPr>
          <w:b/>
          <w:bCs/>
          <w:color w:val="000000" w:themeColor="text1"/>
        </w:rPr>
        <w:t>Table of Materials</w:t>
      </w:r>
      <w:r w:rsidR="00CC2691">
        <w:rPr>
          <w:color w:val="000000" w:themeColor="text1"/>
        </w:rPr>
        <w:t>.</w:t>
      </w:r>
    </w:p>
    <w:p w14:paraId="5475EC2E" w14:textId="77777777" w:rsidR="001F477B" w:rsidRPr="00FF3ECB" w:rsidRDefault="001F477B" w:rsidP="00FF3ECB">
      <w:pPr>
        <w:rPr>
          <w:color w:val="808080"/>
        </w:rPr>
      </w:pPr>
    </w:p>
    <w:p w14:paraId="4AF28A49" w14:textId="77777777" w:rsidR="001F477B" w:rsidRPr="00FF3ECB" w:rsidRDefault="008219F9" w:rsidP="00FF3ECB">
      <w:pPr>
        <w:rPr>
          <w:b/>
          <w:bCs/>
        </w:rPr>
      </w:pPr>
      <w:r w:rsidRPr="00FF3ECB">
        <w:rPr>
          <w:b/>
          <w:bCs/>
        </w:rPr>
        <w:t>1. Coating plates</w:t>
      </w:r>
    </w:p>
    <w:p w14:paraId="55AFE9BC" w14:textId="77777777" w:rsidR="001F477B" w:rsidRPr="00FF3ECB" w:rsidRDefault="001F477B" w:rsidP="00FF3ECB"/>
    <w:p w14:paraId="58A6BB9E" w14:textId="56F6E562" w:rsidR="001F477B" w:rsidRPr="00FF3ECB" w:rsidRDefault="008219F9" w:rsidP="00FF3ECB">
      <w:r w:rsidRPr="00FF3ECB">
        <w:t>NOTE: Perform steps 1</w:t>
      </w:r>
      <w:r w:rsidR="00931D4E" w:rsidRPr="00FF3ECB">
        <w:t>–</w:t>
      </w:r>
      <w:r w:rsidRPr="00FF3ECB">
        <w:t>7.2 under a sterile biosafety cabinet</w:t>
      </w:r>
      <w:r w:rsidR="001413D2" w:rsidRPr="00FF3ECB">
        <w:t xml:space="preserve"> using aseptic technique</w:t>
      </w:r>
      <w:r w:rsidRPr="00FF3ECB">
        <w:t>.</w:t>
      </w:r>
    </w:p>
    <w:p w14:paraId="0F7892F0" w14:textId="77777777" w:rsidR="001F477B" w:rsidRPr="00FF3ECB" w:rsidRDefault="001F477B" w:rsidP="00FF3ECB"/>
    <w:p w14:paraId="1FA9C24D" w14:textId="15D62014" w:rsidR="001F477B" w:rsidRPr="00FF3ECB" w:rsidRDefault="008219F9" w:rsidP="00FF3ECB">
      <w:r w:rsidRPr="00FF3ECB">
        <w:t xml:space="preserve">1.1. </w:t>
      </w:r>
      <w:r w:rsidR="00472996" w:rsidRPr="00FF3ECB">
        <w:t xml:space="preserve">Coat tissue culture dishes with </w:t>
      </w:r>
      <w:proofErr w:type="spellStart"/>
      <w:r w:rsidR="00C01983" w:rsidRPr="00FF3ECB">
        <w:t>Cultrex</w:t>
      </w:r>
      <w:proofErr w:type="spellEnd"/>
      <w:r w:rsidR="00624E67">
        <w:t xml:space="preserve"> (cell culture matrix)</w:t>
      </w:r>
      <w:r w:rsidR="00C01983" w:rsidRPr="00FF3ECB">
        <w:t>. D</w:t>
      </w:r>
      <w:r w:rsidRPr="00FF3ECB">
        <w:t>ilute</w:t>
      </w:r>
      <w:r w:rsidR="00472996" w:rsidRPr="00FF3ECB">
        <w:t xml:space="preserve"> </w:t>
      </w:r>
      <w:r w:rsidR="00624E67">
        <w:t>the matrix</w:t>
      </w:r>
      <w:r w:rsidR="00472996" w:rsidRPr="00FF3ECB">
        <w:t xml:space="preserve"> stock on ice at</w:t>
      </w:r>
      <w:r w:rsidRPr="00FF3ECB">
        <w:t xml:space="preserve"> 1:100 in</w:t>
      </w:r>
      <w:r w:rsidR="00472996" w:rsidRPr="00FF3ECB">
        <w:t xml:space="preserve"> ice-cold</w:t>
      </w:r>
      <w:r w:rsidRPr="00FF3ECB">
        <w:t xml:space="preserve"> DMEM/F12. Use 1.2 mL per well to coat 6-well plates, 0.8 mL per well to coat 12-well plates, and 0.4 mL per well to coat 24-well plates. </w:t>
      </w:r>
    </w:p>
    <w:p w14:paraId="4E8FD7E4" w14:textId="77777777" w:rsidR="001F477B" w:rsidRPr="00FF3ECB" w:rsidRDefault="001F477B" w:rsidP="00FF3ECB"/>
    <w:p w14:paraId="7F5A3073" w14:textId="53FCE010" w:rsidR="001F477B" w:rsidRPr="00FF3ECB" w:rsidRDefault="008219F9" w:rsidP="00FF3ECB">
      <w:r w:rsidRPr="00FF3ECB">
        <w:t xml:space="preserve">1.2. Place the coated dish at 37 °C for at least 1 h to allow the </w:t>
      </w:r>
      <w:r w:rsidR="00624E67">
        <w:t>matrix</w:t>
      </w:r>
      <w:r w:rsidRPr="00FF3ECB">
        <w:t xml:space="preserve"> to set. Alternatively, place the coated dish at 4 °C for at least 4 h.</w:t>
      </w:r>
    </w:p>
    <w:p w14:paraId="420197D3" w14:textId="77777777" w:rsidR="001F477B" w:rsidRPr="00FF3ECB" w:rsidRDefault="001F477B" w:rsidP="00FF3ECB"/>
    <w:p w14:paraId="522A50CB" w14:textId="77777777" w:rsidR="001F477B" w:rsidRPr="00FF3ECB" w:rsidRDefault="008219F9" w:rsidP="00FF3ECB">
      <w:pPr>
        <w:rPr>
          <w:b/>
          <w:bCs/>
        </w:rPr>
      </w:pPr>
      <w:r w:rsidRPr="00FF3ECB">
        <w:rPr>
          <w:b/>
          <w:bCs/>
        </w:rPr>
        <w:t>2. Routine cell culture maintenance</w:t>
      </w:r>
    </w:p>
    <w:p w14:paraId="3C6A5F1A" w14:textId="77777777" w:rsidR="001F477B" w:rsidRPr="00FF3ECB" w:rsidRDefault="001F477B" w:rsidP="00FF3ECB">
      <w:pPr>
        <w:rPr>
          <w:b/>
          <w:bCs/>
        </w:rPr>
      </w:pPr>
    </w:p>
    <w:p w14:paraId="57CF3CBD" w14:textId="3B1E70D4" w:rsidR="001F477B" w:rsidRPr="00FF3ECB" w:rsidRDefault="008219F9" w:rsidP="00FF3ECB">
      <w:r w:rsidRPr="00FF3ECB">
        <w:t xml:space="preserve">2.1. Maintain </w:t>
      </w:r>
      <w:proofErr w:type="spellStart"/>
      <w:r w:rsidRPr="00FF3ECB">
        <w:t>h</w:t>
      </w:r>
      <w:r w:rsidR="00F814E4" w:rsidRPr="00FF3ECB">
        <w:t>P</w:t>
      </w:r>
      <w:r w:rsidRPr="00FF3ECB">
        <w:t>SCs</w:t>
      </w:r>
      <w:proofErr w:type="spellEnd"/>
      <w:r w:rsidRPr="00FF3ECB">
        <w:t xml:space="preserve"> in </w:t>
      </w:r>
      <w:proofErr w:type="spellStart"/>
      <w:r w:rsidR="001B0964" w:rsidRPr="00FF3ECB">
        <w:t>mTeSR</w:t>
      </w:r>
      <w:proofErr w:type="spellEnd"/>
      <w:r w:rsidRPr="00FF3ECB">
        <w:t xml:space="preserve"> medium at 37 °C in a humidified incubator with 5% CO₂.</w:t>
      </w:r>
    </w:p>
    <w:p w14:paraId="445A05C3" w14:textId="77777777" w:rsidR="001F477B" w:rsidRPr="00FF3ECB" w:rsidRDefault="001F477B" w:rsidP="00FF3ECB"/>
    <w:p w14:paraId="4C9BE148" w14:textId="58CAC9CD" w:rsidR="001F477B" w:rsidRPr="00FF3ECB" w:rsidRDefault="008219F9" w:rsidP="00FF3ECB">
      <w:r w:rsidRPr="00FF3ECB">
        <w:t xml:space="preserve">2.2. When the </w:t>
      </w:r>
      <w:proofErr w:type="spellStart"/>
      <w:r w:rsidRPr="00FF3ECB">
        <w:t>h</w:t>
      </w:r>
      <w:r w:rsidR="00F814E4" w:rsidRPr="00FF3ECB">
        <w:t>P</w:t>
      </w:r>
      <w:r w:rsidRPr="00FF3ECB">
        <w:t>SCs</w:t>
      </w:r>
      <w:proofErr w:type="spellEnd"/>
      <w:r w:rsidRPr="00FF3ECB">
        <w:t xml:space="preserve"> reach 70%–80% confluency, wash cells with DPBS−/− and add 1 mL of </w:t>
      </w:r>
      <w:r w:rsidR="00236074" w:rsidRPr="00FF3ECB">
        <w:t>Gentle Cell Dis</w:t>
      </w:r>
      <w:r w:rsidR="00AE015B" w:rsidRPr="00FF3ECB">
        <w:t>s</w:t>
      </w:r>
      <w:r w:rsidR="00236074" w:rsidRPr="00FF3ECB">
        <w:t>ociation Reagent</w:t>
      </w:r>
      <w:r w:rsidRPr="00FF3ECB">
        <w:t>. Incubate the plate at 37 °C for 3–5 min.</w:t>
      </w:r>
    </w:p>
    <w:p w14:paraId="131E6006" w14:textId="77777777" w:rsidR="001F477B" w:rsidRPr="00FF3ECB" w:rsidRDefault="001F477B" w:rsidP="00FF3ECB"/>
    <w:p w14:paraId="0F5689FE" w14:textId="510AD339" w:rsidR="001F477B" w:rsidRPr="00FF3ECB" w:rsidRDefault="008219F9" w:rsidP="00FF3ECB">
      <w:pPr>
        <w:rPr>
          <w:lang w:val="en-US"/>
        </w:rPr>
      </w:pPr>
      <w:r w:rsidRPr="00FF3ECB">
        <w:t xml:space="preserve">2.3. Aspirate the dissociation solution and use 1 mL of </w:t>
      </w:r>
      <w:proofErr w:type="spellStart"/>
      <w:r w:rsidR="001B0964" w:rsidRPr="00FF3ECB">
        <w:t>mTeSR</w:t>
      </w:r>
      <w:proofErr w:type="spellEnd"/>
      <w:r w:rsidR="009E3C6D" w:rsidRPr="00FF3ECB">
        <w:rPr>
          <w:lang w:val="en-US"/>
        </w:rPr>
        <w:t xml:space="preserve"> </w:t>
      </w:r>
      <w:r w:rsidRPr="00FF3ECB">
        <w:t>to gently release the adherent cells from the surface of the tissue culture dish.</w:t>
      </w:r>
    </w:p>
    <w:p w14:paraId="05F89784" w14:textId="77777777" w:rsidR="001F477B" w:rsidRPr="00FF3ECB" w:rsidRDefault="001F477B" w:rsidP="00FF3ECB"/>
    <w:p w14:paraId="2CD945F2" w14:textId="3D6EEB1D" w:rsidR="001F477B" w:rsidRPr="00FF3ECB" w:rsidRDefault="008219F9" w:rsidP="00FF3ECB">
      <w:r w:rsidRPr="00FF3ECB">
        <w:t xml:space="preserve">2.4. Plate </w:t>
      </w:r>
      <w:proofErr w:type="spellStart"/>
      <w:r w:rsidRPr="00FF3ECB">
        <w:t>h</w:t>
      </w:r>
      <w:r w:rsidR="00F814E4" w:rsidRPr="00FF3ECB">
        <w:t>PS</w:t>
      </w:r>
      <w:r w:rsidRPr="00FF3ECB">
        <w:t>Cs</w:t>
      </w:r>
      <w:proofErr w:type="spellEnd"/>
      <w:r w:rsidRPr="00FF3ECB">
        <w:t xml:space="preserve"> as clumps onto </w:t>
      </w:r>
      <w:r w:rsidR="00624E67">
        <w:t>matrix</w:t>
      </w:r>
      <w:r w:rsidRPr="00FF3ECB">
        <w:t xml:space="preserve">-coated 6-well plates at a 1:10 split for routine </w:t>
      </w:r>
      <w:r w:rsidRPr="00FF3ECB">
        <w:lastRenderedPageBreak/>
        <w:t xml:space="preserve">maintenance. Supplement the culture with 10 </w:t>
      </w:r>
      <w:proofErr w:type="spellStart"/>
      <w:r w:rsidRPr="00FF3ECB">
        <w:t>μM</w:t>
      </w:r>
      <w:proofErr w:type="spellEnd"/>
      <w:r w:rsidRPr="00FF3ECB">
        <w:t xml:space="preserve"> Y-27632 for the first 24 h after plating. </w:t>
      </w:r>
    </w:p>
    <w:p w14:paraId="265D2816" w14:textId="77777777" w:rsidR="001F477B" w:rsidRPr="00FF3ECB" w:rsidRDefault="001F477B" w:rsidP="00FF3ECB">
      <w:pPr>
        <w:rPr>
          <w:highlight w:val="yellow"/>
        </w:rPr>
      </w:pPr>
    </w:p>
    <w:p w14:paraId="5ED79F4B" w14:textId="3233F339" w:rsidR="001F477B" w:rsidRPr="00FF3ECB" w:rsidRDefault="008219F9" w:rsidP="00FF3ECB">
      <w:pPr>
        <w:rPr>
          <w:lang w:val="en-US"/>
        </w:rPr>
      </w:pPr>
      <w:r w:rsidRPr="00FF3ECB">
        <w:t xml:space="preserve">NOTE: Refresh the medium every 24 h </w:t>
      </w:r>
      <w:r w:rsidR="00E36E53" w:rsidRPr="00FF3ECB">
        <w:t>during routine</w:t>
      </w:r>
      <w:r w:rsidRPr="00FF3ECB">
        <w:t xml:space="preserve"> </w:t>
      </w:r>
      <w:proofErr w:type="spellStart"/>
      <w:r w:rsidR="00E86984" w:rsidRPr="00FF3ECB">
        <w:rPr>
          <w:lang w:val="en-US"/>
        </w:rPr>
        <w:t>hPSC</w:t>
      </w:r>
      <w:proofErr w:type="spellEnd"/>
      <w:r w:rsidR="00E86984" w:rsidRPr="00FF3ECB">
        <w:rPr>
          <w:lang w:val="en-US"/>
        </w:rPr>
        <w:t xml:space="preserve"> maintenance</w:t>
      </w:r>
      <w:r w:rsidR="00E36E53" w:rsidRPr="00FF3ECB">
        <w:rPr>
          <w:lang w:val="en-US"/>
        </w:rPr>
        <w:t xml:space="preserve"> </w:t>
      </w:r>
      <w:r w:rsidRPr="00FF3ECB">
        <w:t>and</w:t>
      </w:r>
      <w:r w:rsidR="00E36E53" w:rsidRPr="00FF3ECB">
        <w:t xml:space="preserve"> </w:t>
      </w:r>
      <w:r w:rsidRPr="00FF3ECB">
        <w:t xml:space="preserve">terminal experiments. </w:t>
      </w:r>
      <w:r w:rsidR="00F34CC6" w:rsidRPr="00FF3ECB">
        <w:t xml:space="preserve">Warm medium in a bead bath at 37 °C before feeding. </w:t>
      </w:r>
      <w:r w:rsidRPr="00FF3ECB">
        <w:t>For feeding, add 1.5 mL of medium per well in 6-well plates, 1 mL per well in 12-well plates, and 500 µL per well in 24-well plates. Perform routine maintenance and terminal experiments in 6-well plates unless otherwise indicated.</w:t>
      </w:r>
      <w:r w:rsidR="00F34CC6" w:rsidRPr="00FF3ECB">
        <w:t xml:space="preserve"> </w:t>
      </w:r>
    </w:p>
    <w:p w14:paraId="1106EF25" w14:textId="77777777" w:rsidR="001F477B" w:rsidRPr="00FF3ECB" w:rsidRDefault="001F477B" w:rsidP="00FF3ECB">
      <w:pPr>
        <w:rPr>
          <w:b/>
          <w:bCs/>
        </w:rPr>
      </w:pPr>
    </w:p>
    <w:p w14:paraId="52110B53" w14:textId="728BEFAE" w:rsidR="001F477B" w:rsidRPr="00FF3ECB" w:rsidRDefault="008219F9" w:rsidP="00FF3ECB">
      <w:pPr>
        <w:rPr>
          <w:b/>
          <w:bCs/>
        </w:rPr>
      </w:pPr>
      <w:r w:rsidRPr="00FF3ECB">
        <w:rPr>
          <w:b/>
          <w:bCs/>
        </w:rPr>
        <w:t xml:space="preserve">3. </w:t>
      </w:r>
      <w:r w:rsidR="00986A31" w:rsidRPr="00FF3ECB">
        <w:rPr>
          <w:b/>
          <w:bCs/>
        </w:rPr>
        <w:t>T</w:t>
      </w:r>
      <w:r w:rsidR="00220BED" w:rsidRPr="00FF3ECB">
        <w:rPr>
          <w:b/>
          <w:bCs/>
        </w:rPr>
        <w:t>ransient naïve reset (</w:t>
      </w:r>
      <w:r w:rsidRPr="00FF3ECB">
        <w:rPr>
          <w:b/>
          <w:bCs/>
        </w:rPr>
        <w:t>tHENSM+2i</w:t>
      </w:r>
      <w:r w:rsidR="00220BED" w:rsidRPr="00FF3ECB">
        <w:rPr>
          <w:b/>
          <w:bCs/>
        </w:rPr>
        <w:t>)</w:t>
      </w:r>
    </w:p>
    <w:p w14:paraId="73CC72AA" w14:textId="77777777" w:rsidR="005F535D" w:rsidRPr="00FF3ECB" w:rsidRDefault="005F535D" w:rsidP="00FF3ECB"/>
    <w:p w14:paraId="6C96B701" w14:textId="0E068D5A" w:rsidR="001F477B" w:rsidRPr="00FF3ECB" w:rsidRDefault="008219F9" w:rsidP="00FF3ECB">
      <w:r w:rsidRPr="00FF3ECB">
        <w:t xml:space="preserve">3.1. </w:t>
      </w:r>
      <w:r w:rsidR="00F814E4" w:rsidRPr="00FF3ECB">
        <w:t>Warm</w:t>
      </w:r>
      <w:r w:rsidRPr="00FF3ECB">
        <w:t xml:space="preserve"> </w:t>
      </w:r>
      <w:proofErr w:type="spellStart"/>
      <w:r w:rsidR="001B0964" w:rsidRPr="00FF3ECB">
        <w:t>Accutase</w:t>
      </w:r>
      <w:proofErr w:type="spellEnd"/>
      <w:r w:rsidRPr="00FF3ECB">
        <w:t xml:space="preserve"> solution in a bead bath at 37 °C. Wash confluent </w:t>
      </w:r>
      <w:proofErr w:type="spellStart"/>
      <w:r w:rsidRPr="00FF3ECB">
        <w:t>h</w:t>
      </w:r>
      <w:r w:rsidR="00F814E4" w:rsidRPr="00FF3ECB">
        <w:t>P</w:t>
      </w:r>
      <w:r w:rsidRPr="00FF3ECB">
        <w:t>SCs</w:t>
      </w:r>
      <w:proofErr w:type="spellEnd"/>
      <w:r w:rsidRPr="00FF3ECB">
        <w:t xml:space="preserve"> twice with DPBS−/−. Add 1 mL of </w:t>
      </w:r>
      <w:proofErr w:type="spellStart"/>
      <w:r w:rsidR="001B0964" w:rsidRPr="00FF3ECB">
        <w:t>Accutase</w:t>
      </w:r>
      <w:proofErr w:type="spellEnd"/>
      <w:r w:rsidRPr="00FF3ECB">
        <w:t xml:space="preserve"> to each well of a 6-well plate and incubate the plate at 37 °C for 3–5 min.</w:t>
      </w:r>
    </w:p>
    <w:p w14:paraId="6CF79B6B" w14:textId="48639E3E" w:rsidR="001F477B" w:rsidRPr="00FF3ECB" w:rsidRDefault="001F477B" w:rsidP="00FF3ECB"/>
    <w:p w14:paraId="5D6A66D3" w14:textId="1F47D65C" w:rsidR="00151729" w:rsidRPr="00FF3ECB" w:rsidRDefault="00151729" w:rsidP="00FF3ECB">
      <w:r w:rsidRPr="00FF3ECB">
        <w:t>NOTE: Perform all centrifugation steps at room temperature unless otherwise indicated.</w:t>
      </w:r>
    </w:p>
    <w:p w14:paraId="780BB0FA" w14:textId="77777777" w:rsidR="00A048F1" w:rsidRPr="00FF3ECB" w:rsidRDefault="00A048F1" w:rsidP="00FF3ECB"/>
    <w:p w14:paraId="72125406" w14:textId="69E3CDFC" w:rsidR="001F477B" w:rsidRPr="00FF3ECB" w:rsidRDefault="008219F9" w:rsidP="00FF3ECB">
      <w:r w:rsidRPr="00FF3ECB">
        <w:t xml:space="preserve">3.2. Collect the cells from incubation and centrifuge at 300 </w:t>
      </w:r>
      <w:r w:rsidR="00ED4283" w:rsidRPr="00FF3ECB">
        <w:t xml:space="preserve">× </w:t>
      </w:r>
      <w:r w:rsidR="00ED4283" w:rsidRPr="00624E67">
        <w:rPr>
          <w:i/>
          <w:iCs/>
        </w:rPr>
        <w:t>g</w:t>
      </w:r>
      <w:r w:rsidRPr="00FF3ECB">
        <w:t xml:space="preserve"> for 3 min</w:t>
      </w:r>
      <w:r w:rsidR="00624E67">
        <w:t xml:space="preserve"> at room temperature</w:t>
      </w:r>
      <w:r w:rsidRPr="00FF3ECB">
        <w:t>.</w:t>
      </w:r>
    </w:p>
    <w:p w14:paraId="442E69A2" w14:textId="77777777" w:rsidR="001F477B" w:rsidRPr="00FF3ECB" w:rsidRDefault="001F477B" w:rsidP="00FF3ECB"/>
    <w:p w14:paraId="439744A4" w14:textId="541CB8E9" w:rsidR="001F477B" w:rsidRPr="00FF3ECB" w:rsidRDefault="008219F9" w:rsidP="00FF3ECB">
      <w:pPr>
        <w:rPr>
          <w:lang w:val="en-US"/>
        </w:rPr>
      </w:pPr>
      <w:r w:rsidRPr="00FF3ECB">
        <w:t xml:space="preserve">3.3. Aspirate the supernatant and resuspend the pellet in 1 mL </w:t>
      </w:r>
      <w:proofErr w:type="spellStart"/>
      <w:r w:rsidR="001B0964" w:rsidRPr="00FF3ECB">
        <w:t>mTeSR</w:t>
      </w:r>
      <w:proofErr w:type="spellEnd"/>
      <w:r w:rsidRPr="00FF3ECB">
        <w:t>.</w:t>
      </w:r>
    </w:p>
    <w:p w14:paraId="1D312AC9" w14:textId="77777777" w:rsidR="00F814E4" w:rsidRPr="00FF3ECB" w:rsidRDefault="00F814E4" w:rsidP="00FF3ECB"/>
    <w:p w14:paraId="02432762" w14:textId="769B60E7" w:rsidR="00013DC1" w:rsidRPr="00FF3ECB" w:rsidRDefault="008219F9" w:rsidP="00FF3ECB">
      <w:r w:rsidRPr="00FF3ECB">
        <w:t xml:space="preserve">3.4. </w:t>
      </w:r>
      <w:r w:rsidR="00F814E4" w:rsidRPr="00FF3ECB">
        <w:t>C</w:t>
      </w:r>
      <w:r w:rsidRPr="00FF3ECB">
        <w:t>ount the number of cells</w:t>
      </w:r>
      <w:r w:rsidR="00F814E4" w:rsidRPr="00FF3ECB">
        <w:t xml:space="preserve"> </w:t>
      </w:r>
      <w:r w:rsidR="00DE60BA" w:rsidRPr="00FF3ECB">
        <w:t>using</w:t>
      </w:r>
      <w:r w:rsidR="00F814E4" w:rsidRPr="00FF3ECB">
        <w:t xml:space="preserve"> a hemocytometer</w:t>
      </w:r>
      <w:r w:rsidRPr="00FF3ECB">
        <w:t xml:space="preserve">. </w:t>
      </w:r>
      <w:r w:rsidR="00F814E4" w:rsidRPr="00FF3ECB">
        <w:t>P</w:t>
      </w:r>
      <w:r w:rsidRPr="00FF3ECB">
        <w:t xml:space="preserve">late </w:t>
      </w:r>
      <w:proofErr w:type="spellStart"/>
      <w:r w:rsidRPr="00FF3ECB">
        <w:t>h</w:t>
      </w:r>
      <w:r w:rsidR="00E86984" w:rsidRPr="00FF3ECB">
        <w:t>P</w:t>
      </w:r>
      <w:r w:rsidRPr="00FF3ECB">
        <w:t>SCs</w:t>
      </w:r>
      <w:proofErr w:type="spellEnd"/>
      <w:r w:rsidRPr="00FF3ECB">
        <w:t xml:space="preserve"> as single cells onto </w:t>
      </w:r>
      <w:r w:rsidR="00624E67">
        <w:t>matrix</w:t>
      </w:r>
      <w:r w:rsidR="00396AF1" w:rsidRPr="00FF3ECB">
        <w:t>-</w:t>
      </w:r>
      <w:r w:rsidRPr="00FF3ECB">
        <w:t>coated 6-well plates at ~25–50 × 10³ cells/cm²</w:t>
      </w:r>
      <w:r w:rsidR="001B0964" w:rsidRPr="00FF3ECB">
        <w:t xml:space="preserve"> in </w:t>
      </w:r>
      <w:proofErr w:type="spellStart"/>
      <w:r w:rsidR="001B0964" w:rsidRPr="00FF3ECB">
        <w:t>mTeSR</w:t>
      </w:r>
      <w:proofErr w:type="spellEnd"/>
      <w:r w:rsidRPr="00FF3ECB">
        <w:t xml:space="preserve">. Supplement the culture with 10 </w:t>
      </w:r>
      <w:proofErr w:type="spellStart"/>
      <w:r w:rsidRPr="00FF3ECB">
        <w:t>μM</w:t>
      </w:r>
      <w:proofErr w:type="spellEnd"/>
      <w:r w:rsidRPr="00FF3ECB">
        <w:t xml:space="preserve"> Y-27632 for the first 24 h after plating.</w:t>
      </w:r>
    </w:p>
    <w:p w14:paraId="654A7D37" w14:textId="77777777" w:rsidR="001F477B" w:rsidRPr="00FF3ECB" w:rsidRDefault="001F477B" w:rsidP="00FF3ECB"/>
    <w:p w14:paraId="75B2A409" w14:textId="6BB04251" w:rsidR="001F477B" w:rsidRPr="00FF3ECB" w:rsidRDefault="008219F9" w:rsidP="00FF3ECB">
      <w:r w:rsidRPr="00FF3ECB">
        <w:t>NOTE: The number of wells seeded for tHENSM+2i induction is experiment</w:t>
      </w:r>
      <w:r w:rsidR="00D7486A" w:rsidRPr="00FF3ECB">
        <w:t>-</w:t>
      </w:r>
      <w:r w:rsidRPr="00FF3ECB">
        <w:t xml:space="preserve">dependent and </w:t>
      </w:r>
      <w:r w:rsidR="00CD400D" w:rsidRPr="00FF3ECB">
        <w:t>determin</w:t>
      </w:r>
      <w:r w:rsidRPr="00FF3ECB">
        <w:t xml:space="preserve">ed </w:t>
      </w:r>
      <w:r w:rsidR="00CD400D" w:rsidRPr="00FF3ECB">
        <w:t>by</w:t>
      </w:r>
      <w:r w:rsidRPr="00FF3ECB">
        <w:t xml:space="preserve"> the </w:t>
      </w:r>
      <w:r w:rsidR="00CD400D" w:rsidRPr="00FF3ECB">
        <w:t xml:space="preserve">cell </w:t>
      </w:r>
      <w:r w:rsidRPr="00FF3ECB">
        <w:t>number requirement</w:t>
      </w:r>
      <w:r w:rsidR="00D7486A" w:rsidRPr="00FF3ECB">
        <w:t>s</w:t>
      </w:r>
      <w:r w:rsidRPr="00FF3ECB">
        <w:t xml:space="preserve"> for downstream applications.</w:t>
      </w:r>
    </w:p>
    <w:p w14:paraId="614BE42E" w14:textId="77777777" w:rsidR="001F477B" w:rsidRPr="00FF3ECB" w:rsidRDefault="001F477B" w:rsidP="00FF3ECB"/>
    <w:p w14:paraId="529B7B93" w14:textId="1E6EC6B1" w:rsidR="005F535D" w:rsidRPr="00FF3ECB" w:rsidRDefault="008219F9" w:rsidP="00FF3ECB">
      <w:r w:rsidRPr="00FF3ECB">
        <w:t xml:space="preserve">3.5. The following day, replace spent medium with fresh </w:t>
      </w:r>
      <w:proofErr w:type="spellStart"/>
      <w:r w:rsidR="001B0964" w:rsidRPr="00FF3ECB">
        <w:t>mTeSR</w:t>
      </w:r>
      <w:proofErr w:type="spellEnd"/>
      <w:r w:rsidRPr="00FF3ECB">
        <w:t>.</w:t>
      </w:r>
      <w:r w:rsidR="00D7486A" w:rsidRPr="00FF3ECB">
        <w:t xml:space="preserve"> </w:t>
      </w:r>
    </w:p>
    <w:p w14:paraId="0599A6C6" w14:textId="77777777" w:rsidR="005F535D" w:rsidRPr="00FF3ECB" w:rsidRDefault="005F535D" w:rsidP="00FF3ECB"/>
    <w:p w14:paraId="6B10520C" w14:textId="4CB20230" w:rsidR="005F535D" w:rsidRPr="00FF3ECB" w:rsidRDefault="008219F9" w:rsidP="00FF3ECB">
      <w:r w:rsidRPr="00FF3ECB">
        <w:t xml:space="preserve">3.6. At 48 h after seeding, replace spent </w:t>
      </w:r>
      <w:proofErr w:type="spellStart"/>
      <w:r w:rsidR="001B0964" w:rsidRPr="00FF3ECB">
        <w:t>mTeSR</w:t>
      </w:r>
      <w:proofErr w:type="spellEnd"/>
      <w:r w:rsidR="001B0964" w:rsidRPr="00FF3ECB">
        <w:t xml:space="preserve"> </w:t>
      </w:r>
      <w:r w:rsidRPr="00FF3ECB">
        <w:t xml:space="preserve">with tHENSM+2i medium. </w:t>
      </w:r>
      <w:r w:rsidR="005F535D" w:rsidRPr="00FF3ECB">
        <w:t xml:space="preserve">Prepare tHENSM+2i medium on ice using the reagents listed in </w:t>
      </w:r>
      <w:r w:rsidR="005F535D" w:rsidRPr="00FF3ECB">
        <w:rPr>
          <w:b/>
          <w:bCs/>
        </w:rPr>
        <w:t>Table 2</w:t>
      </w:r>
      <w:r w:rsidR="005F535D" w:rsidRPr="00FF3ECB">
        <w:t>.</w:t>
      </w:r>
    </w:p>
    <w:p w14:paraId="2CE0DBEF" w14:textId="0F0B8278" w:rsidR="001F477B" w:rsidRPr="00FF3ECB" w:rsidRDefault="001F477B" w:rsidP="00FF3ECB"/>
    <w:p w14:paraId="4798DF54" w14:textId="35A4FC50" w:rsidR="005F535D" w:rsidRPr="008219F9" w:rsidRDefault="005F535D" w:rsidP="00FF3ECB">
      <w:pPr>
        <w:rPr>
          <w:lang w:val="en-US"/>
        </w:rPr>
      </w:pPr>
      <w:r w:rsidRPr="00FF3ECB">
        <w:t>NOTE: Maintain tHENSM+2i cultures at 37 °C under 5% CO₂ and 7% O₂.</w:t>
      </w:r>
    </w:p>
    <w:p w14:paraId="0C7E9052" w14:textId="77777777" w:rsidR="005F535D" w:rsidRPr="00FF3ECB" w:rsidRDefault="005F535D" w:rsidP="00FF3ECB"/>
    <w:p w14:paraId="496218FF" w14:textId="731F5F73" w:rsidR="001F477B" w:rsidRPr="00FF3ECB" w:rsidRDefault="008219F9" w:rsidP="00FF3ECB">
      <w:r w:rsidRPr="00FF3ECB">
        <w:t xml:space="preserve">3.7. </w:t>
      </w:r>
      <w:r w:rsidR="00AE6090" w:rsidRPr="00FF3ECB">
        <w:t xml:space="preserve">Refresh </w:t>
      </w:r>
      <w:r w:rsidRPr="00FF3ECB">
        <w:t>tHENSM+2i medium</w:t>
      </w:r>
      <w:r w:rsidR="00AE6090" w:rsidRPr="00FF3ECB">
        <w:t xml:space="preserve"> daily</w:t>
      </w:r>
      <w:r w:rsidRPr="00FF3ECB">
        <w:t xml:space="preserve"> for 6 days.</w:t>
      </w:r>
    </w:p>
    <w:p w14:paraId="5365B8D1" w14:textId="77777777" w:rsidR="00F814E4" w:rsidRPr="00FF3ECB" w:rsidRDefault="00F814E4" w:rsidP="00FF3ECB"/>
    <w:p w14:paraId="006FFD07" w14:textId="08C8C7DA" w:rsidR="00013DC1" w:rsidRPr="00FF3ECB" w:rsidRDefault="008219F9" w:rsidP="00FF3ECB">
      <w:r w:rsidRPr="00FF3ECB">
        <w:t xml:space="preserve">NOTE: Successful induction of the naïve state can be </w:t>
      </w:r>
      <w:r w:rsidR="005304B6" w:rsidRPr="00FF3ECB">
        <w:t>assessed</w:t>
      </w:r>
      <w:r w:rsidRPr="00FF3ECB">
        <w:t xml:space="preserve"> through </w:t>
      </w:r>
      <w:r w:rsidR="00DC2AE9">
        <w:t>(</w:t>
      </w:r>
      <w:r w:rsidRPr="00FF3ECB">
        <w:t xml:space="preserve">1) </w:t>
      </w:r>
      <w:proofErr w:type="spellStart"/>
      <w:r w:rsidRPr="00FF3ECB">
        <w:t>h</w:t>
      </w:r>
      <w:r w:rsidR="00F814E4" w:rsidRPr="00FF3ECB">
        <w:t>P</w:t>
      </w:r>
      <w:r w:rsidRPr="00FF3ECB">
        <w:t>SCs</w:t>
      </w:r>
      <w:proofErr w:type="spellEnd"/>
      <w:r w:rsidRPr="00FF3ECB">
        <w:t xml:space="preserve"> progressively upregulating naïve-associated genes and </w:t>
      </w:r>
      <w:r w:rsidR="00DC2AE9">
        <w:t>(</w:t>
      </w:r>
      <w:r w:rsidRPr="00FF3ECB">
        <w:t>2) compaction into dome-shaped morphologies</w:t>
      </w:r>
      <w:r w:rsidR="005F535D" w:rsidRPr="00FF3ECB">
        <w:t xml:space="preserve"> </w:t>
      </w:r>
      <w:r w:rsidR="007455B6" w:rsidRPr="00FF3ECB">
        <w:t>(</w:t>
      </w:r>
      <w:r w:rsidR="007455B6" w:rsidRPr="00FF3ECB">
        <w:rPr>
          <w:b/>
          <w:bCs/>
        </w:rPr>
        <w:t>Fig</w:t>
      </w:r>
      <w:r w:rsidR="00BB5461" w:rsidRPr="00FF3ECB">
        <w:rPr>
          <w:b/>
          <w:bCs/>
        </w:rPr>
        <w:t>ure</w:t>
      </w:r>
      <w:r w:rsidR="007455B6" w:rsidRPr="00FF3ECB">
        <w:rPr>
          <w:b/>
          <w:bCs/>
        </w:rPr>
        <w:t xml:space="preserve"> 1</w:t>
      </w:r>
      <w:r w:rsidR="00BB5461" w:rsidRPr="00FF3ECB">
        <w:rPr>
          <w:b/>
          <w:bCs/>
        </w:rPr>
        <w:t>B–D</w:t>
      </w:r>
      <w:r w:rsidR="007455B6" w:rsidRPr="00FF3ECB">
        <w:t>).</w:t>
      </w:r>
    </w:p>
    <w:p w14:paraId="634A9383" w14:textId="77777777" w:rsidR="001F477B" w:rsidRPr="00FF3ECB" w:rsidRDefault="001F477B" w:rsidP="00FF3ECB">
      <w:pPr>
        <w:rPr>
          <w:b/>
          <w:bCs/>
        </w:rPr>
      </w:pPr>
    </w:p>
    <w:p w14:paraId="3F09FB9B" w14:textId="77777777" w:rsidR="001F477B" w:rsidRPr="00FF3ECB" w:rsidRDefault="008219F9" w:rsidP="00FF3ECB">
      <w:pPr>
        <w:rPr>
          <w:b/>
          <w:bCs/>
        </w:rPr>
      </w:pPr>
      <w:r w:rsidRPr="00FF3ECB">
        <w:rPr>
          <w:b/>
          <w:bCs/>
        </w:rPr>
        <w:t>4. TE induction</w:t>
      </w:r>
    </w:p>
    <w:p w14:paraId="7D0647A4" w14:textId="77777777" w:rsidR="001F477B" w:rsidRPr="00FF3ECB" w:rsidRDefault="001F477B" w:rsidP="00FF3ECB"/>
    <w:p w14:paraId="48F8EFA2" w14:textId="0939B653" w:rsidR="005F535D" w:rsidRPr="00DC2AE9" w:rsidRDefault="008219F9" w:rsidP="00FF3ECB">
      <w:r w:rsidRPr="00FF3ECB">
        <w:t>NOTE: The treatment length from here on is denoted post</w:t>
      </w:r>
      <w:r w:rsidR="00F44BF8" w:rsidRPr="00FF3ECB">
        <w:t>-t</w:t>
      </w:r>
      <w:r w:rsidRPr="00FF3ECB">
        <w:t>HENSM</w:t>
      </w:r>
      <w:r w:rsidR="00AC0AEE" w:rsidRPr="00FF3ECB">
        <w:t>+</w:t>
      </w:r>
      <w:r w:rsidRPr="00FF3ECB">
        <w:t>2i</w:t>
      </w:r>
      <w:r w:rsidR="00220BED" w:rsidRPr="00FF3ECB">
        <w:t>, i.e.</w:t>
      </w:r>
      <w:r w:rsidR="00F44BF8" w:rsidRPr="00FF3ECB">
        <w:t>,</w:t>
      </w:r>
      <w:r w:rsidR="00220BED" w:rsidRPr="00FF3ECB">
        <w:t xml:space="preserve"> the</w:t>
      </w:r>
      <w:r w:rsidR="00BF77BB" w:rsidRPr="00FF3ECB">
        <w:t xml:space="preserve"> induction</w:t>
      </w:r>
      <w:r w:rsidR="00220BED" w:rsidRPr="00FF3ECB">
        <w:t xml:space="preserve"> </w:t>
      </w:r>
      <w:r w:rsidR="00BF77BB" w:rsidRPr="00FF3ECB">
        <w:t>time begins</w:t>
      </w:r>
      <w:r w:rsidR="00220BED" w:rsidRPr="00FF3ECB">
        <w:t xml:space="preserve"> </w:t>
      </w:r>
      <w:r w:rsidR="00BF77BB" w:rsidRPr="00FF3ECB">
        <w:t>when adding TA medi</w:t>
      </w:r>
      <w:r w:rsidR="000B4659" w:rsidRPr="00FF3ECB">
        <w:t>um</w:t>
      </w:r>
      <w:r w:rsidR="00BF77BB" w:rsidRPr="00FF3ECB">
        <w:t xml:space="preserve"> for the first time</w:t>
      </w:r>
      <w:r w:rsidR="00220BED" w:rsidRPr="00FF3ECB">
        <w:t>.</w:t>
      </w:r>
      <w:r w:rsidR="00DC2AE9">
        <w:t xml:space="preserve"> </w:t>
      </w:r>
      <w:r w:rsidR="005A596D" w:rsidRPr="00FF3ECB">
        <w:t>Maintain cultures at 37 °C under 5% CO₂ and 7% O₂.</w:t>
      </w:r>
    </w:p>
    <w:p w14:paraId="52D296A7" w14:textId="77777777" w:rsidR="005F535D" w:rsidRPr="00FF3ECB" w:rsidRDefault="005F535D" w:rsidP="00FF3ECB"/>
    <w:p w14:paraId="11FCC754" w14:textId="3106BD10" w:rsidR="001F477B" w:rsidRPr="00FF3ECB" w:rsidRDefault="008219F9" w:rsidP="00FF3ECB">
      <w:r w:rsidRPr="00FF3ECB">
        <w:t xml:space="preserve">4.1. </w:t>
      </w:r>
      <w:r w:rsidR="00472996" w:rsidRPr="00FF3ECB">
        <w:t>Warm</w:t>
      </w:r>
      <w:r w:rsidRPr="00FF3ECB">
        <w:t xml:space="preserve"> </w:t>
      </w:r>
      <w:proofErr w:type="spellStart"/>
      <w:r w:rsidR="001B0964" w:rsidRPr="00FF3ECB">
        <w:t>Accutase</w:t>
      </w:r>
      <w:proofErr w:type="spellEnd"/>
      <w:r w:rsidRPr="00FF3ECB">
        <w:t xml:space="preserve"> solution in a bead bath at 37 °C. Wash tHENSM+2i cells twice with DPBS−/−. Add 1 mL of </w:t>
      </w:r>
      <w:proofErr w:type="spellStart"/>
      <w:r w:rsidR="001B0964" w:rsidRPr="00FF3ECB">
        <w:t>Accutase</w:t>
      </w:r>
      <w:proofErr w:type="spellEnd"/>
      <w:r w:rsidRPr="00FF3ECB">
        <w:t xml:space="preserve"> per well of a 6-well plate and incubate the plate at 37 °C for 10 min.</w:t>
      </w:r>
    </w:p>
    <w:p w14:paraId="0C277F2B" w14:textId="77777777" w:rsidR="00F814E4" w:rsidRPr="00FF3ECB" w:rsidRDefault="00F814E4" w:rsidP="00FF3ECB"/>
    <w:p w14:paraId="62464E17" w14:textId="2A44DE8D" w:rsidR="00013DC1" w:rsidRPr="00FF3ECB" w:rsidRDefault="008219F9" w:rsidP="00FF3ECB">
      <w:r w:rsidRPr="00FF3ECB">
        <w:t>4.</w:t>
      </w:r>
      <w:r w:rsidR="005F535D" w:rsidRPr="00FF3ECB">
        <w:t>2</w:t>
      </w:r>
      <w:r w:rsidRPr="00FF3ECB">
        <w:t xml:space="preserve">. Collect the cells from incubation and centrifuge at 300 </w:t>
      </w:r>
      <w:r w:rsidR="00ED4283" w:rsidRPr="00FF3ECB">
        <w:t xml:space="preserve">× </w:t>
      </w:r>
      <w:r w:rsidR="00ED4283" w:rsidRPr="006F726A">
        <w:rPr>
          <w:i/>
          <w:iCs/>
        </w:rPr>
        <w:t>g</w:t>
      </w:r>
      <w:r w:rsidRPr="00FF3ECB">
        <w:t xml:space="preserve"> for 3 min.</w:t>
      </w:r>
    </w:p>
    <w:p w14:paraId="3E2EAE69" w14:textId="77777777" w:rsidR="001F477B" w:rsidRPr="00FF3ECB" w:rsidRDefault="001F477B" w:rsidP="00FF3ECB"/>
    <w:p w14:paraId="1FE5B4C2" w14:textId="2F1AA137" w:rsidR="001F477B" w:rsidRPr="00FF3ECB" w:rsidRDefault="008219F9" w:rsidP="00FF3ECB">
      <w:r w:rsidRPr="00FF3ECB">
        <w:t>4.</w:t>
      </w:r>
      <w:r w:rsidR="005F535D" w:rsidRPr="00FF3ECB">
        <w:t>3</w:t>
      </w:r>
      <w:r w:rsidRPr="00FF3ECB">
        <w:t>. Aspirate the supernatant and resuspend the pellet in 1 mL TA medium.</w:t>
      </w:r>
      <w:r w:rsidR="005F535D" w:rsidRPr="00FF3ECB">
        <w:t xml:space="preserve"> Prepare TA medium using the reagents listed in </w:t>
      </w:r>
      <w:r w:rsidR="005F535D" w:rsidRPr="00FF3ECB">
        <w:rPr>
          <w:b/>
          <w:bCs/>
        </w:rPr>
        <w:t>Table 3</w:t>
      </w:r>
      <w:r w:rsidR="005F535D" w:rsidRPr="00FF3ECB">
        <w:t>.</w:t>
      </w:r>
    </w:p>
    <w:p w14:paraId="4A543C4F" w14:textId="77777777" w:rsidR="00F814E4" w:rsidRPr="00FF3ECB" w:rsidRDefault="00F814E4" w:rsidP="00FF3ECB"/>
    <w:p w14:paraId="1C9A87A1" w14:textId="5222A638" w:rsidR="00013DC1" w:rsidRPr="00FF3ECB" w:rsidRDefault="008219F9" w:rsidP="00FF3ECB">
      <w:r w:rsidRPr="00FF3ECB">
        <w:t>4.</w:t>
      </w:r>
      <w:r w:rsidR="005F535D" w:rsidRPr="00FF3ECB">
        <w:t>4</w:t>
      </w:r>
      <w:r w:rsidRPr="00FF3ECB">
        <w:t xml:space="preserve">. </w:t>
      </w:r>
      <w:r w:rsidR="00C03A12" w:rsidRPr="00FF3ECB">
        <w:t>C</w:t>
      </w:r>
      <w:r w:rsidRPr="00FF3ECB">
        <w:t>ount the number of cells</w:t>
      </w:r>
      <w:r w:rsidR="00C03A12" w:rsidRPr="00FF3ECB">
        <w:t xml:space="preserve"> </w:t>
      </w:r>
      <w:r w:rsidR="00DE60BA" w:rsidRPr="00FF3ECB">
        <w:t>using a</w:t>
      </w:r>
      <w:r w:rsidR="00C03A12" w:rsidRPr="00FF3ECB">
        <w:t xml:space="preserve"> hemocytometer</w:t>
      </w:r>
      <w:r w:rsidRPr="00FF3ECB">
        <w:t xml:space="preserve">. </w:t>
      </w:r>
      <w:r w:rsidR="00C03A12" w:rsidRPr="00FF3ECB">
        <w:t>P</w:t>
      </w:r>
      <w:r w:rsidRPr="00FF3ECB">
        <w:t xml:space="preserve">late tHENSM+2i cells as single cells onto </w:t>
      </w:r>
      <w:r w:rsidR="002F7A42" w:rsidRPr="00FF3ECB">
        <w:t>Cultrex</w:t>
      </w:r>
      <w:r w:rsidRPr="00FF3ECB">
        <w:t xml:space="preserve">-coated 6-well plates at ~80 × 10³ cells/cm². Supplement the culture with 10 </w:t>
      </w:r>
      <w:proofErr w:type="spellStart"/>
      <w:r w:rsidRPr="00FF3ECB">
        <w:t>μM</w:t>
      </w:r>
      <w:proofErr w:type="spellEnd"/>
      <w:r w:rsidRPr="00FF3ECB">
        <w:t xml:space="preserve"> Y-27632 for the first 24 h after plating. Maintain cultures at 37 °C under 5% CO₂ and 7% O₂ throughout the procedure.</w:t>
      </w:r>
    </w:p>
    <w:p w14:paraId="6F51F8A9" w14:textId="77777777" w:rsidR="00F814E4" w:rsidRPr="00FF3ECB" w:rsidRDefault="00F814E4" w:rsidP="00FF3ECB"/>
    <w:p w14:paraId="36BD6F0B" w14:textId="164F8152" w:rsidR="00013DC1" w:rsidRPr="00FF3ECB" w:rsidRDefault="008219F9" w:rsidP="00FF3ECB">
      <w:r w:rsidRPr="00FF3ECB">
        <w:t>4.</w:t>
      </w:r>
      <w:r w:rsidR="005F535D" w:rsidRPr="00FF3ECB">
        <w:t>5</w:t>
      </w:r>
      <w:r w:rsidRPr="00FF3ECB">
        <w:t xml:space="preserve">. </w:t>
      </w:r>
      <w:r w:rsidR="00C03A12" w:rsidRPr="00FF3ECB">
        <w:t>Refresh</w:t>
      </w:r>
      <w:r w:rsidRPr="00FF3ECB">
        <w:t xml:space="preserve"> TA medium daily until day 9.</w:t>
      </w:r>
    </w:p>
    <w:p w14:paraId="1C59D862" w14:textId="77777777" w:rsidR="001F477B" w:rsidRPr="00FF3ECB" w:rsidRDefault="001F477B" w:rsidP="00FF3ECB"/>
    <w:p w14:paraId="3DCEE3D8" w14:textId="177501DC" w:rsidR="001F477B" w:rsidRPr="00FF3ECB" w:rsidRDefault="008219F9" w:rsidP="00FF3ECB">
      <w:r w:rsidRPr="00FF3ECB">
        <w:t>4.</w:t>
      </w:r>
      <w:r w:rsidR="005F535D" w:rsidRPr="00FF3ECB">
        <w:t>6</w:t>
      </w:r>
      <w:r w:rsidRPr="00FF3ECB">
        <w:t>. On day 9, repeat steps 4.1</w:t>
      </w:r>
      <w:r w:rsidR="006F726A">
        <w:t>–</w:t>
      </w:r>
      <w:r w:rsidRPr="00FF3ECB">
        <w:t xml:space="preserve">4.4 and </w:t>
      </w:r>
      <w:r w:rsidR="00BF77BB" w:rsidRPr="00FF3ECB">
        <w:t>re</w:t>
      </w:r>
      <w:r w:rsidRPr="00FF3ECB">
        <w:t xml:space="preserve">seed cells at a 1:1 </w:t>
      </w:r>
      <w:r w:rsidR="00864F27" w:rsidRPr="00FF3ECB">
        <w:t>split ratio</w:t>
      </w:r>
      <w:r w:rsidRPr="00FF3ECB">
        <w:t xml:space="preserve"> to remove excess cellular debris. Supplement the culture with 10 </w:t>
      </w:r>
      <w:proofErr w:type="spellStart"/>
      <w:r w:rsidRPr="00FF3ECB">
        <w:rPr>
          <w:color w:val="1F1F1F"/>
        </w:rPr>
        <w:t>μ</w:t>
      </w:r>
      <w:r w:rsidRPr="00FF3ECB">
        <w:t>M</w:t>
      </w:r>
      <w:proofErr w:type="spellEnd"/>
      <w:r w:rsidRPr="00FF3ECB">
        <w:t xml:space="preserve"> Y-27632 for the first 24 h after plating.</w:t>
      </w:r>
    </w:p>
    <w:p w14:paraId="4507B0CE" w14:textId="77777777" w:rsidR="001F477B" w:rsidRPr="00FF3ECB" w:rsidRDefault="001F477B" w:rsidP="00FF3ECB"/>
    <w:p w14:paraId="5316B8C9" w14:textId="4BC3431E" w:rsidR="001F477B" w:rsidRPr="00FF3ECB" w:rsidRDefault="008219F9" w:rsidP="00FF3ECB">
      <w:r w:rsidRPr="00FF3ECB">
        <w:t>4.</w:t>
      </w:r>
      <w:r w:rsidR="005F535D" w:rsidRPr="00FF3ECB">
        <w:t>7</w:t>
      </w:r>
      <w:r w:rsidRPr="00FF3ECB">
        <w:t xml:space="preserve">. </w:t>
      </w:r>
      <w:r w:rsidR="00C03A12" w:rsidRPr="00FF3ECB">
        <w:t>Refresh TA</w:t>
      </w:r>
      <w:r w:rsidRPr="00FF3ECB">
        <w:t xml:space="preserve"> medium daily until day 12. </w:t>
      </w:r>
      <w:r w:rsidR="00F81494" w:rsidRPr="00FF3ECB">
        <w:t>On day 12, these cells are considered to be trophectoderm (TE).</w:t>
      </w:r>
    </w:p>
    <w:p w14:paraId="7FC3AA80" w14:textId="77777777" w:rsidR="007455B6" w:rsidRPr="00FF3ECB" w:rsidRDefault="007455B6" w:rsidP="00FF3ECB"/>
    <w:p w14:paraId="752F72E4" w14:textId="6AA4F60A" w:rsidR="007455B6" w:rsidRPr="006F726A" w:rsidRDefault="008219F9" w:rsidP="00FF3ECB">
      <w:r w:rsidRPr="00FF3ECB">
        <w:t>NOTE: Successful induction of TE can be detected through protein detection assays of canonical TE markers (</w:t>
      </w:r>
      <w:r w:rsidRPr="00FF3ECB">
        <w:rPr>
          <w:b/>
          <w:bCs/>
        </w:rPr>
        <w:t>Fig</w:t>
      </w:r>
      <w:r w:rsidR="00844FEB" w:rsidRPr="00FF3ECB">
        <w:rPr>
          <w:b/>
          <w:bCs/>
        </w:rPr>
        <w:t>ure 1E–F</w:t>
      </w:r>
      <w:r w:rsidRPr="006F726A">
        <w:t>).</w:t>
      </w:r>
      <w:r w:rsidR="00DB7752" w:rsidRPr="006F726A">
        <w:t xml:space="preserve"> </w:t>
      </w:r>
      <w:r w:rsidR="005B7A06" w:rsidRPr="006F726A">
        <w:t>If using lines other than RUES1, RUES2, H1</w:t>
      </w:r>
      <w:r w:rsidR="006F726A">
        <w:t>,</w:t>
      </w:r>
      <w:r w:rsidR="005B7A06" w:rsidRPr="006F726A">
        <w:t xml:space="preserve"> or H9</w:t>
      </w:r>
      <w:r w:rsidR="00DB7752" w:rsidRPr="006F726A">
        <w:t xml:space="preserve">, it is recommended to assess </w:t>
      </w:r>
      <w:r w:rsidR="005B7A06" w:rsidRPr="006F726A">
        <w:t>the</w:t>
      </w:r>
      <w:r w:rsidR="00DB7752" w:rsidRPr="006F726A">
        <w:t xml:space="preserve"> efficiency </w:t>
      </w:r>
      <w:r w:rsidR="005B7A06" w:rsidRPr="006F726A">
        <w:t xml:space="preserve">of TE induction </w:t>
      </w:r>
      <w:r w:rsidR="00DB7752" w:rsidRPr="006F726A">
        <w:t xml:space="preserve">when establishing the protocol. </w:t>
      </w:r>
      <w:r w:rsidR="005B7A06" w:rsidRPr="006F726A">
        <w:t>For instance, we consider TE induction when</w:t>
      </w:r>
      <w:r w:rsidR="00DB7752" w:rsidRPr="006F726A">
        <w:t xml:space="preserve"> &gt;80% </w:t>
      </w:r>
      <w:r w:rsidR="005B7A06" w:rsidRPr="006F726A">
        <w:t>cells express</w:t>
      </w:r>
      <w:r w:rsidR="00DB7752" w:rsidRPr="006F726A">
        <w:t xml:space="preserve"> the canonical TE markers GATA3 and NR2F2 </w:t>
      </w:r>
      <w:r w:rsidR="00DB7752" w:rsidRPr="006F726A">
        <w:rPr>
          <w:i/>
          <w:iCs/>
        </w:rPr>
        <w:t>via</w:t>
      </w:r>
      <w:r w:rsidR="00DB7752" w:rsidRPr="006F726A">
        <w:t xml:space="preserve"> flow cytometry</w:t>
      </w:r>
      <w:r w:rsidR="007E355D" w:rsidRPr="006F726A">
        <w:t xml:space="preserve"> or</w:t>
      </w:r>
      <w:r w:rsidR="00DB7752" w:rsidRPr="006F726A">
        <w:t xml:space="preserve"> </w:t>
      </w:r>
      <w:r w:rsidR="00864F27" w:rsidRPr="006F726A">
        <w:t>quantitative immunofluorescence image analysis</w:t>
      </w:r>
      <w:r w:rsidR="00DB7752" w:rsidRPr="006F726A">
        <w:t xml:space="preserve">. </w:t>
      </w:r>
    </w:p>
    <w:p w14:paraId="29BBCAB7" w14:textId="77777777" w:rsidR="001F477B" w:rsidRPr="00FF3ECB" w:rsidRDefault="001F477B" w:rsidP="00FF3ECB"/>
    <w:p w14:paraId="245CA433" w14:textId="77777777" w:rsidR="001F477B" w:rsidRPr="00FF3ECB" w:rsidRDefault="008219F9" w:rsidP="00FF3ECB">
      <w:pPr>
        <w:rPr>
          <w:b/>
          <w:bCs/>
        </w:rPr>
      </w:pPr>
      <w:r w:rsidRPr="00FF3ECB">
        <w:rPr>
          <w:b/>
          <w:bCs/>
        </w:rPr>
        <w:t>5. Preparation of anti-adherent microwell and tissue culture plates</w:t>
      </w:r>
    </w:p>
    <w:p w14:paraId="11140A94" w14:textId="77777777" w:rsidR="001F477B" w:rsidRPr="00FF3ECB" w:rsidRDefault="001F477B" w:rsidP="00FF3ECB">
      <w:pPr>
        <w:rPr>
          <w:b/>
          <w:bCs/>
        </w:rPr>
      </w:pPr>
    </w:p>
    <w:p w14:paraId="48E67F45" w14:textId="00CD7227" w:rsidR="001F477B" w:rsidRPr="00FF3ECB" w:rsidRDefault="008219F9" w:rsidP="00FF3ECB">
      <w:r w:rsidRPr="00FF3ECB">
        <w:t xml:space="preserve">5.1. Add 1 mL of </w:t>
      </w:r>
      <w:r w:rsidR="00AC0AEE" w:rsidRPr="00FF3ECB">
        <w:t>a</w:t>
      </w:r>
      <w:r w:rsidRPr="00FF3ECB">
        <w:t>nti-</w:t>
      </w:r>
      <w:r w:rsidR="00AC0AEE" w:rsidRPr="00FF3ECB">
        <w:t>a</w:t>
      </w:r>
      <w:r w:rsidRPr="00FF3ECB">
        <w:t xml:space="preserve">dherence </w:t>
      </w:r>
      <w:r w:rsidR="00AC0AEE" w:rsidRPr="00FF3ECB">
        <w:t>s</w:t>
      </w:r>
      <w:r w:rsidRPr="00FF3ECB">
        <w:t>olution to each well of a 24-well 400</w:t>
      </w:r>
      <w:r w:rsidR="00AC0AEE" w:rsidRPr="00FF3ECB">
        <w:t xml:space="preserve"> </w:t>
      </w:r>
      <w:r w:rsidR="00AC0AEE" w:rsidRPr="00FF3ECB">
        <w:rPr>
          <w:color w:val="000000"/>
        </w:rPr>
        <w:t>µ</w:t>
      </w:r>
      <w:r w:rsidR="00AC0AEE" w:rsidRPr="00FF3ECB">
        <w:t>m low</w:t>
      </w:r>
      <w:r w:rsidR="00C75768" w:rsidRPr="00FF3ECB">
        <w:t>-</w:t>
      </w:r>
      <w:r w:rsidR="00AC0AEE" w:rsidRPr="00FF3ECB">
        <w:t>attachment microwell</w:t>
      </w:r>
      <w:r w:rsidRPr="00FF3ECB">
        <w:t xml:space="preserve"> plate</w:t>
      </w:r>
      <w:r w:rsidR="00AC0AEE" w:rsidRPr="00FF3ECB">
        <w:t>.</w:t>
      </w:r>
      <w:r w:rsidRPr="00FF3ECB">
        <w:t xml:space="preserve"> </w:t>
      </w:r>
    </w:p>
    <w:p w14:paraId="4DAD5A0D" w14:textId="77777777" w:rsidR="001F477B" w:rsidRPr="00FF3ECB" w:rsidRDefault="001F477B" w:rsidP="00FF3ECB"/>
    <w:p w14:paraId="0E64725A" w14:textId="64A0F03F" w:rsidR="001F477B" w:rsidRPr="00FF3ECB" w:rsidRDefault="008219F9" w:rsidP="00FF3ECB">
      <w:r w:rsidRPr="00FF3ECB">
        <w:t xml:space="preserve">5.2. Centrifuge at 1300 </w:t>
      </w:r>
      <w:r w:rsidR="00ED4283" w:rsidRPr="00FF3ECB">
        <w:t xml:space="preserve">× </w:t>
      </w:r>
      <w:r w:rsidR="00ED4283" w:rsidRPr="006F726A">
        <w:rPr>
          <w:i/>
          <w:iCs/>
        </w:rPr>
        <w:t>g</w:t>
      </w:r>
      <w:r w:rsidRPr="00FF3ECB">
        <w:t xml:space="preserve"> for 5 min to remove all bubbles.</w:t>
      </w:r>
    </w:p>
    <w:p w14:paraId="3E83A111" w14:textId="77777777" w:rsidR="001F477B" w:rsidRPr="00FF3ECB" w:rsidRDefault="001F477B" w:rsidP="00FF3ECB"/>
    <w:p w14:paraId="5AC6CFC2" w14:textId="77777777" w:rsidR="001F477B" w:rsidRPr="00FF3ECB" w:rsidRDefault="008219F9" w:rsidP="00FF3ECB">
      <w:r w:rsidRPr="00FF3ECB">
        <w:t xml:space="preserve">5.3. Aspirate the anti-adherent solution and wash with DPBS−/− </w:t>
      </w:r>
      <w:r w:rsidR="00A0426F" w:rsidRPr="00FF3ECB">
        <w:t>three times</w:t>
      </w:r>
      <w:r w:rsidRPr="00FF3ECB">
        <w:t>.</w:t>
      </w:r>
    </w:p>
    <w:p w14:paraId="181D235D" w14:textId="77777777" w:rsidR="001F477B" w:rsidRPr="00FF3ECB" w:rsidRDefault="001F477B" w:rsidP="00FF3ECB"/>
    <w:p w14:paraId="30E2711E" w14:textId="28DD7FC3" w:rsidR="001F477B" w:rsidRPr="00FF3ECB" w:rsidRDefault="008219F9" w:rsidP="00FF3ECB">
      <w:r w:rsidRPr="00FF3ECB">
        <w:t xml:space="preserve">NOTE: </w:t>
      </w:r>
      <w:r w:rsidR="005A596D" w:rsidRPr="00FF3ECB">
        <w:t xml:space="preserve">If </w:t>
      </w:r>
      <w:r w:rsidRPr="00FF3ECB">
        <w:t xml:space="preserve">treating standard tissue culture plates </w:t>
      </w:r>
      <w:r w:rsidR="005A596D" w:rsidRPr="00FF3ECB">
        <w:t xml:space="preserve">with </w:t>
      </w:r>
      <w:r w:rsidRPr="00FF3ECB">
        <w:t>anti-adherence</w:t>
      </w:r>
      <w:r w:rsidR="005A596D" w:rsidRPr="00FF3ECB">
        <w:t xml:space="preserve"> solution</w:t>
      </w:r>
      <w:r w:rsidRPr="00FF3ECB">
        <w:t xml:space="preserve">, skip </w:t>
      </w:r>
      <w:r w:rsidR="005A596D" w:rsidRPr="00FF3ECB">
        <w:t>centrifugation (</w:t>
      </w:r>
      <w:r w:rsidRPr="00FF3ECB">
        <w:t>step 5.2</w:t>
      </w:r>
      <w:r w:rsidR="005A596D" w:rsidRPr="00FF3ECB">
        <w:t>)</w:t>
      </w:r>
      <w:r w:rsidRPr="00FF3ECB">
        <w:t>. Instead, allow the anti-adherent solution to coat the plate statically for 5 min</w:t>
      </w:r>
      <w:r w:rsidR="00AC0AEE" w:rsidRPr="00FF3ECB">
        <w:t>, then proce</w:t>
      </w:r>
      <w:r w:rsidR="00A56D2B" w:rsidRPr="00FF3ECB">
        <w:t>ed</w:t>
      </w:r>
      <w:r w:rsidR="00AC0AEE" w:rsidRPr="00FF3ECB">
        <w:t xml:space="preserve"> to step 5.3.</w:t>
      </w:r>
    </w:p>
    <w:p w14:paraId="7A1A4690" w14:textId="77777777" w:rsidR="001F477B" w:rsidRPr="00FF3ECB" w:rsidRDefault="001F477B" w:rsidP="00FF3ECB"/>
    <w:p w14:paraId="5D120B21" w14:textId="19F38A35" w:rsidR="001F477B" w:rsidRPr="003753E7" w:rsidRDefault="008219F9" w:rsidP="00FF3ECB">
      <w:pPr>
        <w:rPr>
          <w:b/>
          <w:bCs/>
          <w:highlight w:val="yellow"/>
        </w:rPr>
      </w:pPr>
      <w:r w:rsidRPr="003753E7">
        <w:rPr>
          <w:b/>
          <w:bCs/>
          <w:highlight w:val="yellow"/>
        </w:rPr>
        <w:t xml:space="preserve">6. Generation of </w:t>
      </w:r>
      <w:r w:rsidR="005B7A06" w:rsidRPr="003753E7">
        <w:rPr>
          <w:b/>
          <w:bCs/>
          <w:highlight w:val="yellow"/>
        </w:rPr>
        <w:t xml:space="preserve">3D </w:t>
      </w:r>
      <w:r w:rsidR="00A56D2B" w:rsidRPr="003753E7">
        <w:rPr>
          <w:b/>
          <w:bCs/>
          <w:highlight w:val="yellow"/>
        </w:rPr>
        <w:t>c</w:t>
      </w:r>
      <w:r w:rsidRPr="003753E7">
        <w:rPr>
          <w:b/>
          <w:bCs/>
          <w:highlight w:val="yellow"/>
        </w:rPr>
        <w:t xml:space="preserve">horion </w:t>
      </w:r>
      <w:r w:rsidR="00A56D2B" w:rsidRPr="003753E7">
        <w:rPr>
          <w:b/>
          <w:bCs/>
          <w:highlight w:val="yellow"/>
        </w:rPr>
        <w:t>m</w:t>
      </w:r>
      <w:r w:rsidRPr="003753E7">
        <w:rPr>
          <w:b/>
          <w:bCs/>
          <w:highlight w:val="yellow"/>
        </w:rPr>
        <w:t>odels</w:t>
      </w:r>
    </w:p>
    <w:p w14:paraId="1841E4E8" w14:textId="1AB28C32" w:rsidR="001F477B" w:rsidRPr="003753E7" w:rsidRDefault="001F477B" w:rsidP="00FF3ECB">
      <w:pPr>
        <w:rPr>
          <w:highlight w:val="yellow"/>
        </w:rPr>
      </w:pPr>
    </w:p>
    <w:p w14:paraId="4EB91F2C" w14:textId="67982990" w:rsidR="005A596D" w:rsidRPr="003753E7" w:rsidRDefault="005A596D" w:rsidP="00FF3ECB">
      <w:pPr>
        <w:rPr>
          <w:highlight w:val="yellow"/>
          <w:lang w:val="en-US"/>
        </w:rPr>
      </w:pPr>
      <w:r w:rsidRPr="003753E7">
        <w:rPr>
          <w:highlight w:val="yellow"/>
        </w:rPr>
        <w:t>NOTE: Maintain cultures at 37 °C under 5% CO₂ and 7% O₂.</w:t>
      </w:r>
    </w:p>
    <w:p w14:paraId="0280C986" w14:textId="77777777" w:rsidR="005A596D" w:rsidRPr="003753E7" w:rsidRDefault="005A596D" w:rsidP="00FF3ECB">
      <w:pPr>
        <w:rPr>
          <w:highlight w:val="yellow"/>
        </w:rPr>
      </w:pPr>
    </w:p>
    <w:p w14:paraId="32F74BAF" w14:textId="17319282" w:rsidR="001F477B" w:rsidRPr="003753E7" w:rsidRDefault="008219F9" w:rsidP="00FF3ECB">
      <w:pPr>
        <w:rPr>
          <w:highlight w:val="yellow"/>
        </w:rPr>
      </w:pPr>
      <w:r w:rsidRPr="003753E7">
        <w:rPr>
          <w:highlight w:val="yellow"/>
        </w:rPr>
        <w:t xml:space="preserve">6.1. </w:t>
      </w:r>
      <w:r w:rsidR="00C03A12" w:rsidRPr="003753E7">
        <w:rPr>
          <w:highlight w:val="yellow"/>
        </w:rPr>
        <w:t xml:space="preserve">Warm </w:t>
      </w:r>
      <w:proofErr w:type="spellStart"/>
      <w:r w:rsidR="001B0964" w:rsidRPr="003753E7">
        <w:rPr>
          <w:highlight w:val="yellow"/>
        </w:rPr>
        <w:t>Accutase</w:t>
      </w:r>
      <w:proofErr w:type="spellEnd"/>
      <w:r w:rsidR="001B0964" w:rsidRPr="003753E7">
        <w:rPr>
          <w:highlight w:val="yellow"/>
        </w:rPr>
        <w:t xml:space="preserve"> </w:t>
      </w:r>
      <w:r w:rsidRPr="003753E7">
        <w:rPr>
          <w:highlight w:val="yellow"/>
        </w:rPr>
        <w:t>solution in a bead bath at 37 °C. Wash day</w:t>
      </w:r>
      <w:r w:rsidR="007455B6" w:rsidRPr="003753E7">
        <w:rPr>
          <w:highlight w:val="yellow"/>
        </w:rPr>
        <w:t>-</w:t>
      </w:r>
      <w:r w:rsidRPr="003753E7">
        <w:rPr>
          <w:highlight w:val="yellow"/>
        </w:rPr>
        <w:t xml:space="preserve">12 TE cells twice with DPBS−/−. Add 1 mL of </w:t>
      </w:r>
      <w:proofErr w:type="spellStart"/>
      <w:r w:rsidR="001B0964" w:rsidRPr="003753E7">
        <w:rPr>
          <w:highlight w:val="yellow"/>
        </w:rPr>
        <w:t>Accutase</w:t>
      </w:r>
      <w:proofErr w:type="spellEnd"/>
      <w:r w:rsidR="001B0964" w:rsidRPr="003753E7">
        <w:rPr>
          <w:highlight w:val="yellow"/>
        </w:rPr>
        <w:t xml:space="preserve"> </w:t>
      </w:r>
      <w:r w:rsidRPr="003753E7">
        <w:rPr>
          <w:highlight w:val="yellow"/>
        </w:rPr>
        <w:t>per well of a 6-well plate and incubate the plate at 37 °C for 20–30 min.</w:t>
      </w:r>
    </w:p>
    <w:p w14:paraId="541F4347" w14:textId="77777777" w:rsidR="00C03A12" w:rsidRPr="003753E7" w:rsidRDefault="00C03A12" w:rsidP="00FF3ECB">
      <w:pPr>
        <w:rPr>
          <w:highlight w:val="yellow"/>
        </w:rPr>
      </w:pPr>
    </w:p>
    <w:p w14:paraId="4E64D84E" w14:textId="148AF41D" w:rsidR="001F477B" w:rsidRPr="003753E7" w:rsidRDefault="008219F9" w:rsidP="00FF3ECB">
      <w:pPr>
        <w:rPr>
          <w:highlight w:val="yellow"/>
        </w:rPr>
      </w:pPr>
      <w:r w:rsidRPr="003753E7">
        <w:rPr>
          <w:highlight w:val="yellow"/>
        </w:rPr>
        <w:t xml:space="preserve">6.2. Collect the cells from incubation and centrifuge at 300 </w:t>
      </w:r>
      <w:r w:rsidR="00ED4283" w:rsidRPr="003753E7">
        <w:rPr>
          <w:highlight w:val="yellow"/>
        </w:rPr>
        <w:t xml:space="preserve">× </w:t>
      </w:r>
      <w:r w:rsidR="00ED4283" w:rsidRPr="003753E7">
        <w:rPr>
          <w:i/>
          <w:iCs/>
          <w:highlight w:val="yellow"/>
        </w:rPr>
        <w:t>g</w:t>
      </w:r>
      <w:r w:rsidRPr="003753E7">
        <w:rPr>
          <w:highlight w:val="yellow"/>
        </w:rPr>
        <w:t xml:space="preserve"> for 3 min.</w:t>
      </w:r>
    </w:p>
    <w:p w14:paraId="0DCAF631" w14:textId="77777777" w:rsidR="00C03A12" w:rsidRPr="003753E7" w:rsidRDefault="00C03A12" w:rsidP="00FF3ECB">
      <w:pPr>
        <w:rPr>
          <w:highlight w:val="yellow"/>
        </w:rPr>
      </w:pPr>
    </w:p>
    <w:p w14:paraId="3E535EB6" w14:textId="7CAEFE57" w:rsidR="00013DC1" w:rsidRPr="003753E7" w:rsidRDefault="008219F9" w:rsidP="00FF3ECB">
      <w:pPr>
        <w:rPr>
          <w:highlight w:val="yellow"/>
        </w:rPr>
      </w:pPr>
      <w:r w:rsidRPr="003753E7">
        <w:rPr>
          <w:highlight w:val="yellow"/>
        </w:rPr>
        <w:t xml:space="preserve">6.3. </w:t>
      </w:r>
      <w:r w:rsidR="00C03A12" w:rsidRPr="003753E7">
        <w:rPr>
          <w:highlight w:val="yellow"/>
        </w:rPr>
        <w:t>C</w:t>
      </w:r>
      <w:r w:rsidRPr="003753E7">
        <w:rPr>
          <w:highlight w:val="yellow"/>
        </w:rPr>
        <w:t>ount the number of cells</w:t>
      </w:r>
      <w:r w:rsidR="00C03A12" w:rsidRPr="003753E7">
        <w:rPr>
          <w:highlight w:val="yellow"/>
        </w:rPr>
        <w:t xml:space="preserve"> </w:t>
      </w:r>
      <w:r w:rsidR="00C75768" w:rsidRPr="003753E7">
        <w:rPr>
          <w:highlight w:val="yellow"/>
        </w:rPr>
        <w:t>using</w:t>
      </w:r>
      <w:r w:rsidR="00C03A12" w:rsidRPr="003753E7">
        <w:rPr>
          <w:highlight w:val="yellow"/>
        </w:rPr>
        <w:t xml:space="preserve"> </w:t>
      </w:r>
      <w:r w:rsidR="004C2CBE" w:rsidRPr="003753E7">
        <w:rPr>
          <w:highlight w:val="yellow"/>
        </w:rPr>
        <w:t xml:space="preserve">a </w:t>
      </w:r>
      <w:r w:rsidR="00C03A12" w:rsidRPr="003753E7">
        <w:rPr>
          <w:highlight w:val="yellow"/>
        </w:rPr>
        <w:t>hemocytometer</w:t>
      </w:r>
      <w:r w:rsidRPr="003753E7">
        <w:rPr>
          <w:highlight w:val="yellow"/>
        </w:rPr>
        <w:t xml:space="preserve">. </w:t>
      </w:r>
      <w:r w:rsidR="00C03A12" w:rsidRPr="003753E7">
        <w:rPr>
          <w:highlight w:val="yellow"/>
        </w:rPr>
        <w:t>P</w:t>
      </w:r>
      <w:r w:rsidRPr="003753E7">
        <w:rPr>
          <w:highlight w:val="yellow"/>
        </w:rPr>
        <w:t>late TE cells as single cells onto a pretreated, anti-adherent 24-well 400 µm microwell plate at 300 cells per microwell</w:t>
      </w:r>
      <w:r w:rsidR="00BF77BB" w:rsidRPr="003753E7">
        <w:rPr>
          <w:highlight w:val="yellow"/>
        </w:rPr>
        <w:t xml:space="preserve"> (</w:t>
      </w:r>
      <w:r w:rsidR="00BF77BB" w:rsidRPr="003753E7">
        <w:rPr>
          <w:highlight w:val="yellow"/>
          <w:lang w:val="en-US"/>
        </w:rPr>
        <w:t>≈3.6 × 10⁵ cells per well of a 24-well plate)</w:t>
      </w:r>
      <w:r w:rsidRPr="003753E7">
        <w:rPr>
          <w:highlight w:val="yellow"/>
        </w:rPr>
        <w:t xml:space="preserve"> in </w:t>
      </w:r>
      <w:r w:rsidR="00EA6D6D" w:rsidRPr="003753E7">
        <w:rPr>
          <w:highlight w:val="yellow"/>
        </w:rPr>
        <w:t>1 m</w:t>
      </w:r>
      <w:r w:rsidR="006C7260" w:rsidRPr="003753E7">
        <w:rPr>
          <w:highlight w:val="yellow"/>
        </w:rPr>
        <w:t>L</w:t>
      </w:r>
      <w:r w:rsidR="00EA6D6D" w:rsidRPr="003753E7">
        <w:rPr>
          <w:highlight w:val="yellow"/>
        </w:rPr>
        <w:t xml:space="preserve"> of </w:t>
      </w:r>
      <w:r w:rsidRPr="003753E7">
        <w:rPr>
          <w:highlight w:val="yellow"/>
        </w:rPr>
        <w:t xml:space="preserve">TA medium </w:t>
      </w:r>
      <w:r w:rsidR="00EA6D6D" w:rsidRPr="003753E7">
        <w:rPr>
          <w:highlight w:val="yellow"/>
        </w:rPr>
        <w:t xml:space="preserve">per well </w:t>
      </w:r>
      <w:r w:rsidRPr="003753E7">
        <w:rPr>
          <w:highlight w:val="yellow"/>
        </w:rPr>
        <w:t xml:space="preserve">supplemented with 10 </w:t>
      </w:r>
      <w:proofErr w:type="spellStart"/>
      <w:r w:rsidRPr="003753E7">
        <w:rPr>
          <w:highlight w:val="yellow"/>
        </w:rPr>
        <w:t>μM</w:t>
      </w:r>
      <w:proofErr w:type="spellEnd"/>
      <w:r w:rsidRPr="003753E7">
        <w:rPr>
          <w:highlight w:val="yellow"/>
        </w:rPr>
        <w:t xml:space="preserve"> Y-27632 for the first 24 h after plating. Immediately after seeding, centrifuge the plate at 100 </w:t>
      </w:r>
      <w:r w:rsidR="00ED4283" w:rsidRPr="003753E7">
        <w:rPr>
          <w:highlight w:val="yellow"/>
        </w:rPr>
        <w:t xml:space="preserve">× </w:t>
      </w:r>
      <w:r w:rsidR="00ED4283" w:rsidRPr="003753E7">
        <w:rPr>
          <w:i/>
          <w:iCs/>
          <w:highlight w:val="yellow"/>
        </w:rPr>
        <w:t>g</w:t>
      </w:r>
      <w:r w:rsidRPr="003753E7">
        <w:rPr>
          <w:i/>
          <w:iCs/>
          <w:highlight w:val="yellow"/>
        </w:rPr>
        <w:t xml:space="preserve"> </w:t>
      </w:r>
      <w:r w:rsidRPr="003753E7">
        <w:rPr>
          <w:highlight w:val="yellow"/>
        </w:rPr>
        <w:t>for 3 min to ensure the cells settle to the bottom of the microwells</w:t>
      </w:r>
      <w:r w:rsidR="00E86984" w:rsidRPr="003753E7">
        <w:rPr>
          <w:highlight w:val="yellow"/>
        </w:rPr>
        <w:t xml:space="preserve"> (</w:t>
      </w:r>
      <w:r w:rsidR="00E86984" w:rsidRPr="003753E7">
        <w:rPr>
          <w:b/>
          <w:bCs/>
          <w:highlight w:val="yellow"/>
        </w:rPr>
        <w:t>Fig</w:t>
      </w:r>
      <w:r w:rsidR="00844FEB" w:rsidRPr="003753E7">
        <w:rPr>
          <w:b/>
          <w:bCs/>
          <w:highlight w:val="yellow"/>
        </w:rPr>
        <w:t>ure 2</w:t>
      </w:r>
      <w:r w:rsidR="00D86026" w:rsidRPr="003753E7">
        <w:rPr>
          <w:b/>
          <w:bCs/>
          <w:highlight w:val="yellow"/>
        </w:rPr>
        <w:t>A</w:t>
      </w:r>
      <w:r w:rsidR="00E86984" w:rsidRPr="003753E7">
        <w:rPr>
          <w:highlight w:val="yellow"/>
        </w:rPr>
        <w:t>)</w:t>
      </w:r>
      <w:r w:rsidRPr="003753E7">
        <w:rPr>
          <w:highlight w:val="yellow"/>
        </w:rPr>
        <w:t xml:space="preserve">. </w:t>
      </w:r>
    </w:p>
    <w:p w14:paraId="48BDAC8E" w14:textId="77777777" w:rsidR="00650E76" w:rsidRPr="003753E7" w:rsidRDefault="00650E76" w:rsidP="00FF3ECB">
      <w:pPr>
        <w:rPr>
          <w:highlight w:val="yellow"/>
        </w:rPr>
      </w:pPr>
    </w:p>
    <w:p w14:paraId="7A034F26" w14:textId="129BF631" w:rsidR="00650E76" w:rsidRPr="003753E7" w:rsidRDefault="00650E76" w:rsidP="00FF3ECB">
      <w:pPr>
        <w:rPr>
          <w:highlight w:val="yellow"/>
          <w:lang w:val="en-US"/>
        </w:rPr>
      </w:pPr>
      <w:r w:rsidRPr="003753E7">
        <w:rPr>
          <w:highlight w:val="yellow"/>
        </w:rPr>
        <w:t>NOTE: Seeding one well of a microwell plate is sufficient to generate approximately 1,200 aggregates.</w:t>
      </w:r>
    </w:p>
    <w:p w14:paraId="1F654CB4" w14:textId="77777777" w:rsidR="001F477B" w:rsidRPr="003753E7" w:rsidRDefault="001F477B" w:rsidP="00FF3ECB">
      <w:pPr>
        <w:rPr>
          <w:highlight w:val="yellow"/>
        </w:rPr>
      </w:pPr>
    </w:p>
    <w:p w14:paraId="0C3C4E0A" w14:textId="77777777" w:rsidR="001F477B" w:rsidRPr="003753E7" w:rsidRDefault="008219F9" w:rsidP="00FF3ECB">
      <w:pPr>
        <w:rPr>
          <w:highlight w:val="yellow"/>
        </w:rPr>
      </w:pPr>
      <w:r w:rsidRPr="003753E7">
        <w:rPr>
          <w:highlight w:val="yellow"/>
        </w:rPr>
        <w:t>6.4. The following day (day 13), replace spent medium with fresh TA medium.</w:t>
      </w:r>
    </w:p>
    <w:p w14:paraId="008A9567" w14:textId="77777777" w:rsidR="00C03A12" w:rsidRPr="003753E7" w:rsidRDefault="00C03A12" w:rsidP="00FF3ECB">
      <w:pPr>
        <w:rPr>
          <w:highlight w:val="yellow"/>
        </w:rPr>
      </w:pPr>
    </w:p>
    <w:p w14:paraId="5F9233A2" w14:textId="73480022" w:rsidR="00013DC1" w:rsidRPr="003753E7" w:rsidRDefault="008219F9" w:rsidP="00FF3ECB">
      <w:pPr>
        <w:rPr>
          <w:highlight w:val="yellow"/>
        </w:rPr>
      </w:pPr>
      <w:r w:rsidRPr="003753E7">
        <w:rPr>
          <w:highlight w:val="yellow"/>
        </w:rPr>
        <w:t xml:space="preserve">NOTE: To avoid disturbing the TE aggregates, perform all medium changes </w:t>
      </w:r>
      <w:r w:rsidR="005A596D" w:rsidRPr="003753E7">
        <w:rPr>
          <w:highlight w:val="yellow"/>
        </w:rPr>
        <w:t xml:space="preserve">by carefully removing 1mL spent medium </w:t>
      </w:r>
      <w:r w:rsidRPr="003753E7">
        <w:rPr>
          <w:highlight w:val="yellow"/>
        </w:rPr>
        <w:t>using a</w:t>
      </w:r>
      <w:r w:rsidR="005A596D" w:rsidRPr="003753E7">
        <w:rPr>
          <w:highlight w:val="yellow"/>
        </w:rPr>
        <w:t xml:space="preserve"> </w:t>
      </w:r>
      <w:r w:rsidRPr="003753E7">
        <w:rPr>
          <w:highlight w:val="yellow"/>
        </w:rPr>
        <w:t>1000</w:t>
      </w:r>
      <w:r w:rsidR="005A596D" w:rsidRPr="003753E7">
        <w:rPr>
          <w:highlight w:val="yellow"/>
        </w:rPr>
        <w:t>-µL</w:t>
      </w:r>
      <w:r w:rsidRPr="003753E7">
        <w:rPr>
          <w:highlight w:val="yellow"/>
        </w:rPr>
        <w:t xml:space="preserve"> pipette</w:t>
      </w:r>
      <w:r w:rsidR="005A596D" w:rsidRPr="003753E7">
        <w:rPr>
          <w:highlight w:val="yellow"/>
        </w:rPr>
        <w:t xml:space="preserve"> and replac</w:t>
      </w:r>
      <w:r w:rsidR="00515ED2" w:rsidRPr="003753E7">
        <w:rPr>
          <w:highlight w:val="yellow"/>
        </w:rPr>
        <w:t>ing</w:t>
      </w:r>
      <w:r w:rsidR="005A596D" w:rsidRPr="003753E7">
        <w:rPr>
          <w:highlight w:val="yellow"/>
        </w:rPr>
        <w:t xml:space="preserve"> it with 1mL of fresh medium. Do not</w:t>
      </w:r>
      <w:r w:rsidRPr="003753E7">
        <w:rPr>
          <w:highlight w:val="yellow"/>
        </w:rPr>
        <w:t xml:space="preserve"> vacuum aspirat</w:t>
      </w:r>
      <w:r w:rsidR="005A596D" w:rsidRPr="003753E7">
        <w:rPr>
          <w:highlight w:val="yellow"/>
        </w:rPr>
        <w:t>e media</w:t>
      </w:r>
      <w:r w:rsidRPr="003753E7">
        <w:rPr>
          <w:highlight w:val="yellow"/>
        </w:rPr>
        <w:t>.</w:t>
      </w:r>
    </w:p>
    <w:p w14:paraId="06D3B5EF" w14:textId="77777777" w:rsidR="00C03A12" w:rsidRPr="003753E7" w:rsidRDefault="00C03A12" w:rsidP="00FF3ECB">
      <w:pPr>
        <w:rPr>
          <w:highlight w:val="yellow"/>
        </w:rPr>
      </w:pPr>
    </w:p>
    <w:p w14:paraId="02F735DE" w14:textId="45BD260A" w:rsidR="00013DC1" w:rsidRPr="003753E7" w:rsidRDefault="008219F9" w:rsidP="00FF3ECB">
      <w:pPr>
        <w:rPr>
          <w:highlight w:val="yellow"/>
        </w:rPr>
      </w:pPr>
      <w:r w:rsidRPr="003753E7">
        <w:rPr>
          <w:highlight w:val="yellow"/>
        </w:rPr>
        <w:t xml:space="preserve">6.5. On day 15, replace spent TA medium with ACE medium. Prepare ACE medium using the reagents listed in </w:t>
      </w:r>
      <w:r w:rsidR="004D2A69" w:rsidRPr="003753E7">
        <w:rPr>
          <w:b/>
          <w:bCs/>
          <w:highlight w:val="yellow"/>
        </w:rPr>
        <w:t>Table 4</w:t>
      </w:r>
      <w:r w:rsidRPr="003753E7">
        <w:rPr>
          <w:highlight w:val="yellow"/>
        </w:rPr>
        <w:t>.</w:t>
      </w:r>
    </w:p>
    <w:p w14:paraId="60DA4749" w14:textId="77777777" w:rsidR="001F477B" w:rsidRPr="003753E7" w:rsidRDefault="001F477B" w:rsidP="00FF3ECB">
      <w:pPr>
        <w:rPr>
          <w:highlight w:val="yellow"/>
        </w:rPr>
      </w:pPr>
    </w:p>
    <w:p w14:paraId="30ED99DC" w14:textId="77777777" w:rsidR="001F477B" w:rsidRPr="003753E7" w:rsidRDefault="008219F9" w:rsidP="00FF3ECB">
      <w:pPr>
        <w:rPr>
          <w:highlight w:val="yellow"/>
        </w:rPr>
      </w:pPr>
      <w:r w:rsidRPr="003753E7">
        <w:rPr>
          <w:highlight w:val="yellow"/>
        </w:rPr>
        <w:t xml:space="preserve">6.6. </w:t>
      </w:r>
      <w:r w:rsidR="00C03A12" w:rsidRPr="003753E7">
        <w:rPr>
          <w:highlight w:val="yellow"/>
        </w:rPr>
        <w:t>Re</w:t>
      </w:r>
      <w:r w:rsidRPr="003753E7">
        <w:rPr>
          <w:highlight w:val="yellow"/>
        </w:rPr>
        <w:t>fresh ACE medium daily until day 23.</w:t>
      </w:r>
    </w:p>
    <w:p w14:paraId="26344B57" w14:textId="77777777" w:rsidR="001F477B" w:rsidRPr="003753E7" w:rsidRDefault="001F477B" w:rsidP="00FF3ECB">
      <w:pPr>
        <w:rPr>
          <w:highlight w:val="yellow"/>
        </w:rPr>
      </w:pPr>
    </w:p>
    <w:p w14:paraId="3F3B07D8" w14:textId="77777777" w:rsidR="001F477B" w:rsidRPr="003753E7" w:rsidRDefault="008219F9" w:rsidP="00FF3ECB">
      <w:pPr>
        <w:rPr>
          <w:highlight w:val="yellow"/>
        </w:rPr>
      </w:pPr>
      <w:r w:rsidRPr="003753E7">
        <w:rPr>
          <w:highlight w:val="yellow"/>
        </w:rPr>
        <w:t>6.7. On day 23, transfer aggregates from microwells to pre-treated, anti-adherent 6-well tissue culture plates. For each well of the 6-well plate, add a total of 4–5 mL of ACE medium. Place the plate on an orbital shaker at 80 rpm for 48 h (day 25).</w:t>
      </w:r>
    </w:p>
    <w:p w14:paraId="56A8CEFF" w14:textId="77777777" w:rsidR="00C03A12" w:rsidRPr="003753E7" w:rsidRDefault="00C03A12" w:rsidP="00FF3ECB">
      <w:pPr>
        <w:rPr>
          <w:highlight w:val="yellow"/>
          <w:vertAlign w:val="superscript"/>
        </w:rPr>
      </w:pPr>
    </w:p>
    <w:p w14:paraId="2519EB33" w14:textId="613F3BC8" w:rsidR="00013DC1" w:rsidRPr="003753E7" w:rsidRDefault="008219F9" w:rsidP="00FF3ECB">
      <w:pPr>
        <w:rPr>
          <w:highlight w:val="yellow"/>
        </w:rPr>
      </w:pPr>
      <w:r w:rsidRPr="003753E7">
        <w:rPr>
          <w:highlight w:val="yellow"/>
        </w:rPr>
        <w:t xml:space="preserve">NOTE: </w:t>
      </w:r>
      <w:r w:rsidR="006F3A3F" w:rsidRPr="003753E7">
        <w:rPr>
          <w:color w:val="000000"/>
          <w:highlight w:val="yellow"/>
        </w:rPr>
        <w:t xml:space="preserve">For representative morphologies corresponding to steps 6.1–6.7, see </w:t>
      </w:r>
      <w:r w:rsidR="006F3A3F" w:rsidRPr="003753E7">
        <w:rPr>
          <w:b/>
          <w:bCs/>
          <w:color w:val="000000"/>
          <w:highlight w:val="yellow"/>
        </w:rPr>
        <w:t>Fig</w:t>
      </w:r>
      <w:r w:rsidR="00844FEB" w:rsidRPr="003753E7">
        <w:rPr>
          <w:b/>
          <w:bCs/>
          <w:color w:val="000000"/>
          <w:highlight w:val="yellow"/>
        </w:rPr>
        <w:t>ure 2</w:t>
      </w:r>
      <w:r w:rsidR="00D86026" w:rsidRPr="003753E7">
        <w:rPr>
          <w:b/>
          <w:bCs/>
          <w:color w:val="000000"/>
          <w:highlight w:val="yellow"/>
        </w:rPr>
        <w:t>A</w:t>
      </w:r>
      <w:r w:rsidR="006F3A3F" w:rsidRPr="003753E7">
        <w:rPr>
          <w:color w:val="000000"/>
          <w:highlight w:val="yellow"/>
        </w:rPr>
        <w:t xml:space="preserve">. </w:t>
      </w:r>
      <w:r w:rsidR="003678A5" w:rsidRPr="003753E7">
        <w:rPr>
          <w:highlight w:val="yellow"/>
        </w:rPr>
        <w:t>T</w:t>
      </w:r>
      <w:r w:rsidRPr="003753E7">
        <w:rPr>
          <w:highlight w:val="yellow"/>
        </w:rPr>
        <w:t xml:space="preserve">o </w:t>
      </w:r>
      <w:r w:rsidR="00C75768" w:rsidRPr="003753E7">
        <w:rPr>
          <w:highlight w:val="yellow"/>
        </w:rPr>
        <w:t>prevent</w:t>
      </w:r>
      <w:r w:rsidRPr="003753E7">
        <w:rPr>
          <w:highlight w:val="yellow"/>
        </w:rPr>
        <w:t xml:space="preserve"> aggregates from clumping to one another and </w:t>
      </w:r>
      <w:r w:rsidR="005A596D" w:rsidRPr="003753E7">
        <w:rPr>
          <w:highlight w:val="yellow"/>
        </w:rPr>
        <w:t xml:space="preserve">to </w:t>
      </w:r>
      <w:r w:rsidRPr="003753E7">
        <w:rPr>
          <w:highlight w:val="yellow"/>
        </w:rPr>
        <w:t xml:space="preserve">prevent nutrient depletion, </w:t>
      </w:r>
      <w:r w:rsidR="003678A5" w:rsidRPr="003753E7">
        <w:rPr>
          <w:highlight w:val="yellow"/>
        </w:rPr>
        <w:t>we recommend a seeding density of 1,200 aggregates per 9.6 cm² (one</w:t>
      </w:r>
      <w:r w:rsidR="00A164BB" w:rsidRPr="003753E7">
        <w:rPr>
          <w:highlight w:val="yellow"/>
        </w:rPr>
        <w:t xml:space="preserve"> </w:t>
      </w:r>
      <w:r w:rsidR="003678A5" w:rsidRPr="003753E7">
        <w:rPr>
          <w:highlight w:val="yellow"/>
        </w:rPr>
        <w:t xml:space="preserve">well of </w:t>
      </w:r>
      <w:r w:rsidR="00A164BB" w:rsidRPr="003753E7">
        <w:rPr>
          <w:highlight w:val="yellow"/>
        </w:rPr>
        <w:t>a six-</w:t>
      </w:r>
      <w:r w:rsidR="003678A5" w:rsidRPr="003753E7">
        <w:rPr>
          <w:highlight w:val="yellow"/>
        </w:rPr>
        <w:t xml:space="preserve">well plate). To achieve that, </w:t>
      </w:r>
      <w:r w:rsidRPr="003753E7">
        <w:rPr>
          <w:highlight w:val="yellow"/>
        </w:rPr>
        <w:t>transfer one well of a 24-well 400 µm microwell plate of aggregates to one well of an anti-adherent 6-well plate.</w:t>
      </w:r>
    </w:p>
    <w:p w14:paraId="6E60BFD8" w14:textId="77777777" w:rsidR="001F477B" w:rsidRPr="003753E7" w:rsidRDefault="001F477B" w:rsidP="00FF3ECB">
      <w:pPr>
        <w:rPr>
          <w:highlight w:val="yellow"/>
        </w:rPr>
      </w:pPr>
    </w:p>
    <w:p w14:paraId="10ACA3C7" w14:textId="1AC0978C" w:rsidR="001F477B" w:rsidRPr="003753E7" w:rsidRDefault="008219F9" w:rsidP="00FF3ECB">
      <w:pPr>
        <w:rPr>
          <w:b/>
          <w:bCs/>
          <w:highlight w:val="yellow"/>
        </w:rPr>
      </w:pPr>
      <w:r w:rsidRPr="003753E7">
        <w:rPr>
          <w:b/>
          <w:bCs/>
          <w:highlight w:val="yellow"/>
        </w:rPr>
        <w:t xml:space="preserve">7. Fixing and immunofluorescence staining of </w:t>
      </w:r>
      <w:r w:rsidR="008334B8" w:rsidRPr="003753E7">
        <w:rPr>
          <w:b/>
          <w:bCs/>
          <w:highlight w:val="yellow"/>
        </w:rPr>
        <w:t xml:space="preserve">3D </w:t>
      </w:r>
      <w:r w:rsidRPr="003753E7">
        <w:rPr>
          <w:b/>
          <w:bCs/>
          <w:highlight w:val="yellow"/>
        </w:rPr>
        <w:t>chorion models</w:t>
      </w:r>
    </w:p>
    <w:p w14:paraId="4A13C8C2" w14:textId="77777777" w:rsidR="001F477B" w:rsidRPr="003753E7" w:rsidRDefault="001F477B" w:rsidP="00FF3ECB">
      <w:pPr>
        <w:rPr>
          <w:b/>
          <w:bCs/>
          <w:highlight w:val="yellow"/>
        </w:rPr>
      </w:pPr>
    </w:p>
    <w:p w14:paraId="74098E8B" w14:textId="7608F2E6" w:rsidR="001F477B" w:rsidRPr="003753E7" w:rsidRDefault="008219F9" w:rsidP="00FF3ECB">
      <w:pPr>
        <w:rPr>
          <w:highlight w:val="yellow"/>
        </w:rPr>
      </w:pPr>
      <w:r w:rsidRPr="003753E7">
        <w:rPr>
          <w:highlight w:val="yellow"/>
        </w:rPr>
        <w:t xml:space="preserve">7.1. On day 25, transfer aggregates from the </w:t>
      </w:r>
      <w:r w:rsidR="00E544C6" w:rsidRPr="003753E7">
        <w:rPr>
          <w:highlight w:val="yellow"/>
        </w:rPr>
        <w:t>6-well tissue culture plates</w:t>
      </w:r>
      <w:r w:rsidRPr="003753E7">
        <w:rPr>
          <w:highlight w:val="yellow"/>
        </w:rPr>
        <w:t xml:space="preserve"> to a 1.5 mL microcentrifuge tube.</w:t>
      </w:r>
    </w:p>
    <w:p w14:paraId="2DAE630F" w14:textId="77777777" w:rsidR="001F477B" w:rsidRPr="003753E7" w:rsidRDefault="001F477B" w:rsidP="00FF3ECB">
      <w:pPr>
        <w:rPr>
          <w:highlight w:val="yellow"/>
        </w:rPr>
      </w:pPr>
    </w:p>
    <w:p w14:paraId="161AF3F8" w14:textId="65D8AB89" w:rsidR="001F477B" w:rsidRPr="003753E7" w:rsidRDefault="008219F9" w:rsidP="00FF3ECB">
      <w:pPr>
        <w:rPr>
          <w:highlight w:val="yellow"/>
        </w:rPr>
      </w:pPr>
      <w:r w:rsidRPr="003753E7">
        <w:rPr>
          <w:highlight w:val="yellow"/>
        </w:rPr>
        <w:t xml:space="preserve">7.2. Centrifuge at 100 </w:t>
      </w:r>
      <w:r w:rsidR="00ED4283" w:rsidRPr="003753E7">
        <w:rPr>
          <w:highlight w:val="yellow"/>
        </w:rPr>
        <w:t xml:space="preserve">× </w:t>
      </w:r>
      <w:r w:rsidR="00ED4283" w:rsidRPr="003753E7">
        <w:rPr>
          <w:i/>
          <w:iCs/>
          <w:highlight w:val="yellow"/>
        </w:rPr>
        <w:t>g</w:t>
      </w:r>
      <w:r w:rsidRPr="003753E7">
        <w:rPr>
          <w:highlight w:val="yellow"/>
        </w:rPr>
        <w:t xml:space="preserve"> for 3 min. Wash </w:t>
      </w:r>
      <w:r w:rsidR="00A0426F" w:rsidRPr="003753E7">
        <w:rPr>
          <w:highlight w:val="yellow"/>
        </w:rPr>
        <w:t>twice</w:t>
      </w:r>
      <w:r w:rsidRPr="003753E7">
        <w:rPr>
          <w:highlight w:val="yellow"/>
        </w:rPr>
        <w:t xml:space="preserve"> with DPBS−/−. Centrifuge between washes to ensure aggregate pelleting</w:t>
      </w:r>
      <w:r w:rsidR="00A80599" w:rsidRPr="003753E7">
        <w:rPr>
          <w:highlight w:val="yellow"/>
        </w:rPr>
        <w:t>,</w:t>
      </w:r>
      <w:r w:rsidR="00A56D2B" w:rsidRPr="003753E7">
        <w:rPr>
          <w:highlight w:val="yellow"/>
        </w:rPr>
        <w:t xml:space="preserve"> then proceed to fixing.</w:t>
      </w:r>
    </w:p>
    <w:p w14:paraId="230E2971" w14:textId="77777777" w:rsidR="001F477B" w:rsidRPr="003753E7" w:rsidRDefault="001F477B" w:rsidP="00FF3ECB">
      <w:pPr>
        <w:rPr>
          <w:highlight w:val="yellow"/>
        </w:rPr>
      </w:pPr>
    </w:p>
    <w:p w14:paraId="5840E314" w14:textId="72C1B062" w:rsidR="00721227" w:rsidRPr="003753E7" w:rsidRDefault="008219F9" w:rsidP="00FF3ECB">
      <w:pPr>
        <w:rPr>
          <w:highlight w:val="yellow"/>
          <w:lang w:val="en-US"/>
        </w:rPr>
      </w:pPr>
      <w:r w:rsidRPr="003753E7">
        <w:rPr>
          <w:highlight w:val="yellow"/>
          <w:lang w:val="en-US"/>
        </w:rPr>
        <w:lastRenderedPageBreak/>
        <w:t xml:space="preserve">CAUTION: Paraformaldehyde is toxic by inhalation, ingestion, and skin contact, is a skin and eye irritant and sensitizer, and releases formaldehyde, a suspected carcinogen. Perform fixation in a chemical fume hood, wear gloves and eye protection, and collect paraformaldehyde waste separately for disposal </w:t>
      </w:r>
      <w:r w:rsidR="00CB718A" w:rsidRPr="003753E7">
        <w:rPr>
          <w:highlight w:val="yellow"/>
          <w:lang w:val="en-US"/>
        </w:rPr>
        <w:t>in</w:t>
      </w:r>
      <w:r w:rsidRPr="003753E7">
        <w:rPr>
          <w:highlight w:val="yellow"/>
          <w:lang w:val="en-US"/>
        </w:rPr>
        <w:t xml:space="preserve"> </w:t>
      </w:r>
      <w:r w:rsidR="00CB718A" w:rsidRPr="003753E7">
        <w:rPr>
          <w:highlight w:val="yellow"/>
          <w:lang w:val="en-US"/>
        </w:rPr>
        <w:t>accordance with</w:t>
      </w:r>
      <w:r w:rsidRPr="003753E7">
        <w:rPr>
          <w:highlight w:val="yellow"/>
          <w:lang w:val="en-US"/>
        </w:rPr>
        <w:t xml:space="preserve"> institutional guidelines.</w:t>
      </w:r>
    </w:p>
    <w:p w14:paraId="6FBDF066" w14:textId="77777777" w:rsidR="00C03A12" w:rsidRPr="003753E7" w:rsidRDefault="00C03A12" w:rsidP="00FF3ECB">
      <w:pPr>
        <w:rPr>
          <w:highlight w:val="yellow"/>
        </w:rPr>
      </w:pPr>
    </w:p>
    <w:p w14:paraId="64BC5FC8" w14:textId="200FB54A" w:rsidR="001F477B" w:rsidRPr="003753E7" w:rsidRDefault="008219F9" w:rsidP="00FF3ECB">
      <w:pPr>
        <w:rPr>
          <w:highlight w:val="yellow"/>
        </w:rPr>
      </w:pPr>
      <w:r w:rsidRPr="003753E7">
        <w:rPr>
          <w:highlight w:val="yellow"/>
        </w:rPr>
        <w:t xml:space="preserve">7.3. Fix the aggregates for 20 min at room temperature with </w:t>
      </w:r>
      <w:r w:rsidR="004C3B02" w:rsidRPr="003753E7">
        <w:rPr>
          <w:highlight w:val="yellow"/>
        </w:rPr>
        <w:t>1</w:t>
      </w:r>
      <w:r w:rsidR="008B774B" w:rsidRPr="003753E7">
        <w:rPr>
          <w:highlight w:val="yellow"/>
        </w:rPr>
        <w:t xml:space="preserve"> </w:t>
      </w:r>
      <w:r w:rsidR="004C3B02" w:rsidRPr="003753E7">
        <w:rPr>
          <w:highlight w:val="yellow"/>
        </w:rPr>
        <w:t xml:space="preserve">mL of </w:t>
      </w:r>
      <w:r w:rsidRPr="003753E7">
        <w:rPr>
          <w:highlight w:val="yellow"/>
        </w:rPr>
        <w:t>4% paraformaldehyde.</w:t>
      </w:r>
    </w:p>
    <w:p w14:paraId="29B356B2" w14:textId="77777777" w:rsidR="001F477B" w:rsidRPr="003753E7" w:rsidRDefault="001F477B" w:rsidP="00FF3ECB">
      <w:pPr>
        <w:rPr>
          <w:highlight w:val="yellow"/>
        </w:rPr>
      </w:pPr>
    </w:p>
    <w:p w14:paraId="6011B8BD" w14:textId="48AD4318" w:rsidR="001F477B" w:rsidRPr="003753E7" w:rsidRDefault="008219F9" w:rsidP="00FF3ECB">
      <w:pPr>
        <w:rPr>
          <w:highlight w:val="yellow"/>
          <w:lang w:val="en-US"/>
        </w:rPr>
      </w:pPr>
      <w:r w:rsidRPr="003753E7">
        <w:rPr>
          <w:highlight w:val="yellow"/>
        </w:rPr>
        <w:t>7.4. Permeabilize</w:t>
      </w:r>
      <w:r w:rsidR="00CB718A" w:rsidRPr="003753E7">
        <w:rPr>
          <w:highlight w:val="yellow"/>
        </w:rPr>
        <w:t xml:space="preserve"> approximately 50</w:t>
      </w:r>
      <w:r w:rsidRPr="003753E7">
        <w:rPr>
          <w:highlight w:val="yellow"/>
        </w:rPr>
        <w:t xml:space="preserve"> aggregate</w:t>
      </w:r>
      <w:r w:rsidR="00A56D2B" w:rsidRPr="003753E7">
        <w:rPr>
          <w:highlight w:val="yellow"/>
        </w:rPr>
        <w:t>s</w:t>
      </w:r>
      <w:r w:rsidR="00CB718A" w:rsidRPr="003753E7">
        <w:rPr>
          <w:highlight w:val="yellow"/>
        </w:rPr>
        <w:t xml:space="preserve"> per staining assay</w:t>
      </w:r>
      <w:r w:rsidRPr="003753E7">
        <w:rPr>
          <w:highlight w:val="yellow"/>
        </w:rPr>
        <w:t xml:space="preserve"> in </w:t>
      </w:r>
      <w:r w:rsidR="00912E94" w:rsidRPr="003753E7">
        <w:rPr>
          <w:highlight w:val="yellow"/>
        </w:rPr>
        <w:t xml:space="preserve">100 </w:t>
      </w:r>
      <w:r w:rsidR="001204FB" w:rsidRPr="003753E7">
        <w:rPr>
          <w:highlight w:val="yellow"/>
        </w:rPr>
        <w:t>µL</w:t>
      </w:r>
      <w:r w:rsidR="001204FB" w:rsidRPr="003753E7" w:rsidDel="001204FB">
        <w:rPr>
          <w:highlight w:val="yellow"/>
        </w:rPr>
        <w:t xml:space="preserve"> </w:t>
      </w:r>
      <w:r w:rsidRPr="003753E7">
        <w:rPr>
          <w:highlight w:val="yellow"/>
        </w:rPr>
        <w:t>blocking buffer containing 0.2% Triton X-100</w:t>
      </w:r>
      <w:r w:rsidR="00A85E88" w:rsidRPr="003753E7">
        <w:rPr>
          <w:highlight w:val="yellow"/>
        </w:rPr>
        <w:t xml:space="preserve">, </w:t>
      </w:r>
      <w:r w:rsidRPr="003753E7">
        <w:rPr>
          <w:highlight w:val="yellow"/>
        </w:rPr>
        <w:t>2% BSA</w:t>
      </w:r>
      <w:r w:rsidR="00AF58D6" w:rsidRPr="003753E7">
        <w:rPr>
          <w:highlight w:val="yellow"/>
        </w:rPr>
        <w:t>,</w:t>
      </w:r>
      <w:r w:rsidR="00A85E88" w:rsidRPr="003753E7">
        <w:rPr>
          <w:highlight w:val="yellow"/>
        </w:rPr>
        <w:t xml:space="preserve"> and 5% </w:t>
      </w:r>
      <w:r w:rsidR="008B774B" w:rsidRPr="003753E7">
        <w:rPr>
          <w:highlight w:val="yellow"/>
        </w:rPr>
        <w:t>n</w:t>
      </w:r>
      <w:r w:rsidR="00A85E88" w:rsidRPr="003753E7">
        <w:rPr>
          <w:highlight w:val="yellow"/>
        </w:rPr>
        <w:t xml:space="preserve">ormal </w:t>
      </w:r>
      <w:r w:rsidR="008B774B" w:rsidRPr="003753E7">
        <w:rPr>
          <w:highlight w:val="yellow"/>
        </w:rPr>
        <w:t>d</w:t>
      </w:r>
      <w:r w:rsidR="00A85E88" w:rsidRPr="003753E7">
        <w:rPr>
          <w:highlight w:val="yellow"/>
        </w:rPr>
        <w:t xml:space="preserve">onkey </w:t>
      </w:r>
      <w:r w:rsidR="008B774B" w:rsidRPr="003753E7">
        <w:rPr>
          <w:highlight w:val="yellow"/>
        </w:rPr>
        <w:t>s</w:t>
      </w:r>
      <w:r w:rsidR="00A85E88" w:rsidRPr="003753E7">
        <w:rPr>
          <w:highlight w:val="yellow"/>
        </w:rPr>
        <w:t>erum</w:t>
      </w:r>
      <w:r w:rsidR="00721227" w:rsidRPr="003753E7">
        <w:rPr>
          <w:highlight w:val="yellow"/>
        </w:rPr>
        <w:t xml:space="preserve"> </w:t>
      </w:r>
      <w:r w:rsidR="00721227" w:rsidRPr="003753E7">
        <w:rPr>
          <w:highlight w:val="yellow"/>
          <w:lang w:val="en-US"/>
        </w:rPr>
        <w:t>in DPBS−/−</w:t>
      </w:r>
      <w:r w:rsidRPr="003753E7">
        <w:rPr>
          <w:highlight w:val="yellow"/>
        </w:rPr>
        <w:t xml:space="preserve"> for 1 h at room temperature. </w:t>
      </w:r>
    </w:p>
    <w:p w14:paraId="22E90ED7" w14:textId="77777777" w:rsidR="001F477B" w:rsidRPr="003753E7" w:rsidRDefault="001F477B" w:rsidP="00FF3ECB">
      <w:pPr>
        <w:rPr>
          <w:highlight w:val="yellow"/>
        </w:rPr>
      </w:pPr>
    </w:p>
    <w:p w14:paraId="197AB5A5" w14:textId="2FBF0408" w:rsidR="001A26F0" w:rsidRPr="003753E7" w:rsidRDefault="008219F9" w:rsidP="00FF3ECB">
      <w:pPr>
        <w:rPr>
          <w:highlight w:val="yellow"/>
        </w:rPr>
      </w:pPr>
      <w:r w:rsidRPr="003753E7">
        <w:rPr>
          <w:highlight w:val="yellow"/>
        </w:rPr>
        <w:t>7.5. Dilute primary antibodies in</w:t>
      </w:r>
      <w:r w:rsidR="006541E6" w:rsidRPr="003753E7">
        <w:rPr>
          <w:highlight w:val="yellow"/>
        </w:rPr>
        <w:t xml:space="preserve"> 100</w:t>
      </w:r>
      <w:r w:rsidRPr="003753E7">
        <w:rPr>
          <w:highlight w:val="yellow"/>
        </w:rPr>
        <w:t xml:space="preserve"> </w:t>
      </w:r>
      <w:r w:rsidR="006541E6" w:rsidRPr="003753E7">
        <w:rPr>
          <w:highlight w:val="yellow"/>
        </w:rPr>
        <w:t xml:space="preserve">µL </w:t>
      </w:r>
      <w:r w:rsidRPr="003753E7">
        <w:rPr>
          <w:highlight w:val="yellow"/>
        </w:rPr>
        <w:t>blocking buffer and incubate the permeabilized aggregates in the primary antibody solution overnight at 4 °C</w:t>
      </w:r>
      <w:r w:rsidR="00A85E88" w:rsidRPr="003753E7">
        <w:rPr>
          <w:highlight w:val="yellow"/>
        </w:rPr>
        <w:t xml:space="preserve"> on an orbital shaker set to 80 rpm. When using fluorophore-conjugated primary antibodies, protect the sample</w:t>
      </w:r>
      <w:r w:rsidR="008B774B" w:rsidRPr="003753E7">
        <w:rPr>
          <w:highlight w:val="yellow"/>
        </w:rPr>
        <w:t>s</w:t>
      </w:r>
      <w:r w:rsidR="00A85E88" w:rsidRPr="003753E7">
        <w:rPr>
          <w:highlight w:val="yellow"/>
        </w:rPr>
        <w:t xml:space="preserve"> from light by wrapping the tubes in aluminum foil</w:t>
      </w:r>
      <w:r w:rsidR="001A26F0" w:rsidRPr="003753E7">
        <w:rPr>
          <w:highlight w:val="yellow"/>
        </w:rPr>
        <w:t>.</w:t>
      </w:r>
    </w:p>
    <w:p w14:paraId="1490AA4A" w14:textId="77777777" w:rsidR="001F477B" w:rsidRPr="003753E7" w:rsidRDefault="001F477B" w:rsidP="00FF3ECB">
      <w:pPr>
        <w:rPr>
          <w:highlight w:val="yellow"/>
        </w:rPr>
      </w:pPr>
    </w:p>
    <w:p w14:paraId="0CE18E16" w14:textId="137F5B84" w:rsidR="001F477B" w:rsidRPr="003753E7" w:rsidRDefault="008219F9" w:rsidP="00FF3ECB">
      <w:pPr>
        <w:rPr>
          <w:highlight w:val="yellow"/>
        </w:rPr>
      </w:pPr>
      <w:r w:rsidRPr="003753E7">
        <w:rPr>
          <w:highlight w:val="yellow"/>
        </w:rPr>
        <w:t xml:space="preserve">7.6. The following day, wash aggregates </w:t>
      </w:r>
      <w:r w:rsidR="008334B8" w:rsidRPr="003753E7">
        <w:rPr>
          <w:highlight w:val="yellow"/>
        </w:rPr>
        <w:t xml:space="preserve">by centrifuging them at 100 × </w:t>
      </w:r>
      <w:r w:rsidR="008334B8" w:rsidRPr="003753E7">
        <w:rPr>
          <w:i/>
          <w:iCs/>
          <w:highlight w:val="yellow"/>
        </w:rPr>
        <w:t>g</w:t>
      </w:r>
      <w:r w:rsidR="008334B8" w:rsidRPr="003753E7">
        <w:rPr>
          <w:highlight w:val="yellow"/>
        </w:rPr>
        <w:t xml:space="preserve"> for 3 min, removing the supernatant</w:t>
      </w:r>
      <w:r w:rsidR="00515ED2" w:rsidRPr="003753E7">
        <w:rPr>
          <w:highlight w:val="yellow"/>
        </w:rPr>
        <w:t>,</w:t>
      </w:r>
      <w:r w:rsidR="008334B8" w:rsidRPr="003753E7">
        <w:rPr>
          <w:highlight w:val="yellow"/>
        </w:rPr>
        <w:t xml:space="preserve"> and resuspending aggregates with</w:t>
      </w:r>
      <w:r w:rsidRPr="003753E7">
        <w:rPr>
          <w:highlight w:val="yellow"/>
        </w:rPr>
        <w:t xml:space="preserve"> </w:t>
      </w:r>
      <w:r w:rsidR="008334B8" w:rsidRPr="003753E7">
        <w:rPr>
          <w:highlight w:val="yellow"/>
        </w:rPr>
        <w:t xml:space="preserve">1 mL </w:t>
      </w:r>
      <w:r w:rsidRPr="003753E7">
        <w:rPr>
          <w:highlight w:val="yellow"/>
        </w:rPr>
        <w:t>DPBS−/−</w:t>
      </w:r>
      <w:r w:rsidR="008334B8" w:rsidRPr="003753E7">
        <w:rPr>
          <w:highlight w:val="yellow"/>
        </w:rPr>
        <w:t xml:space="preserve">. Perform three washing steps with </w:t>
      </w:r>
      <w:r w:rsidR="00515ED2" w:rsidRPr="003753E7">
        <w:rPr>
          <w:highlight w:val="yellow"/>
        </w:rPr>
        <w:t>a 30-min</w:t>
      </w:r>
      <w:r w:rsidRPr="003753E7">
        <w:rPr>
          <w:highlight w:val="yellow"/>
        </w:rPr>
        <w:t xml:space="preserve"> </w:t>
      </w:r>
      <w:r w:rsidR="008334B8" w:rsidRPr="003753E7">
        <w:rPr>
          <w:highlight w:val="yellow"/>
        </w:rPr>
        <w:t xml:space="preserve">waiting time </w:t>
      </w:r>
      <w:r w:rsidRPr="003753E7">
        <w:rPr>
          <w:highlight w:val="yellow"/>
        </w:rPr>
        <w:t>between each wash step.</w:t>
      </w:r>
    </w:p>
    <w:p w14:paraId="4414941F" w14:textId="67DBD0D9" w:rsidR="001F477B" w:rsidRPr="003753E7" w:rsidRDefault="001F477B" w:rsidP="00FF3ECB">
      <w:pPr>
        <w:rPr>
          <w:highlight w:val="yellow"/>
        </w:rPr>
      </w:pPr>
    </w:p>
    <w:p w14:paraId="76E7F4D0" w14:textId="47A3A519" w:rsidR="00F831B4" w:rsidRPr="003753E7" w:rsidRDefault="008219F9" w:rsidP="00FF3ECB">
      <w:pPr>
        <w:rPr>
          <w:highlight w:val="yellow"/>
          <w:lang w:val="en-US"/>
        </w:rPr>
      </w:pPr>
      <w:r w:rsidRPr="003753E7">
        <w:rPr>
          <w:highlight w:val="yellow"/>
          <w:lang w:val="en-US"/>
        </w:rPr>
        <w:t>CAUTION: DNA-binding nuclear dyes such as DAPI and Hoechst 33342 are potential mutagens. Wear gloves, avoid skin contact, and dispose of dye-containing solutions according to institutional guidelines.</w:t>
      </w:r>
    </w:p>
    <w:p w14:paraId="616C09F2" w14:textId="77777777" w:rsidR="00F831B4" w:rsidRPr="003753E7" w:rsidRDefault="00F831B4" w:rsidP="00FF3ECB">
      <w:pPr>
        <w:rPr>
          <w:highlight w:val="yellow"/>
        </w:rPr>
      </w:pPr>
    </w:p>
    <w:p w14:paraId="64833097" w14:textId="6BDAA42D" w:rsidR="001F477B" w:rsidRPr="003753E7" w:rsidRDefault="008219F9" w:rsidP="00FF3ECB">
      <w:pPr>
        <w:rPr>
          <w:highlight w:val="yellow"/>
        </w:rPr>
      </w:pPr>
      <w:r w:rsidRPr="003753E7">
        <w:rPr>
          <w:highlight w:val="yellow"/>
        </w:rPr>
        <w:t xml:space="preserve">7.7. </w:t>
      </w:r>
      <w:r w:rsidR="005E3984" w:rsidRPr="003753E7">
        <w:rPr>
          <w:highlight w:val="yellow"/>
        </w:rPr>
        <w:t>For each staining assay, d</w:t>
      </w:r>
      <w:r w:rsidRPr="003753E7">
        <w:rPr>
          <w:highlight w:val="yellow"/>
        </w:rPr>
        <w:t xml:space="preserve">ilute secondary antibodies and the chosen nuclear dye in </w:t>
      </w:r>
      <w:r w:rsidR="00912E94" w:rsidRPr="003753E7">
        <w:rPr>
          <w:highlight w:val="yellow"/>
        </w:rPr>
        <w:t xml:space="preserve">100 </w:t>
      </w:r>
      <w:r w:rsidR="001204FB" w:rsidRPr="003753E7">
        <w:rPr>
          <w:highlight w:val="yellow"/>
        </w:rPr>
        <w:t>µL</w:t>
      </w:r>
      <w:r w:rsidR="00615F70" w:rsidRPr="003753E7">
        <w:rPr>
          <w:highlight w:val="yellow"/>
        </w:rPr>
        <w:t xml:space="preserve"> </w:t>
      </w:r>
      <w:r w:rsidRPr="003753E7">
        <w:rPr>
          <w:highlight w:val="yellow"/>
        </w:rPr>
        <w:t>blocking buffer and incubate the aggregates in the secondary antibody solution for 1 h at room temperature.</w:t>
      </w:r>
      <w:r w:rsidR="001A26F0" w:rsidRPr="003753E7">
        <w:rPr>
          <w:highlight w:val="yellow"/>
        </w:rPr>
        <w:t xml:space="preserve"> Protect the sample from light by wrapping the tubes in aluminum foil or placing them in a drawer away from </w:t>
      </w:r>
      <w:r w:rsidR="00701A7E" w:rsidRPr="003753E7">
        <w:rPr>
          <w:highlight w:val="yellow"/>
        </w:rPr>
        <w:t xml:space="preserve">direct </w:t>
      </w:r>
      <w:r w:rsidR="001A26F0" w:rsidRPr="003753E7">
        <w:rPr>
          <w:highlight w:val="yellow"/>
        </w:rPr>
        <w:t>light.</w:t>
      </w:r>
    </w:p>
    <w:p w14:paraId="17EC0E10" w14:textId="77777777" w:rsidR="001F477B" w:rsidRPr="003753E7" w:rsidRDefault="001F477B" w:rsidP="00FF3ECB">
      <w:pPr>
        <w:rPr>
          <w:highlight w:val="yellow"/>
        </w:rPr>
      </w:pPr>
    </w:p>
    <w:p w14:paraId="55E4434B" w14:textId="12D8BF48" w:rsidR="001F477B" w:rsidRPr="003753E7" w:rsidRDefault="008219F9" w:rsidP="00FF3ECB">
      <w:pPr>
        <w:rPr>
          <w:highlight w:val="yellow"/>
        </w:rPr>
      </w:pPr>
      <w:r w:rsidRPr="003753E7">
        <w:rPr>
          <w:highlight w:val="yellow"/>
        </w:rPr>
        <w:t>7.8. Wash aggregates three times with DPBS−/−</w:t>
      </w:r>
      <w:r w:rsidR="008334B8" w:rsidRPr="003753E7">
        <w:rPr>
          <w:highlight w:val="yellow"/>
        </w:rPr>
        <w:t xml:space="preserve"> as described in step 7.6</w:t>
      </w:r>
      <w:r w:rsidRPr="003753E7">
        <w:rPr>
          <w:highlight w:val="yellow"/>
        </w:rPr>
        <w:t>, waiting 5 min between each wash step.</w:t>
      </w:r>
    </w:p>
    <w:p w14:paraId="30F67907" w14:textId="77777777" w:rsidR="001F477B" w:rsidRPr="003753E7" w:rsidRDefault="001F477B" w:rsidP="00FF3ECB">
      <w:pPr>
        <w:rPr>
          <w:highlight w:val="yellow"/>
        </w:rPr>
      </w:pPr>
    </w:p>
    <w:p w14:paraId="7A8DC0C7" w14:textId="77777777" w:rsidR="001F477B" w:rsidRPr="003753E7" w:rsidRDefault="008219F9" w:rsidP="00FF3ECB">
      <w:pPr>
        <w:rPr>
          <w:highlight w:val="yellow"/>
        </w:rPr>
      </w:pPr>
      <w:r w:rsidRPr="003753E7">
        <w:rPr>
          <w:highlight w:val="yellow"/>
        </w:rPr>
        <w:t>7.9. Proceed to clearing.</w:t>
      </w:r>
    </w:p>
    <w:p w14:paraId="2B299E30" w14:textId="77777777" w:rsidR="001F477B" w:rsidRPr="003753E7" w:rsidRDefault="001F477B" w:rsidP="00FF3ECB">
      <w:pPr>
        <w:rPr>
          <w:highlight w:val="yellow"/>
        </w:rPr>
      </w:pPr>
    </w:p>
    <w:p w14:paraId="76A64FB5" w14:textId="1D7681E3" w:rsidR="001F477B" w:rsidRPr="003753E7" w:rsidRDefault="008219F9" w:rsidP="00FF3ECB">
      <w:pPr>
        <w:rPr>
          <w:b/>
          <w:bCs/>
          <w:highlight w:val="yellow"/>
        </w:rPr>
      </w:pPr>
      <w:r w:rsidRPr="003753E7">
        <w:rPr>
          <w:b/>
          <w:bCs/>
          <w:highlight w:val="yellow"/>
        </w:rPr>
        <w:t>8. Clearing of</w:t>
      </w:r>
      <w:r w:rsidR="008334B8" w:rsidRPr="003753E7">
        <w:rPr>
          <w:b/>
          <w:bCs/>
          <w:highlight w:val="yellow"/>
        </w:rPr>
        <w:t xml:space="preserve"> 3D</w:t>
      </w:r>
      <w:r w:rsidRPr="003753E7">
        <w:rPr>
          <w:b/>
          <w:bCs/>
          <w:highlight w:val="yellow"/>
        </w:rPr>
        <w:t xml:space="preserve"> chorion aggregates</w:t>
      </w:r>
    </w:p>
    <w:p w14:paraId="654CBC67" w14:textId="77777777" w:rsidR="001F477B" w:rsidRPr="003753E7" w:rsidRDefault="001F477B" w:rsidP="00FF3ECB">
      <w:pPr>
        <w:rPr>
          <w:b/>
          <w:bCs/>
          <w:highlight w:val="yellow"/>
        </w:rPr>
      </w:pPr>
    </w:p>
    <w:p w14:paraId="7019D34A" w14:textId="318A2B98" w:rsidR="00F831B4" w:rsidRPr="003753E7" w:rsidRDefault="008219F9" w:rsidP="00FF3ECB">
      <w:pPr>
        <w:rPr>
          <w:highlight w:val="yellow"/>
          <w:lang w:val="en-US"/>
        </w:rPr>
      </w:pPr>
      <w:r w:rsidRPr="003753E7">
        <w:rPr>
          <w:highlight w:val="yellow"/>
          <w:lang w:val="en-US"/>
        </w:rPr>
        <w:t>CAUTION: Benzyl alcohol and benzyl benzoate (the components of BABB) are harmful if swallowed or inhaled and are eye, skin, and respiratory irritants. BABB also dissolves many plastics. Prepare and use BABB in a chemical fume hood, wear gloves and eye protection, and store it in tightly sealed glass containers</w:t>
      </w:r>
      <w:r w:rsidR="00F01903" w:rsidRPr="003753E7">
        <w:rPr>
          <w:highlight w:val="yellow"/>
          <w:lang w:val="en-US"/>
        </w:rPr>
        <w:t xml:space="preserve">. </w:t>
      </w:r>
      <w:r w:rsidR="00F01903" w:rsidRPr="003753E7">
        <w:rPr>
          <w:color w:val="000000"/>
          <w:highlight w:val="yellow"/>
        </w:rPr>
        <w:t>After each use, seal the container with Parafilm and cover it with aluminum foil to limit evaporation and protect the medium from light</w:t>
      </w:r>
      <w:r w:rsidRPr="003753E7">
        <w:rPr>
          <w:highlight w:val="yellow"/>
          <w:lang w:val="en-US"/>
        </w:rPr>
        <w:t xml:space="preserve">. Use glass or BABB-compatible labware </w:t>
      </w:r>
      <w:r w:rsidR="00055A92" w:rsidRPr="003753E7">
        <w:rPr>
          <w:highlight w:val="yellow"/>
          <w:lang w:val="en-US"/>
        </w:rPr>
        <w:t>only and</w:t>
      </w:r>
      <w:r w:rsidRPr="003753E7">
        <w:rPr>
          <w:highlight w:val="yellow"/>
          <w:lang w:val="en-US"/>
        </w:rPr>
        <w:t xml:space="preserve"> dispose of BABB as organic solvent waste </w:t>
      </w:r>
      <w:r w:rsidR="005C5FE0" w:rsidRPr="003753E7">
        <w:rPr>
          <w:highlight w:val="yellow"/>
          <w:lang w:val="en-US"/>
        </w:rPr>
        <w:t>in</w:t>
      </w:r>
      <w:r w:rsidRPr="003753E7">
        <w:rPr>
          <w:highlight w:val="yellow"/>
          <w:lang w:val="en-US"/>
        </w:rPr>
        <w:t xml:space="preserve"> </w:t>
      </w:r>
      <w:r w:rsidR="005C5FE0" w:rsidRPr="003753E7">
        <w:rPr>
          <w:highlight w:val="yellow"/>
          <w:lang w:val="en-US"/>
        </w:rPr>
        <w:t>accordance with</w:t>
      </w:r>
      <w:r w:rsidRPr="003753E7">
        <w:rPr>
          <w:highlight w:val="yellow"/>
          <w:lang w:val="en-US"/>
        </w:rPr>
        <w:t xml:space="preserve"> institutional guidelines.</w:t>
      </w:r>
      <w:r w:rsidR="0031735B" w:rsidRPr="003753E7">
        <w:rPr>
          <w:highlight w:val="yellow"/>
          <w:lang w:val="en-US"/>
        </w:rPr>
        <w:t xml:space="preserve"> </w:t>
      </w:r>
      <w:r w:rsidR="004832E7" w:rsidRPr="003753E7">
        <w:rPr>
          <w:highlight w:val="yellow"/>
          <w:lang w:val="en-US"/>
        </w:rPr>
        <w:t>BABB can be stored at room temperature for at least one month without loss of performance</w:t>
      </w:r>
      <w:r w:rsidR="0031735B" w:rsidRPr="003753E7">
        <w:rPr>
          <w:highlight w:val="yellow"/>
          <w:lang w:val="en-US"/>
        </w:rPr>
        <w:t>.</w:t>
      </w:r>
    </w:p>
    <w:p w14:paraId="1BEB4EE4" w14:textId="77777777" w:rsidR="00C03A12" w:rsidRPr="003753E7" w:rsidRDefault="00C03A12" w:rsidP="00FF3ECB">
      <w:pPr>
        <w:rPr>
          <w:b/>
          <w:bCs/>
          <w:highlight w:val="yellow"/>
        </w:rPr>
      </w:pPr>
    </w:p>
    <w:p w14:paraId="2D3E4923" w14:textId="1CB743A8" w:rsidR="001F477B" w:rsidRPr="003753E7" w:rsidRDefault="008219F9" w:rsidP="00FF3ECB">
      <w:pPr>
        <w:rPr>
          <w:highlight w:val="yellow"/>
        </w:rPr>
      </w:pPr>
      <w:r w:rsidRPr="003753E7">
        <w:rPr>
          <w:highlight w:val="yellow"/>
        </w:rPr>
        <w:t xml:space="preserve">8.1. Prepare a fresh BABB clearing solution using the reagents listed in </w:t>
      </w:r>
      <w:r w:rsidR="004D2A69" w:rsidRPr="003753E7">
        <w:rPr>
          <w:b/>
          <w:bCs/>
          <w:highlight w:val="yellow"/>
        </w:rPr>
        <w:t>Table 5</w:t>
      </w:r>
      <w:r w:rsidRPr="003753E7">
        <w:rPr>
          <w:highlight w:val="yellow"/>
        </w:rPr>
        <w:t>.</w:t>
      </w:r>
    </w:p>
    <w:p w14:paraId="4988820E" w14:textId="77777777" w:rsidR="001F477B" w:rsidRPr="003753E7" w:rsidRDefault="001F477B" w:rsidP="00FF3ECB">
      <w:pPr>
        <w:rPr>
          <w:highlight w:val="yellow"/>
        </w:rPr>
      </w:pPr>
    </w:p>
    <w:p w14:paraId="14F231B9" w14:textId="3DAB4AEA" w:rsidR="001F477B" w:rsidRPr="003753E7" w:rsidRDefault="008219F9" w:rsidP="00FF3ECB">
      <w:pPr>
        <w:rPr>
          <w:highlight w:val="yellow"/>
        </w:rPr>
      </w:pPr>
      <w:r w:rsidRPr="003753E7">
        <w:rPr>
          <w:highlight w:val="yellow"/>
        </w:rPr>
        <w:t xml:space="preserve">8.2. Wash fixed aggregates with distilled water. Allow aggregates to sit in water </w:t>
      </w:r>
      <w:r w:rsidR="006F3A3F" w:rsidRPr="003753E7">
        <w:rPr>
          <w:highlight w:val="yellow"/>
        </w:rPr>
        <w:t xml:space="preserve">for </w:t>
      </w:r>
      <w:r w:rsidRPr="003753E7">
        <w:rPr>
          <w:highlight w:val="yellow"/>
        </w:rPr>
        <w:t>30 min prior to clearing to ensure the removal of all DPBS</w:t>
      </w:r>
      <w:r w:rsidR="008334B8" w:rsidRPr="003753E7">
        <w:rPr>
          <w:highlight w:val="yellow"/>
        </w:rPr>
        <w:t>−/−</w:t>
      </w:r>
      <w:r w:rsidRPr="003753E7">
        <w:rPr>
          <w:highlight w:val="yellow"/>
        </w:rPr>
        <w:t>.</w:t>
      </w:r>
    </w:p>
    <w:p w14:paraId="2A6A497F" w14:textId="47599727" w:rsidR="001F477B" w:rsidRPr="003753E7" w:rsidRDefault="001F477B" w:rsidP="00FF3ECB">
      <w:pPr>
        <w:rPr>
          <w:highlight w:val="yellow"/>
        </w:rPr>
      </w:pPr>
    </w:p>
    <w:p w14:paraId="53089E04" w14:textId="78D012F3" w:rsidR="00F831B4" w:rsidRPr="003753E7" w:rsidRDefault="008219F9" w:rsidP="00FF3ECB">
      <w:pPr>
        <w:rPr>
          <w:highlight w:val="yellow"/>
          <w:lang w:val="en-US"/>
        </w:rPr>
      </w:pPr>
      <w:r w:rsidRPr="003753E7">
        <w:rPr>
          <w:highlight w:val="yellow"/>
          <w:lang w:val="en-US"/>
        </w:rPr>
        <w:t>CAUTION: Methanol is highly flammable and toxic by inhalation, ingestion, and skin contact, and can cause irreversible damage to the eyes and central nervous system. Perform the dehydration series in a chemical fume hood away from open flames and ignition sources, wear gloves and eye protection, and collect methanol waste as flammable organic solvent waste according to institutional guidelines.</w:t>
      </w:r>
    </w:p>
    <w:p w14:paraId="197F26DE" w14:textId="77777777" w:rsidR="00F831B4" w:rsidRPr="003753E7" w:rsidRDefault="00F831B4" w:rsidP="00FF3ECB">
      <w:pPr>
        <w:rPr>
          <w:highlight w:val="yellow"/>
        </w:rPr>
      </w:pPr>
    </w:p>
    <w:p w14:paraId="4A9244F5" w14:textId="2E793DA1" w:rsidR="001F477B" w:rsidRPr="003753E7" w:rsidRDefault="008219F9" w:rsidP="00FF3ECB">
      <w:pPr>
        <w:rPr>
          <w:highlight w:val="yellow"/>
        </w:rPr>
      </w:pPr>
      <w:r w:rsidRPr="003753E7">
        <w:rPr>
          <w:highlight w:val="yellow"/>
        </w:rPr>
        <w:t>8.3. Perform a graded stepwise methanol dehydration series</w:t>
      </w:r>
      <w:r w:rsidR="00912E94" w:rsidRPr="003753E7">
        <w:rPr>
          <w:highlight w:val="yellow"/>
        </w:rPr>
        <w:t xml:space="preserve"> using 1 m</w:t>
      </w:r>
      <w:r w:rsidR="006C7260" w:rsidRPr="003753E7">
        <w:rPr>
          <w:highlight w:val="yellow"/>
        </w:rPr>
        <w:t>L</w:t>
      </w:r>
      <w:r w:rsidR="00912E94" w:rsidRPr="003753E7">
        <w:rPr>
          <w:highlight w:val="yellow"/>
        </w:rPr>
        <w:t xml:space="preserve"> per step</w:t>
      </w:r>
      <w:r w:rsidRPr="003753E7">
        <w:rPr>
          <w:highlight w:val="yellow"/>
        </w:rPr>
        <w:t xml:space="preserve"> (25%, 50%, 75</w:t>
      </w:r>
      <w:r w:rsidR="00472996" w:rsidRPr="003753E7">
        <w:rPr>
          <w:highlight w:val="yellow"/>
        </w:rPr>
        <w:t>%</w:t>
      </w:r>
      <w:r w:rsidRPr="003753E7">
        <w:rPr>
          <w:highlight w:val="yellow"/>
        </w:rPr>
        <w:t xml:space="preserve">, and 100%, v/v in water), waiting 5–10 min between each step. Between dehydration steps, centrifuge aggregates at 100 </w:t>
      </w:r>
      <w:r w:rsidR="00ED4283" w:rsidRPr="003753E7">
        <w:rPr>
          <w:highlight w:val="yellow"/>
        </w:rPr>
        <w:t xml:space="preserve">× </w:t>
      </w:r>
      <w:r w:rsidR="00ED4283" w:rsidRPr="003753E7">
        <w:rPr>
          <w:i/>
          <w:iCs/>
          <w:highlight w:val="yellow"/>
        </w:rPr>
        <w:t>g</w:t>
      </w:r>
      <w:r w:rsidRPr="003753E7">
        <w:rPr>
          <w:highlight w:val="yellow"/>
        </w:rPr>
        <w:t xml:space="preserve"> for 5 min to ensure proper pelleting.</w:t>
      </w:r>
    </w:p>
    <w:p w14:paraId="686C5134" w14:textId="77777777" w:rsidR="001F477B" w:rsidRPr="003753E7" w:rsidRDefault="001F477B" w:rsidP="00FF3ECB">
      <w:pPr>
        <w:rPr>
          <w:highlight w:val="yellow"/>
        </w:rPr>
      </w:pPr>
    </w:p>
    <w:p w14:paraId="1E742ECE" w14:textId="726BD266" w:rsidR="001F477B" w:rsidRPr="003753E7" w:rsidRDefault="008219F9" w:rsidP="00FF3ECB">
      <w:pPr>
        <w:rPr>
          <w:highlight w:val="yellow"/>
        </w:rPr>
      </w:pPr>
      <w:r w:rsidRPr="003753E7">
        <w:rPr>
          <w:highlight w:val="yellow"/>
        </w:rPr>
        <w:t xml:space="preserve">NOTE: Methanol dehydration can </w:t>
      </w:r>
      <w:r w:rsidR="008C4067" w:rsidRPr="003753E7">
        <w:rPr>
          <w:highlight w:val="yellow"/>
        </w:rPr>
        <w:t>cause</w:t>
      </w:r>
      <w:r w:rsidRPr="003753E7">
        <w:rPr>
          <w:highlight w:val="yellow"/>
        </w:rPr>
        <w:t xml:space="preserve"> </w:t>
      </w:r>
      <w:r w:rsidR="00F831B4" w:rsidRPr="003753E7">
        <w:rPr>
          <w:highlight w:val="yellow"/>
        </w:rPr>
        <w:t>tissue</w:t>
      </w:r>
      <w:r w:rsidR="008C4067" w:rsidRPr="003753E7">
        <w:rPr>
          <w:highlight w:val="yellow"/>
        </w:rPr>
        <w:t xml:space="preserve"> shrinkage</w:t>
      </w:r>
      <w:r w:rsidRPr="003753E7">
        <w:rPr>
          <w:highlight w:val="yellow"/>
        </w:rPr>
        <w:t>. Perform gradual dehydration to preserve lacunae and cavity structures.</w:t>
      </w:r>
    </w:p>
    <w:p w14:paraId="6A34526D" w14:textId="77777777" w:rsidR="00C03A12" w:rsidRPr="003753E7" w:rsidRDefault="00C03A12" w:rsidP="00FF3ECB">
      <w:pPr>
        <w:rPr>
          <w:highlight w:val="yellow"/>
        </w:rPr>
      </w:pPr>
    </w:p>
    <w:p w14:paraId="744B0546" w14:textId="2D738147" w:rsidR="00013DC1" w:rsidRPr="003753E7" w:rsidRDefault="008219F9" w:rsidP="00FF3ECB">
      <w:pPr>
        <w:rPr>
          <w:highlight w:val="yellow"/>
        </w:rPr>
      </w:pPr>
      <w:r w:rsidRPr="003753E7">
        <w:rPr>
          <w:highlight w:val="yellow"/>
        </w:rPr>
        <w:t xml:space="preserve">8.4. After the final dehydration step (100% methanol), centrifuge aggregates at 100 </w:t>
      </w:r>
      <w:r w:rsidR="00ED4283" w:rsidRPr="003753E7">
        <w:rPr>
          <w:highlight w:val="yellow"/>
        </w:rPr>
        <w:t xml:space="preserve">× </w:t>
      </w:r>
      <w:r w:rsidR="00ED4283" w:rsidRPr="003753E7">
        <w:rPr>
          <w:i/>
          <w:iCs/>
          <w:highlight w:val="yellow"/>
        </w:rPr>
        <w:t>g</w:t>
      </w:r>
      <w:r w:rsidRPr="003753E7">
        <w:rPr>
          <w:highlight w:val="yellow"/>
        </w:rPr>
        <w:t xml:space="preserve"> for 5 min. Carefully remove the supernatant without disturbing the pellet.</w:t>
      </w:r>
    </w:p>
    <w:p w14:paraId="7D163AEC" w14:textId="77777777" w:rsidR="001F477B" w:rsidRPr="003753E7" w:rsidRDefault="001F477B" w:rsidP="00FF3ECB">
      <w:pPr>
        <w:rPr>
          <w:highlight w:val="yellow"/>
        </w:rPr>
      </w:pPr>
    </w:p>
    <w:p w14:paraId="58DF7089" w14:textId="161669B8" w:rsidR="001F477B" w:rsidRPr="003753E7" w:rsidRDefault="008219F9" w:rsidP="00FF3ECB">
      <w:pPr>
        <w:rPr>
          <w:highlight w:val="yellow"/>
        </w:rPr>
      </w:pPr>
      <w:r w:rsidRPr="003753E7">
        <w:rPr>
          <w:highlight w:val="yellow"/>
        </w:rPr>
        <w:t xml:space="preserve">8.5. Resuspend the pellet in 300 µL of BABB and transfer to an 8-well </w:t>
      </w:r>
      <w:r w:rsidR="00F81494" w:rsidRPr="003753E7">
        <w:rPr>
          <w:highlight w:val="yellow"/>
        </w:rPr>
        <w:t>imageable</w:t>
      </w:r>
      <w:r w:rsidRPr="003753E7">
        <w:rPr>
          <w:highlight w:val="yellow"/>
        </w:rPr>
        <w:t xml:space="preserve"> dish.</w:t>
      </w:r>
      <w:r w:rsidR="0031735B" w:rsidRPr="003753E7">
        <w:rPr>
          <w:highlight w:val="yellow"/>
        </w:rPr>
        <w:t xml:space="preserve"> </w:t>
      </w:r>
    </w:p>
    <w:p w14:paraId="4C5FA40C" w14:textId="6F038726" w:rsidR="00F831B4" w:rsidRPr="003753E7" w:rsidRDefault="00F831B4" w:rsidP="00FF3ECB">
      <w:pPr>
        <w:rPr>
          <w:highlight w:val="yellow"/>
        </w:rPr>
      </w:pPr>
    </w:p>
    <w:p w14:paraId="7564BDC1" w14:textId="1FBFF0D3" w:rsidR="00F831B4" w:rsidRPr="003753E7" w:rsidRDefault="008219F9" w:rsidP="00FF3ECB">
      <w:pPr>
        <w:rPr>
          <w:highlight w:val="yellow"/>
        </w:rPr>
      </w:pPr>
      <w:r w:rsidRPr="003753E7">
        <w:rPr>
          <w:highlight w:val="yellow"/>
        </w:rPr>
        <w:t xml:space="preserve">CAUTION: </w:t>
      </w:r>
      <w:r w:rsidR="0007725F" w:rsidRPr="003753E7">
        <w:rPr>
          <w:color w:val="000000"/>
          <w:highlight w:val="yellow"/>
        </w:rPr>
        <w:t>BABB can degrade or dissolve many plastics and should therefore be handled carefully.</w:t>
      </w:r>
      <w:r w:rsidR="00676E27" w:rsidRPr="003753E7">
        <w:rPr>
          <w:color w:val="000000"/>
          <w:highlight w:val="yellow"/>
        </w:rPr>
        <w:t xml:space="preserve"> Before transferring the sample, confirm that the imaging chamber is compatible with BABB. After transferring, inspect for leakage to prevent damage to the microscope objective.</w:t>
      </w:r>
    </w:p>
    <w:p w14:paraId="0EED1AE7" w14:textId="77777777" w:rsidR="001F477B" w:rsidRPr="003753E7" w:rsidRDefault="001F477B" w:rsidP="00FF3ECB">
      <w:pPr>
        <w:rPr>
          <w:highlight w:val="yellow"/>
        </w:rPr>
      </w:pPr>
    </w:p>
    <w:p w14:paraId="392DCF4F" w14:textId="41B17D3A" w:rsidR="001F477B" w:rsidRPr="003753E7" w:rsidRDefault="008219F9" w:rsidP="00FF3ECB">
      <w:pPr>
        <w:rPr>
          <w:highlight w:val="yellow"/>
        </w:rPr>
      </w:pPr>
      <w:r w:rsidRPr="003753E7">
        <w:rPr>
          <w:highlight w:val="yellow"/>
        </w:rPr>
        <w:t>NOTE: Resuspending the aggregates in BABB</w:t>
      </w:r>
      <w:r w:rsidR="00E86984" w:rsidRPr="003753E7">
        <w:rPr>
          <w:highlight w:val="yellow"/>
        </w:rPr>
        <w:t xml:space="preserve"> </w:t>
      </w:r>
      <w:r w:rsidR="00F81494" w:rsidRPr="003753E7">
        <w:rPr>
          <w:highlight w:val="yellow"/>
        </w:rPr>
        <w:t>mak</w:t>
      </w:r>
      <w:r w:rsidR="00E86984" w:rsidRPr="003753E7">
        <w:rPr>
          <w:highlight w:val="yellow"/>
        </w:rPr>
        <w:t>es</w:t>
      </w:r>
      <w:r w:rsidRPr="003753E7">
        <w:rPr>
          <w:highlight w:val="yellow"/>
        </w:rPr>
        <w:t xml:space="preserve"> </w:t>
      </w:r>
      <w:r w:rsidR="00F81494" w:rsidRPr="003753E7">
        <w:rPr>
          <w:highlight w:val="yellow"/>
        </w:rPr>
        <w:t>them</w:t>
      </w:r>
      <w:r w:rsidRPr="003753E7">
        <w:rPr>
          <w:highlight w:val="yellow"/>
        </w:rPr>
        <w:t xml:space="preserve"> transparent</w:t>
      </w:r>
      <w:r w:rsidR="006F3A3F" w:rsidRPr="003753E7">
        <w:rPr>
          <w:highlight w:val="yellow"/>
        </w:rPr>
        <w:t xml:space="preserve"> (</w:t>
      </w:r>
      <w:r w:rsidR="006F3A3F" w:rsidRPr="003753E7">
        <w:rPr>
          <w:b/>
          <w:bCs/>
          <w:highlight w:val="yellow"/>
        </w:rPr>
        <w:t>Fig</w:t>
      </w:r>
      <w:r w:rsidR="00844FEB" w:rsidRPr="003753E7">
        <w:rPr>
          <w:b/>
          <w:bCs/>
          <w:highlight w:val="yellow"/>
        </w:rPr>
        <w:t>ure 3A</w:t>
      </w:r>
      <w:r w:rsidR="006F3A3F" w:rsidRPr="003753E7">
        <w:rPr>
          <w:highlight w:val="yellow"/>
        </w:rPr>
        <w:t>)</w:t>
      </w:r>
      <w:r w:rsidRPr="003753E7">
        <w:rPr>
          <w:highlight w:val="yellow"/>
        </w:rPr>
        <w:t xml:space="preserve">. This process typically happens within a few minutes, depending on the size of the </w:t>
      </w:r>
      <w:r w:rsidR="00E86984" w:rsidRPr="003753E7">
        <w:rPr>
          <w:highlight w:val="yellow"/>
        </w:rPr>
        <w:t>aggregate</w:t>
      </w:r>
      <w:r w:rsidRPr="003753E7">
        <w:rPr>
          <w:highlight w:val="yellow"/>
        </w:rPr>
        <w:t>.</w:t>
      </w:r>
    </w:p>
    <w:p w14:paraId="2D76D6CD" w14:textId="77777777" w:rsidR="001F477B" w:rsidRPr="003753E7" w:rsidRDefault="001F477B" w:rsidP="00FF3ECB">
      <w:pPr>
        <w:rPr>
          <w:highlight w:val="yellow"/>
        </w:rPr>
      </w:pPr>
    </w:p>
    <w:p w14:paraId="431B4CCA" w14:textId="77777777" w:rsidR="001F477B" w:rsidRPr="00FF3ECB" w:rsidRDefault="008219F9" w:rsidP="00FF3ECB">
      <w:r w:rsidRPr="003753E7">
        <w:rPr>
          <w:highlight w:val="yellow"/>
        </w:rPr>
        <w:t>8.6. Image samples immediately after clearing.</w:t>
      </w:r>
    </w:p>
    <w:p w14:paraId="095DC4D1" w14:textId="77777777" w:rsidR="001F477B" w:rsidRPr="00FF3ECB" w:rsidRDefault="001F477B" w:rsidP="00FF3ECB">
      <w:pPr>
        <w:rPr>
          <w:b/>
          <w:bCs/>
        </w:rPr>
      </w:pPr>
    </w:p>
    <w:p w14:paraId="6D543AD3" w14:textId="77777777" w:rsidR="001F477B" w:rsidRPr="00FF3ECB" w:rsidRDefault="008219F9" w:rsidP="00FF3ECB">
      <w:pPr>
        <w:rPr>
          <w:b/>
          <w:bCs/>
        </w:rPr>
      </w:pPr>
      <w:r w:rsidRPr="00FF3ECB">
        <w:rPr>
          <w:b/>
          <w:bCs/>
        </w:rPr>
        <w:t>9. Imaging</w:t>
      </w:r>
    </w:p>
    <w:p w14:paraId="536193A2" w14:textId="77777777" w:rsidR="001F477B" w:rsidRPr="00FF3ECB" w:rsidRDefault="001F477B" w:rsidP="00FF3ECB">
      <w:pPr>
        <w:rPr>
          <w:b/>
          <w:bCs/>
        </w:rPr>
      </w:pPr>
    </w:p>
    <w:p w14:paraId="616985BE" w14:textId="257A46F4" w:rsidR="001F477B" w:rsidRPr="00FF3ECB" w:rsidRDefault="008219F9" w:rsidP="00FF3ECB">
      <w:r w:rsidRPr="00FF3ECB">
        <w:t>9.1. Image the cleared aggregates using a confocal microscope.</w:t>
      </w:r>
      <w:r w:rsidR="00713BC1" w:rsidRPr="00FF3ECB">
        <w:t xml:space="preserve"> </w:t>
      </w:r>
    </w:p>
    <w:p w14:paraId="40D7B9EB" w14:textId="77777777" w:rsidR="00713BC1" w:rsidRPr="00FF3ECB" w:rsidRDefault="00713BC1" w:rsidP="00FF3ECB"/>
    <w:p w14:paraId="39C602B1" w14:textId="339C0CC2" w:rsidR="001F477B" w:rsidRPr="00FF3ECB" w:rsidRDefault="00713BC1" w:rsidP="00FF3ECB">
      <w:pPr>
        <w:rPr>
          <w:highlight w:val="yellow"/>
        </w:rPr>
      </w:pPr>
      <w:r w:rsidRPr="00FF3ECB">
        <w:t xml:space="preserve">NOTE: </w:t>
      </w:r>
      <w:r w:rsidR="00EA6D6D" w:rsidRPr="00FF3ECB">
        <w:t>M</w:t>
      </w:r>
      <w:r w:rsidRPr="00FF3ECB">
        <w:t>icroscopy acquisition settings should be optimized for the fluorophores used</w:t>
      </w:r>
      <w:r w:rsidR="00EA6D6D" w:rsidRPr="00FF3ECB">
        <w:t xml:space="preserve"> and the desired resolution.</w:t>
      </w:r>
      <w:r w:rsidRPr="00FF3ECB">
        <w:t xml:space="preserve"> </w:t>
      </w:r>
      <w:r w:rsidR="008219F9" w:rsidRPr="00FF3ECB">
        <w:t xml:space="preserve">For </w:t>
      </w:r>
      <w:r w:rsidR="00EF18A1" w:rsidRPr="00FF3ECB">
        <w:t>quantitative imaging</w:t>
      </w:r>
      <w:r w:rsidR="008219F9" w:rsidRPr="00FF3ECB">
        <w:t xml:space="preserve">, </w:t>
      </w:r>
      <w:r w:rsidR="008334B8" w:rsidRPr="00FF3ECB">
        <w:t xml:space="preserve">ideally </w:t>
      </w:r>
      <w:r w:rsidR="008219F9" w:rsidRPr="00FF3ECB">
        <w:t>use an objective magnification that is 20</w:t>
      </w:r>
      <w:r w:rsidR="009D5261" w:rsidRPr="00FF3ECB">
        <w:t>×</w:t>
      </w:r>
      <w:r w:rsidR="008219F9" w:rsidRPr="00FF3ECB">
        <w:t xml:space="preserve"> or greater</w:t>
      </w:r>
      <w:r w:rsidR="00EF18A1" w:rsidRPr="00FF3ECB">
        <w:t>, with a matched refractive index (~1.55) or a correction collar.</w:t>
      </w:r>
      <w:r w:rsidR="006F3A3F" w:rsidRPr="00FF3ECB">
        <w:t xml:space="preserve"> After clearing, the core of the chorion models will be visible using confocal microscopy (</w:t>
      </w:r>
      <w:r w:rsidR="006F3A3F" w:rsidRPr="00FF3ECB">
        <w:rPr>
          <w:b/>
          <w:bCs/>
        </w:rPr>
        <w:t>Fig</w:t>
      </w:r>
      <w:r w:rsidR="00844FEB" w:rsidRPr="00FF3ECB">
        <w:rPr>
          <w:b/>
          <w:bCs/>
        </w:rPr>
        <w:t>ure 3B</w:t>
      </w:r>
      <w:r w:rsidR="006F3A3F" w:rsidRPr="00FF3ECB">
        <w:t>).</w:t>
      </w:r>
      <w:r w:rsidR="00EF18A1" w:rsidRPr="00FF3ECB">
        <w:t xml:space="preserve"> </w:t>
      </w:r>
      <w:r w:rsidR="00821CA5" w:rsidRPr="00FF3ECB">
        <w:t>The immunofluorescence images</w:t>
      </w:r>
      <w:r w:rsidR="00EF18A1" w:rsidRPr="00FF3ECB">
        <w:t xml:space="preserve"> in </w:t>
      </w:r>
      <w:r w:rsidR="00EF18A1" w:rsidRPr="008219F9">
        <w:rPr>
          <w:b/>
          <w:bCs/>
        </w:rPr>
        <w:t>Fig</w:t>
      </w:r>
      <w:r w:rsidR="00821CA5" w:rsidRPr="008219F9">
        <w:rPr>
          <w:b/>
          <w:bCs/>
        </w:rPr>
        <w:t>ure</w:t>
      </w:r>
      <w:r w:rsidR="00EF18A1" w:rsidRPr="008219F9">
        <w:rPr>
          <w:b/>
          <w:bCs/>
        </w:rPr>
        <w:t xml:space="preserve"> 4</w:t>
      </w:r>
      <w:r w:rsidR="00821CA5" w:rsidRPr="008219F9">
        <w:rPr>
          <w:b/>
          <w:bCs/>
        </w:rPr>
        <w:t>A</w:t>
      </w:r>
      <w:r w:rsidR="00EF18A1" w:rsidRPr="00FF3ECB">
        <w:t xml:space="preserve"> </w:t>
      </w:r>
      <w:r w:rsidR="00821CA5" w:rsidRPr="00FF3ECB">
        <w:t xml:space="preserve">were collected </w:t>
      </w:r>
      <w:r w:rsidR="00EF18A1" w:rsidRPr="00FF3ECB">
        <w:t>using a water-immersion 25</w:t>
      </w:r>
      <w:r w:rsidR="001F6641" w:rsidRPr="00FF3ECB">
        <w:t>×</w:t>
      </w:r>
      <w:r w:rsidR="00EF18A1" w:rsidRPr="00FF3ECB">
        <w:t xml:space="preserve"> objective</w:t>
      </w:r>
      <w:r w:rsidR="00CD6409" w:rsidRPr="00FF3ECB">
        <w:t>.</w:t>
      </w:r>
    </w:p>
    <w:p w14:paraId="7C6204C8" w14:textId="77777777" w:rsidR="00C03A12" w:rsidRPr="00FF3ECB" w:rsidRDefault="00C03A12" w:rsidP="00FF3ECB">
      <w:pPr>
        <w:rPr>
          <w:b/>
        </w:rPr>
      </w:pPr>
    </w:p>
    <w:p w14:paraId="575E6D9B" w14:textId="77777777" w:rsidR="001F477B" w:rsidRPr="00FF3ECB" w:rsidRDefault="008219F9" w:rsidP="00FF3ECB">
      <w:pPr>
        <w:rPr>
          <w:color w:val="808080"/>
          <w:highlight w:val="yellow"/>
        </w:rPr>
      </w:pPr>
      <w:r w:rsidRPr="00FF3ECB">
        <w:rPr>
          <w:b/>
        </w:rPr>
        <w:t>RESULTS:</w:t>
      </w:r>
    </w:p>
    <w:p w14:paraId="6813372A" w14:textId="2606A247" w:rsidR="00EE1967" w:rsidRPr="00FF3ECB" w:rsidRDefault="008219F9" w:rsidP="00FF3ECB">
      <w:r w:rsidRPr="00FF3ECB">
        <w:lastRenderedPageBreak/>
        <w:t>A</w:t>
      </w:r>
      <w:r w:rsidR="00570F1D" w:rsidRPr="00FF3ECB">
        <w:t xml:space="preserve"> transient chemical re</w:t>
      </w:r>
      <w:r w:rsidRPr="00FF3ECB">
        <w:t>set combining naïve medi</w:t>
      </w:r>
      <w:r w:rsidR="000B4659" w:rsidRPr="00FF3ECB">
        <w:t>um</w:t>
      </w:r>
      <w:r w:rsidRPr="00FF3ECB">
        <w:t xml:space="preserve"> (here: HENSM</w:t>
      </w:r>
      <w:r w:rsidR="00AA49D7" w:rsidRPr="00FF3ECB">
        <w:fldChar w:fldCharType="begin"/>
      </w:r>
      <w:r w:rsidR="00A620F1" w:rsidRPr="00FF3ECB">
        <w:instrText xml:space="preserve"> ADDIN ZOTERO_ITEM CSL_CITATION {"citationID":"DJmVuQW8","properties":{"unsorted":false,"formattedCitation":"\\super 8\\nosupersub{}","plainCitation":"8","noteIndex":0},"citationItems":[{"id":149,"uris":["http://zotero.org/users/6778933/items/YZAN47BV"],"itemData":{"id":149,"type":"article-journal","abstract":"Summary\nIsolating human MEK/ERK signaling-independent pluripotent stem cells (PSCs) with naive pluripotency characteristics while maintaining differentiation competence and (epi)genetic integrity remains challenging. Here, we engineer reporter systems that allow the screening for defined conditions that induce molecular and functional features of human naive pluripotency. Synergistic inhibition of WNT/β-CATENIN, protein kinase C (PKC), and SRC signaling consolidates the induction of teratoma-competent naive human PSCs, with the capacity to differentiate into trophoblast stem cells (TSCs) and extraembryonic naive endodermal (nEND) cells in vitro. Divergent signaling and transcriptional requirements for boosting naive pluripotency were found between mouse and human. P53 depletion in naive hPSCs increased their contribution to mouse-human cross-species chimeric embryos upon priming and differentiation. Finally, MEK/ERK inhibition can be substituted with the inhibition of NOTCH/RBPj, which induces alternative naive-like hPSCs with a diminished risk for deleterious global DNA hypomethylation. Our findings set a framework for defining the signaling foundations of human naive pluripotency.","container-title":"Cell Stem Cell","DOI":"10.1016/j.stem.2021.04.001","ISSN":"1934-5909","issue":"9","journalAbbreviation":"Cell Stem Cell","page":"1549-1565.e12","title":"Principles of signaling pathway modulation for enhancing human naive pluripotency induction","volume":"28","author":[{"family":"Bayerl","given":"Jonathan"},{"family":"Ayyash","given":"Muneef"},{"family":"Shani","given":"Tom"},{"family":"Manor","given":"Yair Shlomo"},{"family":"Gafni","given":"Ohad"},{"family":"Massarwa","given":"Rada"},{"family":"Kalma","given":"Yael"},{"family":"Aguilera-Castrejon","given":"Alejandro"},{"family":"Zerbib","given":"Mirie"},{"family":"Amir","given":"Hadar"},{"family":"Sheban","given":"Daoud"},{"family":"Geula","given":"Shay"},{"family":"Mor","given":"Nofar"},{"family":"Weinberger","given":"Leehee"},{"family":"Naveh Tassa","given":"Segev"},{"family":"Krupalnik","given":"Vladislav"},{"family":"Oldak","given":"Bernardo"},{"family":"Livnat","given":"Nir"},{"family":"Tarazi","given":"Shadi"},{"family":"Tawil","given":"Shadi"},{"family":"Wildschutz","given":"Emilie"},{"family":"Ashouokhi","given":"Shahd"},{"family":"Lasman","given":"Lior"},{"family":"Rotter","given":"Varda"},{"family":"Hanna","given":"Suhair"},{"family":"Ben-Yosef","given":"Dalit"},{"family":"Novershtern","given":"Noa"},{"family":"Viukov","given":"Sergey"},{"family":"Hanna","given":"Jacob H."}],"issued":{"date-parts":[["2021",9,2]]}}}],"schema":"https://github.com/citation-style-language/schema/raw/master/csl-citation.json"} </w:instrText>
      </w:r>
      <w:r w:rsidR="00AA49D7" w:rsidRPr="00FF3ECB">
        <w:fldChar w:fldCharType="separate"/>
      </w:r>
      <w:r w:rsidR="00A620F1" w:rsidRPr="00FF3ECB">
        <w:rPr>
          <w:vertAlign w:val="superscript"/>
          <w:lang w:val="en-US"/>
        </w:rPr>
        <w:t>8</w:t>
      </w:r>
      <w:r w:rsidR="00AA49D7" w:rsidRPr="00FF3ECB">
        <w:fldChar w:fldCharType="end"/>
      </w:r>
      <w:r w:rsidRPr="00FF3ECB">
        <w:t>) with two inhibitors targeting DNMT1 and EZH2</w:t>
      </w:r>
      <w:r w:rsidR="00AA49D7" w:rsidRPr="00FF3ECB">
        <w:fldChar w:fldCharType="begin"/>
      </w:r>
      <w:r w:rsidR="00A620F1" w:rsidRPr="00FF3ECB">
        <w:instrText xml:space="preserve"> ADDIN ZOTERO_ITEM CSL_CITATION {"citationID":"iesM93vn","properties":{"unsorted":false,"formattedCitation":"\\super 30\\uc0\\u8211{}32\\nosupersub{}","plainCitation":"30–32","noteIndex":0},"citationItems":[{"id":150,"uris":["http://zotero.org/users/6778933/items/ZFV2UXTW"],"itemData":{"id":150,"type":"article-journal","abstract":"After fertilization, the quiescent zygote experiences a burst of genome activation that initiates a short-lived totipotent state. Understanding the process of totipotency in human cells would have broad applications. However, in contrast to in mice1,2, demonstration of the time of zygotic genome activation or the eight-cell (8C) stage in in vitro cultured human cells has not yet been reported, and the study of embryos is limited by ethical and practical considerations. Here we describe a transgene-free, rapid and controllable method for producing 8C-like cells (8CLCs) from human pluripotent stem cells. Single-cell analysis identified key molecular events and gene networks associated with this conversion. Loss-of-function experiments identified fundamental roles for DPPA3, a master regulator of DNA methylation in oocytes3, and TPRX1, a eutherian totipotent cell homeobox (ETCHbox) family transcription factor that is absent in mice4. DPPA3 induces DNA demethylation throughout the 8CLC conversion process, whereas TPRX1 is a key executor of 8CLC gene networks. We further demonstrate that 8CLCs can produce embryonic and extraembryonic lineages in vitro or in vivo in the form of blastoids5 and complex teratomas. Our approach provides a resource to uncover the molecular process of early human embryogenesis.","container-title":"Nature","DOI":"10.1038/s41586-022-04625-0","ISSN":"1476-4687","issue":"7909","journalAbbreviation":"Nature","page":"315-324","title":"Rolling back human pluripotent stem cells to an eight-cell embryo-like stage","volume":"605","author":[{"family":"Mazid","given":"Md. Abdul"},{"family":"Ward","given":"Carl"},{"family":"Luo","given":"Zhiwei"},{"family":"Liu","given":"Chuanyu"},{"family":"Li","given":"Yunpan"},{"family":"Lai","given":"Yiwei"},{"family":"Wu","given":"Liang"},{"family":"Li","given":"Jinxiu"},{"family":"Jia","given":"Wenqi"},{"family":"Jiang","given":"Yu"},{"family":"Liu","given":"Hao"},{"family":"Fu","given":"Lixin"},{"family":"Yang","given":"Yueli"},{"family":"Ibañez","given":"David P."},{"family":"Lai","given":"Junjian"},{"family":"Wei","given":"Xiaoyu"},{"family":"An","given":"Juan"},{"family":"Guo","given":"Pengcheng"},{"family":"Yuan","given":"Yue"},{"family":"Deng","given":"Qiuting"},{"family":"Wang","given":"Yang"},{"family":"Liu","given":"Ying"},{"family":"Gao","given":"Fei"},{"family":"Wang","given":"Junwen"},{"family":"Zaman","given":"Shahriar"},{"family":"Qin","given":"Baoming"},{"family":"Wu","given":"Guangming"},{"family":"Maxwell","given":"Patrick H."},{"family":"Xu","given":"Xun"},{"family":"Liu","given":"Longqi"},{"family":"Li","given":"Wenjuan"},{"family":"Esteban","given":"Miguel A."}],"issued":{"date-parts":[["2022",5,1]]}}},{"id":151,"uris":["http://zotero.org/users/6778933/items/IHG7IPEI"],"itemData":{"id":151,"type":"article-journal","abstract":"DNA methylation, a key epigenetic driver of transcriptional silencing, is universally dysregulated in cancer. Reversal of DNA methylation by hypomethylating agents, such as the cytidine analogs decitabine or azacytidine, has demonstrated clinical benefit in hematologic malignancies. These nucleoside analogs are incorporated into replicating DNA where they inhibit DNA cytosine methyltransferases DNMT1, DNMT3A and DNMT3B through irreversible covalent interactions. These agents induce notable toxicity to normal blood cells thus limiting their clinical doses. Herein we report the discovery of GSK3685032, a potent first-in-class DNMT1-selective inhibitor that was shown via crystallographic studies to compete with the active-site loop of DNMT1 for penetration into hemi-methylated DNA between two CpG base pairs. GSK3685032 induces robust loss of DNA methylation, transcriptional activation and cancer cell growth inhibition in vitro. Due to improved in vivo tolerability compared with decitabine, GSK3685032 yields superior tumor regression and survival mouse models of acute myeloid leukemia.","container-title":"Nature Cancer","DOI":"10.1038/s43018-021-00249-x","ISSN":"2662-1347","issue":"10","journalAbbreviation":"Nature Cancer","page":"1002-1017","title":"Discovery of a first-in-class reversible DNMT1-selective inhibitor with improved tolerability and efficacy in acute myeloid leukemia","volume":"2","author":[{"family":"Pappalardi","given":"Melissa B."},{"family":"Keenan","given":"Kathryn"},{"family":"Cockerill","given":"Mark"},{"family":"Kellner","given":"Wendy A."},{"family":"Stowell","given":"Alexandra"},{"family":"Sherk","given":"Christian"},{"family":"Wong","given":"Kristen"},{"family":"Pathuri","given":"Sarath"},{"family":"Briand","given":"Jacques"},{"family":"Steidel","given":"Michael"},{"family":"Chapman","given":"Philip"},{"family":"Groy","given":"Arthur"},{"family":"Wiseman","given":"Ashley K."},{"family":"McHugh","given":"Charles F."},{"family":"Campobasso","given":"Nino"},{"family":"Graves","given":"Alan P."},{"family":"Fairweather","given":"Emma"},{"family":"Werner","given":"Thilo"},{"family":"Raoof","given":"Ali"},{"family":"Butlin","given":"Roger J."},{"family":"Rueda","given":"Lourdes"},{"family":"Horton","given":"John R."},{"family":"Fosbenner","given":"David T."},{"family":"Zhang","given":"Cunyu"},{"family":"Handler","given":"Jessica L."},{"family":"Muliaditan","given":"Morris"},{"family":"Mebrahtu","given":"Makda"},{"family":"Jaworski","given":"Jon-Paul"},{"family":"McNulty","given":"Dean E."},{"family":"Burt","given":"Charlotte"},{"family":"Eberl","given":"H. Christian"},{"family":"Taylor","given":"Amy N."},{"family":"Ho","given":"Thau"},{"family":"Merrihew","given":"Susan"},{"family":"Foley","given":"Shawn W."},{"family":"Rutkowska","given":"Anna"},{"family":"Li","given":"Mei"},{"family":"Romeril","given":"Stuart P."},{"family":"Goldberg","given":"Kristin"},{"family":"Zhang","given":"Xing"},{"family":"Kershaw","given":"Christopher S."},{"family":"Bantscheff","given":"Marcus"},{"family":"Jurewicz","given":"Anthony J."},{"family":"Minthorn","given":"Elisabeth"},{"family":"Grandi","given":"Paola"},{"family":"Patel","given":"Mehul"},{"family":"Benowitz","given":"Andrew B."},{"family":"Mohammad","given":"Helai P."},{"family":"Gilmartin","given":"Aidan G."},{"family":"Prinjha","given":"Rab K."},{"family":"Ogilvie","given":"Donald"},{"family":"Carpenter","given":"Christopher"},{"family":"Heerding","given":"Dirk"},{"family":"Baylin","given":"Stephen B."},{"family":"Jones","given":"Peter A."},{"family":"Cheng","given":"Xiaodong"},{"family":"King","given":"Bryan W."},{"family":"Luengo","given":"Juan I."},{"family":"Jordan","given":"Allan M."},{"family":"Waddell","given":"Ian"},{"family":"Kruger","given":"Ryan G."},{"family":"McCabe","given":"Michael T."}],"issued":{"date-parts":[["2021",10,1]]}}},{"id":505,"uris":["http://zotero.org/users/6778933/items/Q3I95THQ"],"itemData":{"id":505,"type":"article-journal","abstract":"DNA methylation plays an important role in regulating gene expression in mammals. The covalent DNMT1 inhibitors 5-azacytidine and decitabine are widely used in research to reduce DNA methylation levels, but they impart severe cytotoxicity which limits their demethylation capability and confounds interpretation of experiments. Recently, a non-covalent inhibitor of DNMT1 called GSK-3484862 was developed by GlaxoSmithKline. We sought to determine whether GSK-3484862 can induce demethylation more effectively than 5-azanucleosides. Murine embryonic stem cells (mESCs) are an ideal cell type in which to conduct such experiments, as they have a high degree of DNA methylation but tolerate dramatic methylation loss.","container-title":"Epigenetics &amp; Chromatin","DOI":"10.1186/s13072-021-00429-0","ISSN":"1756-8935","issue":"1","journalAbbreviation":"Epigenetics &amp; Chromatin","page":"56","title":"The DNMT1 inhibitor GSK-3484862 mediates global demethylation in murine embryonic stem cells","volume":"14","author":[{"family":"Azevedo Portilho","given":"Nathalia"},{"family":"Saini","given":"Deepak"},{"family":"Hossain","given":"Ishtiaque"},{"family":"Sirois","given":"Jacinthe"},{"family":"Moraes","given":"Christopher"},{"family":"Pastor","given":"William A."}],"issued":{"date-parts":[["2021",12,15]]}}}],"schema":"https://github.com/citation-style-language/schema/raw/master/csl-citation.json"} </w:instrText>
      </w:r>
      <w:r w:rsidR="00AA49D7" w:rsidRPr="00FF3ECB">
        <w:fldChar w:fldCharType="separate"/>
      </w:r>
      <w:r w:rsidR="00A620F1" w:rsidRPr="00FF3ECB">
        <w:rPr>
          <w:vertAlign w:val="superscript"/>
          <w:lang w:val="en-US"/>
        </w:rPr>
        <w:t>30–32</w:t>
      </w:r>
      <w:r w:rsidR="00AA49D7" w:rsidRPr="00FF3ECB">
        <w:fldChar w:fldCharType="end"/>
      </w:r>
      <w:r w:rsidRPr="00FF3ECB">
        <w:t xml:space="preserve"> is sufficient to</w:t>
      </w:r>
      <w:r w:rsidR="00570F1D" w:rsidRPr="00FF3ECB">
        <w:t xml:space="preserve"> replicate the transcriptional </w:t>
      </w:r>
      <w:r w:rsidR="007475D1" w:rsidRPr="00FF3ECB">
        <w:t xml:space="preserve">and global methylation </w:t>
      </w:r>
      <w:r w:rsidR="00570F1D" w:rsidRPr="00FF3ECB">
        <w:t xml:space="preserve">signatures of </w:t>
      </w:r>
      <w:r w:rsidRPr="00FF3ECB">
        <w:t xml:space="preserve">long-term </w:t>
      </w:r>
      <w:r w:rsidR="00570F1D" w:rsidRPr="00FF3ECB">
        <w:t>naïve cell</w:t>
      </w:r>
      <w:r w:rsidR="008B229D" w:rsidRPr="00FF3ECB">
        <w:t xml:space="preserve"> cultures</w:t>
      </w:r>
      <w:r w:rsidR="00570F1D" w:rsidRPr="00FF3ECB">
        <w:t xml:space="preserve">, bringing </w:t>
      </w:r>
      <w:proofErr w:type="spellStart"/>
      <w:r w:rsidRPr="00FF3ECB">
        <w:t>hPSCs</w:t>
      </w:r>
      <w:proofErr w:type="spellEnd"/>
      <w:r w:rsidR="00570F1D" w:rsidRPr="00FF3ECB">
        <w:t xml:space="preserve"> to a TE-competent ground state (</w:t>
      </w:r>
      <w:r w:rsidR="00570F1D" w:rsidRPr="00FF3ECB">
        <w:rPr>
          <w:b/>
          <w:bCs/>
        </w:rPr>
        <w:t>Fig</w:t>
      </w:r>
      <w:r w:rsidR="00844FEB" w:rsidRPr="00FF3ECB">
        <w:rPr>
          <w:b/>
          <w:bCs/>
        </w:rPr>
        <w:t>ure 1A</w:t>
      </w:r>
      <w:r w:rsidR="00570F1D" w:rsidRPr="00FF3ECB">
        <w:t xml:space="preserve">). After 6 days of </w:t>
      </w:r>
      <w:r w:rsidRPr="00FF3ECB">
        <w:t>transient reset</w:t>
      </w:r>
      <w:r w:rsidR="002713CA" w:rsidRPr="00FF3ECB">
        <w:t xml:space="preserve"> </w:t>
      </w:r>
      <w:r w:rsidRPr="00FF3ECB">
        <w:t>(</w:t>
      </w:r>
      <w:r w:rsidR="002713CA" w:rsidRPr="00FF3ECB">
        <w:t>tHENSM+2i</w:t>
      </w:r>
      <w:r w:rsidRPr="00FF3ECB">
        <w:t>)</w:t>
      </w:r>
      <w:r w:rsidR="00570F1D" w:rsidRPr="00FF3ECB">
        <w:t xml:space="preserve">, </w:t>
      </w:r>
      <w:proofErr w:type="spellStart"/>
      <w:r w:rsidR="00570F1D" w:rsidRPr="00FF3ECB">
        <w:t>h</w:t>
      </w:r>
      <w:r w:rsidRPr="00FF3ECB">
        <w:t>P</w:t>
      </w:r>
      <w:r w:rsidR="00570F1D" w:rsidRPr="00FF3ECB">
        <w:t>SCs</w:t>
      </w:r>
      <w:proofErr w:type="spellEnd"/>
      <w:r w:rsidR="00570F1D" w:rsidRPr="00FF3ECB">
        <w:t xml:space="preserve"> formed </w:t>
      </w:r>
      <w:r w:rsidRPr="00FF3ECB">
        <w:t xml:space="preserve">KLF17+ SUSD2+ </w:t>
      </w:r>
      <w:r w:rsidR="00570F1D" w:rsidRPr="00FF3ECB">
        <w:t xml:space="preserve">dome-shaped </w:t>
      </w:r>
      <w:r w:rsidRPr="00FF3ECB">
        <w:t>colonies, and downregulated prime</w:t>
      </w:r>
      <w:r w:rsidR="00A60B77" w:rsidRPr="00FF3ECB">
        <w:t>d-state</w:t>
      </w:r>
      <w:r w:rsidR="008B229D" w:rsidRPr="00FF3ECB">
        <w:t xml:space="preserve"> genes</w:t>
      </w:r>
      <w:r w:rsidRPr="00FF3ECB">
        <w:t xml:space="preserve"> while upregulating naïve</w:t>
      </w:r>
      <w:r w:rsidR="00A60B77" w:rsidRPr="00FF3ECB">
        <w:t>-associated</w:t>
      </w:r>
      <w:r w:rsidRPr="00FF3ECB">
        <w:t xml:space="preserve"> genes (data reprocessed from</w:t>
      </w:r>
      <w:r w:rsidR="00EF06D1">
        <w:t xml:space="preserve"> Zhang et al.</w:t>
      </w:r>
      <w:r w:rsidRPr="00FF3ECB">
        <w:fldChar w:fldCharType="begin"/>
      </w:r>
      <w:r w:rsidR="00297D16" w:rsidRPr="00FF3ECB">
        <w:instrText xml:space="preserve"> ADDIN ZOTERO_ITEM CSL_CITATION {"citationID":"ua0cPHPB","properties":{"unsorted":false,"formattedCitation":"\\super 21\\nosupersub{}","plainCitation":"21","noteIndex":0},"citationItems":[{"id":"R0aTIDOI/ZmrS9z01","uris":["http://zotero.org/users/17609913/items/TLQFE78P"],"itemData":{"id":2377,"type":"article","abstract":"The first lineage decision in the mammalian blastocyst commits outer cells to the trophectoderm and initiates the trajectory that gives rise to the placental chorion. The molecular sequence that unfolds downstream of HIPPO pathway inactivation, linking human trophectoderm specification to the early organization of the chorion, has remained unknown. Here, we establish a developmentally informed model that leverages HIPPO pathway modulation to induce the native trophectoderm trajectory in the absence of exogenous BMP or WNT signaling. We first transiently reset primed human pluripotent stem cells into a trophectoderm-competent ground state, followed by LATS kinase inhibition to set the trajectory in motion. To benchmark fidelity, we built an embryo-chorion single-cell reference integrating published early human and placental transcriptomes and applied a computational stage-matching tool to align our cultures to natural development. Stage matching revealed an ordered progression along the trophectoderm trajectory from early TE to post-implantation trophoblast. With extended culture, all major cell types of the nascent chorion emerged, encompassing both trophoblast and chorionic mesoderm lineages. Within the trophoblast, we identified proliferative and non-cycling villous cytotrophoblast, a columnar population connecting villous and extravillous domains, as well as syncytia and extravillous subtypes. When cultured in suspension, these lineages self-organized into three-dimensional organoids that recapitulated the stromal-epithelial architecture and proliferative-syncytial polarity of the emergent chorion. We identified CLDN6 as a defining surface marker of columnar trophoblast, the population that bridges villous and extravillous compartments. Prospective isolation of living CLDN6+ trophoblast revealed their capacity to reacquire a proliferative villous state and, under directed cues, generate both syncytial and extravillous fates, confirming their proposed dual developmental potential within the chorion. Together, these findings establish a developmentally informed framework that connects human trophectoderm specification to the emergent chorion and provides a dynamic platform for investigating the earliest steps of placental specification and the origins of implantation disorders.","DOI":"10.1101/2025.11.18.688276","language":"en","license":"© 2025, Posted by openRxiv. This pre-print is available under a Creative Commons License (Attribution-NonCommercial-NoDerivs 4.0 International), CC BY-NC-ND 4.0, as described at http://creativecommons.org/licenses/by-nc-nd/4.0/","note":"ISSN: 2692-8205\npage: 2025.11.18.688276\nsection: New Results","publisher":"bioRxiv","source":"bioRxiv","title":"Reconstructing the emergence of the human chorion via HIPPO-mediated trophoblast induction","URL":"https://www.biorxiv.org/content/10.1101/2025.11.18.688276v1","author":[{"family":"Zhang","given":"Miaoci"},{"family":"Lim","given":"Ryan L."},{"family":"Reis","given":"Alice H."},{"family":"Piszker","given":"Walter"},{"family":"Boyd","given":"Wallis W."},{"family":"Pagon","given":"Athena"},{"family":"Mahajan","given":"Aman"},{"family":"Wu","given":"Linlin"},{"family":"Zhao","given":"Cheng"},{"family":"Petropoulos","given":"Sophie"},{"family":"Ronda","given":"Carlotta"},{"family":"Simunovic","given":"Mijo"}],"accessed":{"date-parts":[["2025",11,28]]},"issued":{"date-parts":[["2025",11,18]]}}}],"schema":"https://github.com/citation-style-language/schema/raw/master/csl-citation.json"} </w:instrText>
      </w:r>
      <w:r w:rsidRPr="00FF3ECB">
        <w:fldChar w:fldCharType="separate"/>
      </w:r>
      <w:r w:rsidR="00A620F1" w:rsidRPr="00FF3ECB">
        <w:rPr>
          <w:vertAlign w:val="superscript"/>
          <w:lang w:val="en-US"/>
        </w:rPr>
        <w:t>21</w:t>
      </w:r>
      <w:r w:rsidRPr="00FF3ECB">
        <w:fldChar w:fldCharType="end"/>
      </w:r>
      <w:r w:rsidRPr="00FF3ECB">
        <w:t xml:space="preserve">) </w:t>
      </w:r>
      <w:r w:rsidR="00570F1D" w:rsidRPr="00FF3ECB">
        <w:t>(</w:t>
      </w:r>
      <w:r w:rsidR="00570F1D" w:rsidRPr="00FF3ECB">
        <w:rPr>
          <w:b/>
          <w:bCs/>
        </w:rPr>
        <w:t>Fig</w:t>
      </w:r>
      <w:r w:rsidR="00844FEB" w:rsidRPr="00FF3ECB">
        <w:rPr>
          <w:b/>
          <w:bCs/>
        </w:rPr>
        <w:t>ure 1B–D</w:t>
      </w:r>
      <w:r w:rsidR="002713CA" w:rsidRPr="00FF3ECB">
        <w:t>)</w:t>
      </w:r>
      <w:r w:rsidR="00570F1D" w:rsidRPr="00FF3ECB">
        <w:t>.</w:t>
      </w:r>
    </w:p>
    <w:p w14:paraId="68DD076B" w14:textId="77777777" w:rsidR="00EE1967" w:rsidRPr="00FF3ECB" w:rsidRDefault="00EE1967" w:rsidP="00FF3ECB"/>
    <w:p w14:paraId="783D7462" w14:textId="10363DE0" w:rsidR="00570F1D" w:rsidRPr="00FF3ECB" w:rsidRDefault="008219F9" w:rsidP="00FF3ECB">
      <w:r w:rsidRPr="00FF3ECB">
        <w:t xml:space="preserve">After </w:t>
      </w:r>
      <w:r w:rsidR="002E1BB0" w:rsidRPr="00FF3ECB">
        <w:t>tHENSM+2i</w:t>
      </w:r>
      <w:r w:rsidRPr="00FF3ECB">
        <w:t xml:space="preserve">, </w:t>
      </w:r>
      <w:r w:rsidR="002E1BB0" w:rsidRPr="00FF3ECB">
        <w:t>the selective LATS 1/2 inhibitor TDI-011536</w:t>
      </w:r>
      <w:r w:rsidR="002E1BB0" w:rsidRPr="00FF3ECB">
        <w:fldChar w:fldCharType="begin"/>
      </w:r>
      <w:r w:rsidR="00A620F1" w:rsidRPr="00FF3ECB">
        <w:instrText xml:space="preserve"> ADDIN ZOTERO_ITEM CSL_CITATION {"citationID":"KLdIgnMB","properties":{"unsorted":false,"formattedCitation":"\\super 33\\nosupersub{}","plainCitation":"33","noteIndex":0},"citationItems":[{"id":136,"uris":["http://zotero.org/users/6778933/items/KC5JPIG5"],"itemData":{"id":136,"type":"article-journal","abstract":"The Hippo signaling pathway acts as a brake on regeneration in many tissues. This cascade of kinases culminates in the phosphorylation of the transcriptional cofactors Yap and Taz, whose concentration in the nucleus consequently remains low. Various types of cellular signals can reduce phosphorylation, however, resulting in the accumulation of Yap and Taz in the nucleus and subsequently in mitosis. We earlier identified a small molecule, TRULI, that blocks the final kinases in the pathway, Lats1 and Lats2, and thus elicits proliferation of several cell types that are ordinarily postmitotic and aids regeneration in mammals. In the present study, we present the results of chemical modification of the original compound and demonstrate that a derivative, TDI-011536, is an effective blocker of Lats kinases in vitro at nanomolar concentrations. The compound fosters extensive proliferation in retinal organoids derived from human induced pluripotent stem cells. Intraperitoneal administration of the substance to mice suppresses Yap phosphorylation for several hours and induces transcriptional activation of Yap target genes in the heart, liver, and skin. Moreover, the compound initiates the proliferation of cardiomyocytes in adult mice following cardiac cryolesions. After further chemical refinement, related compounds might prove useful in protective and regenerative therapies.","container-title":"Proceedings of the National Academy of Sciences","DOI":"10.1073/pnas.2206113119","issue":"28","journalAbbreviation":"Proceedings of the National Academy of Sciences","page":"e2206113119","publisher":"Proceedings of the National Academy of Sciences","title":"Development of an improved inhibitor of Lats kinases to promote regeneration of mammalian organs","volume":"119","author":[{"family":"Kastan","given":"Nathaniel R."},{"family":"Oak","given":"Sanyukta"},{"family":"Liang","given":"Rui"},{"family":"Baxt","given":"Leigh"},{"family":"Myers","given":"Robert W."},{"family":"Ginn","given":"John"},{"family":"Liverton","given":"Nigel"},{"family":"Huggins","given":"David J."},{"family":"Pichardo","given":"John"},{"family":"Paul","given":"Matthew"},{"family":"Carroll","given":"Thomas S."},{"family":"Nagiel","given":"Aaron"},{"family":"Gnedeva","given":"Ksenia"},{"family":"Hudspeth","given":"A. J."}],"issued":{"date-parts":[["2022",7,12]]}}}],"schema":"https://github.com/citation-style-language/schema/raw/master/csl-citation.json"} </w:instrText>
      </w:r>
      <w:r w:rsidR="002E1BB0" w:rsidRPr="00FF3ECB">
        <w:fldChar w:fldCharType="separate"/>
      </w:r>
      <w:r w:rsidR="00A620F1" w:rsidRPr="00FF3ECB">
        <w:rPr>
          <w:vertAlign w:val="superscript"/>
          <w:lang w:val="en-US"/>
        </w:rPr>
        <w:t>33</w:t>
      </w:r>
      <w:r w:rsidR="002E1BB0" w:rsidRPr="00FF3ECB">
        <w:fldChar w:fldCharType="end"/>
      </w:r>
      <w:r w:rsidR="002E1BB0" w:rsidRPr="00FF3ECB">
        <w:t xml:space="preserve"> paired with </w:t>
      </w:r>
      <w:r w:rsidRPr="00FF3ECB">
        <w:t>A83-01 (referred to as TA medi</w:t>
      </w:r>
      <w:r w:rsidR="00A60B77" w:rsidRPr="00FF3ECB">
        <w:t>um</w:t>
      </w:r>
      <w:r w:rsidRPr="00FF3ECB">
        <w:t xml:space="preserve">) </w:t>
      </w:r>
      <w:r w:rsidR="007475D1" w:rsidRPr="00FF3ECB">
        <w:t>efficiently induces TE</w:t>
      </w:r>
      <w:r w:rsidR="002E1BB0" w:rsidRPr="00FF3ECB">
        <w:t>, with near-uniform expression of the canonical TE proteins</w:t>
      </w:r>
      <w:r w:rsidRPr="00FF3ECB">
        <w:t xml:space="preserve"> TFAP2C, GATA3, NR2F2, and KRT7 </w:t>
      </w:r>
      <w:r w:rsidR="002E1BB0" w:rsidRPr="00FF3ECB">
        <w:t xml:space="preserve">by day 12 </w:t>
      </w:r>
      <w:r w:rsidRPr="00FF3ECB">
        <w:t>(</w:t>
      </w:r>
      <w:r w:rsidRPr="00FF3ECB">
        <w:rPr>
          <w:b/>
          <w:bCs/>
        </w:rPr>
        <w:t>Fig</w:t>
      </w:r>
      <w:r w:rsidR="00844FEB" w:rsidRPr="00FF3ECB">
        <w:rPr>
          <w:b/>
          <w:bCs/>
        </w:rPr>
        <w:t>ure 1E</w:t>
      </w:r>
      <w:r w:rsidRPr="00FF3ECB">
        <w:t>). Further, flow cytometry analysis revealed that &gt;50% of cells expressed the implantation-associated enzyme prostaglandin E synthase (PTGES)</w:t>
      </w:r>
      <w:r w:rsidR="002E1BB0" w:rsidRPr="00FF3ECB">
        <w:t xml:space="preserve"> (</w:t>
      </w:r>
      <w:r w:rsidR="002E1BB0" w:rsidRPr="00FF3ECB">
        <w:rPr>
          <w:b/>
          <w:bCs/>
        </w:rPr>
        <w:t>Fig</w:t>
      </w:r>
      <w:r w:rsidR="00844FEB" w:rsidRPr="00FF3ECB">
        <w:rPr>
          <w:b/>
          <w:bCs/>
        </w:rPr>
        <w:t>ure 1F</w:t>
      </w:r>
      <w:r w:rsidR="002E1BB0" w:rsidRPr="00FF3ECB">
        <w:t>)</w:t>
      </w:r>
      <w:r w:rsidRPr="00FF3ECB">
        <w:t>.</w:t>
      </w:r>
    </w:p>
    <w:p w14:paraId="68A6C7D0" w14:textId="7E345C54" w:rsidR="00570F1D" w:rsidRPr="00FF3ECB" w:rsidRDefault="008219F9" w:rsidP="00FF3ECB">
      <w:r w:rsidRPr="00FF3ECB">
        <w:t xml:space="preserve"> </w:t>
      </w:r>
      <w:r w:rsidRPr="00FF3ECB">
        <w:br/>
        <w:t>T</w:t>
      </w:r>
      <w:r w:rsidR="002E1BB0" w:rsidRPr="00FF3ECB">
        <w:t xml:space="preserve">hese cells are then aggregated using </w:t>
      </w:r>
      <w:r w:rsidRPr="00FF3ECB">
        <w:t>400 µm microwell plates</w:t>
      </w:r>
      <w:r w:rsidR="002E1BB0" w:rsidRPr="00FF3ECB">
        <w:t xml:space="preserve"> to generate 3D chorion models</w:t>
      </w:r>
      <w:r w:rsidRPr="00FF3ECB">
        <w:t>. By 72 h, uniform TE aggregates emerged</w:t>
      </w:r>
      <w:r w:rsidR="00274016" w:rsidRPr="00FF3ECB">
        <w:t xml:space="preserve"> (</w:t>
      </w:r>
      <w:r w:rsidR="00274016" w:rsidRPr="00FF3ECB">
        <w:rPr>
          <w:b/>
          <w:bCs/>
        </w:rPr>
        <w:t>Fig</w:t>
      </w:r>
      <w:r w:rsidR="00844FEB" w:rsidRPr="00FF3ECB">
        <w:rPr>
          <w:b/>
          <w:bCs/>
        </w:rPr>
        <w:t>ure 2</w:t>
      </w:r>
      <w:r w:rsidR="00D86026" w:rsidRPr="00FF3ECB">
        <w:rPr>
          <w:b/>
          <w:bCs/>
        </w:rPr>
        <w:t>A</w:t>
      </w:r>
      <w:r w:rsidR="00274016" w:rsidRPr="00FF3ECB">
        <w:t>)</w:t>
      </w:r>
      <w:r w:rsidRPr="00FF3ECB">
        <w:t>. On day 15, aggregates were transitioned into chorion-inducing ACE (A83-01+CHIR99021+EGF) med</w:t>
      </w:r>
      <w:r w:rsidR="00A60B77" w:rsidRPr="00FF3ECB">
        <w:t>ium</w:t>
      </w:r>
      <w:r w:rsidRPr="00FF3ECB">
        <w:t xml:space="preserve"> with </w:t>
      </w:r>
      <w:r w:rsidR="00803919" w:rsidRPr="00FF3ECB">
        <w:t>syncytial domains</w:t>
      </w:r>
      <w:r w:rsidRPr="00FF3ECB">
        <w:t xml:space="preserve"> visible by day 18. </w:t>
      </w:r>
      <w:r w:rsidR="00A60B77" w:rsidRPr="00FF3ECB">
        <w:t>Based on</w:t>
      </w:r>
      <w:r w:rsidRPr="00FF3ECB">
        <w:t xml:space="preserve"> studies suggesting that orbital agitation promotes </w:t>
      </w:r>
      <w:r w:rsidR="006F389A" w:rsidRPr="00FF3ECB">
        <w:t>outwards-facing syncytial</w:t>
      </w:r>
      <w:r w:rsidRPr="00FF3ECB">
        <w:t xml:space="preserve"> polarity in TB organoids and maturation of syncytia</w:t>
      </w:r>
      <w:r w:rsidR="00274016" w:rsidRPr="00FF3ECB">
        <w:fldChar w:fldCharType="begin"/>
      </w:r>
      <w:r w:rsidR="00A620F1" w:rsidRPr="00FF3ECB">
        <w:instrText xml:space="preserve"> ADDIN ZOTERO_ITEM CSL_CITATION {"citationID":"WS7WCgY6","properties":{"unsorted":false,"formattedCitation":"\\super 34,35\\nosupersub{}","plainCitation":"34,35","noteIndex":0},"citationItems":[{"id":488,"uris":["http://zotero.org/users/6778933/items/T3HXMH5V"],"itemData":{"id":488,"type":"article-journal","abstract":"Human trophoblast organoids (TOs) are a three-dimensional ex vivo culture model that can be used to study various aspects of placental development, physiology and pathology. However, standard culturing of TOs does not recapitulate the cellular orientation of chorionic villi in vivo given that the multi-nucleated syncytiotrophoblast (STB) develops largely within the inner facing surfaces of these organoids (STBin). Here, we developed a method to culture TOs under conditions that recapitulate the cellular orientation of chorionic villi in vivo. We show that culturing STBin TOs in suspension with gentle agitation leads to the development of TOs containing the STB on the outer surface (STBout). Using membrane capacitance measurements, we determined that the outermost surface of STBout organoids contain large syncytia comprising &amp;gt;50 nuclei, whereas STBin organoids contain small syncytia (&amp;lt;10 nuclei) and mononuclear cells. The growth of TOs under conditions that mimic the cellular orientation of chorionic villi in vivo thus allows for the study of a variety of aspects of placental biology under physiological conditions.","container-title":"Journal of Cell Science","DOI":"10.1242/jcs.261528","ISSN":"0021-9533","issue":"5","journalAbbreviation":"Journal of Cell Science","page":"jcs261528","title":"Trophoblast organoids with physiological polarity model placental structure and function","volume":"137","author":[{"family":"Yang","given":"Liheng (</w:instrText>
      </w:r>
      <w:r w:rsidR="00A620F1" w:rsidRPr="008219F9">
        <w:rPr>
          <w:rFonts w:eastAsia="Microsoft YaHei"/>
        </w:rPr>
        <w:instrText>杨利恒</w:instrText>
      </w:r>
      <w:r w:rsidR="00A620F1" w:rsidRPr="00FF3ECB">
        <w:instrText xml:space="preserve">)"},{"family":"Liang","given":"Pengfei"},{"family":"Yang","given":"Huanghe"},{"family":"Coyne","given":"Carolyn B."}],"issued":{"date-parts":[["2023",9,7]]}}},{"id":510,"uris":["http://zotero.org/users/6778933/items/UXTSDC3R"],"itemData":{"id":510,"type":"article-journal","abstract":"Human placental villi have essential roles in producing hormones, mediating nutrient and waste exchange, and protecting the fetus from exposure to xenobiotics. Human trophoblast organoids that recapitulate the structure of villi could provide an important in vitro tool to understand placental development and the transplacental passage of xenobiotics. However, such organoids do not currently exist. Here we describe the generation of trophoblast organoids using human trophoblast stem (TS) cells. Following treatment with three kinds of culture medium, TS cells form spherical organoids with a single outer layer of syncytiotrophoblast (ST) cells that display a barrier function. Furthermore, we develop a column-type ST barrier model based on the culture condition of the trophoblast organoids. The bottom membrane of the column is almost entirely covered with syndecan 1-positive ST cells. The barrier integrity and maturation levels of the model are confirmed by measuring transepithelial/transendothelial electrical resistance (TEER) and the amount of human chorionic gonadotropin. Further analysis reveals that the model can be used to derive the apparent permeability coefficients of model compounds. In addition to providing a suite of tools for the study of placental development, our trophoblast models allow the evaluation of compound transfer and toxicity, which will facilitate drug development.","container-title":"Nature Communications","DOI":"10.1038/s41467-024-45279-y","ISSN":"2041-1723","issue":"1","journalAbbreviation":"Nature Communications","page":"962","title":"Trophoblast stem cell-based organoid models of the human placental barrier","volume":"15","author":[{"family":"Hori","given":"Takeshi"},{"family":"Okae","given":"Hiroaki"},{"family":"Shibata","given":"Shun"},{"family":"Kobayashi","given":"Norio"},{"family":"Kobayashi","given":"Eri H."},{"family":"Oike","given":"Akira"},{"family":"Sekiya","given":"Asato"},{"family":"Arima","given":"Takahiro"},{"family":"Kaji","given":"Hirokazu"}],"issued":{"date-parts":[["2024",2,8]]}}}],"schema":"https://github.com/citation-style-language/schema/raw/master/csl-citation.json"} </w:instrText>
      </w:r>
      <w:r w:rsidR="00274016" w:rsidRPr="00FF3ECB">
        <w:fldChar w:fldCharType="separate"/>
      </w:r>
      <w:r w:rsidR="00A620F1" w:rsidRPr="00FF3ECB">
        <w:rPr>
          <w:vertAlign w:val="superscript"/>
          <w:lang w:val="en-US"/>
        </w:rPr>
        <w:t>34,35</w:t>
      </w:r>
      <w:r w:rsidR="00274016" w:rsidRPr="00FF3ECB">
        <w:fldChar w:fldCharType="end"/>
      </w:r>
      <w:r w:rsidRPr="00FF3ECB">
        <w:t>, aggregates were removed from microwells on day 23 and placed on an orbital shaker under modest agitation for 48 h. Under orbital shaking, aggregates displayed clear external syncytial lacunae</w:t>
      </w:r>
      <w:r w:rsidR="00274016" w:rsidRPr="00FF3ECB">
        <w:t xml:space="preserve"> (cavities)</w:t>
      </w:r>
      <w:r w:rsidRPr="00FF3ECB">
        <w:t xml:space="preserve"> and proliferated robustly (</w:t>
      </w:r>
      <w:r w:rsidRPr="00FF3ECB">
        <w:rPr>
          <w:b/>
          <w:bCs/>
        </w:rPr>
        <w:t>Fig</w:t>
      </w:r>
      <w:r w:rsidR="00844FEB" w:rsidRPr="00FF3ECB">
        <w:rPr>
          <w:b/>
          <w:bCs/>
        </w:rPr>
        <w:t>ure 2</w:t>
      </w:r>
      <w:r w:rsidR="00D86026" w:rsidRPr="00FF3ECB">
        <w:rPr>
          <w:b/>
          <w:bCs/>
        </w:rPr>
        <w:t>A</w:t>
      </w:r>
      <w:r w:rsidRPr="00FF3ECB">
        <w:t xml:space="preserve">). </w:t>
      </w:r>
    </w:p>
    <w:p w14:paraId="614C6C46" w14:textId="77777777" w:rsidR="00570F1D" w:rsidRPr="00FF3ECB" w:rsidRDefault="00570F1D" w:rsidP="00FF3ECB"/>
    <w:p w14:paraId="4BE2A0FB" w14:textId="015FC869" w:rsidR="001F477B" w:rsidRPr="00FF3ECB" w:rsidRDefault="008219F9" w:rsidP="00FF3ECB">
      <w:r w:rsidRPr="00FF3ECB">
        <w:t xml:space="preserve">To visualize the chorion models, day 25 aggregates were fixed, </w:t>
      </w:r>
      <w:proofErr w:type="spellStart"/>
      <w:r w:rsidR="00274016" w:rsidRPr="00FF3ECB">
        <w:t>immunostained</w:t>
      </w:r>
      <w:proofErr w:type="spellEnd"/>
      <w:r w:rsidRPr="00FF3ECB">
        <w:t xml:space="preserve">, and cleared in </w:t>
      </w:r>
      <w:r w:rsidR="00EF06D1">
        <w:t xml:space="preserve"> </w:t>
      </w:r>
      <w:r w:rsidRPr="00FF3ECB">
        <w:t xml:space="preserve">BABB </w:t>
      </w:r>
      <w:r w:rsidR="00570F1D" w:rsidRPr="00FF3ECB">
        <w:t>solution prior to confocal imaging</w:t>
      </w:r>
      <w:r w:rsidR="00570F1D" w:rsidRPr="00FF3ECB">
        <w:fldChar w:fldCharType="begin"/>
      </w:r>
      <w:r w:rsidR="00A620F1" w:rsidRPr="00FF3ECB">
        <w:instrText xml:space="preserve"> ADDIN ZOTERO_ITEM CSL_CITATION {"citationID":"JnnfP5RY","properties":{"unsorted":false,"formattedCitation":"\\super 36\\nosupersub{}","plainCitation":"36","noteIndex":0},"citationItems":[{"id":511,"uris":["http://zotero.org/users/6778933/items/2RISVNVA"],"itemData":{"id":511,"type":"article-journal","abstract":"Visualizing entire neuronal networks for analysis in the intact brain has been impossible up to now. Techniques like computer tomography or magnetic resonance imaging (MRI) do not yield cellular resolution, and mechanical slicing procedures are insufficient to achieve high-resolution reconstructions in three dimensions. Here we present an approach that allows imaging of whole fixed mouse brains. We modified 'ultramicroscopy' by combining it with a special procedure to clear tissue. We show that this new technique allows optical sectioning of fixed mouse brains with cellular resolution and can be used to detect single GFP-labeled neurons in excised mouse hippocampi. We obtained three-dimensional (3D) images of dendritic trees and spines of populations of CA1 neurons in isolated hippocampi. Also in fruit flies and in mouse embryos, we were able to visualize details of the anatomy by imaging autofluorescence. Our method is ideally suited for high-throughput phenotype screening of transgenic mice and thus will benefit the investigation of disease models.","container-title":"Nature Methods","DOI":"10.1038/nmeth1036","ISSN":"1548-7105","issue":"4","journalAbbreviation":"Nature Methods","page":"331-336","title":"Ultramicroscopy: three-dimensional visualization of neuronal networks in the whole mouse brain","volume":"4","author":[{"family":"Dodt","given":"Hans-Ulrich"},{"family":"Leischner","given":"Ulrich"},{"family":"Schierloh","given":"Anja"},{"family":"Jährling","given":"Nina"},{"family":"Mauch","given":"Christoph Peter"},{"family":"Deininger","given":"Katrin"},{"family":"Deussing","given":"Jan Michael"},{"family":"Eder","given":"Matthias"},{"family":"Zieglgänsberger","given":"Walter"},{"family":"Becker","given":"Klaus"}],"issued":{"date-parts":[["2007",4,1]]}}}],"schema":"https://github.com/citation-style-language/schema/raw/master/csl-citation.json"} </w:instrText>
      </w:r>
      <w:r w:rsidR="00570F1D" w:rsidRPr="00FF3ECB">
        <w:fldChar w:fldCharType="separate"/>
      </w:r>
      <w:r w:rsidR="00A620F1" w:rsidRPr="00FF3ECB">
        <w:rPr>
          <w:vertAlign w:val="superscript"/>
          <w:lang w:val="en-US"/>
        </w:rPr>
        <w:t>36</w:t>
      </w:r>
      <w:r w:rsidR="00570F1D" w:rsidRPr="00FF3ECB">
        <w:fldChar w:fldCharType="end"/>
      </w:r>
      <w:r w:rsidR="00570F1D" w:rsidRPr="00FF3ECB">
        <w:t>. After clearing, aggregates turned transparent, and the inner core could be detected using confocal microscopy (</w:t>
      </w:r>
      <w:r w:rsidR="00570F1D" w:rsidRPr="00FF3ECB">
        <w:rPr>
          <w:b/>
          <w:bCs/>
        </w:rPr>
        <w:t>Fig</w:t>
      </w:r>
      <w:r w:rsidR="00844FEB" w:rsidRPr="00FF3ECB">
        <w:rPr>
          <w:b/>
          <w:bCs/>
        </w:rPr>
        <w:t>ure 3A</w:t>
      </w:r>
      <w:r w:rsidR="00570F1D" w:rsidRPr="00EF06D1">
        <w:t>)</w:t>
      </w:r>
      <w:r w:rsidR="00570F1D" w:rsidRPr="00FF3ECB">
        <w:t xml:space="preserve">. Chorion models displayed </w:t>
      </w:r>
      <w:r w:rsidR="006F389A" w:rsidRPr="00FF3ECB">
        <w:t>appropriate</w:t>
      </w:r>
      <w:r w:rsidR="00570F1D" w:rsidRPr="00FF3ECB">
        <w:t xml:space="preserve"> spatial organization of SDC1+ </w:t>
      </w:r>
      <w:proofErr w:type="spellStart"/>
      <w:r w:rsidR="00570F1D" w:rsidRPr="00FF3ECB">
        <w:t>syncytiotrophoblast</w:t>
      </w:r>
      <w:proofErr w:type="spellEnd"/>
      <w:r w:rsidR="00570F1D" w:rsidRPr="00FF3ECB">
        <w:t xml:space="preserve"> covering ITGA6+ cytotrophoblast with spontaneous HLA</w:t>
      </w:r>
      <w:r w:rsidR="009E3C6D" w:rsidRPr="00FF3ECB">
        <w:t>-</w:t>
      </w:r>
      <w:r w:rsidR="00570F1D" w:rsidRPr="00FF3ECB">
        <w:t xml:space="preserve">G+ </w:t>
      </w:r>
      <w:proofErr w:type="spellStart"/>
      <w:r w:rsidR="00570F1D" w:rsidRPr="00FF3ECB">
        <w:t>extravillous</w:t>
      </w:r>
      <w:proofErr w:type="spellEnd"/>
      <w:r w:rsidR="00570F1D" w:rsidRPr="00FF3ECB">
        <w:t xml:space="preserve"> trophoblast interspersed throughout the syncytial layer</w:t>
      </w:r>
      <w:r w:rsidR="00274016" w:rsidRPr="00FF3ECB">
        <w:t xml:space="preserve"> </w:t>
      </w:r>
      <w:r w:rsidR="00570F1D" w:rsidRPr="00FF3ECB">
        <w:t>(</w:t>
      </w:r>
      <w:r w:rsidR="00570F1D" w:rsidRPr="00FF3ECB">
        <w:rPr>
          <w:b/>
          <w:bCs/>
        </w:rPr>
        <w:t>Fig</w:t>
      </w:r>
      <w:r w:rsidR="00844FEB" w:rsidRPr="00FF3ECB">
        <w:rPr>
          <w:b/>
          <w:bCs/>
        </w:rPr>
        <w:t>ure 4A</w:t>
      </w:r>
      <w:r w:rsidR="00570F1D" w:rsidRPr="00C35528">
        <w:t>)</w:t>
      </w:r>
      <w:r w:rsidR="00570F1D" w:rsidRPr="00FF3ECB">
        <w:t>. Co-staining of GATA3 and VIM revealed a central VIM+ mesenchymal core encased by layers of GATA3+ T</w:t>
      </w:r>
      <w:r w:rsidR="00570F1D" w:rsidRPr="00FF3ECB">
        <w:rPr>
          <w:bCs/>
        </w:rPr>
        <w:t>B</w:t>
      </w:r>
      <w:r w:rsidR="00570F1D" w:rsidRPr="00FF3ECB">
        <w:t>, consistent with the stromal</w:t>
      </w:r>
      <w:r w:rsidR="00274016" w:rsidRPr="00FF3ECB">
        <w:t>-</w:t>
      </w:r>
      <w:r w:rsidR="00570F1D" w:rsidRPr="00FF3ECB">
        <w:t xml:space="preserve">epithelial organization of the nascent chorion. </w:t>
      </w:r>
      <w:r w:rsidR="007475D1" w:rsidRPr="00FF3ECB">
        <w:t>According to published q</w:t>
      </w:r>
      <w:r w:rsidR="00803919" w:rsidRPr="00FF3ECB">
        <w:t>uantitative analysis</w:t>
      </w:r>
      <w:r w:rsidR="00C35528">
        <w:t>,</w:t>
      </w:r>
      <w:r w:rsidR="007475D1" w:rsidRPr="00FF3ECB">
        <w:t xml:space="preserve"> </w:t>
      </w:r>
      <w:r w:rsidR="00266982" w:rsidRPr="00FF3ECB">
        <w:rPr>
          <w:color w:val="000000"/>
          <w:shd w:val="clear" w:color="auto" w:fill="FFFFFF"/>
        </w:rPr>
        <w:t>these</w:t>
      </w:r>
      <w:r w:rsidR="00803919" w:rsidRPr="00FF3ECB">
        <w:rPr>
          <w:color w:val="000000"/>
          <w:shd w:val="clear" w:color="auto" w:fill="FFFFFF"/>
        </w:rPr>
        <w:t xml:space="preserve"> </w:t>
      </w:r>
      <w:r w:rsidR="00DD6557" w:rsidRPr="008219F9">
        <w:rPr>
          <w:color w:val="000000"/>
          <w:shd w:val="clear" w:color="auto" w:fill="FFFFFF"/>
        </w:rPr>
        <w:t>models had a mean longest-axis length of 1</w:t>
      </w:r>
      <w:r w:rsidR="00D44E76" w:rsidRPr="00FF3ECB">
        <w:rPr>
          <w:color w:val="000000"/>
          <w:shd w:val="clear" w:color="auto" w:fill="FFFFFF"/>
        </w:rPr>
        <w:t>60</w:t>
      </w:r>
      <w:r w:rsidR="00DD6557" w:rsidRPr="008219F9">
        <w:rPr>
          <w:color w:val="000000"/>
          <w:shd w:val="clear" w:color="auto" w:fill="FFFFFF"/>
        </w:rPr>
        <w:t xml:space="preserve"> µm, with </w:t>
      </w:r>
      <w:r w:rsidR="007475D1" w:rsidRPr="00FF3ECB">
        <w:rPr>
          <w:color w:val="000000"/>
          <w:shd w:val="clear" w:color="auto" w:fill="FFFFFF"/>
        </w:rPr>
        <w:t>&gt;</w:t>
      </w:r>
      <w:r w:rsidR="00DD6557" w:rsidRPr="008219F9">
        <w:rPr>
          <w:color w:val="000000"/>
          <w:shd w:val="clear" w:color="auto" w:fill="FFFFFF"/>
        </w:rPr>
        <w:t>6</w:t>
      </w:r>
      <w:r w:rsidR="007475D1" w:rsidRPr="00FF3ECB">
        <w:rPr>
          <w:color w:val="000000"/>
          <w:shd w:val="clear" w:color="auto" w:fill="FFFFFF"/>
        </w:rPr>
        <w:t>0</w:t>
      </w:r>
      <w:r w:rsidR="00DD6557" w:rsidRPr="008219F9">
        <w:rPr>
          <w:color w:val="000000"/>
          <w:shd w:val="clear" w:color="auto" w:fill="FFFFFF"/>
        </w:rPr>
        <w:t>% displaying the expected syncytial polarity</w:t>
      </w:r>
      <w:r w:rsidR="006F389A" w:rsidRPr="00FF3ECB">
        <w:rPr>
          <w:color w:val="000000"/>
          <w:shd w:val="clear" w:color="auto" w:fill="FFFFFF"/>
        </w:rPr>
        <w:t>,</w:t>
      </w:r>
      <w:r w:rsidR="00DD6557" w:rsidRPr="008219F9">
        <w:rPr>
          <w:color w:val="000000"/>
          <w:shd w:val="clear" w:color="auto" w:fill="FFFFFF"/>
        </w:rPr>
        <w:t xml:space="preserve"> and </w:t>
      </w:r>
      <w:r w:rsidR="007475D1" w:rsidRPr="00FF3ECB">
        <w:rPr>
          <w:color w:val="000000"/>
          <w:shd w:val="clear" w:color="auto" w:fill="FFFFFF"/>
        </w:rPr>
        <w:t>~</w:t>
      </w:r>
      <w:r w:rsidR="00DD6557" w:rsidRPr="008219F9">
        <w:rPr>
          <w:color w:val="000000"/>
          <w:shd w:val="clear" w:color="auto" w:fill="FFFFFF"/>
        </w:rPr>
        <w:t>4</w:t>
      </w:r>
      <w:r w:rsidR="007475D1" w:rsidRPr="00FF3ECB">
        <w:rPr>
          <w:color w:val="000000"/>
          <w:shd w:val="clear" w:color="auto" w:fill="FFFFFF"/>
        </w:rPr>
        <w:t>0</w:t>
      </w:r>
      <w:r w:rsidR="00DD6557" w:rsidRPr="008219F9">
        <w:rPr>
          <w:color w:val="000000"/>
          <w:shd w:val="clear" w:color="auto" w:fill="FFFFFF"/>
        </w:rPr>
        <w:t>% containing an internal VIM</w:t>
      </w:r>
      <w:r w:rsidR="007475D1" w:rsidRPr="00FF3ECB">
        <w:rPr>
          <w:color w:val="000000"/>
          <w:shd w:val="clear" w:color="auto" w:fill="FFFFFF"/>
        </w:rPr>
        <w:t>+</w:t>
      </w:r>
      <w:r w:rsidR="00DD6557" w:rsidRPr="008219F9">
        <w:rPr>
          <w:color w:val="000000"/>
          <w:shd w:val="clear" w:color="auto" w:fill="FFFFFF"/>
        </w:rPr>
        <w:t xml:space="preserve"> compartmen</w:t>
      </w:r>
      <w:r w:rsidR="00297D16" w:rsidRPr="00FF3ECB">
        <w:rPr>
          <w:color w:val="000000"/>
          <w:shd w:val="clear" w:color="auto" w:fill="FFFFFF"/>
        </w:rPr>
        <w:t>t</w:t>
      </w:r>
      <w:r w:rsidR="00297D16" w:rsidRPr="008219F9">
        <w:rPr>
          <w:color w:val="000000"/>
        </w:rPr>
        <w:fldChar w:fldCharType="begin"/>
      </w:r>
      <w:r w:rsidR="00297D16" w:rsidRPr="008219F9">
        <w:rPr>
          <w:color w:val="000000"/>
        </w:rPr>
        <w:instrText xml:space="preserve"> ADDIN ZOTERO_ITEM CSL_CITATION {"citationID":"wqxRzqjl","properties":{"unsorted":false,"formattedCitation":"\\super 21\\nosupersub{}","plainCitation":"21","noteIndex":0},"citationItems":[{"id":"R0aTIDOI/ZmrS9z01","uris":["http://zotero.org/users/17609913/items/TLQFE78P"],"itemData":{"id":"FS6natld/60ZV65W7","type":"article","abstract":"The first lineage decision in the mammalian blastocyst commits outer cells to the trophectoderm and initiates the trajectory that gives rise to the placental chorion. The molecular sequence that unfolds downstream of HIPPO pathway inactivation, linking human trophectoderm specification to the early organization of the chorion, has remained unknown. Here, we establish a developmentally informed model that leverages HIPPO pathway modulation to induce the native trophectoderm trajectory in the absence of exogenous BMP or WNT signaling. We first transiently reset primed human pluripotent stem cells into a trophectoderm-competent ground state, followed by LATS kinase inhibition to set the trajectory in motion. To benchmark fidelity, we built an embryo-chorion single-cell reference integrating published early human and placental transcriptomes and applied a computational stage-matching tool to align our cultures to natural development. Stage matching revealed an ordered progression along the trophectoderm trajectory from early TE to post-implantation trophoblast. With extended culture, all major cell types of the nascent chorion emerged, encompassing both trophoblast and chorionic mesoderm lineages. Within the trophoblast, we identified proliferative and non-cycling villous cytotrophoblast, a columnar population connecting villous and extravillous domains, as well as syncytia and extravillous subtypes. When cultured in suspension, these lineages self-organized into three-dimensional organoids that recapitulated the stromal-epithelial architecture and proliferative-syncytial polarity of the emergent chorion. We identified CLDN6 as a defining surface marker of columnar trophoblast, the population that bridges villous and extravillous compartments. Prospective isolation of living CLDN6+ trophoblast revealed their capacity to reacquire a proliferative villous state and, under directed cues, generate both syncytial and extravillous fates, confirming their proposed dual developmental potential within the chorion. Together, these findings establish a developmentally informed framework that connects human trophectoderm specification to the emergent chorion and provides a dynamic platform for investigating the earliest steps of placental specification and the origins of implantation disorders.","DOI":"10.1101/2025.11.18.688276","language":"en","license":"© 2025, Posted by openRxiv. This pre-print is available under a Creative Commons License (Attribution-NonCommercial-NoDerivs 4.0 International), CC BY-NC-ND 4.0, as described at http://creativecommons.org/licenses/by-nc-nd/4.0/","note":"ISSN: 2692-8205\npage: 2025.11.18.688276\nsection: New Results","publisher":"bioRxiv","source":"bioRxiv","title":"Reconstructing the emergence of the human chorion via HIPPO-mediated trophoblast induction","URL":"https://www.biorxiv.org/content/10.1101/2025.11.18.688276v1","author":[{"family":"Zhang","given":"Miaoci"},{"family":"Lim","given":"Ryan L."},{"family":"Reis","given":"Alice H."},{"family":"Piszker","given":"Walter"},{"family":"Boyd","given":"Wallis W."},{"family":"Pagon","given":"Athena"},{"family":"Mahajan","given":"Aman"},{"family":"Wu","given":"Linlin"},{"family":"Zhao","given":"Cheng"},{"family":"Petropoulos","given":"Sophie"},{"family":"Ronda","given":"Carlotta"},{"family":"Simunovic","given":"Mijo"}],"accessed":{"date-parts":[["2025",11,28]]},"issued":{"date-parts":[["2025",11,18]]}}}],"schema":"https://github.com/citation-style-language/schema/raw/master/csl-citation.json"} </w:instrText>
      </w:r>
      <w:r w:rsidR="00297D16" w:rsidRPr="008219F9">
        <w:rPr>
          <w:color w:val="000000"/>
        </w:rPr>
        <w:fldChar w:fldCharType="separate"/>
      </w:r>
      <w:r w:rsidR="00297D16" w:rsidRPr="008219F9">
        <w:rPr>
          <w:color w:val="000000"/>
          <w:vertAlign w:val="superscript"/>
          <w:lang w:val="en-US"/>
        </w:rPr>
        <w:t>21</w:t>
      </w:r>
      <w:r w:rsidR="00297D16" w:rsidRPr="008219F9">
        <w:rPr>
          <w:color w:val="000000"/>
        </w:rPr>
        <w:fldChar w:fldCharType="end"/>
      </w:r>
      <w:r w:rsidR="00DD6557" w:rsidRPr="008219F9">
        <w:rPr>
          <w:color w:val="000000"/>
          <w:shd w:val="clear" w:color="auto" w:fill="FFFFFF"/>
        </w:rPr>
        <w:t xml:space="preserve">. </w:t>
      </w:r>
      <w:r w:rsidR="009E646A" w:rsidRPr="008219F9">
        <w:rPr>
          <w:color w:val="000000"/>
        </w:rPr>
        <w:t xml:space="preserve">For </w:t>
      </w:r>
      <w:r w:rsidR="00803919" w:rsidRPr="00FF3ECB">
        <w:rPr>
          <w:color w:val="000000"/>
        </w:rPr>
        <w:t>further</w:t>
      </w:r>
      <w:r w:rsidR="009E646A" w:rsidRPr="008219F9">
        <w:rPr>
          <w:color w:val="000000"/>
        </w:rPr>
        <w:t xml:space="preserve"> comprehensive quantitative characterization of this model, including </w:t>
      </w:r>
      <w:r w:rsidR="009D1415" w:rsidRPr="008219F9">
        <w:rPr>
          <w:color w:val="000000"/>
        </w:rPr>
        <w:t>the efficiencies</w:t>
      </w:r>
      <w:r w:rsidR="00A913AE" w:rsidRPr="008219F9">
        <w:rPr>
          <w:color w:val="000000"/>
        </w:rPr>
        <w:t xml:space="preserve"> of </w:t>
      </w:r>
      <w:r w:rsidR="009E646A" w:rsidRPr="008219F9">
        <w:rPr>
          <w:color w:val="000000"/>
        </w:rPr>
        <w:t xml:space="preserve">transient naïve resetting, </w:t>
      </w:r>
      <w:r w:rsidR="00DD4655" w:rsidRPr="008219F9">
        <w:rPr>
          <w:color w:val="000000"/>
        </w:rPr>
        <w:t>TE</w:t>
      </w:r>
      <w:r w:rsidR="009E646A" w:rsidRPr="008219F9">
        <w:rPr>
          <w:color w:val="000000"/>
        </w:rPr>
        <w:t xml:space="preserve"> induction, and organized chorion model formation</w:t>
      </w:r>
      <w:r w:rsidR="009E646A" w:rsidRPr="00FF3ECB">
        <w:rPr>
          <w:color w:val="000000"/>
        </w:rPr>
        <w:t>, see</w:t>
      </w:r>
      <w:r w:rsidR="00043A8E">
        <w:rPr>
          <w:color w:val="000000"/>
        </w:rPr>
        <w:t xml:space="preserve"> </w:t>
      </w:r>
      <w:r w:rsidR="00043A8E">
        <w:t>Zhang et al.</w:t>
      </w:r>
      <w:r w:rsidR="009E646A" w:rsidRPr="00FF3ECB">
        <w:rPr>
          <w:color w:val="000000"/>
        </w:rPr>
        <w:fldChar w:fldCharType="begin"/>
      </w:r>
      <w:r w:rsidR="00297D16" w:rsidRPr="008219F9">
        <w:rPr>
          <w:color w:val="000000"/>
        </w:rPr>
        <w:instrText xml:space="preserve"> ADDIN ZOTERO_ITEM CSL_CITATION {"citationID":"wqxRzqjl","properties":{"unsorted":false,"formattedCitation":"\\super 21\\nosupersub{}","plainCitation":"21","noteIndex":0},"citationItems":[{"id":"R0aTIDOI/ZmrS9z01","uris":["http://zotero.org/users/17609913/items/TLQFE78P"],"itemData":{"id":"FS6natld/60ZV65W7","type":"article","abstract":"The first lineage decision in the mammalian blastocyst commits outer cells to the trophectoderm and initiates the trajectory that gives rise to the placental chorion. The molecular sequence that unfolds downstream of HIPPO pathway inactivation, linking human trophectoderm specification to the early organization of the chorion, has remained unknown. Here, we establish a developmentally informed model that leverages HIPPO pathway modulation to induce the native trophectoderm trajectory in the absence of exogenous BMP or WNT signaling. We first transiently reset primed human pluripotent stem cells into a trophectoderm-competent ground state, followed by LATS kinase inhibition to set the trajectory in motion. To benchmark fidelity, we built an embryo-chorion single-cell reference integrating published early human and placental transcriptomes and applied a computational stage-matching tool to align our cultures to natural development. Stage matching revealed an ordered progression along the trophectoderm trajectory from early TE to post-implantation trophoblast. With extended culture, all major cell types of the nascent chorion emerged, encompassing both trophoblast and chorionic mesoderm lineages. Within the trophoblast, we identified proliferative and non-cycling villous cytotrophoblast, a columnar population connecting villous and extravillous domains, as well as syncytia and extravillous subtypes. When cultured in suspension, these lineages self-organized into three-dimensional organoids that recapitulated the stromal-epithelial architecture and proliferative-syncytial polarity of the emergent chorion. We identified CLDN6 as a defining surface marker of columnar trophoblast, the population that bridges villous and extravillous compartments. Prospective isolation of living CLDN6+ trophoblast revealed their capacity to reacquire a proliferative villous state and, under directed cues, generate both syncytial and extravillous fates, confirming their proposed dual developmental potential within the chorion. Together, these findings establish a developmentally informed framework that connects human trophectoderm specification to the emergent chorion and provides a dynamic platform for investigating the earliest steps of placental specification and the origins of implantation disorders.","DOI":"10.1101/2025.11.18.688276","language":"en","license":"© 2025, Posted by openRxiv. This pre-print is available under a Creative Commons License (Attribution-NonCommercial-NoDerivs 4.0 International), CC BY-NC-ND 4.0, as described at http://creativecommons.org/licenses/by-nc-nd/4.0/","note":"ISSN: 2692-8205\npage: 2025.11.18.688276\nsection: New Results","publisher":"bioRxiv","source":"bioRxiv","title":"Reconstructing the emergence of the human chorion via HIPPO-mediated trophoblast induction","URL":"https://www.biorxiv.org/content/10.1101/2025.11.18.688276v1","author":[{"family":"Zhang","given":"Miaoci"},{"family":"Lim","given":"Ryan L."},{"family":"Reis","given":"Alice H."},{"family":"Piszker","given":"Walter"},{"family":"Boyd","given":"Wallis W."},{"family":"Pagon","given":"Athena"},{"family":"Mahajan","given":"Aman"},{"family":"Wu","given":"Linlin"},{"family":"Zhao","given":"Cheng"},{"family":"Petropoulos","given":"Sophie"},{"family":"Ronda","given":"Carlotta"},{"family":"Simunovic","given":"Mijo"}],"accessed":{"date-parts":[["2025",11,28]]},"issued":{"date-parts":[["2025",11,18]]}}}],"schema":"https://github.com/citation-style-language/schema/raw/master/csl-citation.json"} </w:instrText>
      </w:r>
      <w:r w:rsidR="009E646A" w:rsidRPr="00FF3ECB">
        <w:rPr>
          <w:color w:val="000000"/>
        </w:rPr>
        <w:fldChar w:fldCharType="separate"/>
      </w:r>
      <w:r w:rsidR="00A620F1" w:rsidRPr="008219F9">
        <w:rPr>
          <w:color w:val="000000"/>
          <w:vertAlign w:val="superscript"/>
          <w:lang w:val="en-US"/>
        </w:rPr>
        <w:t>21</w:t>
      </w:r>
      <w:r w:rsidR="009E646A" w:rsidRPr="00FF3ECB">
        <w:rPr>
          <w:color w:val="000000"/>
        </w:rPr>
        <w:fldChar w:fldCharType="end"/>
      </w:r>
      <w:r w:rsidR="009E646A" w:rsidRPr="008219F9">
        <w:rPr>
          <w:color w:val="000000"/>
        </w:rPr>
        <w:t xml:space="preserve">. </w:t>
      </w:r>
    </w:p>
    <w:p w14:paraId="50469812" w14:textId="77777777" w:rsidR="00570F1D" w:rsidRPr="00FF3ECB" w:rsidRDefault="00570F1D" w:rsidP="00FF3ECB">
      <w:pPr>
        <w:rPr>
          <w:color w:val="808080"/>
        </w:rPr>
      </w:pPr>
    </w:p>
    <w:p w14:paraId="3F44D10B" w14:textId="77777777" w:rsidR="001F477B" w:rsidRPr="00FF3ECB" w:rsidRDefault="008219F9" w:rsidP="00FF3ECB">
      <w:pPr>
        <w:rPr>
          <w:color w:val="808080"/>
          <w:highlight w:val="yellow"/>
        </w:rPr>
      </w:pPr>
      <w:r w:rsidRPr="00FF3ECB">
        <w:rPr>
          <w:b/>
        </w:rPr>
        <w:t>FIGURE AND TABLE LEGENDS:</w:t>
      </w:r>
    </w:p>
    <w:p w14:paraId="4E14590E" w14:textId="77777777" w:rsidR="001F477B" w:rsidRPr="00FF3ECB" w:rsidRDefault="001F477B" w:rsidP="00FF3ECB">
      <w:pPr>
        <w:rPr>
          <w:color w:val="808080"/>
          <w:highlight w:val="yellow"/>
        </w:rPr>
      </w:pPr>
    </w:p>
    <w:p w14:paraId="7DA9418D" w14:textId="7FC11150" w:rsidR="001F477B" w:rsidRPr="00FF3ECB" w:rsidRDefault="008219F9" w:rsidP="00FF3ECB">
      <w:r w:rsidRPr="00FF3ECB">
        <w:rPr>
          <w:b/>
          <w:bCs/>
        </w:rPr>
        <w:t xml:space="preserve">Figure 1: Induction of </w:t>
      </w:r>
      <w:r w:rsidR="009D1415" w:rsidRPr="00FF3ECB">
        <w:rPr>
          <w:b/>
          <w:bCs/>
        </w:rPr>
        <w:t xml:space="preserve">the </w:t>
      </w:r>
      <w:r w:rsidRPr="00FF3ECB">
        <w:rPr>
          <w:b/>
          <w:bCs/>
        </w:rPr>
        <w:t xml:space="preserve">trophectoderm (TE) program through HIPPO pathway modulation from transiently reset naïve </w:t>
      </w:r>
      <w:proofErr w:type="spellStart"/>
      <w:r w:rsidRPr="00FF3ECB">
        <w:rPr>
          <w:b/>
          <w:bCs/>
        </w:rPr>
        <w:t>h</w:t>
      </w:r>
      <w:r w:rsidR="00E86984" w:rsidRPr="00FF3ECB">
        <w:rPr>
          <w:b/>
          <w:bCs/>
        </w:rPr>
        <w:t>P</w:t>
      </w:r>
      <w:r w:rsidRPr="00FF3ECB">
        <w:rPr>
          <w:b/>
          <w:bCs/>
        </w:rPr>
        <w:t>SCs</w:t>
      </w:r>
      <w:proofErr w:type="spellEnd"/>
      <w:r w:rsidR="00E60CFC" w:rsidRPr="00FF3ECB">
        <w:rPr>
          <w:b/>
          <w:bCs/>
        </w:rPr>
        <w:t>.</w:t>
      </w:r>
      <w:r w:rsidRPr="00FF3ECB">
        <w:rPr>
          <w:b/>
          <w:bCs/>
        </w:rPr>
        <w:t xml:space="preserve"> </w:t>
      </w:r>
      <w:r w:rsidRPr="00FF3ECB">
        <w:t>(</w:t>
      </w:r>
      <w:r w:rsidR="0044031C" w:rsidRPr="00562D01">
        <w:rPr>
          <w:b/>
          <w:bCs/>
        </w:rPr>
        <w:t>A</w:t>
      </w:r>
      <w:r w:rsidRPr="00FF3ECB">
        <w:t xml:space="preserve">) Schematic of the two-step strategy: (1) transient </w:t>
      </w:r>
      <w:r w:rsidR="00274016" w:rsidRPr="00FF3ECB">
        <w:t>transcriptional</w:t>
      </w:r>
      <w:r w:rsidR="0044031C" w:rsidRPr="00FF3ECB">
        <w:t xml:space="preserve"> and </w:t>
      </w:r>
      <w:r w:rsidR="00274016" w:rsidRPr="00FF3ECB">
        <w:t>epigenetic</w:t>
      </w:r>
      <w:r w:rsidRPr="00FF3ECB">
        <w:t xml:space="preserve"> resetting to the naïve state and (2) subsequent TE induction through HIPPO pathway modulation. (</w:t>
      </w:r>
      <w:r w:rsidR="0044031C" w:rsidRPr="00562D01">
        <w:rPr>
          <w:b/>
          <w:bCs/>
        </w:rPr>
        <w:t>B</w:t>
      </w:r>
      <w:r w:rsidRPr="00FF3ECB">
        <w:t xml:space="preserve">) </w:t>
      </w:r>
      <w:r w:rsidR="007475D1" w:rsidRPr="00FF3ECB">
        <w:t>Brightfield</w:t>
      </w:r>
      <w:r w:rsidRPr="00FF3ECB">
        <w:t xml:space="preserve"> images of </w:t>
      </w:r>
      <w:r w:rsidR="007475D1" w:rsidRPr="00FF3ECB">
        <w:t xml:space="preserve">RUES2 </w:t>
      </w:r>
      <w:r w:rsidRPr="00FF3ECB">
        <w:t xml:space="preserve">cultured in </w:t>
      </w:r>
      <w:proofErr w:type="spellStart"/>
      <w:r w:rsidRPr="00FF3ECB">
        <w:t>mTeSR</w:t>
      </w:r>
      <w:proofErr w:type="spellEnd"/>
      <w:r w:rsidRPr="00FF3ECB">
        <w:t xml:space="preserve"> and tHENSM+2i after 6 days of treatment. </w:t>
      </w:r>
      <w:r w:rsidR="007F132A">
        <w:t>Magnification</w:t>
      </w:r>
      <w:r w:rsidR="001115DA">
        <w:t xml:space="preserve">, 25x. </w:t>
      </w:r>
      <w:r w:rsidRPr="00FF3ECB">
        <w:t>(</w:t>
      </w:r>
      <w:r w:rsidR="0044031C" w:rsidRPr="00562D01">
        <w:rPr>
          <w:b/>
          <w:bCs/>
        </w:rPr>
        <w:t>C</w:t>
      </w:r>
      <w:r w:rsidRPr="00FF3ECB">
        <w:t>) Representative immunofluorescence for select markers in prime</w:t>
      </w:r>
      <w:r w:rsidR="00274016" w:rsidRPr="00FF3ECB">
        <w:t>d</w:t>
      </w:r>
      <w:r w:rsidRPr="00FF3ECB">
        <w:t xml:space="preserve"> (</w:t>
      </w:r>
      <w:proofErr w:type="spellStart"/>
      <w:r w:rsidRPr="00FF3ECB">
        <w:t>mTeSR</w:t>
      </w:r>
      <w:proofErr w:type="spellEnd"/>
      <w:r w:rsidRPr="00FF3ECB">
        <w:t xml:space="preserve">) and tHENSM+2i </w:t>
      </w:r>
      <w:r w:rsidR="007475D1" w:rsidRPr="00FF3ECB">
        <w:t>states</w:t>
      </w:r>
      <w:r w:rsidRPr="00FF3ECB">
        <w:t>.</w:t>
      </w:r>
      <w:r w:rsidR="00643803" w:rsidRPr="00FF3ECB">
        <w:t xml:space="preserve"> </w:t>
      </w:r>
      <w:r w:rsidR="00573589" w:rsidRPr="00FF3ECB">
        <w:t xml:space="preserve">Scale bar, 200 µm. </w:t>
      </w:r>
      <w:r w:rsidRPr="00FF3ECB">
        <w:t>(</w:t>
      </w:r>
      <w:r w:rsidR="0044031C" w:rsidRPr="00562D01">
        <w:rPr>
          <w:b/>
          <w:bCs/>
        </w:rPr>
        <w:t>D</w:t>
      </w:r>
      <w:r w:rsidRPr="00FF3ECB">
        <w:t>) Bulk RNA-seq relative gene expression comparing tHENSM+2i cells to prime</w:t>
      </w:r>
      <w:r w:rsidR="00274016" w:rsidRPr="00FF3ECB">
        <w:t>d</w:t>
      </w:r>
      <w:r w:rsidRPr="00FF3ECB">
        <w:t xml:space="preserve"> (</w:t>
      </w:r>
      <w:proofErr w:type="spellStart"/>
      <w:r w:rsidRPr="00FF3ECB">
        <w:t>mTeSR</w:t>
      </w:r>
      <w:proofErr w:type="spellEnd"/>
      <w:r w:rsidRPr="00FF3ECB">
        <w:t xml:space="preserve">) </w:t>
      </w:r>
      <w:r w:rsidRPr="00FF3ECB">
        <w:lastRenderedPageBreak/>
        <w:t>for select prime</w:t>
      </w:r>
      <w:r w:rsidR="00274016" w:rsidRPr="00FF3ECB">
        <w:t>d and</w:t>
      </w:r>
      <w:r w:rsidRPr="00FF3ECB">
        <w:t xml:space="preserve"> naïve</w:t>
      </w:r>
      <w:r w:rsidR="00274016" w:rsidRPr="00FF3ECB">
        <w:t xml:space="preserve"> </w:t>
      </w:r>
      <w:r w:rsidRPr="00FF3ECB">
        <w:t>markers (</w:t>
      </w:r>
      <w:r w:rsidRPr="00FF3ECB">
        <w:rPr>
          <w:i/>
          <w:iCs/>
        </w:rPr>
        <w:t>n</w:t>
      </w:r>
      <w:r w:rsidR="00562D01">
        <w:rPr>
          <w:i/>
          <w:iCs/>
        </w:rPr>
        <w:t xml:space="preserve"> </w:t>
      </w:r>
      <w:r w:rsidRPr="00FF3ECB">
        <w:t>=</w:t>
      </w:r>
      <w:r w:rsidR="00562D01">
        <w:t xml:space="preserve"> </w:t>
      </w:r>
      <w:r w:rsidRPr="00FF3ECB">
        <w:t>3</w:t>
      </w:r>
      <w:r w:rsidR="00400B25" w:rsidRPr="00FF3ECB">
        <w:t xml:space="preserve"> per condition</w:t>
      </w:r>
      <w:r w:rsidRPr="00FF3ECB">
        <w:t>).</w:t>
      </w:r>
      <w:r w:rsidR="00274016" w:rsidRPr="00FF3ECB">
        <w:t xml:space="preserve"> Data </w:t>
      </w:r>
      <w:r w:rsidR="00E86984" w:rsidRPr="00FF3ECB">
        <w:t>reanalyzed</w:t>
      </w:r>
      <w:r w:rsidR="00274016" w:rsidRPr="00FF3ECB">
        <w:t xml:space="preserve"> from</w:t>
      </w:r>
      <w:r w:rsidR="001115DA">
        <w:t xml:space="preserve"> Zhang</w:t>
      </w:r>
      <w:r w:rsidR="00791BF5">
        <w:t xml:space="preserve"> et al.</w:t>
      </w:r>
      <w:r w:rsidR="00274016" w:rsidRPr="00FF3ECB">
        <w:fldChar w:fldCharType="begin"/>
      </w:r>
      <w:r w:rsidR="00297D16" w:rsidRPr="00FF3ECB">
        <w:instrText xml:space="preserve"> ADDIN ZOTERO_ITEM CSL_CITATION {"citationID":"7XUdMZLt","properties":{"unsorted":false,"formattedCitation":"\\super 21\\nosupersub{}","plainCitation":"21","noteIndex":0},"citationItems":[{"id":"R0aTIDOI/ZmrS9z01","uris":["http://zotero.org/users/17609913/items/TLQFE78P"],"itemData":{"id":2377,"type":"article","abstract":"The first lineage decision in the mammalian blastocyst commits outer cells to the trophectoderm and initiates the trajectory that gives rise to the placental chorion. The molecular sequence that unfolds downstream of HIPPO pathway inactivation, linking human trophectoderm specification to the early organization of the chorion, has remained unknown. Here, we establish a developmentally informed model that leverages HIPPO pathway modulation to induce the native trophectoderm trajectory in the absence of exogenous BMP or WNT signaling. We first transiently reset primed human pluripotent stem cells into a trophectoderm-competent ground state, followed by LATS kinase inhibition to set the trajectory in motion. To benchmark fidelity, we built an embryo-chorion single-cell reference integrating published early human and placental transcriptomes and applied a computational stage-matching tool to align our cultures to natural development. Stage matching revealed an ordered progression along the trophectoderm trajectory from early TE to post-implantation trophoblast. With extended culture, all major cell types of the nascent chorion emerged, encompassing both trophoblast and chorionic mesoderm lineages. Within the trophoblast, we identified proliferative and non-cycling villous cytotrophoblast, a columnar population connecting villous and extravillous domains, as well as syncytia and extravillous subtypes. When cultured in suspension, these lineages self-organized into three-dimensional organoids that recapitulated the stromal-epithelial architecture and proliferative-syncytial polarity of the emergent chorion. We identified CLDN6 as a defining surface marker of columnar trophoblast, the population that bridges villous and extravillous compartments. Prospective isolation of living CLDN6+ trophoblast revealed their capacity to reacquire a proliferative villous state and, under directed cues, generate both syncytial and extravillous fates, confirming their proposed dual developmental potential within the chorion. Together, these findings establish a developmentally informed framework that connects human trophectoderm specification to the emergent chorion and provides a dynamic platform for investigating the earliest steps of placental specification and the origins of implantation disorders.","DOI":"10.1101/2025.11.18.688276","language":"en","license":"© 2025, Posted by openRxiv. This pre-print is available under a Creative Commons License (Attribution-NonCommercial-NoDerivs 4.0 International), CC BY-NC-ND 4.0, as described at http://creativecommons.org/licenses/by-nc-nd/4.0/","note":"ISSN: 2692-8205\npage: 2025.11.18.688276\nsection: New Results","publisher":"bioRxiv","source":"bioRxiv","title":"Reconstructing the emergence of the human chorion via HIPPO-mediated trophoblast induction","URL":"https://www.biorxiv.org/content/10.1101/2025.11.18.688276v1","author":[{"family":"Zhang","given":"Miaoci"},{"family":"Lim","given":"Ryan L."},{"family":"Reis","given":"Alice H."},{"family":"Piszker","given":"Walter"},{"family":"Boyd","given":"Wallis W."},{"family":"Pagon","given":"Athena"},{"family":"Mahajan","given":"Aman"},{"family":"Wu","given":"Linlin"},{"family":"Zhao","given":"Cheng"},{"family":"Petropoulos","given":"Sophie"},{"family":"Ronda","given":"Carlotta"},{"family":"Simunovic","given":"Mijo"}],"accessed":{"date-parts":[["2025",11,28]]},"issued":{"date-parts":[["2025",11,18]]}}}],"schema":"https://github.com/citation-style-language/schema/raw/master/csl-citation.json"} </w:instrText>
      </w:r>
      <w:r w:rsidR="00274016" w:rsidRPr="00FF3ECB">
        <w:fldChar w:fldCharType="separate"/>
      </w:r>
      <w:r w:rsidR="00A620F1" w:rsidRPr="00FF3ECB">
        <w:rPr>
          <w:vertAlign w:val="superscript"/>
          <w:lang w:val="en-US"/>
        </w:rPr>
        <w:t>21</w:t>
      </w:r>
      <w:r w:rsidR="00274016" w:rsidRPr="00FF3ECB">
        <w:fldChar w:fldCharType="end"/>
      </w:r>
      <w:r w:rsidR="00274016" w:rsidRPr="00FF3ECB">
        <w:t>.</w:t>
      </w:r>
      <w:r w:rsidRPr="00FF3ECB">
        <w:t xml:space="preserve"> (</w:t>
      </w:r>
      <w:r w:rsidR="0044031C" w:rsidRPr="00791BF5">
        <w:rPr>
          <w:b/>
          <w:bCs/>
        </w:rPr>
        <w:t>E</w:t>
      </w:r>
      <w:r w:rsidRPr="00FF3ECB">
        <w:t>) Representative immunofluorescence of canonical TE markers following 12 days of LATS 1/2 inhibition. Scale bar, 100 µm. (</w:t>
      </w:r>
      <w:r w:rsidR="0044031C" w:rsidRPr="00791BF5">
        <w:rPr>
          <w:b/>
          <w:bCs/>
        </w:rPr>
        <w:t>F</w:t>
      </w:r>
      <w:r w:rsidRPr="00FF3ECB">
        <w:t>) Flow cytometry showing expression of PTGES following 12 days of LATS 1/2 inhibition (</w:t>
      </w:r>
      <w:r w:rsidRPr="00FF3ECB">
        <w:rPr>
          <w:i/>
          <w:iCs/>
        </w:rPr>
        <w:t>n</w:t>
      </w:r>
      <w:r w:rsidR="00103F87">
        <w:rPr>
          <w:i/>
          <w:iCs/>
        </w:rPr>
        <w:t xml:space="preserve"> </w:t>
      </w:r>
      <w:r w:rsidRPr="00FF3ECB">
        <w:t>=</w:t>
      </w:r>
      <w:r w:rsidR="00103F87">
        <w:t xml:space="preserve"> </w:t>
      </w:r>
      <w:r w:rsidRPr="00FF3ECB">
        <w:t>2 pooled).</w:t>
      </w:r>
    </w:p>
    <w:p w14:paraId="6144CBC3" w14:textId="77777777" w:rsidR="001F477B" w:rsidRPr="00FF3ECB" w:rsidRDefault="001F477B" w:rsidP="00FF3ECB"/>
    <w:p w14:paraId="2749D654" w14:textId="0F8B0F25" w:rsidR="001F477B" w:rsidRPr="00FF3ECB" w:rsidRDefault="008219F9" w:rsidP="00FF3ECB">
      <w:r w:rsidRPr="00FF3ECB">
        <w:rPr>
          <w:b/>
          <w:bCs/>
        </w:rPr>
        <w:t>Figure 2: Non-embedded method for generation of chorion models</w:t>
      </w:r>
      <w:r w:rsidR="00E60CFC" w:rsidRPr="00FF3ECB">
        <w:rPr>
          <w:b/>
          <w:bCs/>
        </w:rPr>
        <w:t>.</w:t>
      </w:r>
      <w:r w:rsidRPr="00FF3ECB">
        <w:rPr>
          <w:b/>
          <w:bCs/>
        </w:rPr>
        <w:t xml:space="preserve"> </w:t>
      </w:r>
      <w:r w:rsidRPr="00FF3ECB">
        <w:t xml:space="preserve">Schematic and workflow </w:t>
      </w:r>
      <w:r w:rsidR="00274016" w:rsidRPr="00FF3ECB">
        <w:t>of</w:t>
      </w:r>
      <w:r w:rsidRPr="00FF3ECB">
        <w:t xml:space="preserve"> the generation of chorion models.</w:t>
      </w:r>
      <w:r w:rsidR="00991F63" w:rsidRPr="00FF3ECB">
        <w:t xml:space="preserve"> Induction time is counted from the onset of TDI+A83-01 treatment.</w:t>
      </w:r>
      <w:r w:rsidR="00400B25" w:rsidRPr="00FF3ECB">
        <w:t xml:space="preserve"> One well of a</w:t>
      </w:r>
      <w:r w:rsidR="002414CA" w:rsidRPr="00FF3ECB">
        <w:t xml:space="preserve"> 24-well 400 µm microwell plate yields approximately 1,200 aggregates.</w:t>
      </w:r>
      <w:r w:rsidR="005C4940">
        <w:t xml:space="preserve"> </w:t>
      </w:r>
    </w:p>
    <w:p w14:paraId="56B009DD" w14:textId="25EDAC79" w:rsidR="001F477B" w:rsidRDefault="005C4940" w:rsidP="00FF3ECB">
      <w:r>
        <w:t>Magnification</w:t>
      </w:r>
      <w:r w:rsidR="00F025D3">
        <w:t xml:space="preserve">, </w:t>
      </w:r>
      <w:r w:rsidR="00660934">
        <w:t>25x.</w:t>
      </w:r>
    </w:p>
    <w:p w14:paraId="62CEEDEB" w14:textId="77777777" w:rsidR="00242C4E" w:rsidRPr="00FF3ECB" w:rsidRDefault="00242C4E" w:rsidP="00FF3ECB"/>
    <w:p w14:paraId="3A7749B6" w14:textId="78ADB92A" w:rsidR="001F477B" w:rsidRPr="00FF3ECB" w:rsidRDefault="008219F9" w:rsidP="00FF3ECB">
      <w:r w:rsidRPr="00FF3ECB">
        <w:rPr>
          <w:b/>
          <w:bCs/>
        </w:rPr>
        <w:t>Figure 3: BABB clearing of chorion models.</w:t>
      </w:r>
      <w:r w:rsidRPr="00FF3ECB">
        <w:t xml:space="preserve"> (</w:t>
      </w:r>
      <w:r w:rsidR="0044031C" w:rsidRPr="00242C4E">
        <w:rPr>
          <w:b/>
          <w:bCs/>
        </w:rPr>
        <w:t>A</w:t>
      </w:r>
      <w:r w:rsidRPr="00FF3ECB">
        <w:t>) Fixed chorion models suspended in water (left), methanol (center), and BABB clearing solution (right). (</w:t>
      </w:r>
      <w:r w:rsidR="0044031C" w:rsidRPr="00242C4E">
        <w:rPr>
          <w:b/>
          <w:bCs/>
        </w:rPr>
        <w:t>B</w:t>
      </w:r>
      <w:r w:rsidRPr="00FF3ECB">
        <w:t xml:space="preserve">) Immunofluorescence of chorion models mounted in water (left) and BABB clearing solution (right) with orthogonal view and full </w:t>
      </w:r>
      <w:r w:rsidRPr="00FF3ECB">
        <w:rPr>
          <w:i/>
          <w:iCs/>
        </w:rPr>
        <w:t>z</w:t>
      </w:r>
      <w:r w:rsidRPr="00FF3ECB">
        <w:t>-stack. Scale bar, 100 µm.</w:t>
      </w:r>
    </w:p>
    <w:p w14:paraId="0D53B093" w14:textId="77777777" w:rsidR="001F477B" w:rsidRPr="00FF3ECB" w:rsidRDefault="001F477B" w:rsidP="00FF3ECB">
      <w:pPr>
        <w:rPr>
          <w:b/>
          <w:bCs/>
        </w:rPr>
      </w:pPr>
    </w:p>
    <w:p w14:paraId="5EA9A8A1" w14:textId="010AD0BD" w:rsidR="001F477B" w:rsidRPr="00FF3ECB" w:rsidRDefault="008219F9" w:rsidP="00FF3ECB">
      <w:r w:rsidRPr="00FF3ECB">
        <w:rPr>
          <w:b/>
          <w:bCs/>
        </w:rPr>
        <w:t>Figure</w:t>
      </w:r>
      <w:r w:rsidR="002414CA" w:rsidRPr="00FF3ECB">
        <w:rPr>
          <w:b/>
          <w:bCs/>
        </w:rPr>
        <w:t xml:space="preserve"> </w:t>
      </w:r>
      <w:r w:rsidRPr="00FF3ECB">
        <w:rPr>
          <w:b/>
          <w:bCs/>
        </w:rPr>
        <w:t>4: The emergence of lineages in chorion models</w:t>
      </w:r>
      <w:r w:rsidR="00E60CFC" w:rsidRPr="00FF3ECB">
        <w:rPr>
          <w:b/>
          <w:bCs/>
        </w:rPr>
        <w:t>.</w:t>
      </w:r>
      <w:r w:rsidRPr="00FF3ECB">
        <w:rPr>
          <w:b/>
          <w:bCs/>
        </w:rPr>
        <w:t xml:space="preserve"> </w:t>
      </w:r>
      <w:r w:rsidRPr="008219F9">
        <w:t>(</w:t>
      </w:r>
      <w:r w:rsidR="0044031C" w:rsidRPr="00692E3E">
        <w:rPr>
          <w:b/>
          <w:bCs/>
        </w:rPr>
        <w:t>A</w:t>
      </w:r>
      <w:r w:rsidRPr="008219F9">
        <w:t>)</w:t>
      </w:r>
      <w:r w:rsidRPr="00FF3ECB">
        <w:rPr>
          <w:i/>
          <w:iCs/>
        </w:rPr>
        <w:t xml:space="preserve"> </w:t>
      </w:r>
      <w:r w:rsidRPr="00FF3ECB">
        <w:t xml:space="preserve">Representative immunofluorescence of </w:t>
      </w:r>
      <w:r w:rsidR="00164A53" w:rsidRPr="00FF3ECB">
        <w:t xml:space="preserve">day 25 </w:t>
      </w:r>
      <w:r w:rsidRPr="00FF3ECB">
        <w:t xml:space="preserve">self-organized chorion models showing </w:t>
      </w:r>
      <w:r w:rsidR="00761525" w:rsidRPr="00FF3ECB">
        <w:t>outward-facing</w:t>
      </w:r>
      <w:r w:rsidRPr="00FF3ECB">
        <w:t xml:space="preserve"> SDC1+ syncytia</w:t>
      </w:r>
      <w:r w:rsidR="00761525" w:rsidRPr="00FF3ECB">
        <w:t>l domains</w:t>
      </w:r>
      <w:r w:rsidRPr="00FF3ECB">
        <w:t xml:space="preserve"> </w:t>
      </w:r>
      <w:r w:rsidR="00761525" w:rsidRPr="00FF3ECB">
        <w:t xml:space="preserve">overlying </w:t>
      </w:r>
      <w:r w:rsidRPr="00FF3ECB">
        <w:t xml:space="preserve">ITGA6+ villous cytotrophoblast, an internal VIM+ mesenchymal core, and spontaneous HLA-G+ </w:t>
      </w:r>
      <w:proofErr w:type="spellStart"/>
      <w:r w:rsidR="00556B85" w:rsidRPr="00FF3ECB">
        <w:t>extravillous</w:t>
      </w:r>
      <w:proofErr w:type="spellEnd"/>
      <w:r w:rsidR="00556B85" w:rsidRPr="00FF3ECB">
        <w:t xml:space="preserve"> trophoblast</w:t>
      </w:r>
      <w:r w:rsidRPr="00FF3ECB">
        <w:t xml:space="preserve"> formation. </w:t>
      </w:r>
      <w:r w:rsidR="002414CA" w:rsidRPr="00FF3ECB">
        <w:t>Representative images are shown from experiments that yielded approximately 50 organoids per staining assay. For further quantitative analysis</w:t>
      </w:r>
      <w:r w:rsidR="00ED7171" w:rsidRPr="00FF3ECB">
        <w:t>, including batch-to-batch reproducibility</w:t>
      </w:r>
      <w:r w:rsidR="002414CA" w:rsidRPr="00FF3ECB">
        <w:t>, see</w:t>
      </w:r>
      <w:r w:rsidR="00692E3E">
        <w:t xml:space="preserve"> Zhang et al</w:t>
      </w:r>
      <w:r w:rsidR="00D47407">
        <w:t>.</w:t>
      </w:r>
      <w:r w:rsidR="002414CA" w:rsidRPr="00FF3ECB">
        <w:fldChar w:fldCharType="begin"/>
      </w:r>
      <w:r w:rsidR="00297D16" w:rsidRPr="00FF3ECB">
        <w:instrText xml:space="preserve"> ADDIN ZOTERO_ITEM CSL_CITATION {"citationID":"oGAf9Dy7","properties":{"unsorted":false,"formattedCitation":"\\super 21\\nosupersub{}","plainCitation":"21","noteIndex":0},"citationItems":[{"id":"R0aTIDOI/ZmrS9z01","uris":["http://zotero.org/users/17609913/items/TLQFE78P"],"itemData":{"id":"FS6natld/60ZV65W7","type":"article","abstract":"The first lineage decision in the mammalian blastocyst commits outer cells to the trophectoderm and initiates the trajectory that gives rise to the placental chorion. The molecular sequence that unfolds downstream of HIPPO pathway inactivation, linking human trophectoderm specification to the early organization of the chorion, has remained unknown. Here, we establish a developmentally informed model that leverages HIPPO pathway modulation to induce the native trophectoderm trajectory in the absence of exogenous BMP or WNT signaling. We first transiently reset primed human pluripotent stem cells into a trophectoderm-competent ground state, followed by LATS kinase inhibition to set the trajectory in motion. To benchmark fidelity, we built an embryo-chorion single-cell reference integrating published early human and placental transcriptomes and applied a computational stage-matching tool to align our cultures to natural development. Stage matching revealed an ordered progression along the trophectoderm trajectory from early TE to post-implantation trophoblast. With extended culture, all major cell types of the nascent chorion emerged, encompassing both trophoblast and chorionic mesoderm lineages. Within the trophoblast, we identified proliferative and non-cycling villous cytotrophoblast, a columnar population connecting villous and extravillous domains, as well as syncytia and extravillous subtypes. When cultured in suspension, these lineages self-organized into three-dimensional organoids that recapitulated the stromal-epithelial architecture and proliferative-syncytial polarity of the emergent chorion. We identified CLDN6 as a defining surface marker of columnar trophoblast, the population that bridges villous and extravillous compartments. Prospective isolation of living CLDN6+ trophoblast revealed their capacity to reacquire a proliferative villous state and, under directed cues, generate both syncytial and extravillous fates, confirming their proposed dual developmental potential within the chorion. Together, these findings establish a developmentally informed framework that connects human trophectoderm specification to the emergent chorion and provides a dynamic platform for investigating the earliest steps of placental specification and the origins of implantation disorders.","DOI":"10.1101/2025.11.18.688276","language":"en","license":"© 2025, Posted by openRxiv. This pre-print is available under a Creative Commons License (Attribution-NonCommercial-NoDerivs 4.0 International), CC BY-NC-ND 4.0, as described at http://creativecommons.org/licenses/by-nc-nd/4.0/","note":"ISSN: 2692-8205\npage: 2025.11.18.688276\nsection: New Results","publisher":"bioRxiv","source":"bioRxiv","title":"Reconstructing the emergence of the human chorion via HIPPO-mediated trophoblast induction","URL":"https://www.biorxiv.org/content/10.1101/2025.11.18.688276v1","author":[{"family":"Zhang","given":"Miaoci"},{"family":"Lim","given":"Ryan L."},{"family":"Reis","given":"Alice H."},{"family":"Piszker","given":"Walter"},{"family":"Boyd","given":"Wallis W."},{"family":"Pagon","given":"Athena"},{"family":"Mahajan","given":"Aman"},{"family":"Wu","given":"Linlin"},{"family":"Zhao","given":"Cheng"},{"family":"Petropoulos","given":"Sophie"},{"family":"Ronda","given":"Carlotta"},{"family":"Simunovic","given":"Mijo"}],"accessed":{"date-parts":[["2025",11,28]]},"issued":{"date-parts":[["2025",11,18]]}}}],"schema":"https://github.com/citation-style-language/schema/raw/master/csl-citation.json"} </w:instrText>
      </w:r>
      <w:r w:rsidR="002414CA" w:rsidRPr="00FF3ECB">
        <w:fldChar w:fldCharType="separate"/>
      </w:r>
      <w:r w:rsidR="00A620F1" w:rsidRPr="00FF3ECB">
        <w:rPr>
          <w:vertAlign w:val="superscript"/>
          <w:lang w:val="en-US"/>
        </w:rPr>
        <w:t>21</w:t>
      </w:r>
      <w:r w:rsidR="002414CA" w:rsidRPr="00FF3ECB">
        <w:fldChar w:fldCharType="end"/>
      </w:r>
      <w:r w:rsidR="00573589" w:rsidRPr="00FF3ECB">
        <w:t>. Scale bar, 100 µm.</w:t>
      </w:r>
    </w:p>
    <w:p w14:paraId="2FCD1519" w14:textId="77777777" w:rsidR="002414CA" w:rsidRPr="00FF3ECB" w:rsidRDefault="002414CA" w:rsidP="00FF3ECB"/>
    <w:p w14:paraId="725FB014" w14:textId="7E571221" w:rsidR="004D2A69" w:rsidRPr="00FF3ECB" w:rsidRDefault="004D2A69" w:rsidP="00FF3ECB">
      <w:pPr>
        <w:rPr>
          <w:b/>
          <w:bCs/>
        </w:rPr>
      </w:pPr>
      <w:r w:rsidRPr="00FF3ECB">
        <w:rPr>
          <w:b/>
          <w:bCs/>
        </w:rPr>
        <w:t xml:space="preserve">Table 1: Protocol </w:t>
      </w:r>
      <w:r w:rsidR="00A44772" w:rsidRPr="00FF3ECB">
        <w:rPr>
          <w:b/>
          <w:bCs/>
        </w:rPr>
        <w:t>troubleshooting guide</w:t>
      </w:r>
      <w:r w:rsidR="00A44772">
        <w:rPr>
          <w:b/>
          <w:bCs/>
        </w:rPr>
        <w:t>.</w:t>
      </w:r>
    </w:p>
    <w:p w14:paraId="2DB70F4B" w14:textId="77777777" w:rsidR="001F477B" w:rsidRPr="00FF3ECB" w:rsidRDefault="001F477B" w:rsidP="00FF3ECB">
      <w:pPr>
        <w:rPr>
          <w:color w:val="808080"/>
        </w:rPr>
      </w:pPr>
    </w:p>
    <w:p w14:paraId="62D26BD0" w14:textId="58961739" w:rsidR="001F477B" w:rsidRPr="00FF3ECB" w:rsidRDefault="004D2A69" w:rsidP="00FF3ECB">
      <w:pPr>
        <w:rPr>
          <w:b/>
          <w:bCs/>
        </w:rPr>
      </w:pPr>
      <w:r w:rsidRPr="00FF3ECB">
        <w:rPr>
          <w:b/>
          <w:bCs/>
        </w:rPr>
        <w:t>Table 2</w:t>
      </w:r>
      <w:r w:rsidR="008219F9" w:rsidRPr="00FF3ECB">
        <w:rPr>
          <w:b/>
          <w:bCs/>
        </w:rPr>
        <w:t xml:space="preserve">: Composition of tHENSM+2i </w:t>
      </w:r>
      <w:r w:rsidR="00A44772">
        <w:rPr>
          <w:b/>
          <w:bCs/>
        </w:rPr>
        <w:t>m</w:t>
      </w:r>
      <w:r w:rsidR="008219F9" w:rsidRPr="00FF3ECB">
        <w:rPr>
          <w:b/>
          <w:bCs/>
        </w:rPr>
        <w:t>edi</w:t>
      </w:r>
      <w:r w:rsidR="000B4659" w:rsidRPr="00FF3ECB">
        <w:rPr>
          <w:b/>
          <w:bCs/>
        </w:rPr>
        <w:t>um</w:t>
      </w:r>
      <w:r w:rsidR="00A44772">
        <w:rPr>
          <w:b/>
          <w:bCs/>
        </w:rPr>
        <w:t>.</w:t>
      </w:r>
    </w:p>
    <w:p w14:paraId="4A601A52" w14:textId="77777777" w:rsidR="001F477B" w:rsidRPr="00FF3ECB" w:rsidRDefault="001F477B" w:rsidP="00FF3ECB">
      <w:pPr>
        <w:rPr>
          <w:b/>
          <w:bCs/>
        </w:rPr>
      </w:pPr>
    </w:p>
    <w:p w14:paraId="63DE8C1C" w14:textId="320A83DF" w:rsidR="001F477B" w:rsidRPr="00FF3ECB" w:rsidRDefault="004D2A69" w:rsidP="00FF3ECB">
      <w:pPr>
        <w:rPr>
          <w:b/>
          <w:bCs/>
        </w:rPr>
      </w:pPr>
      <w:r w:rsidRPr="00FF3ECB">
        <w:rPr>
          <w:b/>
          <w:bCs/>
        </w:rPr>
        <w:t>Table 3</w:t>
      </w:r>
      <w:r w:rsidR="008219F9" w:rsidRPr="00FF3ECB">
        <w:rPr>
          <w:b/>
          <w:bCs/>
        </w:rPr>
        <w:t xml:space="preserve">: Composition of TA </w:t>
      </w:r>
      <w:r w:rsidR="00A44772">
        <w:rPr>
          <w:b/>
          <w:bCs/>
        </w:rPr>
        <w:t>m</w:t>
      </w:r>
      <w:r w:rsidR="008219F9" w:rsidRPr="00FF3ECB">
        <w:rPr>
          <w:b/>
          <w:bCs/>
        </w:rPr>
        <w:t>edi</w:t>
      </w:r>
      <w:r w:rsidR="000B4659" w:rsidRPr="00FF3ECB">
        <w:rPr>
          <w:b/>
          <w:bCs/>
        </w:rPr>
        <w:t>um</w:t>
      </w:r>
      <w:r w:rsidR="00A44772">
        <w:rPr>
          <w:b/>
          <w:bCs/>
        </w:rPr>
        <w:t>.</w:t>
      </w:r>
    </w:p>
    <w:p w14:paraId="27405D2C" w14:textId="77777777" w:rsidR="001F477B" w:rsidRPr="00FF3ECB" w:rsidRDefault="001F477B" w:rsidP="00FF3ECB">
      <w:pPr>
        <w:rPr>
          <w:b/>
          <w:bCs/>
        </w:rPr>
      </w:pPr>
    </w:p>
    <w:p w14:paraId="6B432624" w14:textId="1A3AA6DC" w:rsidR="001F477B" w:rsidRPr="00FF3ECB" w:rsidRDefault="004D2A69" w:rsidP="00FF3ECB">
      <w:pPr>
        <w:rPr>
          <w:b/>
          <w:bCs/>
        </w:rPr>
      </w:pPr>
      <w:r w:rsidRPr="00FF3ECB">
        <w:rPr>
          <w:b/>
          <w:bCs/>
        </w:rPr>
        <w:t>Table 4</w:t>
      </w:r>
      <w:r w:rsidR="008219F9" w:rsidRPr="00FF3ECB">
        <w:rPr>
          <w:b/>
          <w:bCs/>
        </w:rPr>
        <w:t xml:space="preserve">: Composition of ACE </w:t>
      </w:r>
      <w:r w:rsidR="00A44772">
        <w:rPr>
          <w:b/>
          <w:bCs/>
        </w:rPr>
        <w:t>m</w:t>
      </w:r>
      <w:r w:rsidR="008219F9" w:rsidRPr="00FF3ECB">
        <w:rPr>
          <w:b/>
          <w:bCs/>
        </w:rPr>
        <w:t>edi</w:t>
      </w:r>
      <w:r w:rsidR="000B4659" w:rsidRPr="00FF3ECB">
        <w:rPr>
          <w:b/>
          <w:bCs/>
        </w:rPr>
        <w:t>um</w:t>
      </w:r>
      <w:r w:rsidR="00A44772">
        <w:rPr>
          <w:b/>
          <w:bCs/>
        </w:rPr>
        <w:t>.</w:t>
      </w:r>
    </w:p>
    <w:p w14:paraId="4E8E59DE" w14:textId="77777777" w:rsidR="001F477B" w:rsidRPr="00FF3ECB" w:rsidRDefault="001F477B" w:rsidP="00FF3ECB">
      <w:pPr>
        <w:rPr>
          <w:b/>
          <w:bCs/>
        </w:rPr>
      </w:pPr>
    </w:p>
    <w:p w14:paraId="461A8180" w14:textId="130E52F8" w:rsidR="001F477B" w:rsidRPr="00FF3ECB" w:rsidRDefault="004D2A69" w:rsidP="00FF3ECB">
      <w:pPr>
        <w:rPr>
          <w:b/>
          <w:bCs/>
        </w:rPr>
      </w:pPr>
      <w:r w:rsidRPr="00FF3ECB">
        <w:rPr>
          <w:b/>
          <w:bCs/>
        </w:rPr>
        <w:t>Table 5</w:t>
      </w:r>
      <w:r w:rsidR="008219F9" w:rsidRPr="00FF3ECB">
        <w:rPr>
          <w:b/>
          <w:bCs/>
        </w:rPr>
        <w:t xml:space="preserve">: Composition of BABB </w:t>
      </w:r>
      <w:r w:rsidR="00A44772" w:rsidRPr="00FF3ECB">
        <w:rPr>
          <w:b/>
          <w:bCs/>
        </w:rPr>
        <w:t>clearing solution</w:t>
      </w:r>
      <w:r w:rsidR="00A44772">
        <w:rPr>
          <w:b/>
          <w:bCs/>
        </w:rPr>
        <w:t>.</w:t>
      </w:r>
    </w:p>
    <w:p w14:paraId="34A5BA14" w14:textId="77777777" w:rsidR="00844FEB" w:rsidRPr="00FF3ECB" w:rsidRDefault="00844FEB" w:rsidP="00FF3ECB">
      <w:pPr>
        <w:rPr>
          <w:b/>
          <w:bCs/>
        </w:rPr>
      </w:pPr>
    </w:p>
    <w:p w14:paraId="44C838C5" w14:textId="77777777" w:rsidR="001F477B" w:rsidRPr="00FF3ECB" w:rsidRDefault="008219F9" w:rsidP="00FF3ECB">
      <w:pPr>
        <w:rPr>
          <w:b/>
          <w:bCs/>
          <w:highlight w:val="yellow"/>
        </w:rPr>
      </w:pPr>
      <w:r w:rsidRPr="00FF3ECB">
        <w:rPr>
          <w:b/>
        </w:rPr>
        <w:t>DISCUSSION:</w:t>
      </w:r>
    </w:p>
    <w:p w14:paraId="4021E1FF" w14:textId="5C89318F" w:rsidR="003457C0" w:rsidRPr="00FF3ECB" w:rsidRDefault="008219F9" w:rsidP="00FF3ECB">
      <w:pPr>
        <w:rPr>
          <w:color w:val="000000"/>
        </w:rPr>
      </w:pPr>
      <w:r w:rsidRPr="00FF3ECB">
        <w:rPr>
          <w:lang w:val="en-US"/>
        </w:rPr>
        <w:t xml:space="preserve">The development of the nascent chorion is difficult to study </w:t>
      </w:r>
      <w:r w:rsidRPr="00FF3ECB">
        <w:rPr>
          <w:i/>
          <w:iCs/>
          <w:lang w:val="en-US"/>
        </w:rPr>
        <w:t>in vivo</w:t>
      </w:r>
      <w:r w:rsidRPr="00FF3ECB">
        <w:rPr>
          <w:lang w:val="en-US"/>
        </w:rPr>
        <w:t xml:space="preserve">, and existing </w:t>
      </w:r>
      <w:proofErr w:type="spellStart"/>
      <w:r w:rsidRPr="00FF3ECB">
        <w:rPr>
          <w:lang w:val="en-US"/>
        </w:rPr>
        <w:t>hPSC</w:t>
      </w:r>
      <w:proofErr w:type="spellEnd"/>
      <w:r w:rsidRPr="00FF3ECB">
        <w:rPr>
          <w:lang w:val="en-US"/>
        </w:rPr>
        <w:t xml:space="preserve">-derived trophoblast systems are generally optimized to derive homogeneous, self-renewing cytotrophoblast rather than the diverse lineages and tissue architecture of the secondary chorion. This protocol addresses that gap by </w:t>
      </w:r>
      <w:r w:rsidR="003678A5" w:rsidRPr="00FF3ECB">
        <w:rPr>
          <w:lang w:val="en-US"/>
        </w:rPr>
        <w:t xml:space="preserve">leveraging the native </w:t>
      </w:r>
      <w:r w:rsidRPr="00FF3ECB">
        <w:rPr>
          <w:lang w:val="en-US"/>
        </w:rPr>
        <w:t xml:space="preserve">HIPPO-driven </w:t>
      </w:r>
      <w:r w:rsidR="003678A5" w:rsidRPr="00FF3ECB">
        <w:rPr>
          <w:lang w:val="en-US"/>
        </w:rPr>
        <w:t xml:space="preserve">TE </w:t>
      </w:r>
      <w:r w:rsidRPr="00FF3ECB">
        <w:rPr>
          <w:lang w:val="en-US"/>
        </w:rPr>
        <w:t>induction</w:t>
      </w:r>
      <w:r w:rsidR="003678A5" w:rsidRPr="00FF3ECB">
        <w:rPr>
          <w:lang w:val="en-US"/>
        </w:rPr>
        <w:t xml:space="preserve"> and </w:t>
      </w:r>
      <w:r w:rsidRPr="00FF3ECB">
        <w:rPr>
          <w:lang w:val="en-US"/>
        </w:rPr>
        <w:t>a non-embedded, suspension-based aggregation. Relative to extracellular matrix</w:t>
      </w:r>
      <w:r w:rsidR="00876E22" w:rsidRPr="00FF3ECB">
        <w:rPr>
          <w:lang w:val="en-US"/>
        </w:rPr>
        <w:t>-</w:t>
      </w:r>
      <w:r w:rsidRPr="00FF3ECB">
        <w:rPr>
          <w:lang w:val="en-US"/>
        </w:rPr>
        <w:t xml:space="preserve">embedded organoids, which frequently form with inverted polarity, suspension culture under modest orbital agitation </w:t>
      </w:r>
      <w:r w:rsidR="00876E22" w:rsidRPr="00FF3ECB">
        <w:rPr>
          <w:lang w:val="en-US"/>
        </w:rPr>
        <w:t xml:space="preserve">helps to </w:t>
      </w:r>
      <w:r w:rsidRPr="00FF3ECB">
        <w:rPr>
          <w:lang w:val="en-US"/>
        </w:rPr>
        <w:t>externalize the syncytial layer</w:t>
      </w:r>
      <w:r w:rsidR="00876E22" w:rsidRPr="00FF3ECB">
        <w:fldChar w:fldCharType="begin"/>
      </w:r>
      <w:r w:rsidR="00A620F1" w:rsidRPr="00FF3ECB">
        <w:instrText xml:space="preserve"> ADDIN ZOTERO_ITEM CSL_CITATION {"citationID":"LyshxbQp","properties":{"unsorted":false,"formattedCitation":"\\super 34,35\\nosupersub{}","plainCitation":"34,35","noteIndex":0},"citationItems":[{"id":488,"uris":["http://zotero.org/users/6778933/items/T3HXMH5V"],"itemData":{"id":488,"type":"article-journal","abstract":"Human trophoblast organoids (TOs) are a three-dimensional ex vivo culture model that can be used to study various aspects of placental development, physiology and pathology. However, standard culturing of TOs does not recapitulate the cellular orientation of chorionic villi in vivo given that the multi-nucleated syncytiotrophoblast (STB) develops largely within the inner facing surfaces of these organoids (STBin). Here, we developed a method to culture TOs under conditions that recapitulate the cellular orientation of chorionic villi in vivo. We show that culturing STBin TOs in suspension with gentle agitation leads to the development of TOs containing the STB on the outer surface (STBout). Using membrane capacitance measurements, we determined that the outermost surface of STBout organoids contain large syncytia comprising &amp;gt;50 nuclei, whereas STBin organoids contain small syncytia (&amp;lt;10 nuclei) and mononuclear cells. The growth of TOs under conditions that mimic the cellular orientation of chorionic villi in vivo thus allows for the study of a variety of aspects of placental biology under physiological conditions.","container-title":"Journal of Cell Science","DOI":"10.1242/jcs.261528","ISSN":"0021-9533","issue":"5","journalAbbreviation":"Journal of Cell Science","page":"jcs261528","title":"Trophoblast organoids with physiological polarity model placental structure and function","volume":"137","author":[{"family":"Yang","given":"Liheng (</w:instrText>
      </w:r>
      <w:r w:rsidR="00A620F1" w:rsidRPr="008219F9">
        <w:rPr>
          <w:rFonts w:eastAsia="Microsoft YaHei"/>
        </w:rPr>
        <w:instrText>杨利恒</w:instrText>
      </w:r>
      <w:r w:rsidR="00A620F1" w:rsidRPr="00FF3ECB">
        <w:instrText xml:space="preserve">)"},{"family":"Liang","given":"Pengfei"},{"family":"Yang","given":"Huanghe"},{"family":"Coyne","given":"Carolyn B."}],"issued":{"date-parts":[["2023",9,7]]}}},{"id":510,"uris":["http://zotero.org/users/6778933/items/UXTSDC3R"],"itemData":{"id":510,"type":"article-journal","abstract":"Human placental villi have essential roles in producing hormones, mediating nutrient and waste exchange, and protecting the fetus from exposure to xenobiotics. Human trophoblast organoids that recapitulate the structure of villi could provide an important in vitro tool to understand placental development and the transplacental passage of xenobiotics. However, such organoids do not currently exist. Here we describe the generation of trophoblast organoids using human trophoblast stem (TS) cells. Following treatment with three kinds of culture medium, TS cells form spherical organoids with a single outer layer of syncytiotrophoblast (ST) cells that display a barrier function. Furthermore, we develop a column-type ST barrier model based on the culture condition of the trophoblast organoids. The bottom membrane of the column is almost entirely covered with syndecan 1-positive ST cells. The barrier integrity and maturation levels of the model are confirmed by measuring transepithelial/transendothelial electrical resistance (TEER) and the amount of human chorionic gonadotropin. Further analysis reveals that the model can be used to derive the apparent permeability coefficients of model compounds. In addition to providing a suite of tools for the study of placental development, our trophoblast models allow the evaluation of compound transfer and toxicity, which will facilitate drug development.","container-title":"Nature Communications","DOI":"10.1038/s41467-024-45279-y","ISSN":"2041-1723","issue":"1","journalAbbreviation":"Nature Communications","page":"962","title":"Trophoblast stem cell-based organoid models of the human placental barrier","volume":"15","author":[{"family":"Hori","given":"Takeshi"},{"family":"Okae","given":"Hiroaki"},{"family":"Shibata","given":"Shun"},{"family":"Kobayashi","given":"Norio"},{"family":"Kobayashi","given":"Eri H."},{"family":"Oike","given":"Akira"},{"family":"Sekiya","given":"Asato"},{"family":"Arima","given":"Takahiro"},{"family":"Kaji","given":"Hirokazu"}],"issued":{"date-parts":[["2024",2,8]]}}}],"schema":"https://github.com/citation-style-language/schema/raw/master/csl-citation.json"} </w:instrText>
      </w:r>
      <w:r w:rsidR="00876E22" w:rsidRPr="00FF3ECB">
        <w:fldChar w:fldCharType="separate"/>
      </w:r>
      <w:r w:rsidR="00A620F1" w:rsidRPr="00FF3ECB">
        <w:rPr>
          <w:vertAlign w:val="superscript"/>
          <w:lang w:val="en-US"/>
        </w:rPr>
        <w:t>34,35</w:t>
      </w:r>
      <w:r w:rsidR="00876E22" w:rsidRPr="00FF3ECB">
        <w:fldChar w:fldCharType="end"/>
      </w:r>
      <w:r w:rsidR="00876E22" w:rsidRPr="00FF3ECB">
        <w:rPr>
          <w:lang w:val="en-US"/>
        </w:rPr>
        <w:t xml:space="preserve">. In </w:t>
      </w:r>
      <w:r w:rsidR="0030034C" w:rsidRPr="00FF3ECB">
        <w:rPr>
          <w:lang w:val="en-US"/>
        </w:rPr>
        <w:t>this</w:t>
      </w:r>
      <w:r w:rsidR="00876E22" w:rsidRPr="00FF3ECB">
        <w:rPr>
          <w:lang w:val="en-US"/>
        </w:rPr>
        <w:t xml:space="preserve"> model, the stromal core is surrounded by a trophoblast layer</w:t>
      </w:r>
      <w:r w:rsidR="00197B1A" w:rsidRPr="00FF3ECB">
        <w:rPr>
          <w:lang w:val="en-US"/>
        </w:rPr>
        <w:t xml:space="preserve"> with outward-facing syncytial organization</w:t>
      </w:r>
      <w:r w:rsidR="00876E22" w:rsidRPr="00FF3ECB">
        <w:rPr>
          <w:lang w:val="en-US"/>
        </w:rPr>
        <w:t xml:space="preserve">, thus </w:t>
      </w:r>
      <w:r w:rsidRPr="00FF3ECB">
        <w:rPr>
          <w:lang w:val="en-US"/>
        </w:rPr>
        <w:t xml:space="preserve">more closely matching </w:t>
      </w:r>
      <w:r w:rsidR="00821CA5" w:rsidRPr="00FF3ECB">
        <w:rPr>
          <w:lang w:val="en-US"/>
        </w:rPr>
        <w:t xml:space="preserve">the </w:t>
      </w:r>
      <w:r w:rsidRPr="00FF3ECB">
        <w:rPr>
          <w:lang w:val="en-US"/>
        </w:rPr>
        <w:t xml:space="preserve">native </w:t>
      </w:r>
      <w:r w:rsidR="001A03D8" w:rsidRPr="00FF3ECB">
        <w:rPr>
          <w:lang w:val="en-US"/>
        </w:rPr>
        <w:t xml:space="preserve">cross-sectional </w:t>
      </w:r>
      <w:r w:rsidRPr="00FF3ECB">
        <w:rPr>
          <w:lang w:val="en-US"/>
        </w:rPr>
        <w:t>organization</w:t>
      </w:r>
      <w:r w:rsidR="00876E22" w:rsidRPr="00FF3ECB">
        <w:rPr>
          <w:lang w:val="en-US"/>
        </w:rPr>
        <w:t xml:space="preserve"> of the </w:t>
      </w:r>
      <w:r w:rsidR="001A03D8" w:rsidRPr="00FF3ECB">
        <w:rPr>
          <w:lang w:val="en-US"/>
        </w:rPr>
        <w:t xml:space="preserve">secondary </w:t>
      </w:r>
      <w:r w:rsidR="00876E22" w:rsidRPr="00FF3ECB">
        <w:rPr>
          <w:lang w:val="en-US"/>
        </w:rPr>
        <w:t>chorion</w:t>
      </w:r>
      <w:r w:rsidRPr="00FF3ECB">
        <w:rPr>
          <w:lang w:val="en-US"/>
        </w:rPr>
        <w:t>. The format is also scalable, yielding ~1,200 aggregates from a single well of a 24-well microwell plate.</w:t>
      </w:r>
      <w:r w:rsidR="00780EE4" w:rsidRPr="00FF3ECB">
        <w:rPr>
          <w:lang w:val="en-US"/>
        </w:rPr>
        <w:t xml:space="preserve"> While these models </w:t>
      </w:r>
      <w:r w:rsidR="003457C0" w:rsidRPr="00FF3ECB">
        <w:rPr>
          <w:lang w:val="en-US"/>
        </w:rPr>
        <w:t xml:space="preserve">have been described through day 25 post-naïve reversion, they remain stable for at least 10 </w:t>
      </w:r>
      <w:r w:rsidR="003457C0" w:rsidRPr="00FF3ECB">
        <w:rPr>
          <w:lang w:val="en-US"/>
        </w:rPr>
        <w:lastRenderedPageBreak/>
        <w:t>additional days under suspension culture (day 35) in ACE med</w:t>
      </w:r>
      <w:r w:rsidR="009D1415" w:rsidRPr="00FF3ECB">
        <w:rPr>
          <w:lang w:val="en-US"/>
        </w:rPr>
        <w:t>ium</w:t>
      </w:r>
      <w:r w:rsidR="003457C0" w:rsidRPr="00FF3ECB">
        <w:rPr>
          <w:lang w:val="en-US"/>
        </w:rPr>
        <w:t xml:space="preserve"> and exhibit comparable immunofluorescence for key chorion markers. </w:t>
      </w:r>
      <w:r w:rsidR="003457C0" w:rsidRPr="008219F9">
        <w:rPr>
          <w:color w:val="000000"/>
        </w:rPr>
        <w:t>Future characterization using single-nucleus RNA sequencing at day 25 and later time points will be important for determining whether continued maturation occurs, identifying transcriptomic changes that may not be apparent by immunofluorescence alone, and assessing whether ACE medi</w:t>
      </w:r>
      <w:r w:rsidR="009D1415" w:rsidRPr="00FF3ECB">
        <w:rPr>
          <w:color w:val="000000"/>
        </w:rPr>
        <w:t>um</w:t>
      </w:r>
      <w:r w:rsidR="003457C0" w:rsidRPr="008219F9">
        <w:rPr>
          <w:color w:val="000000"/>
        </w:rPr>
        <w:t xml:space="preserve"> is sufficient to support this maturation.</w:t>
      </w:r>
    </w:p>
    <w:p w14:paraId="4FA88D8D" w14:textId="127F3C80" w:rsidR="001A03D8" w:rsidRPr="00FF3ECB" w:rsidRDefault="001A03D8" w:rsidP="00FF3ECB">
      <w:pPr>
        <w:rPr>
          <w:color w:val="000000"/>
        </w:rPr>
      </w:pPr>
    </w:p>
    <w:p w14:paraId="3640C2E2" w14:textId="1E950AAF" w:rsidR="001A03D8" w:rsidRPr="008219F9" w:rsidRDefault="001A03D8" w:rsidP="00FF3ECB">
      <w:pPr>
        <w:rPr>
          <w:color w:val="000000"/>
        </w:rPr>
      </w:pPr>
      <w:r w:rsidRPr="00FF3ECB">
        <w:rPr>
          <w:color w:val="000000"/>
        </w:rPr>
        <w:t>Note that this protocol is a slight variation of our published method</w:t>
      </w:r>
      <w:r w:rsidR="00DE0D05">
        <w:rPr>
          <w:color w:val="000000"/>
        </w:rPr>
        <w:t>,</w:t>
      </w:r>
      <w:r w:rsidRPr="00FF3ECB">
        <w:rPr>
          <w:color w:val="000000"/>
        </w:rPr>
        <w:t xml:space="preserve"> which has found A83-01 to be dispensable for TE induction, and withdraws it on day 6. A83-01 was found to accelerate TE induction</w:t>
      </w:r>
      <w:r w:rsidR="00DE0D05">
        <w:rPr>
          <w:color w:val="000000"/>
        </w:rPr>
        <w:t>;</w:t>
      </w:r>
      <w:r w:rsidRPr="00FF3ECB">
        <w:rPr>
          <w:color w:val="000000"/>
        </w:rPr>
        <w:t xml:space="preserve"> thus</w:t>
      </w:r>
      <w:r w:rsidR="00DE0D05">
        <w:rPr>
          <w:color w:val="000000"/>
        </w:rPr>
        <w:t>,</w:t>
      </w:r>
      <w:r w:rsidRPr="00FF3ECB">
        <w:rPr>
          <w:color w:val="000000"/>
        </w:rPr>
        <w:t xml:space="preserve"> for simplicity and robustness, here it is kept throughout.</w:t>
      </w:r>
    </w:p>
    <w:p w14:paraId="06AC5A44" w14:textId="77777777" w:rsidR="00F831B4" w:rsidRPr="00FF3ECB" w:rsidRDefault="00F831B4" w:rsidP="00FF3ECB">
      <w:pPr>
        <w:rPr>
          <w:lang w:val="en-US"/>
        </w:rPr>
      </w:pPr>
    </w:p>
    <w:p w14:paraId="1E843E87" w14:textId="18F4B223" w:rsidR="00015621" w:rsidRPr="00FF3ECB" w:rsidRDefault="008219F9" w:rsidP="00FF3ECB">
      <w:r w:rsidRPr="00FF3ECB">
        <w:t xml:space="preserve">There are several critical steps within this protocol. First, although </w:t>
      </w:r>
      <w:proofErr w:type="spellStart"/>
      <w:r w:rsidRPr="00FF3ECB">
        <w:t>hPSCs</w:t>
      </w:r>
      <w:proofErr w:type="spellEnd"/>
      <w:r w:rsidRPr="00FF3ECB">
        <w:t xml:space="preserve"> begin forming dome-shaped colonies within 48 h of tHENSM+2i treatment, it is essential that transient naïve resetting proceed for at least 6 days to ensure robust induction and saturation of naïve-associated marker expression. Second, </w:t>
      </w:r>
      <w:r w:rsidR="0030034C" w:rsidRPr="00FF3ECB">
        <w:t>it is</w:t>
      </w:r>
      <w:r w:rsidRPr="00FF3ECB">
        <w:t xml:space="preserve"> strongly recommend</w:t>
      </w:r>
      <w:r w:rsidR="0030034C" w:rsidRPr="00FF3ECB">
        <w:t xml:space="preserve">ed to </w:t>
      </w:r>
      <w:r w:rsidRPr="00FF3ECB">
        <w:t>passag</w:t>
      </w:r>
      <w:r w:rsidR="0030034C" w:rsidRPr="00FF3ECB">
        <w:t>e</w:t>
      </w:r>
      <w:r w:rsidRPr="00FF3ECB">
        <w:t xml:space="preserve"> TE cultures at a 1:1 ratio 72 h prior to aggregation on day 12, as this helps remove debris trapped between tightly packed cells that may otherwise impair aggregate formation. Third, because monolayer TE and chorion models proliferate rapidly under this protocol, daily medium changes are necessary to maintain cell health and provide adequate nutrient availability, and sufficient medi</w:t>
      </w:r>
      <w:r w:rsidR="000B4659" w:rsidRPr="00FF3ECB">
        <w:t>um</w:t>
      </w:r>
      <w:r w:rsidRPr="00FF3ECB">
        <w:t xml:space="preserve"> volumes (&gt;4 mL) should be used during orbital agitation to prevent aggregate fusion. Fourth, during immunofluorescence staining of chorion models, higher nuclear dye concentrations than those typically used for monolayer cultures are recommended, as methanol dehydration and BABB clearing are chemically harsh processes that can reduce nuclear dye retention.</w:t>
      </w:r>
      <w:r w:rsidR="00844FEB" w:rsidRPr="00FF3ECB">
        <w:t xml:space="preserve"> This protocol </w:t>
      </w:r>
      <w:r w:rsidR="001B6E1C" w:rsidRPr="00FF3ECB">
        <w:t xml:space="preserve">involves multiple sensitive steps; for guidance on common issues, please refer to </w:t>
      </w:r>
      <w:r w:rsidR="004D2A69" w:rsidRPr="00FF3ECB">
        <w:rPr>
          <w:b/>
          <w:bCs/>
        </w:rPr>
        <w:t>Table 1</w:t>
      </w:r>
      <w:r w:rsidR="001B6E1C" w:rsidRPr="00FF3ECB">
        <w:t>.</w:t>
      </w:r>
    </w:p>
    <w:p w14:paraId="0C21226B" w14:textId="77777777" w:rsidR="00F831B4" w:rsidRPr="00FF3ECB" w:rsidRDefault="00F831B4" w:rsidP="00FF3ECB">
      <w:pPr>
        <w:rPr>
          <w:lang w:val="en-US"/>
        </w:rPr>
      </w:pPr>
    </w:p>
    <w:p w14:paraId="05731793" w14:textId="395033B8" w:rsidR="00E12139" w:rsidRPr="00FF3ECB" w:rsidRDefault="0030034C" w:rsidP="00FF3ECB">
      <w:pPr>
        <w:rPr>
          <w:lang w:val="en-US"/>
        </w:rPr>
      </w:pPr>
      <w:r w:rsidRPr="00FF3ECB">
        <w:rPr>
          <w:lang w:val="en-US"/>
        </w:rPr>
        <w:t xml:space="preserve">There are </w:t>
      </w:r>
      <w:r w:rsidR="008219F9" w:rsidRPr="00FF3ECB">
        <w:rPr>
          <w:lang w:val="en-US"/>
        </w:rPr>
        <w:t>several limitations of the model</w:t>
      </w:r>
      <w:r w:rsidR="00F831B4" w:rsidRPr="00FF3ECB">
        <w:rPr>
          <w:lang w:val="en-US"/>
        </w:rPr>
        <w:t xml:space="preserve">. It does not reproduce the morphogenetic events of secondary villus formation, in which extraembryonic mesoderm </w:t>
      </w:r>
      <w:r w:rsidR="00AC2CEB" w:rsidRPr="00FF3ECB">
        <w:rPr>
          <w:lang w:val="en-US"/>
        </w:rPr>
        <w:t>populates</w:t>
      </w:r>
      <w:r w:rsidR="00F831B4" w:rsidRPr="00FF3ECB">
        <w:rPr>
          <w:lang w:val="en-US"/>
        </w:rPr>
        <w:t xml:space="preserve"> the primary villus to generate elongated projections</w:t>
      </w:r>
      <w:r w:rsidR="00AC2CEB" w:rsidRPr="00FF3ECB">
        <w:rPr>
          <w:lang w:val="en-US"/>
        </w:rPr>
        <w:t xml:space="preserve">. </w:t>
      </w:r>
      <w:r w:rsidR="00F831B4" w:rsidRPr="00FF3ECB">
        <w:rPr>
          <w:lang w:val="en-US"/>
        </w:rPr>
        <w:t>It also lacks the decidual environment, so uterine chemical and mechanical inputs are absent. Within these bounds, the model reproduces key features of early placental biology</w:t>
      </w:r>
      <w:r w:rsidR="009B28D0" w:rsidRPr="00FF3ECB">
        <w:rPr>
          <w:lang w:val="en-US"/>
        </w:rPr>
        <w:t xml:space="preserve">: </w:t>
      </w:r>
      <w:r w:rsidR="001A03D8" w:rsidRPr="00FF3ECB">
        <w:rPr>
          <w:lang w:val="en-US"/>
        </w:rPr>
        <w:t xml:space="preserve">staged trophoblast induction and maturation, including the expression of pregnancy hormones, </w:t>
      </w:r>
      <w:r w:rsidR="00F831B4" w:rsidRPr="00FF3ECB">
        <w:rPr>
          <w:lang w:val="en-US"/>
        </w:rPr>
        <w:t>epithelial</w:t>
      </w:r>
      <w:r w:rsidR="009B28D0" w:rsidRPr="00FF3ECB">
        <w:rPr>
          <w:lang w:val="en-US"/>
        </w:rPr>
        <w:t>-</w:t>
      </w:r>
      <w:r w:rsidR="00F831B4" w:rsidRPr="00FF3ECB">
        <w:rPr>
          <w:lang w:val="en-US"/>
        </w:rPr>
        <w:t>stromal compartmentalization, outward-facing syncytial polarity</w:t>
      </w:r>
      <w:r w:rsidR="008219F9" w:rsidRPr="00FF3ECB">
        <w:rPr>
          <w:lang w:val="en-US"/>
        </w:rPr>
        <w:t xml:space="preserve"> with prominent lacunar structures</w:t>
      </w:r>
      <w:r w:rsidR="00F831B4" w:rsidRPr="00FF3ECB">
        <w:rPr>
          <w:lang w:val="en-US"/>
        </w:rPr>
        <w:t xml:space="preserve">, </w:t>
      </w:r>
      <w:r w:rsidR="001A03D8" w:rsidRPr="00FF3ECB">
        <w:rPr>
          <w:lang w:val="en-US"/>
        </w:rPr>
        <w:t xml:space="preserve">and a </w:t>
      </w:r>
      <w:r w:rsidR="00F831B4" w:rsidRPr="00FF3ECB">
        <w:rPr>
          <w:lang w:val="en-US"/>
        </w:rPr>
        <w:t xml:space="preserve">spontaneous </w:t>
      </w:r>
      <w:proofErr w:type="spellStart"/>
      <w:r w:rsidR="00F831B4" w:rsidRPr="00FF3ECB">
        <w:rPr>
          <w:lang w:val="en-US"/>
        </w:rPr>
        <w:t>extravillous</w:t>
      </w:r>
      <w:proofErr w:type="spellEnd"/>
      <w:r w:rsidR="00F831B4" w:rsidRPr="00FF3ECB">
        <w:rPr>
          <w:lang w:val="en-US"/>
        </w:rPr>
        <w:t xml:space="preserve"> trophoblast emergence</w:t>
      </w:r>
      <w:r w:rsidR="009B28D0" w:rsidRPr="00FF3ECB">
        <w:rPr>
          <w:lang w:val="en-US"/>
        </w:rPr>
        <w:fldChar w:fldCharType="begin"/>
      </w:r>
      <w:r w:rsidR="00297D16" w:rsidRPr="00FF3ECB">
        <w:rPr>
          <w:lang w:val="en-US"/>
        </w:rPr>
        <w:instrText xml:space="preserve"> ADDIN ZOTERO_ITEM CSL_CITATION {"citationID":"bLT3P3T1","properties":{"unsorted":false,"formattedCitation":"\\super 21\\nosupersub{}","plainCitation":"21","noteIndex":0},"citationItems":[{"id":"R0aTIDOI/ZmrS9z01","uris":["http://zotero.org/users/17609913/items/TLQFE78P"],"itemData":{"id":2377,"type":"article","abstract":"The first lineage decision in the mammalian blastocyst commits outer cells to the trophectoderm and initiates the trajectory that gives rise to the placental chorion. The molecular sequence that unfolds downstream of HIPPO pathway inactivation, linking human trophectoderm specification to the early organization of the chorion, has remained unknown. Here, we establish a developmentally informed model that leverages HIPPO pathway modulation to induce the native trophectoderm trajectory in the absence of exogenous BMP or WNT signaling. We first transiently reset primed human pluripotent stem cells into a trophectoderm-competent ground state, followed by LATS kinase inhibition to set the trajectory in motion. To benchmark fidelity, we built an embryo-chorion single-cell reference integrating published early human and placental transcriptomes and applied a computational stage-matching tool to align our cultures to natural development. Stage matching revealed an ordered progression along the trophectoderm trajectory from early TE to post-implantation trophoblast. With extended culture, all major cell types of the nascent chorion emerged, encompassing both trophoblast and chorionic mesoderm lineages. Within the trophoblast, we identified proliferative and non-cycling villous cytotrophoblast, a columnar population connecting villous and extravillous domains, as well as syncytia and extravillous subtypes. When cultured in suspension, these lineages self-organized into three-dimensional organoids that recapitulated the stromal-epithelial architecture and proliferative-syncytial polarity of the emergent chorion. We identified CLDN6 as a defining surface marker of columnar trophoblast, the population that bridges villous and extravillous compartments. Prospective isolation of living CLDN6+ trophoblast revealed their capacity to reacquire a proliferative villous state and, under directed cues, generate both syncytial and extravillous fates, confirming their proposed dual developmental potential within the chorion. Together, these findings establish a developmentally informed framework that connects human trophectoderm specification to the emergent chorion and provides a dynamic platform for investigating the earliest steps of placental specification and the origins of implantation disorders.","DOI":"10.1101/2025.11.18.688276","language":"en","license":"© 2025, Posted by openRxiv. This pre-print is available under a Creative Commons License (Attribution-NonCommercial-NoDerivs 4.0 International), CC BY-NC-ND 4.0, as described at http://creativecommons.org/licenses/by-nc-nd/4.0/","note":"ISSN: 2692-8205\npage: 2025.11.18.688276\nsection: New Results","publisher":"bioRxiv","source":"bioRxiv","title":"Reconstructing the emergence of the human chorion via HIPPO-mediated trophoblast induction","URL":"https://www.biorxiv.org/content/10.1101/2025.11.18.688276v1","author":[{"family":"Zhang","given":"Miaoci"},{"family":"Lim","given":"Ryan L."},{"family":"Reis","given":"Alice H."},{"family":"Piszker","given":"Walter"},{"family":"Boyd","given":"Wallis W."},{"family":"Pagon","given":"Athena"},{"family":"Mahajan","given":"Aman"},{"family":"Wu","given":"Linlin"},{"family":"Zhao","given":"Cheng"},{"family":"Petropoulos","given":"Sophie"},{"family":"Ronda","given":"Carlotta"},{"family":"Simunovic","given":"Mijo"}],"accessed":{"date-parts":[["2025",11,28]]},"issued":{"date-parts":[["2025",11,18]]}}}],"schema":"https://github.com/citation-style-language/schema/raw/master/csl-citation.json"} </w:instrText>
      </w:r>
      <w:r w:rsidR="009B28D0" w:rsidRPr="00FF3ECB">
        <w:rPr>
          <w:lang w:val="en-US"/>
        </w:rPr>
        <w:fldChar w:fldCharType="separate"/>
      </w:r>
      <w:r w:rsidR="00A620F1" w:rsidRPr="00FF3ECB">
        <w:rPr>
          <w:vertAlign w:val="superscript"/>
          <w:lang w:val="en-US"/>
        </w:rPr>
        <w:t>21</w:t>
      </w:r>
      <w:r w:rsidR="009B28D0" w:rsidRPr="00FF3ECB">
        <w:rPr>
          <w:lang w:val="en-US"/>
        </w:rPr>
        <w:fldChar w:fldCharType="end"/>
      </w:r>
      <w:r w:rsidR="00F831B4" w:rsidRPr="00FF3ECB">
        <w:rPr>
          <w:lang w:val="en-US"/>
        </w:rPr>
        <w:t>.</w:t>
      </w:r>
      <w:r w:rsidR="008219F9" w:rsidRPr="00FF3ECB">
        <w:rPr>
          <w:lang w:val="en-US"/>
        </w:rPr>
        <w:t xml:space="preserve"> The protocol is slower than the more conventional morphogen-based trophoblast induction, the trade-off is a staged, developmentally ordered model that more closely follows the </w:t>
      </w:r>
      <w:r w:rsidR="008219F9" w:rsidRPr="00FF3ECB">
        <w:rPr>
          <w:i/>
          <w:iCs/>
          <w:lang w:val="en-US"/>
        </w:rPr>
        <w:t>in vivo</w:t>
      </w:r>
      <w:r w:rsidR="008219F9" w:rsidRPr="00FF3ECB">
        <w:rPr>
          <w:lang w:val="en-US"/>
        </w:rPr>
        <w:t xml:space="preserve"> induction timeline</w:t>
      </w:r>
      <w:r w:rsidR="008219F9" w:rsidRPr="00FF3ECB">
        <w:rPr>
          <w:lang w:val="en-US"/>
        </w:rPr>
        <w:fldChar w:fldCharType="begin"/>
      </w:r>
      <w:r w:rsidR="00297D16" w:rsidRPr="00FF3ECB">
        <w:rPr>
          <w:lang w:val="en-US"/>
        </w:rPr>
        <w:instrText xml:space="preserve"> ADDIN ZOTERO_ITEM CSL_CITATION {"citationID":"rhE5ltAZ","properties":{"unsorted":false,"formattedCitation":"\\super 21\\nosupersub{}","plainCitation":"21","noteIndex":0},"citationItems":[{"id":"R0aTIDOI/ZmrS9z01","uris":["http://zotero.org/users/17609913/items/TLQFE78P"],"itemData":{"id":2377,"type":"article","abstract":"The first lineage decision in the mammalian blastocyst commits outer cells to the trophectoderm and initiates the trajectory that gives rise to the placental chorion. The molecular sequence that unfolds downstream of HIPPO pathway inactivation, linking human trophectoderm specification to the early organization of the chorion, has remained unknown. Here, we establish a developmentally informed model that leverages HIPPO pathway modulation to induce the native trophectoderm trajectory in the absence of exogenous BMP or WNT signaling. We first transiently reset primed human pluripotent stem cells into a trophectoderm-competent ground state, followed by LATS kinase inhibition to set the trajectory in motion. To benchmark fidelity, we built an embryo-chorion single-cell reference integrating published early human and placental transcriptomes and applied a computational stage-matching tool to align our cultures to natural development. Stage matching revealed an ordered progression along the trophectoderm trajectory from early TE to post-implantation trophoblast. With extended culture, all major cell types of the nascent chorion emerged, encompassing both trophoblast and chorionic mesoderm lineages. Within the trophoblast, we identified proliferative and non-cycling villous cytotrophoblast, a columnar population connecting villous and extravillous domains, as well as syncytia and extravillous subtypes. When cultured in suspension, these lineages self-organized into three-dimensional organoids that recapitulated the stromal-epithelial architecture and proliferative-syncytial polarity of the emergent chorion. We identified CLDN6 as a defining surface marker of columnar trophoblast, the population that bridges villous and extravillous compartments. Prospective isolation of living CLDN6+ trophoblast revealed their capacity to reacquire a proliferative villous state and, under directed cues, generate both syncytial and extravillous fates, confirming their proposed dual developmental potential within the chorion. Together, these findings establish a developmentally informed framework that connects human trophectoderm specification to the emergent chorion and provides a dynamic platform for investigating the earliest steps of placental specification and the origins of implantation disorders.","DOI":"10.1101/2025.11.18.688276","language":"en","license":"© 2025, Posted by openRxiv. This pre-print is available under a Creative Commons License (Attribution-NonCommercial-NoDerivs 4.0 International), CC BY-NC-ND 4.0, as described at http://creativecommons.org/licenses/by-nc-nd/4.0/","note":"ISSN: 2692-8205\npage: 2025.11.18.688276\nsection: New Results","publisher":"bioRxiv","source":"bioRxiv","title":"Reconstructing the emergence of the human chorion via HIPPO-mediated trophoblast induction","URL":"https://www.biorxiv.org/content/10.1101/2025.11.18.688276v1","author":[{"family":"Zhang","given":"Miaoci"},{"family":"Lim","given":"Ryan L."},{"family":"Reis","given":"Alice H."},{"family":"Piszker","given":"Walter"},{"family":"Boyd","given":"Wallis W."},{"family":"Pagon","given":"Athena"},{"family":"Mahajan","given":"Aman"},{"family":"Wu","given":"Linlin"},{"family":"Zhao","given":"Cheng"},{"family":"Petropoulos","given":"Sophie"},{"family":"Ronda","given":"Carlotta"},{"family":"Simunovic","given":"Mijo"}],"accessed":{"date-parts":[["2025",11,28]]},"issued":{"date-parts":[["2025",11,18]]}}}],"schema":"https://github.com/citation-style-language/schema/raw/master/csl-citation.json"} </w:instrText>
      </w:r>
      <w:r w:rsidR="008219F9" w:rsidRPr="00FF3ECB">
        <w:rPr>
          <w:lang w:val="en-US"/>
        </w:rPr>
        <w:fldChar w:fldCharType="separate"/>
      </w:r>
      <w:r w:rsidR="00A620F1" w:rsidRPr="00FF3ECB">
        <w:rPr>
          <w:vertAlign w:val="superscript"/>
          <w:lang w:val="en-US"/>
        </w:rPr>
        <w:t>21</w:t>
      </w:r>
      <w:r w:rsidR="008219F9" w:rsidRPr="00FF3ECB">
        <w:rPr>
          <w:lang w:val="en-US"/>
        </w:rPr>
        <w:fldChar w:fldCharType="end"/>
      </w:r>
      <w:r w:rsidR="008219F9" w:rsidRPr="00FF3ECB">
        <w:rPr>
          <w:lang w:val="en-US"/>
        </w:rPr>
        <w:t>.</w:t>
      </w:r>
    </w:p>
    <w:p w14:paraId="5F0A30C0" w14:textId="77777777" w:rsidR="00F831B4" w:rsidRPr="00FF3ECB" w:rsidRDefault="00F831B4" w:rsidP="00FF3ECB">
      <w:pPr>
        <w:rPr>
          <w:lang w:val="en-US"/>
        </w:rPr>
      </w:pPr>
    </w:p>
    <w:p w14:paraId="556EB3B8" w14:textId="28D24C81" w:rsidR="001F477B" w:rsidRPr="00FF3ECB" w:rsidRDefault="008219F9" w:rsidP="00FF3ECB">
      <w:pPr>
        <w:rPr>
          <w:color w:val="000000"/>
        </w:rPr>
      </w:pPr>
      <w:r w:rsidRPr="00FF3ECB">
        <w:rPr>
          <w:lang w:val="en-US"/>
        </w:rPr>
        <w:t xml:space="preserve">This protocol is most useful when the goal is a diverse, </w:t>
      </w:r>
      <w:r w:rsidR="009B28D0" w:rsidRPr="00FF3ECB">
        <w:rPr>
          <w:lang w:val="en-US"/>
        </w:rPr>
        <w:t xml:space="preserve">appropriately </w:t>
      </w:r>
      <w:r w:rsidRPr="00FF3ECB">
        <w:rPr>
          <w:lang w:val="en-US"/>
        </w:rPr>
        <w:t>polarized, gel-free chorion model in an accessible and scalable format suited to longitudinal perturbation and lineage-tracing experiments that are otherwise inaccessible in human tissue.</w:t>
      </w:r>
      <w:r w:rsidR="009B28D0" w:rsidRPr="00FF3ECB">
        <w:rPr>
          <w:lang w:val="en-US"/>
        </w:rPr>
        <w:t xml:space="preserve"> </w:t>
      </w:r>
      <w:r w:rsidR="00A1741B" w:rsidRPr="00FF3ECB">
        <w:t xml:space="preserve">Given the </w:t>
      </w:r>
      <w:r w:rsidR="00802D5F" w:rsidRPr="00FF3ECB">
        <w:t xml:space="preserve">protocol's </w:t>
      </w:r>
      <w:r w:rsidR="00A1741B" w:rsidRPr="00FF3ECB">
        <w:t xml:space="preserve">relative simplicity and accessibility, we hope </w:t>
      </w:r>
      <w:r w:rsidR="009B28D0" w:rsidRPr="00FF3ECB">
        <w:t>it</w:t>
      </w:r>
      <w:r w:rsidR="00A1741B" w:rsidRPr="00FF3ECB">
        <w:t xml:space="preserve"> will be broadly adopted to further advance the rapidly evolving field of placental biology.</w:t>
      </w:r>
    </w:p>
    <w:p w14:paraId="12F172C9" w14:textId="77777777" w:rsidR="001F477B" w:rsidRPr="00FF3ECB" w:rsidRDefault="001F477B" w:rsidP="00FF3ECB"/>
    <w:p w14:paraId="53CD53CC" w14:textId="77777777" w:rsidR="001F477B" w:rsidRPr="00FF3ECB" w:rsidRDefault="008219F9" w:rsidP="00FF3ECB">
      <w:pPr>
        <w:rPr>
          <w:b/>
        </w:rPr>
      </w:pPr>
      <w:r w:rsidRPr="00FF3ECB">
        <w:rPr>
          <w:b/>
        </w:rPr>
        <w:t>ACKNOWLEDGMENTS:</w:t>
      </w:r>
    </w:p>
    <w:p w14:paraId="0EB024CD" w14:textId="118552D9" w:rsidR="00A728EF" w:rsidRPr="00FF3ECB" w:rsidRDefault="008219F9" w:rsidP="00FF3ECB">
      <w:r w:rsidRPr="00FF3ECB">
        <w:rPr>
          <w:lang w:val="en-US"/>
        </w:rPr>
        <w:t>The study was supported by the Burroughs-</w:t>
      </w:r>
      <w:proofErr w:type="spellStart"/>
      <w:r w:rsidRPr="00FF3ECB">
        <w:rPr>
          <w:lang w:val="en-US"/>
        </w:rPr>
        <w:t>Wellcome</w:t>
      </w:r>
      <w:proofErr w:type="spellEnd"/>
      <w:r w:rsidRPr="00FF3ECB">
        <w:rPr>
          <w:lang w:val="en-US"/>
        </w:rPr>
        <w:t xml:space="preserve"> Fund Next Gen Pregnancy Initiative Award </w:t>
      </w:r>
      <w:r w:rsidRPr="00FF3ECB">
        <w:rPr>
          <w:lang w:val="en-US"/>
        </w:rPr>
        <w:lastRenderedPageBreak/>
        <w:t xml:space="preserve">(NGP10152), Allen Distinguished Investigator Award (PGAF 202211-13815), NYSCF Robertson Stem Cell Investigator Award (NYSCF-R-I80), and Columbia funds. </w:t>
      </w:r>
      <w:r w:rsidR="00C74C86" w:rsidRPr="00FF3ECB">
        <w:rPr>
          <w:lang w:val="en-US"/>
        </w:rPr>
        <w:t>The authors</w:t>
      </w:r>
      <w:r w:rsidRPr="00FF3ECB">
        <w:rPr>
          <w:lang w:val="en-US"/>
        </w:rPr>
        <w:t xml:space="preserve"> thank B. </w:t>
      </w:r>
      <w:proofErr w:type="spellStart"/>
      <w:r w:rsidRPr="00FF3ECB">
        <w:rPr>
          <w:lang w:val="en-US"/>
        </w:rPr>
        <w:t>Corneo</w:t>
      </w:r>
      <w:proofErr w:type="spellEnd"/>
      <w:r w:rsidRPr="00FF3ECB">
        <w:rPr>
          <w:lang w:val="en-US"/>
        </w:rPr>
        <w:t>, M. Kissner, and the staff of the Columbia Stem Cell Initiative Core for their expert assistance.</w:t>
      </w:r>
    </w:p>
    <w:p w14:paraId="3F135945" w14:textId="77777777" w:rsidR="00A728EF" w:rsidRPr="00FF3ECB" w:rsidRDefault="00A728EF" w:rsidP="00FF3ECB">
      <w:pPr>
        <w:rPr>
          <w:b/>
          <w:bCs/>
        </w:rPr>
      </w:pPr>
    </w:p>
    <w:p w14:paraId="22D51125" w14:textId="77777777" w:rsidR="001F477B" w:rsidRPr="00FF3ECB" w:rsidRDefault="008219F9" w:rsidP="00FF3ECB">
      <w:pPr>
        <w:rPr>
          <w:color w:val="808080"/>
          <w:highlight w:val="yellow"/>
        </w:rPr>
      </w:pPr>
      <w:r w:rsidRPr="00FF3ECB">
        <w:rPr>
          <w:b/>
        </w:rPr>
        <w:t>DISCLOSURES:</w:t>
      </w:r>
    </w:p>
    <w:p w14:paraId="62FF6F23" w14:textId="77777777" w:rsidR="001F477B" w:rsidRPr="00FF3ECB" w:rsidRDefault="008219F9" w:rsidP="00FF3ECB">
      <w:r w:rsidRPr="00FF3ECB">
        <w:t>The authors have nothing to disclose.</w:t>
      </w:r>
    </w:p>
    <w:p w14:paraId="7C57827B" w14:textId="77777777" w:rsidR="001F477B" w:rsidRPr="00FF3ECB" w:rsidRDefault="001F477B" w:rsidP="00FF3ECB"/>
    <w:p w14:paraId="36FE9F61" w14:textId="709DB8D8" w:rsidR="006F3904" w:rsidRPr="00FF3ECB" w:rsidRDefault="008219F9" w:rsidP="00FF3ECB">
      <w:pPr>
        <w:rPr>
          <w:b/>
          <w:bCs/>
          <w:highlight w:val="yellow"/>
        </w:rPr>
      </w:pPr>
      <w:r w:rsidRPr="00FF3ECB">
        <w:rPr>
          <w:b/>
        </w:rPr>
        <w:t>REFERENCES:</w:t>
      </w:r>
    </w:p>
    <w:p w14:paraId="3AA7648C" w14:textId="37786CB7" w:rsidR="006E1557" w:rsidRPr="006E1557" w:rsidRDefault="006E1557" w:rsidP="006E1557">
      <w:pPr>
        <w:pStyle w:val="ListParagraph"/>
        <w:numPr>
          <w:ilvl w:val="0"/>
          <w:numId w:val="15"/>
        </w:numPr>
        <w:spacing w:after="0" w:line="240" w:lineRule="auto"/>
        <w:ind w:left="0" w:firstLine="0"/>
        <w:jc w:val="both"/>
        <w:rPr>
          <w:rFonts w:ascii="Calibri" w:eastAsia="Times New Roman" w:hAnsi="Calibri" w:cs="Calibri"/>
          <w:sz w:val="24"/>
          <w:szCs w:val="24"/>
          <w:lang w:val="en-IN" w:eastAsia="en-IN"/>
        </w:rPr>
      </w:pPr>
      <w:r w:rsidRPr="006E1557">
        <w:rPr>
          <w:rFonts w:ascii="Calibri" w:eastAsia="Times New Roman" w:hAnsi="Calibri" w:cs="Calibri"/>
          <w:sz w:val="24"/>
          <w:szCs w:val="24"/>
          <w:lang w:val="en-IN" w:eastAsia="en-IN"/>
        </w:rPr>
        <w:t>Aplin JD, Myers JE, Timms K, Westwood M. Tracking placental development in health and disease. Nat Rev Endocrinol. 2020;16(9):479-</w:t>
      </w:r>
      <w:r>
        <w:rPr>
          <w:rFonts w:ascii="Calibri" w:eastAsia="Times New Roman" w:hAnsi="Calibri" w:cs="Calibri"/>
          <w:sz w:val="24"/>
          <w:szCs w:val="24"/>
          <w:lang w:val="en-IN" w:eastAsia="en-IN"/>
        </w:rPr>
        <w:t>4</w:t>
      </w:r>
      <w:r w:rsidRPr="006E1557">
        <w:rPr>
          <w:rFonts w:ascii="Calibri" w:eastAsia="Times New Roman" w:hAnsi="Calibri" w:cs="Calibri"/>
          <w:sz w:val="24"/>
          <w:szCs w:val="24"/>
          <w:lang w:val="en-IN" w:eastAsia="en-IN"/>
        </w:rPr>
        <w:t xml:space="preserve">94. </w:t>
      </w:r>
    </w:p>
    <w:p w14:paraId="42C92637" w14:textId="1A7A0C52" w:rsidR="006E1557" w:rsidRPr="006E1557" w:rsidRDefault="006E1557" w:rsidP="006E1557">
      <w:pPr>
        <w:pStyle w:val="ListParagraph"/>
        <w:numPr>
          <w:ilvl w:val="0"/>
          <w:numId w:val="15"/>
        </w:numPr>
        <w:spacing w:after="0" w:line="240" w:lineRule="auto"/>
        <w:ind w:left="0" w:firstLine="0"/>
        <w:jc w:val="both"/>
        <w:rPr>
          <w:rFonts w:ascii="Calibri" w:eastAsia="Times New Roman" w:hAnsi="Calibri" w:cs="Calibri"/>
          <w:sz w:val="24"/>
          <w:szCs w:val="24"/>
          <w:lang w:val="en-IN" w:eastAsia="en-IN"/>
        </w:rPr>
      </w:pPr>
      <w:r w:rsidRPr="006E1557">
        <w:rPr>
          <w:rFonts w:ascii="Calibri" w:eastAsia="Times New Roman" w:hAnsi="Calibri" w:cs="Calibri"/>
          <w:sz w:val="24"/>
          <w:szCs w:val="24"/>
          <w:lang w:val="en-IN" w:eastAsia="en-IN"/>
        </w:rPr>
        <w:t xml:space="preserve">Gamage TK, Chamley LW, James JL. Stem cell insights into human trophoblast lineage differentiation. Hum </w:t>
      </w:r>
      <w:proofErr w:type="spellStart"/>
      <w:r w:rsidRPr="006E1557">
        <w:rPr>
          <w:rFonts w:ascii="Calibri" w:eastAsia="Times New Roman" w:hAnsi="Calibri" w:cs="Calibri"/>
          <w:sz w:val="24"/>
          <w:szCs w:val="24"/>
          <w:lang w:val="en-IN" w:eastAsia="en-IN"/>
        </w:rPr>
        <w:t>Reprod</w:t>
      </w:r>
      <w:proofErr w:type="spellEnd"/>
      <w:r w:rsidRPr="006E1557">
        <w:rPr>
          <w:rFonts w:ascii="Calibri" w:eastAsia="Times New Roman" w:hAnsi="Calibri" w:cs="Calibri"/>
          <w:sz w:val="24"/>
          <w:szCs w:val="24"/>
          <w:lang w:val="en-IN" w:eastAsia="en-IN"/>
        </w:rPr>
        <w:t xml:space="preserve"> Update. 2017;23(1):77-103. </w:t>
      </w:r>
    </w:p>
    <w:p w14:paraId="39CBF4F5" w14:textId="7BEA1BD5" w:rsidR="006E1557" w:rsidRPr="006E1557" w:rsidRDefault="006E1557" w:rsidP="006E1557">
      <w:pPr>
        <w:pStyle w:val="ListParagraph"/>
        <w:numPr>
          <w:ilvl w:val="0"/>
          <w:numId w:val="15"/>
        </w:numPr>
        <w:spacing w:after="0" w:line="240" w:lineRule="auto"/>
        <w:ind w:left="0" w:firstLine="0"/>
        <w:jc w:val="both"/>
        <w:rPr>
          <w:rFonts w:ascii="Calibri" w:eastAsia="Times New Roman" w:hAnsi="Calibri" w:cs="Calibri"/>
          <w:sz w:val="24"/>
          <w:szCs w:val="24"/>
          <w:lang w:val="en-IN" w:eastAsia="en-IN"/>
        </w:rPr>
      </w:pPr>
      <w:proofErr w:type="spellStart"/>
      <w:r w:rsidRPr="006E1557">
        <w:rPr>
          <w:rFonts w:ascii="Calibri" w:eastAsia="Times New Roman" w:hAnsi="Calibri" w:cs="Calibri"/>
          <w:sz w:val="24"/>
          <w:szCs w:val="24"/>
          <w:lang w:val="en-IN" w:eastAsia="en-IN"/>
        </w:rPr>
        <w:t>Okae</w:t>
      </w:r>
      <w:proofErr w:type="spellEnd"/>
      <w:r w:rsidRPr="006E1557">
        <w:rPr>
          <w:rFonts w:ascii="Calibri" w:eastAsia="Times New Roman" w:hAnsi="Calibri" w:cs="Calibri"/>
          <w:sz w:val="24"/>
          <w:szCs w:val="24"/>
          <w:lang w:val="en-IN" w:eastAsia="en-IN"/>
        </w:rPr>
        <w:t xml:space="preserve"> H, Toh H, Sato T, et al. Derivation of human trophoblast stem cells. Cell Stem Cell. 2018;22(1):50-63.e6. </w:t>
      </w:r>
    </w:p>
    <w:p w14:paraId="608120D6" w14:textId="495454D4" w:rsidR="006E1557" w:rsidRPr="006E1557" w:rsidRDefault="006E1557" w:rsidP="006E1557">
      <w:pPr>
        <w:pStyle w:val="ListParagraph"/>
        <w:numPr>
          <w:ilvl w:val="0"/>
          <w:numId w:val="15"/>
        </w:numPr>
        <w:spacing w:after="0" w:line="240" w:lineRule="auto"/>
        <w:ind w:left="0" w:firstLine="0"/>
        <w:jc w:val="both"/>
        <w:rPr>
          <w:rFonts w:ascii="Calibri" w:eastAsia="Times New Roman" w:hAnsi="Calibri" w:cs="Calibri"/>
          <w:sz w:val="24"/>
          <w:szCs w:val="24"/>
          <w:lang w:val="en-IN" w:eastAsia="en-IN"/>
        </w:rPr>
      </w:pPr>
      <w:r w:rsidRPr="006E1557">
        <w:rPr>
          <w:rFonts w:ascii="Calibri" w:eastAsia="Times New Roman" w:hAnsi="Calibri" w:cs="Calibri"/>
          <w:sz w:val="24"/>
          <w:szCs w:val="24"/>
          <w:lang w:val="en-IN" w:eastAsia="en-IN"/>
        </w:rPr>
        <w:t xml:space="preserve">Xu RH, Chen X, Li DS, et al. BMP4 initiates human embryonic stem cell differentiation to trophoblast. Nat </w:t>
      </w:r>
      <w:proofErr w:type="spellStart"/>
      <w:r w:rsidRPr="006E1557">
        <w:rPr>
          <w:rFonts w:ascii="Calibri" w:eastAsia="Times New Roman" w:hAnsi="Calibri" w:cs="Calibri"/>
          <w:sz w:val="24"/>
          <w:szCs w:val="24"/>
          <w:lang w:val="en-IN" w:eastAsia="en-IN"/>
        </w:rPr>
        <w:t>Biotechnol</w:t>
      </w:r>
      <w:proofErr w:type="spellEnd"/>
      <w:r w:rsidRPr="006E1557">
        <w:rPr>
          <w:rFonts w:ascii="Calibri" w:eastAsia="Times New Roman" w:hAnsi="Calibri" w:cs="Calibri"/>
          <w:sz w:val="24"/>
          <w:szCs w:val="24"/>
          <w:lang w:val="en-IN" w:eastAsia="en-IN"/>
        </w:rPr>
        <w:t>. 2002;20(12):1261-</w:t>
      </w:r>
      <w:r>
        <w:rPr>
          <w:rFonts w:ascii="Calibri" w:eastAsia="Times New Roman" w:hAnsi="Calibri" w:cs="Calibri"/>
          <w:sz w:val="24"/>
          <w:szCs w:val="24"/>
          <w:lang w:val="en-IN" w:eastAsia="en-IN"/>
        </w:rPr>
        <w:t>126</w:t>
      </w:r>
      <w:r w:rsidRPr="006E1557">
        <w:rPr>
          <w:rFonts w:ascii="Calibri" w:eastAsia="Times New Roman" w:hAnsi="Calibri" w:cs="Calibri"/>
          <w:sz w:val="24"/>
          <w:szCs w:val="24"/>
          <w:lang w:val="en-IN" w:eastAsia="en-IN"/>
        </w:rPr>
        <w:t xml:space="preserve">4. </w:t>
      </w:r>
    </w:p>
    <w:p w14:paraId="54D596AB" w14:textId="16A2829D" w:rsidR="006E1557" w:rsidRPr="006E1557" w:rsidRDefault="006E1557" w:rsidP="006E1557">
      <w:pPr>
        <w:pStyle w:val="ListParagraph"/>
        <w:numPr>
          <w:ilvl w:val="0"/>
          <w:numId w:val="15"/>
        </w:numPr>
        <w:spacing w:after="0" w:line="240" w:lineRule="auto"/>
        <w:ind w:left="0" w:firstLine="0"/>
        <w:jc w:val="both"/>
        <w:rPr>
          <w:rFonts w:ascii="Calibri" w:eastAsia="Times New Roman" w:hAnsi="Calibri" w:cs="Calibri"/>
          <w:sz w:val="24"/>
          <w:szCs w:val="24"/>
          <w:lang w:val="en-IN" w:eastAsia="en-IN"/>
        </w:rPr>
      </w:pPr>
      <w:r w:rsidRPr="006E1557">
        <w:rPr>
          <w:rFonts w:ascii="Calibri" w:eastAsia="Times New Roman" w:hAnsi="Calibri" w:cs="Calibri"/>
          <w:sz w:val="24"/>
          <w:szCs w:val="24"/>
          <w:lang w:val="en-IN" w:eastAsia="en-IN"/>
        </w:rPr>
        <w:t xml:space="preserve">Amita M, Adachi K, </w:t>
      </w:r>
      <w:proofErr w:type="spellStart"/>
      <w:r w:rsidRPr="006E1557">
        <w:rPr>
          <w:rFonts w:ascii="Calibri" w:eastAsia="Times New Roman" w:hAnsi="Calibri" w:cs="Calibri"/>
          <w:sz w:val="24"/>
          <w:szCs w:val="24"/>
          <w:lang w:val="en-IN" w:eastAsia="en-IN"/>
        </w:rPr>
        <w:t>Alexenko</w:t>
      </w:r>
      <w:proofErr w:type="spellEnd"/>
      <w:r w:rsidRPr="006E1557">
        <w:rPr>
          <w:rFonts w:ascii="Calibri" w:eastAsia="Times New Roman" w:hAnsi="Calibri" w:cs="Calibri"/>
          <w:sz w:val="24"/>
          <w:szCs w:val="24"/>
          <w:lang w:val="en-IN" w:eastAsia="en-IN"/>
        </w:rPr>
        <w:t xml:space="preserve"> AP, et al. Complete and unidirectional conversion of human embryonic stem cells to trophoblast by BMP4. Proc Natl </w:t>
      </w:r>
      <w:proofErr w:type="spellStart"/>
      <w:r w:rsidRPr="006E1557">
        <w:rPr>
          <w:rFonts w:ascii="Calibri" w:eastAsia="Times New Roman" w:hAnsi="Calibri" w:cs="Calibri"/>
          <w:sz w:val="24"/>
          <w:szCs w:val="24"/>
          <w:lang w:val="en-IN" w:eastAsia="en-IN"/>
        </w:rPr>
        <w:t>Acad</w:t>
      </w:r>
      <w:proofErr w:type="spellEnd"/>
      <w:r w:rsidRPr="006E1557">
        <w:rPr>
          <w:rFonts w:ascii="Calibri" w:eastAsia="Times New Roman" w:hAnsi="Calibri" w:cs="Calibri"/>
          <w:sz w:val="24"/>
          <w:szCs w:val="24"/>
          <w:lang w:val="en-IN" w:eastAsia="en-IN"/>
        </w:rPr>
        <w:t xml:space="preserve"> Sci U S A. 2013;110(13):E1212-E1221. </w:t>
      </w:r>
    </w:p>
    <w:p w14:paraId="210211AA" w14:textId="2C63F5A1" w:rsidR="006E1557" w:rsidRPr="006E1557" w:rsidRDefault="006E1557" w:rsidP="006E1557">
      <w:pPr>
        <w:pStyle w:val="ListParagraph"/>
        <w:numPr>
          <w:ilvl w:val="0"/>
          <w:numId w:val="15"/>
        </w:numPr>
        <w:spacing w:after="0" w:line="240" w:lineRule="auto"/>
        <w:ind w:left="0" w:firstLine="0"/>
        <w:jc w:val="both"/>
        <w:rPr>
          <w:rFonts w:ascii="Calibri" w:eastAsia="Times New Roman" w:hAnsi="Calibri" w:cs="Calibri"/>
          <w:sz w:val="24"/>
          <w:szCs w:val="24"/>
          <w:lang w:val="en-IN" w:eastAsia="en-IN"/>
        </w:rPr>
      </w:pPr>
      <w:proofErr w:type="spellStart"/>
      <w:r w:rsidRPr="006E1557">
        <w:rPr>
          <w:rFonts w:ascii="Calibri" w:eastAsia="Times New Roman" w:hAnsi="Calibri" w:cs="Calibri"/>
          <w:sz w:val="24"/>
          <w:szCs w:val="24"/>
          <w:lang w:val="en-IN" w:eastAsia="en-IN"/>
        </w:rPr>
        <w:t>Soncin</w:t>
      </w:r>
      <w:proofErr w:type="spellEnd"/>
      <w:r w:rsidRPr="006E1557">
        <w:rPr>
          <w:rFonts w:ascii="Calibri" w:eastAsia="Times New Roman" w:hAnsi="Calibri" w:cs="Calibri"/>
          <w:sz w:val="24"/>
          <w:szCs w:val="24"/>
          <w:lang w:val="en-IN" w:eastAsia="en-IN"/>
        </w:rPr>
        <w:t xml:space="preserve"> F, Morey R, Bui T, et al. Derivation of functional trophoblast stem cells from primed human pluripotent stem cells. Stem Cell Reports. 2022;17(6):1303-</w:t>
      </w:r>
      <w:r w:rsidR="00481B36">
        <w:rPr>
          <w:rFonts w:ascii="Calibri" w:eastAsia="Times New Roman" w:hAnsi="Calibri" w:cs="Calibri"/>
          <w:sz w:val="24"/>
          <w:szCs w:val="24"/>
          <w:lang w:val="en-IN" w:eastAsia="en-IN"/>
        </w:rPr>
        <w:t>13</w:t>
      </w:r>
      <w:r w:rsidRPr="006E1557">
        <w:rPr>
          <w:rFonts w:ascii="Calibri" w:eastAsia="Times New Roman" w:hAnsi="Calibri" w:cs="Calibri"/>
          <w:sz w:val="24"/>
          <w:szCs w:val="24"/>
          <w:lang w:val="en-IN" w:eastAsia="en-IN"/>
        </w:rPr>
        <w:t xml:space="preserve">17. </w:t>
      </w:r>
    </w:p>
    <w:p w14:paraId="676C5DAE" w14:textId="59869779" w:rsidR="006E1557" w:rsidRPr="006E1557" w:rsidRDefault="006E1557" w:rsidP="006E1557">
      <w:pPr>
        <w:pStyle w:val="ListParagraph"/>
        <w:numPr>
          <w:ilvl w:val="0"/>
          <w:numId w:val="15"/>
        </w:numPr>
        <w:spacing w:after="0" w:line="240" w:lineRule="auto"/>
        <w:ind w:left="0" w:firstLine="0"/>
        <w:jc w:val="both"/>
        <w:rPr>
          <w:rFonts w:ascii="Calibri" w:eastAsia="Times New Roman" w:hAnsi="Calibri" w:cs="Calibri"/>
          <w:sz w:val="24"/>
          <w:szCs w:val="24"/>
          <w:lang w:val="en-IN" w:eastAsia="en-IN"/>
        </w:rPr>
      </w:pPr>
      <w:r w:rsidRPr="006E1557">
        <w:rPr>
          <w:rFonts w:ascii="Calibri" w:eastAsia="Times New Roman" w:hAnsi="Calibri" w:cs="Calibri"/>
          <w:sz w:val="24"/>
          <w:szCs w:val="24"/>
          <w:lang w:val="en-IN" w:eastAsia="en-IN"/>
        </w:rPr>
        <w:t>Seetharam AS, Vu HTH, Choi S, et al. The product of BMP-directed differentiation protocols for human primed pluripotent stem cells is placental trophoblast and not amnion. Stem Cell Reports. 2022;17(6):1289-</w:t>
      </w:r>
      <w:r w:rsidR="00481B36">
        <w:rPr>
          <w:rFonts w:ascii="Calibri" w:eastAsia="Times New Roman" w:hAnsi="Calibri" w:cs="Calibri"/>
          <w:sz w:val="24"/>
          <w:szCs w:val="24"/>
          <w:lang w:val="en-IN" w:eastAsia="en-IN"/>
        </w:rPr>
        <w:t>1</w:t>
      </w:r>
      <w:r w:rsidRPr="006E1557">
        <w:rPr>
          <w:rFonts w:ascii="Calibri" w:eastAsia="Times New Roman" w:hAnsi="Calibri" w:cs="Calibri"/>
          <w:sz w:val="24"/>
          <w:szCs w:val="24"/>
          <w:lang w:val="en-IN" w:eastAsia="en-IN"/>
        </w:rPr>
        <w:t xml:space="preserve">302. </w:t>
      </w:r>
    </w:p>
    <w:p w14:paraId="4352BB85" w14:textId="2D728243" w:rsidR="006E1557" w:rsidRPr="006E1557" w:rsidRDefault="006E1557" w:rsidP="006E1557">
      <w:pPr>
        <w:pStyle w:val="ListParagraph"/>
        <w:numPr>
          <w:ilvl w:val="0"/>
          <w:numId w:val="15"/>
        </w:numPr>
        <w:spacing w:after="0" w:line="240" w:lineRule="auto"/>
        <w:ind w:left="0" w:firstLine="0"/>
        <w:jc w:val="both"/>
        <w:rPr>
          <w:rFonts w:ascii="Calibri" w:eastAsia="Times New Roman" w:hAnsi="Calibri" w:cs="Calibri"/>
          <w:sz w:val="24"/>
          <w:szCs w:val="24"/>
          <w:lang w:val="en-IN" w:eastAsia="en-IN"/>
        </w:rPr>
      </w:pPr>
      <w:r w:rsidRPr="006E1557">
        <w:rPr>
          <w:rFonts w:ascii="Calibri" w:eastAsia="Times New Roman" w:hAnsi="Calibri" w:cs="Calibri"/>
          <w:sz w:val="24"/>
          <w:szCs w:val="24"/>
          <w:lang w:val="en-IN" w:eastAsia="en-IN"/>
        </w:rPr>
        <w:t xml:space="preserve">Bayerl J, Ayyash M, Shani T, et al. Principles of </w:t>
      </w:r>
      <w:proofErr w:type="spellStart"/>
      <w:r w:rsidRPr="006E1557">
        <w:rPr>
          <w:rFonts w:ascii="Calibri" w:eastAsia="Times New Roman" w:hAnsi="Calibri" w:cs="Calibri"/>
          <w:sz w:val="24"/>
          <w:szCs w:val="24"/>
          <w:lang w:val="en-IN" w:eastAsia="en-IN"/>
        </w:rPr>
        <w:t>signaling</w:t>
      </w:r>
      <w:proofErr w:type="spellEnd"/>
      <w:r w:rsidRPr="006E1557">
        <w:rPr>
          <w:rFonts w:ascii="Calibri" w:eastAsia="Times New Roman" w:hAnsi="Calibri" w:cs="Calibri"/>
          <w:sz w:val="24"/>
          <w:szCs w:val="24"/>
          <w:lang w:val="en-IN" w:eastAsia="en-IN"/>
        </w:rPr>
        <w:t xml:space="preserve"> pathway modulation for enhancing human naive pluripotency induction. Cell Stem Cell. 2021;28(9):1549-65.e12. </w:t>
      </w:r>
    </w:p>
    <w:p w14:paraId="57F0B8F4" w14:textId="6F35F5C4" w:rsidR="006E1557" w:rsidRPr="006E1557" w:rsidRDefault="006E1557" w:rsidP="006E1557">
      <w:pPr>
        <w:pStyle w:val="ListParagraph"/>
        <w:numPr>
          <w:ilvl w:val="0"/>
          <w:numId w:val="15"/>
        </w:numPr>
        <w:spacing w:after="0" w:line="240" w:lineRule="auto"/>
        <w:ind w:left="0" w:firstLine="0"/>
        <w:jc w:val="both"/>
        <w:rPr>
          <w:rFonts w:ascii="Calibri" w:eastAsia="Times New Roman" w:hAnsi="Calibri" w:cs="Calibri"/>
          <w:sz w:val="24"/>
          <w:szCs w:val="24"/>
          <w:lang w:val="en-IN" w:eastAsia="en-IN"/>
        </w:rPr>
      </w:pPr>
      <w:r w:rsidRPr="006E1557">
        <w:rPr>
          <w:rFonts w:ascii="Calibri" w:eastAsia="Times New Roman" w:hAnsi="Calibri" w:cs="Calibri"/>
          <w:sz w:val="24"/>
          <w:szCs w:val="24"/>
          <w:lang w:val="en-IN" w:eastAsia="en-IN"/>
        </w:rPr>
        <w:t>Viukov S, Shani T, Bayerl J, et al. Human primed and naïve PSCs are both able to differentiate into trophoblast stem cells. Stem Cell Reports. 2022;17(11):2484-</w:t>
      </w:r>
      <w:r w:rsidR="00CA4813">
        <w:rPr>
          <w:rFonts w:ascii="Calibri" w:eastAsia="Times New Roman" w:hAnsi="Calibri" w:cs="Calibri"/>
          <w:sz w:val="24"/>
          <w:szCs w:val="24"/>
          <w:lang w:val="en-IN" w:eastAsia="en-IN"/>
        </w:rPr>
        <w:t>2</w:t>
      </w:r>
      <w:r w:rsidRPr="006E1557">
        <w:rPr>
          <w:rFonts w:ascii="Calibri" w:eastAsia="Times New Roman" w:hAnsi="Calibri" w:cs="Calibri"/>
          <w:sz w:val="24"/>
          <w:szCs w:val="24"/>
          <w:lang w:val="en-IN" w:eastAsia="en-IN"/>
        </w:rPr>
        <w:t xml:space="preserve">500. </w:t>
      </w:r>
    </w:p>
    <w:p w14:paraId="48F44819" w14:textId="4F2E9F4E" w:rsidR="006E1557" w:rsidRPr="006E1557" w:rsidRDefault="006E1557" w:rsidP="006E1557">
      <w:pPr>
        <w:pStyle w:val="ListParagraph"/>
        <w:numPr>
          <w:ilvl w:val="0"/>
          <w:numId w:val="15"/>
        </w:numPr>
        <w:spacing w:after="0" w:line="240" w:lineRule="auto"/>
        <w:ind w:left="0" w:firstLine="0"/>
        <w:jc w:val="both"/>
        <w:rPr>
          <w:rFonts w:ascii="Calibri" w:eastAsia="Times New Roman" w:hAnsi="Calibri" w:cs="Calibri"/>
          <w:sz w:val="24"/>
          <w:szCs w:val="24"/>
          <w:lang w:val="en-IN" w:eastAsia="en-IN"/>
        </w:rPr>
      </w:pPr>
      <w:r w:rsidRPr="006E1557">
        <w:rPr>
          <w:rFonts w:ascii="Calibri" w:eastAsia="Times New Roman" w:hAnsi="Calibri" w:cs="Calibri"/>
          <w:sz w:val="24"/>
          <w:szCs w:val="24"/>
          <w:lang w:val="en-IN" w:eastAsia="en-IN"/>
        </w:rPr>
        <w:t xml:space="preserve">Dong C, </w:t>
      </w:r>
      <w:proofErr w:type="spellStart"/>
      <w:r w:rsidRPr="006E1557">
        <w:rPr>
          <w:rFonts w:ascii="Calibri" w:eastAsia="Times New Roman" w:hAnsi="Calibri" w:cs="Calibri"/>
          <w:sz w:val="24"/>
          <w:szCs w:val="24"/>
          <w:lang w:val="en-IN" w:eastAsia="en-IN"/>
        </w:rPr>
        <w:t>Beltcheva</w:t>
      </w:r>
      <w:proofErr w:type="spellEnd"/>
      <w:r w:rsidRPr="006E1557">
        <w:rPr>
          <w:rFonts w:ascii="Calibri" w:eastAsia="Times New Roman" w:hAnsi="Calibri" w:cs="Calibri"/>
          <w:sz w:val="24"/>
          <w:szCs w:val="24"/>
          <w:lang w:val="en-IN" w:eastAsia="en-IN"/>
        </w:rPr>
        <w:t xml:space="preserve"> M, Gontarz P, et al. Derivation of trophoblast stem cells from naïve human pluripotent stem cells. </w:t>
      </w:r>
      <w:proofErr w:type="spellStart"/>
      <w:r w:rsidRPr="006E1557">
        <w:rPr>
          <w:rFonts w:ascii="Calibri" w:eastAsia="Times New Roman" w:hAnsi="Calibri" w:cs="Calibri"/>
          <w:sz w:val="24"/>
          <w:szCs w:val="24"/>
          <w:lang w:val="en-IN" w:eastAsia="en-IN"/>
        </w:rPr>
        <w:t>eLife</w:t>
      </w:r>
      <w:proofErr w:type="spellEnd"/>
      <w:r w:rsidRPr="006E1557">
        <w:rPr>
          <w:rFonts w:ascii="Calibri" w:eastAsia="Times New Roman" w:hAnsi="Calibri" w:cs="Calibri"/>
          <w:sz w:val="24"/>
          <w:szCs w:val="24"/>
          <w:lang w:val="en-IN" w:eastAsia="en-IN"/>
        </w:rPr>
        <w:t xml:space="preserve">. 2020;9:e52504. </w:t>
      </w:r>
    </w:p>
    <w:p w14:paraId="5E7ED0A8" w14:textId="4ED3FE40" w:rsidR="006E1557" w:rsidRPr="006E1557" w:rsidRDefault="006E1557" w:rsidP="006E1557">
      <w:pPr>
        <w:pStyle w:val="ListParagraph"/>
        <w:numPr>
          <w:ilvl w:val="0"/>
          <w:numId w:val="15"/>
        </w:numPr>
        <w:spacing w:after="0" w:line="240" w:lineRule="auto"/>
        <w:ind w:left="0" w:firstLine="0"/>
        <w:jc w:val="both"/>
        <w:rPr>
          <w:rFonts w:ascii="Calibri" w:eastAsia="Times New Roman" w:hAnsi="Calibri" w:cs="Calibri"/>
          <w:sz w:val="24"/>
          <w:szCs w:val="24"/>
          <w:lang w:val="en-IN" w:eastAsia="en-IN"/>
        </w:rPr>
      </w:pPr>
      <w:r w:rsidRPr="006E1557">
        <w:rPr>
          <w:rFonts w:ascii="Calibri" w:eastAsia="Times New Roman" w:hAnsi="Calibri" w:cs="Calibri"/>
          <w:sz w:val="24"/>
          <w:szCs w:val="24"/>
          <w:lang w:val="en-IN" w:eastAsia="en-IN"/>
        </w:rPr>
        <w:t xml:space="preserve">Jang YJ, Kim M, Lee BK, Kim J. Induction of human trophoblast stem-like cells from primed pluripotent stem cells. Proc Natl </w:t>
      </w:r>
      <w:proofErr w:type="spellStart"/>
      <w:r w:rsidRPr="006E1557">
        <w:rPr>
          <w:rFonts w:ascii="Calibri" w:eastAsia="Times New Roman" w:hAnsi="Calibri" w:cs="Calibri"/>
          <w:sz w:val="24"/>
          <w:szCs w:val="24"/>
          <w:lang w:val="en-IN" w:eastAsia="en-IN"/>
        </w:rPr>
        <w:t>Acad</w:t>
      </w:r>
      <w:proofErr w:type="spellEnd"/>
      <w:r w:rsidRPr="006E1557">
        <w:rPr>
          <w:rFonts w:ascii="Calibri" w:eastAsia="Times New Roman" w:hAnsi="Calibri" w:cs="Calibri"/>
          <w:sz w:val="24"/>
          <w:szCs w:val="24"/>
          <w:lang w:val="en-IN" w:eastAsia="en-IN"/>
        </w:rPr>
        <w:t xml:space="preserve"> Sci U S A. 2022;119(20):e2115709119. </w:t>
      </w:r>
    </w:p>
    <w:p w14:paraId="4217943F" w14:textId="6BEFA0A2" w:rsidR="006E1557" w:rsidRPr="006E1557" w:rsidRDefault="006E1557" w:rsidP="006E1557">
      <w:pPr>
        <w:pStyle w:val="ListParagraph"/>
        <w:numPr>
          <w:ilvl w:val="0"/>
          <w:numId w:val="15"/>
        </w:numPr>
        <w:spacing w:after="0" w:line="240" w:lineRule="auto"/>
        <w:ind w:left="0" w:firstLine="0"/>
        <w:jc w:val="both"/>
        <w:rPr>
          <w:rFonts w:ascii="Calibri" w:eastAsia="Times New Roman" w:hAnsi="Calibri" w:cs="Calibri"/>
          <w:sz w:val="24"/>
          <w:szCs w:val="24"/>
          <w:lang w:val="en-IN" w:eastAsia="en-IN"/>
        </w:rPr>
      </w:pPr>
      <w:r w:rsidRPr="006E1557">
        <w:rPr>
          <w:rFonts w:ascii="Calibri" w:eastAsia="Times New Roman" w:hAnsi="Calibri" w:cs="Calibri"/>
          <w:sz w:val="24"/>
          <w:szCs w:val="24"/>
          <w:lang w:val="en-IN" w:eastAsia="en-IN"/>
        </w:rPr>
        <w:t xml:space="preserve">Horii M, Li Y, Wakeland AK, et al. Human pluripotent stem cells as a model of trophoblast differentiation in both normal development and disease. Proc Natl </w:t>
      </w:r>
      <w:proofErr w:type="spellStart"/>
      <w:r w:rsidRPr="006E1557">
        <w:rPr>
          <w:rFonts w:ascii="Calibri" w:eastAsia="Times New Roman" w:hAnsi="Calibri" w:cs="Calibri"/>
          <w:sz w:val="24"/>
          <w:szCs w:val="24"/>
          <w:lang w:val="en-IN" w:eastAsia="en-IN"/>
        </w:rPr>
        <w:t>Acad</w:t>
      </w:r>
      <w:proofErr w:type="spellEnd"/>
      <w:r w:rsidRPr="006E1557">
        <w:rPr>
          <w:rFonts w:ascii="Calibri" w:eastAsia="Times New Roman" w:hAnsi="Calibri" w:cs="Calibri"/>
          <w:sz w:val="24"/>
          <w:szCs w:val="24"/>
          <w:lang w:val="en-IN" w:eastAsia="en-IN"/>
        </w:rPr>
        <w:t xml:space="preserve"> Sci U S A. 2016;113(27):E3882-E3891. </w:t>
      </w:r>
    </w:p>
    <w:p w14:paraId="1D9F1F36" w14:textId="00E0FF43" w:rsidR="006E1557" w:rsidRPr="006E1557" w:rsidRDefault="006E1557" w:rsidP="006E1557">
      <w:pPr>
        <w:pStyle w:val="ListParagraph"/>
        <w:numPr>
          <w:ilvl w:val="0"/>
          <w:numId w:val="15"/>
        </w:numPr>
        <w:spacing w:after="0" w:line="240" w:lineRule="auto"/>
        <w:ind w:left="0" w:firstLine="0"/>
        <w:jc w:val="both"/>
        <w:rPr>
          <w:rFonts w:ascii="Calibri" w:eastAsia="Times New Roman" w:hAnsi="Calibri" w:cs="Calibri"/>
          <w:sz w:val="24"/>
          <w:szCs w:val="24"/>
          <w:lang w:val="en-IN" w:eastAsia="en-IN"/>
        </w:rPr>
      </w:pPr>
      <w:r w:rsidRPr="006E1557">
        <w:rPr>
          <w:rFonts w:ascii="Calibri" w:eastAsia="Times New Roman" w:hAnsi="Calibri" w:cs="Calibri"/>
          <w:sz w:val="24"/>
          <w:szCs w:val="24"/>
          <w:lang w:val="en-IN" w:eastAsia="en-IN"/>
        </w:rPr>
        <w:t xml:space="preserve">Li Y, Moretto-Zita M, </w:t>
      </w:r>
      <w:proofErr w:type="spellStart"/>
      <w:r w:rsidRPr="006E1557">
        <w:rPr>
          <w:rFonts w:ascii="Calibri" w:eastAsia="Times New Roman" w:hAnsi="Calibri" w:cs="Calibri"/>
          <w:sz w:val="24"/>
          <w:szCs w:val="24"/>
          <w:lang w:val="en-IN" w:eastAsia="en-IN"/>
        </w:rPr>
        <w:t>Soncin</w:t>
      </w:r>
      <w:proofErr w:type="spellEnd"/>
      <w:r w:rsidRPr="006E1557">
        <w:rPr>
          <w:rFonts w:ascii="Calibri" w:eastAsia="Times New Roman" w:hAnsi="Calibri" w:cs="Calibri"/>
          <w:sz w:val="24"/>
          <w:szCs w:val="24"/>
          <w:lang w:val="en-IN" w:eastAsia="en-IN"/>
        </w:rPr>
        <w:t xml:space="preserve"> F, et al. BMP4-directed trophoblast differentiation of human embryonic stem cells is mediated through a ΔNp63+ cytotrophoblast stem cell state. Development. 2013;140(19):3965-</w:t>
      </w:r>
      <w:r w:rsidR="00F964C6">
        <w:rPr>
          <w:rFonts w:ascii="Calibri" w:eastAsia="Times New Roman" w:hAnsi="Calibri" w:cs="Calibri"/>
          <w:sz w:val="24"/>
          <w:szCs w:val="24"/>
          <w:lang w:val="en-IN" w:eastAsia="en-IN"/>
        </w:rPr>
        <w:t>39</w:t>
      </w:r>
      <w:r w:rsidRPr="006E1557">
        <w:rPr>
          <w:rFonts w:ascii="Calibri" w:eastAsia="Times New Roman" w:hAnsi="Calibri" w:cs="Calibri"/>
          <w:sz w:val="24"/>
          <w:szCs w:val="24"/>
          <w:lang w:val="en-IN" w:eastAsia="en-IN"/>
        </w:rPr>
        <w:t xml:space="preserve">76. </w:t>
      </w:r>
    </w:p>
    <w:p w14:paraId="7C7D2AC9" w14:textId="0F4270F4" w:rsidR="006E1557" w:rsidRPr="006E1557" w:rsidRDefault="006E1557" w:rsidP="006E1557">
      <w:pPr>
        <w:pStyle w:val="ListParagraph"/>
        <w:numPr>
          <w:ilvl w:val="0"/>
          <w:numId w:val="15"/>
        </w:numPr>
        <w:spacing w:after="0" w:line="240" w:lineRule="auto"/>
        <w:ind w:left="0" w:firstLine="0"/>
        <w:jc w:val="both"/>
        <w:rPr>
          <w:rFonts w:ascii="Calibri" w:eastAsia="Times New Roman" w:hAnsi="Calibri" w:cs="Calibri"/>
          <w:sz w:val="24"/>
          <w:szCs w:val="24"/>
          <w:lang w:val="en-IN" w:eastAsia="en-IN"/>
        </w:rPr>
      </w:pPr>
      <w:r w:rsidRPr="006E1557">
        <w:rPr>
          <w:rFonts w:ascii="Calibri" w:eastAsia="Times New Roman" w:hAnsi="Calibri" w:cs="Calibri"/>
          <w:sz w:val="24"/>
          <w:szCs w:val="24"/>
          <w:lang w:val="en-IN" w:eastAsia="en-IN"/>
        </w:rPr>
        <w:t xml:space="preserve">Wei Y, Wang T, Ma L, et al. Efficient derivation of human trophoblast stem cells from primed pluripotent stem cells. Sci Adv. 2021;7(33):eabf4416. </w:t>
      </w:r>
    </w:p>
    <w:p w14:paraId="68DF6EDB" w14:textId="44A7B919" w:rsidR="006E1557" w:rsidRPr="006E1557" w:rsidRDefault="006E1557" w:rsidP="006E1557">
      <w:pPr>
        <w:pStyle w:val="ListParagraph"/>
        <w:numPr>
          <w:ilvl w:val="0"/>
          <w:numId w:val="15"/>
        </w:numPr>
        <w:spacing w:after="0" w:line="240" w:lineRule="auto"/>
        <w:ind w:left="0" w:firstLine="0"/>
        <w:jc w:val="both"/>
        <w:rPr>
          <w:rFonts w:ascii="Calibri" w:eastAsia="Times New Roman" w:hAnsi="Calibri" w:cs="Calibri"/>
          <w:sz w:val="24"/>
          <w:szCs w:val="24"/>
          <w:lang w:val="en-IN" w:eastAsia="en-IN"/>
        </w:rPr>
      </w:pPr>
      <w:r w:rsidRPr="006E1557">
        <w:rPr>
          <w:rFonts w:ascii="Calibri" w:eastAsia="Times New Roman" w:hAnsi="Calibri" w:cs="Calibri"/>
          <w:sz w:val="24"/>
          <w:szCs w:val="24"/>
          <w:lang w:val="en-IN" w:eastAsia="en-IN"/>
        </w:rPr>
        <w:t xml:space="preserve">Guo G, </w:t>
      </w:r>
      <w:proofErr w:type="spellStart"/>
      <w:r w:rsidRPr="006E1557">
        <w:rPr>
          <w:rFonts w:ascii="Calibri" w:eastAsia="Times New Roman" w:hAnsi="Calibri" w:cs="Calibri"/>
          <w:sz w:val="24"/>
          <w:szCs w:val="24"/>
          <w:lang w:val="en-IN" w:eastAsia="en-IN"/>
        </w:rPr>
        <w:t>Stirparo</w:t>
      </w:r>
      <w:proofErr w:type="spellEnd"/>
      <w:r w:rsidRPr="006E1557">
        <w:rPr>
          <w:rFonts w:ascii="Calibri" w:eastAsia="Times New Roman" w:hAnsi="Calibri" w:cs="Calibri"/>
          <w:sz w:val="24"/>
          <w:szCs w:val="24"/>
          <w:lang w:val="en-IN" w:eastAsia="en-IN"/>
        </w:rPr>
        <w:t xml:space="preserve"> GG, Strawbridge SE, et al. Human naive epiblast cells possess unrestricted lineage potential. Cell Stem Cell. 2021;28(6):1040-56.e6. </w:t>
      </w:r>
    </w:p>
    <w:p w14:paraId="5EACC1EA" w14:textId="31FDFD9A" w:rsidR="006E1557" w:rsidRPr="006E1557" w:rsidRDefault="006E1557" w:rsidP="006E1557">
      <w:pPr>
        <w:pStyle w:val="ListParagraph"/>
        <w:numPr>
          <w:ilvl w:val="0"/>
          <w:numId w:val="15"/>
        </w:numPr>
        <w:spacing w:after="0" w:line="240" w:lineRule="auto"/>
        <w:ind w:left="0" w:firstLine="0"/>
        <w:jc w:val="both"/>
        <w:rPr>
          <w:rFonts w:ascii="Calibri" w:eastAsia="Times New Roman" w:hAnsi="Calibri" w:cs="Calibri"/>
          <w:sz w:val="24"/>
          <w:szCs w:val="24"/>
          <w:lang w:val="en-IN" w:eastAsia="en-IN"/>
        </w:rPr>
      </w:pPr>
      <w:proofErr w:type="spellStart"/>
      <w:r w:rsidRPr="006E1557">
        <w:rPr>
          <w:rFonts w:ascii="Calibri" w:eastAsia="Times New Roman" w:hAnsi="Calibri" w:cs="Calibri"/>
          <w:sz w:val="24"/>
          <w:szCs w:val="24"/>
          <w:lang w:val="en-IN" w:eastAsia="en-IN"/>
        </w:rPr>
        <w:lastRenderedPageBreak/>
        <w:t>Cinkornpumin</w:t>
      </w:r>
      <w:proofErr w:type="spellEnd"/>
      <w:r w:rsidRPr="006E1557">
        <w:rPr>
          <w:rFonts w:ascii="Calibri" w:eastAsia="Times New Roman" w:hAnsi="Calibri" w:cs="Calibri"/>
          <w:sz w:val="24"/>
          <w:szCs w:val="24"/>
          <w:lang w:val="en-IN" w:eastAsia="en-IN"/>
        </w:rPr>
        <w:t xml:space="preserve"> JK, Kwon SY, Guo Y, et al. Naive human embryonic stem cells can give rise to cells with a trophoblast-like transcriptome and methylome. Stem Cell Reports. 2020;15(1):198-213. </w:t>
      </w:r>
    </w:p>
    <w:p w14:paraId="24981F9A" w14:textId="258AF1FA" w:rsidR="006E1557" w:rsidRPr="006E1557" w:rsidRDefault="006E1557" w:rsidP="006E1557">
      <w:pPr>
        <w:pStyle w:val="ListParagraph"/>
        <w:numPr>
          <w:ilvl w:val="0"/>
          <w:numId w:val="15"/>
        </w:numPr>
        <w:spacing w:after="0" w:line="240" w:lineRule="auto"/>
        <w:ind w:left="0" w:firstLine="0"/>
        <w:jc w:val="both"/>
        <w:rPr>
          <w:rFonts w:ascii="Calibri" w:eastAsia="Times New Roman" w:hAnsi="Calibri" w:cs="Calibri"/>
          <w:sz w:val="24"/>
          <w:szCs w:val="24"/>
          <w:lang w:val="en-IN" w:eastAsia="en-IN"/>
        </w:rPr>
      </w:pPr>
      <w:r w:rsidRPr="006E1557">
        <w:rPr>
          <w:rFonts w:ascii="Calibri" w:eastAsia="Times New Roman" w:hAnsi="Calibri" w:cs="Calibri"/>
          <w:sz w:val="24"/>
          <w:szCs w:val="24"/>
          <w:lang w:val="en-IN" w:eastAsia="en-IN"/>
        </w:rPr>
        <w:t xml:space="preserve">Osnato A, Brown S, Krueger C, et al. TGFβ signalling is required to maintain pluripotency of human naïve pluripotent stem cells. </w:t>
      </w:r>
      <w:proofErr w:type="spellStart"/>
      <w:r w:rsidRPr="006E1557">
        <w:rPr>
          <w:rFonts w:ascii="Calibri" w:eastAsia="Times New Roman" w:hAnsi="Calibri" w:cs="Calibri"/>
          <w:sz w:val="24"/>
          <w:szCs w:val="24"/>
          <w:lang w:val="en-IN" w:eastAsia="en-IN"/>
        </w:rPr>
        <w:t>eLife</w:t>
      </w:r>
      <w:proofErr w:type="spellEnd"/>
      <w:r w:rsidRPr="006E1557">
        <w:rPr>
          <w:rFonts w:ascii="Calibri" w:eastAsia="Times New Roman" w:hAnsi="Calibri" w:cs="Calibri"/>
          <w:sz w:val="24"/>
          <w:szCs w:val="24"/>
          <w:lang w:val="en-IN" w:eastAsia="en-IN"/>
        </w:rPr>
        <w:t xml:space="preserve">. 2021;10:e67259. </w:t>
      </w:r>
    </w:p>
    <w:p w14:paraId="7B011881" w14:textId="1F90AC01" w:rsidR="006E1557" w:rsidRPr="006E1557" w:rsidRDefault="006E1557" w:rsidP="006E1557">
      <w:pPr>
        <w:pStyle w:val="ListParagraph"/>
        <w:numPr>
          <w:ilvl w:val="0"/>
          <w:numId w:val="15"/>
        </w:numPr>
        <w:spacing w:after="0" w:line="240" w:lineRule="auto"/>
        <w:ind w:left="0" w:firstLine="0"/>
        <w:jc w:val="both"/>
        <w:rPr>
          <w:rFonts w:ascii="Calibri" w:eastAsia="Times New Roman" w:hAnsi="Calibri" w:cs="Calibri"/>
          <w:sz w:val="24"/>
          <w:szCs w:val="24"/>
          <w:lang w:val="en-IN" w:eastAsia="en-IN"/>
        </w:rPr>
      </w:pPr>
      <w:r w:rsidRPr="006E1557">
        <w:rPr>
          <w:rFonts w:ascii="Calibri" w:eastAsia="Times New Roman" w:hAnsi="Calibri" w:cs="Calibri"/>
          <w:sz w:val="24"/>
          <w:szCs w:val="24"/>
          <w:lang w:val="en-IN" w:eastAsia="en-IN"/>
        </w:rPr>
        <w:t xml:space="preserve">Io S, </w:t>
      </w:r>
      <w:proofErr w:type="spellStart"/>
      <w:r w:rsidRPr="006E1557">
        <w:rPr>
          <w:rFonts w:ascii="Calibri" w:eastAsia="Times New Roman" w:hAnsi="Calibri" w:cs="Calibri"/>
          <w:sz w:val="24"/>
          <w:szCs w:val="24"/>
          <w:lang w:val="en-IN" w:eastAsia="en-IN"/>
        </w:rPr>
        <w:t>Kabata</w:t>
      </w:r>
      <w:proofErr w:type="spellEnd"/>
      <w:r w:rsidRPr="006E1557">
        <w:rPr>
          <w:rFonts w:ascii="Calibri" w:eastAsia="Times New Roman" w:hAnsi="Calibri" w:cs="Calibri"/>
          <w:sz w:val="24"/>
          <w:szCs w:val="24"/>
          <w:lang w:val="en-IN" w:eastAsia="en-IN"/>
        </w:rPr>
        <w:t xml:space="preserve"> M, </w:t>
      </w:r>
      <w:proofErr w:type="spellStart"/>
      <w:r w:rsidRPr="006E1557">
        <w:rPr>
          <w:rFonts w:ascii="Calibri" w:eastAsia="Times New Roman" w:hAnsi="Calibri" w:cs="Calibri"/>
          <w:sz w:val="24"/>
          <w:szCs w:val="24"/>
          <w:lang w:val="en-IN" w:eastAsia="en-IN"/>
        </w:rPr>
        <w:t>Iemura</w:t>
      </w:r>
      <w:proofErr w:type="spellEnd"/>
      <w:r w:rsidRPr="006E1557">
        <w:rPr>
          <w:rFonts w:ascii="Calibri" w:eastAsia="Times New Roman" w:hAnsi="Calibri" w:cs="Calibri"/>
          <w:sz w:val="24"/>
          <w:szCs w:val="24"/>
          <w:lang w:val="en-IN" w:eastAsia="en-IN"/>
        </w:rPr>
        <w:t xml:space="preserve"> Y, et al. Capturing human trophoblast development with naive pluripotent stem cells </w:t>
      </w:r>
      <w:r w:rsidRPr="00F964C6">
        <w:rPr>
          <w:rFonts w:ascii="Calibri" w:eastAsia="Times New Roman" w:hAnsi="Calibri" w:cs="Calibri"/>
          <w:i/>
          <w:iCs/>
          <w:sz w:val="24"/>
          <w:szCs w:val="24"/>
          <w:lang w:val="en-IN" w:eastAsia="en-IN"/>
        </w:rPr>
        <w:t>in vitro</w:t>
      </w:r>
      <w:r w:rsidRPr="006E1557">
        <w:rPr>
          <w:rFonts w:ascii="Calibri" w:eastAsia="Times New Roman" w:hAnsi="Calibri" w:cs="Calibri"/>
          <w:sz w:val="24"/>
          <w:szCs w:val="24"/>
          <w:lang w:val="en-IN" w:eastAsia="en-IN"/>
        </w:rPr>
        <w:t xml:space="preserve">. Cell Stem Cell. 2021;28(6):1023-39.e13. </w:t>
      </w:r>
    </w:p>
    <w:p w14:paraId="74160A97" w14:textId="2E72A412" w:rsidR="006E1557" w:rsidRPr="006E1557" w:rsidRDefault="006E1557" w:rsidP="006E1557">
      <w:pPr>
        <w:pStyle w:val="ListParagraph"/>
        <w:numPr>
          <w:ilvl w:val="0"/>
          <w:numId w:val="15"/>
        </w:numPr>
        <w:spacing w:after="0" w:line="240" w:lineRule="auto"/>
        <w:ind w:left="0" w:firstLine="0"/>
        <w:jc w:val="both"/>
        <w:rPr>
          <w:rFonts w:ascii="Calibri" w:eastAsia="Times New Roman" w:hAnsi="Calibri" w:cs="Calibri"/>
          <w:sz w:val="24"/>
          <w:szCs w:val="24"/>
          <w:lang w:val="en-IN" w:eastAsia="en-IN"/>
        </w:rPr>
      </w:pPr>
      <w:r w:rsidRPr="006E1557">
        <w:rPr>
          <w:rFonts w:ascii="Calibri" w:eastAsia="Times New Roman" w:hAnsi="Calibri" w:cs="Calibri"/>
          <w:sz w:val="24"/>
          <w:szCs w:val="24"/>
          <w:lang w:val="en-IN" w:eastAsia="en-IN"/>
        </w:rPr>
        <w:t>Turco MY, Gardner L, Kay RG, et al. Trophoblast organoids as a model for maternal-</w:t>
      </w:r>
      <w:proofErr w:type="spellStart"/>
      <w:r w:rsidRPr="006E1557">
        <w:rPr>
          <w:rFonts w:ascii="Calibri" w:eastAsia="Times New Roman" w:hAnsi="Calibri" w:cs="Calibri"/>
          <w:sz w:val="24"/>
          <w:szCs w:val="24"/>
          <w:lang w:val="en-IN" w:eastAsia="en-IN"/>
        </w:rPr>
        <w:t>fetal</w:t>
      </w:r>
      <w:proofErr w:type="spellEnd"/>
      <w:r w:rsidRPr="006E1557">
        <w:rPr>
          <w:rFonts w:ascii="Calibri" w:eastAsia="Times New Roman" w:hAnsi="Calibri" w:cs="Calibri"/>
          <w:sz w:val="24"/>
          <w:szCs w:val="24"/>
          <w:lang w:val="en-IN" w:eastAsia="en-IN"/>
        </w:rPr>
        <w:t xml:space="preserve"> interactions during human placentation. Nature. 2018;564(7735):263-</w:t>
      </w:r>
      <w:r w:rsidR="003B3C71">
        <w:rPr>
          <w:rFonts w:ascii="Calibri" w:eastAsia="Times New Roman" w:hAnsi="Calibri" w:cs="Calibri"/>
          <w:sz w:val="24"/>
          <w:szCs w:val="24"/>
          <w:lang w:val="en-IN" w:eastAsia="en-IN"/>
        </w:rPr>
        <w:t>26</w:t>
      </w:r>
      <w:r w:rsidRPr="006E1557">
        <w:rPr>
          <w:rFonts w:ascii="Calibri" w:eastAsia="Times New Roman" w:hAnsi="Calibri" w:cs="Calibri"/>
          <w:sz w:val="24"/>
          <w:szCs w:val="24"/>
          <w:lang w:val="en-IN" w:eastAsia="en-IN"/>
        </w:rPr>
        <w:t xml:space="preserve">7. </w:t>
      </w:r>
    </w:p>
    <w:p w14:paraId="0CA13B45" w14:textId="150DBFFE" w:rsidR="006E1557" w:rsidRPr="006E1557" w:rsidRDefault="006E1557" w:rsidP="006E1557">
      <w:pPr>
        <w:pStyle w:val="ListParagraph"/>
        <w:numPr>
          <w:ilvl w:val="0"/>
          <w:numId w:val="15"/>
        </w:numPr>
        <w:spacing w:after="0" w:line="240" w:lineRule="auto"/>
        <w:ind w:left="0" w:firstLine="0"/>
        <w:jc w:val="both"/>
        <w:rPr>
          <w:rFonts w:ascii="Calibri" w:eastAsia="Times New Roman" w:hAnsi="Calibri" w:cs="Calibri"/>
          <w:sz w:val="24"/>
          <w:szCs w:val="24"/>
          <w:lang w:val="en-IN" w:eastAsia="en-IN"/>
        </w:rPr>
      </w:pPr>
      <w:r w:rsidRPr="006E1557">
        <w:rPr>
          <w:rFonts w:ascii="Calibri" w:eastAsia="Times New Roman" w:hAnsi="Calibri" w:cs="Calibri"/>
          <w:sz w:val="24"/>
          <w:szCs w:val="24"/>
          <w:lang w:val="en-IN" w:eastAsia="en-IN"/>
        </w:rPr>
        <w:t>Haider S, Meinhardt G, Saleh L, et al. Self-renewing trophoblast organoids recapitulate the developmental program of the early human placenta. Stem Cell Reports. 2018;11(2):537-</w:t>
      </w:r>
      <w:r w:rsidR="003B3C71">
        <w:rPr>
          <w:rFonts w:ascii="Calibri" w:eastAsia="Times New Roman" w:hAnsi="Calibri" w:cs="Calibri"/>
          <w:sz w:val="24"/>
          <w:szCs w:val="24"/>
          <w:lang w:val="en-IN" w:eastAsia="en-IN"/>
        </w:rPr>
        <w:t>5</w:t>
      </w:r>
      <w:r w:rsidRPr="006E1557">
        <w:rPr>
          <w:rFonts w:ascii="Calibri" w:eastAsia="Times New Roman" w:hAnsi="Calibri" w:cs="Calibri"/>
          <w:sz w:val="24"/>
          <w:szCs w:val="24"/>
          <w:lang w:val="en-IN" w:eastAsia="en-IN"/>
        </w:rPr>
        <w:t xml:space="preserve">51. </w:t>
      </w:r>
    </w:p>
    <w:p w14:paraId="206B75A6" w14:textId="13E9D181" w:rsidR="006E1557" w:rsidRPr="006E1557" w:rsidRDefault="006E1557" w:rsidP="006E1557">
      <w:pPr>
        <w:pStyle w:val="ListParagraph"/>
        <w:numPr>
          <w:ilvl w:val="0"/>
          <w:numId w:val="15"/>
        </w:numPr>
        <w:spacing w:after="0" w:line="240" w:lineRule="auto"/>
        <w:ind w:left="0" w:firstLine="0"/>
        <w:jc w:val="both"/>
        <w:rPr>
          <w:rFonts w:ascii="Calibri" w:eastAsia="Times New Roman" w:hAnsi="Calibri" w:cs="Calibri"/>
          <w:sz w:val="24"/>
          <w:szCs w:val="24"/>
          <w:lang w:val="en-IN" w:eastAsia="en-IN"/>
        </w:rPr>
      </w:pPr>
      <w:r w:rsidRPr="006E1557">
        <w:rPr>
          <w:rFonts w:ascii="Calibri" w:eastAsia="Times New Roman" w:hAnsi="Calibri" w:cs="Calibri"/>
          <w:sz w:val="24"/>
          <w:szCs w:val="24"/>
          <w:lang w:val="en-IN" w:eastAsia="en-IN"/>
        </w:rPr>
        <w:t xml:space="preserve">Zhang M, Lim RL, Reis AH, et al. Reconstructing the emergence of the human chorion </w:t>
      </w:r>
      <w:r w:rsidRPr="00A57A24">
        <w:rPr>
          <w:rFonts w:ascii="Calibri" w:eastAsia="Times New Roman" w:hAnsi="Calibri" w:cs="Calibri"/>
          <w:i/>
          <w:iCs/>
          <w:sz w:val="24"/>
          <w:szCs w:val="24"/>
          <w:lang w:val="en-IN" w:eastAsia="en-IN"/>
        </w:rPr>
        <w:t xml:space="preserve">via </w:t>
      </w:r>
      <w:r w:rsidRPr="006E1557">
        <w:rPr>
          <w:rFonts w:ascii="Calibri" w:eastAsia="Times New Roman" w:hAnsi="Calibri" w:cs="Calibri"/>
          <w:sz w:val="24"/>
          <w:szCs w:val="24"/>
          <w:lang w:val="en-IN" w:eastAsia="en-IN"/>
        </w:rPr>
        <w:t xml:space="preserve">HIPPO-mediated trophoblast induction. bioRxiv [Preprint]. 2025. doi:10.1101/2025.11.18.688276. </w:t>
      </w:r>
    </w:p>
    <w:p w14:paraId="558D21E4" w14:textId="6D2B6EB6" w:rsidR="006E1557" w:rsidRPr="006E1557" w:rsidRDefault="006E1557" w:rsidP="006E1557">
      <w:pPr>
        <w:pStyle w:val="ListParagraph"/>
        <w:numPr>
          <w:ilvl w:val="0"/>
          <w:numId w:val="15"/>
        </w:numPr>
        <w:spacing w:after="0" w:line="240" w:lineRule="auto"/>
        <w:ind w:left="0" w:firstLine="0"/>
        <w:jc w:val="both"/>
        <w:rPr>
          <w:rFonts w:ascii="Calibri" w:eastAsia="Times New Roman" w:hAnsi="Calibri" w:cs="Calibri"/>
          <w:sz w:val="24"/>
          <w:szCs w:val="24"/>
          <w:lang w:val="en-IN" w:eastAsia="en-IN"/>
        </w:rPr>
      </w:pPr>
      <w:r w:rsidRPr="006E1557">
        <w:rPr>
          <w:rFonts w:ascii="Calibri" w:eastAsia="Times New Roman" w:hAnsi="Calibri" w:cs="Calibri"/>
          <w:sz w:val="24"/>
          <w:szCs w:val="24"/>
          <w:lang w:val="en-IN" w:eastAsia="en-IN"/>
        </w:rPr>
        <w:t xml:space="preserve">Nishioka N, Inoue K, Adachi K, et al. The Hippo </w:t>
      </w:r>
      <w:proofErr w:type="spellStart"/>
      <w:r w:rsidRPr="006E1557">
        <w:rPr>
          <w:rFonts w:ascii="Calibri" w:eastAsia="Times New Roman" w:hAnsi="Calibri" w:cs="Calibri"/>
          <w:sz w:val="24"/>
          <w:szCs w:val="24"/>
          <w:lang w:val="en-IN" w:eastAsia="en-IN"/>
        </w:rPr>
        <w:t>signaling</w:t>
      </w:r>
      <w:proofErr w:type="spellEnd"/>
      <w:r w:rsidRPr="006E1557">
        <w:rPr>
          <w:rFonts w:ascii="Calibri" w:eastAsia="Times New Roman" w:hAnsi="Calibri" w:cs="Calibri"/>
          <w:sz w:val="24"/>
          <w:szCs w:val="24"/>
          <w:lang w:val="en-IN" w:eastAsia="en-IN"/>
        </w:rPr>
        <w:t xml:space="preserve"> pathway components Lats and Yap pattern Tead4 activity to distinguish mouse trophectoderm from inner cell mass. Dev Cell. 2009;16(3):398-410. </w:t>
      </w:r>
    </w:p>
    <w:p w14:paraId="225A17B3" w14:textId="3E509F57" w:rsidR="006E1557" w:rsidRPr="006E1557" w:rsidRDefault="006E1557" w:rsidP="006E1557">
      <w:pPr>
        <w:pStyle w:val="ListParagraph"/>
        <w:numPr>
          <w:ilvl w:val="0"/>
          <w:numId w:val="15"/>
        </w:numPr>
        <w:spacing w:after="0" w:line="240" w:lineRule="auto"/>
        <w:ind w:left="0" w:firstLine="0"/>
        <w:jc w:val="both"/>
        <w:rPr>
          <w:rFonts w:ascii="Calibri" w:eastAsia="Times New Roman" w:hAnsi="Calibri" w:cs="Calibri"/>
          <w:sz w:val="24"/>
          <w:szCs w:val="24"/>
          <w:lang w:val="en-IN" w:eastAsia="en-IN"/>
        </w:rPr>
      </w:pPr>
      <w:proofErr w:type="spellStart"/>
      <w:r w:rsidRPr="006E1557">
        <w:rPr>
          <w:rFonts w:ascii="Calibri" w:eastAsia="Times New Roman" w:hAnsi="Calibri" w:cs="Calibri"/>
          <w:sz w:val="24"/>
          <w:szCs w:val="24"/>
          <w:lang w:val="en-IN" w:eastAsia="en-IN"/>
        </w:rPr>
        <w:t>Hirate</w:t>
      </w:r>
      <w:proofErr w:type="spellEnd"/>
      <w:r w:rsidRPr="006E1557">
        <w:rPr>
          <w:rFonts w:ascii="Calibri" w:eastAsia="Times New Roman" w:hAnsi="Calibri" w:cs="Calibri"/>
          <w:sz w:val="24"/>
          <w:szCs w:val="24"/>
          <w:lang w:val="en-IN" w:eastAsia="en-IN"/>
        </w:rPr>
        <w:t xml:space="preserve"> Y, Hirahara S, Inoue K, et al. Polarity-dependent distribution of angiomotin localizes Hippo </w:t>
      </w:r>
      <w:proofErr w:type="spellStart"/>
      <w:r w:rsidRPr="006E1557">
        <w:rPr>
          <w:rFonts w:ascii="Calibri" w:eastAsia="Times New Roman" w:hAnsi="Calibri" w:cs="Calibri"/>
          <w:sz w:val="24"/>
          <w:szCs w:val="24"/>
          <w:lang w:val="en-IN" w:eastAsia="en-IN"/>
        </w:rPr>
        <w:t>signaling</w:t>
      </w:r>
      <w:proofErr w:type="spellEnd"/>
      <w:r w:rsidRPr="006E1557">
        <w:rPr>
          <w:rFonts w:ascii="Calibri" w:eastAsia="Times New Roman" w:hAnsi="Calibri" w:cs="Calibri"/>
          <w:sz w:val="24"/>
          <w:szCs w:val="24"/>
          <w:lang w:val="en-IN" w:eastAsia="en-IN"/>
        </w:rPr>
        <w:t xml:space="preserve"> in preimplantation embryos. Curr Biol. 2013;23(13):1181-</w:t>
      </w:r>
      <w:r w:rsidR="005360AA">
        <w:rPr>
          <w:rFonts w:ascii="Calibri" w:eastAsia="Times New Roman" w:hAnsi="Calibri" w:cs="Calibri"/>
          <w:sz w:val="24"/>
          <w:szCs w:val="24"/>
          <w:lang w:val="en-IN" w:eastAsia="en-IN"/>
        </w:rPr>
        <w:t>11</w:t>
      </w:r>
      <w:r w:rsidRPr="006E1557">
        <w:rPr>
          <w:rFonts w:ascii="Calibri" w:eastAsia="Times New Roman" w:hAnsi="Calibri" w:cs="Calibri"/>
          <w:sz w:val="24"/>
          <w:szCs w:val="24"/>
          <w:lang w:val="en-IN" w:eastAsia="en-IN"/>
        </w:rPr>
        <w:t xml:space="preserve">94. </w:t>
      </w:r>
    </w:p>
    <w:p w14:paraId="754BE8C5" w14:textId="68D5D0C8" w:rsidR="006E1557" w:rsidRPr="006E1557" w:rsidRDefault="006E1557" w:rsidP="006E1557">
      <w:pPr>
        <w:pStyle w:val="ListParagraph"/>
        <w:numPr>
          <w:ilvl w:val="0"/>
          <w:numId w:val="15"/>
        </w:numPr>
        <w:spacing w:after="0" w:line="240" w:lineRule="auto"/>
        <w:ind w:left="0" w:firstLine="0"/>
        <w:jc w:val="both"/>
        <w:rPr>
          <w:rFonts w:ascii="Calibri" w:eastAsia="Times New Roman" w:hAnsi="Calibri" w:cs="Calibri"/>
          <w:sz w:val="24"/>
          <w:szCs w:val="24"/>
          <w:lang w:val="en-IN" w:eastAsia="en-IN"/>
        </w:rPr>
      </w:pPr>
      <w:r w:rsidRPr="006E1557">
        <w:rPr>
          <w:rFonts w:ascii="Calibri" w:eastAsia="Times New Roman" w:hAnsi="Calibri" w:cs="Calibri"/>
          <w:sz w:val="24"/>
          <w:szCs w:val="24"/>
          <w:lang w:val="en-IN" w:eastAsia="en-IN"/>
        </w:rPr>
        <w:t xml:space="preserve">Cockburn K, </w:t>
      </w:r>
      <w:proofErr w:type="spellStart"/>
      <w:r w:rsidRPr="006E1557">
        <w:rPr>
          <w:rFonts w:ascii="Calibri" w:eastAsia="Times New Roman" w:hAnsi="Calibri" w:cs="Calibri"/>
          <w:sz w:val="24"/>
          <w:szCs w:val="24"/>
          <w:lang w:val="en-IN" w:eastAsia="en-IN"/>
        </w:rPr>
        <w:t>Biechele</w:t>
      </w:r>
      <w:proofErr w:type="spellEnd"/>
      <w:r w:rsidRPr="006E1557">
        <w:rPr>
          <w:rFonts w:ascii="Calibri" w:eastAsia="Times New Roman" w:hAnsi="Calibri" w:cs="Calibri"/>
          <w:sz w:val="24"/>
          <w:szCs w:val="24"/>
          <w:lang w:val="en-IN" w:eastAsia="en-IN"/>
        </w:rPr>
        <w:t xml:space="preserve"> S, Garner J, </w:t>
      </w:r>
      <w:proofErr w:type="spellStart"/>
      <w:r w:rsidRPr="006E1557">
        <w:rPr>
          <w:rFonts w:ascii="Calibri" w:eastAsia="Times New Roman" w:hAnsi="Calibri" w:cs="Calibri"/>
          <w:sz w:val="24"/>
          <w:szCs w:val="24"/>
          <w:lang w:val="en-IN" w:eastAsia="en-IN"/>
        </w:rPr>
        <w:t>Rossant</w:t>
      </w:r>
      <w:proofErr w:type="spellEnd"/>
      <w:r w:rsidRPr="006E1557">
        <w:rPr>
          <w:rFonts w:ascii="Calibri" w:eastAsia="Times New Roman" w:hAnsi="Calibri" w:cs="Calibri"/>
          <w:sz w:val="24"/>
          <w:szCs w:val="24"/>
          <w:lang w:val="en-IN" w:eastAsia="en-IN"/>
        </w:rPr>
        <w:t xml:space="preserve"> J. The Hippo pathway member Nf2 is required for inner cell mass specification. Curr Biol. 2013;23(13):1195-</w:t>
      </w:r>
      <w:r w:rsidR="005360AA">
        <w:rPr>
          <w:rFonts w:ascii="Calibri" w:eastAsia="Times New Roman" w:hAnsi="Calibri" w:cs="Calibri"/>
          <w:sz w:val="24"/>
          <w:szCs w:val="24"/>
          <w:lang w:val="en-IN" w:eastAsia="en-IN"/>
        </w:rPr>
        <w:t>1</w:t>
      </w:r>
      <w:r w:rsidRPr="006E1557">
        <w:rPr>
          <w:rFonts w:ascii="Calibri" w:eastAsia="Times New Roman" w:hAnsi="Calibri" w:cs="Calibri"/>
          <w:sz w:val="24"/>
          <w:szCs w:val="24"/>
          <w:lang w:val="en-IN" w:eastAsia="en-IN"/>
        </w:rPr>
        <w:t xml:space="preserve">201. </w:t>
      </w:r>
    </w:p>
    <w:p w14:paraId="7C2DB6FD" w14:textId="74FEABAE" w:rsidR="006E1557" w:rsidRPr="006E1557" w:rsidRDefault="006E1557" w:rsidP="006E1557">
      <w:pPr>
        <w:pStyle w:val="ListParagraph"/>
        <w:numPr>
          <w:ilvl w:val="0"/>
          <w:numId w:val="15"/>
        </w:numPr>
        <w:spacing w:after="0" w:line="240" w:lineRule="auto"/>
        <w:ind w:left="0" w:firstLine="0"/>
        <w:jc w:val="both"/>
        <w:rPr>
          <w:rFonts w:ascii="Calibri" w:eastAsia="Times New Roman" w:hAnsi="Calibri" w:cs="Calibri"/>
          <w:sz w:val="24"/>
          <w:szCs w:val="24"/>
          <w:lang w:val="en-IN" w:eastAsia="en-IN"/>
        </w:rPr>
      </w:pPr>
      <w:proofErr w:type="spellStart"/>
      <w:r w:rsidRPr="006E1557">
        <w:rPr>
          <w:rFonts w:ascii="Calibri" w:eastAsia="Times New Roman" w:hAnsi="Calibri" w:cs="Calibri"/>
          <w:sz w:val="24"/>
          <w:szCs w:val="24"/>
          <w:lang w:val="en-IN" w:eastAsia="en-IN"/>
        </w:rPr>
        <w:t>Posfai</w:t>
      </w:r>
      <w:proofErr w:type="spellEnd"/>
      <w:r w:rsidRPr="006E1557">
        <w:rPr>
          <w:rFonts w:ascii="Calibri" w:eastAsia="Times New Roman" w:hAnsi="Calibri" w:cs="Calibri"/>
          <w:sz w:val="24"/>
          <w:szCs w:val="24"/>
          <w:lang w:val="en-IN" w:eastAsia="en-IN"/>
        </w:rPr>
        <w:t xml:space="preserve"> E, Petropoulos S, de Barros FRO, et al. Position- and Hippo </w:t>
      </w:r>
      <w:proofErr w:type="spellStart"/>
      <w:r w:rsidRPr="006E1557">
        <w:rPr>
          <w:rFonts w:ascii="Calibri" w:eastAsia="Times New Roman" w:hAnsi="Calibri" w:cs="Calibri"/>
          <w:sz w:val="24"/>
          <w:szCs w:val="24"/>
          <w:lang w:val="en-IN" w:eastAsia="en-IN"/>
        </w:rPr>
        <w:t>signaling</w:t>
      </w:r>
      <w:proofErr w:type="spellEnd"/>
      <w:r w:rsidRPr="006E1557">
        <w:rPr>
          <w:rFonts w:ascii="Calibri" w:eastAsia="Times New Roman" w:hAnsi="Calibri" w:cs="Calibri"/>
          <w:sz w:val="24"/>
          <w:szCs w:val="24"/>
          <w:lang w:val="en-IN" w:eastAsia="en-IN"/>
        </w:rPr>
        <w:t xml:space="preserve">-dependent plasticity during lineage segregation in the early mouse embryo. </w:t>
      </w:r>
      <w:proofErr w:type="spellStart"/>
      <w:r w:rsidRPr="006E1557">
        <w:rPr>
          <w:rFonts w:ascii="Calibri" w:eastAsia="Times New Roman" w:hAnsi="Calibri" w:cs="Calibri"/>
          <w:sz w:val="24"/>
          <w:szCs w:val="24"/>
          <w:lang w:val="en-IN" w:eastAsia="en-IN"/>
        </w:rPr>
        <w:t>eLife</w:t>
      </w:r>
      <w:proofErr w:type="spellEnd"/>
      <w:r w:rsidRPr="006E1557">
        <w:rPr>
          <w:rFonts w:ascii="Calibri" w:eastAsia="Times New Roman" w:hAnsi="Calibri" w:cs="Calibri"/>
          <w:sz w:val="24"/>
          <w:szCs w:val="24"/>
          <w:lang w:val="en-IN" w:eastAsia="en-IN"/>
        </w:rPr>
        <w:t xml:space="preserve">. 2017;6:e22906. </w:t>
      </w:r>
    </w:p>
    <w:p w14:paraId="00D1F7A2" w14:textId="138FE319" w:rsidR="006E1557" w:rsidRPr="006E1557" w:rsidRDefault="006E1557" w:rsidP="006E1557">
      <w:pPr>
        <w:pStyle w:val="ListParagraph"/>
        <w:numPr>
          <w:ilvl w:val="0"/>
          <w:numId w:val="15"/>
        </w:numPr>
        <w:spacing w:after="0" w:line="240" w:lineRule="auto"/>
        <w:ind w:left="0" w:firstLine="0"/>
        <w:jc w:val="both"/>
        <w:rPr>
          <w:rFonts w:ascii="Calibri" w:eastAsia="Times New Roman" w:hAnsi="Calibri" w:cs="Calibri"/>
          <w:sz w:val="24"/>
          <w:szCs w:val="24"/>
          <w:lang w:val="en-IN" w:eastAsia="en-IN"/>
        </w:rPr>
      </w:pPr>
      <w:proofErr w:type="spellStart"/>
      <w:r w:rsidRPr="006E1557">
        <w:rPr>
          <w:rFonts w:ascii="Calibri" w:eastAsia="Times New Roman" w:hAnsi="Calibri" w:cs="Calibri"/>
          <w:sz w:val="24"/>
          <w:szCs w:val="24"/>
          <w:lang w:val="en-IN" w:eastAsia="en-IN"/>
        </w:rPr>
        <w:t>Lorthongpanich</w:t>
      </w:r>
      <w:proofErr w:type="spellEnd"/>
      <w:r w:rsidRPr="006E1557">
        <w:rPr>
          <w:rFonts w:ascii="Calibri" w:eastAsia="Times New Roman" w:hAnsi="Calibri" w:cs="Calibri"/>
          <w:sz w:val="24"/>
          <w:szCs w:val="24"/>
          <w:lang w:val="en-IN" w:eastAsia="en-IN"/>
        </w:rPr>
        <w:t xml:space="preserve"> C, Messerschmidt DM, Chan SW, Hong W, Knowles BB, Solter D. Temporal reduction of LATS kinases in the early preimplantation embryo prevents ICM lineage differentiation. Genes Dev. 2013;27(13):1441-</w:t>
      </w:r>
      <w:r w:rsidR="005360AA">
        <w:rPr>
          <w:rFonts w:ascii="Calibri" w:eastAsia="Times New Roman" w:hAnsi="Calibri" w:cs="Calibri"/>
          <w:sz w:val="24"/>
          <w:szCs w:val="24"/>
          <w:lang w:val="en-IN" w:eastAsia="en-IN"/>
        </w:rPr>
        <w:t>144</w:t>
      </w:r>
      <w:r w:rsidRPr="006E1557">
        <w:rPr>
          <w:rFonts w:ascii="Calibri" w:eastAsia="Times New Roman" w:hAnsi="Calibri" w:cs="Calibri"/>
          <w:sz w:val="24"/>
          <w:szCs w:val="24"/>
          <w:lang w:val="en-IN" w:eastAsia="en-IN"/>
        </w:rPr>
        <w:t xml:space="preserve">6. </w:t>
      </w:r>
    </w:p>
    <w:p w14:paraId="1215AEBD" w14:textId="447CC87C" w:rsidR="006E1557" w:rsidRPr="006E1557" w:rsidRDefault="006E1557" w:rsidP="006E1557">
      <w:pPr>
        <w:pStyle w:val="ListParagraph"/>
        <w:numPr>
          <w:ilvl w:val="0"/>
          <w:numId w:val="15"/>
        </w:numPr>
        <w:spacing w:after="0" w:line="240" w:lineRule="auto"/>
        <w:ind w:left="0" w:firstLine="0"/>
        <w:jc w:val="both"/>
        <w:rPr>
          <w:rFonts w:ascii="Calibri" w:eastAsia="Times New Roman" w:hAnsi="Calibri" w:cs="Calibri"/>
          <w:sz w:val="24"/>
          <w:szCs w:val="24"/>
          <w:lang w:val="en-IN" w:eastAsia="en-IN"/>
        </w:rPr>
      </w:pPr>
      <w:r w:rsidRPr="006E1557">
        <w:rPr>
          <w:rFonts w:ascii="Calibri" w:eastAsia="Times New Roman" w:hAnsi="Calibri" w:cs="Calibri"/>
          <w:sz w:val="24"/>
          <w:szCs w:val="24"/>
          <w:lang w:val="en-IN" w:eastAsia="en-IN"/>
        </w:rPr>
        <w:t>Gerri C, McCarthy A, Alanis-Lobato G, et al. Initiation of a conserved trophectoderm program in human, cow and mouse embryos. Nature. 2020;587(7834):443-</w:t>
      </w:r>
      <w:r w:rsidR="00F17F4A">
        <w:rPr>
          <w:rFonts w:ascii="Calibri" w:eastAsia="Times New Roman" w:hAnsi="Calibri" w:cs="Calibri"/>
          <w:sz w:val="24"/>
          <w:szCs w:val="24"/>
          <w:lang w:val="en-IN" w:eastAsia="en-IN"/>
        </w:rPr>
        <w:t>44</w:t>
      </w:r>
      <w:r w:rsidRPr="006E1557">
        <w:rPr>
          <w:rFonts w:ascii="Calibri" w:eastAsia="Times New Roman" w:hAnsi="Calibri" w:cs="Calibri"/>
          <w:sz w:val="24"/>
          <w:szCs w:val="24"/>
          <w:lang w:val="en-IN" w:eastAsia="en-IN"/>
        </w:rPr>
        <w:t xml:space="preserve">7. </w:t>
      </w:r>
    </w:p>
    <w:p w14:paraId="64DD3491" w14:textId="1CB4F7A6" w:rsidR="006E1557" w:rsidRPr="006E1557" w:rsidRDefault="006E1557" w:rsidP="006E1557">
      <w:pPr>
        <w:pStyle w:val="ListParagraph"/>
        <w:numPr>
          <w:ilvl w:val="0"/>
          <w:numId w:val="15"/>
        </w:numPr>
        <w:spacing w:after="0" w:line="240" w:lineRule="auto"/>
        <w:ind w:left="0" w:firstLine="0"/>
        <w:jc w:val="both"/>
        <w:rPr>
          <w:rFonts w:ascii="Calibri" w:eastAsia="Times New Roman" w:hAnsi="Calibri" w:cs="Calibri"/>
          <w:sz w:val="24"/>
          <w:szCs w:val="24"/>
          <w:lang w:val="en-IN" w:eastAsia="en-IN"/>
        </w:rPr>
      </w:pPr>
      <w:r w:rsidRPr="006E1557">
        <w:rPr>
          <w:rFonts w:ascii="Calibri" w:eastAsia="Times New Roman" w:hAnsi="Calibri" w:cs="Calibri"/>
          <w:sz w:val="24"/>
          <w:szCs w:val="24"/>
          <w:lang w:val="en-IN" w:eastAsia="en-IN"/>
        </w:rPr>
        <w:t xml:space="preserve">Gerri C, McCarthy A, Mei Scott G, et al. A conserved role of the Hippo signalling pathway in initiation of the first lineage specification event across mammals. Development. 2023;150(8):dev201112. </w:t>
      </w:r>
    </w:p>
    <w:p w14:paraId="153694F4" w14:textId="2DD2468A" w:rsidR="006E1557" w:rsidRPr="006E1557" w:rsidRDefault="006E1557" w:rsidP="006E1557">
      <w:pPr>
        <w:pStyle w:val="ListParagraph"/>
        <w:numPr>
          <w:ilvl w:val="0"/>
          <w:numId w:val="15"/>
        </w:numPr>
        <w:spacing w:after="0" w:line="240" w:lineRule="auto"/>
        <w:ind w:left="0" w:firstLine="0"/>
        <w:jc w:val="both"/>
        <w:rPr>
          <w:rFonts w:ascii="Calibri" w:eastAsia="Times New Roman" w:hAnsi="Calibri" w:cs="Calibri"/>
          <w:sz w:val="24"/>
          <w:szCs w:val="24"/>
          <w:lang w:val="en-IN" w:eastAsia="en-IN"/>
        </w:rPr>
      </w:pPr>
      <w:proofErr w:type="spellStart"/>
      <w:r w:rsidRPr="006E1557">
        <w:rPr>
          <w:rFonts w:ascii="Calibri" w:eastAsia="Times New Roman" w:hAnsi="Calibri" w:cs="Calibri"/>
          <w:sz w:val="24"/>
          <w:szCs w:val="24"/>
          <w:lang w:val="en-IN" w:eastAsia="en-IN"/>
        </w:rPr>
        <w:t>Canizo</w:t>
      </w:r>
      <w:proofErr w:type="spellEnd"/>
      <w:r w:rsidRPr="006E1557">
        <w:rPr>
          <w:rFonts w:ascii="Calibri" w:eastAsia="Times New Roman" w:hAnsi="Calibri" w:cs="Calibri"/>
          <w:sz w:val="24"/>
          <w:szCs w:val="24"/>
          <w:lang w:val="en-IN" w:eastAsia="en-IN"/>
        </w:rPr>
        <w:t xml:space="preserve"> JR, Zhao C, Petropoulos S. The guinea pig serves as an alternative model to study human preimplantation development. Nat Cell Biol. 2025;27(4):696-710. </w:t>
      </w:r>
    </w:p>
    <w:p w14:paraId="69FD1095" w14:textId="65E90FC5" w:rsidR="006E1557" w:rsidRPr="006E1557" w:rsidRDefault="006E1557" w:rsidP="006E1557">
      <w:pPr>
        <w:pStyle w:val="ListParagraph"/>
        <w:numPr>
          <w:ilvl w:val="0"/>
          <w:numId w:val="15"/>
        </w:numPr>
        <w:spacing w:after="0" w:line="240" w:lineRule="auto"/>
        <w:ind w:left="0" w:firstLine="0"/>
        <w:jc w:val="both"/>
        <w:rPr>
          <w:rFonts w:ascii="Calibri" w:eastAsia="Times New Roman" w:hAnsi="Calibri" w:cs="Calibri"/>
          <w:sz w:val="24"/>
          <w:szCs w:val="24"/>
          <w:lang w:val="en-IN" w:eastAsia="en-IN"/>
        </w:rPr>
      </w:pPr>
      <w:r w:rsidRPr="006E1557">
        <w:rPr>
          <w:rFonts w:ascii="Calibri" w:eastAsia="Times New Roman" w:hAnsi="Calibri" w:cs="Calibri"/>
          <w:sz w:val="24"/>
          <w:szCs w:val="24"/>
          <w:lang w:val="en-IN" w:eastAsia="en-IN"/>
        </w:rPr>
        <w:t>Mazid MA, Ward C, Luo Z, et al. Rolling back human pluripotent stem cells to an eight-cell embryo-like stage. Nature. 2022;605(7909):315-</w:t>
      </w:r>
      <w:r w:rsidR="00F17F4A">
        <w:rPr>
          <w:rFonts w:ascii="Calibri" w:eastAsia="Times New Roman" w:hAnsi="Calibri" w:cs="Calibri"/>
          <w:sz w:val="24"/>
          <w:szCs w:val="24"/>
          <w:lang w:val="en-IN" w:eastAsia="en-IN"/>
        </w:rPr>
        <w:t>3</w:t>
      </w:r>
      <w:r w:rsidRPr="006E1557">
        <w:rPr>
          <w:rFonts w:ascii="Calibri" w:eastAsia="Times New Roman" w:hAnsi="Calibri" w:cs="Calibri"/>
          <w:sz w:val="24"/>
          <w:szCs w:val="24"/>
          <w:lang w:val="en-IN" w:eastAsia="en-IN"/>
        </w:rPr>
        <w:t xml:space="preserve">24. </w:t>
      </w:r>
    </w:p>
    <w:p w14:paraId="2C7209F5" w14:textId="67673746" w:rsidR="006E1557" w:rsidRPr="006E1557" w:rsidRDefault="006E1557" w:rsidP="006E1557">
      <w:pPr>
        <w:pStyle w:val="ListParagraph"/>
        <w:numPr>
          <w:ilvl w:val="0"/>
          <w:numId w:val="15"/>
        </w:numPr>
        <w:spacing w:after="0" w:line="240" w:lineRule="auto"/>
        <w:ind w:left="0" w:firstLine="0"/>
        <w:jc w:val="both"/>
        <w:rPr>
          <w:rFonts w:ascii="Calibri" w:eastAsia="Times New Roman" w:hAnsi="Calibri" w:cs="Calibri"/>
          <w:sz w:val="24"/>
          <w:szCs w:val="24"/>
          <w:lang w:val="en-IN" w:eastAsia="en-IN"/>
        </w:rPr>
      </w:pPr>
      <w:proofErr w:type="spellStart"/>
      <w:r w:rsidRPr="006E1557">
        <w:rPr>
          <w:rFonts w:ascii="Calibri" w:eastAsia="Times New Roman" w:hAnsi="Calibri" w:cs="Calibri"/>
          <w:sz w:val="24"/>
          <w:szCs w:val="24"/>
          <w:lang w:val="en-IN" w:eastAsia="en-IN"/>
        </w:rPr>
        <w:t>Pappalardi</w:t>
      </w:r>
      <w:proofErr w:type="spellEnd"/>
      <w:r w:rsidRPr="006E1557">
        <w:rPr>
          <w:rFonts w:ascii="Calibri" w:eastAsia="Times New Roman" w:hAnsi="Calibri" w:cs="Calibri"/>
          <w:sz w:val="24"/>
          <w:szCs w:val="24"/>
          <w:lang w:val="en-IN" w:eastAsia="en-IN"/>
        </w:rPr>
        <w:t xml:space="preserve"> MB, Keenan K, Cockerill M, et al. Discovery of a first-in-class reversible DNMT1-selective inhibitor with improved tolerability and efficacy in acute myeloid </w:t>
      </w:r>
      <w:proofErr w:type="spellStart"/>
      <w:r w:rsidRPr="006E1557">
        <w:rPr>
          <w:rFonts w:ascii="Calibri" w:eastAsia="Times New Roman" w:hAnsi="Calibri" w:cs="Calibri"/>
          <w:sz w:val="24"/>
          <w:szCs w:val="24"/>
          <w:lang w:val="en-IN" w:eastAsia="en-IN"/>
        </w:rPr>
        <w:t>leukemia</w:t>
      </w:r>
      <w:proofErr w:type="spellEnd"/>
      <w:r w:rsidRPr="006E1557">
        <w:rPr>
          <w:rFonts w:ascii="Calibri" w:eastAsia="Times New Roman" w:hAnsi="Calibri" w:cs="Calibri"/>
          <w:sz w:val="24"/>
          <w:szCs w:val="24"/>
          <w:lang w:val="en-IN" w:eastAsia="en-IN"/>
        </w:rPr>
        <w:t>. Nat Cancer. 2021;2(10):1002-</w:t>
      </w:r>
      <w:r w:rsidR="00F17F4A">
        <w:rPr>
          <w:rFonts w:ascii="Calibri" w:eastAsia="Times New Roman" w:hAnsi="Calibri" w:cs="Calibri"/>
          <w:sz w:val="24"/>
          <w:szCs w:val="24"/>
          <w:lang w:val="en-IN" w:eastAsia="en-IN"/>
        </w:rPr>
        <w:t>10</w:t>
      </w:r>
      <w:r w:rsidRPr="006E1557">
        <w:rPr>
          <w:rFonts w:ascii="Calibri" w:eastAsia="Times New Roman" w:hAnsi="Calibri" w:cs="Calibri"/>
          <w:sz w:val="24"/>
          <w:szCs w:val="24"/>
          <w:lang w:val="en-IN" w:eastAsia="en-IN"/>
        </w:rPr>
        <w:t xml:space="preserve">17. </w:t>
      </w:r>
    </w:p>
    <w:p w14:paraId="2DF4D013" w14:textId="2C1D66D5" w:rsidR="006E1557" w:rsidRPr="006E1557" w:rsidRDefault="006E1557" w:rsidP="006E1557">
      <w:pPr>
        <w:pStyle w:val="ListParagraph"/>
        <w:numPr>
          <w:ilvl w:val="0"/>
          <w:numId w:val="15"/>
        </w:numPr>
        <w:spacing w:after="0" w:line="240" w:lineRule="auto"/>
        <w:ind w:left="0" w:firstLine="0"/>
        <w:jc w:val="both"/>
        <w:rPr>
          <w:rFonts w:ascii="Calibri" w:eastAsia="Times New Roman" w:hAnsi="Calibri" w:cs="Calibri"/>
          <w:sz w:val="24"/>
          <w:szCs w:val="24"/>
          <w:lang w:val="en-IN" w:eastAsia="en-IN"/>
        </w:rPr>
      </w:pPr>
      <w:r w:rsidRPr="006E1557">
        <w:rPr>
          <w:rFonts w:ascii="Calibri" w:eastAsia="Times New Roman" w:hAnsi="Calibri" w:cs="Calibri"/>
          <w:sz w:val="24"/>
          <w:szCs w:val="24"/>
          <w:lang w:val="en-IN" w:eastAsia="en-IN"/>
        </w:rPr>
        <w:t xml:space="preserve">Azevedo </w:t>
      </w:r>
      <w:proofErr w:type="spellStart"/>
      <w:r w:rsidRPr="006E1557">
        <w:rPr>
          <w:rFonts w:ascii="Calibri" w:eastAsia="Times New Roman" w:hAnsi="Calibri" w:cs="Calibri"/>
          <w:sz w:val="24"/>
          <w:szCs w:val="24"/>
          <w:lang w:val="en-IN" w:eastAsia="en-IN"/>
        </w:rPr>
        <w:t>Portilho</w:t>
      </w:r>
      <w:proofErr w:type="spellEnd"/>
      <w:r w:rsidRPr="006E1557">
        <w:rPr>
          <w:rFonts w:ascii="Calibri" w:eastAsia="Times New Roman" w:hAnsi="Calibri" w:cs="Calibri"/>
          <w:sz w:val="24"/>
          <w:szCs w:val="24"/>
          <w:lang w:val="en-IN" w:eastAsia="en-IN"/>
        </w:rPr>
        <w:t xml:space="preserve"> N, Saini D, Hossain I, Sirois J, Moraes C, Pastor WA. The DNMT1 inhibitor GSK-3484862 mediates global demethylation in murine embryonic stem cells. Epigenetics Chromatin. 2021;14(1):56. </w:t>
      </w:r>
    </w:p>
    <w:p w14:paraId="23DF3B1A" w14:textId="4C350C5A" w:rsidR="006E1557" w:rsidRPr="006E1557" w:rsidRDefault="006E1557" w:rsidP="006E1557">
      <w:pPr>
        <w:pStyle w:val="ListParagraph"/>
        <w:numPr>
          <w:ilvl w:val="0"/>
          <w:numId w:val="15"/>
        </w:numPr>
        <w:spacing w:after="0" w:line="240" w:lineRule="auto"/>
        <w:ind w:left="0" w:firstLine="0"/>
        <w:jc w:val="both"/>
        <w:rPr>
          <w:rFonts w:ascii="Calibri" w:eastAsia="Times New Roman" w:hAnsi="Calibri" w:cs="Calibri"/>
          <w:sz w:val="24"/>
          <w:szCs w:val="24"/>
          <w:lang w:val="en-IN" w:eastAsia="en-IN"/>
        </w:rPr>
      </w:pPr>
      <w:r w:rsidRPr="006E1557">
        <w:rPr>
          <w:rFonts w:ascii="Calibri" w:eastAsia="Times New Roman" w:hAnsi="Calibri" w:cs="Calibri"/>
          <w:sz w:val="24"/>
          <w:szCs w:val="24"/>
          <w:lang w:val="en-IN" w:eastAsia="en-IN"/>
        </w:rPr>
        <w:t xml:space="preserve">Kastan NR, Oak S, Liang R, et al. Development of an improved inhibitor of Lats kinases to promote regeneration of mammalian organs. Proc Natl </w:t>
      </w:r>
      <w:proofErr w:type="spellStart"/>
      <w:r w:rsidRPr="006E1557">
        <w:rPr>
          <w:rFonts w:ascii="Calibri" w:eastAsia="Times New Roman" w:hAnsi="Calibri" w:cs="Calibri"/>
          <w:sz w:val="24"/>
          <w:szCs w:val="24"/>
          <w:lang w:val="en-IN" w:eastAsia="en-IN"/>
        </w:rPr>
        <w:t>Acad</w:t>
      </w:r>
      <w:proofErr w:type="spellEnd"/>
      <w:r w:rsidRPr="006E1557">
        <w:rPr>
          <w:rFonts w:ascii="Calibri" w:eastAsia="Times New Roman" w:hAnsi="Calibri" w:cs="Calibri"/>
          <w:sz w:val="24"/>
          <w:szCs w:val="24"/>
          <w:lang w:val="en-IN" w:eastAsia="en-IN"/>
        </w:rPr>
        <w:t xml:space="preserve"> Sci U S A. 2022;119(28):e2206113119. </w:t>
      </w:r>
    </w:p>
    <w:p w14:paraId="45EB11E3" w14:textId="3F032673" w:rsidR="006E1557" w:rsidRPr="006E1557" w:rsidRDefault="006E1557" w:rsidP="006E1557">
      <w:pPr>
        <w:pStyle w:val="ListParagraph"/>
        <w:numPr>
          <w:ilvl w:val="0"/>
          <w:numId w:val="15"/>
        </w:numPr>
        <w:spacing w:after="0" w:line="240" w:lineRule="auto"/>
        <w:ind w:left="0" w:firstLine="0"/>
        <w:jc w:val="both"/>
        <w:rPr>
          <w:rFonts w:ascii="Calibri" w:eastAsia="Times New Roman" w:hAnsi="Calibri" w:cs="Calibri"/>
          <w:sz w:val="24"/>
          <w:szCs w:val="24"/>
          <w:lang w:val="en-IN" w:eastAsia="en-IN"/>
        </w:rPr>
      </w:pPr>
      <w:r w:rsidRPr="006E1557">
        <w:rPr>
          <w:rFonts w:ascii="Calibri" w:eastAsia="Times New Roman" w:hAnsi="Calibri" w:cs="Calibri"/>
          <w:sz w:val="24"/>
          <w:szCs w:val="24"/>
          <w:lang w:val="en-IN" w:eastAsia="en-IN"/>
        </w:rPr>
        <w:lastRenderedPageBreak/>
        <w:t xml:space="preserve">Yang L, Liang P, Yang H, Coyne CB. Trophoblast organoids with physiological polarity model placental structure and function. J Cell Sci. 2024;137(5):jcs261528. </w:t>
      </w:r>
    </w:p>
    <w:p w14:paraId="661A0934" w14:textId="45EC7B5E" w:rsidR="006E1557" w:rsidRPr="006E1557" w:rsidRDefault="006E1557" w:rsidP="006E1557">
      <w:pPr>
        <w:pStyle w:val="ListParagraph"/>
        <w:numPr>
          <w:ilvl w:val="0"/>
          <w:numId w:val="15"/>
        </w:numPr>
        <w:spacing w:after="0" w:line="240" w:lineRule="auto"/>
        <w:ind w:left="0" w:firstLine="0"/>
        <w:jc w:val="both"/>
        <w:rPr>
          <w:rFonts w:ascii="Calibri" w:eastAsia="Times New Roman" w:hAnsi="Calibri" w:cs="Calibri"/>
          <w:sz w:val="24"/>
          <w:szCs w:val="24"/>
          <w:lang w:val="en-IN" w:eastAsia="en-IN"/>
        </w:rPr>
      </w:pPr>
      <w:r w:rsidRPr="006E1557">
        <w:rPr>
          <w:rFonts w:ascii="Calibri" w:eastAsia="Times New Roman" w:hAnsi="Calibri" w:cs="Calibri"/>
          <w:sz w:val="24"/>
          <w:szCs w:val="24"/>
          <w:lang w:val="en-IN" w:eastAsia="en-IN"/>
        </w:rPr>
        <w:t xml:space="preserve">Hori T, </w:t>
      </w:r>
      <w:proofErr w:type="spellStart"/>
      <w:r w:rsidRPr="006E1557">
        <w:rPr>
          <w:rFonts w:ascii="Calibri" w:eastAsia="Times New Roman" w:hAnsi="Calibri" w:cs="Calibri"/>
          <w:sz w:val="24"/>
          <w:szCs w:val="24"/>
          <w:lang w:val="en-IN" w:eastAsia="en-IN"/>
        </w:rPr>
        <w:t>Okae</w:t>
      </w:r>
      <w:proofErr w:type="spellEnd"/>
      <w:r w:rsidRPr="006E1557">
        <w:rPr>
          <w:rFonts w:ascii="Calibri" w:eastAsia="Times New Roman" w:hAnsi="Calibri" w:cs="Calibri"/>
          <w:sz w:val="24"/>
          <w:szCs w:val="24"/>
          <w:lang w:val="en-IN" w:eastAsia="en-IN"/>
        </w:rPr>
        <w:t xml:space="preserve"> H, Shibata S, et al. Trophoblast stem cell-based organoid models of the human placental barrier. Nat Commun. 2024;15(1):962. </w:t>
      </w:r>
    </w:p>
    <w:p w14:paraId="0FE004A2" w14:textId="777E8321" w:rsidR="006E1557" w:rsidRPr="006E1557" w:rsidRDefault="006E1557" w:rsidP="006E1557">
      <w:pPr>
        <w:pStyle w:val="ListParagraph"/>
        <w:numPr>
          <w:ilvl w:val="0"/>
          <w:numId w:val="15"/>
        </w:numPr>
        <w:spacing w:after="0" w:line="240" w:lineRule="auto"/>
        <w:ind w:left="0" w:firstLine="0"/>
        <w:jc w:val="both"/>
        <w:rPr>
          <w:rFonts w:ascii="Calibri" w:eastAsia="Times New Roman" w:hAnsi="Calibri" w:cs="Calibri"/>
          <w:sz w:val="24"/>
          <w:szCs w:val="24"/>
          <w:lang w:val="en-IN" w:eastAsia="en-IN"/>
        </w:rPr>
      </w:pPr>
      <w:r w:rsidRPr="006E1557">
        <w:rPr>
          <w:rFonts w:ascii="Calibri" w:eastAsia="Times New Roman" w:hAnsi="Calibri" w:cs="Calibri"/>
          <w:sz w:val="24"/>
          <w:szCs w:val="24"/>
          <w:lang w:val="en-IN" w:eastAsia="en-IN"/>
        </w:rPr>
        <w:t>Dodt HU, Leischner U, Schierloh A, et al. Ultramicroscopy: three-dimensional visualization of neuronal networks in the whole mouse brain. Nat Methods. 2007;4(4):331-</w:t>
      </w:r>
      <w:r w:rsidR="001C3D99">
        <w:rPr>
          <w:rFonts w:ascii="Calibri" w:eastAsia="Times New Roman" w:hAnsi="Calibri" w:cs="Calibri"/>
          <w:sz w:val="24"/>
          <w:szCs w:val="24"/>
          <w:lang w:val="en-IN" w:eastAsia="en-IN"/>
        </w:rPr>
        <w:t>33</w:t>
      </w:r>
      <w:r w:rsidRPr="006E1557">
        <w:rPr>
          <w:rFonts w:ascii="Calibri" w:eastAsia="Times New Roman" w:hAnsi="Calibri" w:cs="Calibri"/>
          <w:sz w:val="24"/>
          <w:szCs w:val="24"/>
          <w:lang w:val="en-IN" w:eastAsia="en-IN"/>
        </w:rPr>
        <w:t xml:space="preserve">6. </w:t>
      </w:r>
    </w:p>
    <w:sectPr w:rsidR="006E1557" w:rsidRPr="006E1557" w:rsidSect="00FF3ECB">
      <w:headerReference w:type="even" r:id="rId14"/>
      <w:headerReference w:type="default" r:id="rId15"/>
      <w:footerReference w:type="even" r:id="rId16"/>
      <w:footerReference w:type="default" r:id="rId17"/>
      <w:headerReference w:type="first" r:id="rId18"/>
      <w:footerReference w:type="first" r:id="rId19"/>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31C258" w14:textId="77777777" w:rsidR="0066000C" w:rsidRDefault="0066000C">
      <w:r>
        <w:separator/>
      </w:r>
    </w:p>
  </w:endnote>
  <w:endnote w:type="continuationSeparator" w:id="0">
    <w:p w14:paraId="79EEBA99" w14:textId="77777777" w:rsidR="0066000C" w:rsidRDefault="00660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E2E834AD-7BE7-EA47-903D-3271CC8AFCFB}"/>
  </w:font>
  <w:font w:name="Times New Roman">
    <w:panose1 w:val="02020603050405020304"/>
    <w:charset w:val="00"/>
    <w:family w:val="roman"/>
    <w:pitch w:val="variable"/>
    <w:sig w:usb0="E0002EFF" w:usb1="C000785B" w:usb2="00000009" w:usb3="00000000" w:csb0="000001FF" w:csb1="00000000"/>
    <w:embedRegular r:id="rId3" w:fontKey="{735A4CFE-520E-5749-99AB-5B04F8F5ECE4}"/>
    <w:embedBold r:id="rId4" w:fontKey="{748969A0-736A-804C-A40F-3B0CC1AB67C7}"/>
    <w:embedItalic r:id="rId5" w:fontKey="{B22495B8-A243-A643-B037-B06153327592}"/>
  </w:font>
  <w:font w:name="Calibri">
    <w:panose1 w:val="020F0502020204030204"/>
    <w:charset w:val="00"/>
    <w:family w:val="swiss"/>
    <w:pitch w:val="variable"/>
    <w:sig w:usb0="E0002AFF" w:usb1="C000247B" w:usb2="00000009" w:usb3="00000000" w:csb0="000001FF" w:csb1="00000000"/>
    <w:embedRegular r:id="rId6" w:fontKey="{B47C28B1-D1BC-9B4B-8E15-A74C996B21AA}"/>
    <w:embedBold r:id="rId7" w:fontKey="{74EF6265-5158-1C4F-B0CD-6454927EC8AB}"/>
    <w:embedItalic r:id="rId8" w:fontKey="{9DD0125A-5782-4C4E-B922-DDCCE330600B}"/>
  </w:font>
  <w:font w:name="Cambria">
    <w:panose1 w:val="02040503050406030204"/>
    <w:charset w:val="00"/>
    <w:family w:val="roman"/>
    <w:pitch w:val="variable"/>
    <w:sig w:usb0="E00002FF" w:usb1="400004FF" w:usb2="00000000" w:usb3="00000000" w:csb0="0000019F" w:csb1="00000000"/>
    <w:embedRegular r:id="rId9" w:fontKey="{A8676F21-1B2D-394A-9227-6DF20EA66A01}"/>
    <w:embedBold r:id="rId10" w:fontKey="{F39C6140-4587-4347-AF13-C962D953B5C6}"/>
  </w:font>
  <w:font w:name="Symbol">
    <w:panose1 w:val="05050102010706020507"/>
    <w:charset w:val="02"/>
    <w:family w:val="decorative"/>
    <w:pitch w:val="variable"/>
    <w:sig w:usb0="00000000" w:usb1="10000000" w:usb2="00000000" w:usb3="00000000" w:csb0="80000000" w:csb1="00000000"/>
    <w:embedRegular r:id="rId11" w:fontKey="{5EE6CF8A-7EF8-DD4E-B66B-D62B4A032539}"/>
  </w:font>
  <w:font w:name="Wingdings">
    <w:panose1 w:val="05000000000000000000"/>
    <w:charset w:val="4D"/>
    <w:family w:val="decorative"/>
    <w:pitch w:val="variable"/>
    <w:sig w:usb0="00000003" w:usb1="00000000" w:usb2="00000000" w:usb3="00000000" w:csb0="80000001" w:csb1="00000000"/>
    <w:embedRegular r:id="rId12" w:fontKey="{E1D008EA-A6FB-1843-B0E4-1B8747748E05}"/>
  </w:font>
  <w:font w:name="Georgia">
    <w:panose1 w:val="02040502050405020303"/>
    <w:charset w:val="00"/>
    <w:family w:val="roman"/>
    <w:pitch w:val="variable"/>
    <w:sig w:usb0="00000287" w:usb1="00000000" w:usb2="00000000" w:usb3="00000000" w:csb0="0000009F" w:csb1="00000000"/>
    <w:embedItalic r:id="rId13" w:fontKey="{B3A939C6-C59B-BA40-909D-EE759ACC0140}"/>
  </w:font>
  <w:font w:name="Microsoft YaHei">
    <w:panose1 w:val="020B0503020204020204"/>
    <w:charset w:val="86"/>
    <w:family w:val="swiss"/>
    <w:pitch w:val="variable"/>
    <w:sig w:usb0="80000287" w:usb1="2ACF3C50" w:usb2="00000016" w:usb3="00000000" w:csb0="0004001F" w:csb1="00000000"/>
    <w:embedRegular r:id="rId14" w:subsetted="1" w:fontKey="{C2BFFDDB-3CC2-7E49-8109-999A1C835112}"/>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BC22C3" w14:textId="77777777" w:rsidR="001F477B" w:rsidRDefault="001F477B">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FC5B0D" w14:textId="77777777" w:rsidR="00013DC1" w:rsidRDefault="00013DC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981BFA" w14:textId="77777777" w:rsidR="00013DC1" w:rsidRDefault="00013DC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C137A5" w14:textId="77777777" w:rsidR="0066000C" w:rsidRDefault="0066000C">
      <w:r>
        <w:separator/>
      </w:r>
    </w:p>
  </w:footnote>
  <w:footnote w:type="continuationSeparator" w:id="0">
    <w:p w14:paraId="45C0E220" w14:textId="77777777" w:rsidR="0066000C" w:rsidRDefault="006600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17D988" w14:textId="77777777" w:rsidR="001F477B" w:rsidRDefault="001F477B">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F62849" w14:textId="77777777" w:rsidR="001F477B" w:rsidRDefault="001F477B">
    <w:pPr>
      <w:pBdr>
        <w:top w:val="nil"/>
        <w:left w:val="nil"/>
        <w:bottom w:val="nil"/>
        <w:right w:val="nil"/>
        <w:between w:val="nil"/>
      </w:pBdr>
      <w:tabs>
        <w:tab w:val="center" w:pos="4680"/>
        <w:tab w:val="left" w:pos="5724"/>
        <w:tab w:val="right" w:pos="9360"/>
      </w:tabs>
      <w:rPr>
        <w:b/>
        <w:bCs/>
        <w:color w:val="1F497D"/>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46383D" w14:textId="77777777" w:rsidR="001F477B" w:rsidRDefault="001F477B">
    <w:pPr>
      <w:pBdr>
        <w:top w:val="nil"/>
        <w:left w:val="nil"/>
        <w:bottom w:val="nil"/>
        <w:right w:val="nil"/>
        <w:between w:val="nil"/>
      </w:pBdr>
      <w:tabs>
        <w:tab w:val="center" w:pos="4680"/>
        <w:tab w:val="right" w:pos="9360"/>
      </w:tabs>
      <w:jc w:val="right"/>
      <w:rPr>
        <w:b/>
        <w:bCs/>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01406"/>
    <w:multiLevelType w:val="multilevel"/>
    <w:tmpl w:val="CB0E8D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3546AD7"/>
    <w:multiLevelType w:val="multilevel"/>
    <w:tmpl w:val="1BE6BA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B3644C0"/>
    <w:multiLevelType w:val="multilevel"/>
    <w:tmpl w:val="9438A96A"/>
    <w:lvl w:ilvl="0">
      <w:start w:val="1"/>
      <w:numFmt w:val="bullet"/>
      <w:lvlText w:val="●"/>
      <w:lvlJc w:val="left"/>
      <w:pPr>
        <w:ind w:left="360" w:hanging="360"/>
      </w:pPr>
      <w:rPr>
        <w:rFonts w:ascii="Noto Sans Symbols" w:eastAsia="Noto Sans Symbols" w:hAnsi="Noto Sans Symbols" w:cs="Noto Sans Symbols"/>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15AF1D27"/>
    <w:multiLevelType w:val="multilevel"/>
    <w:tmpl w:val="B2DAEAFC"/>
    <w:lvl w:ilvl="0">
      <w:start w:val="2"/>
      <w:numFmt w:val="lowerLetter"/>
      <w:lvlText w:val="(%1)"/>
      <w:lvlJc w:val="left"/>
      <w:pPr>
        <w:tabs>
          <w:tab w:val="num" w:pos="720"/>
        </w:tabs>
        <w:ind w:left="720" w:hanging="360"/>
      </w:pPr>
      <w:rPr>
        <w:rFonts w:hint="default"/>
      </w:rPr>
    </w:lvl>
    <w:lvl w:ilvl="1">
      <w:start w:val="3"/>
      <w:numFmt w:val="lowerLetter"/>
      <w:lvlText w:val="(%2)"/>
      <w:lvlJc w:val="left"/>
      <w:pPr>
        <w:ind w:left="1440" w:hanging="360"/>
      </w:pPr>
      <w:rPr>
        <w:rFonts w:hint="default"/>
      </w:rPr>
    </w:lvl>
    <w:lvl w:ilvl="2">
      <w:start w:val="16"/>
      <w:numFmt w:val="decimal"/>
      <w:lvlText w:val="%3."/>
      <w:lvlJc w:val="left"/>
      <w:pPr>
        <w:tabs>
          <w:tab w:val="num" w:pos="2160"/>
        </w:tabs>
        <w:ind w:left="2160" w:hanging="360"/>
      </w:pPr>
      <w:rPr>
        <w:rFonts w:ascii="Calibri" w:eastAsiaTheme="minorHAnsi" w:hAnsi="Calibri" w:cs="Calibri" w:hint="default"/>
      </w:rPr>
    </w:lvl>
    <w:lvl w:ilvl="3">
      <w:start w:val="15"/>
      <w:numFmt w:val="decimal"/>
      <w:lvlText w:val="%4."/>
      <w:lvlJc w:val="left"/>
      <w:pPr>
        <w:tabs>
          <w:tab w:val="num" w:pos="2880"/>
        </w:tabs>
        <w:ind w:left="2880" w:hanging="360"/>
      </w:pPr>
      <w:rPr>
        <w:rFonts w:hint="default"/>
      </w:rPr>
    </w:lvl>
    <w:lvl w:ilvl="4">
      <w:start w:val="21"/>
      <w:numFmt w:val="decimal"/>
      <w:lvlText w:val="%5."/>
      <w:lvlJc w:val="left"/>
      <w:pPr>
        <w:tabs>
          <w:tab w:val="num" w:pos="3600"/>
        </w:tabs>
        <w:ind w:left="3600" w:hanging="360"/>
      </w:pPr>
      <w:rPr>
        <w:rFonts w:hint="default"/>
      </w:rPr>
    </w:lvl>
    <w:lvl w:ilvl="5">
      <w:start w:val="13"/>
      <w:numFmt w:val="decimal"/>
      <w:lvlText w:val="%6."/>
      <w:lvlJc w:val="left"/>
      <w:pPr>
        <w:tabs>
          <w:tab w:val="num" w:pos="4320"/>
        </w:tabs>
        <w:ind w:left="4320" w:hanging="360"/>
      </w:pPr>
      <w:rPr>
        <w:rFonts w:hint="default"/>
      </w:rPr>
    </w:lvl>
    <w:lvl w:ilvl="6">
      <w:start w:val="18"/>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1853663B"/>
    <w:multiLevelType w:val="multilevel"/>
    <w:tmpl w:val="7B1C80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6010C72"/>
    <w:multiLevelType w:val="multilevel"/>
    <w:tmpl w:val="2362F1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9594D63"/>
    <w:multiLevelType w:val="hybridMultilevel"/>
    <w:tmpl w:val="89782A68"/>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3AF802ED"/>
    <w:multiLevelType w:val="multilevel"/>
    <w:tmpl w:val="D71269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186049D"/>
    <w:multiLevelType w:val="multilevel"/>
    <w:tmpl w:val="668ED55E"/>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9" w15:restartNumberingAfterBreak="0">
    <w:nsid w:val="519F04ED"/>
    <w:multiLevelType w:val="multilevel"/>
    <w:tmpl w:val="5448CF42"/>
    <w:lvl w:ilvl="0">
      <w:start w:val="1"/>
      <w:numFmt w:val="bullet"/>
      <w:lvlText w:val="●"/>
      <w:lvlJc w:val="left"/>
      <w:pPr>
        <w:ind w:left="36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3176118"/>
    <w:multiLevelType w:val="hybridMultilevel"/>
    <w:tmpl w:val="5134B7F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5A680C4B"/>
    <w:multiLevelType w:val="multilevel"/>
    <w:tmpl w:val="A4BC6CF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2" w15:restartNumberingAfterBreak="0">
    <w:nsid w:val="5CFC6CFA"/>
    <w:multiLevelType w:val="multilevel"/>
    <w:tmpl w:val="D22A0F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D4368E3"/>
    <w:multiLevelType w:val="multilevel"/>
    <w:tmpl w:val="4C14FD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D60587D"/>
    <w:multiLevelType w:val="multilevel"/>
    <w:tmpl w:val="F4F4CC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4FB1122"/>
    <w:multiLevelType w:val="multilevel"/>
    <w:tmpl w:val="F65A5B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75344196">
    <w:abstractNumId w:val="12"/>
  </w:num>
  <w:num w:numId="2" w16cid:durableId="2013411373">
    <w:abstractNumId w:val="7"/>
  </w:num>
  <w:num w:numId="3" w16cid:durableId="1233663020">
    <w:abstractNumId w:val="13"/>
  </w:num>
  <w:num w:numId="4" w16cid:durableId="474108911">
    <w:abstractNumId w:val="11"/>
  </w:num>
  <w:num w:numId="5" w16cid:durableId="1336568985">
    <w:abstractNumId w:val="1"/>
  </w:num>
  <w:num w:numId="6" w16cid:durableId="939263420">
    <w:abstractNumId w:val="4"/>
  </w:num>
  <w:num w:numId="7" w16cid:durableId="101190160">
    <w:abstractNumId w:val="14"/>
  </w:num>
  <w:num w:numId="8" w16cid:durableId="2000453400">
    <w:abstractNumId w:val="15"/>
  </w:num>
  <w:num w:numId="9" w16cid:durableId="1678196073">
    <w:abstractNumId w:val="0"/>
  </w:num>
  <w:num w:numId="10" w16cid:durableId="1175733044">
    <w:abstractNumId w:val="5"/>
  </w:num>
  <w:num w:numId="11" w16cid:durableId="707069484">
    <w:abstractNumId w:val="2"/>
  </w:num>
  <w:num w:numId="12" w16cid:durableId="1935825436">
    <w:abstractNumId w:val="9"/>
  </w:num>
  <w:num w:numId="13" w16cid:durableId="526211243">
    <w:abstractNumId w:val="8"/>
  </w:num>
  <w:num w:numId="14" w16cid:durableId="571696535">
    <w:abstractNumId w:val="3"/>
  </w:num>
  <w:num w:numId="15" w16cid:durableId="333805354">
    <w:abstractNumId w:val="10"/>
  </w:num>
  <w:num w:numId="16" w16cid:durableId="237323987">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3"/>
  <w:removePersonalInformation/>
  <w:embedTrueTypeFonts/>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gBicyNzAwsjMwtLQyUdpeDU4uLM/DyQAqNaADQFQiQsAAAA"/>
  </w:docVars>
  <w:rsids>
    <w:rsidRoot w:val="001F477B"/>
    <w:rsid w:val="000100B7"/>
    <w:rsid w:val="00012935"/>
    <w:rsid w:val="00013DC1"/>
    <w:rsid w:val="00015621"/>
    <w:rsid w:val="000245FE"/>
    <w:rsid w:val="00031BCC"/>
    <w:rsid w:val="00033294"/>
    <w:rsid w:val="00043A8E"/>
    <w:rsid w:val="00046F3C"/>
    <w:rsid w:val="000549F5"/>
    <w:rsid w:val="00055A92"/>
    <w:rsid w:val="00056C0B"/>
    <w:rsid w:val="00074255"/>
    <w:rsid w:val="000761EA"/>
    <w:rsid w:val="0007725F"/>
    <w:rsid w:val="000954F2"/>
    <w:rsid w:val="000A01E4"/>
    <w:rsid w:val="000B0AA1"/>
    <w:rsid w:val="000B18B6"/>
    <w:rsid w:val="000B2510"/>
    <w:rsid w:val="000B4659"/>
    <w:rsid w:val="000B4B52"/>
    <w:rsid w:val="000B55BE"/>
    <w:rsid w:val="000C7895"/>
    <w:rsid w:val="000D47E9"/>
    <w:rsid w:val="000E205D"/>
    <w:rsid w:val="000F6AAB"/>
    <w:rsid w:val="00103F87"/>
    <w:rsid w:val="001115DA"/>
    <w:rsid w:val="001154BE"/>
    <w:rsid w:val="00115919"/>
    <w:rsid w:val="001204FB"/>
    <w:rsid w:val="001408E2"/>
    <w:rsid w:val="001413D2"/>
    <w:rsid w:val="00151729"/>
    <w:rsid w:val="0015228F"/>
    <w:rsid w:val="0015754A"/>
    <w:rsid w:val="001648B1"/>
    <w:rsid w:val="00164A53"/>
    <w:rsid w:val="00174997"/>
    <w:rsid w:val="00191BB7"/>
    <w:rsid w:val="00197B1A"/>
    <w:rsid w:val="00197BFB"/>
    <w:rsid w:val="001A03D8"/>
    <w:rsid w:val="001A26F0"/>
    <w:rsid w:val="001A4409"/>
    <w:rsid w:val="001B0964"/>
    <w:rsid w:val="001B6E1C"/>
    <w:rsid w:val="001C3D99"/>
    <w:rsid w:val="001D0216"/>
    <w:rsid w:val="001D44F7"/>
    <w:rsid w:val="001E7D8E"/>
    <w:rsid w:val="001F477B"/>
    <w:rsid w:val="001F6641"/>
    <w:rsid w:val="00203068"/>
    <w:rsid w:val="002043E1"/>
    <w:rsid w:val="00217343"/>
    <w:rsid w:val="00220BED"/>
    <w:rsid w:val="002350AB"/>
    <w:rsid w:val="00235DE9"/>
    <w:rsid w:val="00236074"/>
    <w:rsid w:val="0023685A"/>
    <w:rsid w:val="002414CA"/>
    <w:rsid w:val="00242292"/>
    <w:rsid w:val="00242C4E"/>
    <w:rsid w:val="00247AD1"/>
    <w:rsid w:val="00251645"/>
    <w:rsid w:val="00266982"/>
    <w:rsid w:val="002713CA"/>
    <w:rsid w:val="00274016"/>
    <w:rsid w:val="00297D16"/>
    <w:rsid w:val="002A34FC"/>
    <w:rsid w:val="002B2384"/>
    <w:rsid w:val="002B7370"/>
    <w:rsid w:val="002B7A97"/>
    <w:rsid w:val="002C103A"/>
    <w:rsid w:val="002D157A"/>
    <w:rsid w:val="002E1BB0"/>
    <w:rsid w:val="002E583D"/>
    <w:rsid w:val="002F2DE4"/>
    <w:rsid w:val="002F7A42"/>
    <w:rsid w:val="0030034C"/>
    <w:rsid w:val="00303338"/>
    <w:rsid w:val="00304445"/>
    <w:rsid w:val="003058C4"/>
    <w:rsid w:val="003139E6"/>
    <w:rsid w:val="0031735B"/>
    <w:rsid w:val="003221CD"/>
    <w:rsid w:val="00340B5B"/>
    <w:rsid w:val="00341FCD"/>
    <w:rsid w:val="003457C0"/>
    <w:rsid w:val="00353058"/>
    <w:rsid w:val="00354309"/>
    <w:rsid w:val="00356DB5"/>
    <w:rsid w:val="003571F7"/>
    <w:rsid w:val="003678A5"/>
    <w:rsid w:val="003753E7"/>
    <w:rsid w:val="0038712D"/>
    <w:rsid w:val="00396AF1"/>
    <w:rsid w:val="003A5355"/>
    <w:rsid w:val="003B1122"/>
    <w:rsid w:val="003B3C71"/>
    <w:rsid w:val="003B652A"/>
    <w:rsid w:val="003B71D1"/>
    <w:rsid w:val="003C67BA"/>
    <w:rsid w:val="003C6B68"/>
    <w:rsid w:val="003D6944"/>
    <w:rsid w:val="003F119A"/>
    <w:rsid w:val="00400B25"/>
    <w:rsid w:val="00401063"/>
    <w:rsid w:val="004027F9"/>
    <w:rsid w:val="00404FB9"/>
    <w:rsid w:val="0040687E"/>
    <w:rsid w:val="00407DC8"/>
    <w:rsid w:val="00422769"/>
    <w:rsid w:val="00425679"/>
    <w:rsid w:val="00431D13"/>
    <w:rsid w:val="0044031C"/>
    <w:rsid w:val="00454D9C"/>
    <w:rsid w:val="00464940"/>
    <w:rsid w:val="00472996"/>
    <w:rsid w:val="00473279"/>
    <w:rsid w:val="00476301"/>
    <w:rsid w:val="0048051B"/>
    <w:rsid w:val="00481B36"/>
    <w:rsid w:val="004832E7"/>
    <w:rsid w:val="00490132"/>
    <w:rsid w:val="004B5E10"/>
    <w:rsid w:val="004B6EB9"/>
    <w:rsid w:val="004C2CBE"/>
    <w:rsid w:val="004C3B02"/>
    <w:rsid w:val="004D2A69"/>
    <w:rsid w:val="004D4678"/>
    <w:rsid w:val="004D7D30"/>
    <w:rsid w:val="004E363C"/>
    <w:rsid w:val="004E369A"/>
    <w:rsid w:val="00500059"/>
    <w:rsid w:val="00504995"/>
    <w:rsid w:val="00512BDF"/>
    <w:rsid w:val="00515ED2"/>
    <w:rsid w:val="005304B6"/>
    <w:rsid w:val="0053350B"/>
    <w:rsid w:val="005360AA"/>
    <w:rsid w:val="0054123E"/>
    <w:rsid w:val="00544012"/>
    <w:rsid w:val="00545C44"/>
    <w:rsid w:val="00556B85"/>
    <w:rsid w:val="005626B4"/>
    <w:rsid w:val="00562D01"/>
    <w:rsid w:val="00562D2E"/>
    <w:rsid w:val="00570F1D"/>
    <w:rsid w:val="00571328"/>
    <w:rsid w:val="00573589"/>
    <w:rsid w:val="00574449"/>
    <w:rsid w:val="0059386B"/>
    <w:rsid w:val="005A596D"/>
    <w:rsid w:val="005B7A06"/>
    <w:rsid w:val="005C11C8"/>
    <w:rsid w:val="005C4940"/>
    <w:rsid w:val="005C58B0"/>
    <w:rsid w:val="005C5FE0"/>
    <w:rsid w:val="005E10B0"/>
    <w:rsid w:val="005E3984"/>
    <w:rsid w:val="005E5950"/>
    <w:rsid w:val="005E7C32"/>
    <w:rsid w:val="005F0129"/>
    <w:rsid w:val="005F4F84"/>
    <w:rsid w:val="005F535D"/>
    <w:rsid w:val="006120E9"/>
    <w:rsid w:val="00612592"/>
    <w:rsid w:val="00615F70"/>
    <w:rsid w:val="006163E7"/>
    <w:rsid w:val="00624E67"/>
    <w:rsid w:val="00637541"/>
    <w:rsid w:val="00642AB6"/>
    <w:rsid w:val="00643803"/>
    <w:rsid w:val="00650E76"/>
    <w:rsid w:val="006541E6"/>
    <w:rsid w:val="00656770"/>
    <w:rsid w:val="0066000C"/>
    <w:rsid w:val="00660934"/>
    <w:rsid w:val="0067691B"/>
    <w:rsid w:val="00676E27"/>
    <w:rsid w:val="00687D15"/>
    <w:rsid w:val="00692E3E"/>
    <w:rsid w:val="006C7260"/>
    <w:rsid w:val="006C735D"/>
    <w:rsid w:val="006D67C8"/>
    <w:rsid w:val="006E1557"/>
    <w:rsid w:val="006E7FE9"/>
    <w:rsid w:val="006F2BF2"/>
    <w:rsid w:val="006F389A"/>
    <w:rsid w:val="006F3904"/>
    <w:rsid w:val="006F3A3F"/>
    <w:rsid w:val="006F4DC1"/>
    <w:rsid w:val="006F726A"/>
    <w:rsid w:val="00701A7E"/>
    <w:rsid w:val="00713BC1"/>
    <w:rsid w:val="00721227"/>
    <w:rsid w:val="007232DF"/>
    <w:rsid w:val="007455B6"/>
    <w:rsid w:val="00745D24"/>
    <w:rsid w:val="007475D1"/>
    <w:rsid w:val="007514BE"/>
    <w:rsid w:val="0076108F"/>
    <w:rsid w:val="00761525"/>
    <w:rsid w:val="00761838"/>
    <w:rsid w:val="00771553"/>
    <w:rsid w:val="00772E8C"/>
    <w:rsid w:val="00780EE4"/>
    <w:rsid w:val="00787F06"/>
    <w:rsid w:val="00791BF5"/>
    <w:rsid w:val="007A112B"/>
    <w:rsid w:val="007A3E75"/>
    <w:rsid w:val="007D3218"/>
    <w:rsid w:val="007D3434"/>
    <w:rsid w:val="007E21D8"/>
    <w:rsid w:val="007E355D"/>
    <w:rsid w:val="007F00C3"/>
    <w:rsid w:val="007F132A"/>
    <w:rsid w:val="00802D5F"/>
    <w:rsid w:val="00803919"/>
    <w:rsid w:val="008074ED"/>
    <w:rsid w:val="00812AE1"/>
    <w:rsid w:val="00812EF9"/>
    <w:rsid w:val="0081499F"/>
    <w:rsid w:val="008219F9"/>
    <w:rsid w:val="00821CA5"/>
    <w:rsid w:val="008318B4"/>
    <w:rsid w:val="008334B8"/>
    <w:rsid w:val="00835553"/>
    <w:rsid w:val="00844FEB"/>
    <w:rsid w:val="008529B6"/>
    <w:rsid w:val="00864F27"/>
    <w:rsid w:val="0087455B"/>
    <w:rsid w:val="00876E22"/>
    <w:rsid w:val="00884316"/>
    <w:rsid w:val="008879C9"/>
    <w:rsid w:val="00887A85"/>
    <w:rsid w:val="00893A09"/>
    <w:rsid w:val="00895884"/>
    <w:rsid w:val="008A430A"/>
    <w:rsid w:val="008A7352"/>
    <w:rsid w:val="008A77D4"/>
    <w:rsid w:val="008B229D"/>
    <w:rsid w:val="008B774B"/>
    <w:rsid w:val="008C042B"/>
    <w:rsid w:val="008C4067"/>
    <w:rsid w:val="008F22A5"/>
    <w:rsid w:val="00901C9D"/>
    <w:rsid w:val="0090215B"/>
    <w:rsid w:val="00903940"/>
    <w:rsid w:val="00912E94"/>
    <w:rsid w:val="00927E18"/>
    <w:rsid w:val="00930189"/>
    <w:rsid w:val="00931D4E"/>
    <w:rsid w:val="00943C8B"/>
    <w:rsid w:val="00946029"/>
    <w:rsid w:val="0094672C"/>
    <w:rsid w:val="00946811"/>
    <w:rsid w:val="0095035C"/>
    <w:rsid w:val="00951786"/>
    <w:rsid w:val="0095341F"/>
    <w:rsid w:val="00962DA9"/>
    <w:rsid w:val="009637CA"/>
    <w:rsid w:val="009671A2"/>
    <w:rsid w:val="00970C7D"/>
    <w:rsid w:val="00976175"/>
    <w:rsid w:val="00986A31"/>
    <w:rsid w:val="00991F63"/>
    <w:rsid w:val="009A4C12"/>
    <w:rsid w:val="009A4C60"/>
    <w:rsid w:val="009A5C3C"/>
    <w:rsid w:val="009A6A91"/>
    <w:rsid w:val="009B1DC0"/>
    <w:rsid w:val="009B28D0"/>
    <w:rsid w:val="009B3878"/>
    <w:rsid w:val="009C204C"/>
    <w:rsid w:val="009D1415"/>
    <w:rsid w:val="009D5261"/>
    <w:rsid w:val="009E05F3"/>
    <w:rsid w:val="009E3C6D"/>
    <w:rsid w:val="009E646A"/>
    <w:rsid w:val="009F0178"/>
    <w:rsid w:val="009F6D56"/>
    <w:rsid w:val="00A0345A"/>
    <w:rsid w:val="00A0426F"/>
    <w:rsid w:val="00A048F1"/>
    <w:rsid w:val="00A164BB"/>
    <w:rsid w:val="00A1741B"/>
    <w:rsid w:val="00A30C81"/>
    <w:rsid w:val="00A34F49"/>
    <w:rsid w:val="00A353B1"/>
    <w:rsid w:val="00A42AB0"/>
    <w:rsid w:val="00A44772"/>
    <w:rsid w:val="00A56D2B"/>
    <w:rsid w:val="00A57A24"/>
    <w:rsid w:val="00A60B77"/>
    <w:rsid w:val="00A620F1"/>
    <w:rsid w:val="00A652BB"/>
    <w:rsid w:val="00A71433"/>
    <w:rsid w:val="00A728EF"/>
    <w:rsid w:val="00A775B1"/>
    <w:rsid w:val="00A80599"/>
    <w:rsid w:val="00A85E88"/>
    <w:rsid w:val="00A913AE"/>
    <w:rsid w:val="00A915CD"/>
    <w:rsid w:val="00A91D8B"/>
    <w:rsid w:val="00A95DB6"/>
    <w:rsid w:val="00AA1CC3"/>
    <w:rsid w:val="00AA49D7"/>
    <w:rsid w:val="00AA4BBF"/>
    <w:rsid w:val="00AA6FD5"/>
    <w:rsid w:val="00AA7736"/>
    <w:rsid w:val="00AB04E5"/>
    <w:rsid w:val="00AB740D"/>
    <w:rsid w:val="00AC097D"/>
    <w:rsid w:val="00AC0AEE"/>
    <w:rsid w:val="00AC2CEB"/>
    <w:rsid w:val="00AC7D1F"/>
    <w:rsid w:val="00AD2F2A"/>
    <w:rsid w:val="00AD3611"/>
    <w:rsid w:val="00AD5840"/>
    <w:rsid w:val="00AE015B"/>
    <w:rsid w:val="00AE6090"/>
    <w:rsid w:val="00AF2FA3"/>
    <w:rsid w:val="00AF58D6"/>
    <w:rsid w:val="00AF7EF7"/>
    <w:rsid w:val="00B00384"/>
    <w:rsid w:val="00B013F6"/>
    <w:rsid w:val="00B06A06"/>
    <w:rsid w:val="00B12FF5"/>
    <w:rsid w:val="00B32E88"/>
    <w:rsid w:val="00B92F90"/>
    <w:rsid w:val="00BA39D2"/>
    <w:rsid w:val="00BB5461"/>
    <w:rsid w:val="00BD1328"/>
    <w:rsid w:val="00BE3AB3"/>
    <w:rsid w:val="00BE6013"/>
    <w:rsid w:val="00BE715D"/>
    <w:rsid w:val="00BE743A"/>
    <w:rsid w:val="00BF5404"/>
    <w:rsid w:val="00BF77BB"/>
    <w:rsid w:val="00C01983"/>
    <w:rsid w:val="00C03A12"/>
    <w:rsid w:val="00C113FC"/>
    <w:rsid w:val="00C230FC"/>
    <w:rsid w:val="00C26F70"/>
    <w:rsid w:val="00C30F4E"/>
    <w:rsid w:val="00C343BB"/>
    <w:rsid w:val="00C34C77"/>
    <w:rsid w:val="00C35528"/>
    <w:rsid w:val="00C42DC6"/>
    <w:rsid w:val="00C44452"/>
    <w:rsid w:val="00C457E5"/>
    <w:rsid w:val="00C462BD"/>
    <w:rsid w:val="00C46A26"/>
    <w:rsid w:val="00C50188"/>
    <w:rsid w:val="00C51382"/>
    <w:rsid w:val="00C57A56"/>
    <w:rsid w:val="00C61D3D"/>
    <w:rsid w:val="00C7055A"/>
    <w:rsid w:val="00C72C7A"/>
    <w:rsid w:val="00C74C86"/>
    <w:rsid w:val="00C75768"/>
    <w:rsid w:val="00C835D7"/>
    <w:rsid w:val="00C93AF9"/>
    <w:rsid w:val="00CA4813"/>
    <w:rsid w:val="00CB1518"/>
    <w:rsid w:val="00CB499F"/>
    <w:rsid w:val="00CB718A"/>
    <w:rsid w:val="00CC0126"/>
    <w:rsid w:val="00CC2691"/>
    <w:rsid w:val="00CC5615"/>
    <w:rsid w:val="00CD2E01"/>
    <w:rsid w:val="00CD400D"/>
    <w:rsid w:val="00CD434B"/>
    <w:rsid w:val="00CD6409"/>
    <w:rsid w:val="00CE0AE7"/>
    <w:rsid w:val="00CE44B1"/>
    <w:rsid w:val="00CF1D7A"/>
    <w:rsid w:val="00CF47D6"/>
    <w:rsid w:val="00D06922"/>
    <w:rsid w:val="00D14E26"/>
    <w:rsid w:val="00D32B80"/>
    <w:rsid w:val="00D344A4"/>
    <w:rsid w:val="00D369C1"/>
    <w:rsid w:val="00D36BA7"/>
    <w:rsid w:val="00D44E76"/>
    <w:rsid w:val="00D47407"/>
    <w:rsid w:val="00D50EEB"/>
    <w:rsid w:val="00D52D96"/>
    <w:rsid w:val="00D62903"/>
    <w:rsid w:val="00D6311B"/>
    <w:rsid w:val="00D7486A"/>
    <w:rsid w:val="00D765FE"/>
    <w:rsid w:val="00D80409"/>
    <w:rsid w:val="00D8363D"/>
    <w:rsid w:val="00D86026"/>
    <w:rsid w:val="00D97F1A"/>
    <w:rsid w:val="00DB1B16"/>
    <w:rsid w:val="00DB7752"/>
    <w:rsid w:val="00DB7898"/>
    <w:rsid w:val="00DC2AE9"/>
    <w:rsid w:val="00DC7599"/>
    <w:rsid w:val="00DD4655"/>
    <w:rsid w:val="00DD6557"/>
    <w:rsid w:val="00DE0D05"/>
    <w:rsid w:val="00DE60BA"/>
    <w:rsid w:val="00E12139"/>
    <w:rsid w:val="00E262C3"/>
    <w:rsid w:val="00E271D3"/>
    <w:rsid w:val="00E33B4C"/>
    <w:rsid w:val="00E34659"/>
    <w:rsid w:val="00E36E53"/>
    <w:rsid w:val="00E469FF"/>
    <w:rsid w:val="00E51DCB"/>
    <w:rsid w:val="00E544C6"/>
    <w:rsid w:val="00E54AB4"/>
    <w:rsid w:val="00E56DB3"/>
    <w:rsid w:val="00E60CFC"/>
    <w:rsid w:val="00E61447"/>
    <w:rsid w:val="00E62400"/>
    <w:rsid w:val="00E82326"/>
    <w:rsid w:val="00E83EEF"/>
    <w:rsid w:val="00E85D1B"/>
    <w:rsid w:val="00E86984"/>
    <w:rsid w:val="00E93041"/>
    <w:rsid w:val="00EA6D6D"/>
    <w:rsid w:val="00EB15E8"/>
    <w:rsid w:val="00EB5B33"/>
    <w:rsid w:val="00EC3C0A"/>
    <w:rsid w:val="00EC4DDC"/>
    <w:rsid w:val="00EC7217"/>
    <w:rsid w:val="00ED3F23"/>
    <w:rsid w:val="00ED4283"/>
    <w:rsid w:val="00ED6C08"/>
    <w:rsid w:val="00ED6DD5"/>
    <w:rsid w:val="00ED7171"/>
    <w:rsid w:val="00EE1967"/>
    <w:rsid w:val="00EE4F4B"/>
    <w:rsid w:val="00EF06D1"/>
    <w:rsid w:val="00EF18A1"/>
    <w:rsid w:val="00EF18F5"/>
    <w:rsid w:val="00F01903"/>
    <w:rsid w:val="00F025D3"/>
    <w:rsid w:val="00F03032"/>
    <w:rsid w:val="00F17F4A"/>
    <w:rsid w:val="00F31997"/>
    <w:rsid w:val="00F34CC6"/>
    <w:rsid w:val="00F44BF8"/>
    <w:rsid w:val="00F60B96"/>
    <w:rsid w:val="00F62BAF"/>
    <w:rsid w:val="00F809B1"/>
    <w:rsid w:val="00F81494"/>
    <w:rsid w:val="00F814E4"/>
    <w:rsid w:val="00F831B4"/>
    <w:rsid w:val="00F964C6"/>
    <w:rsid w:val="00FA43AD"/>
    <w:rsid w:val="00FC18F0"/>
    <w:rsid w:val="00FF11E2"/>
    <w:rsid w:val="00FF30AA"/>
    <w:rsid w:val="00FF3ECB"/>
    <w:rsid w:val="00FF4B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18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 w:eastAsia="zh-CN"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0F1"/>
  </w:style>
  <w:style w:type="paragraph" w:styleId="Heading1">
    <w:name w:val="heading 1"/>
    <w:basedOn w:val="Normal"/>
    <w:next w:val="Normal"/>
    <w:uiPriority w:val="9"/>
    <w:qFormat/>
    <w:pPr>
      <w:keepNext/>
      <w:spacing w:before="240" w:after="60"/>
      <w:outlineLvl w:val="0"/>
    </w:pPr>
    <w:rPr>
      <w:b/>
      <w:bCs/>
      <w:sz w:val="28"/>
      <w:szCs w:val="28"/>
    </w:rPr>
  </w:style>
  <w:style w:type="paragraph" w:styleId="Heading2">
    <w:name w:val="heading 2"/>
    <w:basedOn w:val="Normal"/>
    <w:next w:val="Normal"/>
    <w:uiPriority w:val="9"/>
    <w:semiHidden/>
    <w:unhideWhenUsed/>
    <w:qFormat/>
    <w:pPr>
      <w:keepNext/>
      <w:outlineLvl w:val="1"/>
    </w:pPr>
    <w:rPr>
      <w:b/>
      <w:bCs/>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bCs/>
      <w:color w:val="4F81BD"/>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LineNumber">
    <w:name w:val="line number"/>
    <w:basedOn w:val="DefaultParagraphFont"/>
    <w:uiPriority w:val="99"/>
    <w:semiHidden/>
    <w:unhideWhenUsed/>
    <w:rsid w:val="00BF5404"/>
  </w:style>
  <w:style w:type="paragraph" w:styleId="Bibliography">
    <w:name w:val="Bibliography"/>
    <w:basedOn w:val="Normal"/>
    <w:next w:val="Normal"/>
    <w:uiPriority w:val="37"/>
    <w:unhideWhenUsed/>
    <w:rsid w:val="00D32B80"/>
    <w:pPr>
      <w:tabs>
        <w:tab w:val="left" w:pos="380"/>
      </w:tabs>
      <w:spacing w:after="240"/>
      <w:ind w:left="384" w:hanging="384"/>
    </w:pPr>
  </w:style>
  <w:style w:type="character" w:customStyle="1" w:styleId="apple-converted-space">
    <w:name w:val="apple-converted-space"/>
    <w:basedOn w:val="DefaultParagraphFont"/>
    <w:rsid w:val="008879C9"/>
  </w:style>
  <w:style w:type="paragraph" w:styleId="NormalWeb">
    <w:name w:val="Normal (Web)"/>
    <w:basedOn w:val="Normal"/>
    <w:uiPriority w:val="99"/>
    <w:semiHidden/>
    <w:unhideWhenUsed/>
    <w:rsid w:val="00012935"/>
    <w:rPr>
      <w:rFonts w:ascii="Times New Roman" w:hAnsi="Times New Roman" w:cs="Times New Roman"/>
    </w:rPr>
  </w:style>
  <w:style w:type="character" w:styleId="Hyperlink">
    <w:name w:val="Hyperlink"/>
    <w:basedOn w:val="DefaultParagraphFont"/>
    <w:uiPriority w:val="99"/>
    <w:unhideWhenUsed/>
    <w:rsid w:val="00203068"/>
    <w:rPr>
      <w:color w:val="0000FF" w:themeColor="hyperlink"/>
      <w:u w:val="single"/>
    </w:rPr>
  </w:style>
  <w:style w:type="character" w:styleId="UnresolvedMention">
    <w:name w:val="Unresolved Mention"/>
    <w:basedOn w:val="DefaultParagraphFont"/>
    <w:uiPriority w:val="99"/>
    <w:semiHidden/>
    <w:unhideWhenUsed/>
    <w:rsid w:val="00203068"/>
    <w:rPr>
      <w:color w:val="605E5C"/>
      <w:shd w:val="clear" w:color="auto" w:fill="E1DFDD"/>
    </w:rPr>
  </w:style>
  <w:style w:type="character" w:styleId="FollowedHyperlink">
    <w:name w:val="FollowedHyperlink"/>
    <w:basedOn w:val="DefaultParagraphFont"/>
    <w:uiPriority w:val="99"/>
    <w:semiHidden/>
    <w:unhideWhenUsed/>
    <w:rsid w:val="001D44F7"/>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E62400"/>
    <w:rPr>
      <w:b/>
      <w:bCs/>
    </w:rPr>
  </w:style>
  <w:style w:type="character" w:customStyle="1" w:styleId="CommentSubjectChar">
    <w:name w:val="Comment Subject Char"/>
    <w:basedOn w:val="CommentTextChar"/>
    <w:link w:val="CommentSubject"/>
    <w:uiPriority w:val="99"/>
    <w:semiHidden/>
    <w:rsid w:val="00E62400"/>
    <w:rPr>
      <w:b/>
      <w:bCs/>
      <w:sz w:val="20"/>
      <w:szCs w:val="20"/>
    </w:rPr>
  </w:style>
  <w:style w:type="character" w:styleId="Strong">
    <w:name w:val="Strong"/>
    <w:basedOn w:val="DefaultParagraphFont"/>
    <w:uiPriority w:val="22"/>
    <w:qFormat/>
    <w:rsid w:val="000F6AAB"/>
    <w:rPr>
      <w:b/>
      <w:bCs/>
    </w:rPr>
  </w:style>
  <w:style w:type="paragraph" w:styleId="ListParagraph">
    <w:name w:val="List Paragraph"/>
    <w:basedOn w:val="Normal"/>
    <w:link w:val="ListParagraphChar"/>
    <w:uiPriority w:val="34"/>
    <w:qFormat/>
    <w:rsid w:val="00174997"/>
    <w:pPr>
      <w:widowControl/>
      <w:spacing w:after="200" w:line="276" w:lineRule="auto"/>
      <w:ind w:left="720"/>
      <w:contextualSpacing/>
      <w:jc w:val="left"/>
    </w:pPr>
    <w:rPr>
      <w:rFonts w:asciiTheme="minorHAnsi" w:eastAsiaTheme="minorHAnsi" w:hAnsiTheme="minorHAnsi" w:cstheme="minorBidi"/>
      <w:sz w:val="22"/>
      <w:szCs w:val="22"/>
      <w:lang w:val="en-US" w:eastAsia="en-US"/>
    </w:rPr>
  </w:style>
  <w:style w:type="character" w:customStyle="1" w:styleId="ListParagraphChar">
    <w:name w:val="List Paragraph Char"/>
    <w:basedOn w:val="DefaultParagraphFont"/>
    <w:link w:val="ListParagraph"/>
    <w:uiPriority w:val="34"/>
    <w:rsid w:val="00174997"/>
    <w:rPr>
      <w:rFonts w:asciiTheme="minorHAnsi" w:eastAsiaTheme="minorHAnsi" w:hAnsiTheme="minorHAnsi" w:cstheme="minorBidi"/>
      <w:sz w:val="22"/>
      <w:szCs w:val="22"/>
      <w:lang w:val="en-US" w:eastAsia="en-US"/>
    </w:rPr>
  </w:style>
  <w:style w:type="paragraph" w:styleId="Revision">
    <w:name w:val="Revision"/>
    <w:hidden/>
    <w:uiPriority w:val="99"/>
    <w:semiHidden/>
    <w:rsid w:val="00431D13"/>
    <w:pPr>
      <w:widowControl/>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ll2190@columbia.edu" TargetMode="External"/><Relationship Id="rId13" Type="http://schemas.openxmlformats.org/officeDocument/2006/relationships/hyperlink" Target="mailto:ms6051@columbia.edu"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am6523@columbia.ed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bg2199@columbia.edu"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ad3971@columbia.edu"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mz2750@columbia.edu"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u0IPdGdAM+zbmL2ggHtC/22dFw==">CgMxLjAaJwoBMBIiCiAIBCocCgtBQUFCN0N5eVlMZxAIGgtBQUFCN0N5eVlMZxonCgExEiIKIAgEKhwKC0FBQUI4RTM2eHA4EAgaC0FBQUI4RTM2eHA4GicKATISIgogCAQqHAoLQUFBQjhFMzZ4cUEQCBoLQUFBQjhFMzZ4cUEaJwoBMxIiCiAIBCocCgtBQUFCOEUzNnhwbxAIGgtBQUFCOEUzNnhwbxonCgE0EiIKIAgEKhwKC0FBQUI4RTM2eHFFEAgaC0FBQUI4RTM2eHFFGicKATUSIgogCAQqHAoLQUFBQl9OMnBZWG8QCBoLQUFBQl9OMnBZWG8aJwoBNhIiCiAIBCocCgtBQUFCOEUzNnhxSRAIGgtBQUFCOEUzNnhxSRonCgE3EiIKIAgEKhwKC0FBQUI4RTM2eHFJEAgaC0FBQUI4RTM2eHFNGicKATgSIgogCAQqHAoLQUFBQjhFMzZ4cUkQCBoLQUFBQjhFMzZ4cVEaJwoBORIiCiAIBCocCgtBQUFCOEUzNnhxSRAIGgtBQUFCOEUzNnhxVRooCgIxMBIiCiAIBCocCgtBQUFCOEUzNnhxSRAIGgtBQUFCOEUzNnhxWRooCgIxMRIiCiAIBCocCgtBQUFCOEUzNnhxSRAIGgtBQUFCOEUzNnhxYxooCgIxMhIiCiAIBCocCgtBQUFCOEUzNnhxSRAIGgtBQUFCOEUzNnhxZyKjAgoLQUFBQl9OMnBZWG8S8wEKC0FBQUJfTjJwWVhvEgtBQUFCX04ycFlYbxonCgl0ZXh0L2h0bWwSGjEwLjEwMTYvai5zdGVtLjIwMjEuMDMuMDEzIigKCnRleHQvcGxhaW4SGjEwLjEwMTYvai5zdGVtLjIwMjEuMDMuMDEzKhsiFTExMjM2NzcyMzI2OTQ3MzUyMDg5MygAOAAw+puuxeozOOPH9MXqM0odCgp0ZXh0L3BsYWluEg9kaWZmZXJlbnRpYXRpb25aDDF6MXQ3ZXliOTQzenICIAB4AJoBBggAEAAYAKoBHBIaMTAuMTAxNi9qLnN0ZW0uMjAyMS4wMy4wMTMY+puuxeozIOPH9MXqM0IQa2l4LjNibmZkMmxqNHl4biKPCAoLQUFBQjhFMzZ4cUUS3QcKC0FBQUI4RTM2eHFFEgtBQUFCOEUzNnhxRRqFAwoJdGV4dC9odG1sEvcCPGEgaHJlZj0iaHR0cHM6Ly93d3cuZ29vZ2xlLmNvbS91cmw/cT1odHRwczovL3d3dy5iaW9yeGl2Lm9yZy9jb250ZW50LzEwLjExMDEvMjAyNS4xMS4xOC42ODgyNzZ2MS5mdWxsJTIzc2VjLTEmYW1wO3NhPUQmYW1wO3NvdXJjZT1kb2NzJmFtcDt1c3Q9MTc4MDk0OTA5NDg3NzYxNSZhbXA7dXNnPUFPdlZhdzNKUFJrMTZIdDE2LW5xRi1SazhveC0iIGRhdGEtcmF3aHJlZj0iaHR0cHM6Ly93d3cuYmlvcnhpdi5vcmcvY29udGVudC8xMC4xMTAxLzIwMjUuMTEuMTguNjg4Mjc2djEuZnVsbCNzZWMtMSIgdGFyZ2V0PSJfYmxhbmsiPmh0dHBzOi8vd3d3LmJpb3J4aXYub3JnL2NvbnRlbnQvMTAuMTEwMS8yMDI1LjExLjE4LjY4ODI3NnYxLmZ1bGwjc2VjLTE8L2E+IlQKCnRleHQvcGxhaW4SRmh0dHBzOi8vd3d3LmJpb3J4aXYub3JnL2NvbnRlbnQvMTAuMTEwMS8yMDI1LjExLjE4LjY4ODI3NnYxLmZ1bGwjc2VjLTEqGyIVMTEyMzY3NzIzMjY5NDczNTIwODkzKAA4ADCA+fHY5jM4gPnx2OYzShQKCnRleHQvcGxhaW4SBm1hbm5lcloMaGlodDFsOXYwc2VycgIgAHgAmgEGCAAQABgAqgH6AhL3AjxhIGhyZWY9Imh0dHBzOi8vd3d3Lmdvb2dsZS5jb20vdXJsP3E9aHR0cHM6Ly93d3cuYmlvcnhpdi5vcmcvY29udGVudC8xMC4xMTAxLzIwMjUuMTEuMTguNjg4Mjc2djEuZnVsbCUyM3NlYy0xJmFtcDtzYT1EJmFtcDtzb3VyY2U9ZG9jcyZhbXA7dXN0PTE3ODA5NDkwOTQ4Nzc2MTUmYW1wO3VzZz1BT3ZWYXczSlBSazE2SHQxNi1ucUYtUms4b3gtIiBkYXRhLXJhd2hyZWY9Imh0dHBzOi8vd3d3LmJpb3J4aXYub3JnL2NvbnRlbnQvMTAuMTEwMS8yMDI1LjExLjE4LjY4ODI3NnYxLmZ1bGwjc2VjLTEiIHRhcmdldD0iX2JsYW5rIj5odHRwczovL3d3dy5iaW9yeGl2Lm9yZy9jb250ZW50LzEwLjExMDEvMjAyNS4xMS4xOC42ODgyNzZ2MS5mdWxsI3NlYy0xPC9hPrABALgBAMgBABiA+fHY5jMggPnx2OYzMABCEGtpeC5kaXRzdm44NjhtOTQiyQ0KC0FBQUI4RTM2eHFJEpcNCgtBQUFCOEUzNnhxSRILQUFBQjhFMzZ4cUkaJAoJdGV4dC9odG1sEhdkb2k6MTAuMTI0Mi9kZXYuMDEwMjIzLiIlCgp0ZXh0L3BsYWluEhdkb2k6MTAuMTI0Mi9kZXYuMDEwMjIzLiobIhUxMTIzNjc3MjMyNjk0NzM1MjA4OTMoADgAMJaa9tjmMziK9vnY5jNC8gEKC0FBQUI4RTM2eHFNEgtBQUFCOEUzNnhxSRouCgl0ZXh0L2h0bWwSIWRvaToxMC4xMDE2L2ouZGV2Y2VsLjIwMDkuMDIuMDAzLiIvCgp0ZXh0L3BsYWluEiFkb2k6MTAuMTAxNi9qLmRldmNlbC4yMDA5LjAyLjAwMy4qGyIVMTEyMzY3NzIzMjY5NDczNTIwODkzKAA4ADDA6vbY5jM4wOr22OYzWgw5dmxldnVxZjVjOG9yAiAAeACaAQYIABAAGACqASMSIWRvaToxMC4xMDE2L2ouZGV2Y2VsLjIwMDkuMDIuMDAzLrABALgBAMgBAELoAQoLQUFBQjhFMzZ4cVESC0FBQUI4RTM2eHFJGisKCXRleHQvaHRtbBIeZG9pOjEwLjEwMTYvai5jdWIuMjAxMy4wNS4wMTQuIiwKCnRleHQvcGxhaW4SHmRvaToxMC4xMDE2L2ouY3ViLjIwMTMuMDUuMDE0LiobIhUxMTIzNjc3MjMyNjk0NzM1MjA4OTMoADgAMPbA99jmMzj2wPfY5jNaC3JlZnIxMWJkNWtvcgIgAHgAmgEGCAAQABgAqgEgEh5kb2k6MTAuMTAxNi9qLmN1Yi4yMDEzLjA1LjAxNC6wAQC4AQDIAQBC6QEKC0FBQUI4RTM2eHFVEgtBQUFCOEUzNnhxSRorCgl0ZXh0L2h0bWwSHmRvaToxMC4xMDE2L2ouY3ViLjIwMTMuMDUuMDQ0LiIsCgp0ZXh0L3BsYWluEh5kb2k6MTAuMTAxNi9qLmN1Yi4yMDEzLjA1LjA0NC4qGyIVMTEyMzY3NzIzMjY5NDczNTIwODkzKAA4ADCL/ffY5jM4i/332OYzWgx4MHI1MjF2dDNmZmdyAiAAeACaAQYIABAAGACqASASHmRvaToxMC4xMDE2L2ouY3ViLjIwMTMuMDUuMDQ0LrABALgBAMgBAELXAQoLQUFBQjhFMzZ4cVkSC0FBQUI4RTM2eHFJGiUKCXRleHQvaHRtbBIYZG9pOjEwLjc1NTQvZUxpZmUuMjI5MDYuIiYKCnRleHQvcGxhaW4SGGRvaToxMC43NTU0L2VMaWZlLjIyOTA2LiobIhUxMTIzNjc3MjMyNjk0NzM1MjA4OTMoADgAMILQ+NjmMziC0PjY5jNaDHcwNGF1bHc1N2hwY3ICIAB4AJoBBggAEAAYAKoBGhIYZG9pOjEwLjc1NTQvZUxpZmUuMjI5MDYusAEAuAEAyAEAQt8BCgtBQUFCOEUzNnhxYxILQUFBQjhFMzZ4cUkaKAoJdGV4dC9odG1sEhtkb2k6MTAuMTEwMS9nYWQuMjE5NjE4LjExMy4iKQoKdGV4dC9wbGFpbhIbZG9pOjEwLjExMDEvZ2FkLjIxOTYxOC4xMTMuKhsiFTExMjM2NzcyMzI2OTQ3MzUyMDg5MygAOAAw0pn52OYzONKZ+djmM1oLejM1enY3OXJvcWJyAiAAeACaAQYIABAAGACqAR0SG2RvaToxMC4xMTAxL2dhZC4yMTk2MTguMTEzLrABALgBAMgBAEKbAgoLQUFBQjhFMzZ4cWcSC0FBQUI4RTM2eHFJGj0KCXRleHQvaHRtbBIwdGhlc2UgYXJlIHJlZmVyZW5jZXMgMjEtMjYgZnJvbSBDaWNpJiMzOTtzIHBhcGVyIjoKCnRleHQvcGxhaW4SLHRoZXNlIGFyZSByZWZlcmVuY2VzIDIxLTI2IGZyb20gQ2ljaSdzIHBhcGVyKhsiFTExMjM2NzcyMzI2OTQ3MzUyMDg5MygAOAAwivb52OYzOIr2+djmM1oMZjM0enVuZnIyZXA4cgIgAHgAmgEGCAAQABgAqgEyEjB0aGVzZSBhcmUgcmVmZXJlbmNlcyAyMS0yNiBmcm9tIENpY2kmIzM5O3MgcGFwZXKwAQC4AQDIAQBKGwoKdGV4dC9wbGFpbhINc3BlY2lmaWNhdGlvbloMcjM0ODlwcDh2OXFtcgIgAHgAmgEGCAAQABgAqgEZEhdkb2k6MTAuMTI0Mi9kZXYuMDEwMjIzLrABALgBAMgBABiWmvbY5jMgivb52OYzMABCEGtpeC5jOHZub2dlOTBkNGYivwIKC0FBQUI4RTM2eHA4Eo0CCgtBQUFCOEUzNnhwOBILQUFBQjhFMzZ4cDgaLgoJdGV4dC9odG1sEiFkb2k6MTAuMTAxNi9qLmRldmNlbC4yMDIxLjEyLjAyMi4iLwoKdGV4dC9wbGFpbhIhZG9pOjEwLjEwMTYvai5kZXZjZWwuMjAyMS4xMi4wMjIuKhsiFTExMjM2NzcyMzI2OTQ3MzUyMDg5MygAOAAwn+ju2OYzOJ/o7tjmM0oZCgp0ZXh0L3BsYWluEgtjb250cmlidXRvcloMYzB0Mmt3aHd0d3FqcgIgAHgAmgEGCAAQABgAqgEjEiFkb2k6MTAuMTAxNi9qLmRldmNlbC4yMDIxLjEyLjAyMi6wAQC4AQDIAQAYn+ju2OYzIJ/o7tjmMzAAQhBraXguNGZncGw5bnQ3Nm1yIsACCgtBQUFCN0N5eVlMZxKOAgoLQUFBQjdDeXlZTGcSC0FBQUI3Q3l5WUxnGi4KCXRleHQvaHRtbBIhZG9pOjEwLjEwMTYvai5kZXZjZWwuMjAyMS4xMi4wMjIuIi8KCnRleHQvcGxhaW4SIWRvaToxMC4xMDE2L2ouZGV2Y2VsLjIwMjEuMTIuMDIyLiobIhUxMTIzNjc3MjMyNjk0NzM1MjA4OTMoADgAMKyrnrzmMzjB7tW85jNKGgoKdGV4dC9wbGFpbhIMYXJjaGl0ZWN0dXJlWgxkZ3lhYXl4anB6enZyAiAAeACaAQYIABAAGACqASMSIWRvaToxMC4xMDE2L2ouZGV2Y2VsLjIwMjEuMTIuMDIyLrABALgBAMgBABisq5685jMgwe7VvOYzMABCEGtpeC4yZDNqMTM5YmcweG8iuQIKC0FBQUI4RTM2eHFBEocCCgtBQUFCOEUzNnhxQRILQUFBQjhFMzZ4cUEaLgoJdGV4dC9odG1sEiFkb2k6MTAuMTAxNi9qLmRldmNlbC4yMDIxLjEyLjAyMi4iLwoKdGV4dC9wbGFpbhIhZG9pOjEwLjEwMTYvai5kZXZjZWwuMjAyMS4xMi4wMjIuKhsiFTExMjM2NzcyMzI2OTQ3MzUyMDg5MygAOAAwwdnv2OYzOMHZ79jmM0oTCgp0ZXh0L3BsYWluEgVibG9vZFoMMzRodThxcWwyY2dhcgIgAHgAmgEGCAAQABgAqgEjEiFkb2k6MTAuMTAxNi9qLmRldmNlbC4yMDIxLjEyLjAyMi6wAQC4AQDIAQAYwdnv2OYzIMHZ79jmMzAAQhBraXgubjQ1cDVwbjU3eWtsIr4CCgtBQUFCOEUzNnhwbxKMAgoLQUFBQjhFMzZ4cG8SC0FBQUI4RTM2eHBvGi4KCXRleHQvaHRtbBIhZG9pOjEwLjEwMTYvai5kZXZjZWwuMjAyMS4xMi4wMjIuIi8KCnRleHQvcGxhaW4SIWRvaToxMC4xMDE2L2ouZGV2Y2VsLjIwMjEuMTIuMDIyLiobIhUxMTIzNjc3MjMyNjk0NzM1MjA4OTMoADgAMK/A7NjmMzivwOzY5jNKGAoKdGV4dC9wbGFpbhIKbWF0dXJhdGlvbloMeG05N2Y4Z2NuZzBpcgIgAHgAmgEGCAAQABgAqgEjEiFkb2k6MTAuMTAxNi9qLmRldmNlbC4yMDIxLjEyLjAyMi6wAQC4AQDIAQAYr8Ds2OYzIK/A7NjmMzAAQhBraXguZ3pxbHF0ZWhjbDZpMg5oLnljcThqZ3RqdDRtaTIPaWQucTVvZGN3bGlqbmw2Mg9pZC41OXQ1a2diMmMxb3UyD2lkLnA3Z21zaHQ1d243OTIPaWQubTBvYjlpYTdqeW85Mg9pZC5kb2QyMmdvOW5tbmoyDmgudGFtMXlpZzR4bTV1Mg5oLndtemkzbm41d3lqczIPaWQuNTM3bmRwNXI5YzNtMg9pZC5ieDV0N2M2dTcwbzUyD2lkLjRrc2s2YXVldzJtZjIPaWQuaXFleXVsNTF6YnZrMg9pZC56ZGluNWpyZWFjdG8yD2lkLjZsb2xkem1yOXEydTIOaC40eHcxd215ZXVqdHk4AHIhMUZRQl9paHVmeU42M2lyMmhodU1rTVRCb21GdGVCUWI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24817</Words>
  <Characters>141458</Characters>
  <Application>Microsoft Office Word</Application>
  <DocSecurity>0</DocSecurity>
  <Lines>1178</Lines>
  <Paragraphs>331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2026-07-31T17:52:00Z</dcterms:created>
  <dcterms:modified xsi:type="dcterms:W3CDTF">2026-08-05T20:14:00Z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id="R0aTIDOI"/&gt;&lt;style id="http://www.zotero.org/styles/vancouver-ama" locale="en-US" hasBibliography="1" bibliographyStyleHasBeenSet="1"/&gt;&lt;prefs&gt;&lt;pref name="fieldType" value="Field"/&gt;&lt;/prefs&gt;&lt;/data&gt;</vt:lpwstr>
  </property>
  <property fmtid="{D5CDD505-2E9C-101B-9397-08002B2CF9AE}" pid="3" name="ZOTERO_PREF_2">
    <vt:lpwstr/>
  </property>
</Properties>
</file>