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CCF912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879E7">
        <w:rPr>
          <w:rFonts w:eastAsia="Times New Roman" w:cstheme="minorHAnsi"/>
          <w:b/>
        </w:rPr>
        <w:t>72822</w:t>
      </w:r>
    </w:p>
    <w:p w14:paraId="2F6924E5" w14:textId="531A4BC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879E7">
        <w:rPr>
          <w:rFonts w:eastAsia="Times New Roman" w:cstheme="minorHAnsi"/>
          <w:b/>
        </w:rPr>
        <w:t>Vipasha Sharma</w:t>
      </w:r>
    </w:p>
    <w:p w14:paraId="6FB9233B" w14:textId="6877F92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6879E7">
        <w:rPr>
          <w:rFonts w:eastAsia="Times New Roman" w:cstheme="minorHAnsi"/>
          <w:b/>
        </w:rPr>
        <w:t xml:space="preserve"> </w:t>
      </w:r>
      <w:hyperlink r:id="rId7" w:history="1">
        <w:r w:rsidR="006879E7" w:rsidRPr="00AE4B43">
          <w:rPr>
            <w:rStyle w:val="Hyperlink"/>
            <w:rFonts w:eastAsia="Times New Roman" w:cstheme="minorHAnsi"/>
            <w:b/>
          </w:rPr>
          <w:t>https://review.jove.com/account/file-uploader?src=22210758</w:t>
        </w:r>
      </w:hyperlink>
      <w:r w:rsidR="006879E7">
        <w:rPr>
          <w:rFonts w:eastAsia="Times New Roman" w:cstheme="minorHAnsi"/>
          <w:b/>
        </w:rPr>
        <w:t xml:space="preserve">  </w:t>
      </w:r>
      <w:r w:rsidR="00F60C1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5C1BD7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879E7" w:rsidRPr="006879E7">
        <w:rPr>
          <w:rFonts w:ascii="Calibri" w:eastAsia="Calibri" w:hAnsi="Calibri" w:cs="Calibri"/>
          <w:b/>
          <w:bCs/>
          <w:iCs w:val="0"/>
          <w:color w:val="auto"/>
          <w:sz w:val="32"/>
          <w:szCs w:val="32"/>
        </w:rPr>
        <w:t>Iron Deficiency Anemia in Pregnancy: Status and Contributing Factors Among Women in Northern Asir, Saudi Arabia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2DFB0972" w14:textId="12A62FC3" w:rsidR="00F44C23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F27EE69" w14:textId="77777777" w:rsidR="00F44C23" w:rsidRDefault="00F44C23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46E06C2" w14:textId="77777777" w:rsidR="00F44C23" w:rsidRPr="00CD4423" w:rsidRDefault="00F44C23" w:rsidP="00F44C23">
      <w:pPr>
        <w:rPr>
          <w:vertAlign w:val="superscript"/>
        </w:rPr>
      </w:pPr>
      <w:r w:rsidRPr="00CD4423">
        <w:t>Tareg M. Belali</w:t>
      </w:r>
      <w:r w:rsidRPr="00CD4423">
        <w:rPr>
          <w:vertAlign w:val="superscript"/>
        </w:rPr>
        <w:t>1</w:t>
      </w:r>
    </w:p>
    <w:p w14:paraId="7C060136" w14:textId="77777777" w:rsidR="00F44C23" w:rsidRPr="00CD4423" w:rsidRDefault="00F44C23" w:rsidP="00F44C23"/>
    <w:p w14:paraId="33CD999C" w14:textId="48AA0B6D" w:rsidR="00D6314B" w:rsidRDefault="00F44C23" w:rsidP="00F44C23">
      <w:pPr>
        <w:rPr>
          <w:rFonts w:eastAsia="Times New Roman" w:cstheme="minorHAnsi"/>
          <w:b/>
          <w:sz w:val="28"/>
          <w:szCs w:val="28"/>
        </w:rPr>
      </w:pPr>
      <w:r w:rsidRPr="00CD4423">
        <w:t>Faculty of Applied Medical Sciences, University of Bisha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6C4AFA91" w:rsidR="00D6314B" w:rsidRPr="00B07A3B" w:rsidRDefault="00F44C23" w:rsidP="004E0C5A">
      <w:pPr>
        <w:outlineLvl w:val="0"/>
        <w:rPr>
          <w:rFonts w:eastAsia="Times New Roman" w:cstheme="minorHAnsi"/>
        </w:rPr>
      </w:pPr>
      <w:r w:rsidRPr="00CD4423">
        <w:t>Tareg M. Belali</w:t>
      </w:r>
      <w:r w:rsidRPr="00CD4423">
        <w:tab/>
      </w:r>
      <w:r w:rsidRPr="00CD4423">
        <w:tab/>
      </w:r>
      <w:hyperlink r:id="rId8" w:history="1">
        <w:r w:rsidRPr="00AE4B43">
          <w:rPr>
            <w:rStyle w:val="Hyperlink"/>
          </w:rPr>
          <w:t>blaly@ub.edu.sa</w:t>
        </w:r>
      </w:hyperlink>
      <w:r>
        <w:t xml:space="preserve"> </w:t>
      </w:r>
      <w:r w:rsidRPr="00CD4423">
        <w:rPr>
          <w:vertAlign w:val="superscript"/>
        </w:rPr>
        <w:t xml:space="preserve">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60AF461A" w:rsidR="003B5E26" w:rsidRPr="00B07A3B" w:rsidRDefault="00F44C23" w:rsidP="009A0E7C">
      <w:pPr>
        <w:outlineLvl w:val="0"/>
        <w:rPr>
          <w:rFonts w:cstheme="minorHAnsi"/>
          <w:b/>
          <w:sz w:val="22"/>
          <w:szCs w:val="22"/>
        </w:rPr>
      </w:pPr>
      <w:hyperlink r:id="rId9" w:history="1">
        <w:r w:rsidRPr="00AE4B43">
          <w:rPr>
            <w:rStyle w:val="Hyperlink"/>
          </w:rPr>
          <w:t>blaly@ub.edu.sa</w:t>
        </w:r>
      </w:hyperlink>
      <w:r>
        <w:t xml:space="preserve"> </w:t>
      </w:r>
      <w:r w:rsidRPr="00CD4423">
        <w:rPr>
          <w:vertAlign w:val="superscript"/>
        </w:rPr>
        <w:t xml:space="preserve"> </w:t>
      </w:r>
      <w:r>
        <w:rPr>
          <w:vertAlign w:val="superscript"/>
        </w:rPr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21ECDE92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CC446D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1F371F8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D3B55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19BFCC91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8A4721" w:rsidRPr="006C2C39">
        <w:rPr>
          <w:rFonts w:ascii="Calibri" w:hAnsi="Calibri" w:cs="Calibri"/>
          <w:b/>
          <w:bCs/>
          <w:color w:val="222222"/>
        </w:rPr>
        <w:t>0</w:t>
      </w:r>
      <w:r w:rsidR="00674C1D" w:rsidRPr="006C2C39">
        <w:rPr>
          <w:rFonts w:ascii="Calibri" w:hAnsi="Calibri" w:cs="Calibri"/>
          <w:b/>
          <w:bCs/>
          <w:color w:val="222222"/>
        </w:rPr>
        <w:t>9</w:t>
      </w:r>
      <w:r w:rsidR="008A4721">
        <w:rPr>
          <w:rFonts w:ascii="Calibri" w:hAnsi="Calibri" w:cs="Calibri"/>
          <w:color w:val="222222"/>
        </w:rPr>
        <w:t>/</w:t>
      </w:r>
      <w:r w:rsidR="00674C1D">
        <w:rPr>
          <w:rFonts w:ascii="Calibri" w:hAnsi="Calibri" w:cs="Calibri"/>
          <w:b/>
          <w:bCs/>
          <w:color w:val="222222"/>
        </w:rPr>
        <w:t>01</w:t>
      </w:r>
      <w:r w:rsidR="008A4721">
        <w:rPr>
          <w:rFonts w:ascii="Calibri" w:hAnsi="Calibri" w:cs="Calibri"/>
          <w:b/>
          <w:bCs/>
          <w:color w:val="222222"/>
        </w:rPr>
        <w:t>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3C17916D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F45867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61D79">
        <w:rPr>
          <w:rFonts w:cstheme="minorHAnsi"/>
          <w:bCs/>
          <w:sz w:val="22"/>
          <w:szCs w:val="22"/>
        </w:rPr>
        <w:t>16</w:t>
      </w:r>
    </w:p>
    <w:p w14:paraId="5AAC9C6C" w14:textId="0684D24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761D79">
        <w:rPr>
          <w:rFonts w:cstheme="minorHAnsi"/>
          <w:bCs/>
          <w:sz w:val="22"/>
          <w:szCs w:val="22"/>
        </w:rPr>
        <w:t>27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E372B56" w14:textId="316644E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83739A">
        <w:rPr>
          <w:rFonts w:cstheme="minorHAnsi"/>
          <w:color w:val="auto"/>
          <w:highlight w:val="yellow"/>
          <w:shd w:val="clear" w:color="auto" w:fill="FFFFFF"/>
        </w:rPr>
        <w:t>The statements are edited for length and clarity</w:t>
      </w:r>
      <w:r w:rsidR="0083739A" w:rsidRPr="00CD1CFA">
        <w:rPr>
          <w:rFonts w:cstheme="minorHAnsi"/>
          <w:color w:val="auto"/>
          <w:highlight w:val="yellow"/>
          <w:shd w:val="clear" w:color="auto" w:fill="FFFFFF"/>
        </w:rPr>
        <w:t>.</w:t>
      </w:r>
      <w:r w:rsidR="0083739A" w:rsidRPr="00CD1CFA">
        <w:rPr>
          <w:highlight w:val="yellow"/>
        </w:rPr>
        <w:t xml:space="preserve"> 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3AD0F025" w14:textId="77777777" w:rsidR="0083739A" w:rsidRDefault="0083739A" w:rsidP="0083739A">
      <w:pPr>
        <w:jc w:val="both"/>
        <w:rPr>
          <w:rFonts w:cstheme="minorHAnsi"/>
          <w:b/>
          <w:bCs/>
          <w:color w:val="auto"/>
          <w:shd w:val="clear" w:color="auto" w:fill="FFFFFF"/>
        </w:rPr>
      </w:pPr>
      <w:r w:rsidRPr="0011514E">
        <w:rPr>
          <w:rFonts w:cstheme="minorHAnsi"/>
          <w:b/>
          <w:bCs/>
          <w:color w:val="auto"/>
          <w:highlight w:val="green"/>
          <w:shd w:val="clear" w:color="auto" w:fill="FFFFFF"/>
        </w:rPr>
        <w:t>NOTE to VO: Please record the introductory and conclusion interview statements.</w:t>
      </w:r>
    </w:p>
    <w:p w14:paraId="4911615C" w14:textId="77777777" w:rsidR="0083739A" w:rsidRPr="0005123A" w:rsidRDefault="0083739A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</w:p>
    <w:p w14:paraId="723D2E94" w14:textId="77777777" w:rsidR="009654AF" w:rsidRPr="00E06F70" w:rsidRDefault="009654AF" w:rsidP="009654AF">
      <w:pPr>
        <w:rPr>
          <w:rFonts w:ascii="Calibri" w:hAnsi="Calibri" w:cs="Calibri"/>
          <w:b/>
          <w:bCs/>
          <w:color w:val="auto"/>
          <w:shd w:val="clear" w:color="auto" w:fill="FFFFFF"/>
          <w:lang w:val="en-IN"/>
        </w:rPr>
      </w:pPr>
      <w:r w:rsidRPr="00E06F70">
        <w:rPr>
          <w:rFonts w:ascii="Calibri" w:hAnsi="Calibri" w:cs="Calibri"/>
          <w:b/>
          <w:bCs/>
          <w:color w:val="000000"/>
        </w:rPr>
        <w:t xml:space="preserve">REQUIRED: </w:t>
      </w:r>
      <w:r w:rsidRPr="00E06F70">
        <w:rPr>
          <w:rFonts w:ascii="Calibri" w:hAnsi="Calibri" w:cs="Calibri"/>
          <w:color w:val="000000"/>
        </w:rPr>
        <w:t>Summarize your research focus and the main questions it aims to answer.</w:t>
      </w:r>
    </w:p>
    <w:p w14:paraId="3030C819" w14:textId="2F666441" w:rsidR="009654AF" w:rsidRPr="00E06F70" w:rsidRDefault="006C2C39" w:rsidP="006C2C39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="Calibri" w:eastAsia="Times New Roman" w:hAnsi="Calibri" w:cs="Calibri"/>
        </w:rPr>
      </w:pPr>
      <w:r w:rsidRPr="00E06F70">
        <w:rPr>
          <w:rFonts w:ascii="Calibri" w:hAnsi="Calibri" w:cs="Calibri"/>
        </w:rPr>
        <w:t>This</w:t>
      </w:r>
      <w:r w:rsidRPr="00E06F70">
        <w:rPr>
          <w:rFonts w:ascii="Calibri" w:hAnsi="Calibri" w:cs="Calibri"/>
        </w:rPr>
        <w:t xml:space="preserve"> research investigates iron deficiency anemia prevalence, iron status, and associated sociodemographic, dietary, physiological, and biochemical factors among pregnant women.</w:t>
      </w:r>
    </w:p>
    <w:p w14:paraId="5A7922F3" w14:textId="0A38EBB8" w:rsidR="009654AF" w:rsidRDefault="001E3EB5" w:rsidP="001E3EB5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</w:rPr>
        <w:t xml:space="preserve">   </w:t>
      </w:r>
      <w:r w:rsidR="00EB3549">
        <w:rPr>
          <w:rFonts w:ascii="Calibri" w:eastAsia="Times New Roman" w:hAnsi="Calibri" w:cs="Calibri"/>
          <w:b/>
          <w:bCs/>
        </w:rPr>
        <w:t xml:space="preserve">  </w:t>
      </w:r>
      <w:r w:rsidR="00EB3549" w:rsidRPr="001E3EB5">
        <w:rPr>
          <w:rFonts w:cstheme="minorHAnsi"/>
          <w:bCs/>
          <w:i/>
          <w:color w:val="0000FF"/>
        </w:rPr>
        <w:t>2.3.3</w:t>
      </w:r>
      <w:r>
        <w:rPr>
          <w:rFonts w:cstheme="minorHAnsi"/>
          <w:bCs/>
          <w:i/>
          <w:color w:val="0000FF"/>
        </w:rPr>
        <w:t>.</w:t>
      </w:r>
    </w:p>
    <w:p w14:paraId="0C937CD1" w14:textId="77777777" w:rsidR="00EB3549" w:rsidRPr="00EB3549" w:rsidRDefault="00EB3549" w:rsidP="00EB3549">
      <w:pPr>
        <w:pStyle w:val="ListParagraph"/>
        <w:ind w:left="1627"/>
        <w:rPr>
          <w:rFonts w:ascii="Calibri" w:eastAsia="Times New Roman" w:hAnsi="Calibri" w:cs="Calibri"/>
        </w:rPr>
      </w:pPr>
    </w:p>
    <w:p w14:paraId="743EA322" w14:textId="77777777" w:rsidR="009654AF" w:rsidRPr="00E06F70" w:rsidRDefault="009654AF" w:rsidP="009654AF">
      <w:pPr>
        <w:rPr>
          <w:rFonts w:ascii="Calibri" w:eastAsia="Times New Roman" w:hAnsi="Calibri" w:cs="Calibri"/>
        </w:rPr>
      </w:pPr>
      <w:r w:rsidRPr="00E06F70">
        <w:rPr>
          <w:rFonts w:ascii="Calibri" w:hAnsi="Calibri" w:cs="Calibri"/>
        </w:rPr>
        <w:t>Describe the research gap or limitation in existing methods and how this protocol addresses them.</w:t>
      </w:r>
    </w:p>
    <w:p w14:paraId="22054DE8" w14:textId="71F8873F" w:rsidR="009654AF" w:rsidRPr="00EB3549" w:rsidRDefault="006C2C39" w:rsidP="006C2C39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ascii="Calibri" w:eastAsia="Times New Roman" w:hAnsi="Calibri" w:cs="Calibri"/>
        </w:rPr>
      </w:pPr>
      <w:r w:rsidRPr="00E06F70">
        <w:rPr>
          <w:rFonts w:ascii="Calibri" w:hAnsi="Calibri" w:cs="Calibri"/>
        </w:rPr>
        <w:t>Existing research lacks pregnancy-specific data; this protocol addresses the gap by integrating trimester-specific criteria, biomarkers, dietary factors, and sociodemographic characteristics</w:t>
      </w:r>
      <w:r w:rsidRPr="00E06F70">
        <w:rPr>
          <w:rFonts w:ascii="Calibri" w:hAnsi="Calibri" w:cs="Calibri"/>
        </w:rPr>
        <w:t>.</w:t>
      </w:r>
    </w:p>
    <w:p w14:paraId="5FEE1F41" w14:textId="2A9E9695" w:rsidR="00EB3549" w:rsidRPr="00E06F70" w:rsidRDefault="00D22E53" w:rsidP="001E3EB5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</w:t>
      </w:r>
      <w:r w:rsidR="001E3EB5">
        <w:rPr>
          <w:rFonts w:ascii="Calibri" w:eastAsia="Times New Roman" w:hAnsi="Calibri" w:cs="Calibri"/>
        </w:rPr>
        <w:t xml:space="preserve">   </w:t>
      </w:r>
      <w:r w:rsidRPr="001E3EB5">
        <w:rPr>
          <w:rFonts w:cstheme="minorHAnsi"/>
          <w:bCs/>
          <w:i/>
          <w:color w:val="0000FF"/>
        </w:rPr>
        <w:t>2.2.2.</w:t>
      </w:r>
      <w:r>
        <w:rPr>
          <w:rFonts w:ascii="Calibri" w:eastAsia="Times New Roman" w:hAnsi="Calibri" w:cs="Calibri"/>
        </w:rPr>
        <w:t xml:space="preserve"> </w:t>
      </w:r>
    </w:p>
    <w:p w14:paraId="06303ECF" w14:textId="77777777" w:rsidR="009654AF" w:rsidRPr="00E06F70" w:rsidRDefault="009654AF" w:rsidP="009654AF">
      <w:pPr>
        <w:rPr>
          <w:rFonts w:ascii="Calibri" w:eastAsia="Times New Roman" w:hAnsi="Calibri" w:cs="Calibri"/>
          <w:b/>
          <w:bCs/>
        </w:rPr>
      </w:pPr>
    </w:p>
    <w:p w14:paraId="03E631B7" w14:textId="77777777" w:rsidR="009654AF" w:rsidRPr="00E06F70" w:rsidRDefault="009654AF" w:rsidP="009654AF">
      <w:pPr>
        <w:spacing w:after="240"/>
        <w:rPr>
          <w:rFonts w:ascii="Calibri" w:eastAsia="Times New Roman" w:hAnsi="Calibri" w:cs="Calibri"/>
          <w:b/>
          <w:bCs/>
        </w:rPr>
      </w:pPr>
      <w:r w:rsidRPr="00E06F70">
        <w:rPr>
          <w:rFonts w:ascii="Calibri" w:eastAsia="Times New Roman" w:hAnsi="Calibri" w:cs="Calibri"/>
          <w:b/>
          <w:bCs/>
        </w:rPr>
        <w:t>CONCLUSION:</w:t>
      </w:r>
    </w:p>
    <w:p w14:paraId="3FE243E8" w14:textId="77777777" w:rsidR="009654AF" w:rsidRPr="00E06F70" w:rsidRDefault="009654AF" w:rsidP="009654AF">
      <w:pPr>
        <w:rPr>
          <w:rFonts w:ascii="Calibri" w:hAnsi="Calibri" w:cs="Calibri"/>
        </w:rPr>
      </w:pPr>
    </w:p>
    <w:p w14:paraId="66540321" w14:textId="77777777" w:rsidR="009654AF" w:rsidRPr="00E06F70" w:rsidRDefault="009654AF" w:rsidP="009654AF">
      <w:pPr>
        <w:rPr>
          <w:rFonts w:ascii="Calibri" w:hAnsi="Calibri" w:cs="Calibri"/>
        </w:rPr>
      </w:pPr>
      <w:r w:rsidRPr="00E06F70">
        <w:rPr>
          <w:rFonts w:ascii="Calibri" w:hAnsi="Calibri" w:cs="Calibri"/>
        </w:rPr>
        <w:t>Describe the most important consideration or challenge when performing this protocol.</w:t>
      </w:r>
    </w:p>
    <w:p w14:paraId="4008FFC0" w14:textId="1CE4A154" w:rsidR="009654AF" w:rsidRPr="00EB3549" w:rsidRDefault="00E06F70" w:rsidP="00E06F70">
      <w:pPr>
        <w:pStyle w:val="ListParagraph"/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r w:rsidRPr="00E06F70">
        <w:rPr>
          <w:rFonts w:ascii="Calibri" w:eastAsia="Times New Roman" w:hAnsi="Calibri" w:cs="Calibri"/>
          <w:color w:val="auto"/>
        </w:rPr>
        <w:t>The primary challenge is accurately assessing hemoglobin and iron status while accounting for pregnancy-related physiological changes and trimester-specific diagnostic thresholds.</w:t>
      </w:r>
    </w:p>
    <w:p w14:paraId="29492AFD" w14:textId="59CBBFE3" w:rsidR="00EB3549" w:rsidRPr="00EB3549" w:rsidRDefault="001E3EB5" w:rsidP="00EB3549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color w:val="auto"/>
        </w:rPr>
        <w:t xml:space="preserve">   </w:t>
      </w:r>
      <w:r w:rsidR="00EB3549" w:rsidRPr="00EB3549">
        <w:rPr>
          <w:rFonts w:ascii="Calibri" w:eastAsia="Times New Roman" w:hAnsi="Calibri" w:cs="Calibri"/>
          <w:color w:val="auto"/>
        </w:rPr>
        <w:t xml:space="preserve"> </w:t>
      </w:r>
      <w:r w:rsidR="00EB3549" w:rsidRPr="001E3EB5">
        <w:rPr>
          <w:rFonts w:cstheme="minorHAnsi"/>
          <w:bCs/>
          <w:i/>
          <w:color w:val="0000FF"/>
        </w:rPr>
        <w:t>2.3.1.</w:t>
      </w: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5BB0CD6" w:rsidR="009654AF" w:rsidRPr="00EB3549" w:rsidRDefault="00E06F70" w:rsidP="00E06F7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06F70">
        <w:rPr>
          <w:rFonts w:ascii="Calibri" w:eastAsia="Times New Roman" w:hAnsi="Calibri" w:cs="Calibri"/>
          <w:color w:val="auto"/>
        </w:rPr>
        <w:t xml:space="preserve">Future studies should investigate longitudinal iron status, dietary determinants, treatment responses, </w:t>
      </w:r>
      <w:r w:rsidR="00EB3549">
        <w:rPr>
          <w:rFonts w:ascii="Calibri" w:eastAsia="Times New Roman" w:hAnsi="Calibri" w:cs="Calibri"/>
          <w:color w:val="auto"/>
        </w:rPr>
        <w:t xml:space="preserve">and </w:t>
      </w:r>
      <w:r w:rsidRPr="00E06F70">
        <w:rPr>
          <w:rFonts w:ascii="Calibri" w:eastAsia="Times New Roman" w:hAnsi="Calibri" w:cs="Calibri"/>
          <w:color w:val="auto"/>
        </w:rPr>
        <w:t>maternal and neonatal outcomes to better understand causality and prevention.</w:t>
      </w:r>
    </w:p>
    <w:p w14:paraId="72E97E0F" w14:textId="68D9CEA3" w:rsidR="00EB3549" w:rsidRPr="00EB3549" w:rsidRDefault="001E3EB5" w:rsidP="00EB354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 xml:space="preserve">     </w:t>
      </w:r>
      <w:r w:rsidRPr="001E3EB5">
        <w:rPr>
          <w:rFonts w:cstheme="minorHAnsi"/>
          <w:bCs/>
          <w:i/>
          <w:color w:val="0000FF"/>
        </w:rPr>
        <w:t xml:space="preserve">2.3.2. and </w:t>
      </w:r>
      <w:r w:rsidR="00EB3549" w:rsidRPr="001E3EB5">
        <w:rPr>
          <w:rFonts w:cstheme="minorHAnsi"/>
          <w:bCs/>
          <w:i/>
          <w:color w:val="0000FF"/>
        </w:rPr>
        <w:t>2.3.3.</w:t>
      </w:r>
    </w:p>
    <w:p w14:paraId="1FBA7B7B" w14:textId="77777777" w:rsidR="00EB3549" w:rsidRPr="00D75084" w:rsidRDefault="00EB3549" w:rsidP="00EB354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E808065" w14:textId="77777777" w:rsidR="00E06F70" w:rsidRDefault="00E06F70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0E673602" w:rsidR="001016BD" w:rsidRPr="00000E22" w:rsidRDefault="001E0433" w:rsidP="00FE787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FE7875" w:rsidRPr="00211C7B">
        <w:rPr>
          <w:rFonts w:eastAsia="Times New Roman"/>
        </w:rPr>
        <w:t>the Ethical Committee of Bisha University</w:t>
      </w:r>
      <w:r w:rsidR="00FE7875">
        <w:rPr>
          <w:rFonts w:eastAsia="Times New Roman"/>
        </w:rPr>
        <w:t>.</w:t>
      </w:r>
      <w:r w:rsidR="001016BD" w:rsidRPr="00000E22">
        <w:rPr>
          <w:rFonts w:cstheme="minorHAnsi"/>
        </w:rPr>
        <w:br w:type="page"/>
      </w:r>
    </w:p>
    <w:p w14:paraId="42AA7A9C" w14:textId="516FF9BD" w:rsidR="001E0433" w:rsidRPr="00E06F70" w:rsidRDefault="00DC2504" w:rsidP="00E06F70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637E1B69" w:rsidR="00CE10F2" w:rsidRDefault="00E15026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15026">
        <w:rPr>
          <w:rFonts w:cstheme="minorHAnsi"/>
          <w:b/>
          <w:bCs/>
        </w:rPr>
        <w:t>Participant Assessment and Biochemical Analysis</w:t>
      </w:r>
    </w:p>
    <w:p w14:paraId="753B71A2" w14:textId="1414E0C8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F0ED9">
        <w:rPr>
          <w:rFonts w:cstheme="minorHAnsi"/>
          <w:iCs w:val="0"/>
          <w:color w:val="auto"/>
        </w:rPr>
        <w:t>Hana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4C6B477" w14:textId="33E6839D" w:rsidR="00125924" w:rsidRPr="00970AB3" w:rsidRDefault="006144B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70AB3">
        <w:rPr>
          <w:rFonts w:cstheme="minorHAnsi"/>
          <w:color w:val="7030A0"/>
        </w:rPr>
        <w:t xml:space="preserve">To begin, arrange the questionnaire and required study materials on the workbench </w:t>
      </w:r>
      <w:r w:rsidRPr="00970AB3">
        <w:rPr>
          <w:rFonts w:cstheme="minorHAnsi"/>
          <w:b/>
          <w:bCs/>
          <w:color w:val="7030A0"/>
        </w:rPr>
        <w:t>[1].</w:t>
      </w:r>
      <w:r w:rsidRPr="00970AB3">
        <w:rPr>
          <w:rFonts w:cstheme="minorHAnsi"/>
          <w:color w:val="7030A0"/>
        </w:rPr>
        <w:t xml:space="preserve"> Record sociodemographic information, including age, education, occupation, residence, nationality, and family history of anemia </w:t>
      </w:r>
      <w:r w:rsidRPr="00970AB3">
        <w:rPr>
          <w:rFonts w:cstheme="minorHAnsi"/>
          <w:b/>
          <w:bCs/>
          <w:color w:val="7030A0"/>
        </w:rPr>
        <w:t>[2]</w:t>
      </w:r>
      <w:r w:rsidRPr="00970AB3">
        <w:rPr>
          <w:rFonts w:cstheme="minorHAnsi"/>
          <w:color w:val="7030A0"/>
        </w:rPr>
        <w:t>.</w:t>
      </w:r>
    </w:p>
    <w:p w14:paraId="5D166CFB" w14:textId="77777777" w:rsidR="006144BC" w:rsidRDefault="006144BC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61D79">
        <w:rPr>
          <w:rFonts w:cstheme="minorHAnsi"/>
        </w:rPr>
        <w:t>WIDE:</w:t>
      </w:r>
      <w:r w:rsidRPr="006144BC">
        <w:rPr>
          <w:rFonts w:cstheme="minorHAnsi"/>
        </w:rPr>
        <w:t xml:space="preserve"> Talent arranging the questionnaire and required study materials on the workbench</w:t>
      </w:r>
    </w:p>
    <w:p w14:paraId="49F50AAC" w14:textId="484E6101" w:rsidR="006144BC" w:rsidRDefault="006144BC" w:rsidP="006144BC">
      <w:pPr>
        <w:pStyle w:val="ShotDescription"/>
        <w:numPr>
          <w:ilvl w:val="2"/>
          <w:numId w:val="3"/>
        </w:numPr>
      </w:pPr>
      <w:r w:rsidRPr="006B36C7">
        <w:t xml:space="preserve">Talent </w:t>
      </w:r>
      <w:r>
        <w:t xml:space="preserve">recording </w:t>
      </w:r>
      <w:r w:rsidRPr="006B36C7">
        <w:t>the sociodemographic data in the first section of the questionnaire</w:t>
      </w:r>
    </w:p>
    <w:p w14:paraId="41F7EB09" w14:textId="77777777" w:rsidR="004E282E" w:rsidRPr="006B36C7" w:rsidRDefault="004E282E" w:rsidP="004E282E">
      <w:pPr>
        <w:pStyle w:val="ShotDescription"/>
        <w:ind w:firstLine="0"/>
      </w:pPr>
    </w:p>
    <w:p w14:paraId="54B0D4E5" w14:textId="20285E82" w:rsidR="00CE10F2" w:rsidRPr="00970AB3" w:rsidRDefault="006144BC" w:rsidP="00970AB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970AB3">
        <w:rPr>
          <w:rFonts w:cstheme="minorHAnsi"/>
          <w:color w:val="7030A0"/>
        </w:rPr>
        <w:t xml:space="preserve">Next, document dietary habits, including the consumption of iron-rich and vitamin C-rich foods, tea and coffee intake, dietary regimen, and fast-food consumption </w:t>
      </w:r>
      <w:r w:rsidRPr="00970AB3">
        <w:rPr>
          <w:rFonts w:cstheme="minorHAnsi"/>
          <w:b/>
          <w:bCs/>
          <w:color w:val="7030A0"/>
        </w:rPr>
        <w:t>[1]</w:t>
      </w:r>
      <w:r w:rsidR="00970AB3" w:rsidRPr="00970AB3">
        <w:rPr>
          <w:rFonts w:cstheme="minorHAnsi"/>
          <w:b/>
          <w:bCs/>
          <w:color w:val="7030A0"/>
        </w:rPr>
        <w:t xml:space="preserve">. </w:t>
      </w:r>
      <w:r w:rsidR="007319A8">
        <w:rPr>
          <w:rFonts w:cstheme="minorHAnsi"/>
          <w:color w:val="7030A0"/>
        </w:rPr>
        <w:t>Then</w:t>
      </w:r>
      <w:r w:rsidR="00970AB3" w:rsidRPr="00970AB3">
        <w:rPr>
          <w:rFonts w:cstheme="minorHAnsi"/>
          <w:color w:val="7030A0"/>
        </w:rPr>
        <w:t xml:space="preserve">, document the participant's clinical history and symptoms, including gestational age, parity, history of blood transfusion, fatigue, dizziness, fever, and other anemia-related symptoms </w:t>
      </w:r>
      <w:r w:rsidR="00970AB3" w:rsidRPr="007319A8">
        <w:rPr>
          <w:rFonts w:cstheme="minorHAnsi"/>
          <w:b/>
          <w:bCs/>
          <w:color w:val="7030A0"/>
        </w:rPr>
        <w:t>[2].</w:t>
      </w:r>
    </w:p>
    <w:p w14:paraId="18324C43" w14:textId="1F1292E9" w:rsidR="00BC60DB" w:rsidRPr="00BC60DB" w:rsidRDefault="00970AB3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70AB3">
        <w:rPr>
          <w:rFonts w:cstheme="minorHAnsi"/>
        </w:rPr>
        <w:t xml:space="preserve">Talent </w:t>
      </w:r>
      <w:r>
        <w:rPr>
          <w:rFonts w:cstheme="minorHAnsi"/>
        </w:rPr>
        <w:t>documenting</w:t>
      </w:r>
      <w:r w:rsidRPr="00970AB3">
        <w:rPr>
          <w:rFonts w:cstheme="minorHAnsi"/>
        </w:rPr>
        <w:t xml:space="preserve"> the dietary habits section of the questionnaire</w:t>
      </w:r>
      <w:r>
        <w:rPr>
          <w:rFonts w:cstheme="minorHAnsi"/>
        </w:rPr>
        <w:t xml:space="preserve"> </w:t>
      </w:r>
    </w:p>
    <w:p w14:paraId="12AF328B" w14:textId="6B220538" w:rsidR="00970AB3" w:rsidRDefault="00970AB3" w:rsidP="00970AB3">
      <w:pPr>
        <w:pStyle w:val="ShotDescription"/>
        <w:numPr>
          <w:ilvl w:val="2"/>
          <w:numId w:val="3"/>
        </w:numPr>
      </w:pPr>
      <w:r w:rsidRPr="006B36C7">
        <w:t xml:space="preserve">Talent </w:t>
      </w:r>
      <w:r w:rsidR="00D61A88">
        <w:t>documenting</w:t>
      </w:r>
      <w:r w:rsidRPr="006B36C7">
        <w:t xml:space="preserve"> the clinical history and symptom data in the third section of the questionnaire</w:t>
      </w:r>
    </w:p>
    <w:p w14:paraId="098DEE69" w14:textId="77777777" w:rsidR="00E15026" w:rsidRDefault="00E15026" w:rsidP="00E15026">
      <w:pPr>
        <w:pStyle w:val="ShotDescription"/>
        <w:ind w:firstLine="0"/>
      </w:pPr>
    </w:p>
    <w:p w14:paraId="29050FA7" w14:textId="044C9AF9" w:rsidR="00970AB3" w:rsidRPr="006B36C7" w:rsidRDefault="00970AB3" w:rsidP="00970AB3">
      <w:pPr>
        <w:pStyle w:val="Narration"/>
        <w:numPr>
          <w:ilvl w:val="1"/>
          <w:numId w:val="3"/>
        </w:numPr>
      </w:pPr>
      <w:r w:rsidRPr="006B36C7">
        <w:t xml:space="preserve">For each participant, obtain a 5-milliliter venous blood sample after an overnight fast </w:t>
      </w:r>
      <w:r w:rsidRPr="006B36C7">
        <w:rPr>
          <w:b/>
          <w:bCs/>
        </w:rPr>
        <w:t>[1]</w:t>
      </w:r>
      <w:r w:rsidRPr="006B36C7">
        <w:t>.</w:t>
      </w:r>
      <w:r>
        <w:t xml:space="preserve"> </w:t>
      </w:r>
      <w:r w:rsidRPr="006B36C7">
        <w:t xml:space="preserve">Centrifuge the blood sample at 2000 </w:t>
      </w:r>
      <w:r w:rsidRPr="00970AB3">
        <w:rPr>
          <w:i/>
          <w:iCs/>
        </w:rPr>
        <w:t>g</w:t>
      </w:r>
      <w:r w:rsidRPr="006B36C7">
        <w:t xml:space="preserve"> for 15 minutes to separate the serum </w:t>
      </w:r>
      <w:r w:rsidRPr="006B36C7">
        <w:rPr>
          <w:b/>
          <w:bCs/>
        </w:rPr>
        <w:t>[</w:t>
      </w:r>
      <w:r w:rsidR="00D61A88">
        <w:rPr>
          <w:b/>
          <w:bCs/>
        </w:rPr>
        <w:t>2</w:t>
      </w:r>
      <w:r w:rsidRPr="006B36C7">
        <w:rPr>
          <w:b/>
          <w:bCs/>
        </w:rPr>
        <w:t>]</w:t>
      </w:r>
      <w:r w:rsidRPr="006B36C7">
        <w:t xml:space="preserve">. </w:t>
      </w:r>
      <w:r w:rsidR="007319A8">
        <w:t xml:space="preserve">Analyze the blood and the separated serum immediately </w:t>
      </w:r>
      <w:r w:rsidR="00160745" w:rsidRPr="00160745">
        <w:rPr>
          <w:iCs/>
          <w:lang w:val="en-US"/>
        </w:rPr>
        <w:t>for hemoglobin and iron-status assessment</w:t>
      </w:r>
      <w:r w:rsidR="007319A8">
        <w:t xml:space="preserve"> </w:t>
      </w:r>
      <w:r w:rsidRPr="006B36C7">
        <w:rPr>
          <w:b/>
          <w:bCs/>
        </w:rPr>
        <w:t>[</w:t>
      </w:r>
      <w:r w:rsidR="00D61A88">
        <w:rPr>
          <w:b/>
          <w:bCs/>
        </w:rPr>
        <w:t>3</w:t>
      </w:r>
      <w:r w:rsidRPr="006B36C7">
        <w:rPr>
          <w:b/>
          <w:bCs/>
        </w:rPr>
        <w:t>]</w:t>
      </w:r>
      <w:r w:rsidRPr="006B36C7">
        <w:t>.</w:t>
      </w:r>
    </w:p>
    <w:p w14:paraId="0A213F43" w14:textId="42EBE3AC" w:rsidR="00970AB3" w:rsidRDefault="00970AB3" w:rsidP="00970AB3">
      <w:pPr>
        <w:pStyle w:val="ShotDescription"/>
        <w:numPr>
          <w:ilvl w:val="2"/>
          <w:numId w:val="3"/>
        </w:numPr>
      </w:pPr>
      <w:r w:rsidRPr="006B36C7">
        <w:t>Talent obtaining a 5-milliliter venous blood sample from a participant after an overnight fast</w:t>
      </w:r>
    </w:p>
    <w:p w14:paraId="1ED46CA9" w14:textId="30765BA9" w:rsidR="00970AB3" w:rsidRDefault="00970AB3" w:rsidP="00970AB3">
      <w:pPr>
        <w:pStyle w:val="ShotDescription"/>
        <w:numPr>
          <w:ilvl w:val="2"/>
          <w:numId w:val="3"/>
        </w:numPr>
      </w:pPr>
      <w:r w:rsidRPr="006B36C7">
        <w:t>Talent placing the blood sample in the centrifuge</w:t>
      </w:r>
      <w:r w:rsidR="007319A8">
        <w:t xml:space="preserve"> and closing the lid</w:t>
      </w:r>
    </w:p>
    <w:p w14:paraId="5659548D" w14:textId="76AC59EA" w:rsidR="00970AB3" w:rsidRDefault="00970AB3" w:rsidP="00970AB3">
      <w:pPr>
        <w:pStyle w:val="ShotDescription"/>
        <w:numPr>
          <w:ilvl w:val="2"/>
          <w:numId w:val="3"/>
        </w:numPr>
      </w:pPr>
      <w:r w:rsidRPr="006B36C7">
        <w:t xml:space="preserve">Talent </w:t>
      </w:r>
      <w:r>
        <w:t>placing the sample in the automated analyzer</w:t>
      </w:r>
    </w:p>
    <w:p w14:paraId="0A2CBC2B" w14:textId="40B48956" w:rsidR="0056574D" w:rsidRDefault="0056574D" w:rsidP="0056574D">
      <w:pPr>
        <w:pStyle w:val="NormalWeb"/>
        <w:ind w:left="851"/>
        <w:jc w:val="both"/>
      </w:pPr>
      <w:r w:rsidRPr="0056574D">
        <w:rPr>
          <w:rStyle w:val="Strong"/>
          <w:highlight w:val="yellow"/>
        </w:rPr>
        <w:t xml:space="preserve">Authors: </w:t>
      </w:r>
      <w:r w:rsidRPr="0056574D">
        <w:rPr>
          <w:rStyle w:val="Strong"/>
          <w:b w:val="0"/>
          <w:bCs w:val="0"/>
          <w:highlight w:val="yellow"/>
        </w:rPr>
        <w:t>As per your input that the biochemical analysis cannot be filmed, I have retained only a representative shot of the sample being placed in the automated analyzer.</w:t>
      </w:r>
      <w:r w:rsidRPr="0056574D">
        <w:rPr>
          <w:rStyle w:val="Strong"/>
          <w:b w:val="0"/>
          <w:bCs w:val="0"/>
        </w:rPr>
        <w:t xml:space="preserve"> </w:t>
      </w:r>
    </w:p>
    <w:p w14:paraId="52FF42F4" w14:textId="0576322B" w:rsidR="003B1739" w:rsidRDefault="00E32DB4" w:rsidP="003B173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E32DB4">
        <w:rPr>
          <w:rFonts w:cstheme="minorHAnsi"/>
          <w:b/>
          <w:bCs/>
        </w:rPr>
        <w:lastRenderedPageBreak/>
        <w:t>Statistical Analysis</w:t>
      </w:r>
    </w:p>
    <w:p w14:paraId="19ADC0C6" w14:textId="14B6CD45" w:rsidR="00D47829" w:rsidRPr="00262639" w:rsidRDefault="00D47829" w:rsidP="00D47829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47829">
        <w:rPr>
          <w:rFonts w:ascii="Calibri" w:hAnsi="Calibri" w:cs="Calibri"/>
          <w:iCs w:val="0"/>
          <w:color w:val="7030A0"/>
          <w:lang w:val="en-GB"/>
        </w:rPr>
        <w:t xml:space="preserve">Code the collected data and analyze them using statistical analysis software </w:t>
      </w:r>
      <w:r w:rsidRPr="00E15026">
        <w:rPr>
          <w:rFonts w:ascii="Calibri" w:hAnsi="Calibri" w:cs="Calibri"/>
          <w:b/>
          <w:bCs/>
          <w:iCs w:val="0"/>
          <w:color w:val="7030A0"/>
          <w:lang w:val="en-GB"/>
        </w:rPr>
        <w:t>[1]</w:t>
      </w:r>
      <w:r w:rsidR="00E15026">
        <w:rPr>
          <w:rFonts w:ascii="Calibri" w:hAnsi="Calibri" w:cs="Calibri"/>
          <w:b/>
          <w:bCs/>
          <w:iCs w:val="0"/>
          <w:color w:val="7030A0"/>
          <w:lang w:val="en-GB"/>
        </w:rPr>
        <w:t>.</w:t>
      </w:r>
      <w:r w:rsidRPr="00D47829">
        <w:rPr>
          <w:rFonts w:cstheme="minorHAnsi"/>
          <w:color w:val="7030A0"/>
        </w:rPr>
        <w:t xml:space="preserve"> </w:t>
      </w:r>
      <w:r w:rsidRPr="00D47829">
        <w:rPr>
          <w:rFonts w:ascii="Calibri" w:hAnsi="Calibri" w:cs="Calibri"/>
          <w:iCs w:val="0"/>
          <w:color w:val="7030A0"/>
          <w:lang w:val="en-GB"/>
        </w:rPr>
        <w:t xml:space="preserve">Summarize the sociodemographic, dietary, clinical, and biochemical variables using means </w:t>
      </w:r>
      <w:r w:rsidRPr="00D47829">
        <w:rPr>
          <w:rFonts w:ascii="Calibri" w:hAnsi="Calibri" w:cs="Calibri"/>
          <w:b/>
          <w:bCs/>
          <w:iCs w:val="0"/>
          <w:color w:val="7030A0"/>
          <w:lang w:val="en-GB"/>
        </w:rPr>
        <w:t>[</w:t>
      </w:r>
      <w:r>
        <w:rPr>
          <w:rFonts w:ascii="Calibri" w:hAnsi="Calibri" w:cs="Calibri"/>
          <w:b/>
          <w:bCs/>
          <w:iCs w:val="0"/>
          <w:color w:val="7030A0"/>
          <w:lang w:val="en-GB"/>
        </w:rPr>
        <w:t>2</w:t>
      </w:r>
      <w:r w:rsidRPr="00D47829">
        <w:rPr>
          <w:rFonts w:ascii="Calibri" w:hAnsi="Calibri" w:cs="Calibri"/>
          <w:b/>
          <w:bCs/>
          <w:iCs w:val="0"/>
          <w:color w:val="7030A0"/>
          <w:lang w:val="en-GB"/>
        </w:rPr>
        <w:t>]</w:t>
      </w:r>
      <w:r w:rsidRPr="00D47829">
        <w:rPr>
          <w:rFonts w:ascii="Calibri" w:hAnsi="Calibri" w:cs="Calibri"/>
          <w:iCs w:val="0"/>
          <w:color w:val="7030A0"/>
          <w:lang w:val="en-GB"/>
        </w:rPr>
        <w:t xml:space="preserve">, standard deviations </w:t>
      </w:r>
      <w:r w:rsidRPr="00D47829">
        <w:rPr>
          <w:rFonts w:ascii="Calibri" w:hAnsi="Calibri" w:cs="Calibri"/>
          <w:b/>
          <w:bCs/>
          <w:iCs w:val="0"/>
          <w:color w:val="7030A0"/>
          <w:lang w:val="en-GB"/>
        </w:rPr>
        <w:t>[</w:t>
      </w:r>
      <w:r>
        <w:rPr>
          <w:rFonts w:ascii="Calibri" w:hAnsi="Calibri" w:cs="Calibri"/>
          <w:b/>
          <w:bCs/>
          <w:iCs w:val="0"/>
          <w:color w:val="7030A0"/>
          <w:lang w:val="en-GB"/>
        </w:rPr>
        <w:t>3</w:t>
      </w:r>
      <w:r w:rsidRPr="00D47829">
        <w:rPr>
          <w:rFonts w:ascii="Calibri" w:hAnsi="Calibri" w:cs="Calibri"/>
          <w:b/>
          <w:bCs/>
          <w:iCs w:val="0"/>
          <w:color w:val="7030A0"/>
          <w:lang w:val="en-GB"/>
        </w:rPr>
        <w:t>]</w:t>
      </w:r>
      <w:r w:rsidRPr="00D47829">
        <w:rPr>
          <w:rFonts w:ascii="Calibri" w:hAnsi="Calibri" w:cs="Calibri"/>
          <w:iCs w:val="0"/>
          <w:color w:val="7030A0"/>
          <w:lang w:val="en-GB"/>
        </w:rPr>
        <w:t xml:space="preserve">, and percentages </w:t>
      </w:r>
      <w:r w:rsidRPr="00D47829">
        <w:rPr>
          <w:rFonts w:ascii="Calibri" w:hAnsi="Calibri" w:cs="Calibri"/>
          <w:b/>
          <w:bCs/>
          <w:iCs w:val="0"/>
          <w:color w:val="7030A0"/>
          <w:lang w:val="en-GB"/>
        </w:rPr>
        <w:t>[</w:t>
      </w:r>
      <w:r>
        <w:rPr>
          <w:rFonts w:ascii="Calibri" w:hAnsi="Calibri" w:cs="Calibri"/>
          <w:b/>
          <w:bCs/>
          <w:iCs w:val="0"/>
          <w:color w:val="7030A0"/>
          <w:lang w:val="en-GB"/>
        </w:rPr>
        <w:t>4</w:t>
      </w:r>
      <w:r w:rsidRPr="00D47829">
        <w:rPr>
          <w:rFonts w:ascii="Calibri" w:hAnsi="Calibri" w:cs="Calibri"/>
          <w:b/>
          <w:bCs/>
          <w:iCs w:val="0"/>
          <w:color w:val="7030A0"/>
          <w:lang w:val="en-GB"/>
        </w:rPr>
        <w:t>].</w:t>
      </w:r>
    </w:p>
    <w:p w14:paraId="24F7537A" w14:textId="59A324A5" w:rsidR="00D47829" w:rsidRDefault="00D47829" w:rsidP="00D47829">
      <w:pPr>
        <w:pStyle w:val="ShotDescription"/>
        <w:numPr>
          <w:ilvl w:val="2"/>
          <w:numId w:val="3"/>
        </w:numPr>
      </w:pPr>
      <w:r w:rsidRPr="00E32DB4">
        <w:rPr>
          <w:highlight w:val="yellow"/>
        </w:rPr>
        <w:t>SCREEN:</w:t>
      </w:r>
      <w:r w:rsidRPr="006B36C7">
        <w:t xml:space="preserve"> The data being coded and analyzed using the statistical analysis software</w:t>
      </w:r>
    </w:p>
    <w:p w14:paraId="3F4A42A4" w14:textId="4EBEE4B9" w:rsidR="00D47829" w:rsidRDefault="00D47829" w:rsidP="00D47829">
      <w:pPr>
        <w:pStyle w:val="ShotDescription"/>
        <w:numPr>
          <w:ilvl w:val="2"/>
          <w:numId w:val="3"/>
        </w:numPr>
      </w:pPr>
      <w:r w:rsidRPr="00E32DB4">
        <w:rPr>
          <w:highlight w:val="yellow"/>
        </w:rPr>
        <w:t>SCREEN:</w:t>
      </w:r>
      <w:r w:rsidRPr="006B36C7">
        <w:t xml:space="preserve"> The mean</w:t>
      </w:r>
      <w:r>
        <w:t xml:space="preserve">s </w:t>
      </w:r>
      <w:r w:rsidRPr="006B36C7">
        <w:t>being calculated to summarize the sociodemographic, dietary, clinical, and biochemical variables</w:t>
      </w:r>
    </w:p>
    <w:p w14:paraId="367BC98B" w14:textId="58DD629C" w:rsidR="00D47829" w:rsidRPr="006B36C7" w:rsidRDefault="00D47829" w:rsidP="00D47829">
      <w:pPr>
        <w:pStyle w:val="ShotDescription"/>
        <w:numPr>
          <w:ilvl w:val="2"/>
          <w:numId w:val="3"/>
        </w:numPr>
      </w:pPr>
      <w:r w:rsidRPr="00E32DB4">
        <w:rPr>
          <w:highlight w:val="yellow"/>
        </w:rPr>
        <w:t>SCREEN:</w:t>
      </w:r>
      <w:r w:rsidRPr="006B36C7">
        <w:t xml:space="preserve"> The standard deviations</w:t>
      </w:r>
      <w:r>
        <w:t xml:space="preserve"> </w:t>
      </w:r>
      <w:r w:rsidRPr="006B36C7">
        <w:t>being calculated to summarize the sociodemographic, dietary, clinical, and biochemical variables</w:t>
      </w:r>
    </w:p>
    <w:p w14:paraId="45EFBD73" w14:textId="401CEA51" w:rsidR="00D47829" w:rsidRPr="006B36C7" w:rsidRDefault="00D47829" w:rsidP="00D47829">
      <w:pPr>
        <w:pStyle w:val="ShotDescription"/>
        <w:numPr>
          <w:ilvl w:val="2"/>
          <w:numId w:val="3"/>
        </w:numPr>
      </w:pPr>
      <w:r w:rsidRPr="00E32DB4">
        <w:rPr>
          <w:highlight w:val="yellow"/>
        </w:rPr>
        <w:t>SCREEN:</w:t>
      </w:r>
      <w:r w:rsidRPr="006B36C7">
        <w:t xml:space="preserve"> The percentages being calculated to summarize the sociodemographic, dietary, clinical, and biochemical variables</w:t>
      </w:r>
    </w:p>
    <w:p w14:paraId="6B31D59A" w14:textId="77777777" w:rsidR="00F528F2" w:rsidRPr="00A21249" w:rsidRDefault="00F528F2" w:rsidP="00F528F2">
      <w:pPr>
        <w:pStyle w:val="Narration"/>
        <w:numPr>
          <w:ilvl w:val="0"/>
          <w:numId w:val="0"/>
        </w:numPr>
        <w:ind w:left="360"/>
        <w:rPr>
          <w:color w:val="auto"/>
        </w:rPr>
      </w:pPr>
    </w:p>
    <w:p w14:paraId="71DC6509" w14:textId="77777777" w:rsidR="00F528F2" w:rsidRPr="00F528F2" w:rsidRDefault="00F528F2" w:rsidP="00F528F2">
      <w:pPr>
        <w:pStyle w:val="ListParagraph"/>
        <w:ind w:left="993"/>
        <w:outlineLvl w:val="0"/>
        <w:rPr>
          <w:rFonts w:eastAsia="Times New Roman" w:cstheme="minorHAnsi"/>
          <w:b/>
        </w:rPr>
      </w:pPr>
      <w:r w:rsidRPr="00F528F2">
        <w:rPr>
          <w:rStyle w:val="Strong"/>
          <w:rFonts w:ascii="Calibri" w:hAnsi="Calibri" w:cs="Calibri"/>
          <w:highlight w:val="yellow"/>
        </w:rPr>
        <w:t xml:space="preserve">Authors: </w:t>
      </w:r>
      <w:r w:rsidRPr="00F528F2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 w:rsidRPr="00F528F2">
        <w:rPr>
          <w:rStyle w:val="Strong"/>
          <w:rFonts w:ascii="Calibri" w:hAnsi="Calibri" w:cs="Calibri"/>
          <w:b w:val="0"/>
          <w:bCs w:val="0"/>
        </w:rPr>
        <w:t xml:space="preserve">  </w:t>
      </w:r>
      <w:hyperlink r:id="rId11" w:history="1">
        <w:r w:rsidRPr="00F528F2">
          <w:rPr>
            <w:rStyle w:val="Hyperlink"/>
            <w:rFonts w:eastAsia="Times New Roman" w:cstheme="minorHAnsi"/>
            <w:b/>
          </w:rPr>
          <w:t>https://review.jove.com/account/file-uploader?src=22210758</w:t>
        </w:r>
      </w:hyperlink>
      <w:r w:rsidRPr="00F528F2">
        <w:rPr>
          <w:rFonts w:eastAsia="Times New Roman" w:cstheme="minorHAnsi"/>
          <w:b/>
        </w:rPr>
        <w:t xml:space="preserve">   </w:t>
      </w:r>
    </w:p>
    <w:p w14:paraId="13476F0C" w14:textId="77777777" w:rsidR="00D47829" w:rsidRPr="006B36C7" w:rsidRDefault="00D47829" w:rsidP="00D47829">
      <w:pPr>
        <w:pStyle w:val="ShotDescription"/>
        <w:ind w:firstLine="0"/>
      </w:pPr>
    </w:p>
    <w:p w14:paraId="7BFC58A6" w14:textId="4A83B105" w:rsidR="00D47829" w:rsidRDefault="00D47829" w:rsidP="00D47829">
      <w:pPr>
        <w:pStyle w:val="Narration"/>
        <w:numPr>
          <w:ilvl w:val="1"/>
          <w:numId w:val="3"/>
        </w:numPr>
      </w:pPr>
      <w:r w:rsidRPr="00D47829">
        <w:rPr>
          <w:rFonts w:cstheme="minorHAnsi"/>
          <w:iCs/>
        </w:rPr>
        <w:t xml:space="preserve">Compare the groups using an unpaired Student's </w:t>
      </w:r>
      <w:r w:rsidRPr="00D47829">
        <w:rPr>
          <w:rFonts w:cstheme="minorHAnsi"/>
          <w:i/>
        </w:rPr>
        <w:t>t</w:t>
      </w:r>
      <w:r w:rsidRPr="00D47829">
        <w:rPr>
          <w:rFonts w:cstheme="minorHAnsi"/>
          <w:iCs/>
        </w:rPr>
        <w:t xml:space="preserve">-test or one-way analysis of variance, as appropriate, with statistical significance set at </w:t>
      </w:r>
      <w:r w:rsidRPr="00D47829">
        <w:rPr>
          <w:rFonts w:cstheme="minorHAnsi"/>
          <w:i/>
        </w:rPr>
        <w:t>p</w:t>
      </w:r>
      <w:r w:rsidRPr="00D47829">
        <w:rPr>
          <w:rFonts w:cstheme="minorHAnsi"/>
          <w:iCs/>
        </w:rPr>
        <w:t xml:space="preserve"> &lt; 0.05 </w:t>
      </w:r>
      <w:r w:rsidRPr="006B36C7">
        <w:rPr>
          <w:b/>
          <w:bCs/>
        </w:rPr>
        <w:t>[1]</w:t>
      </w:r>
      <w:r w:rsidRPr="006B36C7">
        <w:t xml:space="preserve">. Produce the graphical outputs using graphing and statistical software </w:t>
      </w:r>
      <w:r w:rsidRPr="006B36C7">
        <w:rPr>
          <w:b/>
          <w:bCs/>
        </w:rPr>
        <w:t>[2]</w:t>
      </w:r>
      <w:r w:rsidRPr="006B36C7">
        <w:t>.</w:t>
      </w:r>
    </w:p>
    <w:p w14:paraId="1AE1CD1F" w14:textId="3E94E995" w:rsidR="00D47829" w:rsidRDefault="00D47829" w:rsidP="00D47829">
      <w:pPr>
        <w:pStyle w:val="ShotDescription"/>
        <w:numPr>
          <w:ilvl w:val="2"/>
          <w:numId w:val="3"/>
        </w:numPr>
      </w:pPr>
      <w:r w:rsidRPr="00E32DB4">
        <w:rPr>
          <w:highlight w:val="yellow"/>
        </w:rPr>
        <w:t>SCREEN:</w:t>
      </w:r>
      <w:r w:rsidRPr="006B36C7">
        <w:t xml:space="preserve"> The group comparisons being conducted using an unpaired Student’s t-test or a one-way analysis of variance</w:t>
      </w:r>
    </w:p>
    <w:p w14:paraId="6386EF8F" w14:textId="3CC3CCCF" w:rsidR="00D47829" w:rsidRDefault="00D47829" w:rsidP="00D47829">
      <w:pPr>
        <w:pStyle w:val="ShotDescription"/>
        <w:numPr>
          <w:ilvl w:val="2"/>
          <w:numId w:val="3"/>
        </w:numPr>
      </w:pPr>
      <w:r w:rsidRPr="00E32DB4">
        <w:rPr>
          <w:highlight w:val="yellow"/>
        </w:rPr>
        <w:t>SCREEN:</w:t>
      </w:r>
      <w:r w:rsidRPr="006B36C7">
        <w:t xml:space="preserve"> The graphical outputs being produced using the graphing and statistical software</w:t>
      </w:r>
    </w:p>
    <w:p w14:paraId="1BFEE394" w14:textId="77777777" w:rsidR="00262639" w:rsidRPr="006B36C7" w:rsidRDefault="00262639" w:rsidP="00262639">
      <w:pPr>
        <w:pStyle w:val="ShotDescription"/>
        <w:ind w:firstLine="0"/>
      </w:pPr>
    </w:p>
    <w:p w14:paraId="1CC2D69F" w14:textId="7E09CB74" w:rsidR="00D47829" w:rsidRDefault="00D47829" w:rsidP="00D47829">
      <w:pPr>
        <w:pStyle w:val="Narration"/>
        <w:numPr>
          <w:ilvl w:val="1"/>
          <w:numId w:val="3"/>
        </w:numPr>
      </w:pPr>
      <w:r w:rsidRPr="006B36C7">
        <w:t xml:space="preserve">Apply a multivariate logistic regression model to examine the factors independently associated with iron deficiency anemia </w:t>
      </w:r>
      <w:r w:rsidRPr="006B36C7">
        <w:rPr>
          <w:b/>
          <w:bCs/>
        </w:rPr>
        <w:t>[1]</w:t>
      </w:r>
      <w:r w:rsidRPr="006B36C7">
        <w:t xml:space="preserve">. Specify  iron deficiency anemia status as the binary dependent variable, with iron deficiency anemia assigned a value of 1 and the non-iron deficiency anemia or control status assigned a value of 0 </w:t>
      </w:r>
      <w:r w:rsidRPr="006B36C7">
        <w:rPr>
          <w:b/>
          <w:bCs/>
        </w:rPr>
        <w:t>[2]</w:t>
      </w:r>
      <w:r w:rsidRPr="006B36C7">
        <w:t>.</w:t>
      </w:r>
    </w:p>
    <w:p w14:paraId="79B05A70" w14:textId="7ECAB154" w:rsidR="00D47829" w:rsidRDefault="00D47829" w:rsidP="00D47829">
      <w:pPr>
        <w:pStyle w:val="ShotDescription"/>
        <w:numPr>
          <w:ilvl w:val="2"/>
          <w:numId w:val="3"/>
        </w:numPr>
      </w:pPr>
      <w:r w:rsidRPr="00E32DB4">
        <w:rPr>
          <w:highlight w:val="yellow"/>
        </w:rPr>
        <w:t>SCREEN:</w:t>
      </w:r>
      <w:r w:rsidRPr="006B36C7">
        <w:t xml:space="preserve"> A multivariate logistic regression model being applied to examine the factors independently associated with iron deficiency anemia</w:t>
      </w:r>
    </w:p>
    <w:p w14:paraId="7D8A823B" w14:textId="59431D5F" w:rsidR="00D47829" w:rsidRDefault="00D47829" w:rsidP="00D47829">
      <w:pPr>
        <w:pStyle w:val="ShotDescription"/>
        <w:numPr>
          <w:ilvl w:val="2"/>
          <w:numId w:val="3"/>
        </w:numPr>
      </w:pPr>
      <w:r w:rsidRPr="00E32DB4">
        <w:rPr>
          <w:highlight w:val="yellow"/>
        </w:rPr>
        <w:t>SCREEN:</w:t>
      </w:r>
      <w:r w:rsidRPr="006B36C7">
        <w:t xml:space="preserve"> The iron deficiency anemia status being specified as the binary dependent variable with the respective values being assigned</w:t>
      </w:r>
    </w:p>
    <w:p w14:paraId="2C34F94C" w14:textId="77777777" w:rsidR="00262639" w:rsidRPr="006B36C7" w:rsidRDefault="00262639" w:rsidP="00262639">
      <w:pPr>
        <w:pStyle w:val="ShotDescription"/>
        <w:ind w:firstLine="0"/>
      </w:pPr>
    </w:p>
    <w:p w14:paraId="435F98C3" w14:textId="798F40D1" w:rsidR="00D47829" w:rsidRPr="00262639" w:rsidRDefault="00D61A88" w:rsidP="00D47829">
      <w:pPr>
        <w:pStyle w:val="Narration"/>
        <w:numPr>
          <w:ilvl w:val="1"/>
          <w:numId w:val="3"/>
        </w:numPr>
      </w:pPr>
      <w:r w:rsidRPr="00D61A88">
        <w:rPr>
          <w:iCs/>
          <w:lang w:val="en-US"/>
        </w:rPr>
        <w:lastRenderedPageBreak/>
        <w:t xml:space="preserve">Include residence, family history of anemia, pregnancy status, and intake of red meat, poultry, and citrus fruits as the a priori independent variables </w:t>
      </w:r>
      <w:r w:rsidR="00D47829" w:rsidRPr="006B36C7">
        <w:rPr>
          <w:b/>
          <w:bCs/>
        </w:rPr>
        <w:t>[1]</w:t>
      </w:r>
      <w:r w:rsidR="00D47829" w:rsidRPr="006B36C7">
        <w:t>.</w:t>
      </w:r>
      <w:r w:rsidR="00D47829">
        <w:t xml:space="preserve"> </w:t>
      </w:r>
      <w:r w:rsidR="00D47829" w:rsidRPr="00D47829">
        <w:rPr>
          <w:rFonts w:cstheme="minorHAnsi"/>
          <w:iCs/>
        </w:rPr>
        <w:t xml:space="preserve">Code categorical variables using dummy variables </w:t>
      </w:r>
      <w:r w:rsidR="00D47829" w:rsidRPr="00D47829">
        <w:rPr>
          <w:rFonts w:cstheme="minorHAnsi"/>
          <w:b/>
          <w:bCs/>
          <w:iCs/>
        </w:rPr>
        <w:t>[2]</w:t>
      </w:r>
      <w:r w:rsidR="00D47829">
        <w:rPr>
          <w:rFonts w:cstheme="minorHAnsi"/>
          <w:iCs/>
        </w:rPr>
        <w:t xml:space="preserve"> </w:t>
      </w:r>
      <w:r w:rsidR="00D47829" w:rsidRPr="00D47829">
        <w:rPr>
          <w:rFonts w:cstheme="minorHAnsi"/>
          <w:iCs/>
        </w:rPr>
        <w:t xml:space="preserve">and classify dietary intake </w:t>
      </w:r>
      <w:r w:rsidR="00D47829" w:rsidRPr="006B36C7">
        <w:t xml:space="preserve">as low for consumption of </w:t>
      </w:r>
      <w:r w:rsidR="00E15026">
        <w:t>t</w:t>
      </w:r>
      <w:r w:rsidR="00E15026" w:rsidRPr="00E15026">
        <w:rPr>
          <w:iCs/>
          <w:lang w:val="en-US"/>
        </w:rPr>
        <w:t>wo or fewer times per week</w:t>
      </w:r>
      <w:r w:rsidR="00D47829" w:rsidRPr="006B36C7">
        <w:t xml:space="preserve">, or adequate for consumption of </w:t>
      </w:r>
      <w:r w:rsidR="00E15026" w:rsidRPr="00E15026">
        <w:rPr>
          <w:iCs/>
          <w:lang w:val="en-US"/>
        </w:rPr>
        <w:t>more than twice per</w:t>
      </w:r>
      <w:r w:rsidR="00E15026">
        <w:rPr>
          <w:iCs/>
          <w:lang w:val="en-US"/>
        </w:rPr>
        <w:t xml:space="preserve"> </w:t>
      </w:r>
      <w:r w:rsidR="00D47829" w:rsidRPr="006B36C7">
        <w:t xml:space="preserve">week </w:t>
      </w:r>
      <w:r w:rsidR="00D47829" w:rsidRPr="00D47829">
        <w:rPr>
          <w:b/>
          <w:bCs/>
        </w:rPr>
        <w:t>[3]</w:t>
      </w:r>
      <w:r w:rsidR="00262639">
        <w:rPr>
          <w:b/>
          <w:bCs/>
        </w:rPr>
        <w:t>.</w:t>
      </w:r>
    </w:p>
    <w:p w14:paraId="45745984" w14:textId="6262DCCA" w:rsidR="00D47829" w:rsidRPr="006B36C7" w:rsidRDefault="00D47829" w:rsidP="00D47829">
      <w:pPr>
        <w:pStyle w:val="ShotDescription"/>
        <w:numPr>
          <w:ilvl w:val="2"/>
          <w:numId w:val="3"/>
        </w:numPr>
      </w:pPr>
      <w:r w:rsidRPr="00E32DB4">
        <w:rPr>
          <w:highlight w:val="yellow"/>
        </w:rPr>
        <w:t>SCREEN:</w:t>
      </w:r>
      <w:r w:rsidRPr="006B36C7">
        <w:t xml:space="preserve"> The residence, family history of anemia, pregnancy, and intake of red meat, poultry, and citrus fruits being entered as independent variables</w:t>
      </w:r>
    </w:p>
    <w:p w14:paraId="748C0E77" w14:textId="6ECAAA36" w:rsidR="00D47829" w:rsidRDefault="00D47829" w:rsidP="00D47829">
      <w:pPr>
        <w:pStyle w:val="ShotDescription"/>
        <w:numPr>
          <w:ilvl w:val="2"/>
          <w:numId w:val="3"/>
        </w:numPr>
      </w:pPr>
      <w:r w:rsidRPr="00E32DB4">
        <w:rPr>
          <w:highlight w:val="yellow"/>
        </w:rPr>
        <w:t>SCREEN:</w:t>
      </w:r>
      <w:r w:rsidRPr="006B36C7">
        <w:t xml:space="preserve"> The categorical variables being coded using dummy variables</w:t>
      </w:r>
    </w:p>
    <w:p w14:paraId="3C13DF12" w14:textId="6FF0C9EF" w:rsidR="00D47829" w:rsidRDefault="00D47829" w:rsidP="00D47829">
      <w:pPr>
        <w:pStyle w:val="ShotDescription"/>
        <w:numPr>
          <w:ilvl w:val="2"/>
          <w:numId w:val="3"/>
        </w:numPr>
      </w:pPr>
      <w:r w:rsidRPr="00E32DB4">
        <w:rPr>
          <w:highlight w:val="yellow"/>
        </w:rPr>
        <w:t>SCREEN:</w:t>
      </w:r>
      <w:r w:rsidRPr="006B36C7">
        <w:t xml:space="preserve"> The dietary intake variables being classified as low or adequate according to the reported consumption frequency</w:t>
      </w:r>
    </w:p>
    <w:p w14:paraId="225B8EFD" w14:textId="77777777" w:rsidR="00262639" w:rsidRPr="006B36C7" w:rsidRDefault="00262639" w:rsidP="00262639">
      <w:pPr>
        <w:pStyle w:val="ShotDescription"/>
        <w:ind w:firstLine="0"/>
      </w:pPr>
    </w:p>
    <w:p w14:paraId="19A5376D" w14:textId="03C899E1" w:rsidR="00D47829" w:rsidRDefault="00D47829" w:rsidP="00D47829">
      <w:pPr>
        <w:pStyle w:val="Narration"/>
        <w:numPr>
          <w:ilvl w:val="1"/>
          <w:numId w:val="3"/>
        </w:numPr>
      </w:pPr>
      <w:r w:rsidRPr="006B36C7">
        <w:t xml:space="preserve">Enter all the selected variables simultaneously into the regression model to estimate their independent associations while accounting for potential confounding factors </w:t>
      </w:r>
      <w:r w:rsidRPr="006B36C7">
        <w:rPr>
          <w:b/>
          <w:bCs/>
        </w:rPr>
        <w:t>[1]</w:t>
      </w:r>
      <w:r w:rsidRPr="006B36C7">
        <w:t>. Report the adjusted odds ratios with 95 percent confidence intervals</w:t>
      </w:r>
      <w:r w:rsidR="00262639">
        <w:t>; odds ratios greater than 1 indicate higher odds of iron</w:t>
      </w:r>
      <w:r w:rsidR="00E15026">
        <w:t xml:space="preserve"> </w:t>
      </w:r>
      <w:r w:rsidR="00262639">
        <w:t>deficiency</w:t>
      </w:r>
      <w:r w:rsidRPr="006B36C7">
        <w:t xml:space="preserve"> anemia </w:t>
      </w:r>
      <w:r w:rsidRPr="006B36C7">
        <w:rPr>
          <w:b/>
          <w:bCs/>
        </w:rPr>
        <w:t>[2]</w:t>
      </w:r>
      <w:r w:rsidRPr="006B36C7">
        <w:t>.</w:t>
      </w:r>
    </w:p>
    <w:p w14:paraId="724C1275" w14:textId="69BC4EC2" w:rsidR="00D47829" w:rsidRDefault="00D47829" w:rsidP="00D47829">
      <w:pPr>
        <w:pStyle w:val="ShotDescription"/>
        <w:numPr>
          <w:ilvl w:val="2"/>
          <w:numId w:val="3"/>
        </w:numPr>
      </w:pPr>
      <w:r w:rsidRPr="00E32DB4">
        <w:rPr>
          <w:highlight w:val="yellow"/>
        </w:rPr>
        <w:t>SCREEN:</w:t>
      </w:r>
      <w:r w:rsidRPr="006B36C7">
        <w:t xml:space="preserve"> All the selected variables being entered simultaneously into the regression model</w:t>
      </w:r>
    </w:p>
    <w:p w14:paraId="6B6D05BE" w14:textId="52859545" w:rsidR="00D47829" w:rsidRDefault="00D47829" w:rsidP="00D47829">
      <w:pPr>
        <w:pStyle w:val="ShotDescription"/>
        <w:numPr>
          <w:ilvl w:val="2"/>
          <w:numId w:val="3"/>
        </w:numPr>
      </w:pPr>
      <w:r w:rsidRPr="00E32DB4">
        <w:rPr>
          <w:highlight w:val="yellow"/>
        </w:rPr>
        <w:t>SCREEN:</w:t>
      </w:r>
      <w:r w:rsidRPr="006B36C7">
        <w:t xml:space="preserve"> The adjusted odds ratios and 95 percent confidence intervals being generated from the regression model</w:t>
      </w:r>
    </w:p>
    <w:p w14:paraId="069E8AF2" w14:textId="77777777" w:rsidR="00262639" w:rsidRPr="006B36C7" w:rsidRDefault="00262639" w:rsidP="00262639">
      <w:pPr>
        <w:pStyle w:val="ShotDescription"/>
        <w:ind w:firstLine="0"/>
      </w:pPr>
    </w:p>
    <w:p w14:paraId="57752E5D" w14:textId="0E277616" w:rsidR="005B7B9A" w:rsidRDefault="005B7B9A" w:rsidP="005B7B9A">
      <w:pPr>
        <w:pStyle w:val="Narration"/>
        <w:numPr>
          <w:ilvl w:val="1"/>
          <w:numId w:val="3"/>
        </w:numPr>
      </w:pPr>
      <w:r>
        <w:t>Finally, g</w:t>
      </w:r>
      <w:r w:rsidRPr="006B36C7">
        <w:t xml:space="preserve">enerate a forest plot in spreadsheet software to visually summarize the adjusted odds ratios and the corresponding 95 percent confidence intervals </w:t>
      </w:r>
      <w:r w:rsidRPr="006B36C7">
        <w:rPr>
          <w:b/>
          <w:bCs/>
        </w:rPr>
        <w:t>[1]</w:t>
      </w:r>
      <w:r w:rsidRPr="006B36C7">
        <w:t>.</w:t>
      </w:r>
    </w:p>
    <w:p w14:paraId="45808DEF" w14:textId="1AE9D18F" w:rsidR="005B7B9A" w:rsidRDefault="005B7B9A" w:rsidP="005B7B9A">
      <w:pPr>
        <w:pStyle w:val="ShotDescription"/>
        <w:numPr>
          <w:ilvl w:val="2"/>
          <w:numId w:val="3"/>
        </w:numPr>
      </w:pPr>
      <w:r w:rsidRPr="00E32DB4">
        <w:rPr>
          <w:highlight w:val="yellow"/>
        </w:rPr>
        <w:t>SCREEN:</w:t>
      </w:r>
      <w:r w:rsidRPr="006B36C7">
        <w:t xml:space="preserve"> The adjusted odds ratios and corresponding 95 percent confidence intervals being plotted as a forest plot in the spreadsheet software</w:t>
      </w:r>
    </w:p>
    <w:p w14:paraId="7BAE0E17" w14:textId="653E3F51" w:rsidR="00D61A88" w:rsidRDefault="00D61A88" w:rsidP="00D61A88">
      <w:pPr>
        <w:pStyle w:val="ListParagraph"/>
        <w:spacing w:before="120"/>
        <w:ind w:left="907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200FF6D2" w14:textId="77777777" w:rsidR="00BC60DB" w:rsidRPr="00BC60DB" w:rsidRDefault="00BC60DB" w:rsidP="00D61A88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2C98A4F5" w:rsidR="001E0433" w:rsidRDefault="00B5662E" w:rsidP="00B5662E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B5662E">
        <w:rPr>
          <w:rFonts w:cstheme="minorHAnsi"/>
          <w:color w:val="7030A0"/>
        </w:rPr>
        <w:t xml:space="preserve">Pregnant women with iron deficiency anemia showed significantly reduced hemoglobin levels </w:t>
      </w:r>
      <w:r w:rsidRPr="00B5662E">
        <w:rPr>
          <w:rFonts w:cstheme="minorHAnsi"/>
          <w:b/>
          <w:bCs/>
          <w:color w:val="7030A0"/>
        </w:rPr>
        <w:t>[1]</w:t>
      </w:r>
      <w:r w:rsidRPr="00B5662E">
        <w:rPr>
          <w:rFonts w:cstheme="minorHAnsi"/>
          <w:color w:val="7030A0"/>
        </w:rPr>
        <w:t xml:space="preserve"> compared with non-pregnant controls </w:t>
      </w:r>
      <w:r w:rsidRPr="00B5662E">
        <w:rPr>
          <w:rFonts w:cstheme="minorHAnsi"/>
          <w:b/>
          <w:bCs/>
          <w:color w:val="7030A0"/>
        </w:rPr>
        <w:t>[2]</w:t>
      </w:r>
      <w:r w:rsidRPr="00B5662E">
        <w:rPr>
          <w:rFonts w:cstheme="minorHAnsi"/>
          <w:color w:val="7030A0"/>
        </w:rPr>
        <w:t>.</w:t>
      </w:r>
    </w:p>
    <w:p w14:paraId="35A40A67" w14:textId="0B67E4B0" w:rsidR="00AA0CF8" w:rsidRDefault="00AA0CF8" w:rsidP="00AA0CF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A0CF8">
        <w:rPr>
          <w:rFonts w:cstheme="minorHAnsi"/>
        </w:rPr>
        <w:t xml:space="preserve"> LAB MEDIA: Figure 1. </w:t>
      </w:r>
      <w:r w:rsidRPr="001C6BE7">
        <w:rPr>
          <w:rFonts w:cstheme="minorHAnsi"/>
          <w:i/>
          <w:color w:val="0070C0"/>
        </w:rPr>
        <w:t xml:space="preserve">Video editor: Please highlight the bar </w:t>
      </w:r>
      <w:r w:rsidR="00E06F70">
        <w:rPr>
          <w:rFonts w:cstheme="minorHAnsi"/>
          <w:i/>
          <w:color w:val="0070C0"/>
        </w:rPr>
        <w:t>labeled</w:t>
      </w:r>
      <w:r w:rsidRPr="001C6BE7">
        <w:rPr>
          <w:rFonts w:cstheme="minorHAnsi"/>
          <w:i/>
          <w:color w:val="0070C0"/>
        </w:rPr>
        <w:t xml:space="preserve"> “Pregnant</w:t>
      </w:r>
      <w:r w:rsidRPr="00AA0CF8">
        <w:rPr>
          <w:rFonts w:cstheme="minorHAnsi"/>
        </w:rPr>
        <w:t xml:space="preserve"> </w:t>
      </w:r>
      <w:r w:rsidRPr="001C6BE7">
        <w:rPr>
          <w:rFonts w:cstheme="minorHAnsi"/>
          <w:i/>
          <w:color w:val="0070C0"/>
        </w:rPr>
        <w:t>women”</w:t>
      </w:r>
    </w:p>
    <w:p w14:paraId="08F32B2E" w14:textId="5D033C12" w:rsidR="00AA0CF8" w:rsidRPr="00262639" w:rsidRDefault="00AA0CF8" w:rsidP="00AA0CF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A0CF8">
        <w:rPr>
          <w:rFonts w:cstheme="minorHAnsi"/>
        </w:rPr>
        <w:t xml:space="preserve">LAB MEDIA: Figure 1. </w:t>
      </w:r>
      <w:r w:rsidRPr="001C6BE7">
        <w:rPr>
          <w:rFonts w:cstheme="minorHAnsi"/>
          <w:i/>
          <w:color w:val="0070C0"/>
        </w:rPr>
        <w:t xml:space="preserve">Video editor: Please highlight the bar </w:t>
      </w:r>
      <w:r w:rsidR="00E06F70">
        <w:rPr>
          <w:rFonts w:cstheme="minorHAnsi"/>
          <w:i/>
          <w:color w:val="0070C0"/>
        </w:rPr>
        <w:t>labeled</w:t>
      </w:r>
      <w:r w:rsidRPr="001C6BE7">
        <w:rPr>
          <w:rFonts w:cstheme="minorHAnsi"/>
          <w:i/>
          <w:color w:val="0070C0"/>
        </w:rPr>
        <w:t xml:space="preserve"> “Non-pregnant controls”</w:t>
      </w:r>
    </w:p>
    <w:p w14:paraId="08D83B83" w14:textId="77777777" w:rsidR="00262639" w:rsidRDefault="00262639" w:rsidP="0026263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F11EEDF" w14:textId="1F7C9B73" w:rsidR="00B5662E" w:rsidRDefault="00B5662E" w:rsidP="00B5662E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B5662E">
        <w:rPr>
          <w:rFonts w:cstheme="minorHAnsi"/>
          <w:color w:val="7030A0"/>
        </w:rPr>
        <w:t xml:space="preserve">Serum iron </w:t>
      </w:r>
      <w:r>
        <w:rPr>
          <w:rFonts w:cstheme="minorHAnsi"/>
          <w:color w:val="7030A0"/>
        </w:rPr>
        <w:t>level</w:t>
      </w:r>
      <w:r w:rsidR="00D61A88">
        <w:rPr>
          <w:rFonts w:cstheme="minorHAnsi"/>
          <w:color w:val="7030A0"/>
        </w:rPr>
        <w:t>s</w:t>
      </w:r>
      <w:r>
        <w:rPr>
          <w:rFonts w:cstheme="minorHAnsi"/>
          <w:color w:val="7030A0"/>
        </w:rPr>
        <w:t xml:space="preserve"> </w:t>
      </w:r>
      <w:r w:rsidRPr="00B5662E">
        <w:rPr>
          <w:rFonts w:cstheme="minorHAnsi"/>
          <w:color w:val="7030A0"/>
        </w:rPr>
        <w:t>w</w:t>
      </w:r>
      <w:r>
        <w:rPr>
          <w:rFonts w:cstheme="minorHAnsi"/>
          <w:color w:val="7030A0"/>
        </w:rPr>
        <w:t>ere</w:t>
      </w:r>
      <w:r w:rsidRPr="00B5662E">
        <w:rPr>
          <w:rFonts w:cstheme="minorHAnsi"/>
          <w:color w:val="7030A0"/>
        </w:rPr>
        <w:t xml:space="preserve"> markedly reduced in pregnant women with iron deficiency anemia </w:t>
      </w:r>
      <w:r w:rsidRPr="00B5662E">
        <w:rPr>
          <w:rFonts w:cstheme="minorHAnsi"/>
          <w:b/>
          <w:bCs/>
          <w:color w:val="7030A0"/>
        </w:rPr>
        <w:t>[1]</w:t>
      </w:r>
      <w:r w:rsidRPr="00B5662E">
        <w:rPr>
          <w:rFonts w:cstheme="minorHAnsi"/>
          <w:color w:val="7030A0"/>
        </w:rPr>
        <w:t xml:space="preserve"> relative to non-pregnant controls </w:t>
      </w:r>
      <w:r w:rsidRPr="00B5662E">
        <w:rPr>
          <w:rFonts w:cstheme="minorHAnsi"/>
          <w:b/>
          <w:bCs/>
          <w:color w:val="7030A0"/>
        </w:rPr>
        <w:t>[2]</w:t>
      </w:r>
      <w:r w:rsidRPr="00B5662E">
        <w:rPr>
          <w:rFonts w:cstheme="minorHAnsi"/>
          <w:color w:val="7030A0"/>
        </w:rPr>
        <w:t xml:space="preserve">. In contrast, total iron-binding capacity was elevated in the pregnant group </w:t>
      </w:r>
      <w:r w:rsidRPr="00B5662E">
        <w:rPr>
          <w:rFonts w:cstheme="minorHAnsi"/>
          <w:b/>
          <w:bCs/>
          <w:color w:val="7030A0"/>
        </w:rPr>
        <w:t>[3]</w:t>
      </w:r>
      <w:r w:rsidRPr="00B5662E">
        <w:rPr>
          <w:rFonts w:cstheme="minorHAnsi"/>
          <w:color w:val="7030A0"/>
        </w:rPr>
        <w:t xml:space="preserve"> compared with the controls </w:t>
      </w:r>
      <w:r w:rsidRPr="00B5662E">
        <w:rPr>
          <w:rFonts w:cstheme="minorHAnsi"/>
          <w:b/>
          <w:bCs/>
          <w:color w:val="7030A0"/>
        </w:rPr>
        <w:t>[4]</w:t>
      </w:r>
      <w:r w:rsidRPr="00B5662E">
        <w:rPr>
          <w:rFonts w:cstheme="minorHAnsi"/>
          <w:color w:val="7030A0"/>
        </w:rPr>
        <w:t>.</w:t>
      </w:r>
    </w:p>
    <w:p w14:paraId="513892FA" w14:textId="31367EB5" w:rsidR="00844D5F" w:rsidRDefault="00844D5F" w:rsidP="00844D5F">
      <w:pPr>
        <w:pStyle w:val="ListParagraph"/>
        <w:numPr>
          <w:ilvl w:val="2"/>
          <w:numId w:val="3"/>
        </w:numPr>
        <w:rPr>
          <w:rFonts w:eastAsia="Times New Roman" w:cstheme="minorHAnsi"/>
        </w:rPr>
      </w:pPr>
      <w:r w:rsidRPr="00844D5F">
        <w:rPr>
          <w:rFonts w:eastAsia="Times New Roman" w:cstheme="minorHAnsi"/>
        </w:rPr>
        <w:t xml:space="preserve">LAB MEDIA: Figure 2A. </w:t>
      </w:r>
      <w:r w:rsidRPr="001C6BE7">
        <w:rPr>
          <w:rFonts w:cstheme="minorHAnsi"/>
          <w:i/>
          <w:color w:val="0070C0"/>
        </w:rPr>
        <w:t>Video editor: Please highlight the bar labeled “Pregnant women”</w:t>
      </w:r>
    </w:p>
    <w:p w14:paraId="6E9573A1" w14:textId="03995BDB" w:rsidR="00844D5F" w:rsidRDefault="00844D5F" w:rsidP="00844D5F">
      <w:pPr>
        <w:pStyle w:val="ListParagraph"/>
        <w:numPr>
          <w:ilvl w:val="2"/>
          <w:numId w:val="3"/>
        </w:numPr>
        <w:rPr>
          <w:rFonts w:eastAsia="Times New Roman" w:cstheme="minorHAnsi"/>
        </w:rPr>
      </w:pPr>
      <w:r w:rsidRPr="00844D5F">
        <w:rPr>
          <w:rFonts w:eastAsia="Times New Roman" w:cstheme="minorHAnsi"/>
        </w:rPr>
        <w:t xml:space="preserve"> LAB MEDIA: Figure 2A. </w:t>
      </w:r>
      <w:r w:rsidRPr="001C6BE7">
        <w:rPr>
          <w:rFonts w:cstheme="minorHAnsi"/>
          <w:i/>
          <w:color w:val="0070C0"/>
        </w:rPr>
        <w:t>Video editor: Please highlight the bar labeled “Non-pregnant controls”</w:t>
      </w:r>
    </w:p>
    <w:p w14:paraId="764BB444" w14:textId="6214FEC2" w:rsidR="00844D5F" w:rsidRDefault="00844D5F" w:rsidP="00844D5F">
      <w:pPr>
        <w:pStyle w:val="ListParagraph"/>
        <w:numPr>
          <w:ilvl w:val="2"/>
          <w:numId w:val="3"/>
        </w:numPr>
        <w:rPr>
          <w:rFonts w:eastAsia="Times New Roman" w:cstheme="minorHAnsi"/>
        </w:rPr>
      </w:pPr>
      <w:r w:rsidRPr="00844D5F">
        <w:rPr>
          <w:rFonts w:eastAsia="Times New Roman" w:cstheme="minorHAnsi"/>
        </w:rPr>
        <w:t xml:space="preserve">LAB MEDIA: Figure 2B. </w:t>
      </w:r>
      <w:r w:rsidRPr="001C6BE7">
        <w:rPr>
          <w:rFonts w:cstheme="minorHAnsi"/>
          <w:i/>
          <w:color w:val="0070C0"/>
        </w:rPr>
        <w:t>Video editor: Please highlight the bar labeled “Pregnant</w:t>
      </w:r>
      <w:r w:rsidRPr="00844D5F">
        <w:rPr>
          <w:rFonts w:eastAsia="Times New Roman" w:cstheme="minorHAnsi"/>
        </w:rPr>
        <w:t xml:space="preserve"> </w:t>
      </w:r>
      <w:r w:rsidRPr="001C6BE7">
        <w:rPr>
          <w:rFonts w:cstheme="minorHAnsi"/>
          <w:i/>
          <w:color w:val="0070C0"/>
        </w:rPr>
        <w:t>women”</w:t>
      </w:r>
    </w:p>
    <w:p w14:paraId="65209EF5" w14:textId="09D4B785" w:rsidR="001E0433" w:rsidRDefault="00844D5F" w:rsidP="00844D5F">
      <w:pPr>
        <w:pStyle w:val="ListParagraph"/>
        <w:numPr>
          <w:ilvl w:val="2"/>
          <w:numId w:val="3"/>
        </w:numPr>
        <w:rPr>
          <w:rFonts w:eastAsia="Times New Roman" w:cstheme="minorHAnsi"/>
        </w:rPr>
      </w:pPr>
      <w:r w:rsidRPr="00844D5F">
        <w:rPr>
          <w:rFonts w:eastAsia="Times New Roman" w:cstheme="minorHAnsi"/>
        </w:rPr>
        <w:t xml:space="preserve"> LAB MEDIA: Figure 2B. </w:t>
      </w:r>
      <w:r w:rsidRPr="001C6BE7">
        <w:rPr>
          <w:rFonts w:cstheme="minorHAnsi"/>
          <w:i/>
          <w:color w:val="0070C0"/>
        </w:rPr>
        <w:t>Video editor: Please highlight the bar labeled “Non-pregnant controls”</w:t>
      </w:r>
    </w:p>
    <w:p w14:paraId="55330514" w14:textId="77777777" w:rsidR="00B5662E" w:rsidRPr="00844D5F" w:rsidRDefault="00B5662E" w:rsidP="00B5662E">
      <w:pPr>
        <w:pStyle w:val="ListParagraph"/>
        <w:ind w:left="1627"/>
        <w:rPr>
          <w:rFonts w:eastAsia="Times New Roman" w:cstheme="minorHAnsi"/>
        </w:rPr>
      </w:pPr>
    </w:p>
    <w:p w14:paraId="00E4DD89" w14:textId="37687973" w:rsidR="00AD3B41" w:rsidRPr="001C6BE7" w:rsidRDefault="00844D5F" w:rsidP="00844D5F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844D5F">
        <w:rPr>
          <w:rFonts w:cstheme="minorHAnsi"/>
          <w:color w:val="7030A0"/>
        </w:rPr>
        <w:t xml:space="preserve">Transferrin saturation levels were lower in pregnant women with iron deficiency anemia </w:t>
      </w:r>
      <w:r w:rsidRPr="00844D5F">
        <w:rPr>
          <w:rFonts w:cstheme="minorHAnsi"/>
          <w:b/>
          <w:bCs/>
          <w:color w:val="7030A0"/>
        </w:rPr>
        <w:t>[1]</w:t>
      </w:r>
      <w:r w:rsidRPr="00844D5F">
        <w:rPr>
          <w:rFonts w:cstheme="minorHAnsi"/>
          <w:color w:val="7030A0"/>
        </w:rPr>
        <w:t xml:space="preserve"> than in non-pregnant controls </w:t>
      </w:r>
      <w:r w:rsidRPr="00844D5F">
        <w:rPr>
          <w:rFonts w:cstheme="minorHAnsi"/>
          <w:b/>
          <w:bCs/>
          <w:color w:val="7030A0"/>
        </w:rPr>
        <w:t xml:space="preserve">[2]. </w:t>
      </w:r>
      <w:r w:rsidR="00B5662E" w:rsidRPr="00B5662E">
        <w:rPr>
          <w:rFonts w:cstheme="minorHAnsi"/>
          <w:color w:val="7030A0"/>
        </w:rPr>
        <w:t>Conversely, u</w:t>
      </w:r>
      <w:r w:rsidRPr="00B5662E">
        <w:rPr>
          <w:rFonts w:cstheme="minorHAnsi"/>
          <w:color w:val="7030A0"/>
        </w:rPr>
        <w:t>nsaturated</w:t>
      </w:r>
      <w:r w:rsidRPr="00844D5F">
        <w:rPr>
          <w:rFonts w:cstheme="minorHAnsi"/>
          <w:color w:val="7030A0"/>
        </w:rPr>
        <w:t xml:space="preserve"> iron-binding capacity was </w:t>
      </w:r>
      <w:r w:rsidR="00B5662E">
        <w:rPr>
          <w:rFonts w:cstheme="minorHAnsi"/>
          <w:color w:val="7030A0"/>
        </w:rPr>
        <w:t>elevated</w:t>
      </w:r>
      <w:r w:rsidRPr="00844D5F">
        <w:rPr>
          <w:rFonts w:cstheme="minorHAnsi"/>
          <w:color w:val="7030A0"/>
        </w:rPr>
        <w:t xml:space="preserve"> in pregnant women </w:t>
      </w:r>
      <w:r w:rsidRPr="00844D5F">
        <w:rPr>
          <w:rFonts w:cstheme="minorHAnsi"/>
          <w:b/>
          <w:bCs/>
          <w:color w:val="7030A0"/>
        </w:rPr>
        <w:t xml:space="preserve">[3] </w:t>
      </w:r>
      <w:r w:rsidR="00B5662E">
        <w:rPr>
          <w:rFonts w:cstheme="minorHAnsi"/>
          <w:color w:val="7030A0"/>
        </w:rPr>
        <w:t xml:space="preserve">relative to the </w:t>
      </w:r>
      <w:r w:rsidRPr="00844D5F">
        <w:rPr>
          <w:rFonts w:cstheme="minorHAnsi"/>
          <w:color w:val="7030A0"/>
        </w:rPr>
        <w:t xml:space="preserve">non-pregnant controls </w:t>
      </w:r>
      <w:r w:rsidRPr="00844D5F">
        <w:rPr>
          <w:rFonts w:cstheme="minorHAnsi"/>
          <w:b/>
          <w:bCs/>
          <w:color w:val="7030A0"/>
        </w:rPr>
        <w:t>[4]</w:t>
      </w:r>
      <w:r>
        <w:rPr>
          <w:rFonts w:cstheme="minorHAnsi"/>
          <w:b/>
          <w:bCs/>
          <w:color w:val="7030A0"/>
        </w:rPr>
        <w:t>.</w:t>
      </w:r>
    </w:p>
    <w:p w14:paraId="19B3B648" w14:textId="09146EF9" w:rsidR="00844D5F" w:rsidRDefault="00844D5F" w:rsidP="00844D5F">
      <w:pPr>
        <w:pStyle w:val="ListParagraph"/>
        <w:numPr>
          <w:ilvl w:val="2"/>
          <w:numId w:val="3"/>
        </w:numPr>
        <w:jc w:val="both"/>
        <w:rPr>
          <w:rFonts w:cstheme="minorHAnsi"/>
          <w:color w:val="auto"/>
        </w:rPr>
      </w:pPr>
      <w:r w:rsidRPr="00844D5F">
        <w:rPr>
          <w:rFonts w:cstheme="minorHAnsi"/>
          <w:color w:val="auto"/>
        </w:rPr>
        <w:t xml:space="preserve">LAB MEDIA: Figure 2C. </w:t>
      </w:r>
      <w:r w:rsidRPr="001C6BE7">
        <w:rPr>
          <w:rFonts w:cstheme="minorHAnsi"/>
          <w:i/>
          <w:color w:val="0070C0"/>
        </w:rPr>
        <w:t>Video editor: Please highlight the bar labeled “Pregnant</w:t>
      </w:r>
      <w:r w:rsidRPr="00844D5F">
        <w:rPr>
          <w:rFonts w:cstheme="minorHAnsi"/>
          <w:color w:val="auto"/>
        </w:rPr>
        <w:t xml:space="preserve"> </w:t>
      </w:r>
      <w:r w:rsidRPr="001C6BE7">
        <w:rPr>
          <w:rFonts w:cstheme="minorHAnsi"/>
          <w:i/>
          <w:color w:val="0070C0"/>
        </w:rPr>
        <w:t>women”</w:t>
      </w:r>
    </w:p>
    <w:p w14:paraId="1BEDAA16" w14:textId="60CF5502" w:rsidR="00844D5F" w:rsidRPr="001C6BE7" w:rsidRDefault="00844D5F" w:rsidP="00844D5F">
      <w:pPr>
        <w:pStyle w:val="ListParagraph"/>
        <w:numPr>
          <w:ilvl w:val="2"/>
          <w:numId w:val="3"/>
        </w:numPr>
        <w:jc w:val="both"/>
        <w:rPr>
          <w:rFonts w:cstheme="minorHAnsi"/>
          <w:color w:val="auto"/>
        </w:rPr>
      </w:pPr>
      <w:r w:rsidRPr="001C6BE7">
        <w:rPr>
          <w:rFonts w:cstheme="minorHAnsi"/>
          <w:color w:val="auto"/>
        </w:rPr>
        <w:t xml:space="preserve">LAB MEDIA: Figure 2C. </w:t>
      </w:r>
      <w:r w:rsidRPr="001C6BE7">
        <w:rPr>
          <w:rFonts w:cstheme="minorHAnsi"/>
          <w:i/>
          <w:color w:val="0070C0"/>
        </w:rPr>
        <w:t>Video editor: Please highlight the bar labeled “Non-pregnant controls”</w:t>
      </w:r>
    </w:p>
    <w:p w14:paraId="236191D0" w14:textId="65CF67D5" w:rsidR="00844D5F" w:rsidRDefault="00844D5F" w:rsidP="00844D5F">
      <w:pPr>
        <w:pStyle w:val="ListParagraph"/>
        <w:numPr>
          <w:ilvl w:val="2"/>
          <w:numId w:val="3"/>
        </w:numPr>
        <w:jc w:val="both"/>
        <w:rPr>
          <w:rFonts w:cstheme="minorHAnsi"/>
          <w:color w:val="auto"/>
        </w:rPr>
      </w:pPr>
      <w:r w:rsidRPr="00844D5F">
        <w:rPr>
          <w:rFonts w:cstheme="minorHAnsi"/>
          <w:color w:val="auto"/>
        </w:rPr>
        <w:t xml:space="preserve">LAB MEDIA: Figure 2D. </w:t>
      </w:r>
      <w:r w:rsidRPr="001C6BE7">
        <w:rPr>
          <w:rFonts w:cstheme="minorHAnsi"/>
          <w:i/>
          <w:color w:val="0070C0"/>
        </w:rPr>
        <w:t>Video editor: Please highlight the bar labeled “Pregnant</w:t>
      </w:r>
      <w:r w:rsidRPr="00844D5F">
        <w:rPr>
          <w:rFonts w:cstheme="minorHAnsi"/>
          <w:color w:val="auto"/>
        </w:rPr>
        <w:t xml:space="preserve"> </w:t>
      </w:r>
      <w:r w:rsidRPr="001C6BE7">
        <w:rPr>
          <w:rFonts w:cstheme="minorHAnsi"/>
          <w:i/>
          <w:color w:val="0070C0"/>
        </w:rPr>
        <w:t>women”</w:t>
      </w:r>
    </w:p>
    <w:p w14:paraId="243939F9" w14:textId="54CC2A69" w:rsidR="00844D5F" w:rsidRDefault="00844D5F" w:rsidP="00844D5F">
      <w:pPr>
        <w:pStyle w:val="ListParagraph"/>
        <w:numPr>
          <w:ilvl w:val="2"/>
          <w:numId w:val="3"/>
        </w:numPr>
        <w:jc w:val="both"/>
        <w:rPr>
          <w:rFonts w:cstheme="minorHAnsi"/>
          <w:color w:val="auto"/>
        </w:rPr>
      </w:pPr>
      <w:r w:rsidRPr="00844D5F">
        <w:rPr>
          <w:rFonts w:cstheme="minorHAnsi"/>
          <w:color w:val="auto"/>
        </w:rPr>
        <w:t xml:space="preserve">LAB MEDIA: Figure 2D. </w:t>
      </w:r>
      <w:r w:rsidRPr="001C6BE7">
        <w:rPr>
          <w:rFonts w:cstheme="minorHAnsi"/>
          <w:i/>
          <w:color w:val="0070C0"/>
        </w:rPr>
        <w:t>Video editor: Please highlight the bar labeled “Non-pregnant controls”</w:t>
      </w:r>
    </w:p>
    <w:p w14:paraId="7542C566" w14:textId="77777777" w:rsidR="00844D5F" w:rsidRDefault="00844D5F" w:rsidP="00844D5F">
      <w:pPr>
        <w:pStyle w:val="ListParagraph"/>
        <w:ind w:left="1627"/>
        <w:jc w:val="both"/>
        <w:rPr>
          <w:rFonts w:cstheme="minorHAnsi"/>
          <w:color w:val="auto"/>
        </w:rPr>
      </w:pPr>
    </w:p>
    <w:p w14:paraId="7F80421B" w14:textId="36A69C3A" w:rsidR="00844D5F" w:rsidRPr="00262639" w:rsidRDefault="00B5662E" w:rsidP="00844D5F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B5662E">
        <w:rPr>
          <w:rFonts w:cstheme="minorHAnsi"/>
          <w:color w:val="7030A0"/>
        </w:rPr>
        <w:t xml:space="preserve">Ferritin levels also showed a significant reduction in pregnant women with iron deficiency anemia </w:t>
      </w:r>
      <w:r w:rsidRPr="00B5662E">
        <w:rPr>
          <w:rFonts w:cstheme="minorHAnsi"/>
          <w:b/>
          <w:bCs/>
          <w:color w:val="7030A0"/>
        </w:rPr>
        <w:t xml:space="preserve">[1] </w:t>
      </w:r>
      <w:r w:rsidRPr="00B5662E">
        <w:rPr>
          <w:rFonts w:cstheme="minorHAnsi"/>
          <w:color w:val="7030A0"/>
        </w:rPr>
        <w:t xml:space="preserve">compared with non-pregnant controls </w:t>
      </w:r>
      <w:r w:rsidRPr="00B5662E">
        <w:rPr>
          <w:rFonts w:cstheme="minorHAnsi"/>
          <w:b/>
          <w:bCs/>
          <w:color w:val="7030A0"/>
        </w:rPr>
        <w:t>[2].</w:t>
      </w:r>
    </w:p>
    <w:p w14:paraId="50432491" w14:textId="5595F1A0" w:rsidR="00844D5F" w:rsidRDefault="00844D5F" w:rsidP="00844D5F">
      <w:pPr>
        <w:pStyle w:val="ListParagraph"/>
        <w:numPr>
          <w:ilvl w:val="2"/>
          <w:numId w:val="3"/>
        </w:numPr>
        <w:jc w:val="both"/>
        <w:rPr>
          <w:rFonts w:cstheme="minorHAnsi"/>
          <w:color w:val="auto"/>
        </w:rPr>
      </w:pPr>
      <w:r w:rsidRPr="00844D5F">
        <w:rPr>
          <w:rFonts w:cstheme="minorHAnsi"/>
          <w:color w:val="auto"/>
        </w:rPr>
        <w:lastRenderedPageBreak/>
        <w:t xml:space="preserve">LAB MEDIA: Figure 2E. </w:t>
      </w:r>
      <w:r w:rsidRPr="001C6BE7">
        <w:rPr>
          <w:rFonts w:cstheme="minorHAnsi"/>
          <w:i/>
          <w:color w:val="0070C0"/>
        </w:rPr>
        <w:t>Video editor: Please highlight the bar labeled “Pregnant</w:t>
      </w:r>
      <w:r w:rsidRPr="00844D5F">
        <w:rPr>
          <w:rFonts w:cstheme="minorHAnsi"/>
          <w:color w:val="auto"/>
        </w:rPr>
        <w:t xml:space="preserve"> women”</w:t>
      </w:r>
    </w:p>
    <w:p w14:paraId="53F22B5F" w14:textId="2361F686" w:rsidR="00844D5F" w:rsidRDefault="00844D5F" w:rsidP="00844D5F">
      <w:pPr>
        <w:pStyle w:val="ListParagraph"/>
        <w:numPr>
          <w:ilvl w:val="2"/>
          <w:numId w:val="3"/>
        </w:numPr>
        <w:jc w:val="both"/>
        <w:rPr>
          <w:rFonts w:cstheme="minorHAnsi"/>
          <w:color w:val="auto"/>
        </w:rPr>
      </w:pPr>
      <w:r w:rsidRPr="00844D5F">
        <w:rPr>
          <w:rFonts w:cstheme="minorHAnsi"/>
          <w:color w:val="auto"/>
        </w:rPr>
        <w:t xml:space="preserve">LAB MEDIA: Figure 2E. </w:t>
      </w:r>
      <w:r w:rsidRPr="001C6BE7">
        <w:rPr>
          <w:rFonts w:cstheme="minorHAnsi"/>
          <w:i/>
          <w:color w:val="0070C0"/>
        </w:rPr>
        <w:t>Video editor: Please highlight the bar labeled “Non-pregnant controls”</w:t>
      </w:r>
    </w:p>
    <w:p w14:paraId="2E4026F5" w14:textId="77777777" w:rsidR="00844D5F" w:rsidRDefault="00844D5F" w:rsidP="00844D5F">
      <w:pPr>
        <w:pStyle w:val="ListParagraph"/>
        <w:ind w:left="1627"/>
        <w:jc w:val="both"/>
        <w:rPr>
          <w:rFonts w:cstheme="minorHAnsi"/>
          <w:color w:val="auto"/>
        </w:rPr>
      </w:pPr>
    </w:p>
    <w:p w14:paraId="531A0312" w14:textId="5D8BFF1C" w:rsidR="00844D5F" w:rsidRPr="001C6BE7" w:rsidRDefault="00844D5F" w:rsidP="009C6FF7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9C6FF7">
        <w:rPr>
          <w:rFonts w:cstheme="minorHAnsi"/>
          <w:color w:val="7030A0"/>
        </w:rPr>
        <w:t>Low red meat intake showed the strongest association with iron deficiency anemia</w:t>
      </w:r>
      <w:r w:rsidR="009C6FF7">
        <w:rPr>
          <w:rFonts w:cstheme="minorHAnsi"/>
          <w:color w:val="7030A0"/>
        </w:rPr>
        <w:t xml:space="preserve">, with an odds ratio of 4 </w:t>
      </w:r>
      <w:r w:rsidR="009C6FF7" w:rsidRPr="009C6FF7">
        <w:rPr>
          <w:rFonts w:cstheme="minorHAnsi"/>
          <w:b/>
          <w:bCs/>
          <w:color w:val="7030A0"/>
        </w:rPr>
        <w:t>[1],</w:t>
      </w:r>
      <w:r w:rsidR="009C6FF7">
        <w:rPr>
          <w:rFonts w:cstheme="minorHAnsi"/>
          <w:color w:val="7030A0"/>
        </w:rPr>
        <w:t xml:space="preserve"> followed by low poultry intake, with an </w:t>
      </w:r>
      <w:r w:rsidRPr="009C6FF7">
        <w:rPr>
          <w:rFonts w:cstheme="minorHAnsi"/>
          <w:color w:val="7030A0"/>
        </w:rPr>
        <w:t>odds ratio of 3.5</w:t>
      </w:r>
      <w:r w:rsidR="009C6FF7" w:rsidRPr="009C6FF7">
        <w:rPr>
          <w:rFonts w:cstheme="minorHAnsi"/>
          <w:color w:val="7030A0"/>
        </w:rPr>
        <w:t xml:space="preserve"> </w:t>
      </w:r>
      <w:r w:rsidR="009C6FF7" w:rsidRPr="009C6FF7">
        <w:rPr>
          <w:rFonts w:cstheme="minorHAnsi"/>
          <w:b/>
          <w:bCs/>
          <w:color w:val="7030A0"/>
        </w:rPr>
        <w:t>[2]</w:t>
      </w:r>
      <w:r w:rsidRPr="009C6FF7">
        <w:rPr>
          <w:rFonts w:cstheme="minorHAnsi"/>
          <w:color w:val="7030A0"/>
        </w:rPr>
        <w:t xml:space="preserve">. </w:t>
      </w:r>
      <w:r w:rsidR="009C6FF7" w:rsidRPr="009C6FF7">
        <w:rPr>
          <w:rFonts w:cstheme="minorHAnsi"/>
          <w:color w:val="7030A0"/>
        </w:rPr>
        <w:t xml:space="preserve">Pregnancy was </w:t>
      </w:r>
      <w:r w:rsidR="00D61A88">
        <w:rPr>
          <w:rFonts w:cstheme="minorHAnsi"/>
          <w:color w:val="7030A0"/>
        </w:rPr>
        <w:t xml:space="preserve">associated with three-fold higher odds of iron deficiency anemia </w:t>
      </w:r>
      <w:r w:rsidR="00D61A88" w:rsidRPr="00E06F70">
        <w:rPr>
          <w:rFonts w:cstheme="minorHAnsi"/>
          <w:b/>
          <w:bCs/>
          <w:color w:val="7030A0"/>
        </w:rPr>
        <w:t>[3],</w:t>
      </w:r>
      <w:r w:rsidR="009C6FF7" w:rsidRPr="009C6FF7">
        <w:rPr>
          <w:rFonts w:cstheme="minorHAnsi"/>
          <w:color w:val="7030A0"/>
        </w:rPr>
        <w:t xml:space="preserve"> while p</w:t>
      </w:r>
      <w:r w:rsidRPr="009C6FF7">
        <w:rPr>
          <w:rFonts w:cstheme="minorHAnsi"/>
          <w:color w:val="7030A0"/>
        </w:rPr>
        <w:t xml:space="preserve">ositive family history, rural residence, and low citrus intake were also independently associated with increased odds of </w:t>
      </w:r>
      <w:r w:rsidR="009C6FF7" w:rsidRPr="009C6FF7">
        <w:rPr>
          <w:rFonts w:cstheme="minorHAnsi"/>
          <w:color w:val="7030A0"/>
        </w:rPr>
        <w:t xml:space="preserve">iron deficiency anemia </w:t>
      </w:r>
      <w:r w:rsidR="009C6FF7" w:rsidRPr="009C6FF7">
        <w:rPr>
          <w:rFonts w:cstheme="minorHAnsi"/>
          <w:b/>
          <w:bCs/>
          <w:color w:val="7030A0"/>
        </w:rPr>
        <w:t>[4].</w:t>
      </w:r>
    </w:p>
    <w:p w14:paraId="5AC9FADE" w14:textId="7048D465" w:rsidR="00844D5F" w:rsidRDefault="009C6FF7" w:rsidP="009C6FF7">
      <w:pPr>
        <w:pStyle w:val="ListParagraph"/>
        <w:numPr>
          <w:ilvl w:val="2"/>
          <w:numId w:val="3"/>
        </w:numPr>
        <w:jc w:val="both"/>
        <w:rPr>
          <w:rFonts w:cstheme="minorHAnsi"/>
          <w:color w:val="auto"/>
        </w:rPr>
      </w:pPr>
      <w:r w:rsidRPr="009C6FF7">
        <w:rPr>
          <w:rFonts w:cstheme="minorHAnsi"/>
          <w:color w:val="auto"/>
        </w:rPr>
        <w:t xml:space="preserve">LAB MEDIA: Figure 3. </w:t>
      </w:r>
      <w:r w:rsidRPr="001C6BE7">
        <w:rPr>
          <w:rFonts w:cstheme="minorHAnsi"/>
          <w:i/>
          <w:color w:val="0070C0"/>
        </w:rPr>
        <w:t>Video editor: Please highlight the row labeled “Low Red Meat Intake” and its green dot</w:t>
      </w:r>
    </w:p>
    <w:p w14:paraId="06FABB5F" w14:textId="69119F2E" w:rsidR="009C6FF7" w:rsidRDefault="009C6FF7" w:rsidP="009C6FF7">
      <w:pPr>
        <w:pStyle w:val="ListParagraph"/>
        <w:numPr>
          <w:ilvl w:val="2"/>
          <w:numId w:val="3"/>
        </w:numPr>
        <w:jc w:val="both"/>
        <w:rPr>
          <w:rFonts w:cstheme="minorHAnsi"/>
          <w:color w:val="auto"/>
        </w:rPr>
      </w:pPr>
      <w:r w:rsidRPr="009C6FF7">
        <w:rPr>
          <w:rFonts w:cstheme="minorHAnsi"/>
          <w:color w:val="auto"/>
        </w:rPr>
        <w:t xml:space="preserve">LAB MEDIA: Figure 3. </w:t>
      </w:r>
      <w:r w:rsidRPr="001C6BE7">
        <w:rPr>
          <w:rFonts w:cstheme="minorHAnsi"/>
          <w:i/>
          <w:color w:val="0070C0"/>
        </w:rPr>
        <w:t>Video editor: Please highlight the row labeled “Low Poultry</w:t>
      </w:r>
      <w:r w:rsidRPr="009C6FF7">
        <w:rPr>
          <w:rFonts w:cstheme="minorHAnsi"/>
          <w:color w:val="auto"/>
        </w:rPr>
        <w:t xml:space="preserve"> </w:t>
      </w:r>
      <w:r w:rsidRPr="001C6BE7">
        <w:rPr>
          <w:rFonts w:cstheme="minorHAnsi"/>
          <w:i/>
          <w:color w:val="0070C0"/>
        </w:rPr>
        <w:t>Intake” and its green dot</w:t>
      </w:r>
    </w:p>
    <w:p w14:paraId="57350FA4" w14:textId="5D34CA5A" w:rsidR="009C6FF7" w:rsidRDefault="009C6FF7" w:rsidP="009C6FF7">
      <w:pPr>
        <w:pStyle w:val="ListParagraph"/>
        <w:numPr>
          <w:ilvl w:val="2"/>
          <w:numId w:val="3"/>
        </w:numPr>
        <w:jc w:val="both"/>
        <w:rPr>
          <w:rFonts w:cstheme="minorHAnsi"/>
          <w:color w:val="auto"/>
        </w:rPr>
      </w:pPr>
      <w:r w:rsidRPr="009C6FF7">
        <w:rPr>
          <w:rFonts w:cstheme="minorHAnsi"/>
          <w:color w:val="auto"/>
        </w:rPr>
        <w:t xml:space="preserve">LAB MEDIA: Figure 3. </w:t>
      </w:r>
      <w:r w:rsidRPr="001C6BE7">
        <w:rPr>
          <w:rFonts w:cstheme="minorHAnsi"/>
          <w:i/>
          <w:color w:val="0070C0"/>
        </w:rPr>
        <w:t>Video editor: Please highlight the row labeled “Pregnancy”</w:t>
      </w:r>
      <w:r w:rsidRPr="009C6FF7">
        <w:rPr>
          <w:rFonts w:cstheme="minorHAnsi"/>
          <w:color w:val="auto"/>
        </w:rPr>
        <w:t xml:space="preserve"> </w:t>
      </w:r>
      <w:r w:rsidRPr="001C6BE7">
        <w:rPr>
          <w:rFonts w:cstheme="minorHAnsi"/>
          <w:i/>
          <w:color w:val="0070C0"/>
        </w:rPr>
        <w:t>and its green dot</w:t>
      </w:r>
    </w:p>
    <w:p w14:paraId="189CB0A6" w14:textId="02742F0D" w:rsidR="006A33FF" w:rsidRDefault="006A33FF" w:rsidP="006A33FF">
      <w:pPr>
        <w:pStyle w:val="ListParagraph"/>
        <w:numPr>
          <w:ilvl w:val="2"/>
          <w:numId w:val="3"/>
        </w:numPr>
        <w:jc w:val="both"/>
        <w:rPr>
          <w:rFonts w:cstheme="minorHAnsi"/>
          <w:color w:val="auto"/>
        </w:rPr>
      </w:pPr>
      <w:r w:rsidRPr="009C6FF7">
        <w:rPr>
          <w:rFonts w:cstheme="minorHAnsi"/>
          <w:color w:val="auto"/>
        </w:rPr>
        <w:t xml:space="preserve">LAB MEDIA: Figure 3. </w:t>
      </w:r>
      <w:r w:rsidRPr="001C6BE7">
        <w:rPr>
          <w:rFonts w:cstheme="minorHAnsi"/>
          <w:i/>
          <w:color w:val="0070C0"/>
        </w:rPr>
        <w:t xml:space="preserve">Video editor: Please highlight the row labeled “positive history”, </w:t>
      </w:r>
      <w:r w:rsidR="00E32DB4">
        <w:rPr>
          <w:rFonts w:cstheme="minorHAnsi"/>
          <w:i/>
          <w:color w:val="0070C0"/>
        </w:rPr>
        <w:t>“</w:t>
      </w:r>
      <w:r w:rsidRPr="001C6BE7">
        <w:rPr>
          <w:rFonts w:cstheme="minorHAnsi"/>
          <w:i/>
          <w:color w:val="0070C0"/>
        </w:rPr>
        <w:t>rural residence</w:t>
      </w:r>
      <w:r w:rsidR="00E32DB4">
        <w:rPr>
          <w:rFonts w:cstheme="minorHAnsi"/>
          <w:i/>
          <w:color w:val="0070C0"/>
        </w:rPr>
        <w:t>”</w:t>
      </w:r>
      <w:r w:rsidRPr="001C6BE7">
        <w:rPr>
          <w:rFonts w:cstheme="minorHAnsi"/>
          <w:i/>
          <w:color w:val="0070C0"/>
        </w:rPr>
        <w:t xml:space="preserve"> and </w:t>
      </w:r>
      <w:r w:rsidR="00E32DB4">
        <w:rPr>
          <w:rFonts w:cstheme="minorHAnsi"/>
          <w:i/>
          <w:color w:val="0070C0"/>
        </w:rPr>
        <w:t>“</w:t>
      </w:r>
      <w:r w:rsidRPr="001C6BE7">
        <w:rPr>
          <w:rFonts w:cstheme="minorHAnsi"/>
          <w:i/>
          <w:color w:val="0070C0"/>
        </w:rPr>
        <w:t>low citrus</w:t>
      </w:r>
      <w:r w:rsidR="00E32DB4">
        <w:rPr>
          <w:rFonts w:cstheme="minorHAnsi"/>
          <w:i/>
          <w:color w:val="0070C0"/>
        </w:rPr>
        <w:t>”</w:t>
      </w:r>
      <w:r w:rsidRPr="001C6BE7">
        <w:rPr>
          <w:rFonts w:cstheme="minorHAnsi"/>
          <w:i/>
          <w:color w:val="0070C0"/>
        </w:rPr>
        <w:t xml:space="preserve"> intake with their respective green dots</w:t>
      </w:r>
    </w:p>
    <w:p w14:paraId="648170AB" w14:textId="77777777" w:rsidR="009C6FF7" w:rsidRPr="009C6FF7" w:rsidRDefault="009C6FF7" w:rsidP="006A33FF">
      <w:pPr>
        <w:pStyle w:val="ListParagraph"/>
        <w:ind w:left="1627"/>
        <w:jc w:val="both"/>
        <w:rPr>
          <w:rFonts w:cstheme="minorHAnsi"/>
          <w:color w:val="auto"/>
        </w:rPr>
      </w:pPr>
    </w:p>
    <w:sectPr w:rsidR="009C6FF7" w:rsidRPr="009C6FF7" w:rsidSect="00BA553A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C1386" w14:textId="77777777" w:rsidR="006F4F4C" w:rsidRDefault="006F4F4C">
      <w:r>
        <w:separator/>
      </w:r>
    </w:p>
    <w:p w14:paraId="5745FD9B" w14:textId="77777777" w:rsidR="006F4F4C" w:rsidRDefault="006F4F4C"/>
  </w:endnote>
  <w:endnote w:type="continuationSeparator" w:id="0">
    <w:p w14:paraId="46B46E8C" w14:textId="77777777" w:rsidR="006F4F4C" w:rsidRDefault="006F4F4C">
      <w:r>
        <w:continuationSeparator/>
      </w:r>
    </w:p>
    <w:p w14:paraId="1301BF76" w14:textId="77777777" w:rsidR="006F4F4C" w:rsidRDefault="006F4F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AC42F" w14:textId="77777777" w:rsidR="004978AF" w:rsidRDefault="004978AF" w:rsidP="004978AF">
    <w:pPr>
      <w:pStyle w:val="Footer"/>
      <w:tabs>
        <w:tab w:val="clear" w:pos="8640"/>
        <w:tab w:val="right" w:pos="9360"/>
      </w:tabs>
      <w:rPr>
        <w:rFonts w:cstheme="minorHAnsi"/>
      </w:rPr>
    </w:pPr>
  </w:p>
  <w:p w14:paraId="55E3912D" w14:textId="18FFC200" w:rsidR="004978AF" w:rsidRDefault="004978AF" w:rsidP="004978AF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 Aug 2</w:t>
    </w:r>
    <w:r>
      <w:rPr>
        <w:rFonts w:cstheme="minorHAnsi"/>
        <w:lang w:val="en-IN"/>
      </w:rPr>
      <w:t>7</w:t>
    </w:r>
    <w:r>
      <w:rPr>
        <w:rFonts w:cstheme="minorHAnsi"/>
        <w:lang w:val="en-IN"/>
      </w:rPr>
      <w:t>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3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11</w:t>
    </w:r>
    <w:r>
      <w:rPr>
        <w:rFonts w:cstheme="minorHAnsi"/>
      </w:rPr>
      <w:fldChar w:fldCharType="end"/>
    </w:r>
  </w:p>
  <w:p w14:paraId="16454B42" w14:textId="77777777" w:rsidR="004978AF" w:rsidRPr="00E11624" w:rsidRDefault="004978AF" w:rsidP="004978AF">
    <w:pPr>
      <w:pStyle w:val="Footer"/>
    </w:pPr>
  </w:p>
  <w:p w14:paraId="746ABD70" w14:textId="497984AC" w:rsidR="00ED23F4" w:rsidRPr="004978AF" w:rsidRDefault="00ED23F4" w:rsidP="004978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1A443" w14:textId="77777777" w:rsidR="006F4F4C" w:rsidRDefault="006F4F4C">
      <w:r>
        <w:separator/>
      </w:r>
    </w:p>
    <w:p w14:paraId="0627843F" w14:textId="77777777" w:rsidR="006F4F4C" w:rsidRDefault="006F4F4C"/>
  </w:footnote>
  <w:footnote w:type="continuationSeparator" w:id="0">
    <w:p w14:paraId="39267763" w14:textId="77777777" w:rsidR="006F4F4C" w:rsidRDefault="006F4F4C">
      <w:r>
        <w:continuationSeparator/>
      </w:r>
    </w:p>
    <w:p w14:paraId="13BEF526" w14:textId="77777777" w:rsidR="006F4F4C" w:rsidRDefault="006F4F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34D1" w14:textId="77777777" w:rsidR="004978AF" w:rsidRPr="00CF1D3E" w:rsidRDefault="004978AF" w:rsidP="004978A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2127079A" wp14:editId="715B51F8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Narration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9FEA63E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4551378">
    <w:abstractNumId w:val="32"/>
  </w:num>
  <w:num w:numId="2" w16cid:durableId="1788236761">
    <w:abstractNumId w:val="34"/>
  </w:num>
  <w:num w:numId="3" w16cid:durableId="492794127">
    <w:abstractNumId w:val="33"/>
  </w:num>
  <w:num w:numId="4" w16cid:durableId="1897617002">
    <w:abstractNumId w:val="26"/>
  </w:num>
  <w:num w:numId="5" w16cid:durableId="1975327330">
    <w:abstractNumId w:val="14"/>
  </w:num>
  <w:num w:numId="6" w16cid:durableId="1495683218">
    <w:abstractNumId w:val="29"/>
  </w:num>
  <w:num w:numId="7" w16cid:durableId="1714192106">
    <w:abstractNumId w:val="36"/>
  </w:num>
  <w:num w:numId="8" w16cid:durableId="681392218">
    <w:abstractNumId w:val="11"/>
  </w:num>
  <w:num w:numId="9" w16cid:durableId="1254897237">
    <w:abstractNumId w:val="17"/>
  </w:num>
  <w:num w:numId="10" w16cid:durableId="1490516984">
    <w:abstractNumId w:val="23"/>
  </w:num>
  <w:num w:numId="11" w16cid:durableId="14475826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2912280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2602658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433094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111328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1946096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46351349">
    <w:abstractNumId w:val="31"/>
  </w:num>
  <w:num w:numId="18" w16cid:durableId="2138910035">
    <w:abstractNumId w:val="27"/>
  </w:num>
  <w:num w:numId="19" w16cid:durableId="1428691310">
    <w:abstractNumId w:val="25"/>
  </w:num>
  <w:num w:numId="20" w16cid:durableId="765156078">
    <w:abstractNumId w:val="19"/>
  </w:num>
  <w:num w:numId="21" w16cid:durableId="358505021">
    <w:abstractNumId w:val="18"/>
  </w:num>
  <w:num w:numId="22" w16cid:durableId="1552032785">
    <w:abstractNumId w:val="10"/>
  </w:num>
  <w:num w:numId="23" w16cid:durableId="884368969">
    <w:abstractNumId w:val="16"/>
  </w:num>
  <w:num w:numId="24" w16cid:durableId="710689125">
    <w:abstractNumId w:val="30"/>
  </w:num>
  <w:num w:numId="25" w16cid:durableId="1339650654">
    <w:abstractNumId w:val="13"/>
  </w:num>
  <w:num w:numId="26" w16cid:durableId="1088382996">
    <w:abstractNumId w:val="24"/>
  </w:num>
  <w:num w:numId="27" w16cid:durableId="1895458990">
    <w:abstractNumId w:val="21"/>
  </w:num>
  <w:num w:numId="28" w16cid:durableId="332227572">
    <w:abstractNumId w:val="9"/>
  </w:num>
  <w:num w:numId="29" w16cid:durableId="195850184">
    <w:abstractNumId w:val="7"/>
  </w:num>
  <w:num w:numId="30" w16cid:durableId="1982416617">
    <w:abstractNumId w:val="6"/>
  </w:num>
  <w:num w:numId="31" w16cid:durableId="297806934">
    <w:abstractNumId w:val="5"/>
  </w:num>
  <w:num w:numId="32" w16cid:durableId="613245865">
    <w:abstractNumId w:val="4"/>
  </w:num>
  <w:num w:numId="33" w16cid:durableId="1936933503">
    <w:abstractNumId w:val="8"/>
  </w:num>
  <w:num w:numId="34" w16cid:durableId="401030196">
    <w:abstractNumId w:val="3"/>
  </w:num>
  <w:num w:numId="35" w16cid:durableId="22947226">
    <w:abstractNumId w:val="2"/>
  </w:num>
  <w:num w:numId="36" w16cid:durableId="758988323">
    <w:abstractNumId w:val="1"/>
  </w:num>
  <w:num w:numId="37" w16cid:durableId="1337490097">
    <w:abstractNumId w:val="0"/>
  </w:num>
  <w:num w:numId="38" w16cid:durableId="1380591057">
    <w:abstractNumId w:val="15"/>
  </w:num>
  <w:num w:numId="39" w16cid:durableId="640427663">
    <w:abstractNumId w:val="35"/>
  </w:num>
  <w:num w:numId="40" w16cid:durableId="741681598">
    <w:abstractNumId w:val="20"/>
  </w:num>
  <w:num w:numId="41" w16cid:durableId="1031567705">
    <w:abstractNumId w:val="22"/>
  </w:num>
  <w:num w:numId="42" w16cid:durableId="1946645744">
    <w:abstractNumId w:val="28"/>
  </w:num>
  <w:num w:numId="43" w16cid:durableId="207115440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97E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BBE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27EB1"/>
    <w:rsid w:val="001302B1"/>
    <w:rsid w:val="001331E3"/>
    <w:rsid w:val="00143557"/>
    <w:rsid w:val="001469E6"/>
    <w:rsid w:val="00151824"/>
    <w:rsid w:val="001528A5"/>
    <w:rsid w:val="00160413"/>
    <w:rsid w:val="00160745"/>
    <w:rsid w:val="00162D51"/>
    <w:rsid w:val="00176D6F"/>
    <w:rsid w:val="00177B33"/>
    <w:rsid w:val="001819E3"/>
    <w:rsid w:val="00184EF9"/>
    <w:rsid w:val="00191A77"/>
    <w:rsid w:val="001A27B9"/>
    <w:rsid w:val="001A7997"/>
    <w:rsid w:val="001B1537"/>
    <w:rsid w:val="001B3024"/>
    <w:rsid w:val="001B38A7"/>
    <w:rsid w:val="001B5C46"/>
    <w:rsid w:val="001C3C85"/>
    <w:rsid w:val="001C5DB5"/>
    <w:rsid w:val="001C6BE7"/>
    <w:rsid w:val="001C7BBC"/>
    <w:rsid w:val="001D3B55"/>
    <w:rsid w:val="001D66A5"/>
    <w:rsid w:val="001E0433"/>
    <w:rsid w:val="001E2225"/>
    <w:rsid w:val="001E230F"/>
    <w:rsid w:val="001E3EB5"/>
    <w:rsid w:val="001E52A3"/>
    <w:rsid w:val="001F07BD"/>
    <w:rsid w:val="001F0890"/>
    <w:rsid w:val="001F108B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639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1739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3F5E23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978AF"/>
    <w:rsid w:val="004C1095"/>
    <w:rsid w:val="004C2DAD"/>
    <w:rsid w:val="004D2E69"/>
    <w:rsid w:val="004D4A4F"/>
    <w:rsid w:val="004D5C8C"/>
    <w:rsid w:val="004E0C5A"/>
    <w:rsid w:val="004E282E"/>
    <w:rsid w:val="004E2BE1"/>
    <w:rsid w:val="004E35F1"/>
    <w:rsid w:val="004E3F8E"/>
    <w:rsid w:val="004E4801"/>
    <w:rsid w:val="004E5008"/>
    <w:rsid w:val="004F0511"/>
    <w:rsid w:val="004F664D"/>
    <w:rsid w:val="0050227D"/>
    <w:rsid w:val="00511F52"/>
    <w:rsid w:val="00513853"/>
    <w:rsid w:val="005162F4"/>
    <w:rsid w:val="0052184A"/>
    <w:rsid w:val="00523A88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4D"/>
    <w:rsid w:val="00565757"/>
    <w:rsid w:val="005829FA"/>
    <w:rsid w:val="00585ECC"/>
    <w:rsid w:val="00586E51"/>
    <w:rsid w:val="00595774"/>
    <w:rsid w:val="00597FDA"/>
    <w:rsid w:val="005A02B6"/>
    <w:rsid w:val="005A09D8"/>
    <w:rsid w:val="005A1F5E"/>
    <w:rsid w:val="005A33C6"/>
    <w:rsid w:val="005A3F8F"/>
    <w:rsid w:val="005A5877"/>
    <w:rsid w:val="005B6859"/>
    <w:rsid w:val="005B7B9A"/>
    <w:rsid w:val="005C6D1E"/>
    <w:rsid w:val="005D0F8B"/>
    <w:rsid w:val="005D5A28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44BC"/>
    <w:rsid w:val="0061510E"/>
    <w:rsid w:val="006161F3"/>
    <w:rsid w:val="00616877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639"/>
    <w:rsid w:val="00664850"/>
    <w:rsid w:val="0067274F"/>
    <w:rsid w:val="00674C1D"/>
    <w:rsid w:val="006801B1"/>
    <w:rsid w:val="00682FD4"/>
    <w:rsid w:val="006879E7"/>
    <w:rsid w:val="0069665E"/>
    <w:rsid w:val="006A0250"/>
    <w:rsid w:val="006A14A2"/>
    <w:rsid w:val="006A21CB"/>
    <w:rsid w:val="006A33FF"/>
    <w:rsid w:val="006A6324"/>
    <w:rsid w:val="006B1A30"/>
    <w:rsid w:val="006B2573"/>
    <w:rsid w:val="006B290F"/>
    <w:rsid w:val="006C08AE"/>
    <w:rsid w:val="006C0E87"/>
    <w:rsid w:val="006C1A3B"/>
    <w:rsid w:val="006C2C39"/>
    <w:rsid w:val="006C4093"/>
    <w:rsid w:val="006D1F9B"/>
    <w:rsid w:val="006D3AC7"/>
    <w:rsid w:val="006D7676"/>
    <w:rsid w:val="006E16D4"/>
    <w:rsid w:val="006F00AD"/>
    <w:rsid w:val="006F06AF"/>
    <w:rsid w:val="006F2681"/>
    <w:rsid w:val="006F4F4C"/>
    <w:rsid w:val="00703A45"/>
    <w:rsid w:val="00710EA3"/>
    <w:rsid w:val="0071156C"/>
    <w:rsid w:val="0071294C"/>
    <w:rsid w:val="00716A9B"/>
    <w:rsid w:val="007242D1"/>
    <w:rsid w:val="00724E3B"/>
    <w:rsid w:val="00730855"/>
    <w:rsid w:val="007319A8"/>
    <w:rsid w:val="00731E5D"/>
    <w:rsid w:val="00745D4B"/>
    <w:rsid w:val="007460F6"/>
    <w:rsid w:val="00746865"/>
    <w:rsid w:val="007474E4"/>
    <w:rsid w:val="007537E2"/>
    <w:rsid w:val="007548F3"/>
    <w:rsid w:val="007574EC"/>
    <w:rsid w:val="00761D79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2713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9A"/>
    <w:rsid w:val="008373A7"/>
    <w:rsid w:val="00844D5F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4721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430E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70AB3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6FF7"/>
    <w:rsid w:val="009C7B9A"/>
    <w:rsid w:val="009D21B9"/>
    <w:rsid w:val="009E4241"/>
    <w:rsid w:val="009F0554"/>
    <w:rsid w:val="009F3487"/>
    <w:rsid w:val="009F356C"/>
    <w:rsid w:val="009F51F2"/>
    <w:rsid w:val="00A05E2F"/>
    <w:rsid w:val="00A07468"/>
    <w:rsid w:val="00A20DA8"/>
    <w:rsid w:val="00A21249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0CF8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523F"/>
    <w:rsid w:val="00B340A8"/>
    <w:rsid w:val="00B3428E"/>
    <w:rsid w:val="00B36993"/>
    <w:rsid w:val="00B40E12"/>
    <w:rsid w:val="00B435B8"/>
    <w:rsid w:val="00B4499C"/>
    <w:rsid w:val="00B5116D"/>
    <w:rsid w:val="00B5662E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ABA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A3C8E"/>
    <w:rsid w:val="00CB039A"/>
    <w:rsid w:val="00CB0B79"/>
    <w:rsid w:val="00CB0EED"/>
    <w:rsid w:val="00CB5DE5"/>
    <w:rsid w:val="00CC0C58"/>
    <w:rsid w:val="00CC29BF"/>
    <w:rsid w:val="00CC446D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22E53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47829"/>
    <w:rsid w:val="00D51335"/>
    <w:rsid w:val="00D5169F"/>
    <w:rsid w:val="00D61A88"/>
    <w:rsid w:val="00D62FE2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6F70"/>
    <w:rsid w:val="00E072C2"/>
    <w:rsid w:val="00E12787"/>
    <w:rsid w:val="00E15026"/>
    <w:rsid w:val="00E24673"/>
    <w:rsid w:val="00E24898"/>
    <w:rsid w:val="00E25BB7"/>
    <w:rsid w:val="00E32DB4"/>
    <w:rsid w:val="00E355EE"/>
    <w:rsid w:val="00E35FB3"/>
    <w:rsid w:val="00E370EB"/>
    <w:rsid w:val="00E44C46"/>
    <w:rsid w:val="00E47B65"/>
    <w:rsid w:val="00E517FE"/>
    <w:rsid w:val="00E6515B"/>
    <w:rsid w:val="00E65758"/>
    <w:rsid w:val="00E662CA"/>
    <w:rsid w:val="00E762DA"/>
    <w:rsid w:val="00E8076C"/>
    <w:rsid w:val="00E87DA4"/>
    <w:rsid w:val="00E95B71"/>
    <w:rsid w:val="00EA15F6"/>
    <w:rsid w:val="00EA20E5"/>
    <w:rsid w:val="00EA2756"/>
    <w:rsid w:val="00EA4B94"/>
    <w:rsid w:val="00EA60D4"/>
    <w:rsid w:val="00EB3549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44C23"/>
    <w:rsid w:val="00F528F2"/>
    <w:rsid w:val="00F56A75"/>
    <w:rsid w:val="00F60B45"/>
    <w:rsid w:val="00F60C18"/>
    <w:rsid w:val="00F64FB6"/>
    <w:rsid w:val="00F71F18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E6ACA"/>
    <w:rsid w:val="00FE7875"/>
    <w:rsid w:val="00FF0ED9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ShotDescription">
    <w:name w:val="Shot Description"/>
    <w:basedOn w:val="TemplateShot"/>
    <w:link w:val="ShotDescriptionChar"/>
    <w:qFormat/>
    <w:rsid w:val="006144B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144BC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6144BC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6144BC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Narration">
    <w:name w:val="Narration"/>
    <w:basedOn w:val="TemplateNarration"/>
    <w:link w:val="NarrationChar"/>
    <w:qFormat/>
    <w:rsid w:val="006144BC"/>
    <w:pPr>
      <w:numPr>
        <w:ilvl w:val="1"/>
        <w:numId w:val="1"/>
      </w:numPr>
      <w:ind w:left="907"/>
    </w:pPr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144BC"/>
    <w:rPr>
      <w:rFonts w:ascii="Calibri" w:hAnsi="Calibri" w:cs="Calibri"/>
      <w:iCs w:val="0"/>
      <w:color w:val="7030A0"/>
      <w:lang w:val="en-GB"/>
    </w:rPr>
  </w:style>
  <w:style w:type="paragraph" w:customStyle="1" w:styleId="pdq2pgselectionanchorcontainer">
    <w:name w:val="pdq2pg_selectionanchorcontainer"/>
    <w:basedOn w:val="Normal"/>
    <w:rsid w:val="00D47829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</w:rPr>
  </w:style>
  <w:style w:type="character" w:styleId="Strong">
    <w:name w:val="Strong"/>
    <w:basedOn w:val="DefaultParagraphFont"/>
    <w:uiPriority w:val="22"/>
    <w:qFormat/>
    <w:rsid w:val="00D4782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7829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B25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0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85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06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65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550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14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32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1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7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24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5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41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774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6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9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76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29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27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283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045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laly@ub.edu.sa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210758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221075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utkarsh.khare@jov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laly@ub.edu.sa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9</Pages>
  <Words>1614</Words>
  <Characters>9204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10797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114</cp:revision>
  <dcterms:created xsi:type="dcterms:W3CDTF">2023-06-29T06:34:00Z</dcterms:created>
  <dcterms:modified xsi:type="dcterms:W3CDTF">2026-08-27T05:18:00Z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