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2EB228" w14:textId="77777777" w:rsidR="001D7B03" w:rsidRPr="00A443E2" w:rsidRDefault="00000000" w:rsidP="00A443E2">
      <w:pPr>
        <w:pBdr>
          <w:top w:val="nil"/>
          <w:left w:val="nil"/>
          <w:bottom w:val="nil"/>
          <w:right w:val="nil"/>
          <w:between w:val="nil"/>
        </w:pBdr>
      </w:pPr>
      <w:r w:rsidRPr="00A443E2">
        <w:rPr>
          <w:b/>
          <w:bCs/>
        </w:rPr>
        <w:t>TITLE:</w:t>
      </w:r>
    </w:p>
    <w:p w14:paraId="3C755ACF" w14:textId="77777777" w:rsidR="001D7B03" w:rsidRPr="00A443E2" w:rsidRDefault="00000000" w:rsidP="00A443E2">
      <w:pPr>
        <w:rPr>
          <w:i/>
          <w:iCs/>
        </w:rPr>
      </w:pPr>
      <w:r w:rsidRPr="00A443E2">
        <w:rPr>
          <w:i/>
          <w:iCs/>
        </w:rPr>
        <w:t xml:space="preserve">In Vitro </w:t>
      </w:r>
      <w:r w:rsidRPr="00A443E2">
        <w:t>Fluid Shear Stress Platforms for Investigating Immune Cell Mechanobiology and Cancer Metastasis</w:t>
      </w:r>
    </w:p>
    <w:p w14:paraId="7D298C77" w14:textId="77777777" w:rsidR="001D7B03" w:rsidRPr="00A443E2" w:rsidRDefault="001D7B03" w:rsidP="00A443E2">
      <w:pPr>
        <w:rPr>
          <w:b/>
          <w:bCs/>
        </w:rPr>
      </w:pPr>
    </w:p>
    <w:p w14:paraId="3DFEA632" w14:textId="77777777" w:rsidR="001D7B03" w:rsidRPr="00A443E2" w:rsidRDefault="00000000" w:rsidP="00A443E2">
      <w:r w:rsidRPr="00A443E2">
        <w:rPr>
          <w:b/>
          <w:bCs/>
        </w:rPr>
        <w:t>AUTHORS AND AFFILIATIONS:</w:t>
      </w:r>
    </w:p>
    <w:p w14:paraId="6D3A9478" w14:textId="77777777" w:rsidR="001D7B03" w:rsidRPr="00A443E2" w:rsidRDefault="00000000" w:rsidP="00A443E2">
      <w:r w:rsidRPr="00A443E2">
        <w:t>Melissa S. Cantú</w:t>
      </w:r>
      <w:r w:rsidRPr="00A443E2">
        <w:rPr>
          <w:vertAlign w:val="superscript"/>
        </w:rPr>
        <w:t>1</w:t>
      </w:r>
      <w:r w:rsidRPr="00A443E2">
        <w:t>, Abigail R. Fabiano</w:t>
      </w:r>
      <w:r w:rsidRPr="00A443E2">
        <w:rPr>
          <w:vertAlign w:val="superscript"/>
        </w:rPr>
        <w:t>1</w:t>
      </w:r>
      <w:r w:rsidRPr="00A443E2">
        <w:t>, Natalie M. Curry</w:t>
      </w:r>
      <w:r w:rsidRPr="00A443E2">
        <w:rPr>
          <w:vertAlign w:val="superscript"/>
        </w:rPr>
        <w:t>1</w:t>
      </w:r>
      <w:r w:rsidRPr="00A443E2">
        <w:t>, Tatum Thompson</w:t>
      </w:r>
      <w:r w:rsidRPr="00A443E2">
        <w:rPr>
          <w:vertAlign w:val="superscript"/>
        </w:rPr>
        <w:t>1</w:t>
      </w:r>
      <w:r w:rsidRPr="00A443E2">
        <w:t>, Nicole S. Sarna</w:t>
      </w:r>
      <w:r w:rsidRPr="00A443E2">
        <w:rPr>
          <w:vertAlign w:val="superscript"/>
        </w:rPr>
        <w:t>1</w:t>
      </w:r>
      <w:r w:rsidRPr="00A443E2">
        <w:t>, Michael R. King</w:t>
      </w:r>
      <w:r w:rsidRPr="00A443E2">
        <w:rPr>
          <w:vertAlign w:val="superscript"/>
        </w:rPr>
        <w:t>1*</w:t>
      </w:r>
      <w:r w:rsidRPr="00A443E2">
        <w:t xml:space="preserve"> </w:t>
      </w:r>
    </w:p>
    <w:p w14:paraId="7B5EA44B" w14:textId="77777777" w:rsidR="001D7B03" w:rsidRPr="00A443E2" w:rsidRDefault="001D7B03" w:rsidP="00A443E2"/>
    <w:p w14:paraId="78D1D63E" w14:textId="77777777" w:rsidR="001D7B03" w:rsidRPr="00A443E2" w:rsidRDefault="00000000" w:rsidP="00A443E2">
      <w:r w:rsidRPr="00A443E2">
        <w:rPr>
          <w:vertAlign w:val="superscript"/>
        </w:rPr>
        <w:t>1</w:t>
      </w:r>
      <w:r w:rsidRPr="00A443E2">
        <w:t>Department of Bioengineering, Rice University, Houston, TX, USA</w:t>
      </w:r>
    </w:p>
    <w:p w14:paraId="2514F240" w14:textId="77777777" w:rsidR="001D7B03" w:rsidRPr="00A443E2" w:rsidRDefault="001D7B03" w:rsidP="00A443E2"/>
    <w:p w14:paraId="2F9E401E" w14:textId="77777777" w:rsidR="001D7B03" w:rsidRPr="00A443E2" w:rsidRDefault="00000000" w:rsidP="00A443E2">
      <w:pPr>
        <w:widowControl/>
        <w:contextualSpacing/>
        <w:rPr>
          <w:bCs/>
          <w:lang w:val="tr-TR"/>
        </w:rPr>
      </w:pPr>
      <w:r w:rsidRPr="00A443E2">
        <w:rPr>
          <w:bCs/>
          <w:lang w:val="tr-TR"/>
        </w:rPr>
        <w:t>Email addresses of the co-authors:</w:t>
      </w:r>
    </w:p>
    <w:p w14:paraId="650E8195" w14:textId="77777777" w:rsidR="001D7B03" w:rsidRPr="00A443E2" w:rsidRDefault="00000000" w:rsidP="00A443E2">
      <w:pPr>
        <w:rPr>
          <w:lang w:val="fr-FR"/>
        </w:rPr>
      </w:pPr>
      <w:r w:rsidRPr="00A443E2">
        <w:rPr>
          <w:lang w:val="fr-FR"/>
        </w:rPr>
        <w:t>Melissa S. Cantú</w:t>
      </w:r>
      <w:r w:rsidRPr="00A443E2">
        <w:rPr>
          <w:vertAlign w:val="superscript"/>
          <w:lang w:val="fr-FR"/>
        </w:rPr>
        <w:t xml:space="preserve"> </w:t>
      </w:r>
      <w:r w:rsidRPr="00A443E2">
        <w:rPr>
          <w:lang w:val="fr-FR"/>
        </w:rPr>
        <w:t xml:space="preserve">                     </w:t>
      </w:r>
      <w:proofErr w:type="gramStart"/>
      <w:r w:rsidRPr="00A443E2">
        <w:rPr>
          <w:lang w:val="fr-FR"/>
        </w:rPr>
        <w:t xml:space="preserve">   (</w:t>
      </w:r>
      <w:proofErr w:type="gramEnd"/>
      <w:r w:rsidR="001D7B03">
        <w:fldChar w:fldCharType="begin"/>
      </w:r>
      <w:r w:rsidR="001D7B03" w:rsidRPr="000A0C49">
        <w:rPr>
          <w:lang w:val="fr-FR"/>
        </w:rPr>
        <w:instrText>HYPERLINK "mailto:mcantu@rice.edu"</w:instrText>
      </w:r>
      <w:r w:rsidR="001D7B03">
        <w:fldChar w:fldCharType="separate"/>
      </w:r>
      <w:r w:rsidR="001D7B03" w:rsidRPr="00A443E2">
        <w:rPr>
          <w:rStyle w:val="Hyperlink"/>
          <w:lang w:val="fr-FR"/>
        </w:rPr>
        <w:t>mcantu@rice.edu</w:t>
      </w:r>
      <w:r w:rsidR="001D7B03">
        <w:fldChar w:fldCharType="end"/>
      </w:r>
      <w:r w:rsidRPr="00A443E2">
        <w:rPr>
          <w:lang w:val="fr-FR"/>
        </w:rPr>
        <w:t xml:space="preserve">)  </w:t>
      </w:r>
    </w:p>
    <w:p w14:paraId="788E244A" w14:textId="77777777" w:rsidR="001D7B03" w:rsidRPr="00A443E2" w:rsidRDefault="00000000" w:rsidP="00A443E2">
      <w:r w:rsidRPr="00A443E2">
        <w:t>Abigail R. Fabiano</w:t>
      </w:r>
      <w:r w:rsidRPr="00A443E2">
        <w:rPr>
          <w:vertAlign w:val="superscript"/>
        </w:rPr>
        <w:t xml:space="preserve"> </w:t>
      </w:r>
      <w:r w:rsidRPr="00A443E2">
        <w:t xml:space="preserve">                     (</w:t>
      </w:r>
      <w:hyperlink r:id="rId7" w:history="1">
        <w:r w:rsidR="001D7B03" w:rsidRPr="00A443E2">
          <w:rPr>
            <w:rStyle w:val="Hyperlink"/>
          </w:rPr>
          <w:t>abby.fabiano@rice.edu</w:t>
        </w:r>
      </w:hyperlink>
      <w:r w:rsidRPr="00A443E2">
        <w:t>)</w:t>
      </w:r>
    </w:p>
    <w:p w14:paraId="0013320F" w14:textId="041FE8A8" w:rsidR="001D7B03" w:rsidRPr="000A0C49" w:rsidRDefault="00000000" w:rsidP="00A443E2">
      <w:pPr>
        <w:rPr>
          <w:lang w:val="fr-FR"/>
        </w:rPr>
      </w:pPr>
      <w:r w:rsidRPr="000A0C49">
        <w:rPr>
          <w:lang w:val="fr-FR"/>
        </w:rPr>
        <w:t>Natalie M. Curry</w:t>
      </w:r>
      <w:r w:rsidRPr="000A0C49">
        <w:rPr>
          <w:vertAlign w:val="superscript"/>
          <w:lang w:val="fr-FR"/>
        </w:rPr>
        <w:t xml:space="preserve"> </w:t>
      </w:r>
      <w:r w:rsidRPr="000A0C49">
        <w:rPr>
          <w:lang w:val="fr-FR"/>
        </w:rPr>
        <w:t xml:space="preserve">                    </w:t>
      </w:r>
      <w:proofErr w:type="gramStart"/>
      <w:r w:rsidRPr="000A0C49">
        <w:rPr>
          <w:lang w:val="fr-FR"/>
        </w:rPr>
        <w:t xml:space="preserve">   (</w:t>
      </w:r>
      <w:proofErr w:type="gramEnd"/>
      <w:r w:rsidR="000A0C49">
        <w:rPr>
          <w:lang w:val="fr-FR"/>
        </w:rPr>
        <w:fldChar w:fldCharType="begin"/>
      </w:r>
      <w:r w:rsidR="000A0C49">
        <w:rPr>
          <w:lang w:val="fr-FR"/>
        </w:rPr>
        <w:instrText>HYPERLINK "mailto:</w:instrText>
      </w:r>
      <w:r w:rsidR="000A0C49" w:rsidRPr="000A0C49">
        <w:rPr>
          <w:lang w:val="fr-FR"/>
        </w:rPr>
        <w:instrText>natalie.curry@rice.edu</w:instrText>
      </w:r>
      <w:r w:rsidR="000A0C49">
        <w:rPr>
          <w:lang w:val="fr-FR"/>
        </w:rPr>
        <w:instrText>"</w:instrText>
      </w:r>
      <w:r w:rsidR="000A0C49">
        <w:rPr>
          <w:lang w:val="fr-FR"/>
        </w:rPr>
        <w:fldChar w:fldCharType="separate"/>
      </w:r>
      <w:r w:rsidR="000A0C49" w:rsidRPr="00DB6426">
        <w:rPr>
          <w:rStyle w:val="Hyperlink"/>
          <w:lang w:val="fr-FR"/>
        </w:rPr>
        <w:t>natalie.curry@rice.edu</w:t>
      </w:r>
      <w:r w:rsidR="000A0C49">
        <w:rPr>
          <w:lang w:val="fr-FR"/>
        </w:rPr>
        <w:fldChar w:fldCharType="end"/>
      </w:r>
      <w:r w:rsidRPr="000A0C49">
        <w:rPr>
          <w:lang w:val="fr-FR"/>
        </w:rPr>
        <w:t>)</w:t>
      </w:r>
    </w:p>
    <w:p w14:paraId="7B7410A2" w14:textId="77777777" w:rsidR="001D7B03" w:rsidRPr="00A443E2" w:rsidRDefault="00000000" w:rsidP="00A443E2">
      <w:r w:rsidRPr="00A443E2">
        <w:t>Tatum Thompson                     (</w:t>
      </w:r>
      <w:hyperlink r:id="rId8" w:history="1">
        <w:r w:rsidR="001D7B03" w:rsidRPr="00A443E2">
          <w:rPr>
            <w:rStyle w:val="Hyperlink"/>
          </w:rPr>
          <w:t>tatum.thompson@rice.edu</w:t>
        </w:r>
      </w:hyperlink>
      <w:r w:rsidRPr="00A443E2">
        <w:t xml:space="preserve">) </w:t>
      </w:r>
    </w:p>
    <w:p w14:paraId="2EAF16FB" w14:textId="77777777" w:rsidR="001D7B03" w:rsidRPr="00A443E2" w:rsidRDefault="00000000" w:rsidP="00A443E2">
      <w:pPr>
        <w:rPr>
          <w:lang w:val="fr-FR"/>
        </w:rPr>
      </w:pPr>
      <w:r w:rsidRPr="00A443E2">
        <w:rPr>
          <w:lang w:val="fr-FR"/>
        </w:rPr>
        <w:t xml:space="preserve">Nicole S. Sarna                       </w:t>
      </w:r>
      <w:proofErr w:type="gramStart"/>
      <w:r w:rsidRPr="00A443E2">
        <w:rPr>
          <w:lang w:val="fr-FR"/>
        </w:rPr>
        <w:t xml:space="preserve">   (</w:t>
      </w:r>
      <w:proofErr w:type="gramEnd"/>
      <w:hyperlink r:id="rId9" w:history="1">
        <w:r w:rsidR="001D7B03" w:rsidRPr="00A443E2">
          <w:rPr>
            <w:rStyle w:val="Hyperlink"/>
            <w:lang w:val="fr-FR"/>
          </w:rPr>
          <w:t>nicole.sarna@rice.edu</w:t>
        </w:r>
      </w:hyperlink>
      <w:r w:rsidRPr="00A443E2">
        <w:rPr>
          <w:lang w:val="fr-FR"/>
        </w:rPr>
        <w:t>)</w:t>
      </w:r>
    </w:p>
    <w:p w14:paraId="0E1173AD" w14:textId="77777777" w:rsidR="001D7B03" w:rsidRPr="00A443E2" w:rsidRDefault="001D7B03" w:rsidP="00A443E2">
      <w:pPr>
        <w:rPr>
          <w:lang w:val="fr-FR"/>
        </w:rPr>
      </w:pPr>
    </w:p>
    <w:p w14:paraId="4E8F7B2E" w14:textId="77777777" w:rsidR="001D7B03" w:rsidRPr="00A443E2" w:rsidRDefault="00000000" w:rsidP="00A443E2">
      <w:pPr>
        <w:widowControl/>
        <w:contextualSpacing/>
        <w:rPr>
          <w:bCs/>
          <w:lang w:val="tr-TR"/>
        </w:rPr>
      </w:pPr>
      <w:r w:rsidRPr="00A443E2">
        <w:rPr>
          <w:bCs/>
          <w:lang w:val="tr-TR"/>
        </w:rPr>
        <w:t xml:space="preserve">*Corresponding author: </w:t>
      </w:r>
    </w:p>
    <w:p w14:paraId="71756A8D" w14:textId="77777777" w:rsidR="001D7B03" w:rsidRPr="00A443E2" w:rsidRDefault="00000000" w:rsidP="00A443E2">
      <w:r w:rsidRPr="00A443E2">
        <w:t>Michael R. King</w:t>
      </w:r>
      <w:r w:rsidRPr="00A443E2">
        <w:rPr>
          <w:vertAlign w:val="superscript"/>
        </w:rPr>
        <w:t>*</w:t>
      </w:r>
      <w:r w:rsidRPr="00A443E2">
        <w:t xml:space="preserve">                       (</w:t>
      </w:r>
      <w:hyperlink r:id="rId10" w:history="1">
        <w:r w:rsidR="001D7B03" w:rsidRPr="00A443E2">
          <w:rPr>
            <w:rStyle w:val="Hyperlink"/>
          </w:rPr>
          <w:t>mike.king@rice.edu</w:t>
        </w:r>
      </w:hyperlink>
      <w:r w:rsidRPr="00A443E2">
        <w:t xml:space="preserve">) </w:t>
      </w:r>
    </w:p>
    <w:p w14:paraId="40859111" w14:textId="77777777" w:rsidR="001D7B03" w:rsidRPr="00A443E2" w:rsidRDefault="001D7B03" w:rsidP="00A443E2">
      <w:pPr>
        <w:rPr>
          <w:b/>
          <w:bCs/>
        </w:rPr>
      </w:pPr>
    </w:p>
    <w:p w14:paraId="5F1B1E1A" w14:textId="77777777" w:rsidR="001D7B03" w:rsidRPr="00A443E2" w:rsidRDefault="00000000" w:rsidP="00A443E2">
      <w:r w:rsidRPr="00A443E2">
        <w:rPr>
          <w:b/>
          <w:bCs/>
        </w:rPr>
        <w:t>KEYWORDS:</w:t>
      </w:r>
    </w:p>
    <w:p w14:paraId="2E5EBEFC" w14:textId="77777777" w:rsidR="001D7B03" w:rsidRPr="00A443E2" w:rsidRDefault="00000000" w:rsidP="00A443E2">
      <w:r w:rsidRPr="00A443E2">
        <w:rPr>
          <w:lang w:val="en-US"/>
        </w:rPr>
        <w:t>fluid shear stress, mechanobiology, mechanotransduction, cone-and-plate viscometer, multichannel pipettor, syringe pump, T cell activation, macrophage polarization, circulating tumor cells, adoptive cell therapy</w:t>
      </w:r>
    </w:p>
    <w:p w14:paraId="03D1A6D6" w14:textId="77777777" w:rsidR="001D7B03" w:rsidRPr="00A443E2" w:rsidRDefault="001D7B03" w:rsidP="00A443E2"/>
    <w:p w14:paraId="1CFA18B1" w14:textId="77777777" w:rsidR="001D7B03" w:rsidRPr="00A443E2" w:rsidRDefault="00000000" w:rsidP="00A443E2">
      <w:r w:rsidRPr="00A443E2">
        <w:rPr>
          <w:b/>
          <w:bCs/>
        </w:rPr>
        <w:t>SUMMARY:</w:t>
      </w:r>
    </w:p>
    <w:p w14:paraId="4191F393" w14:textId="77777777" w:rsidR="001D7B03" w:rsidRPr="00A443E2" w:rsidRDefault="00000000" w:rsidP="00A443E2">
      <w:r w:rsidRPr="00A443E2">
        <w:rPr>
          <w:lang w:val="en-US"/>
        </w:rPr>
        <w:t>To investigate circulatory mechanobiology and metastasis, this method describes the process of applying physiological levels of fluid shear stress (FSS) to immune or cancer cells: either with a repurposed cone-and-plate viscometer for low-intensity, constant FSS; a multichannel pipettor for medium-intensity, cyclical FSS; or a syringe pump for high-intensity FSS pulses.</w:t>
      </w:r>
    </w:p>
    <w:p w14:paraId="173A2DDD" w14:textId="77777777" w:rsidR="001D7B03" w:rsidRPr="00A443E2" w:rsidRDefault="001D7B03" w:rsidP="00A443E2"/>
    <w:p w14:paraId="2DFE3A7F" w14:textId="77777777" w:rsidR="001D7B03" w:rsidRPr="00A443E2" w:rsidRDefault="00000000" w:rsidP="00A443E2">
      <w:r w:rsidRPr="00A443E2">
        <w:rPr>
          <w:b/>
          <w:bCs/>
        </w:rPr>
        <w:t>ABSTRACT:</w:t>
      </w:r>
    </w:p>
    <w:p w14:paraId="0D16F15B" w14:textId="77777777" w:rsidR="001D7B03" w:rsidRPr="00A443E2" w:rsidRDefault="00000000" w:rsidP="00A443E2">
      <w:pPr>
        <w:widowControl/>
      </w:pPr>
      <w:r w:rsidRPr="00A443E2">
        <w:rPr>
          <w:lang w:val="en-US"/>
        </w:rPr>
        <w:t xml:space="preserve">Mechanobiology, the study of how physical forces influence cell behavior, is a rapidly growing area of research in cancer biology and bioengineering. Cancer and immune cell behavior is now known to be regulated by dynamic physiological stimuli such as fluid shear stress (FSS) in circulation. For instance, FSS can activate immune cells or induce apoptosis in cancer cells. However, research that investigates the effects of FSS during the circulation stage of distant metastasis remains limited due to the challenge of modeling the full range of these forces </w:t>
      </w:r>
      <w:r w:rsidRPr="00A443E2">
        <w:rPr>
          <w:i/>
          <w:iCs/>
          <w:lang w:val="en-US"/>
        </w:rPr>
        <w:t>in vitro</w:t>
      </w:r>
      <w:r w:rsidRPr="00A443E2">
        <w:rPr>
          <w:lang w:val="en-US"/>
        </w:rPr>
        <w:t xml:space="preserve">. This unified protocol addresses these limitations by demonstrating how FSS intensities ranging from low to high can be modeled using either a repurposed cone-and-plate viscometer, a commercial, semi-automated multichannel pipettor, or a syringe pump with needle assembly. Here, we demonstrate how these techniques can be utilized to study the impact of FSS on vessel-borne circulating cells, with representative data on T cell phenotype, monocyte differentiation, macrophage polarization, and prostate cancer cell survival. Collectively, these FSS platforms </w:t>
      </w:r>
      <w:r w:rsidRPr="00A443E2">
        <w:rPr>
          <w:lang w:val="en-US"/>
        </w:rPr>
        <w:lastRenderedPageBreak/>
        <w:t xml:space="preserve">provide a scalable and physiologically relevant approach to systematically investigate the mechanobiology that governs cellular adaptation and response during dynamic circulatory conditions. Further, they enable the exploration of FSS-enhanced </w:t>
      </w:r>
      <w:r w:rsidRPr="00A443E2">
        <w:rPr>
          <w:i/>
          <w:iCs/>
          <w:lang w:val="en-US"/>
        </w:rPr>
        <w:t>ex vivo</w:t>
      </w:r>
      <w:r w:rsidRPr="00A443E2">
        <w:rPr>
          <w:lang w:val="en-US"/>
        </w:rPr>
        <w:t xml:space="preserve"> processing of immune cells to enhance autologous and allogeneic cell therapy.</w:t>
      </w:r>
    </w:p>
    <w:p w14:paraId="4435F405" w14:textId="77777777" w:rsidR="001D7B03" w:rsidRPr="00A443E2" w:rsidRDefault="001D7B03" w:rsidP="00A443E2"/>
    <w:p w14:paraId="64DF33FD" w14:textId="77777777" w:rsidR="001D7B03" w:rsidRPr="00A443E2" w:rsidRDefault="00000000" w:rsidP="00A443E2">
      <w:r w:rsidRPr="00A443E2">
        <w:rPr>
          <w:b/>
          <w:bCs/>
        </w:rPr>
        <w:t>INTRODUCTION:</w:t>
      </w:r>
    </w:p>
    <w:p w14:paraId="61DA5862" w14:textId="1C44D1E6" w:rsidR="001D7B03" w:rsidRPr="00A443E2" w:rsidRDefault="00000000" w:rsidP="00A443E2">
      <w:pPr>
        <w:rPr>
          <w:lang w:val="en-US"/>
        </w:rPr>
      </w:pPr>
      <w:r w:rsidRPr="00A443E2">
        <w:t xml:space="preserve">Cancer and immune cells sense and respond to dynamic mechanical signals within lymphatic and cardiovascular circulation, with well-documented effects on activation, function, and survival. </w:t>
      </w:r>
      <w:r w:rsidRPr="00A443E2">
        <w:rPr>
          <w:lang w:val="en-US"/>
        </w:rPr>
        <w:t>One such mechanical stimulus is fluid shear stress (FSS), which is exerted at varying magnitudes across healthy and diseased vasculature</w:t>
      </w:r>
      <w:sdt>
        <w:sdtPr>
          <w:rPr>
            <w:lang w:val="en-US"/>
          </w:rPr>
          <w:alias w:val="SmartCite Citation"/>
          <w:tag w:val="a9e2a68d-fe3b-412d-8c06-1ac3ca305ac6:67070b37-dfb7-4a5e-b8be-c4693ef5483a,a9e2a68d-fe3b-412d-8c06-1ac3ca305ac6:ce23d197-3d81-474d-8916-a2c513066d30+{&quot;a9e2a68d-fe3b-412d-8c06-1ac3ca305ac6:67070b37-dfb7-4a5e-b8be-c4693ef5483a&quot;:{&quot;doi&quot;:&quot;10.1109/rbme.2024.3505073&quot;,&quot;pmid&quot;:&quot;40030260&quot;},&quot;a9e2a68d-fe3b-412d-8c06-1ac3ca305ac6:ce23d197-3d81-474d-8916-a2c513066d30&quot;:{&quot;pmid&quot;:&quot;29888101&quot;,&quot;pmcid&quot;:&quot;PMC5992512&quot;}}"/>
          <w:id w:val="-732617551"/>
          <w:placeholder>
            <w:docPart w:val="94E1698C060B49C6ACDA1A3B4302AFBC"/>
          </w:placeholder>
        </w:sdtPr>
        <w:sdtContent>
          <w:r w:rsidR="00AE2E5C" w:rsidRPr="00A443E2">
            <w:rPr>
              <w:rFonts w:eastAsia="Times New Roman"/>
              <w:vertAlign w:val="superscript"/>
            </w:rPr>
            <w:t>1,2</w:t>
          </w:r>
        </w:sdtContent>
      </w:sdt>
      <w:r w:rsidRPr="00A443E2">
        <w:rPr>
          <w:lang w:val="en-US"/>
        </w:rPr>
        <w:t xml:space="preserve"> (</w:t>
      </w:r>
      <w:r w:rsidRPr="00A443E2">
        <w:rPr>
          <w:b/>
          <w:bCs/>
          <w:lang w:val="en-US"/>
        </w:rPr>
        <w:t>Figure 1A</w:t>
      </w:r>
      <w:r w:rsidRPr="00A443E2">
        <w:rPr>
          <w:lang w:val="en-US"/>
        </w:rPr>
        <w:t>). </w:t>
      </w:r>
    </w:p>
    <w:p w14:paraId="107DA1E3" w14:textId="77777777" w:rsidR="001D7B03" w:rsidRPr="00A443E2" w:rsidRDefault="001D7B03" w:rsidP="00A443E2">
      <w:pPr>
        <w:rPr>
          <w:lang w:val="en-US"/>
        </w:rPr>
      </w:pPr>
    </w:p>
    <w:p w14:paraId="3EB845BA" w14:textId="77777777" w:rsidR="001D7B03" w:rsidRPr="00A443E2" w:rsidRDefault="00000000" w:rsidP="00A443E2">
      <w:pPr>
        <w:rPr>
          <w:lang w:val="en-US"/>
        </w:rPr>
      </w:pPr>
      <w:r w:rsidRPr="00A443E2">
        <w:rPr>
          <w:lang w:val="en-US"/>
        </w:rPr>
        <w:t>As blood or lymphatic fluid flows through a vessel under a pressure gradient, the fluid exerts a tangential FSS force on contacting surfaces, such as the vessel wall or the membrane of a vessel-borne cell, along the direction of flow. Mathematically, FSS equals the product of fluid viscosity (µ) and the local velocity gradient normal to a surface, such as the vessel wall or the membrane of a vessel-borne cell</w:t>
      </w:r>
      <w:sdt>
        <w:sdtPr>
          <w:rPr>
            <w:lang w:val="en-US"/>
          </w:rPr>
          <w:alias w:val="SmartCite Citation"/>
          <w:tag w:val="a9e2a68d-fe3b-412d-8c06-1ac3ca305ac6:67070b37-dfb7-4a5e-b8be-c4693ef5483a+{&quot;a9e2a68d-fe3b-412d-8c06-1ac3ca305ac6:67070b37-dfb7-4a5e-b8be-c4693ef5483a&quot;:{&quot;doi&quot;:&quot;10.1109/rbme.2024.3505073&quot;,&quot;pmid&quot;:&quot;40030260&quot;}}"/>
          <w:id w:val="1563360973"/>
          <w:placeholder>
            <w:docPart w:val="584DED1E96E24F87B76C7641B62D0D3A"/>
          </w:placeholder>
        </w:sdtPr>
        <w:sdtContent>
          <w:r w:rsidRPr="00A443E2">
            <w:rPr>
              <w:rFonts w:eastAsia="Times New Roman"/>
              <w:vertAlign w:val="superscript"/>
            </w:rPr>
            <w:t>1</w:t>
          </w:r>
        </w:sdtContent>
      </w:sdt>
      <w:r w:rsidRPr="00A443E2">
        <w:rPr>
          <w:lang w:val="en-US"/>
        </w:rPr>
        <w:t>. In a cylindrical vessel under laminar flow, the velocity gradient is zero at the centerline and maximal at the vessel wall; therefore, cells traveling through a vessel experience a range of FSS magnitudes depending on their radial position. Since vessel radii vary by orders of magnitude throughout the body, a correspondingly wide range of FSS is observed within normal human physiology (</w:t>
      </w:r>
      <w:r w:rsidRPr="00A443E2">
        <w:rPr>
          <w:b/>
          <w:bCs/>
          <w:lang w:val="en-US"/>
        </w:rPr>
        <w:t>Figure 1A</w:t>
      </w:r>
      <w:r w:rsidRPr="00A443E2">
        <w:rPr>
          <w:lang w:val="en-US"/>
        </w:rPr>
        <w:t xml:space="preserve">). </w:t>
      </w:r>
    </w:p>
    <w:p w14:paraId="3E57B641" w14:textId="77777777" w:rsidR="001D7B03" w:rsidRPr="00A443E2" w:rsidRDefault="001D7B03" w:rsidP="00A443E2">
      <w:pPr>
        <w:rPr>
          <w:lang w:val="en-US"/>
        </w:rPr>
      </w:pPr>
    </w:p>
    <w:p w14:paraId="45F7B29B" w14:textId="77777777" w:rsidR="001D7B03" w:rsidRPr="00A443E2" w:rsidRDefault="00000000" w:rsidP="00A443E2">
      <w:pPr>
        <w:rPr>
          <w:color w:val="000000" w:themeColor="text1"/>
          <w:lang w:val="en-US"/>
        </w:rPr>
      </w:pPr>
      <w:r w:rsidRPr="00A443E2">
        <w:rPr>
          <w:lang w:val="en-US"/>
        </w:rPr>
        <w:t>F</w:t>
      </w:r>
      <w:r w:rsidRPr="00A443E2">
        <w:rPr>
          <w:color w:val="000000" w:themeColor="text1"/>
          <w:lang w:val="en-US"/>
        </w:rPr>
        <w:t xml:space="preserve">or </w:t>
      </w:r>
      <w:r w:rsidRPr="00A443E2">
        <w:rPr>
          <w:lang w:val="en-US"/>
        </w:rPr>
        <w:t>steady, laminar flow of a Newtonian fluid through a long cylindrical conduit, the FSS at the wall (</w:t>
      </w:r>
      <w:proofErr w:type="spellStart"/>
      <w:r w:rsidRPr="00A443E2">
        <w:rPr>
          <w:lang w:val="en-US"/>
        </w:rPr>
        <w:t>τ</w:t>
      </w:r>
      <w:r w:rsidRPr="00A443E2">
        <w:rPr>
          <w:vertAlign w:val="subscript"/>
          <w:lang w:val="en-US"/>
        </w:rPr>
        <w:t>wall</w:t>
      </w:r>
      <w:proofErr w:type="spellEnd"/>
      <w:r w:rsidRPr="00A443E2">
        <w:rPr>
          <w:lang w:val="en-US"/>
        </w:rPr>
        <w:t>; in units of dyn/cm</w:t>
      </w:r>
      <w:r w:rsidRPr="00A443E2">
        <w:rPr>
          <w:vertAlign w:val="superscript"/>
          <w:lang w:val="en-US"/>
        </w:rPr>
        <w:t>2</w:t>
      </w:r>
      <w:r w:rsidRPr="00A443E2">
        <w:rPr>
          <w:lang w:val="en-US"/>
        </w:rPr>
        <w:t>), which is the maximum FSS value anywhere in the lumen, is given by Poiseuille’s Law (</w:t>
      </w:r>
      <w:r w:rsidRPr="00A443E2">
        <w:rPr>
          <w:b/>
          <w:bCs/>
          <w:lang w:val="en-US"/>
        </w:rPr>
        <w:t>Equation 1</w:t>
      </w:r>
      <w:r w:rsidRPr="00A443E2">
        <w:rPr>
          <w:lang w:val="en-US"/>
        </w:rPr>
        <w:t>)</w:t>
      </w:r>
      <w:sdt>
        <w:sdtPr>
          <w:rPr>
            <w:lang w:val="en-US"/>
          </w:rPr>
          <w:alias w:val="SmartCite Citation"/>
          <w:tag w:val="a9e2a68d-fe3b-412d-8c06-1ac3ca305ac6:73536ff5-0d26-461e-8ccd-187a9d302d10+"/>
          <w:id w:val="-1442053935"/>
          <w:placeholder>
            <w:docPart w:val="21948D0472684274A0D783897D2C8C59"/>
          </w:placeholder>
        </w:sdtPr>
        <w:sdtContent>
          <w:r w:rsidRPr="00A443E2">
            <w:rPr>
              <w:rFonts w:eastAsia="Times New Roman"/>
              <w:vertAlign w:val="superscript"/>
            </w:rPr>
            <w:t>3</w:t>
          </w:r>
        </w:sdtContent>
      </w:sdt>
      <w:r w:rsidRPr="00A443E2">
        <w:rPr>
          <w:lang w:val="en-US"/>
        </w:rPr>
        <w:t>:</w:t>
      </w:r>
    </w:p>
    <w:tbl>
      <w:tblPr>
        <w:tblStyle w:val="a"/>
        <w:tblpPr w:leftFromText="180" w:rightFromText="180" w:vertAnchor="text" w:horzAnchor="margin" w:tblpY="186"/>
        <w:tblW w:w="9350" w:type="dxa"/>
        <w:tblBorders>
          <w:top w:val="nil"/>
          <w:left w:val="nil"/>
          <w:bottom w:val="nil"/>
          <w:right w:val="nil"/>
          <w:insideH w:val="nil"/>
          <w:insideV w:val="nil"/>
        </w:tblBorders>
        <w:tblLayout w:type="fixed"/>
        <w:tblLook w:val="0400" w:firstRow="0" w:lastRow="0" w:firstColumn="0" w:lastColumn="0" w:noHBand="0" w:noVBand="1"/>
      </w:tblPr>
      <w:tblGrid>
        <w:gridCol w:w="8365"/>
        <w:gridCol w:w="985"/>
      </w:tblGrid>
      <w:tr w:rsidR="004900EC" w:rsidRPr="00A443E2" w14:paraId="169FF2B2" w14:textId="77777777" w:rsidTr="001F7C36">
        <w:tc>
          <w:tcPr>
            <w:tcW w:w="8365" w:type="dxa"/>
            <w:vAlign w:val="center"/>
          </w:tcPr>
          <w:p w14:paraId="4A8BB9BA" w14:textId="77777777" w:rsidR="001D7B03" w:rsidRPr="00A443E2" w:rsidRDefault="001D7B03" w:rsidP="00A443E2"/>
          <w:p w14:paraId="6D60F11B" w14:textId="77777777" w:rsidR="001D7B03" w:rsidRPr="00A443E2" w:rsidRDefault="00000000" w:rsidP="00A443E2">
            <w:pPr>
              <w:rPr>
                <w:rFonts w:eastAsia="Cambria Math"/>
              </w:rPr>
            </w:pPr>
            <m:oMathPara>
              <m:oMath>
                <m:sSub>
                  <m:sSubPr>
                    <m:ctrlPr>
                      <w:rPr>
                        <w:rFonts w:ascii="Cambria Math" w:eastAsia="Cambria Math" w:hAnsi="Cambria Math"/>
                        <w:i/>
                      </w:rPr>
                    </m:ctrlPr>
                  </m:sSubPr>
                  <m:e>
                    <m:r>
                      <w:rPr>
                        <w:rFonts w:ascii="Cambria Math" w:eastAsia="Cambria Math" w:hAnsi="Cambria Math"/>
                      </w:rPr>
                      <m:t>τ</m:t>
                    </m:r>
                  </m:e>
                  <m:sub>
                    <m:r>
                      <w:rPr>
                        <w:rFonts w:ascii="Cambria Math" w:eastAsia="Cambria Math" w:hAnsi="Cambria Math"/>
                      </w:rPr>
                      <m:t>wall</m:t>
                    </m:r>
                  </m:sub>
                </m:sSub>
                <m:r>
                  <w:rPr>
                    <w:rFonts w:ascii="Cambria Math" w:eastAsia="Cambria Math" w:hAnsi="Cambria Math"/>
                  </w:rPr>
                  <m:t xml:space="preserve">= </m:t>
                </m:r>
                <m:f>
                  <m:fPr>
                    <m:ctrlPr>
                      <w:rPr>
                        <w:rFonts w:ascii="Cambria Math" w:eastAsia="Cambria Math" w:hAnsi="Cambria Math"/>
                      </w:rPr>
                    </m:ctrlPr>
                  </m:fPr>
                  <m:num>
                    <m:r>
                      <w:rPr>
                        <w:rFonts w:ascii="Cambria Math" w:eastAsia="Cambria Math" w:hAnsi="Cambria Math"/>
                      </w:rPr>
                      <m:t>4μQ</m:t>
                    </m:r>
                  </m:num>
                  <m:den>
                    <m:r>
                      <w:rPr>
                        <w:rFonts w:ascii="Cambria Math" w:eastAsia="Cambria Math" w:hAnsi="Cambria Math"/>
                      </w:rPr>
                      <m:t>π</m:t>
                    </m:r>
                    <m:sSup>
                      <m:sSupPr>
                        <m:ctrlPr>
                          <w:rPr>
                            <w:rFonts w:ascii="Cambria Math" w:eastAsia="Cambria Math" w:hAnsi="Cambria Math"/>
                          </w:rPr>
                        </m:ctrlPr>
                      </m:sSupPr>
                      <m:e>
                        <m:r>
                          <w:rPr>
                            <w:rFonts w:ascii="Cambria Math" w:eastAsia="Cambria Math" w:hAnsi="Cambria Math"/>
                          </w:rPr>
                          <m:t>R</m:t>
                        </m:r>
                      </m:e>
                      <m:sup>
                        <m:r>
                          <w:rPr>
                            <w:rFonts w:ascii="Cambria Math" w:eastAsia="Cambria Math" w:hAnsi="Cambria Math"/>
                          </w:rPr>
                          <m:t>3</m:t>
                        </m:r>
                      </m:sup>
                    </m:sSup>
                  </m:den>
                </m:f>
              </m:oMath>
            </m:oMathPara>
          </w:p>
          <w:p w14:paraId="3B0E7F29" w14:textId="77777777" w:rsidR="001D7B03" w:rsidRPr="00A443E2" w:rsidRDefault="001D7B03" w:rsidP="00A443E2"/>
        </w:tc>
        <w:tc>
          <w:tcPr>
            <w:tcW w:w="985" w:type="dxa"/>
            <w:vAlign w:val="center"/>
          </w:tcPr>
          <w:p w14:paraId="36312688" w14:textId="77777777" w:rsidR="001D7B03" w:rsidRPr="00A443E2" w:rsidRDefault="00000000" w:rsidP="00A443E2">
            <w:r w:rsidRPr="00A443E2">
              <w:t>(1)</w:t>
            </w:r>
          </w:p>
        </w:tc>
      </w:tr>
    </w:tbl>
    <w:p w14:paraId="112E4E7D" w14:textId="77777777" w:rsidR="001D7B03" w:rsidRPr="00A443E2" w:rsidRDefault="00000000" w:rsidP="00A443E2">
      <w:pPr>
        <w:rPr>
          <w:color w:val="FF0000"/>
          <w:lang w:val="en-US"/>
        </w:rPr>
      </w:pPr>
      <w:r w:rsidRPr="00A443E2">
        <w:rPr>
          <w:lang w:val="en-US"/>
        </w:rPr>
        <w:t xml:space="preserve">where </w:t>
      </w:r>
      <w:r w:rsidRPr="00A443E2">
        <w:rPr>
          <w:i/>
          <w:iCs/>
          <w:lang w:val="en-US"/>
        </w:rPr>
        <w:t>µ</w:t>
      </w:r>
      <w:r w:rsidRPr="00A443E2">
        <w:rPr>
          <w:lang w:val="en-US"/>
        </w:rPr>
        <w:t xml:space="preserve"> is the fluid viscosity (in units of dyn*s/cm</w:t>
      </w:r>
      <w:r w:rsidRPr="00A443E2">
        <w:rPr>
          <w:vertAlign w:val="superscript"/>
          <w:lang w:val="en-US"/>
        </w:rPr>
        <w:t>2</w:t>
      </w:r>
      <w:r w:rsidRPr="00A443E2">
        <w:rPr>
          <w:lang w:val="en-US"/>
        </w:rPr>
        <w:t xml:space="preserve">; varies with temperature), </w:t>
      </w:r>
      <w:r w:rsidRPr="00A443E2">
        <w:rPr>
          <w:i/>
          <w:iCs/>
          <w:lang w:val="en-US"/>
        </w:rPr>
        <w:t>Q</w:t>
      </w:r>
      <w:r w:rsidRPr="00A443E2">
        <w:rPr>
          <w:lang w:val="en-US"/>
        </w:rPr>
        <w:t xml:space="preserve"> is the volumetric flow rate (in units of cm</w:t>
      </w:r>
      <w:r w:rsidRPr="00A443E2">
        <w:rPr>
          <w:vertAlign w:val="superscript"/>
          <w:lang w:val="en-US"/>
        </w:rPr>
        <w:t>3</w:t>
      </w:r>
      <w:r w:rsidRPr="00A443E2">
        <w:rPr>
          <w:lang w:val="en-US"/>
        </w:rPr>
        <w:t xml:space="preserve">/s or mL/s), and </w:t>
      </w:r>
      <w:r w:rsidRPr="00A443E2">
        <w:rPr>
          <w:i/>
          <w:iCs/>
          <w:lang w:val="en-US"/>
        </w:rPr>
        <w:t xml:space="preserve">R </w:t>
      </w:r>
      <w:r w:rsidRPr="00A443E2">
        <w:rPr>
          <w:lang w:val="en-US"/>
        </w:rPr>
        <w:t xml:space="preserve">is the internal radius of the conduit (in units of cm). </w:t>
      </w:r>
      <w:r w:rsidRPr="00A443E2">
        <w:rPr>
          <w:b/>
          <w:bCs/>
          <w:lang w:val="en-US"/>
        </w:rPr>
        <w:t>Equation 1</w:t>
      </w:r>
      <w:r w:rsidRPr="00A443E2">
        <w:rPr>
          <w:lang w:val="en-US"/>
        </w:rPr>
        <w:t xml:space="preserve"> assumes that blood and lymphatic fluids behave approximately as Newtonian fluids at physiological shear rates. Newtonian fluids exhibit a nearly constant viscosity independent of shear rate, whereas non-Newtonian fluids display shear-dependent viscosity</w:t>
      </w:r>
      <w:sdt>
        <w:sdtPr>
          <w:rPr>
            <w:lang w:val="en-US"/>
          </w:rPr>
          <w:alias w:val="SmartCite Citation"/>
          <w:tag w:val="a9e2a68d-fe3b-412d-8c06-1ac3ca305ac6:22f0c7e0-e464-4103-bcb0-9d5cf59db8c0,a9e2a68d-fe3b-412d-8c06-1ac3ca305ac6:0086d436-f93a-4606-802d-dc26c44cdb1f+{&quot;a9e2a68d-fe3b-412d-8c06-1ac3ca305ac6:22f0c7e0-e464-4103-bcb0-9d5cf59db8c0&quot;:{&quot;doi&quot;:&quot;10.3389/fphys.2021.718540&quot;,&quot;pmid&quot;:&quot;34552505&quot;,&quot;pmcid&quot;:&quot;PMC8450390&quot;},&quot;a9e2a68d-fe3b-412d-8c06-1ac3ca305ac6:0086d436-f93a-4606-802d-dc26c44cdb1f&quot;:{&quot;doi&quot;:&quot;10.1002/aic.690010409&quot;}}"/>
          <w:id w:val="1865015834"/>
          <w:placeholder>
            <w:docPart w:val="9D52124102E64EC5923EE8D47AA45C42"/>
          </w:placeholder>
        </w:sdtPr>
        <w:sdtContent>
          <w:r w:rsidRPr="00A443E2">
            <w:rPr>
              <w:rFonts w:eastAsia="Times New Roman"/>
              <w:vertAlign w:val="superscript"/>
            </w:rPr>
            <w:t>4,5</w:t>
          </w:r>
        </w:sdtContent>
      </w:sdt>
      <w:r w:rsidRPr="00A443E2">
        <w:rPr>
          <w:lang w:val="en-US"/>
        </w:rPr>
        <w:t>. Although blood can exhibit non-Newtonian behavior at low shear rates, its viscosity is often treated as approximately constant under physiological flow conditions, making the Newtonian assumption a reasonable approximation for many hemodynamic analyses</w:t>
      </w:r>
      <w:sdt>
        <w:sdtPr>
          <w:rPr>
            <w:lang w:val="en-US"/>
          </w:rPr>
          <w:alias w:val="SmartCite Citation"/>
          <w:tag w:val="a9e2a68d-fe3b-412d-8c06-1ac3ca305ac6:22f0c7e0-e464-4103-bcb0-9d5cf59db8c0+{&quot;a9e2a68d-fe3b-412d-8c06-1ac3ca305ac6:22f0c7e0-e464-4103-bcb0-9d5cf59db8c0&quot;:{&quot;doi&quot;:&quot;10.3389/fphys.2021.718540&quot;,&quot;pmid&quot;:&quot;34552505&quot;,&quot;pmcid&quot;:&quot;PMC8450390&quot;}}"/>
          <w:id w:val="-1135484218"/>
          <w:placeholder>
            <w:docPart w:val="9D52124102E64EC5923EE8D47AA45C42"/>
          </w:placeholder>
        </w:sdtPr>
        <w:sdtContent>
          <w:r w:rsidRPr="00A443E2">
            <w:rPr>
              <w:rFonts w:eastAsia="Times New Roman"/>
              <w:vertAlign w:val="superscript"/>
            </w:rPr>
            <w:t>4</w:t>
          </w:r>
        </w:sdtContent>
      </w:sdt>
      <w:r w:rsidRPr="00A443E2">
        <w:rPr>
          <w:lang w:val="en-US"/>
        </w:rPr>
        <w:t>.</w:t>
      </w:r>
    </w:p>
    <w:p w14:paraId="3885D140" w14:textId="77777777" w:rsidR="001D7B03" w:rsidRPr="00A443E2" w:rsidRDefault="001D7B03" w:rsidP="00A443E2">
      <w:pPr>
        <w:rPr>
          <w:lang w:val="en-US"/>
        </w:rPr>
      </w:pPr>
    </w:p>
    <w:p w14:paraId="00B954CD" w14:textId="77777777" w:rsidR="001D7B03" w:rsidRPr="00A443E2" w:rsidRDefault="00000000" w:rsidP="00A443E2">
      <w:r w:rsidRPr="00A443E2">
        <w:rPr>
          <w:lang w:val="en-US"/>
        </w:rPr>
        <w:t>Cells detect FSS through a variety of mechanosensors, including mechanosensitive ion channels, integrins, G-protein-coupled receptors, caveolae, primary cilia, and the glycocalyx, many of which are well characterized in endothelial cells</w:t>
      </w:r>
      <w:sdt>
        <w:sdtPr>
          <w:rPr>
            <w:lang w:val="en-US"/>
          </w:rPr>
          <w:alias w:val="SmartCite Citation"/>
          <w:tag w:val="a9e2a68d-fe3b-412d-8c06-1ac3ca305ac6:a6d99153-639b-459e-a9bd-52edca4e7a61,a9e2a68d-fe3b-412d-8c06-1ac3ca305ac6:936494bc-ec3f-493c-9384-95c15d1d9e49+{&quot;a9e2a68d-fe3b-412d-8c06-1ac3ca305ac6:a6d99153-639b-459e-a9bd-52edca4e7a61&quot;:{&quot;doi&quot;:&quot;10.2147/jir.s355158&quot;,&quot;pmid&quot;:&quot;35300215&quot;,&quot;pmcid&quot;:&quot;PMC8923682&quot;},&quot;a9e2a68d-fe3b-412d-8c06-1ac3ca305ac6:936494bc-ec3f-493c-9384-95c15d1d9e49&quot;:{&quot;doi&quot;:&quot;10.3389/fcell.2024.1446452&quot;,&quot;pmid&quot;:&quot;39507419&quot;,&quot;pmcid&quot;:&quot;PMC11538060&quot;}}"/>
          <w:id w:val="992969814"/>
          <w:placeholder>
            <w:docPart w:val="584DED1E96E24F87B76C7641B62D0D3A"/>
          </w:placeholder>
        </w:sdtPr>
        <w:sdtContent>
          <w:r w:rsidRPr="00A443E2">
            <w:rPr>
              <w:rFonts w:eastAsia="Times New Roman"/>
              <w:vertAlign w:val="superscript"/>
            </w:rPr>
            <w:t>6,7</w:t>
          </w:r>
        </w:sdtContent>
      </w:sdt>
      <w:r w:rsidRPr="00A443E2">
        <w:rPr>
          <w:lang w:val="en-US"/>
        </w:rPr>
        <w:t xml:space="preserve"> but are increasingly implicated in immune and cancer cells. Among these, mechanosensitive channels such as Piezo1 and TRPV4 are of particular interest as they translate mechanical force directly into calcium signaling, driving activation and survival responses across immune and cancer cells alike</w:t>
      </w:r>
      <w:sdt>
        <w:sdtPr>
          <w:rPr>
            <w:lang w:val="en-US"/>
          </w:rPr>
          <w:alias w:val="SmartCite Citation"/>
          <w:tag w:val="a9e2a68d-fe3b-412d-8c06-1ac3ca305ac6:67070b37-dfb7-4a5e-b8be-c4693ef5483a,a9e2a68d-fe3b-412d-8c06-1ac3ca305ac6:c8ebeeb6-cfce-4453-894b-819e2cb9ae5f,a9e2a68d-fe3b-412d-8c06-1ac3ca305ac6:0123e1da-f22e-4699-94dc-37146bcb3bb6,a9e2a68d-fe3b-412d-8c06-1ac3ca305ac6:533a5160-3647-4639-a9ac-b8d66a46dfc6+{&quot;a9e2a68d-fe3b-412d-8c06-1ac3ca305ac6:67070b37-dfb7-4a5e-b8be-c4693ef5483a&quot;:{&quot;doi&quot;:&quot;10.1109/rbme.2024.3505073&quot;,&quot;pmid&quot;:&quot;40030260&quot;},&quot;a9e2a68d-fe3b-412d-8c06-1ac3ca305ac6:c8ebeeb6-cfce-4453-894b-819e2cb9ae5f&quot;:{&quot;doi&quot;:&quot;10.1002/adtp.202500067&quot;},&quot;a9e2a68d-fe3b-412d-8c06-1ac3ca305ac6:0123e1da-f22e-4699-94dc-37146bcb3bb6&quot;:{&quot;doi&quot;:&quot;10.1016/j.isci.2024.109999&quot;},&quot;a9e2a68d-fe3b-412d-8c06-1ac3ca305ac6:533a5160-3647-4639-a9ac-b8d66a46dfc6&quot;:{&quot;doi&quot;:&quot;10.1186/s12915-022-01266-7&quot;}}"/>
          <w:id w:val="1346879864"/>
          <w:placeholder>
            <w:docPart w:val="584DED1E96E24F87B76C7641B62D0D3A"/>
          </w:placeholder>
        </w:sdtPr>
        <w:sdtContent>
          <w:r w:rsidRPr="00A443E2">
            <w:rPr>
              <w:rFonts w:eastAsia="Times New Roman"/>
              <w:vertAlign w:val="superscript"/>
            </w:rPr>
            <w:t>1,8–10</w:t>
          </w:r>
        </w:sdtContent>
      </w:sdt>
      <w:r w:rsidRPr="00A443E2">
        <w:rPr>
          <w:lang w:val="en-US"/>
        </w:rPr>
        <w:t xml:space="preserve">. </w:t>
      </w:r>
      <w:r w:rsidRPr="00A443E2">
        <w:t>Downstream of mechanosensitive-</w:t>
      </w:r>
      <w:r w:rsidRPr="00A443E2">
        <w:lastRenderedPageBreak/>
        <w:t>channel-mediated calcium</w:t>
      </w:r>
      <w:r w:rsidRPr="00A443E2">
        <w:rPr>
          <w:vertAlign w:val="superscript"/>
        </w:rPr>
        <w:t xml:space="preserve"> </w:t>
      </w:r>
      <w:r w:rsidRPr="00A443E2">
        <w:t>influx, calcium binds to calmodulin to drive actin contractility and cytoskeletal remodeling, linking mechanotransduction to changes in cell mechanics and motility. Furthermore, calcium activates calcineurin-NFAT signaling, which plays a key role in immune cell activation, differentiation, and cytokine production</w:t>
      </w:r>
      <w:sdt>
        <w:sdtPr>
          <w:alias w:val="SmartCite Citation"/>
          <w:tag w:val="a9e2a68d-fe3b-412d-8c06-1ac3ca305ac6:67070b37-dfb7-4a5e-b8be-c4693ef5483a+{&quot;a9e2a68d-fe3b-412d-8c06-1ac3ca305ac6:67070b37-dfb7-4a5e-b8be-c4693ef5483a&quot;:{&quot;doi&quot;:&quot;10.1109/rbme.2024.3505073&quot;,&quot;pmid&quot;:&quot;40030260&quot;}}"/>
          <w:id w:val="1207122992"/>
          <w:placeholder>
            <w:docPart w:val="584DED1E96E24F87B76C7641B62D0D3A"/>
          </w:placeholder>
        </w:sdtPr>
        <w:sdtContent>
          <w:r w:rsidRPr="00A443E2">
            <w:rPr>
              <w:rFonts w:eastAsia="Times New Roman"/>
              <w:vertAlign w:val="superscript"/>
            </w:rPr>
            <w:t>1</w:t>
          </w:r>
        </w:sdtContent>
      </w:sdt>
      <w:r w:rsidRPr="00A443E2">
        <w:t xml:space="preserve">. </w:t>
      </w:r>
      <w:r w:rsidRPr="00A443E2">
        <w:rPr>
          <w:lang w:val="en-US"/>
        </w:rPr>
        <w:t>In cancer cells, mechanosensitive-channel-mediated calcium influx has been seen to synergize with drugs or chemotherapeutics such as tumor necrosis factor-related apoptosis-inducing ligand (TRAIL), boosting the cancer-killing effects of the drug</w:t>
      </w:r>
      <w:sdt>
        <w:sdtPr>
          <w:rPr>
            <w:lang w:val="en-US"/>
          </w:rPr>
          <w:alias w:val="SmartCite Citation"/>
          <w:tag w:val="a9e2a68d-fe3b-412d-8c06-1ac3ca305ac6:508c14b3-93dd-41b2-b6db-e3aa4490c878,a9e2a68d-fe3b-412d-8c06-1ac3ca305ac6:f48fde3f-8e22-47f8-a145-10534508b5bb,a9e2a68d-fe3b-412d-8c06-1ac3ca305ac6:63486850-ec0f-4174-85bf-134b95217898,a9e2a68d-fe3b-412d-8c06-1ac3ca305ac6:7d991040-57ef-4d38-b039-512f75e3b98c+{&quot;a9e2a68d-fe3b-412d-8c06-1ac3ca305ac6:508c14b3-93dd-41b2-b6db-e3aa4490c878&quot;:{&quot;doi&quot;:&quot;10.1002/advs.202412995&quot;,&quot;pmid&quot;:&quot;39976192&quot;,&quot;pmcid&quot;:&quot;PMC12005757&quot;},&quot;a9e2a68d-fe3b-412d-8c06-1ac3ca305ac6:f48fde3f-8e22-47f8-a145-10534508b5bb&quot;:{&quot;doi&quot;:&quot;10.7150/jca.98075&quot;,&quot;pmid&quot;:&quot;39132151&quot;,&quot;pmcid&quot;:&quot;PMC11310884&quot;},&quot;a9e2a68d-fe3b-412d-8c06-1ac3ca305ac6:63486850-ec0f-4174-85bf-134b95217898&quot;:{&quot;doi&quot;:&quot;10.1021/acsomega.5c12237&quot;,&quot;pmid&quot;:&quot;41908375&quot;,&quot;pmcid&quot;:&quot;PMC13019251&quot;},&quot;a9e2a68d-fe3b-412d-8c06-1ac3ca305ac6:7d991040-57ef-4d38-b039-512f75e3b98c&quot;:{&quot;doi&quot;:&quot;10.1088/1367-2630/15/1/015008&quot;,&quot;pmid&quot;:&quot;25110459&quot;,&quot;pmcid&quot;:&quot;PMC4124740&quot;}}"/>
          <w:id w:val="728023448"/>
          <w:placeholder>
            <w:docPart w:val="722EDCA9E07A4ECB80C31F2A67CBE245"/>
          </w:placeholder>
        </w:sdtPr>
        <w:sdtContent>
          <w:r w:rsidRPr="00A443E2">
            <w:rPr>
              <w:rFonts w:eastAsia="Times New Roman"/>
              <w:vertAlign w:val="superscript"/>
            </w:rPr>
            <w:t>11–14</w:t>
          </w:r>
        </w:sdtContent>
      </w:sdt>
      <w:r w:rsidRPr="00A443E2">
        <w:rPr>
          <w:lang w:val="en-US"/>
        </w:rPr>
        <w:t>. Beyond ion channels, the T cell receptor (TCR) itself functions as a mechanosensor: TCR-major histocompatibility complex (MHC) catch bond formation and strain (optimally at approximately 10 pN) triggers TCR signaling through force-induced allosteric changes</w:t>
      </w:r>
      <w:sdt>
        <w:sdtPr>
          <w:rPr>
            <w:lang w:val="en-US"/>
          </w:rPr>
          <w:alias w:val="SmartCite Citation"/>
          <w:tag w:val="a9e2a68d-fe3b-412d-8c06-1ac3ca305ac6:44338207-1c5f-479f-9f55-8ac2a813e442,a9e2a68d-fe3b-412d-8c06-1ac3ca305ac6:78b2ff2f-999a-4601-905f-bb3db066b355,a9e2a68d-fe3b-412d-8c06-1ac3ca305ac6:f549d519-1035-4dc1-9f75-ebb1d46f18b4+{&quot;a9e2a68d-fe3b-412d-8c06-1ac3ca305ac6:44338207-1c5f-479f-9f55-8ac2a813e442&quot;:{&quot;doi&quot;:&quot;10.3389/fphy.2019.00045&quot;},&quot;a9e2a68d-fe3b-412d-8c06-1ac3ca305ac6:78b2ff2f-999a-4601-905f-bb3db066b355&quot;:{&quot;doi&quot;:&quot;10.1021/acs.accounts.0c00486&quot;},&quot;a9e2a68d-fe3b-412d-8c06-1ac3ca305ac6:f549d519-1035-4dc1-9f75-ebb1d46f18b4&quot;:{&quot;doi&quot;:&quot;10.1083/jcb.201511053&quot;,&quot;pmid&quot;:&quot;27241914&quot;,&quot;pmcid&quot;:&quot;PMC4896056&quot;}}"/>
          <w:id w:val="206031129"/>
          <w:placeholder>
            <w:docPart w:val="584DED1E96E24F87B76C7641B62D0D3A"/>
          </w:placeholder>
        </w:sdtPr>
        <w:sdtContent>
          <w:r w:rsidRPr="00A443E2">
            <w:rPr>
              <w:rFonts w:eastAsia="Times New Roman"/>
              <w:vertAlign w:val="superscript"/>
            </w:rPr>
            <w:t>15–17</w:t>
          </w:r>
        </w:sdtContent>
      </w:sdt>
      <w:r w:rsidRPr="00A443E2">
        <w:rPr>
          <w:lang w:val="en-US"/>
        </w:rPr>
        <w:t xml:space="preserve">.  </w:t>
      </w:r>
    </w:p>
    <w:p w14:paraId="60F6FA10" w14:textId="77777777" w:rsidR="001D7B03" w:rsidRPr="00A443E2" w:rsidRDefault="001D7B03" w:rsidP="00A443E2">
      <w:pPr>
        <w:rPr>
          <w:lang w:val="en-US"/>
        </w:rPr>
      </w:pPr>
    </w:p>
    <w:p w14:paraId="7DE41D7D" w14:textId="77777777" w:rsidR="001D7B03" w:rsidRPr="00A443E2" w:rsidRDefault="00000000" w:rsidP="00A443E2">
      <w:r w:rsidRPr="00A443E2">
        <w:rPr>
          <w:lang w:val="en-US"/>
        </w:rPr>
        <w:t>These mechanotransduction pathways yield documented functional effects across immune and cancer cell types. For instance, primary human T cells activated with anti-CD3/CD28–conjugated beads (herein referred to as “beads”) and subsequently stimulated with 5 dyn/cm</w:t>
      </w:r>
      <w:r w:rsidRPr="00A443E2">
        <w:rPr>
          <w:vertAlign w:val="superscript"/>
          <w:lang w:val="en-US"/>
        </w:rPr>
        <w:t>2</w:t>
      </w:r>
      <w:r w:rsidRPr="00A443E2">
        <w:rPr>
          <w:lang w:val="en-US"/>
        </w:rPr>
        <w:t xml:space="preserve"> FSS for 1 h in a cone-and-plate viscometer exhibit increased and sustained activation, cytotoxicity, and proliferation compared to cells stimulated with beads alone</w:t>
      </w:r>
      <w:sdt>
        <w:sdtPr>
          <w:rPr>
            <w:lang w:val="en-US"/>
          </w:rPr>
          <w:alias w:val="SmartCite Citation"/>
          <w:tag w:val="a9e2a68d-fe3b-412d-8c06-1ac3ca305ac6:0123e1da-f22e-4699-94dc-37146bcb3bb6,a9e2a68d-fe3b-412d-8c06-1ac3ca305ac6:533a5160-3647-4639-a9ac-b8d66a46dfc6+{&quot;a9e2a68d-fe3b-412d-8c06-1ac3ca305ac6:0123e1da-f22e-4699-94dc-37146bcb3bb6&quot;:{&quot;doi&quot;:&quot;10.1016/j.isci.2024.109999&quot;},&quot;a9e2a68d-fe3b-412d-8c06-1ac3ca305ac6:533a5160-3647-4639-a9ac-b8d66a46dfc6&quot;:{&quot;doi&quot;:&quot;10.1186/s12915-022-01266-7&quot;}}"/>
          <w:id w:val="1009546706"/>
          <w:placeholder>
            <w:docPart w:val="584DED1E96E24F87B76C7641B62D0D3A"/>
          </w:placeholder>
        </w:sdtPr>
        <w:sdtContent>
          <w:r w:rsidRPr="00A443E2">
            <w:rPr>
              <w:rFonts w:eastAsia="Times New Roman"/>
              <w:vertAlign w:val="superscript"/>
            </w:rPr>
            <w:t>9,10</w:t>
          </w:r>
        </w:sdtContent>
      </w:sdt>
      <w:r w:rsidRPr="00A443E2">
        <w:rPr>
          <w:lang w:val="en-US"/>
        </w:rPr>
        <w:t>. Furthermore, exposure to beads and FSS also resulted in more balanced CD4:CD8 ratios, whereas bead stimulation alone skews phenotype towards CD8 effectors</w:t>
      </w:r>
      <w:sdt>
        <w:sdtPr>
          <w:rPr>
            <w:lang w:val="en-US"/>
          </w:rPr>
          <w:alias w:val="SmartCite Citation"/>
          <w:tag w:val="a9e2a68d-fe3b-412d-8c06-1ac3ca305ac6:a4261494-e938-444f-b5fc-2bdcff211321+{&quot;a9e2a68d-fe3b-412d-8c06-1ac3ca305ac6:a4261494-e938-444f-b5fc-2bdcff211321&quot;:{&quot;doi&quot;:&quot;10.1186/1479-5876-8-104&quot;,&quot;pmid&quot;:&quot;20977748&quot;,&quot;pmcid&quot;:&quot;PMC2987859&quot;}}"/>
          <w:id w:val="645892707"/>
          <w:placeholder>
            <w:docPart w:val="584DED1E96E24F87B76C7641B62D0D3A"/>
          </w:placeholder>
        </w:sdtPr>
        <w:sdtContent>
          <w:r w:rsidRPr="00A443E2">
            <w:rPr>
              <w:rFonts w:eastAsia="Times New Roman"/>
              <w:vertAlign w:val="superscript"/>
            </w:rPr>
            <w:t>18</w:t>
          </w:r>
        </w:sdtContent>
      </w:sdt>
      <w:r w:rsidRPr="00A443E2">
        <w:rPr>
          <w:lang w:val="en-US"/>
        </w:rPr>
        <w:t>.  These results have major implications in the field of adoptive T cell therapy, as it has been demonstrated that more balanced CD4:CD8 ratios result in greater clinical efficacy via improved expansion, cytotoxicity, and persistence</w:t>
      </w:r>
      <w:sdt>
        <w:sdtPr>
          <w:rPr>
            <w:lang w:val="en-US"/>
          </w:rPr>
          <w:alias w:val="SmartCite Citation"/>
          <w:tag w:val="a9e2a68d-fe3b-412d-8c06-1ac3ca305ac6:861e8edd-faf2-44a3-a991-9ba7de7e9596,a9e2a68d-fe3b-412d-8c06-1ac3ca305ac6:c38d06ce-c711-4082-8614-7249bdf3e2ee+{&quot;a9e2a68d-fe3b-412d-8c06-1ac3ca305ac6:861e8edd-faf2-44a3-a991-9ba7de7e9596&quot;:{&quot;doi&quot;:&quot;10.1182/blood-2018-99-111576&quot;},&quot;a9e2a68d-fe3b-412d-8c06-1ac3ca305ac6:c38d06ce-c711-4082-8614-7249bdf3e2ee&quot;:{&quot;doi&quot;:&quot;10.1172/jci85309&quot;,&quot;pmid&quot;:&quot;27111235&quot;,&quot;pmcid&quot;:&quot;PMC4887159&quot;}}"/>
          <w:id w:val="1362747292"/>
          <w:placeholder>
            <w:docPart w:val="584DED1E96E24F87B76C7641B62D0D3A"/>
          </w:placeholder>
        </w:sdtPr>
        <w:sdtContent>
          <w:r w:rsidRPr="00A443E2">
            <w:rPr>
              <w:rFonts w:eastAsia="Times New Roman"/>
              <w:vertAlign w:val="superscript"/>
            </w:rPr>
            <w:t>19,20</w:t>
          </w:r>
        </w:sdtContent>
      </w:sdt>
      <w:r w:rsidRPr="00A443E2">
        <w:rPr>
          <w:lang w:val="en-US"/>
        </w:rPr>
        <w:t>. Moreover, chimeric antigen receptor (CAR)-T cells, an FDA-approved adoptive cell therapy, have been found to release more pro-inflammatory cytokines in hypertensive patients</w:t>
      </w:r>
      <w:sdt>
        <w:sdtPr>
          <w:rPr>
            <w:lang w:val="en-US"/>
          </w:rPr>
          <w:alias w:val="SmartCite Citation"/>
          <w:tag w:val="a9e2a68d-fe3b-412d-8c06-1ac3ca305ac6:f9216b5f-5c3b-477d-82bc-75c5182d9f7a+{&quot;a9e2a68d-fe3b-412d-8c06-1ac3ca305ac6:f9216b5f-5c3b-477d-82bc-75c5182d9f7a&quot;:{&quot;doi&quot;:&quot;10.1038/s41409-020-01060-5&quot;,&quot;pmid&quot;:&quot;32943758&quot;,&quot;pmcid&quot;:&quot;PMC7498115&quot;}}"/>
          <w:id w:val="2074759858"/>
          <w:placeholder>
            <w:docPart w:val="584DED1E96E24F87B76C7641B62D0D3A"/>
          </w:placeholder>
        </w:sdtPr>
        <w:sdtContent>
          <w:r w:rsidRPr="00A443E2">
            <w:rPr>
              <w:rFonts w:eastAsia="Times New Roman"/>
              <w:vertAlign w:val="superscript"/>
            </w:rPr>
            <w:t>21</w:t>
          </w:r>
        </w:sdtContent>
      </w:sdt>
      <w:r w:rsidRPr="00A443E2">
        <w:rPr>
          <w:lang w:val="en-US"/>
        </w:rPr>
        <w:t>.  Since hypertension elevates arterial FSS above healthy physiological levels, this phenomenon may potentially indicate the induction of circulating CAR-T cells towards a more activated and cytotoxic phenotype via mechanotransduction, an effect not observed in normotensive patients. These studies outline the potential for FSS to promote desirable T cell phenotypes and function in a way that can be leveraged for adoptive T cell therapies.</w:t>
      </w:r>
    </w:p>
    <w:p w14:paraId="334C3C5F" w14:textId="77777777" w:rsidR="001D7B03" w:rsidRPr="00A443E2" w:rsidRDefault="001D7B03" w:rsidP="00A443E2"/>
    <w:p w14:paraId="0EB4DB03" w14:textId="77777777" w:rsidR="001D7B03" w:rsidRPr="00A443E2" w:rsidRDefault="00000000" w:rsidP="00A443E2">
      <w:r w:rsidRPr="00A443E2">
        <w:rPr>
          <w:lang w:val="en-US"/>
        </w:rPr>
        <w:t>Furthermore, primary human monocytes stimulated with 0–42 dyn/cm</w:t>
      </w:r>
      <w:r w:rsidRPr="00A443E2">
        <w:rPr>
          <w:vertAlign w:val="superscript"/>
          <w:lang w:val="en-US"/>
        </w:rPr>
        <w:t>2</w:t>
      </w:r>
      <w:r w:rsidRPr="00A443E2">
        <w:rPr>
          <w:lang w:val="en-US"/>
        </w:rPr>
        <w:t xml:space="preserve"> FSS exhibited calcium-dependent enhanced pro-inflammatory cytokine secretion</w:t>
      </w:r>
      <w:sdt>
        <w:sdtPr>
          <w:rPr>
            <w:lang w:val="en-US"/>
          </w:rPr>
          <w:alias w:val="SmartCite Citation"/>
          <w:tag w:val="a9e2a68d-fe3b-412d-8c06-1ac3ca305ac6:b92702eb-ef83-423e-a059-da64cab314d6,a9e2a68d-fe3b-412d-8c06-1ac3ca305ac6:28fba912-e8aa-4880-9729-a077d0e40a84+{&quot;a9e2a68d-fe3b-412d-8c06-1ac3ca305ac6:b92702eb-ef83-423e-a059-da64cab314d6&quot;:{&quot;doi&quot;:&quot;10.1016/j.cobme.2025.100619&quot;},&quot;a9e2a68d-fe3b-412d-8c06-1ac3ca305ac6:28fba912-e8aa-4880-9729-a077d0e40a84&quot;:{&quot;doi&quot;:&quot;10.1172/jci.insight.141341&quot;,&quot;pmid&quot;:&quot;33232305&quot;,&quot;pmcid&quot;:&quot;PMC7821587&quot;}}"/>
          <w:id w:val="978224117"/>
          <w:placeholder>
            <w:docPart w:val="584DED1E96E24F87B76C7641B62D0D3A"/>
          </w:placeholder>
        </w:sdtPr>
        <w:sdtContent>
          <w:r w:rsidRPr="00A443E2">
            <w:rPr>
              <w:rFonts w:eastAsia="Times New Roman"/>
              <w:vertAlign w:val="superscript"/>
            </w:rPr>
            <w:t>22,23</w:t>
          </w:r>
        </w:sdtContent>
      </w:sdt>
      <w:r w:rsidRPr="00A443E2">
        <w:rPr>
          <w:lang w:val="en-US"/>
        </w:rPr>
        <w:t>. Similarly, primary human macrophages stimulated for 3–48 h with 15 dyn/cm</w:t>
      </w:r>
      <w:r w:rsidRPr="00A443E2">
        <w:rPr>
          <w:vertAlign w:val="superscript"/>
          <w:lang w:val="en-US"/>
        </w:rPr>
        <w:t>2</w:t>
      </w:r>
      <w:r w:rsidRPr="00A443E2">
        <w:rPr>
          <w:lang w:val="en-US"/>
        </w:rPr>
        <w:t xml:space="preserve"> or 30 dyn/cm</w:t>
      </w:r>
      <w:r w:rsidRPr="00A443E2">
        <w:rPr>
          <w:vertAlign w:val="superscript"/>
          <w:lang w:val="en-US"/>
        </w:rPr>
        <w:t>2</w:t>
      </w:r>
      <w:r w:rsidRPr="00A443E2">
        <w:rPr>
          <w:lang w:val="en-US"/>
        </w:rPr>
        <w:t xml:space="preserve"> FSS in a cone-and-plate viscometer demonstrated increased pro-inflammatory cytokine secretion in a magnitude- and duration-dependent manner, consistent with an M1-like pro-inflammatory phenotype</w:t>
      </w:r>
      <w:sdt>
        <w:sdtPr>
          <w:rPr>
            <w:lang w:val="en-US"/>
          </w:rPr>
          <w:alias w:val="SmartCite Citation"/>
          <w:tag w:val="a9e2a68d-fe3b-412d-8c06-1ac3ca305ac6:b92702eb-ef83-423e-a059-da64cab314d6,a9e2a68d-fe3b-412d-8c06-1ac3ca305ac6:0101ef19-3d31-4d18-a40c-5176f8e45242+{&quot;a9e2a68d-fe3b-412d-8c06-1ac3ca305ac6:b92702eb-ef83-423e-a059-da64cab314d6&quot;:{&quot;doi&quot;:&quot;10.1016/j.cobme.2025.100619&quot;},&quot;a9e2a68d-fe3b-412d-8c06-1ac3ca305ac6:0101ef19-3d31-4d18-a40c-5176f8e45242&quot;:{&quot;doi&quot;:&quot;10.1007/s10439-024-03546-5&quot;,&quot;pmid&quot;:&quot;39289258&quot;,&quot;pmcid&quot;:&quot;PMC12263115&quot;}}"/>
          <w:id w:val="1493192488"/>
          <w:placeholder>
            <w:docPart w:val="584DED1E96E24F87B76C7641B62D0D3A"/>
          </w:placeholder>
        </w:sdtPr>
        <w:sdtContent>
          <w:r w:rsidRPr="00A443E2">
            <w:rPr>
              <w:rFonts w:eastAsia="Times New Roman"/>
              <w:vertAlign w:val="superscript"/>
            </w:rPr>
            <w:t>22,24</w:t>
          </w:r>
        </w:sdtContent>
      </w:sdt>
      <w:r w:rsidRPr="00A443E2">
        <w:rPr>
          <w:lang w:val="en-US"/>
        </w:rPr>
        <w:t>.  Since M2-like, anti-inflammatory tumor-associated macrophages (TAMs) are the most prevalent cell type within solid tumors and their abundance is linked to worse patient prognosis,</w:t>
      </w:r>
      <w:sdt>
        <w:sdtPr>
          <w:rPr>
            <w:lang w:val="en-US"/>
          </w:rPr>
          <w:alias w:val="SmartCite Citation"/>
          <w:tag w:val="a9e2a68d-fe3b-412d-8c06-1ac3ca305ac6:5ff448a3-a1eb-4683-97fd-af54af7e73ab,a9e2a68d-fe3b-412d-8c06-1ac3ca305ac6:1828eb5e-bdfa-4951-b070-b1d460006fbd+{&quot;a9e2a68d-fe3b-412d-8c06-1ac3ca305ac6:5ff448a3-a1eb-4683-97fd-af54af7e73ab&quot;:{&quot;doi&quot;:&quot;10.4172/2155-9899.1000338&quot;},&quot;a9e2a68d-fe3b-412d-8c06-1ac3ca305ac6:1828eb5e-bdfa-4951-b070-b1d460006fbd&quot;:{&quot;doi&quot;:&quot;10.1007/s10238-026-02055-0&quot;,&quot;pmid&quot;:&quot;41697492&quot;,&quot;pmcid&quot;:&quot;PMC12909484&quot;}}"/>
          <w:id w:val="1964869042"/>
          <w:placeholder>
            <w:docPart w:val="584DED1E96E24F87B76C7641B62D0D3A"/>
          </w:placeholder>
        </w:sdtPr>
        <w:sdtContent>
          <w:r w:rsidRPr="00A443E2">
            <w:rPr>
              <w:rFonts w:eastAsia="Times New Roman"/>
              <w:vertAlign w:val="superscript"/>
            </w:rPr>
            <w:t>25,26</w:t>
          </w:r>
        </w:sdtContent>
      </w:sdt>
      <w:r w:rsidRPr="00A443E2">
        <w:rPr>
          <w:lang w:val="en-US"/>
        </w:rPr>
        <w:t> FSS stimulation may represent a tractable strategy for promoting TAM polarization towards an M1-like, anti-tumor state in solid tumors.</w:t>
      </w:r>
    </w:p>
    <w:p w14:paraId="4B42B50A" w14:textId="77777777" w:rsidR="001D7B03" w:rsidRPr="00A443E2" w:rsidRDefault="001D7B03" w:rsidP="00A443E2"/>
    <w:p w14:paraId="59282E40" w14:textId="77777777" w:rsidR="001D7B03" w:rsidRPr="00A443E2" w:rsidRDefault="00000000" w:rsidP="00A443E2">
      <w:r w:rsidRPr="00A443E2">
        <w:rPr>
          <w:lang w:val="en-US"/>
        </w:rPr>
        <w:t>While many techniques exist to study the mechanobiology of immune and cancer cells, none address the full spectrum of physiologically relevant FSS magnitudes in a unified, scalable framework across multiple cell types. Single-cell measurement platforms such as atomic force microscopy (AFM), optical and magnetic tweezers, and traction force microscopy (TFM) have elucidated immune cell mechanics, such as changes in cell stiffness or migratory behavior, but they fail to simulate dynamic forces seen in circulation</w:t>
      </w:r>
      <w:sdt>
        <w:sdtPr>
          <w:rPr>
            <w:lang w:val="en-US"/>
          </w:rPr>
          <w:alias w:val="SmartCite Citation"/>
          <w:tag w:val="a9e2a68d-fe3b-412d-8c06-1ac3ca305ac6:67070b37-dfb7-4a5e-b8be-c4693ef5483a+{&quot;a9e2a68d-fe3b-412d-8c06-1ac3ca305ac6:67070b37-dfb7-4a5e-b8be-c4693ef5483a&quot;:{&quot;doi&quot;:&quot;10.1109/rbme.2024.3505073&quot;,&quot;pmid&quot;:&quot;40030260&quot;}}"/>
          <w:id w:val="1386482172"/>
          <w:placeholder>
            <w:docPart w:val="584DED1E96E24F87B76C7641B62D0D3A"/>
          </w:placeholder>
        </w:sdtPr>
        <w:sdtContent>
          <w:r w:rsidRPr="00A443E2">
            <w:rPr>
              <w:rFonts w:eastAsia="Times New Roman"/>
              <w:vertAlign w:val="superscript"/>
            </w:rPr>
            <w:t>1</w:t>
          </w:r>
        </w:sdtContent>
      </w:sdt>
      <w:r w:rsidRPr="00A443E2">
        <w:rPr>
          <w:lang w:val="en-US"/>
        </w:rPr>
        <w:t xml:space="preserve">. Flow devices, such as parallel plate flow </w:t>
      </w:r>
      <w:r w:rsidRPr="00A443E2">
        <w:rPr>
          <w:lang w:val="en-US"/>
        </w:rPr>
        <w:lastRenderedPageBreak/>
        <w:t>chambers and microfluidic devices, address this limitation. However, these devices are more suitable for studying adhesion and rolling during metastasis, are not ideal for suspension cell mechanotransduction, can have high reagent costs and complex fabrication, and have lower throughput, limiting the ability to test multiple simultaneous conditions.</w:t>
      </w:r>
    </w:p>
    <w:p w14:paraId="7583437C" w14:textId="77777777" w:rsidR="001D7B03" w:rsidRPr="00A443E2" w:rsidRDefault="001D7B03" w:rsidP="00A443E2"/>
    <w:p w14:paraId="47C0DE03" w14:textId="77777777" w:rsidR="001D7B03" w:rsidRPr="00A443E2" w:rsidRDefault="00000000" w:rsidP="00A443E2">
      <w:pPr>
        <w:rPr>
          <w:lang w:val="en-US"/>
        </w:rPr>
      </w:pPr>
      <w:r w:rsidRPr="00A443E2">
        <w:rPr>
          <w:lang w:val="en-US"/>
        </w:rPr>
        <w:t>In this protocol, we address these limitations by presenting a unified framework to study the full spectrum of FSS magnitudes that are physiologically relevant for vessel-borne circulating cells. Three instruments, previously validated and characterized by our laboratory, were employed to administer this physiological FSS range: (1) a cone-and-plate viscometer for applying constant low-intensity FSS</w:t>
      </w:r>
      <w:sdt>
        <w:sdtPr>
          <w:rPr>
            <w:lang w:val="en-US"/>
          </w:rPr>
          <w:alias w:val="SmartCite Citation"/>
          <w:tag w:val="a9e2a68d-fe3b-412d-8c06-1ac3ca305ac6:0123e1da-f22e-4699-94dc-37146bcb3bb6,a9e2a68d-fe3b-412d-8c06-1ac3ca305ac6:533a5160-3647-4639-a9ac-b8d66a46dfc6,a9e2a68d-fe3b-412d-8c06-1ac3ca305ac6:6bc2eafe-6bbf-49f2-891d-93b51bb7603b,a9e2a68d-fe3b-412d-8c06-1ac3ca305ac6:ddf95658-8816-46ca-a9db-2c32901d4e08,a9e2a68d-fe3b-412d-8c06-1ac3ca305ac6:18ed0c7a-188a-402c-a752-fae9c94f9189,a9e2a68d-fe3b-412d-8c06-1ac3ca305ac6:7d991040-57ef-4d38-b039-512f75e3b98c,a9e2a68d-fe3b-412d-8c06-1ac3ca305ac6:c38fb151-b8c2-4b28-8b13-9af25483857a+{&quot;a9e2a68d-fe3b-412d-8c06-1ac3ca305ac6:0123e1da-f22e-4699-94dc-37146bcb3bb6&quot;:{&quot;doi&quot;:&quot;10.1016/j.isci.2024.109999&quot;},&quot;a9e2a68d-fe3b-412d-8c06-1ac3ca305ac6:533a5160-3647-4639-a9ac-b8d66a46dfc6&quot;:{&quot;doi&quot;:&quot;10.1186/s12915-022-01266-7&quot;},&quot;a9e2a68d-fe3b-412d-8c06-1ac3ca305ac6:6bc2eafe-6bbf-49f2-891d-93b51bb7603b&quot;:{&quot;doi&quot;:&quot;10.1016/j.imbio.2023.152744&quot;},&quot;a9e2a68d-fe3b-412d-8c06-1ac3ca305ac6:ddf95658-8816-46ca-a9db-2c32901d4e08&quot;:{&quot;doi&quot;:&quot;10.1002/cpz1.933&quot;},&quot;a9e2a68d-fe3b-412d-8c06-1ac3ca305ac6:18ed0c7a-188a-402c-a752-fae9c94f9189&quot;:{&quot;doi&quot;:&quot;10.1016/j.bpj.2014.04.001&quot;,&quot;pmid&quot;:&quot;24853753&quot;,&quot;pmcid&quot;:&quot;PMC4052238&quot;},&quot;a9e2a68d-fe3b-412d-8c06-1ac3ca305ac6:7d991040-57ef-4d38-b039-512f75e3b98c&quot;:{&quot;doi&quot;:&quot;10.1088/1367-2630/15/1/015008&quot;,&quot;pmid&quot;:&quot;25110459&quot;,&quot;pmcid&quot;:&quot;PMC4124740&quot;},&quot;a9e2a68d-fe3b-412d-8c06-1ac3ca305ac6:c38fb151-b8c2-4b28-8b13-9af25483857a&quot;:{&quot;doi&quot;:&quot;10.1021/acsnano.4c08132&quot;}}"/>
          <w:id w:val="120975740"/>
          <w:placeholder>
            <w:docPart w:val="584DED1E96E24F87B76C7641B62D0D3A"/>
          </w:placeholder>
        </w:sdtPr>
        <w:sdtContent>
          <w:r w:rsidRPr="00A443E2">
            <w:rPr>
              <w:rFonts w:eastAsia="Times New Roman"/>
              <w:vertAlign w:val="superscript"/>
            </w:rPr>
            <w:t>9,10,14,27–30</w:t>
          </w:r>
        </w:sdtContent>
      </w:sdt>
      <w:r w:rsidRPr="00A443E2">
        <w:rPr>
          <w:lang w:val="en-US"/>
        </w:rPr>
        <w:t>; (2) a commercial, semi-automated multichannel pipettor for applying cyclical low- and medium-intensity FSS</w:t>
      </w:r>
      <w:sdt>
        <w:sdtPr>
          <w:rPr>
            <w:lang w:val="en-US"/>
          </w:rPr>
          <w:alias w:val="SmartCite Citation"/>
          <w:tag w:val="a9e2a68d-fe3b-412d-8c06-1ac3ca305ac6:e9a6856c-ea42-49a0-9fa0-6a7aa260793a,a9e2a68d-fe3b-412d-8c06-1ac3ca305ac6:8794b321-1f28-4db3-a833-cdab62ae1953+{&quot;a9e2a68d-fe3b-412d-8c06-1ac3ca305ac6:e9a6856c-ea42-49a0-9fa0-6a7aa260793a&quot;:{&quot;doi&quot;:&quot;10.1038/s42003-024-06327-x&quot;},&quot;a9e2a68d-fe3b-412d-8c06-1ac3ca305ac6:8794b321-1f28-4db3-a833-cdab62ae1953&quot;:{&quot;doi&quot;:&quot;10.1002/adhm.202600011&quot;,&quot;pmid&quot;:&quot;41863420&quot;}}"/>
          <w:id w:val="2090092014"/>
          <w:placeholder>
            <w:docPart w:val="584DED1E96E24F87B76C7641B62D0D3A"/>
          </w:placeholder>
        </w:sdtPr>
        <w:sdtContent>
          <w:r w:rsidRPr="00A443E2">
            <w:rPr>
              <w:rFonts w:eastAsia="Times New Roman"/>
              <w:vertAlign w:val="superscript"/>
            </w:rPr>
            <w:t>31,32</w:t>
          </w:r>
        </w:sdtContent>
      </w:sdt>
      <w:r w:rsidRPr="00A443E2">
        <w:rPr>
          <w:lang w:val="en-US"/>
        </w:rPr>
        <w:t>; and (3) a syringe pump for applying brief pulses of high-intensity FSS</w:t>
      </w:r>
      <w:sdt>
        <w:sdtPr>
          <w:rPr>
            <w:lang w:val="en-US"/>
          </w:rPr>
          <w:alias w:val="SmartCite Citation"/>
          <w:tag w:val="a9e2a68d-fe3b-412d-8c06-1ac3ca305ac6:dc054ead-c810-4eb4-a12b-91bf1b53a94e+{&quot;a9e2a68d-fe3b-412d-8c06-1ac3ca305ac6:dc054ead-c810-4eb4-a12b-91bf1b53a94e&quot;:{&quot;doi&quot;:&quot;10.1002/advs.76535&quot;,&quot;pmid&quot;:&quot;42474106&quot;,&quot;pmcid&quot;:&quot;PMC13383692&quot;}}"/>
          <w:id w:val="777314295"/>
          <w:placeholder>
            <w:docPart w:val="584DED1E96E24F87B76C7641B62D0D3A"/>
          </w:placeholder>
        </w:sdtPr>
        <w:sdtContent>
          <w:r w:rsidRPr="00A443E2">
            <w:rPr>
              <w:rFonts w:eastAsia="Times New Roman"/>
              <w:vertAlign w:val="superscript"/>
            </w:rPr>
            <w:t>33</w:t>
          </w:r>
        </w:sdtContent>
      </w:sdt>
      <w:r w:rsidRPr="00A443E2">
        <w:rPr>
          <w:lang w:val="en-US"/>
        </w:rPr>
        <w:t xml:space="preserve">. </w:t>
      </w:r>
      <w:r w:rsidRPr="00A443E2">
        <w:rPr>
          <w:b/>
          <w:bCs/>
          <w:lang w:val="en-US"/>
        </w:rPr>
        <w:t>Figure 1B</w:t>
      </w:r>
      <w:r w:rsidRPr="00A443E2">
        <w:rPr>
          <w:lang w:val="en-US"/>
        </w:rPr>
        <w:t xml:space="preserve"> maps each instrument’s FSS range to conditions in healthy and diseased vasculature</w:t>
      </w:r>
      <w:sdt>
        <w:sdtPr>
          <w:rPr>
            <w:lang w:val="en-US"/>
          </w:rPr>
          <w:alias w:val="SmartCite Citation"/>
          <w:tag w:val="a9e2a68d-fe3b-412d-8c06-1ac3ca305ac6:67070b37-dfb7-4a5e-b8be-c4693ef5483a,a9e2a68d-fe3b-412d-8c06-1ac3ca305ac6:ce23d197-3d81-474d-8916-a2c513066d30,a9e2a68d-fe3b-412d-8c06-1ac3ca305ac6:0123e1da-f22e-4699-94dc-37146bcb3bb6,a9e2a68d-fe3b-412d-8c06-1ac3ca305ac6:533a5160-3647-4639-a9ac-b8d66a46dfc6,a9e2a68d-fe3b-412d-8c06-1ac3ca305ac6:e9a6856c-ea42-49a0-9fa0-6a7aa260793a+{&quot;a9e2a68d-fe3b-412d-8c06-1ac3ca305ac6:67070b37-dfb7-4a5e-b8be-c4693ef5483a&quot;:{&quot;doi&quot;:&quot;10.1109/rbme.2024.3505073&quot;,&quot;pmid&quot;:&quot;40030260&quot;},&quot;a9e2a68d-fe3b-412d-8c06-1ac3ca305ac6:ce23d197-3d81-474d-8916-a2c513066d30&quot;:{&quot;pmid&quot;:&quot;29888101&quot;,&quot;pmcid&quot;:&quot;PMC5992512&quot;},&quot;a9e2a68d-fe3b-412d-8c06-1ac3ca305ac6:0123e1da-f22e-4699-94dc-37146bcb3bb6&quot;:{&quot;doi&quot;:&quot;10.1016/j.isci.2024.109999&quot;},&quot;a9e2a68d-fe3b-412d-8c06-1ac3ca305ac6:533a5160-3647-4639-a9ac-b8d66a46dfc6&quot;:{&quot;doi&quot;:&quot;10.1186/s12915-022-01266-7&quot;},&quot;a9e2a68d-fe3b-412d-8c06-1ac3ca305ac6:e9a6856c-ea42-49a0-9fa0-6a7aa260793a&quot;:{&quot;doi&quot;:&quot;10.1038/s42003-024-06327-x&quot;}}"/>
          <w:id w:val="539562282"/>
          <w:placeholder>
            <w:docPart w:val="584DED1E96E24F87B76C7641B62D0D3A"/>
          </w:placeholder>
        </w:sdtPr>
        <w:sdtContent>
          <w:r w:rsidRPr="00A443E2">
            <w:rPr>
              <w:rFonts w:eastAsia="Times New Roman"/>
              <w:vertAlign w:val="superscript"/>
            </w:rPr>
            <w:t>1,2,9,10,31</w:t>
          </w:r>
        </w:sdtContent>
      </w:sdt>
      <w:r w:rsidRPr="00A443E2">
        <w:rPr>
          <w:lang w:val="en-US"/>
        </w:rPr>
        <w:t>. Since cone-and-plate viscometers generate a spatially uniform shear field, we report a single value to describe the FSS applied to a cell sample. In contrast, the multichannel pipettor and syringe pump are pressure-driven flow devices in which cells are sheared during transit through a cylindrical conduit. Here, the FSS exerted on a cell varies linearly with its radial position within the lumen, and the FSS averaged over the conduit cross-section (</w:t>
      </w:r>
      <w:proofErr w:type="spellStart"/>
      <w:r w:rsidRPr="00A443E2">
        <w:rPr>
          <w:lang w:val="en-US"/>
        </w:rPr>
        <w:t>τ</w:t>
      </w:r>
      <w:r w:rsidRPr="00A443E2">
        <w:rPr>
          <w:vertAlign w:val="subscript"/>
          <w:lang w:val="en-US"/>
        </w:rPr>
        <w:t>average</w:t>
      </w:r>
      <w:proofErr w:type="spellEnd"/>
      <w:r w:rsidRPr="00A443E2">
        <w:rPr>
          <w:lang w:val="en-US"/>
        </w:rPr>
        <w:t>) is two-thirds of the wall/maximum FSS (</w:t>
      </w:r>
      <w:proofErr w:type="spellStart"/>
      <w:r w:rsidRPr="00A443E2">
        <w:rPr>
          <w:lang w:val="en-US"/>
        </w:rPr>
        <w:t>τ</w:t>
      </w:r>
      <w:r w:rsidRPr="00A443E2">
        <w:rPr>
          <w:vertAlign w:val="subscript"/>
          <w:lang w:val="en-US"/>
        </w:rPr>
        <w:t>wall</w:t>
      </w:r>
      <w:proofErr w:type="spellEnd"/>
      <w:r w:rsidRPr="00A443E2">
        <w:rPr>
          <w:lang w:val="en-US"/>
        </w:rPr>
        <w:t>)</w:t>
      </w:r>
      <w:sdt>
        <w:sdtPr>
          <w:rPr>
            <w:lang w:val="en-US"/>
          </w:rPr>
          <w:alias w:val="SmartCite Citation"/>
          <w:tag w:val="a9e2a68d-fe3b-412d-8c06-1ac3ca305ac6:e9a6856c-ea42-49a0-9fa0-6a7aa260793a,a9e2a68d-fe3b-412d-8c06-1ac3ca305ac6:dc054ead-c810-4eb4-a12b-91bf1b53a94e+{&quot;a9e2a68d-fe3b-412d-8c06-1ac3ca305ac6:e9a6856c-ea42-49a0-9fa0-6a7aa260793a&quot;:{&quot;doi&quot;:&quot;10.1038/s42003-024-06327-x&quot;},&quot;a9e2a68d-fe3b-412d-8c06-1ac3ca305ac6:dc054ead-c810-4eb4-a12b-91bf1b53a94e&quot;:{&quot;doi&quot;:&quot;10.1002/advs.76535&quot;,&quot;pmid&quot;:&quot;42474106&quot;,&quot;pmcid&quot;:&quot;PMC13383692&quot;}}"/>
          <w:id w:val="1725566040"/>
          <w:placeholder>
            <w:docPart w:val="56F49B177E2443A28A780A522EA89A6E"/>
          </w:placeholder>
        </w:sdtPr>
        <w:sdtContent>
          <w:r w:rsidRPr="00A443E2">
            <w:rPr>
              <w:rFonts w:eastAsia="Times New Roman"/>
              <w:vertAlign w:val="superscript"/>
            </w:rPr>
            <w:t>31,33</w:t>
          </w:r>
        </w:sdtContent>
      </w:sdt>
      <w:r w:rsidRPr="00A443E2">
        <w:rPr>
          <w:lang w:val="en-US"/>
        </w:rPr>
        <w:t xml:space="preserve">. Therefore, FSS magnitudes for the multichannel pipettor and syringe pump are reported throughout this protocol as </w:t>
      </w:r>
      <w:proofErr w:type="spellStart"/>
      <w:r w:rsidRPr="00A443E2">
        <w:rPr>
          <w:lang w:val="en-US"/>
        </w:rPr>
        <w:t>τ</w:t>
      </w:r>
      <w:r w:rsidRPr="00A443E2">
        <w:rPr>
          <w:vertAlign w:val="subscript"/>
          <w:lang w:val="en-US"/>
        </w:rPr>
        <w:t>average</w:t>
      </w:r>
      <w:proofErr w:type="spellEnd"/>
      <w:r w:rsidRPr="00A443E2">
        <w:rPr>
          <w:lang w:val="en-US"/>
        </w:rPr>
        <w:t>, which reflects the approximate mean FSS exerted on all cells suspended in flow through the lumen.</w:t>
      </w:r>
    </w:p>
    <w:p w14:paraId="4D11FD91" w14:textId="77777777" w:rsidR="001D7B03" w:rsidRPr="00A443E2" w:rsidRDefault="001D7B03" w:rsidP="00A443E2">
      <w:pPr>
        <w:rPr>
          <w:lang w:val="en-US"/>
        </w:rPr>
      </w:pPr>
    </w:p>
    <w:p w14:paraId="463993C5" w14:textId="77777777" w:rsidR="001D7B03" w:rsidRPr="00A443E2" w:rsidRDefault="00000000" w:rsidP="00A443E2">
      <w:r w:rsidRPr="00A443E2">
        <w:rPr>
          <w:lang w:val="en-US"/>
        </w:rPr>
        <w:t>This protocol offers several advantages over existing methods: the use of commercial instruments improves accessibility by eliminating the need for custom device fabrication; clearly defined flow parameters and system geometry ensure reproducibility; and the pipettor’s 96-well format enables scalable experimentation. Additionally, we include a protocol for manufacturing custom needle tips to extend the multichannel pipettor’s FSS range (section 2.1)</w:t>
      </w:r>
      <w:sdt>
        <w:sdtPr>
          <w:rPr>
            <w:lang w:val="en-US"/>
          </w:rPr>
          <w:alias w:val="SmartCite Citation"/>
          <w:tag w:val="a9e2a68d-fe3b-412d-8c06-1ac3ca305ac6:e9a6856c-ea42-49a0-9fa0-6a7aa260793a+{&quot;a9e2a68d-fe3b-412d-8c06-1ac3ca305ac6:e9a6856c-ea42-49a0-9fa0-6a7aa260793a&quot;:{&quot;doi&quot;:&quot;10.1038/s42003-024-06327-x&quot;}}"/>
          <w:id w:val="2033004470"/>
          <w:placeholder>
            <w:docPart w:val="584DED1E96E24F87B76C7641B62D0D3A"/>
          </w:placeholder>
        </w:sdtPr>
        <w:sdtContent>
          <w:r w:rsidRPr="00A443E2">
            <w:rPr>
              <w:rFonts w:eastAsia="Times New Roman"/>
              <w:vertAlign w:val="superscript"/>
            </w:rPr>
            <w:t>31</w:t>
          </w:r>
        </w:sdtContent>
      </w:sdt>
      <w:r w:rsidRPr="00A443E2">
        <w:rPr>
          <w:lang w:val="en-US"/>
        </w:rPr>
        <w:t>.</w:t>
      </w:r>
    </w:p>
    <w:p w14:paraId="29E6BC38" w14:textId="77777777" w:rsidR="001D7B03" w:rsidRPr="00A443E2" w:rsidRDefault="001D7B03" w:rsidP="00A443E2"/>
    <w:p w14:paraId="13CF670B" w14:textId="77777777" w:rsidR="001D7B03" w:rsidRPr="00A443E2" w:rsidRDefault="00000000" w:rsidP="00A443E2">
      <w:pPr>
        <w:rPr>
          <w:lang w:val="en-US"/>
        </w:rPr>
      </w:pPr>
      <w:r w:rsidRPr="00A443E2">
        <w:rPr>
          <w:lang w:val="en-US"/>
        </w:rPr>
        <w:t xml:space="preserve">Here, we provide representative results demonstrating the effects of FSS exerted by each instrument on T cell phenotype, monocyte differentiation, macrophage polarization, and prostate cancer cell survival, validated in both primary cells and immortalized cell lines. Potential applications of this protocol not only include foundational biology applications in studying immune cell mechanotransduction and cancer cell adaptation in metastasis, but also translational applications in </w:t>
      </w:r>
      <w:r w:rsidRPr="00A443E2">
        <w:rPr>
          <w:i/>
          <w:iCs/>
          <w:lang w:val="en-US"/>
        </w:rPr>
        <w:t>ex vivo</w:t>
      </w:r>
      <w:r w:rsidRPr="00A443E2">
        <w:rPr>
          <w:lang w:val="en-US"/>
        </w:rPr>
        <w:t xml:space="preserve"> immune cell processing for cancer therapy.</w:t>
      </w:r>
    </w:p>
    <w:p w14:paraId="16B0DB67" w14:textId="77777777" w:rsidR="001D7B03" w:rsidRPr="00A443E2" w:rsidRDefault="001D7B03" w:rsidP="00A443E2">
      <w:pPr>
        <w:rPr>
          <w:b/>
          <w:bCs/>
        </w:rPr>
      </w:pPr>
    </w:p>
    <w:p w14:paraId="19DDC00F" w14:textId="77777777" w:rsidR="001D7B03" w:rsidRDefault="00000000" w:rsidP="00A443E2">
      <w:pPr>
        <w:rPr>
          <w:b/>
          <w:bCs/>
        </w:rPr>
      </w:pPr>
      <w:r w:rsidRPr="00A443E2">
        <w:rPr>
          <w:b/>
          <w:bCs/>
        </w:rPr>
        <w:t>PROTOCOL:</w:t>
      </w:r>
    </w:p>
    <w:p w14:paraId="6B1DB76B" w14:textId="77777777" w:rsidR="001D7B03" w:rsidRPr="00A443E2" w:rsidRDefault="00000000" w:rsidP="00A443E2">
      <w:pPr>
        <w:widowControl/>
        <w:rPr>
          <w:b/>
          <w:lang w:val="tr-TR"/>
        </w:rPr>
      </w:pPr>
      <w:r w:rsidRPr="00A443E2">
        <w:rPr>
          <w:lang w:val="en-US"/>
        </w:rPr>
        <w:t xml:space="preserve">Primary human buffy coat units were purchased from Gulf Coast Blood Center (Houston, TX); donors were 17–65 years of age and of both sexes. The Rice University Institutional Review Board determined that this study does not constitute human subjects research, as all primary human samples were de-identified by Gulf Coast Blood Center before sale (#IRB-FY2024-375). All work with human-derived material was approved by the Rice University Institutional Biosafety Committee (#IBC-24-050). Jurkat (clone E6-1), THP-1, LNCaP, and PC3 cells were obtained from ATCC, which performs short tandem repeat (STR) profiling on deposited lines. Cells were used at low passage number following receipt. STR profiling was performed on the LNCaP and PC3 cell </w:t>
      </w:r>
      <w:r w:rsidRPr="00A443E2">
        <w:rPr>
          <w:lang w:val="en-US"/>
        </w:rPr>
        <w:lastRenderedPageBreak/>
        <w:t xml:space="preserve">lines to confirm authentication. All cell lines tested negative for mycoplasma by PCR-based assay. </w:t>
      </w:r>
      <w:r w:rsidRPr="00A443E2">
        <w:rPr>
          <w:bCs/>
          <w:lang w:val="tr-TR"/>
        </w:rPr>
        <w:t xml:space="preserve">The details of all the reagents and the equipment used are listed in the </w:t>
      </w:r>
      <w:r w:rsidRPr="00A443E2">
        <w:rPr>
          <w:b/>
          <w:lang w:val="tr-TR"/>
        </w:rPr>
        <w:t>Table of Materials</w:t>
      </w:r>
      <w:r w:rsidRPr="00A443E2">
        <w:rPr>
          <w:bCs/>
          <w:lang w:val="tr-TR"/>
        </w:rPr>
        <w:t xml:space="preserve">. </w:t>
      </w:r>
    </w:p>
    <w:p w14:paraId="6E127802" w14:textId="77777777" w:rsidR="001D7B03" w:rsidRPr="00A443E2" w:rsidRDefault="001D7B03" w:rsidP="00A443E2"/>
    <w:p w14:paraId="5592D38B" w14:textId="77777777" w:rsidR="001D7B03" w:rsidRPr="00A443E2" w:rsidRDefault="00000000" w:rsidP="00A443E2">
      <w:pPr>
        <w:numPr>
          <w:ilvl w:val="0"/>
          <w:numId w:val="1"/>
        </w:numPr>
        <w:pBdr>
          <w:top w:val="nil"/>
          <w:left w:val="nil"/>
          <w:bottom w:val="nil"/>
          <w:right w:val="nil"/>
          <w:between w:val="nil"/>
        </w:pBdr>
        <w:ind w:left="0" w:firstLine="0"/>
      </w:pPr>
      <w:r w:rsidRPr="00A443E2">
        <w:rPr>
          <w:b/>
          <w:bCs/>
          <w:color w:val="000000"/>
        </w:rPr>
        <w:t>Low-intensity FSS application using a cone-and-plate viscometer</w:t>
      </w:r>
    </w:p>
    <w:p w14:paraId="0A99F43B" w14:textId="77777777" w:rsidR="001D467C" w:rsidRPr="00A443E2" w:rsidRDefault="001D467C" w:rsidP="00A443E2">
      <w:pPr>
        <w:pBdr>
          <w:top w:val="nil"/>
          <w:left w:val="nil"/>
          <w:bottom w:val="nil"/>
          <w:right w:val="nil"/>
          <w:between w:val="nil"/>
        </w:pBdr>
      </w:pPr>
    </w:p>
    <w:p w14:paraId="7CCA6E35" w14:textId="77777777" w:rsidR="001D7B03" w:rsidRPr="00A443E2" w:rsidRDefault="00000000" w:rsidP="00A443E2">
      <w:pPr>
        <w:rPr>
          <w:lang w:val="en-US"/>
        </w:rPr>
      </w:pPr>
      <w:r w:rsidRPr="00A443E2">
        <w:rPr>
          <w:lang w:val="en-US"/>
        </w:rPr>
        <w:t>NOTE: The following protocol describes the application of low-intensity FSS using cone-and-plate viscometers (</w:t>
      </w:r>
      <w:r w:rsidRPr="00A443E2">
        <w:rPr>
          <w:b/>
          <w:bCs/>
          <w:lang w:val="en-US"/>
        </w:rPr>
        <w:t>Supplementary Figure 1A</w:t>
      </w:r>
      <w:r w:rsidRPr="00A443E2">
        <w:rPr>
          <w:lang w:val="en-US"/>
        </w:rPr>
        <w:t xml:space="preserve">). Steps in sections 1.1 and 1.3 are described for the viscometer models listed in the </w:t>
      </w:r>
      <w:r w:rsidRPr="00CD5BE9">
        <w:rPr>
          <w:lang w:val="en-US"/>
        </w:rPr>
        <w:t>Table of Materials</w:t>
      </w:r>
      <w:r w:rsidRPr="00A443E2">
        <w:rPr>
          <w:lang w:val="en-US"/>
        </w:rPr>
        <w:t>; specific navigation steps may vary slightly for other viscometer models.</w:t>
      </w:r>
    </w:p>
    <w:p w14:paraId="7CF2EAF9" w14:textId="77777777" w:rsidR="001D7B03" w:rsidRPr="00A443E2" w:rsidRDefault="001D7B03" w:rsidP="00A443E2">
      <w:pPr>
        <w:rPr>
          <w:lang w:val="en-US"/>
        </w:rPr>
      </w:pPr>
    </w:p>
    <w:p w14:paraId="0E2D5F40" w14:textId="77777777" w:rsidR="001D7B03" w:rsidRPr="0094719C" w:rsidRDefault="00000000" w:rsidP="00A443E2">
      <w:pPr>
        <w:numPr>
          <w:ilvl w:val="1"/>
          <w:numId w:val="1"/>
        </w:numPr>
        <w:pBdr>
          <w:top w:val="nil"/>
          <w:left w:val="nil"/>
          <w:bottom w:val="nil"/>
          <w:right w:val="nil"/>
          <w:between w:val="nil"/>
        </w:pBdr>
        <w:ind w:left="0" w:firstLine="0"/>
        <w:rPr>
          <w:color w:val="000000"/>
        </w:rPr>
      </w:pPr>
      <w:r w:rsidRPr="0094719C">
        <w:rPr>
          <w:color w:val="000000"/>
        </w:rPr>
        <w:t>Viscosity analysis</w:t>
      </w:r>
    </w:p>
    <w:p w14:paraId="7F2D8545" w14:textId="77777777" w:rsidR="001D467C" w:rsidRPr="00A443E2" w:rsidRDefault="001D467C" w:rsidP="00A443E2">
      <w:pPr>
        <w:pBdr>
          <w:top w:val="nil"/>
          <w:left w:val="nil"/>
          <w:bottom w:val="nil"/>
          <w:right w:val="nil"/>
          <w:between w:val="nil"/>
        </w:pBdr>
        <w:rPr>
          <w:b/>
          <w:bCs/>
          <w:color w:val="000000"/>
        </w:rPr>
      </w:pPr>
    </w:p>
    <w:p w14:paraId="7DABD969" w14:textId="77777777" w:rsidR="001D7B03" w:rsidRPr="00A443E2" w:rsidRDefault="00000000" w:rsidP="00A443E2">
      <w:pPr>
        <w:pBdr>
          <w:top w:val="nil"/>
          <w:left w:val="nil"/>
          <w:bottom w:val="nil"/>
          <w:right w:val="nil"/>
          <w:between w:val="nil"/>
        </w:pBdr>
        <w:rPr>
          <w:color w:val="000000" w:themeColor="text1"/>
          <w:lang w:val="en-US"/>
        </w:rPr>
      </w:pPr>
      <w:r w:rsidRPr="00A443E2">
        <w:rPr>
          <w:color w:val="000000" w:themeColor="text1"/>
          <w:lang w:val="en-US"/>
        </w:rPr>
        <w:t>NOTE: This section is required when establishing FSS conditions for a new cell type, base media, or cell density that differs substantially from previously characterized conditions (i.e., order-of-magnitude variation). If the media, cell density, and target FSS magnitude have been previously validated and remain consistent with prior experiments, this section may be skipped and the pre-established RPM from step 1.2.1 can be directly applied to section 1.3.</w:t>
      </w:r>
    </w:p>
    <w:p w14:paraId="44C09611" w14:textId="77777777" w:rsidR="001D7B03" w:rsidRPr="00A443E2" w:rsidRDefault="001D7B03" w:rsidP="00A443E2">
      <w:pPr>
        <w:pBdr>
          <w:top w:val="nil"/>
          <w:left w:val="nil"/>
          <w:bottom w:val="nil"/>
          <w:right w:val="nil"/>
          <w:between w:val="nil"/>
        </w:pBdr>
        <w:rPr>
          <w:color w:val="000000"/>
          <w:lang w:val="en-US"/>
        </w:rPr>
      </w:pPr>
    </w:p>
    <w:p w14:paraId="2B49ED02" w14:textId="77777777" w:rsidR="001D7B03" w:rsidRPr="0094719C" w:rsidRDefault="00000000" w:rsidP="00A443E2">
      <w:pPr>
        <w:numPr>
          <w:ilvl w:val="2"/>
          <w:numId w:val="1"/>
        </w:numPr>
        <w:pBdr>
          <w:top w:val="nil"/>
          <w:left w:val="nil"/>
          <w:bottom w:val="nil"/>
          <w:right w:val="nil"/>
          <w:between w:val="nil"/>
        </w:pBdr>
        <w:ind w:left="0" w:firstLine="0"/>
        <w:rPr>
          <w:color w:val="000000"/>
        </w:rPr>
      </w:pPr>
      <w:r w:rsidRPr="0094719C">
        <w:rPr>
          <w:color w:val="000000"/>
        </w:rPr>
        <w:t>Optional: primary immune cell isolation</w:t>
      </w:r>
    </w:p>
    <w:p w14:paraId="019D698E" w14:textId="77777777" w:rsidR="008268C9" w:rsidRPr="00A443E2" w:rsidRDefault="008268C9" w:rsidP="00A443E2">
      <w:pPr>
        <w:pBdr>
          <w:top w:val="nil"/>
          <w:left w:val="nil"/>
          <w:bottom w:val="nil"/>
          <w:right w:val="nil"/>
          <w:between w:val="nil"/>
        </w:pBdr>
        <w:rPr>
          <w:b/>
          <w:bCs/>
          <w:color w:val="000000"/>
        </w:rPr>
      </w:pPr>
    </w:p>
    <w:p w14:paraId="511184D3" w14:textId="77777777" w:rsidR="001D467C" w:rsidRPr="00A443E2" w:rsidRDefault="00000000" w:rsidP="00A443E2">
      <w:pPr>
        <w:numPr>
          <w:ilvl w:val="3"/>
          <w:numId w:val="1"/>
        </w:numPr>
        <w:pBdr>
          <w:top w:val="nil"/>
          <w:left w:val="nil"/>
          <w:bottom w:val="nil"/>
          <w:right w:val="nil"/>
          <w:between w:val="nil"/>
        </w:pBdr>
        <w:ind w:left="0" w:firstLine="0"/>
      </w:pPr>
      <w:r w:rsidRPr="00A443E2">
        <w:rPr>
          <w:color w:val="000000"/>
          <w:lang w:val="en-US"/>
        </w:rPr>
        <w:t xml:space="preserve">If using primary immune cells, isolate cells using a preferred method the day prior to step </w:t>
      </w:r>
    </w:p>
    <w:p w14:paraId="1B32D1BF" w14:textId="77777777" w:rsidR="001D467C" w:rsidRPr="00A443E2" w:rsidRDefault="001D467C" w:rsidP="00A443E2">
      <w:pPr>
        <w:pBdr>
          <w:top w:val="nil"/>
          <w:left w:val="nil"/>
          <w:bottom w:val="nil"/>
          <w:right w:val="nil"/>
          <w:between w:val="nil"/>
        </w:pBdr>
      </w:pPr>
    </w:p>
    <w:p w14:paraId="4E162F9B" w14:textId="3DBC0DC5" w:rsidR="001D7B03" w:rsidRPr="00A443E2" w:rsidRDefault="00000000" w:rsidP="00C05038">
      <w:pPr>
        <w:pBdr>
          <w:top w:val="nil"/>
          <w:left w:val="nil"/>
          <w:bottom w:val="nil"/>
          <w:right w:val="nil"/>
          <w:between w:val="nil"/>
        </w:pBdr>
      </w:pPr>
      <w:r w:rsidRPr="00A443E2">
        <w:rPr>
          <w:color w:val="000000"/>
          <w:lang w:val="en-US"/>
        </w:rPr>
        <w:t xml:space="preserve">PAUSE POINT: Isolated primary cells may be stored overnight under appropriate conditions. </w:t>
      </w:r>
    </w:p>
    <w:p w14:paraId="442D2AE5" w14:textId="77777777" w:rsidR="001D7B03" w:rsidRPr="00A443E2" w:rsidRDefault="001D7B03" w:rsidP="00A443E2">
      <w:pPr>
        <w:pBdr>
          <w:top w:val="nil"/>
          <w:left w:val="nil"/>
          <w:bottom w:val="nil"/>
          <w:right w:val="nil"/>
          <w:between w:val="nil"/>
        </w:pBdr>
      </w:pPr>
    </w:p>
    <w:p w14:paraId="13D36803" w14:textId="77777777" w:rsidR="001D7B03" w:rsidRPr="0094719C" w:rsidRDefault="00000000" w:rsidP="00A443E2">
      <w:pPr>
        <w:numPr>
          <w:ilvl w:val="2"/>
          <w:numId w:val="1"/>
        </w:numPr>
        <w:pBdr>
          <w:top w:val="nil"/>
          <w:left w:val="nil"/>
          <w:bottom w:val="nil"/>
          <w:right w:val="nil"/>
          <w:between w:val="nil"/>
        </w:pBdr>
        <w:ind w:left="0" w:firstLine="0"/>
        <w:rPr>
          <w:color w:val="000000"/>
        </w:rPr>
      </w:pPr>
      <w:r w:rsidRPr="0094719C">
        <w:rPr>
          <w:color w:val="000000"/>
        </w:rPr>
        <w:t>Instrument setup and configuration</w:t>
      </w:r>
    </w:p>
    <w:p w14:paraId="1B0AC253" w14:textId="77777777" w:rsidR="001D467C" w:rsidRPr="00A443E2" w:rsidRDefault="001D467C" w:rsidP="00A443E2">
      <w:pPr>
        <w:pBdr>
          <w:top w:val="nil"/>
          <w:left w:val="nil"/>
          <w:bottom w:val="nil"/>
          <w:right w:val="nil"/>
          <w:between w:val="nil"/>
        </w:pBdr>
        <w:rPr>
          <w:b/>
          <w:bCs/>
          <w:color w:val="000000"/>
        </w:rPr>
      </w:pPr>
    </w:p>
    <w:p w14:paraId="304A063F" w14:textId="77777777" w:rsidR="001D7B03" w:rsidRPr="00A443E2" w:rsidRDefault="00000000" w:rsidP="00A443E2">
      <w:pPr>
        <w:numPr>
          <w:ilvl w:val="3"/>
          <w:numId w:val="1"/>
        </w:numPr>
        <w:pBdr>
          <w:top w:val="nil"/>
          <w:left w:val="nil"/>
          <w:bottom w:val="nil"/>
          <w:right w:val="nil"/>
          <w:between w:val="nil"/>
        </w:pBdr>
        <w:ind w:left="0" w:firstLine="0"/>
      </w:pPr>
      <w:r w:rsidRPr="00A443E2">
        <w:rPr>
          <w:color w:val="000000"/>
          <w:lang w:val="en-US"/>
        </w:rPr>
        <w:t xml:space="preserve">Power on viscometer(s). If viscometer(s) is equipped with a heated element, power it on according to the manufacturer’s instructions. </w:t>
      </w:r>
    </w:p>
    <w:p w14:paraId="649EBCE0" w14:textId="77777777" w:rsidR="001D467C" w:rsidRPr="00A443E2" w:rsidRDefault="001D467C" w:rsidP="00A443E2">
      <w:pPr>
        <w:pBdr>
          <w:top w:val="nil"/>
          <w:left w:val="nil"/>
          <w:bottom w:val="nil"/>
          <w:right w:val="nil"/>
          <w:between w:val="nil"/>
        </w:pBdr>
      </w:pPr>
    </w:p>
    <w:p w14:paraId="22DE597C" w14:textId="1ED3CC4A" w:rsidR="001D7B03" w:rsidRPr="00A443E2" w:rsidRDefault="00000000" w:rsidP="00A443E2">
      <w:pPr>
        <w:numPr>
          <w:ilvl w:val="3"/>
          <w:numId w:val="1"/>
        </w:numPr>
        <w:pBdr>
          <w:top w:val="nil"/>
          <w:left w:val="nil"/>
          <w:bottom w:val="nil"/>
          <w:right w:val="nil"/>
          <w:between w:val="nil"/>
        </w:pBdr>
        <w:ind w:left="0" w:firstLine="0"/>
      </w:pPr>
      <w:r w:rsidRPr="00A443E2">
        <w:rPr>
          <w:color w:val="000000"/>
          <w:lang w:val="en-US"/>
        </w:rPr>
        <w:t xml:space="preserve">When prompted by the instrument, remove the cone (herein referred to as spindle) if attached and select </w:t>
      </w:r>
      <w:r w:rsidRPr="0094719C">
        <w:rPr>
          <w:b/>
          <w:bCs/>
          <w:color w:val="000000"/>
          <w:lang w:val="en-US"/>
        </w:rPr>
        <w:t>Next</w:t>
      </w:r>
      <w:r w:rsidRPr="00A443E2">
        <w:rPr>
          <w:color w:val="000000"/>
          <w:lang w:val="en-US"/>
        </w:rPr>
        <w:t xml:space="preserve"> (</w:t>
      </w:r>
      <w:r w:rsidRPr="00A443E2">
        <w:rPr>
          <w:b/>
          <w:bCs/>
          <w:color w:val="000000"/>
          <w:lang w:val="en-US"/>
        </w:rPr>
        <w:t>Supplementary Figure 1B</w:t>
      </w:r>
      <w:r w:rsidRPr="00A443E2">
        <w:rPr>
          <w:color w:val="000000"/>
          <w:lang w:val="en-US"/>
        </w:rPr>
        <w:t>).</w:t>
      </w:r>
    </w:p>
    <w:p w14:paraId="1B463F5D" w14:textId="77777777" w:rsidR="001D467C" w:rsidRPr="00A443E2" w:rsidRDefault="001D467C" w:rsidP="00A443E2">
      <w:pPr>
        <w:pStyle w:val="ListParagraph"/>
        <w:ind w:left="0"/>
      </w:pPr>
    </w:p>
    <w:p w14:paraId="471B9F2C" w14:textId="77777777" w:rsidR="001D7B03" w:rsidRPr="00A443E2" w:rsidRDefault="00000000" w:rsidP="00A443E2">
      <w:pPr>
        <w:numPr>
          <w:ilvl w:val="3"/>
          <w:numId w:val="1"/>
        </w:numPr>
        <w:pBdr>
          <w:top w:val="nil"/>
          <w:left w:val="nil"/>
          <w:bottom w:val="nil"/>
          <w:right w:val="nil"/>
          <w:between w:val="nil"/>
        </w:pBdr>
        <w:ind w:left="0" w:firstLine="0"/>
      </w:pPr>
      <w:r w:rsidRPr="00A443E2">
        <w:rPr>
          <w:color w:val="000000"/>
          <w:lang w:val="en-US"/>
        </w:rPr>
        <w:t xml:space="preserve">Confirm that the viscometer is level using the appropriate indicator for the model. </w:t>
      </w:r>
    </w:p>
    <w:p w14:paraId="291C71B6" w14:textId="77777777" w:rsidR="001D467C" w:rsidRPr="00A443E2" w:rsidRDefault="001D467C" w:rsidP="00A443E2">
      <w:pPr>
        <w:pBdr>
          <w:top w:val="nil"/>
          <w:left w:val="nil"/>
          <w:bottom w:val="nil"/>
          <w:right w:val="nil"/>
          <w:between w:val="nil"/>
        </w:pBdr>
      </w:pPr>
    </w:p>
    <w:p w14:paraId="09B62C83" w14:textId="77777777" w:rsidR="001D7B03" w:rsidRPr="00A443E2" w:rsidRDefault="00000000" w:rsidP="00A443E2">
      <w:pPr>
        <w:numPr>
          <w:ilvl w:val="4"/>
          <w:numId w:val="1"/>
        </w:numPr>
        <w:pBdr>
          <w:top w:val="nil"/>
          <w:left w:val="nil"/>
          <w:bottom w:val="nil"/>
          <w:right w:val="nil"/>
          <w:between w:val="nil"/>
        </w:pBdr>
        <w:ind w:left="0" w:firstLine="0"/>
      </w:pPr>
      <w:r w:rsidRPr="00A443E2">
        <w:rPr>
          <w:color w:val="000000"/>
          <w:lang w:val="en-US"/>
        </w:rPr>
        <w:t xml:space="preserve">For instruments with a bubble level, adjust the instrument legs until the bubble is centered within the circle. </w:t>
      </w:r>
    </w:p>
    <w:p w14:paraId="14B76C5F" w14:textId="77777777" w:rsidR="001D467C" w:rsidRPr="00A443E2" w:rsidRDefault="001D467C" w:rsidP="00A443E2">
      <w:pPr>
        <w:pBdr>
          <w:top w:val="nil"/>
          <w:left w:val="nil"/>
          <w:bottom w:val="nil"/>
          <w:right w:val="nil"/>
          <w:between w:val="nil"/>
        </w:pBdr>
      </w:pPr>
    </w:p>
    <w:p w14:paraId="2CD642AE" w14:textId="4D4FD4F8" w:rsidR="001D7B03" w:rsidRPr="00A443E2" w:rsidRDefault="00000000" w:rsidP="00A443E2">
      <w:pPr>
        <w:numPr>
          <w:ilvl w:val="4"/>
          <w:numId w:val="1"/>
        </w:numPr>
        <w:pBdr>
          <w:top w:val="nil"/>
          <w:left w:val="nil"/>
          <w:bottom w:val="nil"/>
          <w:right w:val="nil"/>
          <w:between w:val="nil"/>
        </w:pBdr>
        <w:ind w:left="0" w:firstLine="0"/>
      </w:pPr>
      <w:r w:rsidRPr="00A443E2">
        <w:rPr>
          <w:color w:val="000000"/>
          <w:lang w:val="en-US"/>
        </w:rPr>
        <w:t xml:space="preserve">For viscometers with a digital level, navigate to </w:t>
      </w:r>
      <w:r w:rsidRPr="0094719C">
        <w:rPr>
          <w:b/>
          <w:bCs/>
          <w:color w:val="000000"/>
          <w:lang w:val="en-US"/>
        </w:rPr>
        <w:t xml:space="preserve">Settings (gear circle icon) </w:t>
      </w:r>
      <w:r w:rsidRPr="00A443E2">
        <w:rPr>
          <w:color w:val="000000"/>
          <w:lang w:val="en-US"/>
        </w:rPr>
        <w:t xml:space="preserve">&gt; </w:t>
      </w:r>
      <w:r w:rsidRPr="0094719C">
        <w:rPr>
          <w:b/>
          <w:bCs/>
          <w:color w:val="000000"/>
          <w:lang w:val="en-US"/>
        </w:rPr>
        <w:t>Device Setup</w:t>
      </w:r>
      <w:r w:rsidRPr="00A443E2">
        <w:rPr>
          <w:color w:val="000000"/>
          <w:lang w:val="en-US"/>
        </w:rPr>
        <w:t xml:space="preserve"> &gt; </w:t>
      </w:r>
      <w:r w:rsidRPr="0094719C">
        <w:rPr>
          <w:b/>
          <w:bCs/>
          <w:color w:val="000000"/>
          <w:lang w:val="en-US"/>
        </w:rPr>
        <w:t>Level</w:t>
      </w:r>
      <w:r w:rsidRPr="00A443E2">
        <w:rPr>
          <w:color w:val="000000"/>
          <w:lang w:val="en-US"/>
        </w:rPr>
        <w:t xml:space="preserve"> to access the digital level indicator, then return to the home screen by selecting </w:t>
      </w:r>
      <w:r w:rsidRPr="008749AC">
        <w:rPr>
          <w:b/>
          <w:bCs/>
          <w:color w:val="000000"/>
          <w:lang w:val="en-US"/>
        </w:rPr>
        <w:t>Configure Viscosity Test</w:t>
      </w:r>
      <w:r w:rsidRPr="00A443E2">
        <w:rPr>
          <w:color w:val="000000"/>
          <w:lang w:val="en-US"/>
        </w:rPr>
        <w:t xml:space="preserve"> (</w:t>
      </w:r>
      <w:r w:rsidRPr="00A443E2">
        <w:rPr>
          <w:b/>
          <w:bCs/>
          <w:color w:val="000000"/>
          <w:lang w:val="en-US"/>
        </w:rPr>
        <w:t>Supplementary Figure 1C</w:t>
      </w:r>
      <w:r w:rsidRPr="00A443E2">
        <w:rPr>
          <w:lang w:val="en-US"/>
        </w:rPr>
        <w:t>–</w:t>
      </w:r>
      <w:r w:rsidRPr="00A443E2">
        <w:rPr>
          <w:b/>
          <w:bCs/>
          <w:color w:val="000000"/>
          <w:lang w:val="en-US"/>
        </w:rPr>
        <w:t>G</w:t>
      </w:r>
      <w:r w:rsidRPr="00A443E2">
        <w:rPr>
          <w:color w:val="000000"/>
          <w:lang w:val="en-US"/>
        </w:rPr>
        <w:t>).</w:t>
      </w:r>
    </w:p>
    <w:p w14:paraId="7DDA47CB" w14:textId="77777777" w:rsidR="00502B55" w:rsidRPr="00A443E2" w:rsidRDefault="00502B55" w:rsidP="00A443E2">
      <w:pPr>
        <w:pStyle w:val="ListParagraph"/>
        <w:ind w:left="0"/>
      </w:pPr>
    </w:p>
    <w:p w14:paraId="468207D3" w14:textId="77777777" w:rsidR="004D5C3D" w:rsidRPr="00D210F1" w:rsidRDefault="00000000" w:rsidP="00A443E2">
      <w:pPr>
        <w:numPr>
          <w:ilvl w:val="3"/>
          <w:numId w:val="1"/>
        </w:numPr>
        <w:pBdr>
          <w:top w:val="nil"/>
          <w:left w:val="nil"/>
          <w:bottom w:val="nil"/>
          <w:right w:val="nil"/>
          <w:between w:val="nil"/>
        </w:pBdr>
        <w:ind w:left="0" w:firstLine="0"/>
      </w:pPr>
      <w:r w:rsidRPr="00A443E2">
        <w:rPr>
          <w:lang w:val="en-US"/>
        </w:rPr>
        <w:t xml:space="preserve">Attach the spindle using a mini wrench. Avoid contact between fingers and the bottom surface of the spindle. </w:t>
      </w:r>
    </w:p>
    <w:p w14:paraId="2C9CEADA" w14:textId="77777777" w:rsidR="00D210F1" w:rsidRPr="004D5C3D" w:rsidRDefault="00D210F1" w:rsidP="00D210F1">
      <w:pPr>
        <w:pBdr>
          <w:top w:val="nil"/>
          <w:left w:val="nil"/>
          <w:bottom w:val="nil"/>
          <w:right w:val="nil"/>
          <w:between w:val="nil"/>
        </w:pBdr>
      </w:pPr>
    </w:p>
    <w:p w14:paraId="32C8E3AE" w14:textId="3F51F71E" w:rsidR="001D7B03" w:rsidRPr="00A443E2" w:rsidRDefault="00000000" w:rsidP="00B80FDC">
      <w:pPr>
        <w:pBdr>
          <w:top w:val="nil"/>
          <w:left w:val="nil"/>
          <w:bottom w:val="nil"/>
          <w:right w:val="nil"/>
          <w:between w:val="nil"/>
        </w:pBdr>
      </w:pPr>
      <w:r w:rsidRPr="00A443E2">
        <w:rPr>
          <w:lang w:val="en-US"/>
        </w:rPr>
        <w:lastRenderedPageBreak/>
        <w:t>NOTE: Select the spindle based on the required working volume (</w:t>
      </w:r>
      <w:r w:rsidRPr="00A443E2">
        <w:rPr>
          <w:b/>
          <w:bCs/>
          <w:lang w:val="en-US"/>
        </w:rPr>
        <w:t>Table 1</w:t>
      </w:r>
      <w:r w:rsidRPr="00A443E2">
        <w:rPr>
          <w:lang w:val="en-US"/>
        </w:rPr>
        <w:t xml:space="preserve">). </w:t>
      </w:r>
    </w:p>
    <w:p w14:paraId="009FE897" w14:textId="77777777" w:rsidR="00502B55" w:rsidRPr="00A443E2" w:rsidRDefault="00502B55" w:rsidP="00A443E2">
      <w:pPr>
        <w:pBdr>
          <w:top w:val="nil"/>
          <w:left w:val="nil"/>
          <w:bottom w:val="nil"/>
          <w:right w:val="nil"/>
          <w:between w:val="nil"/>
        </w:pBdr>
      </w:pPr>
    </w:p>
    <w:p w14:paraId="5FD35536" w14:textId="77777777" w:rsidR="001D7B03" w:rsidRPr="00A443E2" w:rsidRDefault="00000000" w:rsidP="00A443E2">
      <w:pPr>
        <w:numPr>
          <w:ilvl w:val="3"/>
          <w:numId w:val="1"/>
        </w:numPr>
        <w:pBdr>
          <w:top w:val="nil"/>
          <w:left w:val="nil"/>
          <w:bottom w:val="nil"/>
          <w:right w:val="nil"/>
          <w:between w:val="nil"/>
        </w:pBdr>
        <w:ind w:left="0" w:firstLine="0"/>
      </w:pPr>
      <w:r w:rsidRPr="00A443E2">
        <w:t>Turn the micrometer ring clockwise to lift the spindle enough to avoid damaging the spindle during plate attachment.</w:t>
      </w:r>
    </w:p>
    <w:p w14:paraId="6743BBC4" w14:textId="77777777" w:rsidR="000C2273" w:rsidRPr="00A443E2" w:rsidRDefault="000C2273" w:rsidP="00A443E2">
      <w:pPr>
        <w:pStyle w:val="ListParagraph"/>
        <w:ind w:left="0"/>
      </w:pPr>
    </w:p>
    <w:p w14:paraId="4978F200" w14:textId="77777777" w:rsidR="001D7B03" w:rsidRPr="00A443E2" w:rsidRDefault="00000000" w:rsidP="00A443E2">
      <w:pPr>
        <w:numPr>
          <w:ilvl w:val="3"/>
          <w:numId w:val="1"/>
        </w:numPr>
        <w:pBdr>
          <w:top w:val="nil"/>
          <w:left w:val="nil"/>
          <w:bottom w:val="nil"/>
          <w:right w:val="nil"/>
          <w:between w:val="nil"/>
        </w:pBdr>
        <w:ind w:left="0" w:firstLine="0"/>
      </w:pPr>
      <w:r w:rsidRPr="00A443E2">
        <w:t xml:space="preserve">Attach the plate. </w:t>
      </w:r>
    </w:p>
    <w:p w14:paraId="27B6F7B5" w14:textId="77777777" w:rsidR="000C2273" w:rsidRPr="00A443E2" w:rsidRDefault="000C2273" w:rsidP="00A443E2">
      <w:pPr>
        <w:pStyle w:val="ListParagraph"/>
        <w:ind w:left="0"/>
      </w:pPr>
    </w:p>
    <w:p w14:paraId="3FE8CDBB" w14:textId="77777777" w:rsidR="001D7B03" w:rsidRPr="00A443E2" w:rsidRDefault="00000000" w:rsidP="00A443E2">
      <w:pPr>
        <w:numPr>
          <w:ilvl w:val="3"/>
          <w:numId w:val="1"/>
        </w:numPr>
        <w:pBdr>
          <w:top w:val="nil"/>
          <w:left w:val="nil"/>
          <w:bottom w:val="nil"/>
          <w:right w:val="nil"/>
          <w:between w:val="nil"/>
        </w:pBdr>
        <w:ind w:left="0" w:firstLine="0"/>
      </w:pPr>
      <w:r w:rsidRPr="00A443E2">
        <w:rPr>
          <w:lang w:val="en-US"/>
        </w:rPr>
        <w:t xml:space="preserve">Perform cone-and-plate gap calibration: Turn the micrometer ring counterclockwise until the contact indicator light turns yellow at the “hit point.” Align the reference marker with a division scale mark on the micrometer ring, then turn the micrometer ring clockwise by one division scale mark to set the gap. </w:t>
      </w:r>
    </w:p>
    <w:p w14:paraId="61747731" w14:textId="77777777" w:rsidR="000C2273" w:rsidRPr="00A443E2" w:rsidRDefault="000C2273" w:rsidP="00A443E2">
      <w:pPr>
        <w:pBdr>
          <w:top w:val="nil"/>
          <w:left w:val="nil"/>
          <w:bottom w:val="nil"/>
          <w:right w:val="nil"/>
          <w:between w:val="nil"/>
        </w:pBdr>
      </w:pPr>
    </w:p>
    <w:p w14:paraId="61294FB4" w14:textId="77777777" w:rsidR="001D7B03" w:rsidRPr="00A443E2" w:rsidRDefault="00000000" w:rsidP="00A443E2">
      <w:pPr>
        <w:numPr>
          <w:ilvl w:val="4"/>
          <w:numId w:val="1"/>
        </w:numPr>
        <w:pBdr>
          <w:top w:val="nil"/>
          <w:left w:val="nil"/>
          <w:bottom w:val="nil"/>
          <w:right w:val="nil"/>
          <w:between w:val="nil"/>
        </w:pBdr>
        <w:ind w:left="0" w:firstLine="0"/>
      </w:pPr>
      <w:r w:rsidRPr="00A443E2">
        <w:rPr>
          <w:lang w:val="en-US"/>
        </w:rPr>
        <w:t xml:space="preserve">For older viscometer models, activate the contact indicator light by flipping the toggle switch before beginning. Be sure to turn off the indicator light before starting an experiment to avoid electrical conduction through the sample. </w:t>
      </w:r>
    </w:p>
    <w:p w14:paraId="65435AE2" w14:textId="77777777" w:rsidR="000C2273" w:rsidRPr="00A443E2" w:rsidRDefault="000C2273" w:rsidP="00A443E2">
      <w:pPr>
        <w:pBdr>
          <w:top w:val="nil"/>
          <w:left w:val="nil"/>
          <w:bottom w:val="nil"/>
          <w:right w:val="nil"/>
          <w:between w:val="nil"/>
        </w:pBdr>
      </w:pPr>
    </w:p>
    <w:p w14:paraId="08E3A541" w14:textId="77777777" w:rsidR="001D7B03" w:rsidRPr="00A443E2" w:rsidRDefault="00000000" w:rsidP="00A443E2">
      <w:pPr>
        <w:numPr>
          <w:ilvl w:val="4"/>
          <w:numId w:val="1"/>
        </w:numPr>
        <w:pBdr>
          <w:top w:val="nil"/>
          <w:left w:val="nil"/>
          <w:bottom w:val="nil"/>
          <w:right w:val="nil"/>
          <w:between w:val="nil"/>
        </w:pBdr>
        <w:ind w:left="0" w:firstLine="0"/>
      </w:pPr>
      <w:r w:rsidRPr="00A443E2">
        <w:rPr>
          <w:lang w:val="en-US"/>
        </w:rPr>
        <w:t>For newer viscometer models, select “Set cone-plate gap” on the instrument menu instead (</w:t>
      </w:r>
      <w:r w:rsidRPr="00A443E2">
        <w:rPr>
          <w:b/>
          <w:bCs/>
          <w:lang w:val="en-US"/>
        </w:rPr>
        <w:t>Supplementary Figure 1C</w:t>
      </w:r>
      <w:r w:rsidRPr="00A443E2">
        <w:rPr>
          <w:lang w:val="en-US"/>
        </w:rPr>
        <w:t xml:space="preserve">). </w:t>
      </w:r>
    </w:p>
    <w:p w14:paraId="59BE2D87" w14:textId="77777777" w:rsidR="000C2273" w:rsidRPr="00A443E2" w:rsidRDefault="000C2273" w:rsidP="00A443E2">
      <w:pPr>
        <w:pStyle w:val="ListParagraph"/>
        <w:ind w:left="0"/>
      </w:pPr>
    </w:p>
    <w:p w14:paraId="4638B2B0" w14:textId="77777777" w:rsidR="00196B38" w:rsidRPr="00196B38" w:rsidRDefault="00000000" w:rsidP="00196B38">
      <w:pPr>
        <w:numPr>
          <w:ilvl w:val="3"/>
          <w:numId w:val="1"/>
        </w:numPr>
        <w:pBdr>
          <w:top w:val="nil"/>
          <w:left w:val="nil"/>
          <w:bottom w:val="nil"/>
          <w:right w:val="nil"/>
          <w:between w:val="nil"/>
        </w:pBdr>
        <w:ind w:left="0" w:firstLine="0"/>
      </w:pPr>
      <w:r w:rsidRPr="00A443E2">
        <w:rPr>
          <w:color w:val="000000"/>
        </w:rPr>
        <w:t>Detach the plate and carefully remove the spindle using a mini wrench.</w:t>
      </w:r>
    </w:p>
    <w:p w14:paraId="1BB82F80" w14:textId="77777777" w:rsidR="00196B38" w:rsidRPr="00196B38" w:rsidRDefault="00196B38" w:rsidP="00196B38">
      <w:pPr>
        <w:pBdr>
          <w:top w:val="nil"/>
          <w:left w:val="nil"/>
          <w:bottom w:val="nil"/>
          <w:right w:val="nil"/>
          <w:between w:val="nil"/>
        </w:pBdr>
      </w:pPr>
    </w:p>
    <w:p w14:paraId="20476191" w14:textId="29AAECBA" w:rsidR="001D7B03" w:rsidRPr="00A443E2" w:rsidRDefault="00000000" w:rsidP="00196B38">
      <w:pPr>
        <w:pBdr>
          <w:top w:val="nil"/>
          <w:left w:val="nil"/>
          <w:bottom w:val="nil"/>
          <w:right w:val="nil"/>
          <w:between w:val="nil"/>
        </w:pBdr>
      </w:pPr>
      <w:r w:rsidRPr="00196B38">
        <w:rPr>
          <w:color w:val="000000"/>
        </w:rPr>
        <w:t xml:space="preserve">NOTE: Take care to avoid accidentally moving the micrometer ring position at this point to prevent compromising the calibrated cone-and-plate gap setting. </w:t>
      </w:r>
    </w:p>
    <w:p w14:paraId="6FF5D455" w14:textId="77777777" w:rsidR="000C2273" w:rsidRPr="00A443E2" w:rsidRDefault="000C2273" w:rsidP="00A443E2">
      <w:pPr>
        <w:pBdr>
          <w:top w:val="nil"/>
          <w:left w:val="nil"/>
          <w:bottom w:val="nil"/>
          <w:right w:val="nil"/>
          <w:between w:val="nil"/>
        </w:pBdr>
      </w:pPr>
    </w:p>
    <w:p w14:paraId="7DA15026" w14:textId="77777777" w:rsidR="00F356A6" w:rsidRPr="00F356A6" w:rsidRDefault="00000000" w:rsidP="00A443E2">
      <w:pPr>
        <w:numPr>
          <w:ilvl w:val="3"/>
          <w:numId w:val="1"/>
        </w:numPr>
        <w:pBdr>
          <w:top w:val="nil"/>
          <w:left w:val="nil"/>
          <w:bottom w:val="nil"/>
          <w:right w:val="nil"/>
          <w:between w:val="nil"/>
        </w:pBdr>
        <w:ind w:left="0" w:firstLine="0"/>
      </w:pPr>
      <w:r w:rsidRPr="00A443E2">
        <w:rPr>
          <w:color w:val="000000"/>
          <w:lang w:val="en-US"/>
        </w:rPr>
        <w:t>Apply 70% ethanol to the spindle and plate surfaces. Allow a minimum contact time of 1 min before removing with laboratory wipes.</w:t>
      </w:r>
    </w:p>
    <w:p w14:paraId="26E71F29" w14:textId="77777777" w:rsidR="00F356A6" w:rsidRDefault="00F356A6" w:rsidP="00F356A6">
      <w:pPr>
        <w:pBdr>
          <w:top w:val="nil"/>
          <w:left w:val="nil"/>
          <w:bottom w:val="nil"/>
          <w:right w:val="nil"/>
          <w:between w:val="nil"/>
        </w:pBdr>
        <w:rPr>
          <w:color w:val="000000"/>
          <w:lang w:val="en-US"/>
        </w:rPr>
      </w:pPr>
    </w:p>
    <w:p w14:paraId="6D76BEEE" w14:textId="62064DE4" w:rsidR="001D7B03" w:rsidRPr="00A443E2" w:rsidRDefault="00000000" w:rsidP="00F356A6">
      <w:pPr>
        <w:pBdr>
          <w:top w:val="nil"/>
          <w:left w:val="nil"/>
          <w:bottom w:val="nil"/>
          <w:right w:val="nil"/>
          <w:between w:val="nil"/>
        </w:pBdr>
      </w:pPr>
      <w:r w:rsidRPr="00A443E2">
        <w:rPr>
          <w:color w:val="000000"/>
          <w:lang w:val="en-US"/>
        </w:rPr>
        <w:t xml:space="preserve">CAUTION: Ethanol is flammable. Keep away from open flames and dispose of in accordance with institutional safety guidelines.  </w:t>
      </w:r>
    </w:p>
    <w:p w14:paraId="02351F58" w14:textId="77777777" w:rsidR="008268C9" w:rsidRPr="00A443E2" w:rsidRDefault="008268C9" w:rsidP="00A443E2">
      <w:pPr>
        <w:pBdr>
          <w:top w:val="nil"/>
          <w:left w:val="nil"/>
          <w:bottom w:val="nil"/>
          <w:right w:val="nil"/>
          <w:between w:val="nil"/>
        </w:pBdr>
      </w:pPr>
    </w:p>
    <w:p w14:paraId="7F87A6B2" w14:textId="77777777" w:rsidR="001D7B03" w:rsidRPr="00A443E2" w:rsidRDefault="00000000" w:rsidP="00A443E2">
      <w:pPr>
        <w:numPr>
          <w:ilvl w:val="3"/>
          <w:numId w:val="1"/>
        </w:numPr>
        <w:pBdr>
          <w:top w:val="nil"/>
          <w:left w:val="nil"/>
          <w:bottom w:val="nil"/>
          <w:right w:val="nil"/>
          <w:between w:val="nil"/>
        </w:pBdr>
        <w:ind w:left="0" w:firstLine="0"/>
      </w:pPr>
      <w:r w:rsidRPr="00A443E2">
        <w:rPr>
          <w:color w:val="000000"/>
          <w:lang w:val="en-US"/>
        </w:rPr>
        <w:t xml:space="preserve">Repeat step 1.1.2.9 for a second wash. </w:t>
      </w:r>
    </w:p>
    <w:p w14:paraId="3A414FE9" w14:textId="77777777" w:rsidR="008268C9" w:rsidRPr="00A443E2" w:rsidRDefault="008268C9" w:rsidP="00A443E2">
      <w:pPr>
        <w:pBdr>
          <w:top w:val="nil"/>
          <w:left w:val="nil"/>
          <w:bottom w:val="nil"/>
          <w:right w:val="nil"/>
          <w:between w:val="nil"/>
        </w:pBdr>
      </w:pPr>
    </w:p>
    <w:p w14:paraId="136D1EF0" w14:textId="77777777" w:rsidR="00B80FDC" w:rsidRPr="00B80FDC" w:rsidRDefault="00000000" w:rsidP="00A443E2">
      <w:pPr>
        <w:numPr>
          <w:ilvl w:val="3"/>
          <w:numId w:val="1"/>
        </w:numPr>
        <w:pBdr>
          <w:top w:val="nil"/>
          <w:left w:val="nil"/>
          <w:bottom w:val="nil"/>
          <w:right w:val="nil"/>
          <w:between w:val="nil"/>
        </w:pBdr>
        <w:ind w:left="0" w:firstLine="0"/>
      </w:pPr>
      <w:r w:rsidRPr="00A443E2">
        <w:rPr>
          <w:color w:val="000000"/>
          <w:lang w:val="en-US"/>
        </w:rPr>
        <w:t>Select the desired spindle and rotations per minute (RPM) on the instrument menu (</w:t>
      </w:r>
      <w:r w:rsidRPr="00A443E2">
        <w:rPr>
          <w:b/>
          <w:bCs/>
          <w:color w:val="000000"/>
          <w:lang w:val="en-US"/>
        </w:rPr>
        <w:t>Supplementary Figure</w:t>
      </w:r>
      <w:r w:rsidRPr="00A443E2">
        <w:rPr>
          <w:b/>
          <w:bCs/>
          <w:lang w:val="en-US"/>
        </w:rPr>
        <w:t xml:space="preserve"> </w:t>
      </w:r>
      <w:r w:rsidRPr="00A443E2">
        <w:rPr>
          <w:b/>
          <w:bCs/>
          <w:color w:val="000000"/>
          <w:lang w:val="en-US"/>
        </w:rPr>
        <w:t>1C</w:t>
      </w:r>
      <w:r w:rsidRPr="00A443E2">
        <w:rPr>
          <w:b/>
          <w:bCs/>
          <w:lang w:val="en-US"/>
        </w:rPr>
        <w:t>,</w:t>
      </w:r>
      <w:r w:rsidRPr="00A443E2">
        <w:rPr>
          <w:b/>
          <w:bCs/>
          <w:color w:val="000000"/>
          <w:lang w:val="en-US"/>
        </w:rPr>
        <w:t>H</w:t>
      </w:r>
      <w:r w:rsidRPr="00A443E2">
        <w:rPr>
          <w:color w:val="000000"/>
          <w:lang w:val="en-US"/>
        </w:rPr>
        <w:t xml:space="preserve">). </w:t>
      </w:r>
    </w:p>
    <w:p w14:paraId="52E9EAFB" w14:textId="77777777" w:rsidR="00B80FDC" w:rsidRDefault="00B80FDC" w:rsidP="00B80FDC">
      <w:pPr>
        <w:pStyle w:val="ListParagraph"/>
        <w:rPr>
          <w:color w:val="000000"/>
          <w:lang w:val="en-US"/>
        </w:rPr>
      </w:pPr>
    </w:p>
    <w:p w14:paraId="1212ECC8" w14:textId="4D716CF0" w:rsidR="001D7B03" w:rsidRPr="00A443E2" w:rsidRDefault="00000000" w:rsidP="00B80FDC">
      <w:pPr>
        <w:pBdr>
          <w:top w:val="nil"/>
          <w:left w:val="nil"/>
          <w:bottom w:val="nil"/>
          <w:right w:val="nil"/>
          <w:between w:val="nil"/>
        </w:pBdr>
      </w:pPr>
      <w:r w:rsidRPr="00A443E2">
        <w:rPr>
          <w:color w:val="000000"/>
          <w:lang w:val="en-US"/>
        </w:rPr>
        <w:t>NOTE: 50 RPM is recommended as an initial starting point; adjust based on experimental requirements determined in step 1.2.1.</w:t>
      </w:r>
    </w:p>
    <w:p w14:paraId="7B1280B5" w14:textId="77777777" w:rsidR="001D7B03" w:rsidRPr="00D90187" w:rsidRDefault="001D7B03" w:rsidP="00A443E2">
      <w:pPr>
        <w:pBdr>
          <w:top w:val="nil"/>
          <w:left w:val="nil"/>
          <w:bottom w:val="nil"/>
          <w:right w:val="nil"/>
          <w:between w:val="nil"/>
        </w:pBdr>
      </w:pPr>
    </w:p>
    <w:p w14:paraId="0FE0879C" w14:textId="77777777" w:rsidR="001D7B03" w:rsidRPr="00D90187" w:rsidRDefault="00000000" w:rsidP="00A443E2">
      <w:pPr>
        <w:numPr>
          <w:ilvl w:val="2"/>
          <w:numId w:val="1"/>
        </w:numPr>
        <w:pBdr>
          <w:top w:val="nil"/>
          <w:left w:val="nil"/>
          <w:bottom w:val="nil"/>
          <w:right w:val="nil"/>
          <w:between w:val="nil"/>
        </w:pBdr>
        <w:ind w:left="0" w:firstLine="0"/>
        <w:rPr>
          <w:color w:val="000000"/>
        </w:rPr>
      </w:pPr>
      <w:r w:rsidRPr="00D90187">
        <w:rPr>
          <w:color w:val="000000"/>
        </w:rPr>
        <w:t>Blocking</w:t>
      </w:r>
    </w:p>
    <w:p w14:paraId="365D8D8A" w14:textId="77777777" w:rsidR="008268C9" w:rsidRPr="00A443E2" w:rsidRDefault="008268C9" w:rsidP="00A443E2">
      <w:pPr>
        <w:pBdr>
          <w:top w:val="nil"/>
          <w:left w:val="nil"/>
          <w:bottom w:val="nil"/>
          <w:right w:val="nil"/>
          <w:between w:val="nil"/>
        </w:pBdr>
        <w:rPr>
          <w:b/>
          <w:bCs/>
          <w:color w:val="000000"/>
        </w:rPr>
      </w:pPr>
    </w:p>
    <w:p w14:paraId="33BF15DC" w14:textId="77777777" w:rsidR="001D7B03" w:rsidRPr="00A443E2" w:rsidRDefault="00000000" w:rsidP="00A443E2">
      <w:pPr>
        <w:numPr>
          <w:ilvl w:val="3"/>
          <w:numId w:val="1"/>
        </w:numPr>
        <w:pBdr>
          <w:top w:val="nil"/>
          <w:left w:val="nil"/>
          <w:bottom w:val="nil"/>
          <w:right w:val="nil"/>
          <w:between w:val="nil"/>
        </w:pBdr>
        <w:ind w:left="0" w:firstLine="0"/>
      </w:pPr>
      <w:r w:rsidRPr="00A443E2">
        <w:rPr>
          <w:color w:val="000000" w:themeColor="text1"/>
        </w:rPr>
        <w:t>Add 5% bovine serum albumin (BSA) in PBS to each plate, using the working volume for the spindle model (</w:t>
      </w:r>
      <w:r w:rsidRPr="00A443E2">
        <w:rPr>
          <w:b/>
          <w:bCs/>
          <w:color w:val="000000" w:themeColor="text1"/>
        </w:rPr>
        <w:t>Table 1</w:t>
      </w:r>
      <w:r w:rsidRPr="00A443E2">
        <w:rPr>
          <w:color w:val="000000" w:themeColor="text1"/>
        </w:rPr>
        <w:t>). Submerge the spindle in the liquid and incubate at the desired experimental temperature for a minimum of 30 min to block the surface and prevent nonspecif</w:t>
      </w:r>
      <w:r w:rsidRPr="00A443E2">
        <w:t xml:space="preserve">ic </w:t>
      </w:r>
      <w:r w:rsidRPr="00A443E2">
        <w:rPr>
          <w:color w:val="000000" w:themeColor="text1"/>
        </w:rPr>
        <w:t>cell adhesion.</w:t>
      </w:r>
    </w:p>
    <w:p w14:paraId="0D03F7E0" w14:textId="77777777" w:rsidR="00AA3CA5" w:rsidRPr="00A443E2" w:rsidRDefault="00AA3CA5" w:rsidP="00A443E2">
      <w:pPr>
        <w:pBdr>
          <w:top w:val="nil"/>
          <w:left w:val="nil"/>
          <w:bottom w:val="nil"/>
          <w:right w:val="nil"/>
          <w:between w:val="nil"/>
        </w:pBdr>
      </w:pPr>
    </w:p>
    <w:p w14:paraId="7158045F" w14:textId="77777777" w:rsidR="00AC522F" w:rsidRPr="00AC522F" w:rsidRDefault="00000000" w:rsidP="00A443E2">
      <w:pPr>
        <w:numPr>
          <w:ilvl w:val="3"/>
          <w:numId w:val="1"/>
        </w:numPr>
        <w:pBdr>
          <w:top w:val="nil"/>
          <w:left w:val="nil"/>
          <w:bottom w:val="nil"/>
          <w:right w:val="nil"/>
          <w:between w:val="nil"/>
        </w:pBdr>
        <w:ind w:left="0" w:firstLine="0"/>
      </w:pPr>
      <w:r w:rsidRPr="00A443E2">
        <w:rPr>
          <w:color w:val="000000"/>
          <w:lang w:val="en-US"/>
        </w:rPr>
        <w:t xml:space="preserve">Proceed to section 1.1.4 during the blocking incubation. </w:t>
      </w:r>
    </w:p>
    <w:p w14:paraId="2D5BDF4E" w14:textId="77777777" w:rsidR="00AC522F" w:rsidRDefault="00AC522F" w:rsidP="00AC522F">
      <w:pPr>
        <w:pStyle w:val="ListParagraph"/>
        <w:rPr>
          <w:color w:val="000000"/>
          <w:lang w:val="en-US"/>
        </w:rPr>
      </w:pPr>
    </w:p>
    <w:p w14:paraId="44B65683" w14:textId="213109F7" w:rsidR="001D7B03" w:rsidRPr="00A443E2" w:rsidRDefault="00000000" w:rsidP="00AC522F">
      <w:pPr>
        <w:pBdr>
          <w:top w:val="nil"/>
          <w:left w:val="nil"/>
          <w:bottom w:val="nil"/>
          <w:right w:val="nil"/>
          <w:between w:val="nil"/>
        </w:pBdr>
      </w:pPr>
      <w:r w:rsidRPr="00A443E2">
        <w:rPr>
          <w:color w:val="000000"/>
          <w:lang w:val="en-US"/>
        </w:rPr>
        <w:t>PAUSE POINT: Do not exceed the blocking incubation beyond the time required to complete section 1.1.4.</w:t>
      </w:r>
    </w:p>
    <w:p w14:paraId="2221C545" w14:textId="77777777" w:rsidR="001D7B03" w:rsidRPr="00A443E2" w:rsidRDefault="001D7B03" w:rsidP="00A443E2">
      <w:pPr>
        <w:pBdr>
          <w:top w:val="nil"/>
          <w:left w:val="nil"/>
          <w:bottom w:val="nil"/>
          <w:right w:val="nil"/>
          <w:between w:val="nil"/>
        </w:pBdr>
      </w:pPr>
    </w:p>
    <w:p w14:paraId="0499AE34" w14:textId="77777777" w:rsidR="001D7B03" w:rsidRPr="00D90187" w:rsidRDefault="00000000" w:rsidP="00A443E2">
      <w:pPr>
        <w:numPr>
          <w:ilvl w:val="2"/>
          <w:numId w:val="1"/>
        </w:numPr>
        <w:pBdr>
          <w:top w:val="nil"/>
          <w:left w:val="nil"/>
          <w:bottom w:val="nil"/>
          <w:right w:val="nil"/>
          <w:between w:val="nil"/>
        </w:pBdr>
        <w:ind w:left="0" w:firstLine="0"/>
        <w:rPr>
          <w:color w:val="000000"/>
        </w:rPr>
      </w:pPr>
      <w:r w:rsidRPr="00D90187">
        <w:rPr>
          <w:color w:val="000000"/>
        </w:rPr>
        <w:t>Cell preparation</w:t>
      </w:r>
    </w:p>
    <w:p w14:paraId="7F55042C" w14:textId="77777777" w:rsidR="008268C9" w:rsidRPr="00A443E2" w:rsidRDefault="008268C9" w:rsidP="00A443E2">
      <w:pPr>
        <w:pBdr>
          <w:top w:val="nil"/>
          <w:left w:val="nil"/>
          <w:bottom w:val="nil"/>
          <w:right w:val="nil"/>
          <w:between w:val="nil"/>
        </w:pBdr>
        <w:rPr>
          <w:b/>
          <w:bCs/>
          <w:color w:val="000000"/>
        </w:rPr>
      </w:pPr>
    </w:p>
    <w:p w14:paraId="1EF57920" w14:textId="77777777" w:rsidR="00B252DA" w:rsidRDefault="00000000" w:rsidP="00A443E2">
      <w:pPr>
        <w:numPr>
          <w:ilvl w:val="3"/>
          <w:numId w:val="1"/>
        </w:numPr>
        <w:pBdr>
          <w:top w:val="nil"/>
          <w:left w:val="nil"/>
          <w:bottom w:val="nil"/>
          <w:right w:val="nil"/>
          <w:between w:val="nil"/>
        </w:pBdr>
        <w:ind w:left="0" w:firstLine="0"/>
        <w:rPr>
          <w:color w:val="000000" w:themeColor="text1"/>
          <w:lang w:val="en-US"/>
        </w:rPr>
      </w:pPr>
      <w:r w:rsidRPr="00A443E2">
        <w:rPr>
          <w:color w:val="000000" w:themeColor="text1"/>
          <w:lang w:val="en-US"/>
        </w:rPr>
        <w:t xml:space="preserve">Collect and count cells either via hemocytometer/automated cell counter with trypan blue staining or flow cytometry with a necrotic cell dye such as propidium iodide. Resuspend at desired concentration in complete media with antibiotics as appropriate for experimental design. </w:t>
      </w:r>
    </w:p>
    <w:p w14:paraId="41D54444" w14:textId="77777777" w:rsidR="00B252DA" w:rsidRDefault="00B252DA" w:rsidP="00B252DA">
      <w:pPr>
        <w:pBdr>
          <w:top w:val="nil"/>
          <w:left w:val="nil"/>
          <w:bottom w:val="nil"/>
          <w:right w:val="nil"/>
          <w:between w:val="nil"/>
        </w:pBdr>
        <w:rPr>
          <w:color w:val="000000" w:themeColor="text1"/>
          <w:lang w:val="en-US"/>
        </w:rPr>
      </w:pPr>
    </w:p>
    <w:p w14:paraId="16BCB4F8" w14:textId="7CE03EC7" w:rsidR="001D7B03" w:rsidRPr="00A443E2" w:rsidRDefault="00000000" w:rsidP="00B252DA">
      <w:pPr>
        <w:pBdr>
          <w:top w:val="nil"/>
          <w:left w:val="nil"/>
          <w:bottom w:val="nil"/>
          <w:right w:val="nil"/>
          <w:between w:val="nil"/>
        </w:pBdr>
        <w:rPr>
          <w:color w:val="000000" w:themeColor="text1"/>
          <w:lang w:val="en-US"/>
        </w:rPr>
      </w:pPr>
      <w:r w:rsidRPr="00A443E2">
        <w:rPr>
          <w:color w:val="000000" w:themeColor="text1"/>
          <w:lang w:val="en-US"/>
        </w:rPr>
        <w:t xml:space="preserve">NOTE: Optimal cell density for a given cell type can be empirically determined by following the optimization workflow outlined in </w:t>
      </w:r>
      <w:r w:rsidRPr="00A443E2">
        <w:rPr>
          <w:b/>
          <w:bCs/>
          <w:color w:val="000000" w:themeColor="text1"/>
          <w:lang w:val="en-US"/>
        </w:rPr>
        <w:t>Figure 6.</w:t>
      </w:r>
    </w:p>
    <w:p w14:paraId="60774AC9" w14:textId="77777777" w:rsidR="001D7B03" w:rsidRPr="00A443E2" w:rsidRDefault="001D7B03" w:rsidP="00A443E2">
      <w:pPr>
        <w:pBdr>
          <w:top w:val="nil"/>
          <w:left w:val="nil"/>
          <w:bottom w:val="nil"/>
          <w:right w:val="nil"/>
          <w:between w:val="nil"/>
        </w:pBdr>
        <w:rPr>
          <w:color w:val="000000" w:themeColor="text1"/>
          <w:lang w:val="en-US"/>
        </w:rPr>
      </w:pPr>
    </w:p>
    <w:p w14:paraId="5B7CDFCD" w14:textId="77777777" w:rsidR="001D7B03" w:rsidRPr="00D90187" w:rsidRDefault="00000000" w:rsidP="00A443E2">
      <w:pPr>
        <w:numPr>
          <w:ilvl w:val="2"/>
          <w:numId w:val="1"/>
        </w:numPr>
        <w:pBdr>
          <w:top w:val="nil"/>
          <w:left w:val="nil"/>
          <w:bottom w:val="nil"/>
          <w:right w:val="nil"/>
          <w:between w:val="nil"/>
        </w:pBdr>
        <w:ind w:left="0" w:firstLine="0"/>
        <w:rPr>
          <w:color w:val="000000"/>
        </w:rPr>
      </w:pPr>
      <w:r w:rsidRPr="00D90187">
        <w:rPr>
          <w:color w:val="000000"/>
        </w:rPr>
        <w:t>Viscosity measurement and cleanup</w:t>
      </w:r>
    </w:p>
    <w:p w14:paraId="53FFEA44" w14:textId="77777777" w:rsidR="001B0120" w:rsidRPr="00A443E2" w:rsidRDefault="001B0120" w:rsidP="00A443E2">
      <w:pPr>
        <w:pBdr>
          <w:top w:val="nil"/>
          <w:left w:val="nil"/>
          <w:bottom w:val="nil"/>
          <w:right w:val="nil"/>
          <w:between w:val="nil"/>
        </w:pBdr>
        <w:rPr>
          <w:b/>
          <w:bCs/>
          <w:color w:val="000000"/>
        </w:rPr>
      </w:pPr>
    </w:p>
    <w:p w14:paraId="60A2B30E"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 xml:space="preserve">Attach the spindle using a mini wrench. Avoid contact between fingers and the bottom surface of the spindle to maintain sterility. </w:t>
      </w:r>
    </w:p>
    <w:p w14:paraId="668AD879" w14:textId="77777777" w:rsidR="002E7D60" w:rsidRPr="00A443E2" w:rsidRDefault="002E7D60" w:rsidP="00A443E2">
      <w:pPr>
        <w:pBdr>
          <w:top w:val="nil"/>
          <w:left w:val="nil"/>
          <w:bottom w:val="nil"/>
          <w:right w:val="nil"/>
          <w:between w:val="nil"/>
        </w:pBdr>
        <w:rPr>
          <w:color w:val="000000"/>
          <w:lang w:val="en-US"/>
        </w:rPr>
      </w:pPr>
    </w:p>
    <w:p w14:paraId="4E026DAA" w14:textId="77777777" w:rsidR="002E7D60"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Pipette working volume of cell suspension into the plate. Carefully attach the plate, avoiding contact with the bottom of the spindle.</w:t>
      </w:r>
    </w:p>
    <w:p w14:paraId="491CF1B2" w14:textId="77777777" w:rsidR="002E7D60" w:rsidRPr="00A443E2" w:rsidRDefault="002E7D60" w:rsidP="00A443E2">
      <w:pPr>
        <w:pStyle w:val="ListParagraph"/>
        <w:ind w:left="0"/>
        <w:rPr>
          <w:color w:val="000000"/>
          <w:lang w:val="en-US"/>
        </w:rPr>
      </w:pPr>
    </w:p>
    <w:p w14:paraId="379A0F48" w14:textId="5E9FFDD6"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 xml:space="preserve">Initiate the viscosity test by pressing the </w:t>
      </w:r>
      <w:r w:rsidRPr="00D90187">
        <w:rPr>
          <w:b/>
          <w:bCs/>
          <w:color w:val="000000"/>
          <w:lang w:val="en-US"/>
        </w:rPr>
        <w:t>Motor On/Off</w:t>
      </w:r>
      <w:r w:rsidRPr="00A443E2">
        <w:rPr>
          <w:color w:val="000000"/>
          <w:lang w:val="en-US"/>
        </w:rPr>
        <w:t xml:space="preserve"> button (</w:t>
      </w:r>
      <w:r w:rsidRPr="00A443E2">
        <w:rPr>
          <w:b/>
          <w:bCs/>
          <w:color w:val="000000"/>
          <w:lang w:val="en-US"/>
        </w:rPr>
        <w:t>Supplementary Figure 1H</w:t>
      </w:r>
      <w:r w:rsidRPr="00A443E2">
        <w:rPr>
          <w:color w:val="000000"/>
          <w:lang w:val="en-US"/>
        </w:rPr>
        <w:t xml:space="preserve">) on older viscometers, or the </w:t>
      </w:r>
      <w:r w:rsidRPr="00D90187">
        <w:rPr>
          <w:b/>
          <w:bCs/>
          <w:color w:val="000000"/>
          <w:lang w:val="en-US"/>
        </w:rPr>
        <w:t>Run</w:t>
      </w:r>
      <w:r w:rsidRPr="00A443E2">
        <w:rPr>
          <w:color w:val="000000"/>
          <w:lang w:val="en-US"/>
        </w:rPr>
        <w:t xml:space="preserve"> button (</w:t>
      </w:r>
      <w:r w:rsidRPr="00A443E2">
        <w:rPr>
          <w:b/>
          <w:bCs/>
          <w:color w:val="000000"/>
          <w:lang w:val="en-US"/>
        </w:rPr>
        <w:t>Supplementary Figure 1C</w:t>
      </w:r>
      <w:r w:rsidRPr="00A443E2">
        <w:rPr>
          <w:color w:val="000000"/>
          <w:lang w:val="en-US"/>
        </w:rPr>
        <w:t>) on newer viscometers. Start a 15 min timer.</w:t>
      </w:r>
    </w:p>
    <w:p w14:paraId="71592447" w14:textId="77777777" w:rsidR="002E7D60" w:rsidRPr="00A443E2" w:rsidRDefault="002E7D60" w:rsidP="00A443E2">
      <w:pPr>
        <w:pBdr>
          <w:top w:val="nil"/>
          <w:left w:val="nil"/>
          <w:bottom w:val="nil"/>
          <w:right w:val="nil"/>
          <w:between w:val="nil"/>
        </w:pBdr>
        <w:rPr>
          <w:color w:val="000000"/>
          <w:lang w:val="en-US"/>
        </w:rPr>
      </w:pPr>
    </w:p>
    <w:p w14:paraId="2C4906AA"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themeColor="text1"/>
          <w:lang w:val="en-US"/>
        </w:rPr>
        <w:t>At the 15 min mark, record the measured viscosity of the cell suspension displayed on the instrument in units of centipoise (cP).</w:t>
      </w:r>
    </w:p>
    <w:p w14:paraId="6D8D683B" w14:textId="77777777" w:rsidR="002E7D60" w:rsidRPr="00A443E2" w:rsidRDefault="002E7D60" w:rsidP="00A443E2">
      <w:pPr>
        <w:pBdr>
          <w:top w:val="nil"/>
          <w:left w:val="nil"/>
          <w:bottom w:val="nil"/>
          <w:right w:val="nil"/>
          <w:between w:val="nil"/>
        </w:pBdr>
        <w:rPr>
          <w:color w:val="000000"/>
          <w:lang w:val="en-US"/>
        </w:rPr>
      </w:pPr>
    </w:p>
    <w:p w14:paraId="08916281" w14:textId="0FAB5532"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 xml:space="preserve">Stop the viscosity test by pressing the </w:t>
      </w:r>
      <w:r w:rsidRPr="000B7535">
        <w:rPr>
          <w:b/>
          <w:bCs/>
          <w:color w:val="000000"/>
          <w:lang w:val="en-US"/>
        </w:rPr>
        <w:t>Motor On/Off</w:t>
      </w:r>
      <w:r w:rsidRPr="00A443E2">
        <w:rPr>
          <w:color w:val="000000"/>
          <w:lang w:val="en-US"/>
        </w:rPr>
        <w:t xml:space="preserve"> button (</w:t>
      </w:r>
      <w:r w:rsidRPr="00A443E2">
        <w:rPr>
          <w:b/>
          <w:bCs/>
          <w:color w:val="000000"/>
          <w:lang w:val="en-US"/>
        </w:rPr>
        <w:t>Supplementary Figure 1H</w:t>
      </w:r>
      <w:r w:rsidRPr="00A443E2">
        <w:rPr>
          <w:color w:val="000000"/>
          <w:lang w:val="en-US"/>
        </w:rPr>
        <w:t xml:space="preserve">) on older viscometers, or the </w:t>
      </w:r>
      <w:r w:rsidRPr="000B7535">
        <w:rPr>
          <w:b/>
          <w:bCs/>
          <w:color w:val="000000"/>
          <w:lang w:val="en-US"/>
        </w:rPr>
        <w:t>Stop Run</w:t>
      </w:r>
      <w:r w:rsidRPr="00A443E2">
        <w:rPr>
          <w:color w:val="000000"/>
          <w:lang w:val="en-US"/>
        </w:rPr>
        <w:t xml:space="preserve"> button (</w:t>
      </w:r>
      <w:r w:rsidRPr="00A443E2">
        <w:rPr>
          <w:b/>
          <w:bCs/>
          <w:color w:val="000000"/>
          <w:lang w:val="en-US"/>
        </w:rPr>
        <w:t>Supplementary Figure 1I</w:t>
      </w:r>
      <w:r w:rsidRPr="00A443E2">
        <w:rPr>
          <w:color w:val="000000"/>
          <w:lang w:val="en-US"/>
        </w:rPr>
        <w:t xml:space="preserve">) on newer viscometers. </w:t>
      </w:r>
    </w:p>
    <w:p w14:paraId="0E0FC329" w14:textId="77777777" w:rsidR="002E7D60" w:rsidRPr="00A443E2" w:rsidRDefault="002E7D60" w:rsidP="00A443E2">
      <w:pPr>
        <w:pBdr>
          <w:top w:val="nil"/>
          <w:left w:val="nil"/>
          <w:bottom w:val="nil"/>
          <w:right w:val="nil"/>
          <w:between w:val="nil"/>
        </w:pBdr>
        <w:rPr>
          <w:color w:val="000000"/>
          <w:lang w:val="en-US"/>
        </w:rPr>
      </w:pPr>
    </w:p>
    <w:p w14:paraId="4C7CB1EC" w14:textId="77777777" w:rsidR="001D7B03" w:rsidRPr="00A443E2" w:rsidRDefault="00000000" w:rsidP="00A443E2">
      <w:pPr>
        <w:numPr>
          <w:ilvl w:val="3"/>
          <w:numId w:val="1"/>
        </w:numPr>
        <w:pBdr>
          <w:top w:val="nil"/>
          <w:left w:val="nil"/>
          <w:bottom w:val="nil"/>
          <w:right w:val="nil"/>
          <w:between w:val="nil"/>
        </w:pBdr>
        <w:ind w:left="0" w:firstLine="0"/>
        <w:rPr>
          <w:color w:val="000000"/>
        </w:rPr>
      </w:pPr>
      <w:r w:rsidRPr="00A443E2">
        <w:rPr>
          <w:color w:val="000000"/>
        </w:rPr>
        <w:t xml:space="preserve">Detach the plate. Carefully remove the spindle using a mini wrench, avoiding contact between fingers and the bottom surface of the spindle. </w:t>
      </w:r>
    </w:p>
    <w:p w14:paraId="7BBD5F4F" w14:textId="77777777" w:rsidR="002E7D60" w:rsidRPr="00A443E2" w:rsidRDefault="002E7D60" w:rsidP="00A443E2">
      <w:pPr>
        <w:pBdr>
          <w:top w:val="nil"/>
          <w:left w:val="nil"/>
          <w:bottom w:val="nil"/>
          <w:right w:val="nil"/>
          <w:between w:val="nil"/>
        </w:pBdr>
        <w:rPr>
          <w:color w:val="000000"/>
        </w:rPr>
      </w:pPr>
    </w:p>
    <w:p w14:paraId="66C29A60"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Remove the cell suspension from the viscometer using a pipette and dispose of cells in accordance with institutional biosafety guidelines.</w:t>
      </w:r>
    </w:p>
    <w:p w14:paraId="016B5631" w14:textId="77777777" w:rsidR="002E7D60" w:rsidRPr="00A443E2" w:rsidRDefault="002E7D60" w:rsidP="00A443E2">
      <w:pPr>
        <w:pBdr>
          <w:top w:val="nil"/>
          <w:left w:val="nil"/>
          <w:bottom w:val="nil"/>
          <w:right w:val="nil"/>
          <w:between w:val="nil"/>
        </w:pBdr>
        <w:rPr>
          <w:color w:val="000000"/>
          <w:lang w:val="en-US"/>
        </w:rPr>
      </w:pPr>
    </w:p>
    <w:p w14:paraId="52A94771"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 xml:space="preserve">Apply 70% ethanol to the spindle and plate surfaces. Allow a minimum contact time of 1 min before removing with laboratory wipes. </w:t>
      </w:r>
    </w:p>
    <w:p w14:paraId="306584AA" w14:textId="77777777" w:rsidR="001B0120" w:rsidRPr="00A443E2" w:rsidRDefault="001B0120" w:rsidP="00A443E2">
      <w:pPr>
        <w:pStyle w:val="ListParagraph"/>
        <w:ind w:left="0"/>
        <w:rPr>
          <w:color w:val="000000"/>
          <w:lang w:val="en-US"/>
        </w:rPr>
      </w:pPr>
    </w:p>
    <w:p w14:paraId="4326897A"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Repeat step 1.1.5.8 for a second wash.</w:t>
      </w:r>
    </w:p>
    <w:p w14:paraId="06F51F10" w14:textId="77777777" w:rsidR="001B0120" w:rsidRPr="00A443E2" w:rsidRDefault="001B0120" w:rsidP="00A443E2">
      <w:pPr>
        <w:pStyle w:val="ListParagraph"/>
        <w:ind w:left="0"/>
        <w:rPr>
          <w:color w:val="000000"/>
          <w:lang w:val="en-US"/>
        </w:rPr>
      </w:pPr>
    </w:p>
    <w:p w14:paraId="3874D57A" w14:textId="77777777" w:rsidR="001D7B03" w:rsidRPr="00A443E2" w:rsidRDefault="00000000" w:rsidP="00A443E2">
      <w:pPr>
        <w:numPr>
          <w:ilvl w:val="3"/>
          <w:numId w:val="1"/>
        </w:numPr>
        <w:pBdr>
          <w:top w:val="nil"/>
          <w:left w:val="nil"/>
          <w:bottom w:val="nil"/>
          <w:right w:val="nil"/>
          <w:between w:val="nil"/>
        </w:pBdr>
        <w:ind w:left="0" w:firstLine="0"/>
        <w:rPr>
          <w:color w:val="000000"/>
        </w:rPr>
      </w:pPr>
      <w:r w:rsidRPr="00A443E2">
        <w:rPr>
          <w:color w:val="000000"/>
        </w:rPr>
        <w:lastRenderedPageBreak/>
        <w:t xml:space="preserve">Allow residual ethanol to evaporate for 30 s. </w:t>
      </w:r>
    </w:p>
    <w:p w14:paraId="1BA79C2B" w14:textId="77777777" w:rsidR="001B0120" w:rsidRPr="00A443E2" w:rsidRDefault="001B0120" w:rsidP="00A443E2">
      <w:pPr>
        <w:pStyle w:val="ListParagraph"/>
        <w:ind w:left="0"/>
        <w:rPr>
          <w:color w:val="000000"/>
        </w:rPr>
      </w:pPr>
    </w:p>
    <w:p w14:paraId="752E8016"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Rinse the spindle and plate with 3 mL of ultrapure filtered water, swirling to ensure full surface contact. Pour off the water.</w:t>
      </w:r>
    </w:p>
    <w:p w14:paraId="03D78B77" w14:textId="77777777" w:rsidR="001B0120" w:rsidRPr="00A443E2" w:rsidRDefault="001B0120" w:rsidP="00A443E2">
      <w:pPr>
        <w:pBdr>
          <w:top w:val="nil"/>
          <w:left w:val="nil"/>
          <w:bottom w:val="nil"/>
          <w:right w:val="nil"/>
          <w:between w:val="nil"/>
        </w:pBdr>
        <w:rPr>
          <w:color w:val="000000"/>
          <w:lang w:val="en-US"/>
        </w:rPr>
      </w:pPr>
    </w:p>
    <w:p w14:paraId="13F4B2DF" w14:textId="77777777" w:rsidR="001D7B03" w:rsidRPr="00A443E2" w:rsidRDefault="00000000" w:rsidP="00A443E2">
      <w:pPr>
        <w:numPr>
          <w:ilvl w:val="3"/>
          <w:numId w:val="1"/>
        </w:numPr>
        <w:pBdr>
          <w:top w:val="nil"/>
          <w:left w:val="nil"/>
          <w:bottom w:val="nil"/>
          <w:right w:val="nil"/>
          <w:between w:val="nil"/>
        </w:pBdr>
        <w:ind w:left="0" w:firstLine="0"/>
        <w:rPr>
          <w:color w:val="000000"/>
          <w:lang w:val="en-US"/>
        </w:rPr>
      </w:pPr>
      <w:r w:rsidRPr="00A443E2">
        <w:rPr>
          <w:color w:val="000000"/>
          <w:lang w:val="en-US"/>
        </w:rPr>
        <w:t>Remove residual moisture with laboratory wipes.</w:t>
      </w:r>
    </w:p>
    <w:p w14:paraId="20B8DC73" w14:textId="77777777" w:rsidR="001B0120" w:rsidRPr="00A443E2" w:rsidRDefault="001B0120" w:rsidP="00A443E2">
      <w:pPr>
        <w:pStyle w:val="ListParagraph"/>
        <w:ind w:left="0"/>
        <w:rPr>
          <w:color w:val="000000"/>
          <w:lang w:val="en-US"/>
        </w:rPr>
      </w:pPr>
    </w:p>
    <w:p w14:paraId="2D7ED7A0" w14:textId="77777777" w:rsidR="001D7B03" w:rsidRPr="00A443E2" w:rsidRDefault="00000000" w:rsidP="00A443E2">
      <w:pPr>
        <w:numPr>
          <w:ilvl w:val="3"/>
          <w:numId w:val="1"/>
        </w:numPr>
        <w:pBdr>
          <w:top w:val="nil"/>
          <w:left w:val="nil"/>
          <w:bottom w:val="nil"/>
          <w:right w:val="nil"/>
          <w:between w:val="nil"/>
        </w:pBdr>
        <w:ind w:left="0" w:firstLine="0"/>
        <w:rPr>
          <w:color w:val="000000"/>
        </w:rPr>
      </w:pPr>
      <w:r w:rsidRPr="00A443E2">
        <w:rPr>
          <w:color w:val="000000"/>
        </w:rPr>
        <w:t>Store spindle(s) and plate(s) as recommended by the manufacturer. Power off the viscometer(s).</w:t>
      </w:r>
    </w:p>
    <w:p w14:paraId="7622DAF5" w14:textId="77777777" w:rsidR="001D7B03" w:rsidRPr="00A443E2" w:rsidRDefault="001D7B03" w:rsidP="00A443E2">
      <w:pPr>
        <w:pBdr>
          <w:top w:val="nil"/>
          <w:left w:val="nil"/>
          <w:bottom w:val="nil"/>
          <w:right w:val="nil"/>
          <w:between w:val="nil"/>
        </w:pBdr>
        <w:rPr>
          <w:color w:val="000000"/>
        </w:rPr>
      </w:pPr>
    </w:p>
    <w:p w14:paraId="3236CDEF" w14:textId="77777777" w:rsidR="001D7B03" w:rsidRPr="000B7535" w:rsidRDefault="00000000" w:rsidP="00A443E2">
      <w:pPr>
        <w:numPr>
          <w:ilvl w:val="1"/>
          <w:numId w:val="1"/>
        </w:numPr>
        <w:pBdr>
          <w:top w:val="nil"/>
          <w:left w:val="nil"/>
          <w:bottom w:val="nil"/>
          <w:right w:val="nil"/>
          <w:between w:val="nil"/>
        </w:pBdr>
        <w:ind w:left="0" w:firstLine="0"/>
        <w:rPr>
          <w:color w:val="000000"/>
        </w:rPr>
      </w:pPr>
      <w:r w:rsidRPr="000B7535">
        <w:rPr>
          <w:color w:val="000000" w:themeColor="text1"/>
        </w:rPr>
        <w:t>FSS and RPM calculation</w:t>
      </w:r>
    </w:p>
    <w:p w14:paraId="7B8E79EE" w14:textId="77777777" w:rsidR="009612B1" w:rsidRPr="00A443E2" w:rsidRDefault="009612B1" w:rsidP="00A443E2">
      <w:pPr>
        <w:pBdr>
          <w:top w:val="nil"/>
          <w:left w:val="nil"/>
          <w:bottom w:val="nil"/>
          <w:right w:val="nil"/>
          <w:between w:val="nil"/>
        </w:pBdr>
        <w:rPr>
          <w:b/>
          <w:bCs/>
          <w:color w:val="000000"/>
        </w:rPr>
      </w:pPr>
    </w:p>
    <w:p w14:paraId="17008255" w14:textId="77777777" w:rsidR="009C62B8"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lang w:val="en-US"/>
        </w:rPr>
        <w:t>Using the viscosity (</w:t>
      </w:r>
      <w:r w:rsidRPr="00A443E2">
        <w:rPr>
          <w:lang w:val="en-US"/>
        </w:rPr>
        <w:t xml:space="preserve">µ; in units of </w:t>
      </w:r>
      <w:r w:rsidRPr="00A443E2">
        <w:rPr>
          <w:color w:val="000000"/>
          <w:lang w:val="en-US"/>
        </w:rPr>
        <w:t>cP) value recorded in step 1.1.5.4, the spindle angle (</w:t>
      </w:r>
      <w:r w:rsidRPr="00A443E2">
        <w:rPr>
          <w:rFonts w:ascii="Cambria Math" w:hAnsi="Cambria Math" w:cs="Cambria Math"/>
          <w:color w:val="000000"/>
          <w:lang w:val="en-US"/>
        </w:rPr>
        <w:t>𝛳</w:t>
      </w:r>
      <w:r w:rsidRPr="00A443E2">
        <w:rPr>
          <w:color w:val="000000"/>
          <w:lang w:val="en-US"/>
        </w:rPr>
        <w:t>; in units of rad), shear rate (</w:t>
      </w:r>
      <m:oMath>
        <m:acc>
          <m:accPr>
            <m:chr m:val="̇"/>
            <m:ctrlPr>
              <w:rPr>
                <w:rFonts w:ascii="Cambria Math" w:hAnsi="Cambria Math"/>
              </w:rPr>
            </m:ctrlPr>
          </m:accPr>
          <m:e>
            <m:r>
              <w:rPr>
                <w:rFonts w:ascii="Cambria Math" w:hAnsi="Cambria Math"/>
              </w:rPr>
              <m:t>γ</m:t>
            </m:r>
          </m:e>
        </m:acc>
      </m:oMath>
      <w:r w:rsidRPr="00A443E2">
        <w:t>;</w:t>
      </w:r>
      <w:r w:rsidRPr="00A443E2">
        <w:rPr>
          <w:lang w:val="en-US"/>
        </w:rPr>
        <w:t xml:space="preserve"> in units of </w:t>
      </w:r>
      <w:r w:rsidRPr="00A443E2">
        <w:rPr>
          <w:color w:val="000000"/>
          <w:lang w:val="en-US"/>
        </w:rPr>
        <w:t>s</w:t>
      </w:r>
      <w:r w:rsidRPr="00A443E2">
        <w:rPr>
          <w:color w:val="000000"/>
          <w:vertAlign w:val="superscript"/>
          <w:lang w:val="en-US"/>
        </w:rPr>
        <w:t>-1</w:t>
      </w:r>
      <w:r w:rsidRPr="00A443E2">
        <w:rPr>
          <w:lang w:val="en-US"/>
        </w:rPr>
        <w:t>)</w:t>
      </w:r>
      <w:r w:rsidRPr="00A443E2">
        <w:rPr>
          <w:color w:val="000000"/>
          <w:lang w:val="en-US"/>
        </w:rPr>
        <w:t xml:space="preserve"> from </w:t>
      </w:r>
      <w:r w:rsidRPr="00A443E2">
        <w:rPr>
          <w:b/>
          <w:bCs/>
          <w:color w:val="000000"/>
          <w:lang w:val="en-US"/>
        </w:rPr>
        <w:t>Table 1</w:t>
      </w:r>
      <w:r w:rsidRPr="00A443E2">
        <w:rPr>
          <w:color w:val="000000"/>
          <w:lang w:val="en-US"/>
        </w:rPr>
        <w:t xml:space="preserve"> or calculated via</w:t>
      </w:r>
      <w:r w:rsidRPr="00A443E2">
        <w:rPr>
          <w:b/>
          <w:bCs/>
          <w:color w:val="000000"/>
          <w:lang w:val="en-US"/>
        </w:rPr>
        <w:t xml:space="preserve"> Supplementary Equation 1</w:t>
      </w:r>
      <w:r w:rsidRPr="00A443E2">
        <w:rPr>
          <w:color w:val="000000"/>
          <w:lang w:val="en-US"/>
        </w:rPr>
        <w:t xml:space="preserve">, and the desired FSS magnitude </w:t>
      </w:r>
      <w:r w:rsidRPr="00A443E2">
        <w:rPr>
          <w:lang w:val="en-US"/>
        </w:rPr>
        <w:t>(</w:t>
      </w:r>
      <w:r w:rsidRPr="00A443E2">
        <w:rPr>
          <w:rFonts w:ascii="Cambria Math" w:hAnsi="Cambria Math" w:cs="Cambria Math"/>
          <w:lang w:val="en-US"/>
        </w:rPr>
        <w:t>𝜏</w:t>
      </w:r>
      <w:r w:rsidRPr="00A443E2">
        <w:rPr>
          <w:lang w:val="en-US"/>
        </w:rPr>
        <w:t>; in units of dyn/cm</w:t>
      </w:r>
      <w:r w:rsidRPr="00A443E2">
        <w:rPr>
          <w:vertAlign w:val="superscript"/>
          <w:lang w:val="en-US"/>
        </w:rPr>
        <w:t>2</w:t>
      </w:r>
      <w:r w:rsidRPr="00A443E2">
        <w:rPr>
          <w:lang w:val="en-US"/>
        </w:rPr>
        <w:t>)</w:t>
      </w:r>
      <w:r w:rsidRPr="00A443E2">
        <w:rPr>
          <w:color w:val="000000"/>
          <w:lang w:val="en-US"/>
        </w:rPr>
        <w:t xml:space="preserve"> for the experiment, calculate the rotations per minute (RPM; in units of min</w:t>
      </w:r>
      <w:r w:rsidRPr="00A443E2">
        <w:rPr>
          <w:color w:val="000000"/>
          <w:vertAlign w:val="superscript"/>
          <w:lang w:val="en-US"/>
        </w:rPr>
        <w:t>-1</w:t>
      </w:r>
      <w:r w:rsidRPr="00A443E2">
        <w:rPr>
          <w:color w:val="000000"/>
          <w:lang w:val="en-US"/>
        </w:rPr>
        <w:t xml:space="preserve">) required for the FSS experiment in section 1.3 using </w:t>
      </w:r>
      <w:r w:rsidRPr="00A443E2">
        <w:rPr>
          <w:b/>
          <w:bCs/>
          <w:color w:val="000000"/>
          <w:lang w:val="en-US"/>
        </w:rPr>
        <w:t>Equation 2</w:t>
      </w:r>
      <w:r w:rsidRPr="00A443E2">
        <w:rPr>
          <w:color w:val="000000"/>
          <w:lang w:val="en-US"/>
        </w:rPr>
        <w:t xml:space="preserve"> below.</w:t>
      </w:r>
    </w:p>
    <w:p w14:paraId="11E71EC5" w14:textId="77777777" w:rsidR="00E21341" w:rsidRDefault="00E21341" w:rsidP="00E21341">
      <w:pPr>
        <w:pBdr>
          <w:top w:val="nil"/>
          <w:left w:val="nil"/>
          <w:bottom w:val="nil"/>
          <w:right w:val="nil"/>
          <w:between w:val="nil"/>
        </w:pBdr>
        <w:rPr>
          <w:color w:val="000000"/>
          <w:lang w:val="en-US"/>
        </w:rPr>
      </w:pPr>
    </w:p>
    <w:p w14:paraId="7B871712" w14:textId="4F2D46C3" w:rsidR="001D7B03" w:rsidRPr="00A443E2"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lang w:val="en-US"/>
        </w:rPr>
        <w:t xml:space="preserve"> NOTE: </w:t>
      </w:r>
      <w:r w:rsidRPr="00A443E2">
        <w:rPr>
          <w:b/>
          <w:bCs/>
          <w:color w:val="000000"/>
          <w:lang w:val="en-US"/>
        </w:rPr>
        <w:t>Equation 2</w:t>
      </w:r>
      <w:r w:rsidRPr="00A443E2">
        <w:rPr>
          <w:color w:val="000000"/>
          <w:lang w:val="en-US"/>
        </w:rPr>
        <w:t xml:space="preserve"> was derived by substituting </w:t>
      </w:r>
      <w:r w:rsidRPr="00A443E2">
        <w:rPr>
          <w:b/>
          <w:bCs/>
          <w:color w:val="000000"/>
          <w:lang w:val="en-US"/>
        </w:rPr>
        <w:t>Supplementary</w:t>
      </w:r>
      <w:r w:rsidRPr="00A443E2">
        <w:rPr>
          <w:color w:val="000000"/>
          <w:lang w:val="en-US"/>
        </w:rPr>
        <w:t xml:space="preserve"> </w:t>
      </w:r>
      <w:r w:rsidRPr="00A443E2">
        <w:rPr>
          <w:b/>
          <w:bCs/>
          <w:color w:val="000000"/>
          <w:lang w:val="en-US"/>
        </w:rPr>
        <w:t xml:space="preserve">Equation 1 </w:t>
      </w:r>
      <w:r w:rsidRPr="00A443E2">
        <w:rPr>
          <w:color w:val="000000"/>
          <w:lang w:val="en-US"/>
        </w:rPr>
        <w:t>into</w:t>
      </w:r>
      <w:r w:rsidRPr="00A443E2">
        <w:rPr>
          <w:b/>
          <w:bCs/>
          <w:color w:val="000000"/>
          <w:lang w:val="en-US"/>
        </w:rPr>
        <w:t xml:space="preserve"> Supplementary Equation 2 </w:t>
      </w:r>
      <w:r w:rsidRPr="00A443E2">
        <w:rPr>
          <w:color w:val="000000"/>
          <w:lang w:val="en-US"/>
        </w:rPr>
        <w:t>and solving for RPM</w:t>
      </w:r>
      <w:sdt>
        <w:sdtPr>
          <w:rPr>
            <w:color w:val="000000"/>
            <w:lang w:val="en-US"/>
          </w:rPr>
          <w:alias w:val="SmartCite Citation"/>
          <w:tag w:val="a9e2a68d-fe3b-412d-8c06-1ac3ca305ac6:67070b37-dfb7-4a5e-b8be-c4693ef5483a,a9e2a68d-fe3b-412d-8c06-1ac3ca305ac6:533a5160-3647-4639-a9ac-b8d66a46dfc6,a9e2a68d-fe3b-412d-8c06-1ac3ca305ac6:16c9f860-b0d0-47da-bdb8-862571df707a+{&quot;a9e2a68d-fe3b-412d-8c06-1ac3ca305ac6:67070b37-dfb7-4a5e-b8be-c4693ef5483a&quot;:{&quot;doi&quot;:&quot;10.1109/rbme.2024.3505073&quot;,&quot;pmid&quot;:&quot;40030260&quot;},&quot;a9e2a68d-fe3b-412d-8c06-1ac3ca305ac6:533a5160-3647-4639-a9ac-b8d66a46dfc6&quot;:{&quot;doi&quot;:&quot;10.1186/s12915-022-01266-7&quot;}}"/>
          <w:id w:val="-1408921771"/>
          <w:placeholder>
            <w:docPart w:val="584DED1E96E24F87B76C7641B62D0D3A"/>
          </w:placeholder>
        </w:sdtPr>
        <w:sdtEndPr>
          <w:rPr>
            <w:color w:val="000000" w:themeColor="text1"/>
          </w:rPr>
        </w:sdtEndPr>
        <w:sdtContent>
          <w:r w:rsidRPr="00A443E2">
            <w:rPr>
              <w:rFonts w:eastAsia="Times New Roman"/>
              <w:vertAlign w:val="superscript"/>
            </w:rPr>
            <w:t>1,10,34</w:t>
          </w:r>
        </w:sdtContent>
      </w:sdt>
      <w:r w:rsidRPr="00A443E2">
        <w:rPr>
          <w:color w:val="000000"/>
          <w:lang w:val="en-US"/>
        </w:rPr>
        <w:t>.</w:t>
      </w:r>
    </w:p>
    <w:p w14:paraId="088D1829" w14:textId="77777777" w:rsidR="001D7B03" w:rsidRPr="00A443E2" w:rsidRDefault="001D7B03" w:rsidP="00A443E2">
      <w:pPr>
        <w:pBdr>
          <w:top w:val="nil"/>
          <w:left w:val="nil"/>
          <w:bottom w:val="nil"/>
          <w:right w:val="nil"/>
          <w:between w:val="nil"/>
        </w:pBdr>
        <w:rPr>
          <w:color w:val="000000"/>
        </w:rPr>
      </w:pPr>
    </w:p>
    <w:tbl>
      <w:tblPr>
        <w:tblStyle w:val="a0"/>
        <w:tblW w:w="9350" w:type="dxa"/>
        <w:tblBorders>
          <w:top w:val="nil"/>
          <w:left w:val="nil"/>
          <w:bottom w:val="nil"/>
          <w:right w:val="nil"/>
          <w:insideH w:val="nil"/>
          <w:insideV w:val="nil"/>
        </w:tblBorders>
        <w:tblLayout w:type="fixed"/>
        <w:tblLook w:val="0400" w:firstRow="0" w:lastRow="0" w:firstColumn="0" w:lastColumn="0" w:noHBand="0" w:noVBand="1"/>
      </w:tblPr>
      <w:tblGrid>
        <w:gridCol w:w="8365"/>
        <w:gridCol w:w="985"/>
      </w:tblGrid>
      <w:tr w:rsidR="004900EC" w:rsidRPr="00A443E2" w14:paraId="4FF538A3" w14:textId="77777777" w:rsidTr="001F7C36">
        <w:tc>
          <w:tcPr>
            <w:tcW w:w="8365" w:type="dxa"/>
            <w:vAlign w:val="center"/>
          </w:tcPr>
          <w:p w14:paraId="27E491DF" w14:textId="77777777" w:rsidR="001D7B03" w:rsidRPr="00A443E2" w:rsidRDefault="001D7B03" w:rsidP="00A443E2"/>
          <w:p w14:paraId="06BCDB9A" w14:textId="77777777" w:rsidR="001D7B03" w:rsidRPr="00A443E2" w:rsidRDefault="00000000" w:rsidP="00A443E2">
            <w:pPr>
              <w:rPr>
                <w:rFonts w:eastAsia="Cambria Math"/>
                <w:color w:val="000000"/>
              </w:rPr>
            </w:pPr>
            <m:oMathPara>
              <m:oMath>
                <m:r>
                  <w:rPr>
                    <w:rFonts w:ascii="Cambria Math" w:eastAsia="Cambria Math" w:hAnsi="Cambria Math"/>
                    <w:color w:val="000000"/>
                  </w:rPr>
                  <m:t>RPM=</m:t>
                </m:r>
                <m:f>
                  <m:fPr>
                    <m:ctrlPr>
                      <w:rPr>
                        <w:rFonts w:ascii="Cambria Math" w:eastAsia="Cambria Math" w:hAnsi="Cambria Math"/>
                        <w:color w:val="000000"/>
                      </w:rPr>
                    </m:ctrlPr>
                  </m:fPr>
                  <m:num>
                    <m:r>
                      <w:rPr>
                        <w:rFonts w:ascii="Cambria Math" w:eastAsia="Cambria Math" w:hAnsi="Cambria Math"/>
                        <w:color w:val="000000"/>
                      </w:rPr>
                      <m:t>3000 τ tan</m:t>
                    </m:r>
                    <m:r>
                      <w:rPr>
                        <w:rFonts w:ascii="Cambria Math" w:eastAsia="Cambria Math" w:hAnsi="Cambria Math"/>
                      </w:rPr>
                      <m:t xml:space="preserve"> θ </m:t>
                    </m:r>
                  </m:num>
                  <m:den>
                    <m:r>
                      <w:rPr>
                        <w:rFonts w:ascii="Cambria Math" w:eastAsia="Cambria Math" w:hAnsi="Cambria Math"/>
                      </w:rPr>
                      <m:t>π</m:t>
                    </m:r>
                    <m:r>
                      <w:rPr>
                        <w:rFonts w:ascii="Cambria Math" w:eastAsia="Cambria Math" w:hAnsi="Cambria Math"/>
                        <w:color w:val="000000"/>
                      </w:rPr>
                      <m:t xml:space="preserve"> μ</m:t>
                    </m:r>
                  </m:den>
                </m:f>
              </m:oMath>
            </m:oMathPara>
          </w:p>
          <w:p w14:paraId="16415048" w14:textId="77777777" w:rsidR="001D7B03" w:rsidRPr="00A443E2" w:rsidRDefault="001D7B03" w:rsidP="00A443E2"/>
        </w:tc>
        <w:tc>
          <w:tcPr>
            <w:tcW w:w="985" w:type="dxa"/>
            <w:vAlign w:val="center"/>
          </w:tcPr>
          <w:p w14:paraId="62B18982" w14:textId="77777777" w:rsidR="001D7B03" w:rsidRPr="00A443E2" w:rsidRDefault="00000000" w:rsidP="00A443E2">
            <w:r w:rsidRPr="00A443E2">
              <w:t>(2)</w:t>
            </w:r>
          </w:p>
        </w:tc>
      </w:tr>
      <w:tr w:rsidR="004900EC" w:rsidRPr="00A443E2" w14:paraId="6BF6D8A9" w14:textId="77777777" w:rsidTr="001F7C36">
        <w:tc>
          <w:tcPr>
            <w:tcW w:w="8365" w:type="dxa"/>
            <w:vAlign w:val="center"/>
          </w:tcPr>
          <w:p w14:paraId="0D8A9B16" w14:textId="77777777" w:rsidR="001D7B03" w:rsidRPr="00A443E2" w:rsidRDefault="001D7B03" w:rsidP="00A443E2"/>
        </w:tc>
        <w:tc>
          <w:tcPr>
            <w:tcW w:w="985" w:type="dxa"/>
            <w:vAlign w:val="center"/>
          </w:tcPr>
          <w:p w14:paraId="196C549D" w14:textId="77777777" w:rsidR="001D7B03" w:rsidRPr="00A443E2" w:rsidRDefault="001D7B03" w:rsidP="00A443E2"/>
        </w:tc>
      </w:tr>
      <w:tr w:rsidR="004900EC" w:rsidRPr="000B7535" w14:paraId="5FDA82DE" w14:textId="77777777" w:rsidTr="001F7C36">
        <w:tc>
          <w:tcPr>
            <w:tcW w:w="8365" w:type="dxa"/>
            <w:vAlign w:val="center"/>
          </w:tcPr>
          <w:p w14:paraId="77E2AC20" w14:textId="77777777" w:rsidR="001D7B03" w:rsidRPr="000B7535" w:rsidRDefault="001D7B03" w:rsidP="00A443E2"/>
        </w:tc>
        <w:tc>
          <w:tcPr>
            <w:tcW w:w="985" w:type="dxa"/>
            <w:vAlign w:val="center"/>
          </w:tcPr>
          <w:p w14:paraId="4DF234A5" w14:textId="77777777" w:rsidR="001D7B03" w:rsidRPr="000B7535" w:rsidRDefault="001D7B03" w:rsidP="00A443E2"/>
        </w:tc>
      </w:tr>
    </w:tbl>
    <w:p w14:paraId="5CDB7230" w14:textId="77777777" w:rsidR="001D7B03" w:rsidRPr="000A0C49" w:rsidRDefault="00000000" w:rsidP="00A443E2">
      <w:pPr>
        <w:numPr>
          <w:ilvl w:val="1"/>
          <w:numId w:val="1"/>
        </w:numPr>
        <w:pBdr>
          <w:top w:val="nil"/>
          <w:left w:val="nil"/>
          <w:bottom w:val="nil"/>
          <w:right w:val="nil"/>
          <w:between w:val="nil"/>
        </w:pBdr>
        <w:ind w:left="0" w:firstLine="0"/>
        <w:rPr>
          <w:color w:val="000000"/>
          <w:highlight w:val="yellow"/>
        </w:rPr>
      </w:pPr>
      <w:r w:rsidRPr="000A0C49">
        <w:rPr>
          <w:color w:val="000000"/>
          <w:highlight w:val="yellow"/>
        </w:rPr>
        <w:t>FSS experiment</w:t>
      </w:r>
    </w:p>
    <w:p w14:paraId="77347D0C" w14:textId="77777777" w:rsidR="00A80D0C" w:rsidRPr="000A0C49" w:rsidRDefault="00A80D0C" w:rsidP="00A443E2">
      <w:pPr>
        <w:pBdr>
          <w:top w:val="nil"/>
          <w:left w:val="nil"/>
          <w:bottom w:val="nil"/>
          <w:right w:val="nil"/>
          <w:between w:val="nil"/>
        </w:pBdr>
        <w:rPr>
          <w:b/>
          <w:bCs/>
          <w:color w:val="000000"/>
          <w:highlight w:val="yellow"/>
        </w:rPr>
      </w:pPr>
    </w:p>
    <w:p w14:paraId="69B878B9" w14:textId="77777777" w:rsidR="001D7B03" w:rsidRPr="001D6DFB" w:rsidRDefault="00000000" w:rsidP="00A443E2">
      <w:pPr>
        <w:numPr>
          <w:ilvl w:val="2"/>
          <w:numId w:val="1"/>
        </w:numPr>
        <w:pBdr>
          <w:top w:val="nil"/>
          <w:left w:val="nil"/>
          <w:bottom w:val="nil"/>
          <w:right w:val="nil"/>
          <w:between w:val="nil"/>
        </w:pBdr>
        <w:ind w:left="0" w:firstLine="0"/>
        <w:rPr>
          <w:color w:val="000000"/>
        </w:rPr>
      </w:pPr>
      <w:r w:rsidRPr="001D6DFB">
        <w:rPr>
          <w:color w:val="000000"/>
        </w:rPr>
        <w:t>Optional: primary cell isolation</w:t>
      </w:r>
    </w:p>
    <w:p w14:paraId="22E42832" w14:textId="77777777" w:rsidR="00A80D0C" w:rsidRPr="001D6DFB" w:rsidRDefault="00A80D0C" w:rsidP="00A443E2">
      <w:pPr>
        <w:pBdr>
          <w:top w:val="nil"/>
          <w:left w:val="nil"/>
          <w:bottom w:val="nil"/>
          <w:right w:val="nil"/>
          <w:between w:val="nil"/>
        </w:pBdr>
        <w:rPr>
          <w:color w:val="000000"/>
        </w:rPr>
      </w:pPr>
    </w:p>
    <w:p w14:paraId="0F5ACDBD" w14:textId="77777777" w:rsidR="005A607A" w:rsidRPr="001D6DFB" w:rsidRDefault="00000000" w:rsidP="00A443E2">
      <w:pPr>
        <w:numPr>
          <w:ilvl w:val="3"/>
          <w:numId w:val="1"/>
        </w:numPr>
        <w:pBdr>
          <w:top w:val="nil"/>
          <w:left w:val="nil"/>
          <w:bottom w:val="nil"/>
          <w:right w:val="nil"/>
          <w:between w:val="nil"/>
        </w:pBdr>
        <w:ind w:left="0" w:firstLine="0"/>
        <w:rPr>
          <w:color w:val="000000"/>
          <w:lang w:val="en-US"/>
        </w:rPr>
      </w:pPr>
      <w:r w:rsidRPr="001D6DFB">
        <w:rPr>
          <w:color w:val="000000"/>
          <w:lang w:val="en-US"/>
        </w:rPr>
        <w:t>If using primary cells, isolate cells of interest using the preferred method the day before completing step 1.3.2.</w:t>
      </w:r>
    </w:p>
    <w:p w14:paraId="7A6BA3F1" w14:textId="77777777" w:rsidR="005A607A" w:rsidRPr="001D6DFB" w:rsidRDefault="005A607A" w:rsidP="005A607A">
      <w:pPr>
        <w:pBdr>
          <w:top w:val="nil"/>
          <w:left w:val="nil"/>
          <w:bottom w:val="nil"/>
          <w:right w:val="nil"/>
          <w:between w:val="nil"/>
        </w:pBdr>
        <w:rPr>
          <w:color w:val="000000"/>
          <w:lang w:val="en-US"/>
        </w:rPr>
      </w:pPr>
    </w:p>
    <w:p w14:paraId="64FC3084" w14:textId="3AEEE8F4" w:rsidR="001D7B03" w:rsidRPr="001D6DFB" w:rsidRDefault="00000000" w:rsidP="005A607A">
      <w:pPr>
        <w:pBdr>
          <w:top w:val="nil"/>
          <w:left w:val="nil"/>
          <w:bottom w:val="nil"/>
          <w:right w:val="nil"/>
          <w:between w:val="nil"/>
        </w:pBdr>
        <w:rPr>
          <w:color w:val="000000"/>
          <w:lang w:val="en-US"/>
        </w:rPr>
      </w:pPr>
      <w:r w:rsidRPr="001D6DFB">
        <w:rPr>
          <w:color w:val="000000"/>
          <w:lang w:val="en-US"/>
        </w:rPr>
        <w:t>PAUSE POINT: Isolated primary cells may be stored overnight under appropriate conditions prior to proceeding.</w:t>
      </w:r>
    </w:p>
    <w:p w14:paraId="39F46EEE" w14:textId="77777777" w:rsidR="00A80D0C" w:rsidRPr="000A0C49" w:rsidRDefault="00A80D0C" w:rsidP="00A443E2">
      <w:pPr>
        <w:pBdr>
          <w:top w:val="nil"/>
          <w:left w:val="nil"/>
          <w:bottom w:val="nil"/>
          <w:right w:val="nil"/>
          <w:between w:val="nil"/>
        </w:pBdr>
        <w:rPr>
          <w:color w:val="000000"/>
          <w:highlight w:val="yellow"/>
          <w:lang w:val="en-US"/>
        </w:rPr>
      </w:pPr>
    </w:p>
    <w:p w14:paraId="39DE1397"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rPr>
      </w:pPr>
      <w:r w:rsidRPr="000A0C49">
        <w:rPr>
          <w:color w:val="000000"/>
          <w:highlight w:val="yellow"/>
        </w:rPr>
        <w:t>Instrument setup and configuration</w:t>
      </w:r>
    </w:p>
    <w:p w14:paraId="2EFB6004" w14:textId="77777777" w:rsidR="00A80D0C" w:rsidRPr="000A0C49" w:rsidRDefault="00A80D0C" w:rsidP="00A443E2">
      <w:pPr>
        <w:pBdr>
          <w:top w:val="nil"/>
          <w:left w:val="nil"/>
          <w:bottom w:val="nil"/>
          <w:right w:val="nil"/>
          <w:between w:val="nil"/>
        </w:pBdr>
        <w:rPr>
          <w:color w:val="000000"/>
          <w:highlight w:val="yellow"/>
        </w:rPr>
      </w:pPr>
    </w:p>
    <w:p w14:paraId="17A26751"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rPr>
      </w:pPr>
      <w:r w:rsidRPr="000A0C49">
        <w:rPr>
          <w:color w:val="000000"/>
          <w:highlight w:val="yellow"/>
        </w:rPr>
        <w:t xml:space="preserve">Repeat instrument setup and configuration per steps 1.1.2.1–1.1.2.11, selecting the spindle and RPM determined in step 1.2.1. </w:t>
      </w:r>
    </w:p>
    <w:p w14:paraId="4C6251A3" w14:textId="77777777" w:rsidR="001D7B03" w:rsidRPr="000A0C49" w:rsidRDefault="001D7B03" w:rsidP="00A443E2">
      <w:pPr>
        <w:pBdr>
          <w:top w:val="nil"/>
          <w:left w:val="nil"/>
          <w:bottom w:val="nil"/>
          <w:right w:val="nil"/>
          <w:between w:val="nil"/>
        </w:pBdr>
        <w:rPr>
          <w:color w:val="000000"/>
          <w:highlight w:val="yellow"/>
        </w:rPr>
      </w:pPr>
    </w:p>
    <w:p w14:paraId="72E2B16E" w14:textId="77777777" w:rsidR="001D7B03" w:rsidRPr="000A0C49" w:rsidRDefault="00000000" w:rsidP="00A443E2">
      <w:pPr>
        <w:numPr>
          <w:ilvl w:val="2"/>
          <w:numId w:val="1"/>
        </w:numPr>
        <w:pBdr>
          <w:top w:val="nil"/>
          <w:left w:val="nil"/>
          <w:bottom w:val="nil"/>
          <w:right w:val="nil"/>
          <w:between w:val="nil"/>
        </w:pBdr>
        <w:ind w:left="0" w:firstLine="0"/>
        <w:rPr>
          <w:b/>
          <w:bCs/>
          <w:color w:val="000000"/>
          <w:highlight w:val="yellow"/>
        </w:rPr>
      </w:pPr>
      <w:r w:rsidRPr="000A0C49">
        <w:rPr>
          <w:b/>
          <w:bCs/>
          <w:color w:val="000000"/>
          <w:highlight w:val="yellow"/>
        </w:rPr>
        <w:t>Blocking</w:t>
      </w:r>
    </w:p>
    <w:p w14:paraId="766D7340" w14:textId="77777777" w:rsidR="00A80D0C" w:rsidRPr="000A0C49" w:rsidRDefault="00A80D0C" w:rsidP="00A443E2">
      <w:pPr>
        <w:pBdr>
          <w:top w:val="nil"/>
          <w:left w:val="nil"/>
          <w:bottom w:val="nil"/>
          <w:right w:val="nil"/>
          <w:between w:val="nil"/>
        </w:pBdr>
        <w:rPr>
          <w:b/>
          <w:bCs/>
          <w:color w:val="000000"/>
          <w:highlight w:val="yellow"/>
        </w:rPr>
      </w:pPr>
    </w:p>
    <w:p w14:paraId="7DBDB348"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rPr>
      </w:pPr>
      <w:r w:rsidRPr="000A0C49">
        <w:rPr>
          <w:color w:val="000000"/>
          <w:highlight w:val="yellow"/>
        </w:rPr>
        <w:lastRenderedPageBreak/>
        <w:t>Repeat blocking per steps 1.1.3.1–1.1.3.2.</w:t>
      </w:r>
    </w:p>
    <w:p w14:paraId="7193C7C4" w14:textId="77777777" w:rsidR="001D7B03" w:rsidRPr="000A0C49" w:rsidRDefault="001D7B03" w:rsidP="00A443E2">
      <w:pPr>
        <w:pBdr>
          <w:top w:val="nil"/>
          <w:left w:val="nil"/>
          <w:bottom w:val="nil"/>
          <w:right w:val="nil"/>
          <w:between w:val="nil"/>
        </w:pBdr>
        <w:rPr>
          <w:color w:val="000000"/>
          <w:highlight w:val="yellow"/>
        </w:rPr>
      </w:pPr>
    </w:p>
    <w:p w14:paraId="4D6398B9"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rPr>
      </w:pPr>
      <w:r w:rsidRPr="000A0C49">
        <w:rPr>
          <w:color w:val="000000"/>
          <w:highlight w:val="yellow"/>
        </w:rPr>
        <w:t>Cell preparation</w:t>
      </w:r>
    </w:p>
    <w:p w14:paraId="7245BA30" w14:textId="77777777" w:rsidR="00A80D0C" w:rsidRPr="000A0C49" w:rsidRDefault="00A80D0C" w:rsidP="00A443E2">
      <w:pPr>
        <w:pBdr>
          <w:top w:val="nil"/>
          <w:left w:val="nil"/>
          <w:bottom w:val="nil"/>
          <w:right w:val="nil"/>
          <w:between w:val="nil"/>
        </w:pBdr>
        <w:rPr>
          <w:b/>
          <w:bCs/>
          <w:color w:val="000000"/>
          <w:highlight w:val="yellow"/>
        </w:rPr>
      </w:pPr>
    </w:p>
    <w:p w14:paraId="00E6C80E" w14:textId="77777777" w:rsidR="001D7B03" w:rsidRPr="000A0C49" w:rsidRDefault="00000000" w:rsidP="00A443E2">
      <w:pPr>
        <w:numPr>
          <w:ilvl w:val="3"/>
          <w:numId w:val="1"/>
        </w:numPr>
        <w:pBdr>
          <w:top w:val="nil"/>
          <w:left w:val="nil"/>
          <w:bottom w:val="nil"/>
          <w:right w:val="nil"/>
          <w:between w:val="nil"/>
        </w:pBdr>
        <w:ind w:left="0" w:firstLine="0"/>
        <w:rPr>
          <w:highlight w:val="yellow"/>
        </w:rPr>
      </w:pPr>
      <w:r w:rsidRPr="000A0C49">
        <w:rPr>
          <w:color w:val="000000"/>
          <w:highlight w:val="yellow"/>
        </w:rPr>
        <w:t>Prepare cells per step 1.1.4.1.</w:t>
      </w:r>
    </w:p>
    <w:p w14:paraId="30956235" w14:textId="77777777" w:rsidR="001D7B03" w:rsidRPr="000A0C49" w:rsidRDefault="001D7B03" w:rsidP="00A443E2">
      <w:pPr>
        <w:pBdr>
          <w:top w:val="nil"/>
          <w:left w:val="nil"/>
          <w:bottom w:val="nil"/>
          <w:right w:val="nil"/>
          <w:between w:val="nil"/>
        </w:pBdr>
        <w:rPr>
          <w:highlight w:val="yellow"/>
        </w:rPr>
      </w:pPr>
    </w:p>
    <w:p w14:paraId="6DE549AB"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rPr>
      </w:pPr>
      <w:r w:rsidRPr="000A0C49">
        <w:rPr>
          <w:color w:val="000000"/>
          <w:highlight w:val="yellow"/>
        </w:rPr>
        <w:t>FSS experiment and cleanup</w:t>
      </w:r>
    </w:p>
    <w:p w14:paraId="68EFB334" w14:textId="77777777" w:rsidR="00A80D0C" w:rsidRPr="000A0C49" w:rsidRDefault="00A80D0C" w:rsidP="00A443E2">
      <w:pPr>
        <w:pBdr>
          <w:top w:val="nil"/>
          <w:left w:val="nil"/>
          <w:bottom w:val="nil"/>
          <w:right w:val="nil"/>
          <w:between w:val="nil"/>
        </w:pBdr>
        <w:rPr>
          <w:b/>
          <w:bCs/>
          <w:color w:val="000000"/>
          <w:highlight w:val="yellow"/>
        </w:rPr>
      </w:pPr>
    </w:p>
    <w:p w14:paraId="1048163B"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Attach the spindle using a mini wrench. Avoid contact between fingers and the bottom surface of the spindle to maintain sterility.</w:t>
      </w:r>
    </w:p>
    <w:p w14:paraId="45EB8B80" w14:textId="77777777" w:rsidR="00A80D0C" w:rsidRPr="000A0C49" w:rsidRDefault="00A80D0C" w:rsidP="00A443E2">
      <w:pPr>
        <w:pBdr>
          <w:top w:val="nil"/>
          <w:left w:val="nil"/>
          <w:bottom w:val="nil"/>
          <w:right w:val="nil"/>
          <w:between w:val="nil"/>
        </w:pBdr>
        <w:rPr>
          <w:color w:val="000000"/>
          <w:highlight w:val="yellow"/>
          <w:lang w:val="en-US"/>
        </w:rPr>
      </w:pPr>
    </w:p>
    <w:p w14:paraId="38897CEC"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Add working volume of cell suspension to the plate. Attach the plate.</w:t>
      </w:r>
    </w:p>
    <w:p w14:paraId="38FCFEAA" w14:textId="77777777" w:rsidR="00A80D0C" w:rsidRPr="000A0C49" w:rsidRDefault="00A80D0C" w:rsidP="00A443E2">
      <w:pPr>
        <w:pStyle w:val="ListParagraph"/>
        <w:ind w:left="0"/>
        <w:rPr>
          <w:color w:val="000000"/>
          <w:highlight w:val="yellow"/>
          <w:lang w:val="en-US"/>
        </w:rPr>
      </w:pPr>
    </w:p>
    <w:p w14:paraId="0D8A3903" w14:textId="77777777" w:rsidR="001D7B03" w:rsidRPr="000A0C49" w:rsidRDefault="00000000" w:rsidP="00A443E2">
      <w:pPr>
        <w:numPr>
          <w:ilvl w:val="3"/>
          <w:numId w:val="1"/>
        </w:numPr>
        <w:pBdr>
          <w:top w:val="nil"/>
          <w:left w:val="nil"/>
          <w:bottom w:val="nil"/>
          <w:right w:val="nil"/>
          <w:between w:val="nil"/>
        </w:pBdr>
        <w:ind w:left="0" w:firstLine="0"/>
        <w:rPr>
          <w:highlight w:val="yellow"/>
        </w:rPr>
      </w:pPr>
      <w:r w:rsidRPr="000A0C49">
        <w:rPr>
          <w:color w:val="000000"/>
          <w:highlight w:val="yellow"/>
          <w:lang w:val="en-US"/>
        </w:rPr>
        <w:t>Initiate the FSS protocol. Start a timer of desired length based on experimental design.</w:t>
      </w:r>
    </w:p>
    <w:p w14:paraId="75F6C6D8" w14:textId="77777777" w:rsidR="00A80D0C" w:rsidRPr="000A0C49" w:rsidRDefault="00A80D0C" w:rsidP="00A443E2">
      <w:pPr>
        <w:pBdr>
          <w:top w:val="nil"/>
          <w:left w:val="nil"/>
          <w:bottom w:val="nil"/>
          <w:right w:val="nil"/>
          <w:between w:val="nil"/>
        </w:pBdr>
        <w:rPr>
          <w:highlight w:val="yellow"/>
        </w:rPr>
      </w:pPr>
    </w:p>
    <w:p w14:paraId="0AB9E250" w14:textId="027F2D29" w:rsidR="001D7B03" w:rsidRPr="000A0C49" w:rsidRDefault="00000000" w:rsidP="00A443E2">
      <w:pPr>
        <w:numPr>
          <w:ilvl w:val="4"/>
          <w:numId w:val="1"/>
        </w:numPr>
        <w:pBdr>
          <w:top w:val="nil"/>
          <w:left w:val="nil"/>
          <w:bottom w:val="nil"/>
          <w:right w:val="nil"/>
          <w:between w:val="nil"/>
        </w:pBdr>
        <w:ind w:left="0" w:firstLine="0"/>
        <w:rPr>
          <w:highlight w:val="yellow"/>
        </w:rPr>
      </w:pPr>
      <w:r w:rsidRPr="000A0C49">
        <w:rPr>
          <w:color w:val="000000"/>
          <w:highlight w:val="yellow"/>
          <w:lang w:val="en-US"/>
        </w:rPr>
        <w:t xml:space="preserve">On older viscometers, press the </w:t>
      </w:r>
      <w:r w:rsidRPr="000A0C49">
        <w:rPr>
          <w:b/>
          <w:bCs/>
          <w:color w:val="000000"/>
          <w:highlight w:val="yellow"/>
          <w:lang w:val="en-US"/>
        </w:rPr>
        <w:t>Motor On/Off</w:t>
      </w:r>
      <w:r w:rsidRPr="000A0C49">
        <w:rPr>
          <w:color w:val="000000"/>
          <w:highlight w:val="yellow"/>
          <w:lang w:val="en-US"/>
        </w:rPr>
        <w:t xml:space="preserve"> button (</w:t>
      </w:r>
      <w:r w:rsidRPr="000A0C49">
        <w:rPr>
          <w:b/>
          <w:bCs/>
          <w:color w:val="000000"/>
          <w:highlight w:val="yellow"/>
          <w:lang w:val="en-US"/>
        </w:rPr>
        <w:t>Supplementary Figure 1H</w:t>
      </w:r>
      <w:r w:rsidRPr="000A0C49">
        <w:rPr>
          <w:color w:val="000000"/>
          <w:highlight w:val="yellow"/>
          <w:lang w:val="en-US"/>
        </w:rPr>
        <w:t>).</w:t>
      </w:r>
    </w:p>
    <w:p w14:paraId="44D96920" w14:textId="77777777" w:rsidR="00A80D0C" w:rsidRPr="000A0C49" w:rsidRDefault="00A80D0C" w:rsidP="00A443E2">
      <w:pPr>
        <w:pBdr>
          <w:top w:val="nil"/>
          <w:left w:val="nil"/>
          <w:bottom w:val="nil"/>
          <w:right w:val="nil"/>
          <w:between w:val="nil"/>
        </w:pBdr>
        <w:rPr>
          <w:highlight w:val="yellow"/>
        </w:rPr>
      </w:pPr>
    </w:p>
    <w:p w14:paraId="182BCFB6" w14:textId="39533F59" w:rsidR="001D7B03" w:rsidRPr="000A0C49" w:rsidRDefault="00000000" w:rsidP="00A443E2">
      <w:pPr>
        <w:numPr>
          <w:ilvl w:val="4"/>
          <w:numId w:val="1"/>
        </w:numPr>
        <w:pBdr>
          <w:top w:val="nil"/>
          <w:left w:val="nil"/>
          <w:bottom w:val="nil"/>
          <w:right w:val="nil"/>
          <w:between w:val="nil"/>
        </w:pBdr>
        <w:ind w:left="0" w:firstLine="0"/>
        <w:rPr>
          <w:highlight w:val="yellow"/>
        </w:rPr>
      </w:pPr>
      <w:r w:rsidRPr="000A0C49">
        <w:rPr>
          <w:color w:val="000000"/>
          <w:highlight w:val="yellow"/>
          <w:lang w:val="en-US"/>
        </w:rPr>
        <w:t xml:space="preserve">On newer viscometers, press the </w:t>
      </w:r>
      <w:r w:rsidRPr="000A0C49">
        <w:rPr>
          <w:b/>
          <w:bCs/>
          <w:color w:val="000000"/>
          <w:highlight w:val="yellow"/>
          <w:lang w:val="en-US"/>
        </w:rPr>
        <w:t xml:space="preserve">Run </w:t>
      </w:r>
      <w:r w:rsidRPr="000A0C49">
        <w:rPr>
          <w:color w:val="000000"/>
          <w:highlight w:val="yellow"/>
          <w:lang w:val="en-US"/>
        </w:rPr>
        <w:t>button (</w:t>
      </w:r>
      <w:r w:rsidRPr="000A0C49">
        <w:rPr>
          <w:b/>
          <w:bCs/>
          <w:color w:val="000000"/>
          <w:highlight w:val="yellow"/>
          <w:lang w:val="en-US"/>
        </w:rPr>
        <w:t>Supplementary Figure 1C</w:t>
      </w:r>
      <w:r w:rsidRPr="000A0C49">
        <w:rPr>
          <w:color w:val="000000"/>
          <w:highlight w:val="yellow"/>
          <w:lang w:val="en-US"/>
        </w:rPr>
        <w:t xml:space="preserve">). </w:t>
      </w:r>
    </w:p>
    <w:p w14:paraId="4633202C" w14:textId="77777777" w:rsidR="00745B5A" w:rsidRPr="000A0C49" w:rsidRDefault="00745B5A" w:rsidP="00A443E2">
      <w:pPr>
        <w:pStyle w:val="ListParagraph"/>
        <w:ind w:left="0"/>
        <w:rPr>
          <w:highlight w:val="yellow"/>
        </w:rPr>
      </w:pPr>
    </w:p>
    <w:p w14:paraId="63CC38E1"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Record the final viscosity reading in centipoise (cP), if desired, for experimental documentation.</w:t>
      </w:r>
    </w:p>
    <w:p w14:paraId="6395FF4F" w14:textId="77777777" w:rsidR="00745B5A" w:rsidRPr="000A0C49" w:rsidRDefault="00745B5A" w:rsidP="00A443E2">
      <w:pPr>
        <w:pBdr>
          <w:top w:val="nil"/>
          <w:left w:val="nil"/>
          <w:bottom w:val="nil"/>
          <w:right w:val="nil"/>
          <w:between w:val="nil"/>
        </w:pBdr>
        <w:rPr>
          <w:color w:val="000000"/>
          <w:highlight w:val="yellow"/>
          <w:lang w:val="en-US"/>
        </w:rPr>
      </w:pPr>
    </w:p>
    <w:p w14:paraId="2CAEFFAF"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 xml:space="preserve">Stop the viscosity test. </w:t>
      </w:r>
    </w:p>
    <w:p w14:paraId="3197D749" w14:textId="77777777" w:rsidR="00745B5A" w:rsidRPr="000A0C49" w:rsidRDefault="00745B5A" w:rsidP="00A443E2">
      <w:pPr>
        <w:pStyle w:val="ListParagraph"/>
        <w:ind w:left="0"/>
        <w:rPr>
          <w:color w:val="000000"/>
          <w:highlight w:val="yellow"/>
          <w:lang w:val="en-US"/>
        </w:rPr>
      </w:pPr>
    </w:p>
    <w:p w14:paraId="50939E49" w14:textId="77777777" w:rsidR="001D7B03" w:rsidRPr="000A0C49" w:rsidRDefault="00000000" w:rsidP="00A443E2">
      <w:pPr>
        <w:numPr>
          <w:ilvl w:val="4"/>
          <w:numId w:val="1"/>
        </w:numPr>
        <w:pBdr>
          <w:top w:val="nil"/>
          <w:left w:val="nil"/>
          <w:bottom w:val="nil"/>
          <w:right w:val="nil"/>
          <w:between w:val="nil"/>
        </w:pBdr>
        <w:ind w:left="0" w:firstLine="0"/>
        <w:rPr>
          <w:highlight w:val="yellow"/>
        </w:rPr>
      </w:pPr>
      <w:r w:rsidRPr="000A0C49">
        <w:rPr>
          <w:color w:val="000000"/>
          <w:highlight w:val="yellow"/>
          <w:lang w:val="en-US"/>
        </w:rPr>
        <w:t>On older viscometers, press the “Motor On/Off” button (</w:t>
      </w:r>
      <w:r w:rsidRPr="000A0C49">
        <w:rPr>
          <w:b/>
          <w:bCs/>
          <w:color w:val="000000"/>
          <w:highlight w:val="yellow"/>
          <w:lang w:val="en-US"/>
        </w:rPr>
        <w:t>Supplementary Figure 1H</w:t>
      </w:r>
      <w:r w:rsidRPr="000A0C49">
        <w:rPr>
          <w:color w:val="000000"/>
          <w:highlight w:val="yellow"/>
          <w:lang w:val="en-US"/>
        </w:rPr>
        <w:t>).</w:t>
      </w:r>
    </w:p>
    <w:p w14:paraId="2819E823" w14:textId="77777777" w:rsidR="00745B5A" w:rsidRPr="000A0C49" w:rsidRDefault="00745B5A" w:rsidP="00A443E2">
      <w:pPr>
        <w:pBdr>
          <w:top w:val="nil"/>
          <w:left w:val="nil"/>
          <w:bottom w:val="nil"/>
          <w:right w:val="nil"/>
          <w:between w:val="nil"/>
        </w:pBdr>
        <w:rPr>
          <w:highlight w:val="yellow"/>
        </w:rPr>
      </w:pPr>
    </w:p>
    <w:p w14:paraId="4A2C3BD3" w14:textId="77777777" w:rsidR="001D7B03" w:rsidRPr="000A0C49" w:rsidRDefault="00000000" w:rsidP="00A443E2">
      <w:pPr>
        <w:numPr>
          <w:ilvl w:val="4"/>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On newer viscometers, press the “Stop Run” button (</w:t>
      </w:r>
      <w:r w:rsidRPr="000A0C49">
        <w:rPr>
          <w:b/>
          <w:bCs/>
          <w:color w:val="000000"/>
          <w:highlight w:val="yellow"/>
          <w:lang w:val="en-US"/>
        </w:rPr>
        <w:t>Supplementary Figure 1I</w:t>
      </w:r>
      <w:r w:rsidRPr="000A0C49">
        <w:rPr>
          <w:color w:val="000000"/>
          <w:highlight w:val="yellow"/>
          <w:lang w:val="en-US"/>
        </w:rPr>
        <w:t xml:space="preserve">). </w:t>
      </w:r>
    </w:p>
    <w:p w14:paraId="16954BD7" w14:textId="77777777" w:rsidR="00745B5A" w:rsidRPr="000A0C49" w:rsidRDefault="00745B5A" w:rsidP="00A443E2">
      <w:pPr>
        <w:pBdr>
          <w:top w:val="nil"/>
          <w:left w:val="nil"/>
          <w:bottom w:val="nil"/>
          <w:right w:val="nil"/>
          <w:between w:val="nil"/>
        </w:pBdr>
        <w:rPr>
          <w:color w:val="000000"/>
          <w:highlight w:val="yellow"/>
          <w:lang w:val="en-US"/>
        </w:rPr>
      </w:pPr>
    </w:p>
    <w:p w14:paraId="1DFFD74F"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rPr>
      </w:pPr>
      <w:r w:rsidRPr="000A0C49">
        <w:rPr>
          <w:color w:val="000000"/>
          <w:highlight w:val="yellow"/>
        </w:rPr>
        <w:t>Detach the plate. Carefully remove the spindle using a mini wrench, avoiding contact between fingers and the bottom surface of the spindle.</w:t>
      </w:r>
    </w:p>
    <w:p w14:paraId="6CAE8BE4" w14:textId="77777777" w:rsidR="00745B5A" w:rsidRPr="000A0C49" w:rsidRDefault="00745B5A" w:rsidP="00A443E2">
      <w:pPr>
        <w:pBdr>
          <w:top w:val="nil"/>
          <w:left w:val="nil"/>
          <w:bottom w:val="nil"/>
          <w:right w:val="nil"/>
          <w:between w:val="nil"/>
        </w:pBdr>
        <w:rPr>
          <w:color w:val="000000"/>
          <w:highlight w:val="yellow"/>
        </w:rPr>
      </w:pPr>
    </w:p>
    <w:p w14:paraId="7AF3BA60"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rPr>
      </w:pPr>
      <w:r w:rsidRPr="000A0C49">
        <w:rPr>
          <w:color w:val="000000"/>
          <w:highlight w:val="yellow"/>
        </w:rPr>
        <w:t>Remove the cell suspension from the viscometer and transfer to a conical tube using a pipette.</w:t>
      </w:r>
    </w:p>
    <w:p w14:paraId="5FEA6A35" w14:textId="77777777" w:rsidR="00745B5A" w:rsidRPr="000A0C49" w:rsidRDefault="00745B5A" w:rsidP="00A443E2">
      <w:pPr>
        <w:pBdr>
          <w:top w:val="nil"/>
          <w:left w:val="nil"/>
          <w:bottom w:val="nil"/>
          <w:right w:val="nil"/>
          <w:between w:val="nil"/>
        </w:pBdr>
        <w:rPr>
          <w:color w:val="000000"/>
          <w:highlight w:val="yellow"/>
        </w:rPr>
      </w:pPr>
    </w:p>
    <w:p w14:paraId="7341FC6B"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rPr>
      </w:pPr>
      <w:r w:rsidRPr="000A0C49">
        <w:rPr>
          <w:color w:val="000000"/>
          <w:highlight w:val="yellow"/>
        </w:rPr>
        <w:t>Wash the spindle and plate surfaces with 2 mL of PBS to dislodge stuck cells. Transfer the wash buffer to the conical tube.</w:t>
      </w:r>
    </w:p>
    <w:p w14:paraId="709748DB" w14:textId="77777777" w:rsidR="00745B5A" w:rsidRPr="000A0C49" w:rsidRDefault="00745B5A" w:rsidP="00A443E2">
      <w:pPr>
        <w:pBdr>
          <w:top w:val="nil"/>
          <w:left w:val="nil"/>
          <w:bottom w:val="nil"/>
          <w:right w:val="nil"/>
          <w:between w:val="nil"/>
        </w:pBdr>
        <w:rPr>
          <w:color w:val="000000"/>
          <w:highlight w:val="yellow"/>
        </w:rPr>
      </w:pPr>
    </w:p>
    <w:p w14:paraId="457D8557" w14:textId="77777777" w:rsidR="001D7B03" w:rsidRPr="001D6DFB" w:rsidRDefault="00000000" w:rsidP="00A443E2">
      <w:pPr>
        <w:numPr>
          <w:ilvl w:val="3"/>
          <w:numId w:val="1"/>
        </w:numPr>
        <w:pBdr>
          <w:top w:val="nil"/>
          <w:left w:val="nil"/>
          <w:bottom w:val="nil"/>
          <w:right w:val="nil"/>
          <w:between w:val="nil"/>
        </w:pBdr>
        <w:ind w:left="0" w:firstLine="0"/>
        <w:rPr>
          <w:color w:val="000000"/>
          <w:lang w:val="en-US"/>
        </w:rPr>
      </w:pPr>
      <w:r w:rsidRPr="001D6DFB">
        <w:rPr>
          <w:color w:val="000000" w:themeColor="text1"/>
          <w:lang w:val="en-US"/>
        </w:rPr>
        <w:t xml:space="preserve">Count cells via flow cytometry with a necrotic cell dye such as propidium iodide to assess cell recovery. </w:t>
      </w:r>
    </w:p>
    <w:p w14:paraId="0EE755E1" w14:textId="77777777" w:rsidR="00745B5A" w:rsidRPr="000A0C49" w:rsidRDefault="00745B5A" w:rsidP="00A443E2">
      <w:pPr>
        <w:pBdr>
          <w:top w:val="nil"/>
          <w:left w:val="nil"/>
          <w:bottom w:val="nil"/>
          <w:right w:val="nil"/>
          <w:between w:val="nil"/>
        </w:pBdr>
        <w:rPr>
          <w:color w:val="000000"/>
          <w:highlight w:val="yellow"/>
          <w:lang w:val="en-US"/>
        </w:rPr>
      </w:pPr>
    </w:p>
    <w:p w14:paraId="7B7126CE"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rPr>
      </w:pPr>
      <w:r w:rsidRPr="000A0C49">
        <w:rPr>
          <w:color w:val="000000"/>
          <w:highlight w:val="yellow"/>
        </w:rPr>
        <w:t xml:space="preserve">Centrifuge conical tubes at 300 x </w:t>
      </w:r>
      <w:r w:rsidRPr="000A0C49">
        <w:rPr>
          <w:i/>
          <w:iCs/>
          <w:color w:val="000000"/>
          <w:highlight w:val="yellow"/>
        </w:rPr>
        <w:t>g</w:t>
      </w:r>
      <w:r w:rsidRPr="000A0C49">
        <w:rPr>
          <w:color w:val="000000"/>
          <w:highlight w:val="yellow"/>
        </w:rPr>
        <w:t xml:space="preserve"> for 5 min to pellet cells. </w:t>
      </w:r>
    </w:p>
    <w:p w14:paraId="340FB61D" w14:textId="77777777" w:rsidR="00745B5A" w:rsidRPr="000A0C49" w:rsidRDefault="00745B5A" w:rsidP="00A443E2">
      <w:pPr>
        <w:pBdr>
          <w:top w:val="nil"/>
          <w:left w:val="nil"/>
          <w:bottom w:val="nil"/>
          <w:right w:val="nil"/>
          <w:between w:val="nil"/>
        </w:pBdr>
        <w:rPr>
          <w:color w:val="000000"/>
          <w:highlight w:val="yellow"/>
        </w:rPr>
      </w:pPr>
    </w:p>
    <w:p w14:paraId="3EEAA2A0"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lang w:val="en-US"/>
        </w:rPr>
        <w:t xml:space="preserve">Inside a biosafety cabinet, aspirate supernatant and resuspend cells at desired </w:t>
      </w:r>
      <w:r w:rsidRPr="000A0C49">
        <w:rPr>
          <w:color w:val="000000"/>
          <w:highlight w:val="yellow"/>
          <w:lang w:val="en-US"/>
        </w:rPr>
        <w:lastRenderedPageBreak/>
        <w:t>concentration in complete media with antibiotics.</w:t>
      </w:r>
    </w:p>
    <w:p w14:paraId="2DB6F350" w14:textId="77777777" w:rsidR="00745B5A" w:rsidRPr="000A0C49" w:rsidRDefault="00745B5A" w:rsidP="00A443E2">
      <w:pPr>
        <w:pBdr>
          <w:top w:val="nil"/>
          <w:left w:val="nil"/>
          <w:bottom w:val="nil"/>
          <w:right w:val="nil"/>
          <w:between w:val="nil"/>
        </w:pBdr>
        <w:rPr>
          <w:highlight w:val="yellow"/>
        </w:rPr>
      </w:pPr>
    </w:p>
    <w:p w14:paraId="4A6D9C48" w14:textId="77777777" w:rsidR="001D7B03" w:rsidRPr="000A0C49" w:rsidRDefault="00000000" w:rsidP="00A443E2">
      <w:pPr>
        <w:numPr>
          <w:ilvl w:val="3"/>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Plate the cell suspension or use immediately in downstream analysis.</w:t>
      </w:r>
    </w:p>
    <w:p w14:paraId="0E3C8CB9" w14:textId="77777777" w:rsidR="00745B5A" w:rsidRPr="000A0C49" w:rsidRDefault="00745B5A" w:rsidP="00A443E2">
      <w:pPr>
        <w:pBdr>
          <w:top w:val="nil"/>
          <w:left w:val="nil"/>
          <w:bottom w:val="nil"/>
          <w:right w:val="nil"/>
          <w:between w:val="nil"/>
        </w:pBdr>
        <w:rPr>
          <w:color w:val="000000"/>
          <w:highlight w:val="yellow"/>
          <w:lang w:val="en-US"/>
        </w:rPr>
      </w:pPr>
    </w:p>
    <w:p w14:paraId="6A114CEC" w14:textId="77777777" w:rsidR="001D7B03" w:rsidRPr="000A0C49" w:rsidRDefault="00000000" w:rsidP="00A443E2">
      <w:pPr>
        <w:numPr>
          <w:ilvl w:val="3"/>
          <w:numId w:val="1"/>
        </w:numPr>
        <w:pBdr>
          <w:top w:val="nil"/>
          <w:left w:val="nil"/>
          <w:bottom w:val="nil"/>
          <w:right w:val="nil"/>
          <w:between w:val="nil"/>
        </w:pBdr>
        <w:ind w:left="0" w:firstLine="0"/>
        <w:rPr>
          <w:highlight w:val="yellow"/>
        </w:rPr>
      </w:pPr>
      <w:r w:rsidRPr="000A0C49">
        <w:rPr>
          <w:color w:val="000000"/>
          <w:highlight w:val="yellow"/>
        </w:rPr>
        <w:t>Clean materials and power off instrument(s) per steps 1.1.5.8–1.1.5.13.</w:t>
      </w:r>
    </w:p>
    <w:p w14:paraId="34C0E09D" w14:textId="77777777" w:rsidR="001D7B03" w:rsidRPr="00A443E2" w:rsidRDefault="001D7B03" w:rsidP="00A443E2">
      <w:pPr>
        <w:rPr>
          <w:b/>
          <w:bCs/>
          <w:u w:val="single"/>
        </w:rPr>
      </w:pPr>
    </w:p>
    <w:p w14:paraId="6675A992" w14:textId="77777777" w:rsidR="001D7B03" w:rsidRPr="00A443E2" w:rsidRDefault="00000000" w:rsidP="00A443E2">
      <w:pPr>
        <w:numPr>
          <w:ilvl w:val="0"/>
          <w:numId w:val="1"/>
        </w:numPr>
        <w:pBdr>
          <w:top w:val="nil"/>
          <w:left w:val="nil"/>
          <w:bottom w:val="nil"/>
          <w:right w:val="nil"/>
          <w:between w:val="nil"/>
        </w:pBdr>
        <w:ind w:left="0" w:firstLine="0"/>
        <w:rPr>
          <w:b/>
          <w:bCs/>
          <w:color w:val="000000"/>
        </w:rPr>
      </w:pPr>
      <w:r w:rsidRPr="00A443E2">
        <w:rPr>
          <w:b/>
          <w:bCs/>
          <w:color w:val="000000" w:themeColor="text1"/>
        </w:rPr>
        <w:t>Cyclical, medium-intensity FSS application using a multichannel pipettor</w:t>
      </w:r>
    </w:p>
    <w:p w14:paraId="12480C20" w14:textId="77777777" w:rsidR="00745B5A" w:rsidRPr="00A443E2" w:rsidRDefault="00745B5A" w:rsidP="00A443E2">
      <w:pPr>
        <w:pBdr>
          <w:top w:val="nil"/>
          <w:left w:val="nil"/>
          <w:bottom w:val="nil"/>
          <w:right w:val="nil"/>
          <w:between w:val="nil"/>
        </w:pBdr>
        <w:rPr>
          <w:b/>
          <w:bCs/>
          <w:color w:val="000000"/>
        </w:rPr>
      </w:pPr>
    </w:p>
    <w:p w14:paraId="4AF72B44" w14:textId="549B0D12" w:rsidR="001D7B03" w:rsidRPr="00A443E2" w:rsidRDefault="00000000" w:rsidP="00A443E2">
      <w:pPr>
        <w:rPr>
          <w:lang w:val="en-US"/>
        </w:rPr>
      </w:pPr>
      <w:r w:rsidRPr="00A443E2">
        <w:rPr>
          <w:lang w:val="en-US"/>
        </w:rPr>
        <w:t>NOTE: The following protocol describes FSS application using a ten-speed, semi-automated 96-channel pipettor (</w:t>
      </w:r>
      <w:r w:rsidRPr="00A443E2">
        <w:rPr>
          <w:b/>
          <w:bCs/>
          <w:lang w:val="en-US"/>
        </w:rPr>
        <w:t>Supplementary Figure 2A</w:t>
      </w:r>
      <w:r w:rsidRPr="00A443E2">
        <w:rPr>
          <w:lang w:val="en-US"/>
        </w:rPr>
        <w:t>)</w:t>
      </w:r>
      <w:r w:rsidR="00241D7E">
        <w:rPr>
          <w:lang w:val="en-US"/>
        </w:rPr>
        <w:t xml:space="preserve">. </w:t>
      </w:r>
      <w:r w:rsidRPr="00A443E2">
        <w:rPr>
          <w:lang w:val="en-US"/>
        </w:rPr>
        <w:t xml:space="preserve">Steps in all sections except 2.1, </w:t>
      </w:r>
      <w:sdt>
        <w:sdtPr>
          <w:tag w:val="goog_rdk_3"/>
          <w:id w:val="-1132755348"/>
        </w:sdtPr>
        <w:sdtContent/>
      </w:sdt>
      <w:r w:rsidRPr="00A443E2">
        <w:rPr>
          <w:lang w:val="en-US"/>
        </w:rPr>
        <w:t>2.3, and 2.6 are specific to this instrument, its accessories, and its software; thus, the workflow may not be directly transferable to other multichannel pipetting systems.</w:t>
      </w:r>
    </w:p>
    <w:p w14:paraId="0743B8C2" w14:textId="77777777" w:rsidR="001D7B03" w:rsidRPr="00A443E2" w:rsidRDefault="001D7B03" w:rsidP="00A443E2">
      <w:pPr>
        <w:rPr>
          <w:lang w:val="en-US"/>
        </w:rPr>
      </w:pPr>
    </w:p>
    <w:p w14:paraId="4C1390EA" w14:textId="77777777" w:rsidR="001D7B03" w:rsidRPr="00F00E41" w:rsidRDefault="00000000" w:rsidP="00A443E2">
      <w:pPr>
        <w:numPr>
          <w:ilvl w:val="1"/>
          <w:numId w:val="1"/>
        </w:numPr>
        <w:pBdr>
          <w:top w:val="nil"/>
          <w:left w:val="nil"/>
          <w:bottom w:val="nil"/>
          <w:right w:val="nil"/>
          <w:between w:val="nil"/>
        </w:pBdr>
        <w:ind w:left="0" w:firstLine="0"/>
        <w:rPr>
          <w:color w:val="000000"/>
        </w:rPr>
      </w:pPr>
      <w:r w:rsidRPr="00F00E41">
        <w:rPr>
          <w:color w:val="000000"/>
        </w:rPr>
        <w:t>Optional: fabrication of modified needle tips for medium-intensity FSS application</w:t>
      </w:r>
    </w:p>
    <w:p w14:paraId="3E38C849" w14:textId="77777777" w:rsidR="00745B5A" w:rsidRPr="00A443E2" w:rsidRDefault="00745B5A" w:rsidP="00A443E2">
      <w:pPr>
        <w:pBdr>
          <w:top w:val="nil"/>
          <w:left w:val="nil"/>
          <w:bottom w:val="nil"/>
          <w:right w:val="nil"/>
          <w:between w:val="nil"/>
        </w:pBdr>
        <w:rPr>
          <w:b/>
          <w:bCs/>
          <w:color w:val="000000"/>
        </w:rPr>
      </w:pPr>
    </w:p>
    <w:p w14:paraId="348ABAC2" w14:textId="37B6D44F" w:rsidR="00745B5A" w:rsidRPr="00A443E2" w:rsidRDefault="00000000" w:rsidP="00A443E2">
      <w:r w:rsidRPr="00A443E2">
        <w:t>PAUSE POINT: Complete steps 2.1.1</w:t>
      </w:r>
      <w:r w:rsidRPr="00A443E2">
        <w:rPr>
          <w:color w:val="000000" w:themeColor="text1"/>
        </w:rPr>
        <w:t>–</w:t>
      </w:r>
      <w:r w:rsidRPr="00A443E2">
        <w:t>2.1.8 at least one day prior to the experiment. Autoclaving (step 2.1.9) can be done in advance or on the day of the experiment.</w:t>
      </w:r>
    </w:p>
    <w:p w14:paraId="65FAC60C" w14:textId="77777777" w:rsidR="005E15D8" w:rsidRPr="00A443E2" w:rsidRDefault="005E15D8" w:rsidP="00A443E2"/>
    <w:p w14:paraId="12A70F01" w14:textId="77777777" w:rsidR="00E21341"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lang w:val="en-US"/>
        </w:rPr>
        <w:t>Using a pipe cutter, cut “long” 300 µL pipette tips at the marking that separates the straight tube length from the tapered tip length.</w:t>
      </w:r>
    </w:p>
    <w:p w14:paraId="16D88A47" w14:textId="77777777" w:rsidR="00E21341" w:rsidRDefault="00E21341" w:rsidP="00E21341">
      <w:pPr>
        <w:pBdr>
          <w:top w:val="nil"/>
          <w:left w:val="nil"/>
          <w:bottom w:val="nil"/>
          <w:right w:val="nil"/>
          <w:between w:val="nil"/>
        </w:pBdr>
        <w:rPr>
          <w:color w:val="000000"/>
          <w:lang w:val="en-US"/>
        </w:rPr>
      </w:pPr>
    </w:p>
    <w:p w14:paraId="3608BC7A" w14:textId="130B8003" w:rsidR="001D7B03" w:rsidRPr="00A443E2" w:rsidRDefault="00000000" w:rsidP="00E21341">
      <w:pPr>
        <w:pBdr>
          <w:top w:val="nil"/>
          <w:left w:val="nil"/>
          <w:bottom w:val="nil"/>
          <w:right w:val="nil"/>
          <w:between w:val="nil"/>
        </w:pBdr>
        <w:rPr>
          <w:color w:val="000000"/>
          <w:lang w:val="en-US"/>
        </w:rPr>
      </w:pPr>
      <w:r w:rsidRPr="00A443E2">
        <w:rPr>
          <w:color w:val="000000"/>
          <w:lang w:val="en-US"/>
        </w:rPr>
        <w:t xml:space="preserve">NOTE: See </w:t>
      </w:r>
      <w:r w:rsidRPr="00A443E2">
        <w:rPr>
          <w:b/>
          <w:bCs/>
          <w:color w:val="000000"/>
          <w:lang w:val="en-US"/>
        </w:rPr>
        <w:t xml:space="preserve">Figure </w:t>
      </w:r>
      <w:r w:rsidRPr="00A443E2">
        <w:rPr>
          <w:b/>
          <w:bCs/>
          <w:lang w:val="en-US"/>
        </w:rPr>
        <w:t>2</w:t>
      </w:r>
      <w:r w:rsidRPr="00A443E2">
        <w:rPr>
          <w:lang w:val="en-US"/>
        </w:rPr>
        <w:t xml:space="preserve"> </w:t>
      </w:r>
      <w:r w:rsidRPr="00A443E2">
        <w:rPr>
          <w:color w:val="000000"/>
          <w:lang w:val="en-US"/>
        </w:rPr>
        <w:t>for a visual reference of the cut site and step-by-step pictorial guides for the remainder of this section.</w:t>
      </w:r>
    </w:p>
    <w:p w14:paraId="6FE8CE11" w14:textId="77777777" w:rsidR="005E15D8" w:rsidRPr="00A443E2" w:rsidRDefault="005E15D8" w:rsidP="00A443E2">
      <w:pPr>
        <w:pBdr>
          <w:top w:val="nil"/>
          <w:left w:val="nil"/>
          <w:bottom w:val="nil"/>
          <w:right w:val="nil"/>
          <w:between w:val="nil"/>
        </w:pBdr>
        <w:rPr>
          <w:color w:val="000000"/>
          <w:lang w:val="en-US"/>
        </w:rPr>
      </w:pPr>
    </w:p>
    <w:p w14:paraId="08336E17"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themeColor="text1"/>
          <w:lang w:val="en-US"/>
        </w:rPr>
        <w:t>Slide a silicone O-ring (5 mm outer diameter and 2 mm inner diameter) onto the cropped tip, positioning it at least 2.5 cm above the cut end.</w:t>
      </w:r>
    </w:p>
    <w:p w14:paraId="07BBC9CB" w14:textId="77777777" w:rsidR="005E15D8" w:rsidRPr="00A443E2" w:rsidRDefault="005E15D8" w:rsidP="00A443E2">
      <w:pPr>
        <w:pStyle w:val="ListParagraph"/>
        <w:ind w:left="0"/>
      </w:pPr>
    </w:p>
    <w:p w14:paraId="3605C1AA" w14:textId="77777777" w:rsidR="00E21341" w:rsidRPr="00E21341"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themeColor="text1"/>
          <w:lang w:val="en-US"/>
        </w:rPr>
        <w:t>Prepare a fresh epoxy mixture at a 1:1 ratio of both epoxy pastes per the manufacturer’s instructions. Proceed promptly with subsequent steps, as the working time is approximately 15 min.</w:t>
      </w:r>
    </w:p>
    <w:p w14:paraId="47F5D9F3" w14:textId="77777777" w:rsidR="00E21341" w:rsidRDefault="00E21341" w:rsidP="00E21341">
      <w:pPr>
        <w:pStyle w:val="ListParagraph"/>
        <w:rPr>
          <w:color w:val="000000" w:themeColor="text1"/>
          <w:lang w:val="en-US"/>
        </w:rPr>
      </w:pPr>
    </w:p>
    <w:p w14:paraId="38130CB2" w14:textId="7E9505A0" w:rsidR="001D7B03" w:rsidRPr="00A443E2" w:rsidRDefault="00000000" w:rsidP="00E21341">
      <w:pPr>
        <w:pBdr>
          <w:top w:val="nil"/>
          <w:left w:val="nil"/>
          <w:bottom w:val="nil"/>
          <w:right w:val="nil"/>
          <w:between w:val="nil"/>
        </w:pBdr>
        <w:rPr>
          <w:color w:val="000000"/>
          <w:lang w:val="en-US"/>
        </w:rPr>
      </w:pPr>
      <w:r w:rsidRPr="00A443E2">
        <w:rPr>
          <w:color w:val="000000" w:themeColor="text1"/>
          <w:lang w:val="en-US"/>
        </w:rPr>
        <w:t xml:space="preserve"> NOTE: For large batches, prepare additional epoxy mid-fabrication as needed.</w:t>
      </w:r>
    </w:p>
    <w:p w14:paraId="534BA7F7" w14:textId="77777777" w:rsidR="005E15D8" w:rsidRPr="00A443E2" w:rsidRDefault="005E15D8" w:rsidP="00A443E2">
      <w:pPr>
        <w:pBdr>
          <w:top w:val="nil"/>
          <w:left w:val="nil"/>
          <w:bottom w:val="nil"/>
          <w:right w:val="nil"/>
          <w:between w:val="nil"/>
        </w:pBdr>
        <w:rPr>
          <w:color w:val="000000"/>
          <w:lang w:val="en-US"/>
        </w:rPr>
      </w:pPr>
    </w:p>
    <w:p w14:paraId="4DDAE62D"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lang w:val="en-US"/>
        </w:rPr>
        <w:t>Apply activated epoxy to the outer lower 0.75 cm of the tip. Avoid coating the O-ring or allowing epoxy to contact the inner surface of the tip.</w:t>
      </w:r>
    </w:p>
    <w:p w14:paraId="2EA926E6" w14:textId="77777777" w:rsidR="005E15D8" w:rsidRPr="00A443E2" w:rsidRDefault="005E15D8" w:rsidP="00A443E2">
      <w:pPr>
        <w:pStyle w:val="ListParagraph"/>
        <w:ind w:left="0"/>
      </w:pPr>
    </w:p>
    <w:p w14:paraId="61BD1A32"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Slide a 22 G needle hub over the epoxy-coated end of the tip.</w:t>
      </w:r>
    </w:p>
    <w:p w14:paraId="3689DD67" w14:textId="77777777" w:rsidR="005E15D8" w:rsidRPr="00A443E2" w:rsidRDefault="005E15D8" w:rsidP="00A443E2">
      <w:pPr>
        <w:pBdr>
          <w:top w:val="nil"/>
          <w:left w:val="nil"/>
          <w:bottom w:val="nil"/>
          <w:right w:val="nil"/>
          <w:between w:val="nil"/>
        </w:pBdr>
      </w:pPr>
    </w:p>
    <w:p w14:paraId="2EA2E5CE"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Roll the O-ring down to seal the cavity between the 22 G needle hub and the pipette tip.</w:t>
      </w:r>
    </w:p>
    <w:p w14:paraId="5CDF1FDA" w14:textId="77777777" w:rsidR="005E15D8" w:rsidRPr="00A443E2" w:rsidRDefault="005E15D8" w:rsidP="00A443E2">
      <w:pPr>
        <w:pBdr>
          <w:top w:val="nil"/>
          <w:left w:val="nil"/>
          <w:bottom w:val="nil"/>
          <w:right w:val="nil"/>
          <w:between w:val="nil"/>
        </w:pBdr>
      </w:pPr>
    </w:p>
    <w:p w14:paraId="668015E0" w14:textId="77777777" w:rsidR="005351D4" w:rsidRPr="005351D4"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themeColor="text1"/>
          <w:lang w:val="en-US"/>
        </w:rPr>
        <w:t>Apply a small layer of cyanoacrylate adhesive over the O-ring to eliminate any remaining air pockets. Avoid applying excess adhesive that may drip onto the needle.</w:t>
      </w:r>
    </w:p>
    <w:p w14:paraId="6EAC10D0" w14:textId="77777777" w:rsidR="005351D4" w:rsidRDefault="005351D4" w:rsidP="005351D4">
      <w:pPr>
        <w:pStyle w:val="ListParagraph"/>
        <w:rPr>
          <w:color w:val="000000" w:themeColor="text1"/>
          <w:lang w:val="en-US"/>
        </w:rPr>
      </w:pPr>
    </w:p>
    <w:p w14:paraId="3A56CA0E" w14:textId="208D4440" w:rsidR="001D7B03" w:rsidRPr="00A443E2" w:rsidRDefault="00000000" w:rsidP="005351D4">
      <w:pPr>
        <w:pBdr>
          <w:top w:val="nil"/>
          <w:left w:val="nil"/>
          <w:bottom w:val="nil"/>
          <w:right w:val="nil"/>
          <w:between w:val="nil"/>
        </w:pBdr>
        <w:rPr>
          <w:color w:val="000000"/>
          <w:lang w:val="en-US"/>
        </w:rPr>
      </w:pPr>
      <w:r w:rsidRPr="00A443E2">
        <w:rPr>
          <w:color w:val="000000" w:themeColor="text1"/>
          <w:lang w:val="en-US"/>
        </w:rPr>
        <w:t xml:space="preserve"> NOTE: A syringe may be used to dispense the adhesive with greater precision.</w:t>
      </w:r>
    </w:p>
    <w:p w14:paraId="184D1BBD" w14:textId="77777777" w:rsidR="005E15D8" w:rsidRPr="00A443E2" w:rsidRDefault="005E15D8" w:rsidP="00A443E2">
      <w:pPr>
        <w:pBdr>
          <w:top w:val="nil"/>
          <w:left w:val="nil"/>
          <w:bottom w:val="nil"/>
          <w:right w:val="nil"/>
          <w:between w:val="nil"/>
        </w:pBdr>
        <w:rPr>
          <w:color w:val="000000"/>
          <w:lang w:val="en-US"/>
        </w:rPr>
      </w:pPr>
    </w:p>
    <w:p w14:paraId="2E925A19"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Allow the assembled needles to dry overnight at room temperature. </w:t>
      </w:r>
    </w:p>
    <w:p w14:paraId="5B6419B7" w14:textId="77777777" w:rsidR="005E15D8" w:rsidRPr="00A443E2" w:rsidRDefault="005E15D8" w:rsidP="00A443E2">
      <w:pPr>
        <w:pBdr>
          <w:top w:val="nil"/>
          <w:left w:val="nil"/>
          <w:bottom w:val="nil"/>
          <w:right w:val="nil"/>
          <w:between w:val="nil"/>
        </w:pBdr>
      </w:pPr>
    </w:p>
    <w:p w14:paraId="74CE917D" w14:textId="77777777" w:rsidR="005351D4" w:rsidRPr="005351D4" w:rsidRDefault="00000000" w:rsidP="00A443E2">
      <w:pPr>
        <w:numPr>
          <w:ilvl w:val="2"/>
          <w:numId w:val="1"/>
        </w:numPr>
        <w:pBdr>
          <w:top w:val="nil"/>
          <w:left w:val="nil"/>
          <w:bottom w:val="nil"/>
          <w:right w:val="nil"/>
          <w:between w:val="nil"/>
        </w:pBdr>
        <w:ind w:left="0" w:firstLine="0"/>
      </w:pPr>
      <w:r w:rsidRPr="00A443E2">
        <w:rPr>
          <w:color w:val="000000" w:themeColor="text1"/>
          <w:lang w:val="en-US"/>
        </w:rPr>
        <w:t>Prior to use, autoclave the assembled needles using a standard gravity cycle appropriate for plasticware (e.g., 121 °C and 15 psi for 20 min, followed by a 30 min drying phase).</w:t>
      </w:r>
    </w:p>
    <w:p w14:paraId="3889214C" w14:textId="77777777" w:rsidR="005351D4" w:rsidRDefault="005351D4" w:rsidP="005351D4">
      <w:pPr>
        <w:pStyle w:val="ListParagraph"/>
        <w:rPr>
          <w:color w:val="000000" w:themeColor="text1"/>
          <w:lang w:val="en-US"/>
        </w:rPr>
      </w:pPr>
    </w:p>
    <w:p w14:paraId="3F9730D9" w14:textId="4B78CFF4" w:rsidR="001D7B03" w:rsidRPr="00A443E2" w:rsidRDefault="00000000" w:rsidP="005351D4">
      <w:pPr>
        <w:pBdr>
          <w:top w:val="nil"/>
          <w:left w:val="nil"/>
          <w:bottom w:val="nil"/>
          <w:right w:val="nil"/>
          <w:between w:val="nil"/>
        </w:pBdr>
      </w:pPr>
      <w:r w:rsidRPr="00A443E2">
        <w:rPr>
          <w:color w:val="000000" w:themeColor="text1"/>
          <w:lang w:val="en-US"/>
        </w:rPr>
        <w:t xml:space="preserve"> NOTE: Rinse autoclaved needles with 70% ethanol, then PBS, before and after every use. Assembled needles may be autoclaved and reused up to ten times or until the modified needle tips demonstrate reduced aspiration.</w:t>
      </w:r>
    </w:p>
    <w:p w14:paraId="2639BE6A" w14:textId="77777777" w:rsidR="001D7B03" w:rsidRPr="006B666E" w:rsidRDefault="001D7B03" w:rsidP="00A443E2">
      <w:pPr>
        <w:pBdr>
          <w:top w:val="nil"/>
          <w:left w:val="nil"/>
          <w:bottom w:val="nil"/>
          <w:right w:val="nil"/>
          <w:between w:val="nil"/>
        </w:pBdr>
      </w:pPr>
    </w:p>
    <w:p w14:paraId="104AAA39" w14:textId="77777777" w:rsidR="001D7B03" w:rsidRPr="00A443E2" w:rsidRDefault="00000000" w:rsidP="00A443E2">
      <w:pPr>
        <w:numPr>
          <w:ilvl w:val="1"/>
          <w:numId w:val="1"/>
        </w:numPr>
        <w:pBdr>
          <w:top w:val="nil"/>
          <w:left w:val="nil"/>
          <w:bottom w:val="nil"/>
          <w:right w:val="nil"/>
          <w:between w:val="nil"/>
        </w:pBdr>
        <w:ind w:left="0" w:firstLine="0"/>
        <w:rPr>
          <w:b/>
          <w:bCs/>
          <w:color w:val="000000"/>
        </w:rPr>
      </w:pPr>
      <w:r w:rsidRPr="006B666E">
        <w:rPr>
          <w:color w:val="000000" w:themeColor="text1"/>
        </w:rPr>
        <w:t>Multichannel pipettor protocol programming</w:t>
      </w:r>
    </w:p>
    <w:p w14:paraId="192D45CE" w14:textId="77777777" w:rsidR="005E15D8" w:rsidRPr="00A443E2" w:rsidRDefault="005E15D8" w:rsidP="00A443E2">
      <w:pPr>
        <w:pBdr>
          <w:top w:val="nil"/>
          <w:left w:val="nil"/>
          <w:bottom w:val="nil"/>
          <w:right w:val="nil"/>
          <w:between w:val="nil"/>
        </w:pBdr>
        <w:rPr>
          <w:b/>
          <w:bCs/>
          <w:color w:val="000000"/>
        </w:rPr>
      </w:pPr>
    </w:p>
    <w:p w14:paraId="5CCD724F" w14:textId="536497FA" w:rsidR="005E15D8" w:rsidRPr="00A443E2" w:rsidRDefault="00000000" w:rsidP="00A443E2">
      <w:pPr>
        <w:pBdr>
          <w:top w:val="nil"/>
          <w:left w:val="nil"/>
          <w:bottom w:val="nil"/>
          <w:right w:val="nil"/>
          <w:between w:val="nil"/>
        </w:pBdr>
      </w:pPr>
      <w:r w:rsidRPr="00A443E2">
        <w:t xml:space="preserve">PAUSE POINT: Protocol programming may be completed in advance of the experimental day. </w:t>
      </w:r>
    </w:p>
    <w:p w14:paraId="1B171391" w14:textId="77777777" w:rsidR="005E15D8" w:rsidRPr="00A443E2" w:rsidRDefault="005E15D8" w:rsidP="00A443E2">
      <w:pPr>
        <w:pBdr>
          <w:top w:val="nil"/>
          <w:left w:val="nil"/>
          <w:bottom w:val="nil"/>
          <w:right w:val="nil"/>
          <w:between w:val="nil"/>
        </w:pBdr>
      </w:pPr>
    </w:p>
    <w:p w14:paraId="3B55B127" w14:textId="77777777" w:rsidR="005351D4" w:rsidRPr="005351D4" w:rsidRDefault="00000000" w:rsidP="00A443E2">
      <w:pPr>
        <w:numPr>
          <w:ilvl w:val="2"/>
          <w:numId w:val="1"/>
        </w:numPr>
        <w:pBdr>
          <w:top w:val="nil"/>
          <w:left w:val="nil"/>
          <w:bottom w:val="nil"/>
          <w:right w:val="nil"/>
          <w:between w:val="nil"/>
        </w:pBdr>
        <w:ind w:left="0" w:firstLine="0"/>
        <w:rPr>
          <w:rFonts w:eastAsia="Arial"/>
          <w:color w:val="000000"/>
        </w:rPr>
      </w:pPr>
      <w:r w:rsidRPr="00A443E2">
        <w:rPr>
          <w:color w:val="000000" w:themeColor="text1"/>
          <w:lang w:val="en-US"/>
        </w:rPr>
        <w:t xml:space="preserve">Using </w:t>
      </w:r>
      <w:r w:rsidRPr="00A443E2">
        <w:rPr>
          <w:b/>
          <w:bCs/>
          <w:color w:val="000000" w:themeColor="text1"/>
          <w:lang w:val="en-US"/>
        </w:rPr>
        <w:t>Table 2</w:t>
      </w:r>
      <w:r w:rsidRPr="00A443E2">
        <w:rPr>
          <w:color w:val="000000" w:themeColor="text1"/>
          <w:lang w:val="en-US"/>
        </w:rPr>
        <w:t>, identify the instrument speed setting/flow rate corresponding to the desired average FSS magnitude, temperature, and tip type for the experiment.</w:t>
      </w:r>
    </w:p>
    <w:p w14:paraId="5D52D809" w14:textId="77777777" w:rsidR="005351D4" w:rsidRPr="005351D4" w:rsidRDefault="005351D4" w:rsidP="006350E1">
      <w:pPr>
        <w:pBdr>
          <w:top w:val="nil"/>
          <w:left w:val="nil"/>
          <w:bottom w:val="nil"/>
          <w:right w:val="nil"/>
          <w:between w:val="nil"/>
        </w:pBdr>
        <w:rPr>
          <w:rFonts w:eastAsia="Arial"/>
          <w:color w:val="000000"/>
        </w:rPr>
      </w:pPr>
    </w:p>
    <w:p w14:paraId="5AD8A8F5" w14:textId="7BFB3BDF" w:rsidR="001D7B03" w:rsidRPr="00A443E2" w:rsidRDefault="00000000" w:rsidP="005351D4">
      <w:pPr>
        <w:pBdr>
          <w:top w:val="nil"/>
          <w:left w:val="nil"/>
          <w:bottom w:val="nil"/>
          <w:right w:val="nil"/>
          <w:between w:val="nil"/>
        </w:pBdr>
        <w:rPr>
          <w:rFonts w:eastAsia="Arial"/>
          <w:color w:val="000000"/>
        </w:rPr>
      </w:pPr>
      <w:r w:rsidRPr="00A443E2">
        <w:rPr>
          <w:color w:val="000000" w:themeColor="text1"/>
          <w:lang w:val="en-US"/>
        </w:rPr>
        <w:t xml:space="preserve">NOTE: Refer to Fabiano </w:t>
      </w:r>
      <w:r w:rsidRPr="00A443E2">
        <w:rPr>
          <w:i/>
          <w:iCs/>
          <w:color w:val="000000" w:themeColor="text1"/>
          <w:lang w:val="en-US"/>
        </w:rPr>
        <w:t>et al.</w:t>
      </w:r>
      <w:sdt>
        <w:sdtPr>
          <w:rPr>
            <w:i/>
            <w:iCs/>
            <w:color w:val="000000" w:themeColor="text1"/>
            <w:lang w:val="en-US"/>
          </w:rPr>
          <w:alias w:val="SmartCite Citation"/>
          <w:tag w:val="a9e2a68d-fe3b-412d-8c06-1ac3ca305ac6:e9a6856c-ea42-49a0-9fa0-6a7aa260793a+{&quot;a9e2a68d-fe3b-412d-8c06-1ac3ca305ac6:e9a6856c-ea42-49a0-9fa0-6a7aa260793a&quot;:{&quot;doi&quot;:&quot;10.1038/s42003-024-06327-x&quot;}}"/>
          <w:id w:val="1800497554"/>
          <w:placeholder>
            <w:docPart w:val="584DED1E96E24F87B76C7641B62D0D3A"/>
          </w:placeholder>
        </w:sdtPr>
        <w:sdtContent>
          <w:r w:rsidRPr="00A443E2">
            <w:rPr>
              <w:rFonts w:eastAsia="Times New Roman"/>
              <w:vertAlign w:val="superscript"/>
            </w:rPr>
            <w:t>31</w:t>
          </w:r>
        </w:sdtContent>
      </w:sdt>
      <w:r w:rsidRPr="00A443E2">
        <w:rPr>
          <w:color w:val="000000" w:themeColor="text1"/>
          <w:lang w:val="en-US"/>
        </w:rPr>
        <w:t xml:space="preserve"> for a detailed description of the transient FSS dynamics exerted on cells at various points in both pipette tip geometries.</w:t>
      </w:r>
    </w:p>
    <w:p w14:paraId="7523B9D1" w14:textId="77777777" w:rsidR="005E15D8" w:rsidRPr="00A443E2" w:rsidRDefault="005E15D8" w:rsidP="00A443E2">
      <w:pPr>
        <w:pBdr>
          <w:top w:val="nil"/>
          <w:left w:val="nil"/>
          <w:bottom w:val="nil"/>
          <w:right w:val="nil"/>
          <w:between w:val="nil"/>
        </w:pBdr>
        <w:rPr>
          <w:rFonts w:eastAsia="Arial"/>
          <w:color w:val="000000"/>
        </w:rPr>
      </w:pPr>
    </w:p>
    <w:p w14:paraId="7ABBFE88" w14:textId="77777777" w:rsidR="006350E1" w:rsidRDefault="00000000" w:rsidP="006350E1">
      <w:pPr>
        <w:numPr>
          <w:ilvl w:val="2"/>
          <w:numId w:val="1"/>
        </w:numPr>
        <w:pBdr>
          <w:top w:val="nil"/>
          <w:left w:val="nil"/>
          <w:bottom w:val="nil"/>
          <w:right w:val="nil"/>
          <w:between w:val="nil"/>
        </w:pBdr>
        <w:ind w:left="0" w:firstLine="0"/>
        <w:rPr>
          <w:color w:val="000000"/>
          <w:lang w:val="en-US"/>
        </w:rPr>
      </w:pPr>
      <w:r w:rsidRPr="00A443E2">
        <w:rPr>
          <w:color w:val="000000" w:themeColor="text1"/>
          <w:lang w:val="en-US"/>
        </w:rPr>
        <w:t>Program a custom aspiration-dispense (“Pipet/Mix”) protocol on the instrument at the selected run speed using companion software or directly on the instrument. If using pipettor companion software, export the finalized program to the instrument and verify all parameters on the instrument before proceeding.</w:t>
      </w:r>
    </w:p>
    <w:p w14:paraId="5E42099D" w14:textId="77777777" w:rsidR="006350E1" w:rsidRDefault="006350E1" w:rsidP="006350E1">
      <w:pPr>
        <w:pBdr>
          <w:top w:val="nil"/>
          <w:left w:val="nil"/>
          <w:bottom w:val="nil"/>
          <w:right w:val="nil"/>
          <w:between w:val="nil"/>
        </w:pBdr>
        <w:rPr>
          <w:color w:val="000000"/>
          <w:lang w:val="en-US"/>
        </w:rPr>
      </w:pPr>
    </w:p>
    <w:p w14:paraId="44D6AE0C" w14:textId="6DCEA58B" w:rsidR="001D7B03" w:rsidRPr="006350E1" w:rsidRDefault="00000000" w:rsidP="006350E1">
      <w:pPr>
        <w:pBdr>
          <w:top w:val="nil"/>
          <w:left w:val="nil"/>
          <w:bottom w:val="nil"/>
          <w:right w:val="nil"/>
          <w:between w:val="nil"/>
        </w:pBdr>
        <w:rPr>
          <w:color w:val="000000"/>
          <w:lang w:val="en-US"/>
        </w:rPr>
      </w:pPr>
      <w:r w:rsidRPr="006350E1">
        <w:rPr>
          <w:color w:val="000000" w:themeColor="text1"/>
          <w:lang w:val="en-US"/>
        </w:rPr>
        <w:t>NOTE: Refer to the manufacturer's documentation for detailed instructions on program assembly. An example program outline for immortalize</w:t>
      </w:r>
      <w:r w:rsidRPr="006350E1">
        <w:rPr>
          <w:lang w:val="en-US"/>
        </w:rPr>
        <w:t>d (</w:t>
      </w:r>
      <w:r w:rsidRPr="006350E1">
        <w:rPr>
          <w:color w:val="000000" w:themeColor="text1"/>
          <w:lang w:val="en-US"/>
        </w:rPr>
        <w:t xml:space="preserve">Jurkat) and primary human T cells is provided in </w:t>
      </w:r>
      <w:r w:rsidRPr="006350E1">
        <w:rPr>
          <w:b/>
          <w:bCs/>
          <w:color w:val="000000" w:themeColor="text1"/>
          <w:lang w:val="en-US"/>
        </w:rPr>
        <w:t>Supplementary Table 1</w:t>
      </w:r>
      <w:r w:rsidRPr="006350E1">
        <w:rPr>
          <w:color w:val="000000" w:themeColor="text1"/>
          <w:lang w:val="en-US"/>
        </w:rPr>
        <w:t xml:space="preserve">. </w:t>
      </w:r>
    </w:p>
    <w:p w14:paraId="7ADFE38A" w14:textId="77777777" w:rsidR="001D7B03" w:rsidRPr="00A443E2" w:rsidRDefault="001D7B03" w:rsidP="00A443E2">
      <w:pPr>
        <w:pBdr>
          <w:top w:val="nil"/>
          <w:left w:val="nil"/>
          <w:bottom w:val="nil"/>
          <w:right w:val="nil"/>
          <w:between w:val="nil"/>
        </w:pBdr>
        <w:rPr>
          <w:color w:val="000000"/>
          <w:lang w:val="en-US"/>
        </w:rPr>
      </w:pPr>
    </w:p>
    <w:p w14:paraId="7A291586" w14:textId="77777777" w:rsidR="001D7B03" w:rsidRPr="006B666E" w:rsidRDefault="00000000" w:rsidP="00A443E2">
      <w:pPr>
        <w:numPr>
          <w:ilvl w:val="1"/>
          <w:numId w:val="1"/>
        </w:numPr>
        <w:pBdr>
          <w:top w:val="nil"/>
          <w:left w:val="nil"/>
          <w:bottom w:val="nil"/>
          <w:right w:val="nil"/>
          <w:between w:val="nil"/>
        </w:pBdr>
        <w:ind w:left="0" w:firstLine="0"/>
        <w:rPr>
          <w:color w:val="000000"/>
        </w:rPr>
      </w:pPr>
      <w:r w:rsidRPr="006B666E">
        <w:rPr>
          <w:color w:val="000000"/>
        </w:rPr>
        <w:t>Optional: primary cell isolation and differentiation</w:t>
      </w:r>
    </w:p>
    <w:p w14:paraId="1886193E" w14:textId="77777777" w:rsidR="009A5427" w:rsidRPr="00A443E2" w:rsidRDefault="009A5427" w:rsidP="00A443E2">
      <w:pPr>
        <w:pBdr>
          <w:top w:val="nil"/>
          <w:left w:val="nil"/>
          <w:bottom w:val="nil"/>
          <w:right w:val="nil"/>
          <w:between w:val="nil"/>
        </w:pBdr>
        <w:rPr>
          <w:b/>
          <w:bCs/>
          <w:color w:val="000000"/>
        </w:rPr>
      </w:pPr>
    </w:p>
    <w:p w14:paraId="27E87595" w14:textId="77777777" w:rsidR="00AC522F"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lang w:val="en-US"/>
        </w:rPr>
        <w:t xml:space="preserve">If using primary cells, isolate and, if applicable, differentiate cells of interest using the preferred method before advancing to section 2.4. </w:t>
      </w:r>
    </w:p>
    <w:p w14:paraId="5F75BDBA" w14:textId="77777777" w:rsidR="009A3F3B" w:rsidRDefault="009A3F3B" w:rsidP="009A3F3B">
      <w:pPr>
        <w:pBdr>
          <w:top w:val="nil"/>
          <w:left w:val="nil"/>
          <w:bottom w:val="nil"/>
          <w:right w:val="nil"/>
          <w:between w:val="nil"/>
        </w:pBdr>
        <w:rPr>
          <w:color w:val="000000"/>
          <w:lang w:val="en-US"/>
        </w:rPr>
      </w:pPr>
    </w:p>
    <w:p w14:paraId="152BA134" w14:textId="3F4F4779" w:rsidR="001D7B03" w:rsidRPr="00A443E2" w:rsidRDefault="00000000" w:rsidP="009A3F3B">
      <w:pPr>
        <w:pBdr>
          <w:top w:val="nil"/>
          <w:left w:val="nil"/>
          <w:bottom w:val="nil"/>
          <w:right w:val="nil"/>
          <w:between w:val="nil"/>
        </w:pBdr>
        <w:rPr>
          <w:color w:val="000000"/>
          <w:lang w:val="en-US"/>
        </w:rPr>
      </w:pPr>
      <w:r w:rsidRPr="00A443E2">
        <w:rPr>
          <w:color w:val="000000"/>
          <w:lang w:val="en-US"/>
        </w:rPr>
        <w:t>PAUSE POINT: Isolated cells may be stored overnight under appropriate conditions.</w:t>
      </w:r>
    </w:p>
    <w:p w14:paraId="45D4148B" w14:textId="77777777" w:rsidR="001D7B03" w:rsidRPr="00A443E2" w:rsidRDefault="001D7B03" w:rsidP="00A443E2">
      <w:pPr>
        <w:pBdr>
          <w:top w:val="nil"/>
          <w:left w:val="nil"/>
          <w:bottom w:val="nil"/>
          <w:right w:val="nil"/>
          <w:between w:val="nil"/>
        </w:pBdr>
        <w:rPr>
          <w:color w:val="000000"/>
          <w:lang w:val="en-US"/>
        </w:rPr>
      </w:pPr>
    </w:p>
    <w:p w14:paraId="7424EB5D" w14:textId="77777777" w:rsidR="001D7B03" w:rsidRPr="000A0C49" w:rsidRDefault="00000000" w:rsidP="00A443E2">
      <w:pPr>
        <w:numPr>
          <w:ilvl w:val="1"/>
          <w:numId w:val="1"/>
        </w:numPr>
        <w:pBdr>
          <w:top w:val="nil"/>
          <w:left w:val="nil"/>
          <w:bottom w:val="nil"/>
          <w:right w:val="nil"/>
          <w:between w:val="nil"/>
        </w:pBdr>
        <w:ind w:left="0" w:firstLine="0"/>
        <w:rPr>
          <w:color w:val="000000"/>
          <w:highlight w:val="yellow"/>
        </w:rPr>
      </w:pPr>
      <w:r w:rsidRPr="000A0C49">
        <w:rPr>
          <w:color w:val="000000" w:themeColor="text1"/>
          <w:highlight w:val="yellow"/>
        </w:rPr>
        <w:t>Multichannel pipettor device setup</w:t>
      </w:r>
    </w:p>
    <w:p w14:paraId="5E70ECE1" w14:textId="77777777" w:rsidR="009A5427" w:rsidRPr="000A0C49" w:rsidRDefault="009A5427" w:rsidP="00A443E2">
      <w:pPr>
        <w:pBdr>
          <w:top w:val="nil"/>
          <w:left w:val="nil"/>
          <w:bottom w:val="nil"/>
          <w:right w:val="nil"/>
          <w:between w:val="nil"/>
        </w:pBdr>
        <w:rPr>
          <w:b/>
          <w:bCs/>
          <w:color w:val="000000"/>
          <w:highlight w:val="yellow"/>
        </w:rPr>
      </w:pPr>
    </w:p>
    <w:p w14:paraId="47664AF1"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themeColor="text1"/>
          <w:highlight w:val="yellow"/>
        </w:rPr>
        <w:t>Power on the multichannel pipettor device.</w:t>
      </w:r>
    </w:p>
    <w:p w14:paraId="55CF5E8C" w14:textId="77777777" w:rsidR="009A5427" w:rsidRPr="000A0C49" w:rsidRDefault="009A5427" w:rsidP="00A443E2">
      <w:pPr>
        <w:pBdr>
          <w:top w:val="nil"/>
          <w:left w:val="nil"/>
          <w:bottom w:val="nil"/>
          <w:right w:val="nil"/>
          <w:between w:val="nil"/>
        </w:pBdr>
        <w:rPr>
          <w:highlight w:val="yellow"/>
        </w:rPr>
      </w:pPr>
    </w:p>
    <w:p w14:paraId="3A55D8A4"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Manually attach the desired tips (either sterile, unmodified “long” tips or autoclaved modified needle tips from step 2.1) to the desired channels of the pipette head.</w:t>
      </w:r>
    </w:p>
    <w:p w14:paraId="2D5179E0" w14:textId="77777777" w:rsidR="009A5427" w:rsidRPr="000A0C49" w:rsidRDefault="009A5427" w:rsidP="00A443E2">
      <w:pPr>
        <w:pBdr>
          <w:top w:val="nil"/>
          <w:left w:val="nil"/>
          <w:bottom w:val="nil"/>
          <w:right w:val="nil"/>
          <w:between w:val="nil"/>
        </w:pBdr>
        <w:rPr>
          <w:highlight w:val="yellow"/>
        </w:rPr>
      </w:pPr>
    </w:p>
    <w:p w14:paraId="0A64E44C"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lang w:val="en-US"/>
        </w:rPr>
        <w:t xml:space="preserve">Place a 150 µL reservoir holder and a disposable reservoir on the “B” stage. Pour 100 mL </w:t>
      </w:r>
      <w:r w:rsidRPr="000A0C49">
        <w:rPr>
          <w:color w:val="000000"/>
          <w:highlight w:val="yellow"/>
          <w:lang w:val="en-US"/>
        </w:rPr>
        <w:lastRenderedPageBreak/>
        <w:t xml:space="preserve">of PBS into the reservoir. </w:t>
      </w:r>
    </w:p>
    <w:p w14:paraId="6BEABB3C" w14:textId="77777777" w:rsidR="009A5427" w:rsidRPr="000A0C49" w:rsidRDefault="009A5427" w:rsidP="00A443E2">
      <w:pPr>
        <w:pBdr>
          <w:top w:val="nil"/>
          <w:left w:val="nil"/>
          <w:bottom w:val="nil"/>
          <w:right w:val="nil"/>
          <w:between w:val="nil"/>
        </w:pBdr>
        <w:rPr>
          <w:highlight w:val="yellow"/>
        </w:rPr>
      </w:pPr>
    </w:p>
    <w:p w14:paraId="5B96ED7B" w14:textId="5F9B06C1"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 xml:space="preserve">Using the </w:t>
      </w:r>
      <w:r w:rsidRPr="000A0C49">
        <w:rPr>
          <w:b/>
          <w:bCs/>
          <w:color w:val="000000" w:themeColor="text1"/>
          <w:highlight w:val="yellow"/>
          <w:lang w:val="en-US"/>
        </w:rPr>
        <w:t>Pipet/Mix</w:t>
      </w:r>
      <w:r w:rsidRPr="000A0C49">
        <w:rPr>
          <w:color w:val="000000" w:themeColor="text1"/>
          <w:highlight w:val="yellow"/>
          <w:lang w:val="en-US"/>
        </w:rPr>
        <w:t xml:space="preserve"> preset program, wash the tips with 1x PBS by pipetting 250 µL up and down 10 times at speed 8 (</w:t>
      </w:r>
      <w:r w:rsidRPr="000A0C49">
        <w:rPr>
          <w:b/>
          <w:bCs/>
          <w:color w:val="000000" w:themeColor="text1"/>
          <w:highlight w:val="yellow"/>
          <w:lang w:val="en-US"/>
        </w:rPr>
        <w:t>Supplementary Figure 2B</w:t>
      </w:r>
      <w:r w:rsidRPr="000A0C49">
        <w:rPr>
          <w:highlight w:val="yellow"/>
          <w:lang w:val="en-US"/>
        </w:rPr>
        <w:t>–</w:t>
      </w:r>
      <w:r w:rsidRPr="000A0C49">
        <w:rPr>
          <w:b/>
          <w:bCs/>
          <w:color w:val="000000" w:themeColor="text1"/>
          <w:highlight w:val="yellow"/>
          <w:lang w:val="en-US"/>
        </w:rPr>
        <w:t>D</w:t>
      </w:r>
      <w:r w:rsidRPr="000A0C49">
        <w:rPr>
          <w:color w:val="000000" w:themeColor="text1"/>
          <w:highlight w:val="yellow"/>
          <w:lang w:val="en-US"/>
        </w:rPr>
        <w:t xml:space="preserve">). </w:t>
      </w:r>
    </w:p>
    <w:p w14:paraId="39115E33" w14:textId="77777777" w:rsidR="009A5427" w:rsidRPr="000A0C49" w:rsidRDefault="009A5427" w:rsidP="00A443E2">
      <w:pPr>
        <w:pBdr>
          <w:top w:val="nil"/>
          <w:left w:val="nil"/>
          <w:bottom w:val="nil"/>
          <w:right w:val="nil"/>
          <w:between w:val="nil"/>
        </w:pBdr>
        <w:rPr>
          <w:color w:val="000000"/>
          <w:highlight w:val="yellow"/>
          <w:lang w:val="en-US"/>
        </w:rPr>
      </w:pPr>
    </w:p>
    <w:p w14:paraId="48217887"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highlight w:val="yellow"/>
          <w:lang w:val="en-US"/>
        </w:rPr>
        <w:t xml:space="preserve">During step 2.4.4, </w:t>
      </w:r>
      <w:r w:rsidRPr="000A0C49">
        <w:rPr>
          <w:color w:val="000000" w:themeColor="text1"/>
          <w:highlight w:val="yellow"/>
          <w:lang w:val="en-US"/>
        </w:rPr>
        <w:t>inspect all tips for adequate suction; replace any faulty tips and repeat this step until all tips are confirmed to aspirate properly and uniformly before proceeding.</w:t>
      </w:r>
    </w:p>
    <w:p w14:paraId="3F4C1644" w14:textId="77777777" w:rsidR="00CD5CCA" w:rsidRPr="000A0C49" w:rsidRDefault="00CD5CCA" w:rsidP="00A443E2">
      <w:pPr>
        <w:pBdr>
          <w:top w:val="nil"/>
          <w:left w:val="nil"/>
          <w:bottom w:val="nil"/>
          <w:right w:val="nil"/>
          <w:between w:val="nil"/>
        </w:pBdr>
        <w:rPr>
          <w:color w:val="000000"/>
          <w:highlight w:val="yellow"/>
          <w:lang w:val="en-US"/>
        </w:rPr>
      </w:pPr>
    </w:p>
    <w:p w14:paraId="47199BA6"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 xml:space="preserve">If using modified needle tips, proceed to steps 2.4.7–2.4.8. Otherwise, advance to step </w:t>
      </w:r>
    </w:p>
    <w:p w14:paraId="6BB51F6B" w14:textId="77777777" w:rsidR="00CD5CCA" w:rsidRPr="000A0C49" w:rsidRDefault="00CD5CCA" w:rsidP="00A443E2">
      <w:pPr>
        <w:pBdr>
          <w:top w:val="nil"/>
          <w:left w:val="nil"/>
          <w:bottom w:val="nil"/>
          <w:right w:val="nil"/>
          <w:between w:val="nil"/>
        </w:pBdr>
        <w:rPr>
          <w:color w:val="000000"/>
          <w:highlight w:val="yellow"/>
          <w:lang w:val="en-US"/>
        </w:rPr>
      </w:pPr>
    </w:p>
    <w:p w14:paraId="3C750985"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rPr>
      </w:pPr>
      <w:r w:rsidRPr="000A0C49">
        <w:rPr>
          <w:color w:val="000000"/>
          <w:highlight w:val="yellow"/>
        </w:rPr>
        <w:t>Discard the PBS from the reservoir. Pour 100 mL of 70% ethanol into the reservoir.</w:t>
      </w:r>
    </w:p>
    <w:p w14:paraId="413204F6" w14:textId="77777777" w:rsidR="00CD5CCA" w:rsidRPr="000A0C49" w:rsidRDefault="00CD5CCA" w:rsidP="00A443E2">
      <w:pPr>
        <w:pBdr>
          <w:top w:val="nil"/>
          <w:left w:val="nil"/>
          <w:bottom w:val="nil"/>
          <w:right w:val="nil"/>
          <w:between w:val="nil"/>
        </w:pBdr>
        <w:rPr>
          <w:color w:val="000000"/>
          <w:highlight w:val="yellow"/>
        </w:rPr>
      </w:pPr>
    </w:p>
    <w:p w14:paraId="70FB0177" w14:textId="01E4E22B"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 xml:space="preserve">Using the </w:t>
      </w:r>
      <w:r w:rsidRPr="000A0C49">
        <w:rPr>
          <w:b/>
          <w:bCs/>
          <w:color w:val="000000"/>
          <w:highlight w:val="yellow"/>
        </w:rPr>
        <w:t>Pipet/Mix</w:t>
      </w:r>
      <w:r w:rsidRPr="000A0C49">
        <w:rPr>
          <w:color w:val="000000"/>
          <w:highlight w:val="yellow"/>
        </w:rPr>
        <w:t xml:space="preserve"> preset program, wash the tips with 70% ethanol by pipetting 250 µL up and down 10 times at speed 8 (</w:t>
      </w:r>
      <w:r w:rsidRPr="000A0C49">
        <w:rPr>
          <w:b/>
          <w:bCs/>
          <w:color w:val="000000"/>
          <w:highlight w:val="yellow"/>
        </w:rPr>
        <w:t>Supplementary Figure 2B</w:t>
      </w:r>
      <w:r w:rsidRPr="000A0C49">
        <w:rPr>
          <w:highlight w:val="yellow"/>
          <w:lang w:val="en-US"/>
        </w:rPr>
        <w:t>–</w:t>
      </w:r>
      <w:r w:rsidRPr="000A0C49">
        <w:rPr>
          <w:b/>
          <w:bCs/>
          <w:color w:val="000000"/>
          <w:highlight w:val="yellow"/>
        </w:rPr>
        <w:t>D</w:t>
      </w:r>
      <w:r w:rsidRPr="000A0C49">
        <w:rPr>
          <w:color w:val="000000"/>
          <w:highlight w:val="yellow"/>
        </w:rPr>
        <w:t xml:space="preserve">). </w:t>
      </w:r>
      <w:r w:rsidRPr="000A0C49">
        <w:rPr>
          <w:highlight w:val="yellow"/>
        </w:rPr>
        <w:t xml:space="preserve">Then, </w:t>
      </w:r>
      <w:r w:rsidRPr="000A0C49">
        <w:rPr>
          <w:color w:val="000000"/>
          <w:highlight w:val="yellow"/>
        </w:rPr>
        <w:t xml:space="preserve">discard the used reservoir. </w:t>
      </w:r>
    </w:p>
    <w:p w14:paraId="72DF693E" w14:textId="77777777" w:rsidR="00CD5CCA" w:rsidRPr="000A0C49" w:rsidRDefault="00CD5CCA" w:rsidP="00A443E2">
      <w:pPr>
        <w:pBdr>
          <w:top w:val="nil"/>
          <w:left w:val="nil"/>
          <w:bottom w:val="nil"/>
          <w:right w:val="nil"/>
          <w:between w:val="nil"/>
        </w:pBdr>
        <w:rPr>
          <w:highlight w:val="yellow"/>
        </w:rPr>
      </w:pPr>
    </w:p>
    <w:p w14:paraId="68741D60"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Place a new reservoir on the holder.</w:t>
      </w:r>
      <w:r w:rsidRPr="000A0C49">
        <w:rPr>
          <w:highlight w:val="yellow"/>
        </w:rPr>
        <w:t xml:space="preserve"> </w:t>
      </w:r>
      <w:r w:rsidRPr="000A0C49">
        <w:rPr>
          <w:color w:val="000000"/>
          <w:highlight w:val="yellow"/>
        </w:rPr>
        <w:t xml:space="preserve">Pour 100 mL of 1% BSA in PBS into the reservoir. </w:t>
      </w:r>
    </w:p>
    <w:p w14:paraId="7B58B107" w14:textId="77777777" w:rsidR="00CD5CCA" w:rsidRPr="000A0C49" w:rsidRDefault="00CD5CCA" w:rsidP="00A443E2">
      <w:pPr>
        <w:pBdr>
          <w:top w:val="nil"/>
          <w:left w:val="nil"/>
          <w:bottom w:val="nil"/>
          <w:right w:val="nil"/>
          <w:between w:val="nil"/>
        </w:pBdr>
        <w:rPr>
          <w:highlight w:val="yellow"/>
        </w:rPr>
      </w:pPr>
    </w:p>
    <w:p w14:paraId="4997E27C" w14:textId="694987AC"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 xml:space="preserve">Using the </w:t>
      </w:r>
      <w:r w:rsidRPr="000A0C49">
        <w:rPr>
          <w:b/>
          <w:bCs/>
          <w:color w:val="000000"/>
          <w:highlight w:val="yellow"/>
        </w:rPr>
        <w:t>Pipet/Mix</w:t>
      </w:r>
      <w:r w:rsidRPr="000A0C49">
        <w:rPr>
          <w:color w:val="000000"/>
          <w:highlight w:val="yellow"/>
        </w:rPr>
        <w:t xml:space="preserve"> preset program, wash the tips with 1% BSA by pipetting 250 µL up and down 10 times at speed 8 (</w:t>
      </w:r>
      <w:r w:rsidRPr="000A0C49">
        <w:rPr>
          <w:b/>
          <w:bCs/>
          <w:color w:val="000000"/>
          <w:highlight w:val="yellow"/>
        </w:rPr>
        <w:t>Supplementary Figure</w:t>
      </w:r>
      <w:r w:rsidRPr="000A0C49">
        <w:rPr>
          <w:b/>
          <w:bCs/>
          <w:highlight w:val="yellow"/>
        </w:rPr>
        <w:t xml:space="preserve"> </w:t>
      </w:r>
      <w:r w:rsidRPr="000A0C49">
        <w:rPr>
          <w:b/>
          <w:bCs/>
          <w:color w:val="000000"/>
          <w:highlight w:val="yellow"/>
        </w:rPr>
        <w:t>2B</w:t>
      </w:r>
      <w:r w:rsidRPr="000A0C49">
        <w:rPr>
          <w:highlight w:val="yellow"/>
          <w:lang w:val="en-US"/>
        </w:rPr>
        <w:t>–</w:t>
      </w:r>
      <w:r w:rsidRPr="000A0C49">
        <w:rPr>
          <w:b/>
          <w:bCs/>
          <w:color w:val="000000"/>
          <w:highlight w:val="yellow"/>
        </w:rPr>
        <w:t>D</w:t>
      </w:r>
      <w:r w:rsidRPr="000A0C49">
        <w:rPr>
          <w:color w:val="000000"/>
          <w:highlight w:val="yellow"/>
        </w:rPr>
        <w:t>).</w:t>
      </w:r>
    </w:p>
    <w:p w14:paraId="468B99BE" w14:textId="77777777" w:rsidR="00CD5CCA" w:rsidRPr="000A0C49" w:rsidRDefault="00CD5CCA" w:rsidP="00A443E2">
      <w:pPr>
        <w:pBdr>
          <w:top w:val="nil"/>
          <w:left w:val="nil"/>
          <w:bottom w:val="nil"/>
          <w:right w:val="nil"/>
          <w:between w:val="nil"/>
        </w:pBdr>
        <w:rPr>
          <w:highlight w:val="yellow"/>
        </w:rPr>
      </w:pPr>
    </w:p>
    <w:p w14:paraId="62D89D7D" w14:textId="705591B2"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 xml:space="preserve">Using the </w:t>
      </w:r>
      <w:r w:rsidRPr="000A0C49">
        <w:rPr>
          <w:b/>
          <w:bCs/>
          <w:color w:val="000000" w:themeColor="text1"/>
          <w:highlight w:val="yellow"/>
          <w:lang w:val="en-US"/>
        </w:rPr>
        <w:t>Pipet</w:t>
      </w:r>
      <w:r w:rsidRPr="000A0C49">
        <w:rPr>
          <w:color w:val="000000" w:themeColor="text1"/>
          <w:highlight w:val="yellow"/>
          <w:lang w:val="en-US"/>
        </w:rPr>
        <w:t xml:space="preserve"> preset program, aspirate 250 µL of 1% BSA (</w:t>
      </w:r>
      <w:r w:rsidRPr="000A0C49">
        <w:rPr>
          <w:b/>
          <w:bCs/>
          <w:color w:val="000000" w:themeColor="text1"/>
          <w:highlight w:val="yellow"/>
          <w:lang w:val="en-US"/>
        </w:rPr>
        <w:t>Supplementary Figure</w:t>
      </w:r>
      <w:r w:rsidRPr="000A0C49">
        <w:rPr>
          <w:b/>
          <w:bCs/>
          <w:highlight w:val="yellow"/>
          <w:lang w:val="en-US"/>
        </w:rPr>
        <w:t xml:space="preserve"> </w:t>
      </w:r>
      <w:r w:rsidRPr="000A0C49">
        <w:rPr>
          <w:b/>
          <w:bCs/>
          <w:color w:val="000000" w:themeColor="text1"/>
          <w:highlight w:val="yellow"/>
          <w:lang w:val="en-US"/>
        </w:rPr>
        <w:t>2E,F</w:t>
      </w:r>
      <w:r w:rsidRPr="000A0C49">
        <w:rPr>
          <w:color w:val="000000" w:themeColor="text1"/>
          <w:highlight w:val="yellow"/>
          <w:lang w:val="en-US"/>
        </w:rPr>
        <w:t xml:space="preserve">). Allow tips to block for a minimum of 30 min. </w:t>
      </w:r>
    </w:p>
    <w:p w14:paraId="0E2C5842" w14:textId="77777777" w:rsidR="00CD5CCA" w:rsidRPr="000A0C49" w:rsidRDefault="00CD5CCA" w:rsidP="00A443E2">
      <w:pPr>
        <w:pBdr>
          <w:top w:val="nil"/>
          <w:left w:val="nil"/>
          <w:bottom w:val="nil"/>
          <w:right w:val="nil"/>
          <w:between w:val="nil"/>
        </w:pBdr>
        <w:rPr>
          <w:color w:val="000000"/>
          <w:highlight w:val="yellow"/>
          <w:lang w:val="en-US"/>
        </w:rPr>
      </w:pPr>
    </w:p>
    <w:p w14:paraId="2B1EBA93"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Proceed to stage setup (section 2.5) and cell preparation (section 2.6) during the blocking incubation period.</w:t>
      </w:r>
    </w:p>
    <w:p w14:paraId="54E85E09" w14:textId="77777777" w:rsidR="001D7B03" w:rsidRPr="000A0C49" w:rsidRDefault="001D7B03" w:rsidP="00A443E2">
      <w:pPr>
        <w:pBdr>
          <w:top w:val="nil"/>
          <w:left w:val="nil"/>
          <w:bottom w:val="nil"/>
          <w:right w:val="nil"/>
          <w:between w:val="nil"/>
        </w:pBdr>
        <w:rPr>
          <w:color w:val="000000"/>
          <w:lang w:val="en-US"/>
        </w:rPr>
      </w:pPr>
    </w:p>
    <w:p w14:paraId="716C67CB" w14:textId="77777777" w:rsidR="001D7B03" w:rsidRPr="000A0C49" w:rsidRDefault="00000000" w:rsidP="00A443E2">
      <w:pPr>
        <w:numPr>
          <w:ilvl w:val="1"/>
          <w:numId w:val="1"/>
        </w:numPr>
        <w:pBdr>
          <w:top w:val="nil"/>
          <w:left w:val="nil"/>
          <w:bottom w:val="nil"/>
          <w:right w:val="nil"/>
          <w:between w:val="nil"/>
        </w:pBdr>
        <w:ind w:left="0" w:firstLine="0"/>
        <w:rPr>
          <w:color w:val="000000"/>
        </w:rPr>
      </w:pPr>
      <w:r w:rsidRPr="000A0C49">
        <w:rPr>
          <w:color w:val="000000"/>
        </w:rPr>
        <w:t>Optional: temperature-controlled stage setup</w:t>
      </w:r>
    </w:p>
    <w:p w14:paraId="0BE91165" w14:textId="77777777" w:rsidR="002234DA" w:rsidRPr="000A0C49" w:rsidRDefault="002234DA" w:rsidP="00A443E2">
      <w:pPr>
        <w:pBdr>
          <w:top w:val="nil"/>
          <w:left w:val="nil"/>
          <w:bottom w:val="nil"/>
          <w:right w:val="nil"/>
          <w:between w:val="nil"/>
        </w:pBdr>
        <w:rPr>
          <w:b/>
          <w:bCs/>
          <w:color w:val="000000"/>
        </w:rPr>
      </w:pPr>
    </w:p>
    <w:p w14:paraId="66D6BF7E" w14:textId="77777777" w:rsidR="001D7B03" w:rsidRPr="000A0C49" w:rsidRDefault="00000000" w:rsidP="00A443E2">
      <w:pPr>
        <w:rPr>
          <w:lang w:val="en-US"/>
        </w:rPr>
      </w:pPr>
      <w:r w:rsidRPr="000A0C49">
        <w:rPr>
          <w:lang w:val="en-US"/>
        </w:rPr>
        <w:t xml:space="preserve">NOTE: The following steps describe setup of the temperature-controlled stage listed in the Table of Materials and its companion software. </w:t>
      </w:r>
    </w:p>
    <w:p w14:paraId="167CC539" w14:textId="77777777" w:rsidR="002234DA" w:rsidRPr="000A0C49" w:rsidRDefault="002234DA" w:rsidP="00A443E2"/>
    <w:p w14:paraId="577D4294" w14:textId="77777777" w:rsidR="001D7B03" w:rsidRPr="000A0C49" w:rsidRDefault="00000000" w:rsidP="00A443E2">
      <w:pPr>
        <w:numPr>
          <w:ilvl w:val="2"/>
          <w:numId w:val="1"/>
        </w:numPr>
        <w:pBdr>
          <w:top w:val="nil"/>
          <w:left w:val="nil"/>
          <w:bottom w:val="nil"/>
          <w:right w:val="nil"/>
          <w:between w:val="nil"/>
        </w:pBdr>
        <w:ind w:left="0" w:firstLine="0"/>
      </w:pPr>
      <w:r w:rsidRPr="000A0C49">
        <w:rPr>
          <w:color w:val="000000"/>
        </w:rPr>
        <w:t>Position the temperature-controlled stage on the desired instrument stage, such as stage “A.”</w:t>
      </w:r>
    </w:p>
    <w:p w14:paraId="1F747A0E" w14:textId="77777777" w:rsidR="002234DA" w:rsidRPr="000A0C49" w:rsidRDefault="002234DA" w:rsidP="00A443E2">
      <w:pPr>
        <w:pBdr>
          <w:top w:val="nil"/>
          <w:left w:val="nil"/>
          <w:bottom w:val="nil"/>
          <w:right w:val="nil"/>
          <w:between w:val="nil"/>
        </w:pBdr>
      </w:pPr>
    </w:p>
    <w:p w14:paraId="7B7000A1" w14:textId="77777777" w:rsidR="001D7B03" w:rsidRPr="000A0C49" w:rsidRDefault="00000000" w:rsidP="00A443E2">
      <w:pPr>
        <w:numPr>
          <w:ilvl w:val="2"/>
          <w:numId w:val="1"/>
        </w:numPr>
        <w:pBdr>
          <w:top w:val="nil"/>
          <w:left w:val="nil"/>
          <w:bottom w:val="nil"/>
          <w:right w:val="nil"/>
          <w:between w:val="nil"/>
        </w:pBdr>
        <w:ind w:left="0" w:firstLine="0"/>
      </w:pPr>
      <w:r w:rsidRPr="000A0C49">
        <w:rPr>
          <w:color w:val="000000"/>
        </w:rPr>
        <w:t>Connect the temperature-controlled stage to both the wall outlet and the companion computer.</w:t>
      </w:r>
    </w:p>
    <w:p w14:paraId="3FE59499" w14:textId="77777777" w:rsidR="002234DA" w:rsidRPr="000A0C49" w:rsidRDefault="002234DA" w:rsidP="00A443E2">
      <w:pPr>
        <w:pBdr>
          <w:top w:val="nil"/>
          <w:left w:val="nil"/>
          <w:bottom w:val="nil"/>
          <w:right w:val="nil"/>
          <w:between w:val="nil"/>
        </w:pBdr>
      </w:pPr>
    </w:p>
    <w:p w14:paraId="478B502C" w14:textId="77777777" w:rsidR="00E15D55" w:rsidRPr="000A0C49" w:rsidRDefault="00000000" w:rsidP="00A443E2">
      <w:pPr>
        <w:numPr>
          <w:ilvl w:val="2"/>
          <w:numId w:val="1"/>
        </w:numPr>
        <w:pBdr>
          <w:top w:val="nil"/>
          <w:left w:val="nil"/>
          <w:bottom w:val="nil"/>
          <w:right w:val="nil"/>
          <w:between w:val="nil"/>
        </w:pBdr>
        <w:ind w:left="0" w:firstLine="0"/>
      </w:pPr>
      <w:r w:rsidRPr="000A0C49">
        <w:rPr>
          <w:color w:val="000000"/>
          <w:lang w:val="en-US"/>
        </w:rPr>
        <w:t>Launch the stage control software on the connected desktop.</w:t>
      </w:r>
    </w:p>
    <w:p w14:paraId="1D64FEDE" w14:textId="77777777" w:rsidR="00E15D55" w:rsidRPr="000A0C49" w:rsidRDefault="00E15D55" w:rsidP="00E15D55">
      <w:pPr>
        <w:pStyle w:val="ListParagraph"/>
        <w:rPr>
          <w:color w:val="000000"/>
          <w:lang w:val="en-US"/>
        </w:rPr>
      </w:pPr>
    </w:p>
    <w:p w14:paraId="12D50AAA" w14:textId="3ACD4453" w:rsidR="001D7B03" w:rsidRPr="000A0C49" w:rsidRDefault="00000000" w:rsidP="00E15D55">
      <w:pPr>
        <w:pBdr>
          <w:top w:val="nil"/>
          <w:left w:val="nil"/>
          <w:bottom w:val="nil"/>
          <w:right w:val="nil"/>
          <w:between w:val="nil"/>
        </w:pBdr>
      </w:pPr>
      <w:r w:rsidRPr="000A0C49">
        <w:rPr>
          <w:color w:val="000000"/>
          <w:lang w:val="en-US"/>
        </w:rPr>
        <w:t>NOTE: Connect the stage to the computer before opening the software to avoid a connection error. This step assumes the stage control software has been pre-installed.</w:t>
      </w:r>
      <w:r w:rsidRPr="000A0C49">
        <w:rPr>
          <w:color w:val="000000"/>
        </w:rPr>
        <w:t xml:space="preserve"> </w:t>
      </w:r>
    </w:p>
    <w:p w14:paraId="6C6A7491" w14:textId="77777777" w:rsidR="002234DA" w:rsidRPr="000A0C49" w:rsidRDefault="002234DA" w:rsidP="00A443E2">
      <w:pPr>
        <w:pBdr>
          <w:top w:val="nil"/>
          <w:left w:val="nil"/>
          <w:bottom w:val="nil"/>
          <w:right w:val="nil"/>
          <w:between w:val="nil"/>
        </w:pBdr>
      </w:pPr>
    </w:p>
    <w:p w14:paraId="53CFA0F1" w14:textId="77777777" w:rsidR="00E15D55" w:rsidRPr="000A0C49" w:rsidRDefault="00000000" w:rsidP="00A443E2">
      <w:pPr>
        <w:numPr>
          <w:ilvl w:val="2"/>
          <w:numId w:val="1"/>
        </w:numPr>
        <w:pBdr>
          <w:top w:val="nil"/>
          <w:left w:val="nil"/>
          <w:bottom w:val="nil"/>
          <w:right w:val="nil"/>
          <w:between w:val="nil"/>
        </w:pBdr>
        <w:ind w:left="0" w:firstLine="0"/>
      </w:pPr>
      <w:r w:rsidRPr="000A0C49">
        <w:rPr>
          <w:color w:val="000000" w:themeColor="text1"/>
          <w:lang w:val="en-US"/>
        </w:rPr>
        <w:t xml:space="preserve">Set the stage to the desired temperature for a duration appropriate to the experimental design </w:t>
      </w:r>
      <w:sdt>
        <w:sdtPr>
          <w:tag w:val="goog_rdk_8"/>
          <w:id w:val="-1286398824"/>
        </w:sdtPr>
        <w:sdtContent/>
      </w:sdt>
      <w:r w:rsidRPr="000A0C49">
        <w:rPr>
          <w:color w:val="000000" w:themeColor="text1"/>
          <w:lang w:val="en-US"/>
        </w:rPr>
        <w:t>(</w:t>
      </w:r>
      <w:r w:rsidRPr="000A0C49">
        <w:rPr>
          <w:b/>
          <w:bCs/>
          <w:color w:val="000000" w:themeColor="text1"/>
          <w:lang w:val="en-US"/>
        </w:rPr>
        <w:t>Supplementary Figure 2G</w:t>
      </w:r>
      <w:r w:rsidRPr="000A0C49">
        <w:rPr>
          <w:color w:val="000000" w:themeColor="text1"/>
          <w:lang w:val="en-US"/>
        </w:rPr>
        <w:t xml:space="preserve">). Ensure sufficient warm-up time before beginning the </w:t>
      </w:r>
      <w:r w:rsidRPr="000A0C49">
        <w:rPr>
          <w:color w:val="000000" w:themeColor="text1"/>
          <w:lang w:val="en-US"/>
        </w:rPr>
        <w:lastRenderedPageBreak/>
        <w:t xml:space="preserve">experiment. </w:t>
      </w:r>
    </w:p>
    <w:p w14:paraId="66AA7E02" w14:textId="77777777" w:rsidR="00E15D55" w:rsidRPr="000A0C49" w:rsidRDefault="00E15D55" w:rsidP="00E15D55">
      <w:pPr>
        <w:pBdr>
          <w:top w:val="nil"/>
          <w:left w:val="nil"/>
          <w:bottom w:val="nil"/>
          <w:right w:val="nil"/>
          <w:between w:val="nil"/>
        </w:pBdr>
        <w:rPr>
          <w:color w:val="000000" w:themeColor="text1"/>
          <w:lang w:val="en-US"/>
        </w:rPr>
      </w:pPr>
    </w:p>
    <w:p w14:paraId="46D12EDB" w14:textId="77777777" w:rsidR="00A3694C" w:rsidRPr="000A0C49" w:rsidRDefault="00000000" w:rsidP="00E15D55">
      <w:pPr>
        <w:pBdr>
          <w:top w:val="nil"/>
          <w:left w:val="nil"/>
          <w:bottom w:val="nil"/>
          <w:right w:val="nil"/>
          <w:between w:val="nil"/>
        </w:pBdr>
        <w:rPr>
          <w:color w:val="000000" w:themeColor="text1"/>
          <w:lang w:val="en-US"/>
        </w:rPr>
      </w:pPr>
      <w:r w:rsidRPr="000A0C49">
        <w:rPr>
          <w:color w:val="000000" w:themeColor="text1"/>
          <w:lang w:val="en-US"/>
        </w:rPr>
        <w:t xml:space="preserve">NOTE: See “Temperature during FSS stimulation” Discussion section for guidance on temperature selection. </w:t>
      </w:r>
    </w:p>
    <w:p w14:paraId="2CF00F40" w14:textId="77777777" w:rsidR="00A3694C" w:rsidRPr="000A0C49" w:rsidRDefault="00A3694C" w:rsidP="00E15D55">
      <w:pPr>
        <w:pBdr>
          <w:top w:val="nil"/>
          <w:left w:val="nil"/>
          <w:bottom w:val="nil"/>
          <w:right w:val="nil"/>
          <w:between w:val="nil"/>
        </w:pBdr>
        <w:rPr>
          <w:color w:val="000000" w:themeColor="text1"/>
          <w:lang w:val="en-US"/>
        </w:rPr>
      </w:pPr>
    </w:p>
    <w:p w14:paraId="1206DE13" w14:textId="00D600F9" w:rsidR="001D7B03" w:rsidRPr="000A0C49" w:rsidRDefault="00000000" w:rsidP="00E15D55">
      <w:pPr>
        <w:pBdr>
          <w:top w:val="nil"/>
          <w:left w:val="nil"/>
          <w:bottom w:val="nil"/>
          <w:right w:val="nil"/>
          <w:between w:val="nil"/>
        </w:pBdr>
      </w:pPr>
      <w:r w:rsidRPr="000A0C49">
        <w:rPr>
          <w:color w:val="000000" w:themeColor="text1"/>
          <w:lang w:val="en-US"/>
        </w:rPr>
        <w:t>CAUTION: Avoid leaving the stage at the set temperature overnight, as prolonged heating may damage the instrument.</w:t>
      </w:r>
    </w:p>
    <w:p w14:paraId="2C8228DD" w14:textId="77777777" w:rsidR="001D7B03" w:rsidRPr="000A0C49" w:rsidRDefault="001D7B03" w:rsidP="00A443E2">
      <w:pPr>
        <w:pBdr>
          <w:top w:val="nil"/>
          <w:left w:val="nil"/>
          <w:bottom w:val="nil"/>
          <w:right w:val="nil"/>
          <w:between w:val="nil"/>
        </w:pBdr>
        <w:rPr>
          <w:highlight w:val="yellow"/>
        </w:rPr>
      </w:pPr>
    </w:p>
    <w:p w14:paraId="18667556" w14:textId="77777777" w:rsidR="001D7B03" w:rsidRPr="000A0C49" w:rsidRDefault="00000000" w:rsidP="00A443E2">
      <w:pPr>
        <w:numPr>
          <w:ilvl w:val="1"/>
          <w:numId w:val="1"/>
        </w:numPr>
        <w:pBdr>
          <w:top w:val="nil"/>
          <w:left w:val="nil"/>
          <w:bottom w:val="nil"/>
          <w:right w:val="nil"/>
          <w:between w:val="nil"/>
        </w:pBdr>
        <w:ind w:left="0" w:firstLine="0"/>
        <w:rPr>
          <w:color w:val="000000"/>
          <w:highlight w:val="yellow"/>
        </w:rPr>
      </w:pPr>
      <w:r w:rsidRPr="000A0C49">
        <w:rPr>
          <w:color w:val="000000"/>
          <w:highlight w:val="yellow"/>
        </w:rPr>
        <w:t>Cell preparation</w:t>
      </w:r>
    </w:p>
    <w:p w14:paraId="29DEA6EB" w14:textId="77777777" w:rsidR="002234DA" w:rsidRPr="000A0C49" w:rsidRDefault="002234DA" w:rsidP="00A443E2">
      <w:pPr>
        <w:pBdr>
          <w:top w:val="nil"/>
          <w:left w:val="nil"/>
          <w:bottom w:val="nil"/>
          <w:right w:val="nil"/>
          <w:between w:val="nil"/>
        </w:pBdr>
        <w:rPr>
          <w:b/>
          <w:bCs/>
          <w:color w:val="000000"/>
          <w:highlight w:val="yellow"/>
        </w:rPr>
      </w:pPr>
    </w:p>
    <w:p w14:paraId="794EAD05" w14:textId="77777777" w:rsidR="00E15D55"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lang w:val="en-US"/>
        </w:rPr>
        <w:t xml:space="preserve">Collect and </w:t>
      </w:r>
      <w:r w:rsidRPr="000A0C49">
        <w:rPr>
          <w:color w:val="000000" w:themeColor="text1"/>
          <w:highlight w:val="yellow"/>
          <w:lang w:val="en-US"/>
        </w:rPr>
        <w:t xml:space="preserve">count cells either via hemocytometer/automated cell counter with trypan blue staining or flow cytometry with a necrotic cell dye such as propidium iodide. </w:t>
      </w:r>
      <w:r w:rsidRPr="000A0C49">
        <w:rPr>
          <w:color w:val="000000"/>
          <w:highlight w:val="yellow"/>
          <w:lang w:val="en-US"/>
        </w:rPr>
        <w:t xml:space="preserve">Resuspend cells at desired concentration in complete media with antibiotics as appropriate for experimental design. </w:t>
      </w:r>
    </w:p>
    <w:p w14:paraId="1979ABA8" w14:textId="77777777" w:rsidR="00E15D55" w:rsidRPr="000A0C49" w:rsidRDefault="00E15D55" w:rsidP="00E15D55">
      <w:pPr>
        <w:pBdr>
          <w:top w:val="nil"/>
          <w:left w:val="nil"/>
          <w:bottom w:val="nil"/>
          <w:right w:val="nil"/>
          <w:between w:val="nil"/>
        </w:pBdr>
        <w:rPr>
          <w:color w:val="000000"/>
          <w:highlight w:val="yellow"/>
          <w:lang w:val="en-US"/>
        </w:rPr>
      </w:pPr>
    </w:p>
    <w:p w14:paraId="2DB02FEC" w14:textId="2D686865" w:rsidR="001D7B03" w:rsidRPr="001D6DFB" w:rsidRDefault="00000000" w:rsidP="00E15D55">
      <w:pPr>
        <w:pBdr>
          <w:top w:val="nil"/>
          <w:left w:val="nil"/>
          <w:bottom w:val="nil"/>
          <w:right w:val="nil"/>
          <w:between w:val="nil"/>
        </w:pBdr>
      </w:pPr>
      <w:r w:rsidRPr="001D6DFB">
        <w:rPr>
          <w:color w:val="000000" w:themeColor="text1"/>
          <w:lang w:val="en-US"/>
        </w:rPr>
        <w:t xml:space="preserve">NOTE: Optimal cell density for a given cell type can be empirically determined by following the optimization workflow outlined </w:t>
      </w:r>
      <w:r w:rsidRPr="001D6DFB">
        <w:rPr>
          <w:b/>
          <w:bCs/>
          <w:color w:val="000000" w:themeColor="text1"/>
          <w:lang w:val="en-US"/>
        </w:rPr>
        <w:t>in Figure 6</w:t>
      </w:r>
      <w:r w:rsidRPr="001D6DFB">
        <w:rPr>
          <w:color w:val="000000" w:themeColor="text1"/>
          <w:lang w:val="en-US"/>
        </w:rPr>
        <w:t>.</w:t>
      </w:r>
    </w:p>
    <w:p w14:paraId="31C56560" w14:textId="77777777" w:rsidR="002234DA" w:rsidRPr="000A0C49" w:rsidRDefault="002234DA" w:rsidP="00A443E2">
      <w:pPr>
        <w:pBdr>
          <w:top w:val="nil"/>
          <w:left w:val="nil"/>
          <w:bottom w:val="nil"/>
          <w:right w:val="nil"/>
          <w:between w:val="nil"/>
        </w:pBdr>
        <w:rPr>
          <w:highlight w:val="yellow"/>
        </w:rPr>
      </w:pPr>
    </w:p>
    <w:p w14:paraId="5B2B35BE"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Plate 200 µL cell suspension per well in a low-binding U-bottom 96-well plate with lid.</w:t>
      </w:r>
    </w:p>
    <w:p w14:paraId="23B99F07" w14:textId="77777777" w:rsidR="001D7B03" w:rsidRPr="000A0C49" w:rsidRDefault="001D7B03" w:rsidP="00A443E2">
      <w:pPr>
        <w:pBdr>
          <w:top w:val="nil"/>
          <w:left w:val="nil"/>
          <w:bottom w:val="nil"/>
          <w:right w:val="nil"/>
          <w:between w:val="nil"/>
        </w:pBdr>
        <w:rPr>
          <w:highlight w:val="yellow"/>
        </w:rPr>
      </w:pPr>
    </w:p>
    <w:p w14:paraId="2316A3B1" w14:textId="77777777" w:rsidR="001D7B03" w:rsidRPr="000A0C49" w:rsidRDefault="00000000" w:rsidP="00A443E2">
      <w:pPr>
        <w:numPr>
          <w:ilvl w:val="1"/>
          <w:numId w:val="1"/>
        </w:numPr>
        <w:pBdr>
          <w:top w:val="nil"/>
          <w:left w:val="nil"/>
          <w:bottom w:val="nil"/>
          <w:right w:val="nil"/>
          <w:between w:val="nil"/>
        </w:pBdr>
        <w:ind w:left="0" w:firstLine="0"/>
        <w:rPr>
          <w:color w:val="000000"/>
          <w:highlight w:val="yellow"/>
        </w:rPr>
      </w:pPr>
      <w:r w:rsidRPr="000A0C49">
        <w:rPr>
          <w:color w:val="000000"/>
          <w:highlight w:val="yellow"/>
        </w:rPr>
        <w:t>FSS experiment and cleanup</w:t>
      </w:r>
    </w:p>
    <w:p w14:paraId="7D6448AF" w14:textId="77777777" w:rsidR="002234DA" w:rsidRPr="000A0C49" w:rsidRDefault="002234DA" w:rsidP="00A443E2">
      <w:pPr>
        <w:pBdr>
          <w:top w:val="nil"/>
          <w:left w:val="nil"/>
          <w:bottom w:val="nil"/>
          <w:right w:val="nil"/>
          <w:between w:val="nil"/>
        </w:pBdr>
        <w:rPr>
          <w:b/>
          <w:bCs/>
          <w:color w:val="000000"/>
          <w:highlight w:val="yellow"/>
        </w:rPr>
      </w:pPr>
    </w:p>
    <w:p w14:paraId="3692701A"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themeColor="text1"/>
          <w:highlight w:val="yellow"/>
          <w:lang w:val="en-US"/>
        </w:rPr>
        <w:t>On the multichannel pipettor menu, navigate to Custom Programs &gt; [protocol name] (</w:t>
      </w:r>
      <w:r w:rsidRPr="000A0C49">
        <w:rPr>
          <w:b/>
          <w:bCs/>
          <w:color w:val="000000" w:themeColor="text1"/>
          <w:highlight w:val="yellow"/>
          <w:lang w:val="en-US"/>
        </w:rPr>
        <w:t>Supplementary Figure 2H,I</w:t>
      </w:r>
      <w:r w:rsidRPr="000A0C49">
        <w:rPr>
          <w:color w:val="000000" w:themeColor="text1"/>
          <w:highlight w:val="yellow"/>
          <w:lang w:val="en-US"/>
        </w:rPr>
        <w:t xml:space="preserve">). Confirm that the “Z” parameter is set such that tip opening is located at the lowermost center region of the U-bottom well, maintaining 1 mm between the tip opening and the bottom of the well; this ensures no air is aspirated and that no bubbles are formed. </w:t>
      </w:r>
    </w:p>
    <w:p w14:paraId="3DDC6168" w14:textId="77777777" w:rsidR="002234DA" w:rsidRPr="000A0C49" w:rsidRDefault="002234DA" w:rsidP="00A443E2">
      <w:pPr>
        <w:pBdr>
          <w:top w:val="nil"/>
          <w:left w:val="nil"/>
          <w:bottom w:val="nil"/>
          <w:right w:val="nil"/>
          <w:between w:val="nil"/>
        </w:pBdr>
        <w:rPr>
          <w:highlight w:val="yellow"/>
        </w:rPr>
      </w:pPr>
    </w:p>
    <w:p w14:paraId="1913F200" w14:textId="77777777" w:rsidR="00A3694C"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 xml:space="preserve">Press the </w:t>
      </w:r>
      <w:r w:rsidRPr="000A0C49">
        <w:rPr>
          <w:highlight w:val="yellow"/>
          <w:lang w:val="en-US"/>
        </w:rPr>
        <w:t>“</w:t>
      </w:r>
      <w:r w:rsidRPr="000A0C49">
        <w:rPr>
          <w:color w:val="000000" w:themeColor="text1"/>
          <w:highlight w:val="yellow"/>
          <w:lang w:val="en-US"/>
        </w:rPr>
        <w:t>Run</w:t>
      </w:r>
      <w:r w:rsidRPr="000A0C49">
        <w:rPr>
          <w:highlight w:val="yellow"/>
          <w:lang w:val="en-US"/>
        </w:rPr>
        <w:t>”</w:t>
      </w:r>
      <w:r w:rsidRPr="000A0C49">
        <w:rPr>
          <w:color w:val="000000" w:themeColor="text1"/>
          <w:highlight w:val="yellow"/>
          <w:lang w:val="en-US"/>
        </w:rPr>
        <w:t xml:space="preserve"> key (</w:t>
      </w:r>
      <w:r w:rsidRPr="000A0C49">
        <w:rPr>
          <w:b/>
          <w:bCs/>
          <w:color w:val="000000" w:themeColor="text1"/>
          <w:highlight w:val="yellow"/>
          <w:lang w:val="en-US"/>
        </w:rPr>
        <w:t>Supplementary Figure 2I</w:t>
      </w:r>
      <w:r w:rsidRPr="000A0C49">
        <w:rPr>
          <w:color w:val="000000" w:themeColor="text1"/>
          <w:highlight w:val="yellow"/>
          <w:lang w:val="en-US"/>
        </w:rPr>
        <w:t xml:space="preserve">) to initiate the protocol. </w:t>
      </w:r>
    </w:p>
    <w:p w14:paraId="506C7C18" w14:textId="77777777" w:rsidR="00A3694C" w:rsidRPr="000A0C49" w:rsidRDefault="00A3694C" w:rsidP="00A3694C">
      <w:pPr>
        <w:pStyle w:val="ListParagraph"/>
        <w:rPr>
          <w:color w:val="000000" w:themeColor="text1"/>
          <w:highlight w:val="yellow"/>
          <w:lang w:val="en-US"/>
        </w:rPr>
      </w:pPr>
    </w:p>
    <w:p w14:paraId="2AE37521" w14:textId="6DE5845E" w:rsidR="001D7B03" w:rsidRPr="000A0C49" w:rsidRDefault="00000000" w:rsidP="00A3694C">
      <w:pPr>
        <w:pBdr>
          <w:top w:val="nil"/>
          <w:left w:val="nil"/>
          <w:bottom w:val="nil"/>
          <w:right w:val="nil"/>
          <w:between w:val="nil"/>
        </w:pBdr>
        <w:rPr>
          <w:color w:val="000000"/>
          <w:highlight w:val="yellow"/>
          <w:lang w:val="en-US"/>
        </w:rPr>
      </w:pPr>
      <w:r w:rsidRPr="000A0C49">
        <w:rPr>
          <w:color w:val="000000" w:themeColor="text1"/>
          <w:highlight w:val="yellow"/>
          <w:lang w:val="en-US"/>
        </w:rPr>
        <w:t>NOTE: To abort the protocol at any point, press the back arrow button located above the touch wheel (</w:t>
      </w:r>
      <w:r w:rsidRPr="000A0C49">
        <w:rPr>
          <w:b/>
          <w:bCs/>
          <w:color w:val="000000" w:themeColor="text1"/>
          <w:highlight w:val="yellow"/>
          <w:lang w:val="en-US"/>
        </w:rPr>
        <w:t>Supplementary Figure 2I</w:t>
      </w:r>
      <w:r w:rsidRPr="000A0C49">
        <w:rPr>
          <w:color w:val="000000" w:themeColor="text1"/>
          <w:highlight w:val="yellow"/>
          <w:lang w:val="en-US"/>
        </w:rPr>
        <w:t>).</w:t>
      </w:r>
    </w:p>
    <w:p w14:paraId="360224AD" w14:textId="77777777" w:rsidR="002234DA" w:rsidRPr="000A0C49" w:rsidRDefault="002234DA" w:rsidP="00A443E2">
      <w:pPr>
        <w:pBdr>
          <w:top w:val="nil"/>
          <w:left w:val="nil"/>
          <w:bottom w:val="nil"/>
          <w:right w:val="nil"/>
          <w:between w:val="nil"/>
        </w:pBdr>
        <w:rPr>
          <w:color w:val="000000"/>
          <w:highlight w:val="yellow"/>
          <w:lang w:val="en-US"/>
        </w:rPr>
      </w:pPr>
    </w:p>
    <w:p w14:paraId="73114B1A"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Following protocol completion, transfer cells to the incubator or use immediately for downstream analysis.</w:t>
      </w:r>
    </w:p>
    <w:p w14:paraId="19937991" w14:textId="77777777" w:rsidR="002234DA" w:rsidRPr="000A0C49" w:rsidRDefault="002234DA" w:rsidP="00A443E2">
      <w:pPr>
        <w:pBdr>
          <w:top w:val="nil"/>
          <w:left w:val="nil"/>
          <w:bottom w:val="nil"/>
          <w:right w:val="nil"/>
          <w:between w:val="nil"/>
        </w:pBdr>
        <w:rPr>
          <w:color w:val="000000"/>
          <w:highlight w:val="yellow"/>
          <w:lang w:val="en-US"/>
        </w:rPr>
      </w:pPr>
    </w:p>
    <w:p w14:paraId="797B15A9" w14:textId="77777777" w:rsidR="001D7B03" w:rsidRPr="000A0C49" w:rsidRDefault="00000000" w:rsidP="00A443E2">
      <w:pPr>
        <w:numPr>
          <w:ilvl w:val="2"/>
          <w:numId w:val="1"/>
        </w:numPr>
        <w:pBdr>
          <w:top w:val="nil"/>
          <w:left w:val="nil"/>
          <w:bottom w:val="nil"/>
          <w:right w:val="nil"/>
          <w:between w:val="nil"/>
        </w:pBdr>
        <w:ind w:left="0" w:firstLine="0"/>
        <w:rPr>
          <w:color w:val="000000"/>
          <w:highlight w:val="yellow"/>
          <w:lang w:val="en-US"/>
        </w:rPr>
      </w:pPr>
      <w:r w:rsidRPr="000A0C49">
        <w:rPr>
          <w:color w:val="000000" w:themeColor="text1"/>
          <w:highlight w:val="yellow"/>
          <w:lang w:val="en-US"/>
        </w:rPr>
        <w:t>If unmodified tips were used, discard tips in biohazard waste and skip steps 2.</w:t>
      </w:r>
      <w:r w:rsidRPr="000A0C49">
        <w:rPr>
          <w:highlight w:val="yellow"/>
          <w:lang w:val="en-US"/>
        </w:rPr>
        <w:t>7</w:t>
      </w:r>
      <w:r w:rsidRPr="000A0C49">
        <w:rPr>
          <w:color w:val="000000" w:themeColor="text1"/>
          <w:highlight w:val="yellow"/>
          <w:lang w:val="en-US"/>
        </w:rPr>
        <w:t>.5–2.</w:t>
      </w:r>
      <w:r w:rsidRPr="000A0C49">
        <w:rPr>
          <w:highlight w:val="yellow"/>
          <w:lang w:val="en-US"/>
        </w:rPr>
        <w:t>7</w:t>
      </w:r>
      <w:r w:rsidRPr="000A0C49">
        <w:rPr>
          <w:color w:val="000000" w:themeColor="text1"/>
          <w:highlight w:val="yellow"/>
          <w:lang w:val="en-US"/>
        </w:rPr>
        <w:t>.8. If modified needle tips were used, proceed to steps 2.</w:t>
      </w:r>
      <w:r w:rsidRPr="000A0C49">
        <w:rPr>
          <w:highlight w:val="yellow"/>
          <w:lang w:val="en-US"/>
        </w:rPr>
        <w:t>7</w:t>
      </w:r>
      <w:r w:rsidRPr="000A0C49">
        <w:rPr>
          <w:color w:val="000000" w:themeColor="text1"/>
          <w:highlight w:val="yellow"/>
          <w:lang w:val="en-US"/>
        </w:rPr>
        <w:t>.5–2.</w:t>
      </w:r>
      <w:r w:rsidRPr="000A0C49">
        <w:rPr>
          <w:highlight w:val="yellow"/>
          <w:lang w:val="en-US"/>
        </w:rPr>
        <w:t>7</w:t>
      </w:r>
      <w:r w:rsidRPr="000A0C49">
        <w:rPr>
          <w:color w:val="000000" w:themeColor="text1"/>
          <w:highlight w:val="yellow"/>
          <w:lang w:val="en-US"/>
        </w:rPr>
        <w:t>.8 for tip cleaning and storage.</w:t>
      </w:r>
    </w:p>
    <w:p w14:paraId="1D68D806" w14:textId="77777777" w:rsidR="002234DA" w:rsidRPr="000A0C49" w:rsidRDefault="002234DA" w:rsidP="00A443E2">
      <w:pPr>
        <w:pBdr>
          <w:top w:val="nil"/>
          <w:left w:val="nil"/>
          <w:bottom w:val="nil"/>
          <w:right w:val="nil"/>
          <w:between w:val="nil"/>
        </w:pBdr>
        <w:rPr>
          <w:color w:val="000000"/>
          <w:highlight w:val="yellow"/>
          <w:lang w:val="en-US"/>
        </w:rPr>
      </w:pPr>
    </w:p>
    <w:p w14:paraId="01FADFEC"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Using the “Pipet/Mix” preset program, wash the needle tips with 70% ethanol by pipetting 200 µL up and down 10 times at speed 8 (</w:t>
      </w:r>
      <w:r w:rsidRPr="000A0C49">
        <w:rPr>
          <w:b/>
          <w:bCs/>
          <w:color w:val="000000"/>
          <w:highlight w:val="yellow"/>
        </w:rPr>
        <w:t>Supplementary Figure</w:t>
      </w:r>
      <w:r w:rsidRPr="000A0C49">
        <w:rPr>
          <w:b/>
          <w:bCs/>
          <w:highlight w:val="yellow"/>
        </w:rPr>
        <w:t xml:space="preserve"> </w:t>
      </w:r>
      <w:r w:rsidRPr="000A0C49">
        <w:rPr>
          <w:b/>
          <w:bCs/>
          <w:color w:val="000000"/>
          <w:highlight w:val="yellow"/>
        </w:rPr>
        <w:t>2B</w:t>
      </w:r>
      <w:r w:rsidRPr="000A0C49">
        <w:rPr>
          <w:highlight w:val="yellow"/>
          <w:lang w:val="en-US"/>
        </w:rPr>
        <w:t>–</w:t>
      </w:r>
      <w:r w:rsidRPr="000A0C49">
        <w:rPr>
          <w:b/>
          <w:bCs/>
          <w:color w:val="000000"/>
          <w:highlight w:val="yellow"/>
        </w:rPr>
        <w:t>D</w:t>
      </w:r>
      <w:r w:rsidRPr="000A0C49">
        <w:rPr>
          <w:color w:val="000000"/>
          <w:highlight w:val="yellow"/>
        </w:rPr>
        <w:t>).</w:t>
      </w:r>
    </w:p>
    <w:p w14:paraId="43A9677D" w14:textId="77777777" w:rsidR="002234DA" w:rsidRPr="000A0C49" w:rsidRDefault="002234DA" w:rsidP="00A443E2">
      <w:pPr>
        <w:pBdr>
          <w:top w:val="nil"/>
          <w:left w:val="nil"/>
          <w:bottom w:val="nil"/>
          <w:right w:val="nil"/>
          <w:between w:val="nil"/>
        </w:pBdr>
        <w:rPr>
          <w:highlight w:val="yellow"/>
        </w:rPr>
      </w:pPr>
    </w:p>
    <w:p w14:paraId="106D0707"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Discard the 70% ethanol from the reservoir. Pour 100 mL of PBS into the reservoir.</w:t>
      </w:r>
    </w:p>
    <w:p w14:paraId="059AF507" w14:textId="77777777" w:rsidR="002234DA" w:rsidRPr="000A0C49" w:rsidRDefault="002234DA" w:rsidP="00A443E2">
      <w:pPr>
        <w:pBdr>
          <w:top w:val="nil"/>
          <w:left w:val="nil"/>
          <w:bottom w:val="nil"/>
          <w:right w:val="nil"/>
          <w:between w:val="nil"/>
        </w:pBdr>
        <w:rPr>
          <w:highlight w:val="yellow"/>
        </w:rPr>
      </w:pPr>
    </w:p>
    <w:p w14:paraId="41B3440E"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lastRenderedPageBreak/>
        <w:t>Using the “Pipet/Mix” preset program, wash the needle tips with PBS by pipetting 200 µL up and down 10 times at speed 8 (</w:t>
      </w:r>
      <w:r w:rsidRPr="000A0C49">
        <w:rPr>
          <w:b/>
          <w:bCs/>
          <w:color w:val="000000"/>
          <w:highlight w:val="yellow"/>
        </w:rPr>
        <w:t>Supplementary Figure 2B</w:t>
      </w:r>
      <w:r w:rsidRPr="000A0C49">
        <w:rPr>
          <w:highlight w:val="yellow"/>
          <w:lang w:val="en-US"/>
        </w:rPr>
        <w:t>–</w:t>
      </w:r>
      <w:r w:rsidRPr="000A0C49">
        <w:rPr>
          <w:b/>
          <w:bCs/>
          <w:color w:val="000000"/>
          <w:highlight w:val="yellow"/>
        </w:rPr>
        <w:t>D</w:t>
      </w:r>
      <w:r w:rsidRPr="000A0C49">
        <w:rPr>
          <w:color w:val="000000"/>
          <w:highlight w:val="yellow"/>
        </w:rPr>
        <w:t>).</w:t>
      </w:r>
    </w:p>
    <w:p w14:paraId="1B821B7B" w14:textId="77777777" w:rsidR="002234DA" w:rsidRPr="000A0C49" w:rsidRDefault="002234DA" w:rsidP="00A443E2">
      <w:pPr>
        <w:pBdr>
          <w:top w:val="nil"/>
          <w:left w:val="nil"/>
          <w:bottom w:val="nil"/>
          <w:right w:val="nil"/>
          <w:between w:val="nil"/>
        </w:pBdr>
        <w:rPr>
          <w:highlight w:val="yellow"/>
        </w:rPr>
      </w:pPr>
    </w:p>
    <w:p w14:paraId="15469385" w14:textId="77777777" w:rsidR="001D7B03" w:rsidRPr="000A0C49" w:rsidRDefault="00000000" w:rsidP="00A443E2">
      <w:pPr>
        <w:numPr>
          <w:ilvl w:val="2"/>
          <w:numId w:val="1"/>
        </w:numPr>
        <w:pBdr>
          <w:top w:val="nil"/>
          <w:left w:val="nil"/>
          <w:bottom w:val="nil"/>
          <w:right w:val="nil"/>
          <w:between w:val="nil"/>
        </w:pBdr>
        <w:ind w:left="0" w:firstLine="0"/>
        <w:rPr>
          <w:highlight w:val="yellow"/>
        </w:rPr>
      </w:pPr>
      <w:r w:rsidRPr="000A0C49">
        <w:rPr>
          <w:color w:val="000000"/>
          <w:highlight w:val="yellow"/>
        </w:rPr>
        <w:t>Discard the used reservoir. Store the needle tips in an autoclave-safe container for future autoclaving and reuse.</w:t>
      </w:r>
    </w:p>
    <w:p w14:paraId="4F962544" w14:textId="77777777" w:rsidR="001D7B03" w:rsidRPr="00A443E2" w:rsidRDefault="001D7B03" w:rsidP="00A443E2"/>
    <w:p w14:paraId="4E207446" w14:textId="77777777" w:rsidR="001D7B03" w:rsidRPr="00A443E2" w:rsidRDefault="00000000" w:rsidP="00A443E2">
      <w:pPr>
        <w:numPr>
          <w:ilvl w:val="0"/>
          <w:numId w:val="1"/>
        </w:numPr>
        <w:pBdr>
          <w:top w:val="nil"/>
          <w:left w:val="nil"/>
          <w:bottom w:val="nil"/>
          <w:right w:val="nil"/>
          <w:between w:val="nil"/>
        </w:pBdr>
        <w:ind w:left="0" w:firstLine="0"/>
        <w:rPr>
          <w:b/>
          <w:bCs/>
          <w:color w:val="000000"/>
        </w:rPr>
      </w:pPr>
      <w:r w:rsidRPr="00A443E2">
        <w:rPr>
          <w:b/>
          <w:bCs/>
          <w:color w:val="000000"/>
        </w:rPr>
        <w:t>High-intensity FSS application using a syringe pump</w:t>
      </w:r>
    </w:p>
    <w:p w14:paraId="3B5A7D7D" w14:textId="77777777" w:rsidR="002234DA" w:rsidRPr="00A443E2" w:rsidRDefault="002234DA" w:rsidP="00A443E2">
      <w:pPr>
        <w:pBdr>
          <w:top w:val="nil"/>
          <w:left w:val="nil"/>
          <w:bottom w:val="nil"/>
          <w:right w:val="nil"/>
          <w:between w:val="nil"/>
        </w:pBdr>
        <w:rPr>
          <w:b/>
          <w:bCs/>
          <w:color w:val="000000"/>
        </w:rPr>
      </w:pPr>
    </w:p>
    <w:p w14:paraId="4E1981B6" w14:textId="789F12A5" w:rsidR="001D7B03" w:rsidRPr="00A443E2" w:rsidRDefault="410B454B" w:rsidP="00A443E2">
      <w:r w:rsidRPr="00A443E2">
        <w:rPr>
          <w:lang w:val="en-US"/>
        </w:rPr>
        <w:t xml:space="preserve">NOTE: The following protocol describes the application of </w:t>
      </w:r>
      <w:r w:rsidRPr="00026BBC">
        <w:rPr>
          <w:lang w:val="en-US"/>
        </w:rPr>
        <w:t>room temperature,</w:t>
      </w:r>
      <w:r w:rsidRPr="00A443E2">
        <w:rPr>
          <w:lang w:val="en-US"/>
        </w:rPr>
        <w:t xml:space="preserve"> high-intensity FSS using the syringe pump. Steps in sections 3.5 and 3.6 are specific to this instrument; thus, the workflow may not be directly transferable to other syringe pump systems.</w:t>
      </w:r>
    </w:p>
    <w:p w14:paraId="43920C9E" w14:textId="77777777" w:rsidR="001D7B03" w:rsidRPr="00EA4477" w:rsidRDefault="001D7B03" w:rsidP="00A443E2"/>
    <w:p w14:paraId="54FAD9A5" w14:textId="77777777" w:rsidR="001D7B03" w:rsidRPr="00EA4477" w:rsidRDefault="00000000" w:rsidP="00A443E2">
      <w:pPr>
        <w:numPr>
          <w:ilvl w:val="1"/>
          <w:numId w:val="1"/>
        </w:numPr>
        <w:pBdr>
          <w:top w:val="nil"/>
          <w:left w:val="nil"/>
          <w:bottom w:val="nil"/>
          <w:right w:val="nil"/>
          <w:between w:val="nil"/>
        </w:pBdr>
        <w:ind w:left="0" w:firstLine="0"/>
      </w:pPr>
      <w:r w:rsidRPr="00EA4477">
        <w:t>FSS calculation</w:t>
      </w:r>
    </w:p>
    <w:p w14:paraId="5850577A" w14:textId="77777777" w:rsidR="002234DA" w:rsidRPr="00A443E2" w:rsidRDefault="002234DA" w:rsidP="00A443E2">
      <w:pPr>
        <w:pBdr>
          <w:top w:val="nil"/>
          <w:left w:val="nil"/>
          <w:bottom w:val="nil"/>
          <w:right w:val="nil"/>
          <w:between w:val="nil"/>
        </w:pBdr>
        <w:rPr>
          <w:b/>
          <w:bCs/>
        </w:rPr>
      </w:pPr>
    </w:p>
    <w:p w14:paraId="5017E2EB" w14:textId="77777777" w:rsidR="00AD79E3" w:rsidRPr="00AD79E3" w:rsidRDefault="00000000" w:rsidP="00A443E2">
      <w:pPr>
        <w:numPr>
          <w:ilvl w:val="2"/>
          <w:numId w:val="1"/>
        </w:numPr>
        <w:pBdr>
          <w:top w:val="nil"/>
          <w:left w:val="nil"/>
          <w:bottom w:val="nil"/>
          <w:right w:val="nil"/>
          <w:between w:val="nil"/>
        </w:pBdr>
        <w:ind w:left="0" w:firstLine="0"/>
        <w:rPr>
          <w:rFonts w:eastAsia="Arial"/>
          <w:color w:val="000000"/>
        </w:rPr>
      </w:pPr>
      <w:r w:rsidRPr="00A443E2">
        <w:rPr>
          <w:color w:val="000000" w:themeColor="text1"/>
          <w:lang w:val="en-US"/>
        </w:rPr>
        <w:t xml:space="preserve">Using </w:t>
      </w:r>
      <w:r w:rsidRPr="00A443E2">
        <w:rPr>
          <w:b/>
          <w:bCs/>
          <w:color w:val="000000" w:themeColor="text1"/>
          <w:lang w:val="en-US"/>
        </w:rPr>
        <w:t>Table 3</w:t>
      </w:r>
      <w:r w:rsidRPr="00A443E2">
        <w:rPr>
          <w:color w:val="000000" w:themeColor="text1"/>
          <w:lang w:val="en-US"/>
        </w:rPr>
        <w:t>, identify the instrument flow rate corresponding to the desired average FSS magnitude and temperature for the experiment.</w:t>
      </w:r>
    </w:p>
    <w:p w14:paraId="474BA3F6" w14:textId="77777777" w:rsidR="00AD79E3" w:rsidRDefault="00AD79E3" w:rsidP="00AD79E3">
      <w:pPr>
        <w:pBdr>
          <w:top w:val="nil"/>
          <w:left w:val="nil"/>
          <w:bottom w:val="nil"/>
          <w:right w:val="nil"/>
          <w:between w:val="nil"/>
        </w:pBdr>
        <w:rPr>
          <w:color w:val="000000" w:themeColor="text1"/>
          <w:lang w:val="en-US"/>
        </w:rPr>
      </w:pPr>
    </w:p>
    <w:p w14:paraId="367C7D63" w14:textId="5B076F74" w:rsidR="001D7B03" w:rsidRPr="00A443E2" w:rsidRDefault="00000000" w:rsidP="00AD79E3">
      <w:pPr>
        <w:pBdr>
          <w:top w:val="nil"/>
          <w:left w:val="nil"/>
          <w:bottom w:val="nil"/>
          <w:right w:val="nil"/>
          <w:between w:val="nil"/>
        </w:pBdr>
        <w:rPr>
          <w:rFonts w:eastAsia="Arial"/>
          <w:color w:val="000000"/>
        </w:rPr>
      </w:pPr>
      <w:r w:rsidRPr="00A443E2">
        <w:rPr>
          <w:color w:val="000000" w:themeColor="text1"/>
          <w:lang w:val="en-US"/>
        </w:rPr>
        <w:t xml:space="preserve">NOTE: Refer to Fabiano </w:t>
      </w:r>
      <w:r w:rsidRPr="00A443E2">
        <w:rPr>
          <w:i/>
          <w:iCs/>
          <w:color w:val="000000" w:themeColor="text1"/>
          <w:lang w:val="en-US"/>
        </w:rPr>
        <w:t>et al.</w:t>
      </w:r>
      <w:sdt>
        <w:sdtPr>
          <w:rPr>
            <w:i/>
            <w:iCs/>
            <w:color w:val="000000" w:themeColor="text1"/>
            <w:lang w:val="en-US"/>
          </w:rPr>
          <w:alias w:val="SmartCite Citation"/>
          <w:tag w:val="a9e2a68d-fe3b-412d-8c06-1ac3ca305ac6:dc054ead-c810-4eb4-a12b-91bf1b53a94e+{&quot;a9e2a68d-fe3b-412d-8c06-1ac3ca305ac6:dc054ead-c810-4eb4-a12b-91bf1b53a94e&quot;:{&quot;doi&quot;:&quot;10.1002/advs.76535&quot;,&quot;pmid&quot;:&quot;42474106&quot;,&quot;pmcid&quot;:&quot;PMC13383692&quot;}}"/>
          <w:id w:val="-88240888"/>
          <w:placeholder>
            <w:docPart w:val="584DED1E96E24F87B76C7641B62D0D3A"/>
          </w:placeholder>
        </w:sdtPr>
        <w:sdtContent>
          <w:r w:rsidRPr="00A443E2">
            <w:rPr>
              <w:rFonts w:eastAsia="Times New Roman"/>
              <w:vertAlign w:val="superscript"/>
            </w:rPr>
            <w:t>33</w:t>
          </w:r>
        </w:sdtContent>
      </w:sdt>
      <w:r w:rsidRPr="00A443E2">
        <w:rPr>
          <w:color w:val="000000" w:themeColor="text1"/>
          <w:lang w:val="en-US"/>
        </w:rPr>
        <w:t xml:space="preserve"> for a detailed description of the calculation of average FSS using </w:t>
      </w:r>
      <w:r w:rsidRPr="00A443E2">
        <w:rPr>
          <w:b/>
          <w:bCs/>
          <w:color w:val="000000" w:themeColor="text1"/>
          <w:lang w:val="en-US"/>
        </w:rPr>
        <w:t>Equation 1</w:t>
      </w:r>
      <w:r w:rsidRPr="00A443E2">
        <w:rPr>
          <w:color w:val="000000" w:themeColor="text1"/>
          <w:lang w:val="en-US"/>
        </w:rPr>
        <w:t>.</w:t>
      </w:r>
    </w:p>
    <w:p w14:paraId="60E30EC3" w14:textId="77777777" w:rsidR="001D7B03" w:rsidRPr="00A443E2" w:rsidRDefault="001D7B03" w:rsidP="00A443E2">
      <w:pPr>
        <w:pBdr>
          <w:top w:val="nil"/>
          <w:left w:val="nil"/>
          <w:bottom w:val="nil"/>
          <w:right w:val="nil"/>
          <w:between w:val="nil"/>
        </w:pBdr>
        <w:rPr>
          <w:rFonts w:eastAsia="Arial"/>
          <w:color w:val="000000"/>
        </w:rPr>
      </w:pPr>
    </w:p>
    <w:p w14:paraId="01BA39D7" w14:textId="77777777" w:rsidR="001D7B03" w:rsidRPr="00EA4477" w:rsidRDefault="00000000" w:rsidP="00A443E2">
      <w:pPr>
        <w:numPr>
          <w:ilvl w:val="1"/>
          <w:numId w:val="1"/>
        </w:numPr>
        <w:pBdr>
          <w:top w:val="nil"/>
          <w:left w:val="nil"/>
          <w:bottom w:val="nil"/>
          <w:right w:val="nil"/>
          <w:between w:val="nil"/>
        </w:pBdr>
        <w:ind w:left="0" w:firstLine="0"/>
        <w:rPr>
          <w:color w:val="000000"/>
        </w:rPr>
      </w:pPr>
      <w:r w:rsidRPr="00EA4477">
        <w:rPr>
          <w:color w:val="000000"/>
        </w:rPr>
        <w:t>Optional: primary cell isolation</w:t>
      </w:r>
    </w:p>
    <w:p w14:paraId="5F7F3F2D" w14:textId="77777777" w:rsidR="002234DA" w:rsidRPr="00A443E2" w:rsidRDefault="002234DA" w:rsidP="00A443E2">
      <w:pPr>
        <w:pBdr>
          <w:top w:val="nil"/>
          <w:left w:val="nil"/>
          <w:bottom w:val="nil"/>
          <w:right w:val="nil"/>
          <w:between w:val="nil"/>
        </w:pBdr>
        <w:rPr>
          <w:b/>
          <w:bCs/>
          <w:color w:val="000000"/>
        </w:rPr>
      </w:pPr>
    </w:p>
    <w:p w14:paraId="6FA2A4A6" w14:textId="77777777" w:rsidR="009A3F3B" w:rsidRPr="009A3F3B"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themeColor="text1"/>
          <w:lang w:val="en-US"/>
        </w:rPr>
        <w:t xml:space="preserve">If using primary cells, isolate cells of interest using the preferred method the day before proceeding to section 3.3. </w:t>
      </w:r>
    </w:p>
    <w:p w14:paraId="360C56DD" w14:textId="77777777" w:rsidR="009A3F3B" w:rsidRDefault="009A3F3B" w:rsidP="009A3F3B">
      <w:pPr>
        <w:pBdr>
          <w:top w:val="nil"/>
          <w:left w:val="nil"/>
          <w:bottom w:val="nil"/>
          <w:right w:val="nil"/>
          <w:between w:val="nil"/>
        </w:pBdr>
        <w:rPr>
          <w:color w:val="000000"/>
          <w:lang w:val="en-US"/>
        </w:rPr>
      </w:pPr>
    </w:p>
    <w:p w14:paraId="6049AF44" w14:textId="55EB1187" w:rsidR="001D7B03" w:rsidRPr="009A3F3B" w:rsidRDefault="00000000" w:rsidP="009A3F3B">
      <w:pPr>
        <w:pBdr>
          <w:top w:val="nil"/>
          <w:left w:val="nil"/>
          <w:bottom w:val="nil"/>
          <w:right w:val="nil"/>
          <w:between w:val="nil"/>
        </w:pBdr>
        <w:rPr>
          <w:color w:val="000000"/>
          <w:lang w:val="en-US"/>
        </w:rPr>
      </w:pPr>
      <w:r w:rsidRPr="009A3F3B">
        <w:rPr>
          <w:color w:val="000000" w:themeColor="text1"/>
          <w:lang w:val="en-US"/>
        </w:rPr>
        <w:t>PAUSE POINT: Isolated cells may be stored overnight under appropriate conditions.</w:t>
      </w:r>
    </w:p>
    <w:p w14:paraId="05D5AC76" w14:textId="77777777" w:rsidR="001D7B03" w:rsidRPr="00A443E2" w:rsidRDefault="001D7B03" w:rsidP="00A443E2">
      <w:pPr>
        <w:pBdr>
          <w:top w:val="nil"/>
          <w:left w:val="nil"/>
          <w:bottom w:val="nil"/>
          <w:right w:val="nil"/>
          <w:between w:val="nil"/>
        </w:pBdr>
        <w:rPr>
          <w:color w:val="000000"/>
          <w:lang w:val="en-US"/>
        </w:rPr>
      </w:pPr>
    </w:p>
    <w:p w14:paraId="7145CC6F" w14:textId="77777777" w:rsidR="001D7B03" w:rsidRPr="00EA4477" w:rsidRDefault="00000000" w:rsidP="00A443E2">
      <w:pPr>
        <w:numPr>
          <w:ilvl w:val="1"/>
          <w:numId w:val="1"/>
        </w:numPr>
        <w:pBdr>
          <w:top w:val="nil"/>
          <w:left w:val="nil"/>
          <w:bottom w:val="nil"/>
          <w:right w:val="nil"/>
          <w:between w:val="nil"/>
        </w:pBdr>
        <w:ind w:left="0" w:firstLine="0"/>
        <w:rPr>
          <w:color w:val="000000"/>
        </w:rPr>
      </w:pPr>
      <w:r w:rsidRPr="00EA4477">
        <w:rPr>
          <w:color w:val="000000"/>
        </w:rPr>
        <w:t>Blocking</w:t>
      </w:r>
    </w:p>
    <w:p w14:paraId="1E96CA19" w14:textId="77777777" w:rsidR="002234DA" w:rsidRPr="00A443E2" w:rsidRDefault="002234DA" w:rsidP="00A443E2">
      <w:pPr>
        <w:pBdr>
          <w:top w:val="nil"/>
          <w:left w:val="nil"/>
          <w:bottom w:val="nil"/>
          <w:right w:val="nil"/>
          <w:between w:val="nil"/>
        </w:pBdr>
        <w:rPr>
          <w:b/>
          <w:bCs/>
          <w:color w:val="000000"/>
        </w:rPr>
      </w:pPr>
    </w:p>
    <w:p w14:paraId="1DC0A68D"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lang w:val="en-US"/>
        </w:rPr>
        <w:t>Prepare a 2% solution of BSA in PBS.</w:t>
      </w:r>
    </w:p>
    <w:p w14:paraId="27BC15C6" w14:textId="77777777" w:rsidR="002234DA" w:rsidRPr="00A443E2" w:rsidRDefault="002234DA" w:rsidP="00A443E2">
      <w:pPr>
        <w:pBdr>
          <w:top w:val="nil"/>
          <w:left w:val="nil"/>
          <w:bottom w:val="nil"/>
          <w:right w:val="nil"/>
          <w:between w:val="nil"/>
        </w:pBdr>
      </w:pPr>
    </w:p>
    <w:p w14:paraId="02C23C2E"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Aspirate 5 mL of 2% BSA into a 5 mL syringe.</w:t>
      </w:r>
    </w:p>
    <w:p w14:paraId="5C9A36A6" w14:textId="77777777" w:rsidR="002234DA" w:rsidRPr="00A443E2" w:rsidRDefault="002234DA" w:rsidP="00A443E2">
      <w:pPr>
        <w:pBdr>
          <w:top w:val="nil"/>
          <w:left w:val="nil"/>
          <w:bottom w:val="nil"/>
          <w:right w:val="nil"/>
          <w:between w:val="nil"/>
        </w:pBdr>
      </w:pPr>
    </w:p>
    <w:p w14:paraId="708B52BA"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Without removing the needle cap, screw a 12.77 mm-long 30 G needle onto the 5 mL syringe.</w:t>
      </w:r>
    </w:p>
    <w:p w14:paraId="5CAABB85" w14:textId="77777777" w:rsidR="002234DA" w:rsidRPr="00A443E2" w:rsidRDefault="002234DA" w:rsidP="00A443E2">
      <w:pPr>
        <w:pBdr>
          <w:top w:val="nil"/>
          <w:left w:val="nil"/>
          <w:bottom w:val="nil"/>
          <w:right w:val="nil"/>
          <w:between w:val="nil"/>
        </w:pBdr>
      </w:pPr>
    </w:p>
    <w:p w14:paraId="2BF1953F" w14:textId="77777777" w:rsidR="001D7B03" w:rsidRPr="00A443E2" w:rsidRDefault="00000000" w:rsidP="00A443E2">
      <w:pPr>
        <w:numPr>
          <w:ilvl w:val="2"/>
          <w:numId w:val="1"/>
        </w:numPr>
        <w:pBdr>
          <w:top w:val="nil"/>
          <w:left w:val="nil"/>
          <w:bottom w:val="nil"/>
          <w:right w:val="nil"/>
          <w:between w:val="nil"/>
        </w:pBdr>
        <w:ind w:left="0" w:firstLine="0"/>
      </w:pPr>
      <w:r w:rsidRPr="00A443E2">
        <w:t xml:space="preserve">Advance the syringe plunger to dispense 2% BSA into the needle cap until the liquid appears at the needle tip to purge air from the line and to allow the needle to incubate. </w:t>
      </w:r>
    </w:p>
    <w:p w14:paraId="14FC7A57" w14:textId="77777777" w:rsidR="002234DA" w:rsidRPr="00A443E2" w:rsidRDefault="002234DA" w:rsidP="00A443E2">
      <w:pPr>
        <w:pBdr>
          <w:top w:val="nil"/>
          <w:left w:val="nil"/>
          <w:bottom w:val="nil"/>
          <w:right w:val="nil"/>
          <w:between w:val="nil"/>
        </w:pBdr>
      </w:pPr>
    </w:p>
    <w:p w14:paraId="5689B83F" w14:textId="77777777" w:rsidR="009A3F3B" w:rsidRPr="009A3F3B" w:rsidRDefault="00000000" w:rsidP="00A443E2">
      <w:pPr>
        <w:numPr>
          <w:ilvl w:val="2"/>
          <w:numId w:val="1"/>
        </w:numPr>
        <w:pBdr>
          <w:top w:val="nil"/>
          <w:left w:val="nil"/>
          <w:bottom w:val="nil"/>
          <w:right w:val="nil"/>
          <w:between w:val="nil"/>
        </w:pBdr>
        <w:ind w:left="0" w:firstLine="0"/>
      </w:pPr>
      <w:r w:rsidRPr="00A443E2">
        <w:rPr>
          <w:color w:val="000000"/>
          <w:lang w:val="en-US"/>
        </w:rPr>
        <w:t xml:space="preserve">Proceed to sections 3.4 and 3.5 during the blocking incubation of the syringe and needle. </w:t>
      </w:r>
    </w:p>
    <w:p w14:paraId="57BEDC12" w14:textId="77777777" w:rsidR="009A3F3B" w:rsidRDefault="009A3F3B" w:rsidP="009A3F3B">
      <w:pPr>
        <w:pStyle w:val="ListParagraph"/>
        <w:rPr>
          <w:color w:val="000000"/>
          <w:lang w:val="en-US"/>
        </w:rPr>
      </w:pPr>
    </w:p>
    <w:p w14:paraId="6DF75D0A" w14:textId="15C23576" w:rsidR="001D7B03" w:rsidRPr="00A443E2" w:rsidRDefault="00000000" w:rsidP="009A3F3B">
      <w:pPr>
        <w:pBdr>
          <w:top w:val="nil"/>
          <w:left w:val="nil"/>
          <w:bottom w:val="nil"/>
          <w:right w:val="nil"/>
          <w:between w:val="nil"/>
        </w:pBdr>
      </w:pPr>
      <w:r w:rsidRPr="00A443E2">
        <w:rPr>
          <w:color w:val="000000"/>
          <w:lang w:val="en-US"/>
        </w:rPr>
        <w:t xml:space="preserve">PAUSE POINT: Blocking incubation must last at least 30 min, which is approximately the time required to complete sections 3.4 and 3.5. </w:t>
      </w:r>
    </w:p>
    <w:p w14:paraId="45B92997" w14:textId="77777777" w:rsidR="001D7B03" w:rsidRPr="00A443E2" w:rsidRDefault="001D7B03" w:rsidP="00A443E2">
      <w:pPr>
        <w:pBdr>
          <w:top w:val="nil"/>
          <w:left w:val="nil"/>
          <w:bottom w:val="nil"/>
          <w:right w:val="nil"/>
          <w:between w:val="nil"/>
        </w:pBdr>
      </w:pPr>
    </w:p>
    <w:p w14:paraId="6B7D617E" w14:textId="77777777" w:rsidR="001D7B03" w:rsidRPr="00EA4477" w:rsidRDefault="00000000" w:rsidP="00A443E2">
      <w:pPr>
        <w:numPr>
          <w:ilvl w:val="1"/>
          <w:numId w:val="1"/>
        </w:numPr>
        <w:pBdr>
          <w:top w:val="nil"/>
          <w:left w:val="nil"/>
          <w:bottom w:val="nil"/>
          <w:right w:val="nil"/>
          <w:between w:val="nil"/>
        </w:pBdr>
        <w:ind w:left="0" w:firstLine="0"/>
        <w:rPr>
          <w:color w:val="000000"/>
        </w:rPr>
      </w:pPr>
      <w:r w:rsidRPr="00EA4477">
        <w:rPr>
          <w:color w:val="000000"/>
        </w:rPr>
        <w:lastRenderedPageBreak/>
        <w:t>Cell preparation</w:t>
      </w:r>
    </w:p>
    <w:p w14:paraId="2ED88231" w14:textId="77777777" w:rsidR="002234DA" w:rsidRPr="00A443E2" w:rsidRDefault="002234DA" w:rsidP="00A443E2">
      <w:pPr>
        <w:pBdr>
          <w:top w:val="nil"/>
          <w:left w:val="nil"/>
          <w:bottom w:val="nil"/>
          <w:right w:val="nil"/>
          <w:between w:val="nil"/>
        </w:pBdr>
        <w:rPr>
          <w:b/>
          <w:bCs/>
          <w:color w:val="000000"/>
        </w:rPr>
      </w:pPr>
    </w:p>
    <w:p w14:paraId="40742CE3" w14:textId="77777777" w:rsidR="00AD79E3" w:rsidRPr="00AD79E3" w:rsidRDefault="00000000" w:rsidP="00A443E2">
      <w:pPr>
        <w:numPr>
          <w:ilvl w:val="2"/>
          <w:numId w:val="1"/>
        </w:numPr>
        <w:pBdr>
          <w:top w:val="nil"/>
          <w:left w:val="nil"/>
          <w:bottom w:val="nil"/>
          <w:right w:val="nil"/>
          <w:between w:val="nil"/>
        </w:pBdr>
        <w:ind w:left="0" w:firstLine="0"/>
      </w:pPr>
      <w:r w:rsidRPr="00A443E2">
        <w:rPr>
          <w:color w:val="000000"/>
          <w:lang w:val="en-US"/>
        </w:rPr>
        <w:t xml:space="preserve">Collect and </w:t>
      </w:r>
      <w:r w:rsidRPr="00A443E2">
        <w:rPr>
          <w:color w:val="000000" w:themeColor="text1"/>
          <w:lang w:val="en-US"/>
        </w:rPr>
        <w:t xml:space="preserve">count cells either via hemocytometer/automated cell counter with trypan blue staining or flow cytometry with a necrotic cell dye such as propidium iodide. </w:t>
      </w:r>
      <w:r w:rsidRPr="00A443E2">
        <w:rPr>
          <w:color w:val="000000"/>
          <w:lang w:val="en-US"/>
        </w:rPr>
        <w:t>Resuspend cells at desired concentration in complete media with antibiotics as appropriate for experimental design.</w:t>
      </w:r>
    </w:p>
    <w:p w14:paraId="231FAC4A" w14:textId="77777777" w:rsidR="00AD79E3" w:rsidRDefault="00AD79E3" w:rsidP="00AD79E3">
      <w:pPr>
        <w:pBdr>
          <w:top w:val="nil"/>
          <w:left w:val="nil"/>
          <w:bottom w:val="nil"/>
          <w:right w:val="nil"/>
          <w:between w:val="nil"/>
        </w:pBdr>
        <w:rPr>
          <w:color w:val="000000" w:themeColor="text1"/>
          <w:lang w:val="en-US"/>
        </w:rPr>
      </w:pPr>
    </w:p>
    <w:p w14:paraId="4411FE3B" w14:textId="346F0BAD" w:rsidR="001D7B03" w:rsidRPr="00A443E2" w:rsidRDefault="00000000" w:rsidP="00AD79E3">
      <w:pPr>
        <w:pBdr>
          <w:top w:val="nil"/>
          <w:left w:val="nil"/>
          <w:bottom w:val="nil"/>
          <w:right w:val="nil"/>
          <w:between w:val="nil"/>
        </w:pBdr>
      </w:pPr>
      <w:r w:rsidRPr="00A443E2">
        <w:rPr>
          <w:color w:val="000000" w:themeColor="text1"/>
          <w:lang w:val="en-US"/>
        </w:rPr>
        <w:t>NOTE: Optimal cell density for a given cell type can be empirically determined by following the optimization workflow outlined in</w:t>
      </w:r>
      <w:r w:rsidRPr="00A443E2">
        <w:rPr>
          <w:b/>
          <w:bCs/>
          <w:color w:val="000000" w:themeColor="text1"/>
          <w:lang w:val="en-US"/>
        </w:rPr>
        <w:t xml:space="preserve"> Figure 6</w:t>
      </w:r>
      <w:r w:rsidRPr="00A443E2">
        <w:rPr>
          <w:color w:val="000000" w:themeColor="text1"/>
          <w:lang w:val="en-US"/>
        </w:rPr>
        <w:t>.</w:t>
      </w:r>
    </w:p>
    <w:p w14:paraId="01530729" w14:textId="77777777" w:rsidR="001D7B03" w:rsidRPr="00EA4477" w:rsidRDefault="001D7B03" w:rsidP="00A443E2">
      <w:pPr>
        <w:pBdr>
          <w:top w:val="nil"/>
          <w:left w:val="nil"/>
          <w:bottom w:val="nil"/>
          <w:right w:val="nil"/>
          <w:between w:val="nil"/>
        </w:pBdr>
      </w:pPr>
    </w:p>
    <w:p w14:paraId="69466EAF" w14:textId="77777777" w:rsidR="001D7B03" w:rsidRPr="00EA4477" w:rsidRDefault="00000000" w:rsidP="00A443E2">
      <w:pPr>
        <w:numPr>
          <w:ilvl w:val="1"/>
          <w:numId w:val="1"/>
        </w:numPr>
        <w:pBdr>
          <w:top w:val="nil"/>
          <w:left w:val="nil"/>
          <w:bottom w:val="nil"/>
          <w:right w:val="nil"/>
          <w:between w:val="nil"/>
        </w:pBdr>
        <w:ind w:left="0" w:firstLine="0"/>
        <w:rPr>
          <w:color w:val="000000"/>
        </w:rPr>
      </w:pPr>
      <w:r w:rsidRPr="00EA4477">
        <w:rPr>
          <w:color w:val="000000"/>
        </w:rPr>
        <w:t>Experimental setup</w:t>
      </w:r>
    </w:p>
    <w:p w14:paraId="67D56EC5" w14:textId="77777777" w:rsidR="002234DA" w:rsidRPr="00A443E2" w:rsidRDefault="002234DA" w:rsidP="00A443E2">
      <w:pPr>
        <w:pBdr>
          <w:top w:val="nil"/>
          <w:left w:val="nil"/>
          <w:bottom w:val="nil"/>
          <w:right w:val="nil"/>
          <w:between w:val="nil"/>
        </w:pBdr>
        <w:rPr>
          <w:b/>
          <w:bCs/>
          <w:color w:val="000000"/>
        </w:rPr>
      </w:pPr>
    </w:p>
    <w:p w14:paraId="4E1111A8"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Place the syringe pump in a biosafety cabinet after generously spraying with 70% ethanol for sterilization. </w:t>
      </w:r>
    </w:p>
    <w:p w14:paraId="0723FE2F" w14:textId="77777777" w:rsidR="002234DA" w:rsidRPr="00A443E2" w:rsidRDefault="002234DA" w:rsidP="00A443E2">
      <w:pPr>
        <w:pBdr>
          <w:top w:val="nil"/>
          <w:left w:val="nil"/>
          <w:bottom w:val="nil"/>
          <w:right w:val="nil"/>
          <w:between w:val="nil"/>
        </w:pBdr>
      </w:pPr>
    </w:p>
    <w:p w14:paraId="7FDF366A"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Ensuring the plug is dry, route and connect the power cord to the closest electrical outlet. </w:t>
      </w:r>
    </w:p>
    <w:p w14:paraId="5102E235" w14:textId="77777777" w:rsidR="002234DA" w:rsidRPr="00A443E2" w:rsidRDefault="002234DA" w:rsidP="00A443E2">
      <w:pPr>
        <w:pBdr>
          <w:top w:val="nil"/>
          <w:left w:val="nil"/>
          <w:bottom w:val="nil"/>
          <w:right w:val="nil"/>
          <w:between w:val="nil"/>
        </w:pBdr>
      </w:pPr>
    </w:p>
    <w:p w14:paraId="31377F4A"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lang w:val="en-US"/>
        </w:rPr>
        <w:t>Select and save the desired flow rate identified in step 3.1.1 (</w:t>
      </w:r>
      <w:r w:rsidRPr="00A443E2">
        <w:rPr>
          <w:b/>
          <w:bCs/>
          <w:color w:val="000000"/>
          <w:lang w:val="en-US"/>
        </w:rPr>
        <w:t>Supplementary Figure 3A,B</w:t>
      </w:r>
      <w:r w:rsidRPr="00A443E2">
        <w:rPr>
          <w:color w:val="000000"/>
          <w:lang w:val="en-US"/>
        </w:rPr>
        <w:t>). Ensure the “Infuse” option is selected (</w:t>
      </w:r>
      <w:r w:rsidRPr="00A443E2">
        <w:rPr>
          <w:b/>
          <w:bCs/>
          <w:color w:val="000000"/>
          <w:lang w:val="en-US"/>
        </w:rPr>
        <w:t>Supplementary Figure 3C,D</w:t>
      </w:r>
      <w:r w:rsidRPr="00A443E2">
        <w:rPr>
          <w:color w:val="000000"/>
          <w:lang w:val="en-US"/>
        </w:rPr>
        <w:t>).</w:t>
      </w:r>
    </w:p>
    <w:p w14:paraId="02F50BF1" w14:textId="77777777" w:rsidR="002234DA" w:rsidRPr="00A443E2" w:rsidRDefault="002234DA" w:rsidP="00A443E2">
      <w:pPr>
        <w:pBdr>
          <w:top w:val="nil"/>
          <w:left w:val="nil"/>
          <w:bottom w:val="nil"/>
          <w:right w:val="nil"/>
          <w:between w:val="nil"/>
        </w:pBdr>
      </w:pPr>
    </w:p>
    <w:p w14:paraId="391AFA3F" w14:textId="27E91ABF" w:rsidR="001D7B03" w:rsidRPr="00A443E2" w:rsidRDefault="00000000" w:rsidP="00A443E2">
      <w:pPr>
        <w:numPr>
          <w:ilvl w:val="2"/>
          <w:numId w:val="1"/>
        </w:numPr>
        <w:pBdr>
          <w:top w:val="nil"/>
          <w:left w:val="nil"/>
          <w:bottom w:val="nil"/>
          <w:right w:val="nil"/>
          <w:between w:val="nil"/>
        </w:pBdr>
        <w:ind w:left="0" w:firstLine="0"/>
      </w:pPr>
      <w:r w:rsidRPr="00A443E2">
        <w:rPr>
          <w:color w:val="000000"/>
          <w:lang w:val="en-US"/>
        </w:rPr>
        <w:t xml:space="preserve">Transfer the desired volume (up to 5 mL) of cell suspension into a conical tube. Adjust the </w:t>
      </w:r>
      <w:r w:rsidRPr="00EA4477">
        <w:rPr>
          <w:b/>
          <w:bCs/>
          <w:color w:val="000000"/>
          <w:lang w:val="en-US"/>
        </w:rPr>
        <w:t>Target Volume</w:t>
      </w:r>
      <w:r w:rsidRPr="00A443E2">
        <w:rPr>
          <w:color w:val="000000"/>
          <w:lang w:val="en-US"/>
        </w:rPr>
        <w:t xml:space="preserve"> on the syringe pump screen to correspond to the volume being used in a single syringe (</w:t>
      </w:r>
      <w:r w:rsidRPr="00A443E2">
        <w:rPr>
          <w:b/>
          <w:bCs/>
          <w:color w:val="000000"/>
          <w:lang w:val="en-US"/>
        </w:rPr>
        <w:t>Supplementary Figure 3E,F</w:t>
      </w:r>
      <w:r w:rsidRPr="00A443E2">
        <w:rPr>
          <w:color w:val="000000"/>
          <w:lang w:val="en-US"/>
        </w:rPr>
        <w:t>).</w:t>
      </w:r>
    </w:p>
    <w:p w14:paraId="3B139774" w14:textId="77777777" w:rsidR="002234DA" w:rsidRPr="00A443E2" w:rsidRDefault="002234DA" w:rsidP="00A443E2">
      <w:pPr>
        <w:pBdr>
          <w:top w:val="nil"/>
          <w:left w:val="nil"/>
          <w:bottom w:val="nil"/>
          <w:right w:val="nil"/>
          <w:between w:val="nil"/>
        </w:pBdr>
      </w:pPr>
    </w:p>
    <w:p w14:paraId="67E7D1AD" w14:textId="77777777" w:rsidR="00294972" w:rsidRPr="00294972" w:rsidRDefault="00000000" w:rsidP="00A443E2">
      <w:pPr>
        <w:numPr>
          <w:ilvl w:val="2"/>
          <w:numId w:val="1"/>
        </w:numPr>
        <w:pBdr>
          <w:top w:val="nil"/>
          <w:left w:val="nil"/>
          <w:bottom w:val="nil"/>
          <w:right w:val="nil"/>
          <w:between w:val="nil"/>
        </w:pBdr>
        <w:ind w:left="0" w:firstLine="0"/>
      </w:pPr>
      <w:r w:rsidRPr="00A443E2">
        <w:rPr>
          <w:color w:val="000000"/>
        </w:rPr>
        <w:t xml:space="preserve">Unscrew the capped needle and expel the blocking buffer into a waste container. </w:t>
      </w:r>
    </w:p>
    <w:p w14:paraId="3F61D3C0" w14:textId="77777777" w:rsidR="00AD79E3" w:rsidRDefault="00AD79E3" w:rsidP="00AD79E3">
      <w:pPr>
        <w:pBdr>
          <w:top w:val="nil"/>
          <w:left w:val="nil"/>
          <w:bottom w:val="nil"/>
          <w:right w:val="nil"/>
          <w:between w:val="nil"/>
        </w:pBdr>
        <w:rPr>
          <w:color w:val="000000"/>
        </w:rPr>
      </w:pPr>
    </w:p>
    <w:p w14:paraId="5AFF1DD9" w14:textId="1405D8FB" w:rsidR="001D7B03" w:rsidRPr="00A443E2" w:rsidRDefault="00000000" w:rsidP="00AD79E3">
      <w:pPr>
        <w:pBdr>
          <w:top w:val="nil"/>
          <w:left w:val="nil"/>
          <w:bottom w:val="nil"/>
          <w:right w:val="nil"/>
          <w:between w:val="nil"/>
        </w:pBdr>
      </w:pPr>
      <w:r w:rsidRPr="00A443E2">
        <w:rPr>
          <w:color w:val="000000"/>
        </w:rPr>
        <w:t>NOTE: This step marks the end of the blocking incubation of the needle(s) and syringe(s).</w:t>
      </w:r>
    </w:p>
    <w:p w14:paraId="0828FB4E" w14:textId="77777777" w:rsidR="001D7B03" w:rsidRPr="00A443E2" w:rsidRDefault="001D7B03" w:rsidP="00A443E2">
      <w:pPr>
        <w:pBdr>
          <w:top w:val="nil"/>
          <w:left w:val="nil"/>
          <w:bottom w:val="nil"/>
          <w:right w:val="nil"/>
          <w:between w:val="nil"/>
        </w:pBdr>
      </w:pPr>
    </w:p>
    <w:p w14:paraId="273DA146" w14:textId="77777777" w:rsidR="001D7B03" w:rsidRPr="00EA4477" w:rsidRDefault="00000000" w:rsidP="00A443E2">
      <w:pPr>
        <w:numPr>
          <w:ilvl w:val="1"/>
          <w:numId w:val="1"/>
        </w:numPr>
        <w:pBdr>
          <w:top w:val="nil"/>
          <w:left w:val="nil"/>
          <w:bottom w:val="nil"/>
          <w:right w:val="nil"/>
          <w:between w:val="nil"/>
        </w:pBdr>
        <w:ind w:left="0" w:firstLine="0"/>
        <w:rPr>
          <w:color w:val="000000"/>
        </w:rPr>
      </w:pPr>
      <w:r w:rsidRPr="00EA4477">
        <w:rPr>
          <w:color w:val="000000"/>
        </w:rPr>
        <w:t>FSS experiment</w:t>
      </w:r>
    </w:p>
    <w:p w14:paraId="438EA696" w14:textId="77777777" w:rsidR="00BE5634" w:rsidRPr="00A443E2" w:rsidRDefault="00BE5634" w:rsidP="00A443E2">
      <w:pPr>
        <w:pBdr>
          <w:top w:val="nil"/>
          <w:left w:val="nil"/>
          <w:bottom w:val="nil"/>
          <w:right w:val="nil"/>
          <w:between w:val="nil"/>
        </w:pBdr>
        <w:rPr>
          <w:b/>
          <w:bCs/>
          <w:color w:val="000000"/>
        </w:rPr>
      </w:pPr>
    </w:p>
    <w:p w14:paraId="0260CE47"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Unscrew the capped needle if not already done. Without the needle attached, slowly draw the cell suspension into the syringe. </w:t>
      </w:r>
    </w:p>
    <w:p w14:paraId="318C6E36" w14:textId="77777777" w:rsidR="00BE5634" w:rsidRPr="00A443E2" w:rsidRDefault="00BE5634" w:rsidP="00A443E2">
      <w:pPr>
        <w:pBdr>
          <w:top w:val="nil"/>
          <w:left w:val="nil"/>
          <w:bottom w:val="nil"/>
          <w:right w:val="nil"/>
          <w:between w:val="nil"/>
        </w:pBdr>
      </w:pPr>
    </w:p>
    <w:p w14:paraId="56D63715"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Gently tap the syringe and push the plunger upward until any air bubbles are removed. Screw the capped needles onto the loaded syringes. </w:t>
      </w:r>
    </w:p>
    <w:p w14:paraId="6AE8629B" w14:textId="77777777" w:rsidR="00BE5634" w:rsidRPr="00A443E2" w:rsidRDefault="00BE5634" w:rsidP="00A443E2">
      <w:pPr>
        <w:pBdr>
          <w:top w:val="nil"/>
          <w:left w:val="nil"/>
          <w:bottom w:val="nil"/>
          <w:right w:val="nil"/>
          <w:between w:val="nil"/>
        </w:pBdr>
      </w:pPr>
    </w:p>
    <w:p w14:paraId="730C10CC"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Secure the loaded syringe(s) on the pump housing, with the pump lever flush against the top of the syringe plunger(s).</w:t>
      </w:r>
    </w:p>
    <w:p w14:paraId="3AE87A89" w14:textId="77777777" w:rsidR="00BE5634" w:rsidRPr="00A443E2" w:rsidRDefault="00BE5634" w:rsidP="00A443E2">
      <w:pPr>
        <w:pBdr>
          <w:top w:val="nil"/>
          <w:left w:val="nil"/>
          <w:bottom w:val="nil"/>
          <w:right w:val="nil"/>
          <w:between w:val="nil"/>
        </w:pBdr>
      </w:pPr>
    </w:p>
    <w:p w14:paraId="034E31B0" w14:textId="77777777" w:rsidR="006C0B44" w:rsidRPr="006C0B44" w:rsidRDefault="00000000" w:rsidP="00A443E2">
      <w:pPr>
        <w:numPr>
          <w:ilvl w:val="2"/>
          <w:numId w:val="1"/>
        </w:numPr>
        <w:pBdr>
          <w:top w:val="nil"/>
          <w:left w:val="nil"/>
          <w:bottom w:val="nil"/>
          <w:right w:val="nil"/>
          <w:between w:val="nil"/>
        </w:pBdr>
        <w:ind w:left="0" w:firstLine="0"/>
      </w:pPr>
      <w:r w:rsidRPr="00A443E2">
        <w:rPr>
          <w:color w:val="000000"/>
          <w:lang w:val="en-US"/>
        </w:rPr>
        <w:t xml:space="preserve">Remove needle cap. </w:t>
      </w:r>
    </w:p>
    <w:p w14:paraId="08D8AA62" w14:textId="77777777" w:rsidR="006C0B44" w:rsidRDefault="006C0B44" w:rsidP="006C0B44">
      <w:pPr>
        <w:pStyle w:val="ListParagraph"/>
        <w:rPr>
          <w:color w:val="000000"/>
          <w:lang w:val="en-US"/>
        </w:rPr>
      </w:pPr>
    </w:p>
    <w:p w14:paraId="30ED4FBB" w14:textId="70979C25" w:rsidR="001D7B03" w:rsidRPr="00A443E2" w:rsidRDefault="00000000" w:rsidP="006C0B44">
      <w:pPr>
        <w:pBdr>
          <w:top w:val="nil"/>
          <w:left w:val="nil"/>
          <w:bottom w:val="nil"/>
          <w:right w:val="nil"/>
          <w:between w:val="nil"/>
        </w:pBdr>
      </w:pPr>
      <w:r w:rsidRPr="00A443E2">
        <w:rPr>
          <w:color w:val="000000"/>
          <w:lang w:val="en-US"/>
        </w:rPr>
        <w:t>CAUTION: Exercise caution around uncapped needles to prevent injury.</w:t>
      </w:r>
    </w:p>
    <w:p w14:paraId="7BF41AB4" w14:textId="77777777" w:rsidR="00BE5634" w:rsidRPr="00A443E2" w:rsidRDefault="00BE5634" w:rsidP="00A443E2">
      <w:pPr>
        <w:pBdr>
          <w:top w:val="nil"/>
          <w:left w:val="nil"/>
          <w:bottom w:val="nil"/>
          <w:right w:val="nil"/>
          <w:between w:val="nil"/>
        </w:pBdr>
      </w:pPr>
    </w:p>
    <w:p w14:paraId="107F3458" w14:textId="77777777" w:rsidR="00006DEB" w:rsidRPr="00006DEB" w:rsidRDefault="00000000" w:rsidP="00A443E2">
      <w:pPr>
        <w:numPr>
          <w:ilvl w:val="2"/>
          <w:numId w:val="1"/>
        </w:numPr>
        <w:pBdr>
          <w:top w:val="nil"/>
          <w:left w:val="nil"/>
          <w:bottom w:val="nil"/>
          <w:right w:val="nil"/>
          <w:between w:val="nil"/>
        </w:pBdr>
        <w:ind w:left="0" w:firstLine="0"/>
      </w:pPr>
      <w:r w:rsidRPr="00A443E2">
        <w:rPr>
          <w:color w:val="000000"/>
        </w:rPr>
        <w:t xml:space="preserve">Position collection tubes at a 45° angle at the tip of each needle, supported in a tube rack </w:t>
      </w:r>
      <w:r w:rsidRPr="00A443E2">
        <w:rPr>
          <w:color w:val="000000"/>
        </w:rPr>
        <w:lastRenderedPageBreak/>
        <w:t>(</w:t>
      </w:r>
      <w:r w:rsidRPr="00A443E2">
        <w:rPr>
          <w:b/>
          <w:bCs/>
          <w:color w:val="000000"/>
        </w:rPr>
        <w:t>Supplementary Figure 3G</w:t>
      </w:r>
      <w:r w:rsidRPr="00A443E2">
        <w:rPr>
          <w:color w:val="000000"/>
        </w:rPr>
        <w:t>).</w:t>
      </w:r>
    </w:p>
    <w:p w14:paraId="0C778C72" w14:textId="77777777" w:rsidR="00006DEB" w:rsidRDefault="00006DEB" w:rsidP="00006DEB">
      <w:pPr>
        <w:pBdr>
          <w:top w:val="nil"/>
          <w:left w:val="nil"/>
          <w:bottom w:val="nil"/>
          <w:right w:val="nil"/>
          <w:between w:val="nil"/>
        </w:pBdr>
        <w:rPr>
          <w:color w:val="000000"/>
        </w:rPr>
      </w:pPr>
    </w:p>
    <w:p w14:paraId="1B1888E2" w14:textId="4B1DA876" w:rsidR="001D7B03" w:rsidRPr="00A443E2" w:rsidRDefault="00000000" w:rsidP="00006DEB">
      <w:pPr>
        <w:pBdr>
          <w:top w:val="nil"/>
          <w:left w:val="nil"/>
          <w:bottom w:val="nil"/>
          <w:right w:val="nil"/>
          <w:between w:val="nil"/>
        </w:pBdr>
      </w:pPr>
      <w:r w:rsidRPr="00A443E2">
        <w:rPr>
          <w:color w:val="000000"/>
        </w:rPr>
        <w:t xml:space="preserve">CAUTION: Shear no more than two samples simultaneously (one at each end of the pump) to minimize the number of uncapped needles present in the biosafety cabinet at any given time. </w:t>
      </w:r>
    </w:p>
    <w:p w14:paraId="27D5F04C" w14:textId="77777777" w:rsidR="00BE5634" w:rsidRPr="00A443E2" w:rsidRDefault="00BE5634" w:rsidP="00A443E2">
      <w:pPr>
        <w:pBdr>
          <w:top w:val="nil"/>
          <w:left w:val="nil"/>
          <w:bottom w:val="nil"/>
          <w:right w:val="nil"/>
          <w:between w:val="nil"/>
        </w:pBdr>
      </w:pPr>
    </w:p>
    <w:p w14:paraId="174818AD" w14:textId="52361C88"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Start a 2 min timer.</w:t>
      </w:r>
      <w:r w:rsidRPr="00A443E2">
        <w:t xml:space="preserve"> </w:t>
      </w:r>
      <w:r w:rsidRPr="00A443E2">
        <w:rPr>
          <w:color w:val="000000"/>
        </w:rPr>
        <w:t xml:space="preserve">Immediately press the </w:t>
      </w:r>
      <w:r w:rsidRPr="00EA4477">
        <w:rPr>
          <w:b/>
          <w:bCs/>
          <w:color w:val="000000"/>
        </w:rPr>
        <w:t xml:space="preserve">Run </w:t>
      </w:r>
      <w:r w:rsidRPr="00A443E2">
        <w:rPr>
          <w:color w:val="000000"/>
        </w:rPr>
        <w:t>(green right arrow) button to start the pump and collect the cell suspension in the collection tubes (</w:t>
      </w:r>
      <w:r w:rsidRPr="00A443E2">
        <w:rPr>
          <w:b/>
          <w:bCs/>
          <w:color w:val="000000"/>
        </w:rPr>
        <w:t>Supplementary Figure 3H</w:t>
      </w:r>
      <w:r w:rsidRPr="00A443E2">
        <w:rPr>
          <w:color w:val="000000"/>
        </w:rPr>
        <w:t xml:space="preserve">). </w:t>
      </w:r>
    </w:p>
    <w:p w14:paraId="49FCF165" w14:textId="77777777" w:rsidR="00BE5634" w:rsidRPr="00A443E2" w:rsidRDefault="00BE5634" w:rsidP="00A443E2">
      <w:pPr>
        <w:pBdr>
          <w:top w:val="nil"/>
          <w:left w:val="nil"/>
          <w:bottom w:val="nil"/>
          <w:right w:val="nil"/>
          <w:between w:val="nil"/>
        </w:pBdr>
      </w:pPr>
    </w:p>
    <w:p w14:paraId="43E75EC4" w14:textId="563FCB4F"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Once the syringe plunger has reached the end of its travel and all the cell suspension has been expelled, retract the pump lever to its starting position and press the </w:t>
      </w:r>
      <w:r w:rsidRPr="00EA4477">
        <w:rPr>
          <w:b/>
          <w:bCs/>
          <w:color w:val="000000"/>
        </w:rPr>
        <w:t>Reset</w:t>
      </w:r>
      <w:r w:rsidRPr="00A443E2">
        <w:rPr>
          <w:color w:val="000000"/>
        </w:rPr>
        <w:t xml:space="preserve"> button (counterclockwise yellow arrow) on the syringe pump screen (</w:t>
      </w:r>
      <w:r w:rsidRPr="00A443E2">
        <w:rPr>
          <w:b/>
          <w:bCs/>
          <w:color w:val="000000"/>
        </w:rPr>
        <w:t>Supplementary Figure 3I</w:t>
      </w:r>
      <w:r w:rsidRPr="00A443E2">
        <w:rPr>
          <w:color w:val="000000"/>
        </w:rPr>
        <w:t>).</w:t>
      </w:r>
    </w:p>
    <w:p w14:paraId="6068FC4A" w14:textId="77777777" w:rsidR="00BE5634" w:rsidRPr="00A443E2" w:rsidRDefault="00BE5634" w:rsidP="00A443E2">
      <w:pPr>
        <w:pBdr>
          <w:top w:val="nil"/>
          <w:left w:val="nil"/>
          <w:bottom w:val="nil"/>
          <w:right w:val="nil"/>
          <w:between w:val="nil"/>
        </w:pBdr>
      </w:pPr>
    </w:p>
    <w:p w14:paraId="3D241BFF" w14:textId="77777777" w:rsidR="00006DEB" w:rsidRPr="00006DEB" w:rsidRDefault="00000000" w:rsidP="00A443E2">
      <w:pPr>
        <w:numPr>
          <w:ilvl w:val="2"/>
          <w:numId w:val="1"/>
        </w:numPr>
        <w:pBdr>
          <w:top w:val="nil"/>
          <w:left w:val="nil"/>
          <w:bottom w:val="nil"/>
          <w:right w:val="nil"/>
          <w:between w:val="nil"/>
        </w:pBdr>
        <w:ind w:left="0" w:firstLine="0"/>
      </w:pPr>
      <w:r w:rsidRPr="00A443E2">
        <w:rPr>
          <w:color w:val="000000"/>
          <w:lang w:val="en-US"/>
        </w:rPr>
        <w:t xml:space="preserve">Unload the syringes one at a time, beginning with the syringe closest to you and proceeding outward. </w:t>
      </w:r>
    </w:p>
    <w:p w14:paraId="370F6ECD" w14:textId="77777777" w:rsidR="00006DEB" w:rsidRDefault="00006DEB" w:rsidP="00006DEB">
      <w:pPr>
        <w:pStyle w:val="ListParagraph"/>
        <w:rPr>
          <w:color w:val="000000"/>
          <w:lang w:val="en-US"/>
        </w:rPr>
      </w:pPr>
    </w:p>
    <w:p w14:paraId="1E2B6EB4" w14:textId="623F9AD7" w:rsidR="001D7B03" w:rsidRPr="00A443E2" w:rsidRDefault="00000000" w:rsidP="00006DEB">
      <w:pPr>
        <w:pBdr>
          <w:top w:val="nil"/>
          <w:left w:val="nil"/>
          <w:bottom w:val="nil"/>
          <w:right w:val="nil"/>
          <w:between w:val="nil"/>
        </w:pBdr>
      </w:pPr>
      <w:r w:rsidRPr="00A443E2">
        <w:rPr>
          <w:color w:val="000000"/>
          <w:lang w:val="en-US"/>
        </w:rPr>
        <w:t>CAUTION: Always unload and recap syringes in order from closest to furthest to avoid passing an unprotected hand over an exposed needle.</w:t>
      </w:r>
    </w:p>
    <w:p w14:paraId="564B43E4" w14:textId="77777777" w:rsidR="00BE5634" w:rsidRPr="00A443E2" w:rsidRDefault="00BE5634" w:rsidP="00A443E2">
      <w:pPr>
        <w:pBdr>
          <w:top w:val="nil"/>
          <w:left w:val="nil"/>
          <w:bottom w:val="nil"/>
          <w:right w:val="nil"/>
          <w:between w:val="nil"/>
        </w:pBdr>
      </w:pPr>
    </w:p>
    <w:p w14:paraId="1CDAB7D8" w14:textId="77777777" w:rsidR="00006DEB" w:rsidRPr="00006DEB" w:rsidRDefault="00000000" w:rsidP="00A443E2">
      <w:pPr>
        <w:numPr>
          <w:ilvl w:val="2"/>
          <w:numId w:val="1"/>
        </w:numPr>
        <w:pBdr>
          <w:top w:val="nil"/>
          <w:left w:val="nil"/>
          <w:bottom w:val="nil"/>
          <w:right w:val="nil"/>
          <w:between w:val="nil"/>
        </w:pBdr>
        <w:ind w:left="0" w:firstLine="0"/>
      </w:pPr>
      <w:r w:rsidRPr="00A443E2">
        <w:rPr>
          <w:color w:val="000000"/>
          <w:lang w:val="en-US"/>
        </w:rPr>
        <w:t xml:space="preserve">Recap needles using proper single-handed technique: place the cap upright in a microcentrifuge tube holder and lower the needle into it with one hand. </w:t>
      </w:r>
    </w:p>
    <w:p w14:paraId="35ADCCB9" w14:textId="77777777" w:rsidR="00F356A6" w:rsidRDefault="00F356A6" w:rsidP="00006DEB">
      <w:pPr>
        <w:pBdr>
          <w:top w:val="nil"/>
          <w:left w:val="nil"/>
          <w:bottom w:val="nil"/>
          <w:right w:val="nil"/>
          <w:between w:val="nil"/>
        </w:pBdr>
        <w:rPr>
          <w:color w:val="000000"/>
          <w:lang w:val="en-US"/>
        </w:rPr>
      </w:pPr>
    </w:p>
    <w:p w14:paraId="0342BFA5" w14:textId="76D3C808" w:rsidR="001D7B03" w:rsidRPr="00A443E2" w:rsidRDefault="00000000" w:rsidP="00006DEB">
      <w:pPr>
        <w:pBdr>
          <w:top w:val="nil"/>
          <w:left w:val="nil"/>
          <w:bottom w:val="nil"/>
          <w:right w:val="nil"/>
          <w:between w:val="nil"/>
        </w:pBdr>
      </w:pPr>
      <w:r w:rsidRPr="00006DEB">
        <w:rPr>
          <w:color w:val="000000"/>
          <w:lang w:val="en-US"/>
        </w:rPr>
        <w:t>CAUTION: Recapping needles carries a risk of needlestick injury.</w:t>
      </w:r>
    </w:p>
    <w:p w14:paraId="271F7A50" w14:textId="77777777" w:rsidR="00BE5634" w:rsidRPr="00A443E2" w:rsidRDefault="00BE5634" w:rsidP="00A443E2">
      <w:pPr>
        <w:pBdr>
          <w:top w:val="nil"/>
          <w:left w:val="nil"/>
          <w:bottom w:val="nil"/>
          <w:right w:val="nil"/>
          <w:between w:val="nil"/>
        </w:pBdr>
      </w:pPr>
    </w:p>
    <w:p w14:paraId="32BEBEA9"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 xml:space="preserve">Unscrew and remove the capped needle. </w:t>
      </w:r>
    </w:p>
    <w:p w14:paraId="5355E0B1" w14:textId="77777777" w:rsidR="00BE5634" w:rsidRPr="00A443E2" w:rsidRDefault="00BE5634" w:rsidP="00A443E2">
      <w:pPr>
        <w:pBdr>
          <w:top w:val="nil"/>
          <w:left w:val="nil"/>
          <w:bottom w:val="nil"/>
          <w:right w:val="nil"/>
          <w:between w:val="nil"/>
        </w:pBdr>
      </w:pPr>
    </w:p>
    <w:p w14:paraId="5AA52932"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rPr>
        <w:t>Draw the sheared cell suspension from the collection tube back into the syringe and secure the loaded syringe as described in steps 3.6.1–3.6.5.</w:t>
      </w:r>
    </w:p>
    <w:p w14:paraId="654D926C" w14:textId="77777777" w:rsidR="00BE5634" w:rsidRPr="00A443E2" w:rsidRDefault="00BE5634" w:rsidP="00A443E2">
      <w:pPr>
        <w:pBdr>
          <w:top w:val="nil"/>
          <w:left w:val="nil"/>
          <w:bottom w:val="nil"/>
          <w:right w:val="nil"/>
          <w:between w:val="nil"/>
        </w:pBdr>
      </w:pPr>
    </w:p>
    <w:p w14:paraId="0D2A3ECE" w14:textId="5D0F6D51" w:rsidR="001D7B03" w:rsidRPr="00A443E2" w:rsidRDefault="00000000" w:rsidP="00A443E2">
      <w:pPr>
        <w:numPr>
          <w:ilvl w:val="2"/>
          <w:numId w:val="1"/>
        </w:numPr>
        <w:pBdr>
          <w:top w:val="nil"/>
          <w:left w:val="nil"/>
          <w:bottom w:val="nil"/>
          <w:right w:val="nil"/>
          <w:between w:val="nil"/>
        </w:pBdr>
        <w:ind w:left="0" w:firstLine="0"/>
        <w:rPr>
          <w:color w:val="000000"/>
          <w:lang w:val="en-US"/>
        </w:rPr>
      </w:pPr>
      <w:r w:rsidRPr="00A443E2">
        <w:rPr>
          <w:color w:val="000000" w:themeColor="text1"/>
          <w:lang w:val="en-US"/>
        </w:rPr>
        <w:t xml:space="preserve">When the timer from step 3.6.6 goes off, reset and restart the 2 min timer. Press </w:t>
      </w:r>
      <w:r w:rsidRPr="00EA4477">
        <w:rPr>
          <w:b/>
          <w:bCs/>
          <w:color w:val="000000" w:themeColor="text1"/>
          <w:lang w:val="en-US"/>
        </w:rPr>
        <w:t xml:space="preserve">Run </w:t>
      </w:r>
      <w:r w:rsidRPr="00A443E2">
        <w:rPr>
          <w:color w:val="000000" w:themeColor="text1"/>
          <w:lang w:val="en-US"/>
        </w:rPr>
        <w:t>(green right arrow) button to initiate the next FSS pulse (</w:t>
      </w:r>
      <w:r w:rsidRPr="00A443E2">
        <w:rPr>
          <w:b/>
          <w:bCs/>
          <w:color w:val="000000" w:themeColor="text1"/>
          <w:lang w:val="en-US"/>
        </w:rPr>
        <w:t>Supplementary Figure 3H</w:t>
      </w:r>
      <w:r w:rsidRPr="00A443E2">
        <w:rPr>
          <w:color w:val="000000" w:themeColor="text1"/>
          <w:lang w:val="en-US"/>
        </w:rPr>
        <w:t>).</w:t>
      </w:r>
    </w:p>
    <w:p w14:paraId="32372DDD" w14:textId="77777777" w:rsidR="00BE5634" w:rsidRPr="00A443E2" w:rsidRDefault="00BE5634" w:rsidP="00A443E2">
      <w:pPr>
        <w:pBdr>
          <w:top w:val="nil"/>
          <w:left w:val="nil"/>
          <w:bottom w:val="nil"/>
          <w:right w:val="nil"/>
          <w:between w:val="nil"/>
        </w:pBdr>
        <w:rPr>
          <w:color w:val="000000"/>
          <w:lang w:val="en-US"/>
        </w:rPr>
      </w:pPr>
    </w:p>
    <w:p w14:paraId="28B81DEF"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themeColor="text1"/>
        </w:rPr>
        <w:t>Repeat steps 3.6.1–3.6.12 until the desired number of FSS pulses is reached.</w:t>
      </w:r>
    </w:p>
    <w:p w14:paraId="515016EC" w14:textId="77777777" w:rsidR="00BE5634" w:rsidRPr="00A443E2" w:rsidRDefault="00BE5634" w:rsidP="00A443E2">
      <w:pPr>
        <w:pBdr>
          <w:top w:val="nil"/>
          <w:left w:val="nil"/>
          <w:bottom w:val="nil"/>
          <w:right w:val="nil"/>
          <w:between w:val="nil"/>
        </w:pBdr>
      </w:pPr>
    </w:p>
    <w:p w14:paraId="3A611D09" w14:textId="77777777" w:rsidR="001D7B03" w:rsidRPr="00A443E2" w:rsidRDefault="00000000" w:rsidP="00A443E2">
      <w:pPr>
        <w:numPr>
          <w:ilvl w:val="2"/>
          <w:numId w:val="1"/>
        </w:numPr>
        <w:pBdr>
          <w:top w:val="nil"/>
          <w:left w:val="nil"/>
          <w:bottom w:val="nil"/>
          <w:right w:val="nil"/>
          <w:between w:val="nil"/>
        </w:pBdr>
        <w:ind w:left="0" w:firstLine="0"/>
      </w:pPr>
      <w:r w:rsidRPr="00A443E2">
        <w:rPr>
          <w:color w:val="000000" w:themeColor="text1"/>
          <w:lang w:val="en-US"/>
        </w:rPr>
        <w:t xml:space="preserve">Following the final FSS </w:t>
      </w:r>
      <w:r w:rsidRPr="00A443E2">
        <w:rPr>
          <w:lang w:val="en-US"/>
        </w:rPr>
        <w:t xml:space="preserve">pulse, </w:t>
      </w:r>
      <w:r w:rsidRPr="00A443E2">
        <w:rPr>
          <w:color w:val="000000" w:themeColor="text1"/>
          <w:lang w:val="en-US"/>
        </w:rPr>
        <w:t>plate the cell suspension or use immediately for downstream analysis.</w:t>
      </w:r>
    </w:p>
    <w:p w14:paraId="3AA3B97D" w14:textId="77777777" w:rsidR="001D7B03" w:rsidRPr="00A443E2" w:rsidRDefault="001D7B03" w:rsidP="00A443E2">
      <w:pPr>
        <w:pBdr>
          <w:top w:val="nil"/>
          <w:left w:val="nil"/>
          <w:bottom w:val="nil"/>
          <w:right w:val="nil"/>
          <w:between w:val="nil"/>
        </w:pBdr>
      </w:pPr>
    </w:p>
    <w:p w14:paraId="360FB45F" w14:textId="77777777" w:rsidR="001D7B03" w:rsidRPr="00A443E2" w:rsidRDefault="00000000" w:rsidP="00A443E2">
      <w:pPr>
        <w:pBdr>
          <w:top w:val="nil"/>
          <w:left w:val="nil"/>
          <w:bottom w:val="nil"/>
          <w:right w:val="nil"/>
          <w:between w:val="nil"/>
        </w:pBdr>
        <w:rPr>
          <w:b/>
          <w:bCs/>
        </w:rPr>
      </w:pPr>
      <w:r w:rsidRPr="00A443E2">
        <w:rPr>
          <w:b/>
          <w:bCs/>
        </w:rPr>
        <w:t>RESULTS:</w:t>
      </w:r>
    </w:p>
    <w:p w14:paraId="138770B0" w14:textId="6BA78BD9" w:rsidR="001D7B03" w:rsidRDefault="7A11D9E6" w:rsidP="00A443E2">
      <w:pPr>
        <w:pBdr>
          <w:top w:val="nil"/>
          <w:left w:val="nil"/>
          <w:bottom w:val="nil"/>
          <w:right w:val="nil"/>
          <w:between w:val="nil"/>
        </w:pBdr>
        <w:rPr>
          <w:lang w:val="en-US"/>
        </w:rPr>
      </w:pPr>
      <w:r w:rsidRPr="00A443E2">
        <w:rPr>
          <w:b/>
          <w:bCs/>
          <w:color w:val="000000" w:themeColor="text1"/>
          <w:lang w:val="en-US"/>
        </w:rPr>
        <w:t>Figure 3</w:t>
      </w:r>
      <w:r w:rsidRPr="00A443E2">
        <w:rPr>
          <w:color w:val="000000" w:themeColor="text1"/>
          <w:lang w:val="en-US"/>
        </w:rPr>
        <w:t xml:space="preserve"> characterizes primary and immortalized (Jurkat) T cell responses to FSS applied via cone-and-plate viscometer and multichannel pipettor (</w:t>
      </w:r>
      <w:r w:rsidRPr="00A443E2">
        <w:rPr>
          <w:b/>
          <w:bCs/>
          <w:color w:val="000000" w:themeColor="text1"/>
          <w:lang w:val="en-US"/>
        </w:rPr>
        <w:t>Figure 3A</w:t>
      </w:r>
      <w:r w:rsidRPr="00A443E2">
        <w:rPr>
          <w:color w:val="000000" w:themeColor="text1"/>
          <w:lang w:val="en-US"/>
        </w:rPr>
        <w:t xml:space="preserve">) at room </w:t>
      </w:r>
      <w:r w:rsidRPr="00877848">
        <w:rPr>
          <w:color w:val="000000" w:themeColor="text1"/>
          <w:lang w:val="en-US"/>
        </w:rPr>
        <w:t>(25 °C) or physiologically relevant (40 °C to approximate 37 °C; see Discussion)</w:t>
      </w:r>
      <w:r w:rsidRPr="00A443E2">
        <w:rPr>
          <w:color w:val="000000" w:themeColor="text1"/>
          <w:lang w:val="en-US"/>
        </w:rPr>
        <w:t xml:space="preserve"> temperatures across proliferation, activation, and cytokine production metrics. Note that the two platforms were not run at matched temperatures or shear magnitudes due to setup limitations (e.g., viscometers not equipped with heating elements); therefore, the comparison between them is qualitative. </w:t>
      </w:r>
      <w:r w:rsidRPr="00A443E2">
        <w:rPr>
          <w:b/>
          <w:bCs/>
          <w:lang w:val="en-US"/>
        </w:rPr>
        <w:t xml:space="preserve">Figure 3B,C </w:t>
      </w:r>
      <w:r w:rsidRPr="00A443E2">
        <w:rPr>
          <w:lang w:val="en-US"/>
        </w:rPr>
        <w:t xml:space="preserve">demonstrate the violet proliferation dye-based division kinetics for primary T cells across six </w:t>
      </w:r>
      <w:r w:rsidRPr="00A443E2">
        <w:rPr>
          <w:lang w:val="en-US"/>
        </w:rPr>
        <w:lastRenderedPageBreak/>
        <w:t xml:space="preserve">treatment conditions, with and without anti-CD3/CD28 bead stimulation and FSS applied by viscometer or multichannel pipettor. Across all timepoints, expansion fold trended higher for both the viscometer and the multichannel pipettor FSS+bead treatments than for beads alone, with the effect becoming more pronounced at later timepoints. FSS+bead and bead-only conditions reached near-100% divided by Day 6/7 and maintained through Day 8/9, while static and FSS-only remained near zero throughout. Donor-to-donor variability was expected and observed in expansion fold magnitude, and individual donor dots are shown for transparency. The progressive increase in expansion fold over time is consistent with a cumulative proliferative advantage conferred by FSS treatment to bead-activated T cells. </w:t>
      </w:r>
    </w:p>
    <w:p w14:paraId="35510A26" w14:textId="77777777" w:rsidR="008E160B" w:rsidRPr="00A443E2" w:rsidRDefault="008E160B" w:rsidP="00A443E2">
      <w:pPr>
        <w:pBdr>
          <w:top w:val="nil"/>
          <w:left w:val="nil"/>
          <w:bottom w:val="nil"/>
          <w:right w:val="nil"/>
          <w:between w:val="nil"/>
        </w:pBdr>
        <w:rPr>
          <w:color w:val="000000"/>
          <w:lang w:val="en-US"/>
        </w:rPr>
      </w:pPr>
    </w:p>
    <w:p w14:paraId="4DFAD10D" w14:textId="75ACCA22" w:rsidR="001D7B03" w:rsidRPr="00A443E2" w:rsidRDefault="00000000" w:rsidP="00A443E2">
      <w:pPr>
        <w:pBdr>
          <w:top w:val="nil"/>
          <w:left w:val="nil"/>
          <w:bottom w:val="nil"/>
          <w:right w:val="nil"/>
          <w:between w:val="nil"/>
        </w:pBdr>
        <w:rPr>
          <w:lang w:val="en-US"/>
        </w:rPr>
      </w:pPr>
      <w:r w:rsidRPr="00A443E2">
        <w:rPr>
          <w:b/>
          <w:bCs/>
          <w:lang w:val="en-US"/>
        </w:rPr>
        <w:t>Figure 3D–G depict</w:t>
      </w:r>
      <w:r w:rsidRPr="00A443E2">
        <w:rPr>
          <w:lang w:val="en-US"/>
        </w:rPr>
        <w:t xml:space="preserve"> Jurkat responses to viscometer-based FSS as determined by flow cytometry. We used a violet proliferation dye that halves in signal intensity as cells divide. The viscometer FSS+bead treatment consistently displayed significantly higher proliferation (lowest violet MFI) than all other conditions as early as Day 3 (</w:t>
      </w:r>
      <w:r w:rsidRPr="00A443E2">
        <w:rPr>
          <w:b/>
          <w:bCs/>
          <w:lang w:val="en-US"/>
        </w:rPr>
        <w:t>Figure 3D</w:t>
      </w:r>
      <w:r w:rsidRPr="00A443E2">
        <w:rPr>
          <w:lang w:val="en-US"/>
        </w:rPr>
        <w:t>). Ki-67 findings corroborate the proliferation dye data, with the FSS+bead condition highest at all timepoints (</w:t>
      </w:r>
      <w:r w:rsidRPr="00A443E2">
        <w:rPr>
          <w:b/>
          <w:bCs/>
          <w:lang w:val="en-US"/>
        </w:rPr>
        <w:t>Figure 3E</w:t>
      </w:r>
      <w:r w:rsidRPr="00A443E2">
        <w:rPr>
          <w:lang w:val="en-US"/>
        </w:rPr>
        <w:t>). Furthermore, Jurkat cells were incubated with a protein transport inhibitor for 4 h prior to antibody staining and flow cytometry analysis, such that produced cytokines accumulated intracellularly. Production of the pro-inflammatory cytokine IFN-γ trended higher in the FSS+bead group compared to beads alone across timepoints, although no statistical significance was observed between these two groups; IFN-γ cytokine production in all conditions declined by Day 6, consistent with an acute pro-inflammatory response (</w:t>
      </w:r>
      <w:r w:rsidRPr="00A443E2">
        <w:rPr>
          <w:b/>
          <w:bCs/>
          <w:lang w:val="en-US"/>
        </w:rPr>
        <w:t>Figure 3F</w:t>
      </w:r>
      <w:r w:rsidRPr="00A443E2">
        <w:rPr>
          <w:lang w:val="en-US"/>
        </w:rPr>
        <w:t>). CD69 is an early activation marker in T cells; FSS+bead treatment significantly elevated Day 3 CD69 expression compared to other groups, confirming that FSS enhances early activation (</w:t>
      </w:r>
      <w:r w:rsidRPr="00A443E2">
        <w:rPr>
          <w:b/>
          <w:bCs/>
          <w:lang w:val="en-US"/>
        </w:rPr>
        <w:t>Figure 3G</w:t>
      </w:r>
      <w:r w:rsidRPr="00A443E2">
        <w:rPr>
          <w:lang w:val="en-US"/>
        </w:rPr>
        <w:t xml:space="preserve">). </w:t>
      </w:r>
    </w:p>
    <w:p w14:paraId="2A32B3A5" w14:textId="77777777" w:rsidR="001D7B03" w:rsidRPr="00A443E2" w:rsidRDefault="001D7B03" w:rsidP="00A443E2">
      <w:pPr>
        <w:pBdr>
          <w:top w:val="nil"/>
          <w:left w:val="nil"/>
          <w:bottom w:val="nil"/>
          <w:right w:val="nil"/>
          <w:between w:val="nil"/>
        </w:pBdr>
      </w:pPr>
    </w:p>
    <w:p w14:paraId="76228533" w14:textId="77777777" w:rsidR="001D7B03" w:rsidRPr="00A443E2" w:rsidRDefault="00000000" w:rsidP="00A443E2">
      <w:pPr>
        <w:pBdr>
          <w:top w:val="nil"/>
          <w:left w:val="nil"/>
          <w:bottom w:val="nil"/>
          <w:right w:val="nil"/>
          <w:between w:val="nil"/>
        </w:pBdr>
        <w:rPr>
          <w:lang w:val="en-US"/>
        </w:rPr>
      </w:pPr>
      <w:r w:rsidRPr="00A443E2">
        <w:rPr>
          <w:b/>
          <w:bCs/>
          <w:lang w:val="en-US"/>
        </w:rPr>
        <w:t>Figure 4</w:t>
      </w:r>
      <w:r w:rsidRPr="00A443E2">
        <w:rPr>
          <w:lang w:val="en-US"/>
        </w:rPr>
        <w:t xml:space="preserve"> characterizes monocyte and macrophage phagocytosis and actin signatures following 30 min of pipettor-based FSS treatment with modified needle tips (</w:t>
      </w:r>
      <w:r w:rsidRPr="00A443E2">
        <w:rPr>
          <w:b/>
          <w:bCs/>
          <w:lang w:val="en-US"/>
        </w:rPr>
        <w:t>Figure 4A</w:t>
      </w:r>
      <w:r w:rsidRPr="00A443E2">
        <w:rPr>
          <w:lang w:val="en-US"/>
        </w:rPr>
        <w:t xml:space="preserve">). Prior to FSS, THP-1 monocytes were differentiated to unpolarized (M0) macrophages via exposure to 500 nM PMA for up to 48 h; subsequently, the macrophages were polarized to M2-like phenotypes via IL-4 and IL-13 supplementation for 48 h (data not shown). Sheared M2 macrophages exhibited significantly increased phagocytic activity compared to their static M2 counterparts, as indicated by a pH-sensitive green dye conjugated to </w:t>
      </w:r>
      <w:r w:rsidRPr="00A443E2">
        <w:rPr>
          <w:i/>
          <w:iCs/>
          <w:lang w:val="en-US"/>
        </w:rPr>
        <w:t>E. coli</w:t>
      </w:r>
      <w:r w:rsidRPr="00A443E2">
        <w:rPr>
          <w:lang w:val="en-US"/>
        </w:rPr>
        <w:t xml:space="preserve"> bioparticles that fluoresces in the acidic environment of a phagocytosed vesicle (</w:t>
      </w:r>
      <w:r w:rsidRPr="00A443E2">
        <w:rPr>
          <w:b/>
          <w:bCs/>
          <w:lang w:val="en-US"/>
        </w:rPr>
        <w:t>Figure 4B,D</w:t>
      </w:r>
      <w:r w:rsidRPr="00A443E2">
        <w:rPr>
          <w:lang w:val="en-US"/>
        </w:rPr>
        <w:t>). Additionally, sheared M2 macrophages exhibited significantly higher actin signal (CTCF) than their static M2 counterparts (</w:t>
      </w:r>
      <w:r w:rsidRPr="00A443E2">
        <w:rPr>
          <w:b/>
          <w:bCs/>
          <w:lang w:val="en-US"/>
        </w:rPr>
        <w:t>Figure 4C</w:t>
      </w:r>
      <w:r w:rsidRPr="00A443E2">
        <w:rPr>
          <w:lang w:val="en-US"/>
        </w:rPr>
        <w:t>), consistent with FSS-enhanced actin reorganization</w:t>
      </w:r>
      <w:sdt>
        <w:sdtPr>
          <w:rPr>
            <w:lang w:val="en-US"/>
          </w:rPr>
          <w:alias w:val="SmartCite Citation"/>
          <w:tag w:val="a9e2a68d-fe3b-412d-8c06-1ac3ca305ac6:9816ac87-894a-45a6-afd3-a21681e7562d+{&quot;a9e2a68d-fe3b-412d-8c06-1ac3ca305ac6:9816ac87-894a-45a6-afd3-a21681e7562d&quot;:{&quot;doi&quot;:&quot;10.1038/s41467-021-23683-y&quot;,&quot;pmid&quot;:&quot;34112781&quot;,&quot;pmcid&quot;:&quot;PMC8192512&quot;}}"/>
          <w:id w:val="1509956389"/>
          <w:placeholder>
            <w:docPart w:val="584DED1E96E24F87B76C7641B62D0D3A"/>
          </w:placeholder>
        </w:sdtPr>
        <w:sdtContent>
          <w:r w:rsidRPr="00A443E2">
            <w:rPr>
              <w:rFonts w:eastAsia="Times New Roman"/>
              <w:vertAlign w:val="superscript"/>
            </w:rPr>
            <w:t>35</w:t>
          </w:r>
        </w:sdtContent>
      </w:sdt>
      <w:r w:rsidRPr="00A443E2">
        <w:rPr>
          <w:lang w:val="en-US"/>
        </w:rPr>
        <w:t>. In contrast, FSS treatment of M0 macrophages or monocytes did not significantly increase their phagocytic activity (</w:t>
      </w:r>
      <w:r w:rsidRPr="00A443E2">
        <w:rPr>
          <w:b/>
          <w:bCs/>
          <w:lang w:val="en-US"/>
        </w:rPr>
        <w:t>Figure 4B,D</w:t>
      </w:r>
      <w:r w:rsidRPr="00A443E2">
        <w:rPr>
          <w:lang w:val="en-US"/>
        </w:rPr>
        <w:t>). Because identical acquisition and display settings were applied across all panels, the quantification in Figure 4B,C, rather than the Figure 4D images alone, forms the basis for our conclusions.</w:t>
      </w:r>
    </w:p>
    <w:p w14:paraId="7B62F97A" w14:textId="77777777" w:rsidR="008F1CBA" w:rsidRPr="00A443E2" w:rsidRDefault="008F1CBA" w:rsidP="00A443E2">
      <w:pPr>
        <w:pBdr>
          <w:top w:val="nil"/>
          <w:left w:val="nil"/>
          <w:bottom w:val="nil"/>
          <w:right w:val="nil"/>
          <w:between w:val="nil"/>
        </w:pBdr>
        <w:rPr>
          <w:lang w:val="en-US"/>
        </w:rPr>
      </w:pPr>
    </w:p>
    <w:p w14:paraId="255CE193" w14:textId="77777777" w:rsidR="001D7B03" w:rsidRPr="00A443E2" w:rsidRDefault="00000000" w:rsidP="00A443E2">
      <w:pPr>
        <w:pBdr>
          <w:top w:val="nil"/>
          <w:left w:val="nil"/>
          <w:bottom w:val="nil"/>
          <w:right w:val="nil"/>
          <w:between w:val="nil"/>
        </w:pBdr>
        <w:rPr>
          <w:lang w:val="en-US"/>
        </w:rPr>
      </w:pPr>
      <w:r w:rsidRPr="00A443E2">
        <w:rPr>
          <w:lang w:val="en-US"/>
        </w:rPr>
        <w:t xml:space="preserve">We propose two distinct mechanistic arms to contextualize this phenotype-dependent </w:t>
      </w:r>
      <w:proofErr w:type="spellStart"/>
      <w:r w:rsidRPr="00A443E2">
        <w:rPr>
          <w:lang w:val="en-US"/>
        </w:rPr>
        <w:t>mechanoresponsiveness</w:t>
      </w:r>
      <w:proofErr w:type="spellEnd"/>
      <w:r w:rsidRPr="00A443E2">
        <w:rPr>
          <w:lang w:val="en-US"/>
        </w:rPr>
        <w:t xml:space="preserve">: </w:t>
      </w:r>
      <w:r w:rsidRPr="00A443E2">
        <w:rPr>
          <w:i/>
          <w:iCs/>
          <w:lang w:val="en-US"/>
        </w:rPr>
        <w:t>capture</w:t>
      </w:r>
      <w:r w:rsidRPr="00A443E2">
        <w:rPr>
          <w:lang w:val="en-US"/>
        </w:rPr>
        <w:t xml:space="preserve"> (surface receptors that bind bacteria), which is modulated by IL-4/IL-13 signaling</w:t>
      </w:r>
      <w:sdt>
        <w:sdtPr>
          <w:rPr>
            <w:lang w:val="en-US"/>
          </w:rPr>
          <w:alias w:val="SmartCite Citation"/>
          <w:tag w:val="a9e2a68d-fe3b-412d-8c06-1ac3ca305ac6:50462e29-8db5-45b4-84ec-4ae36c819bb5,a9e2a68d-fe3b-412d-8c06-1ac3ca305ac6:737d2610-0a5b-4fa1-8018-0572ba29fe21+{&quot;a9e2a68d-fe3b-412d-8c06-1ac3ca305ac6:50462e29-8db5-45b4-84ec-4ae36c819bb5&quot;:{&quot;doi&quot;:&quot;10.1084/jem.176.1.287&quot;,&quot;pmid&quot;:&quot;1613462&quot;,&quot;pmcid&quot;:&quot;PMC2119288&quot;},&quot;a9e2a68d-fe3b-412d-8c06-1ac3ca305ac6:737d2610-0a5b-4fa1-8018-0572ba29fe21&quot;:{&quot;pmid&quot;:&quot;10202000&quot;}}"/>
          <w:id w:val="-1005355967"/>
          <w:placeholder>
            <w:docPart w:val="584DED1E96E24F87B76C7641B62D0D3A"/>
          </w:placeholder>
        </w:sdtPr>
        <w:sdtContent>
          <w:r w:rsidRPr="00A443E2">
            <w:rPr>
              <w:rFonts w:eastAsia="Times New Roman"/>
              <w:vertAlign w:val="superscript"/>
            </w:rPr>
            <w:t>36,37</w:t>
          </w:r>
        </w:sdtContent>
      </w:sdt>
      <w:r w:rsidRPr="00A443E2">
        <w:rPr>
          <w:lang w:val="en-US"/>
        </w:rPr>
        <w:t xml:space="preserve">, and </w:t>
      </w:r>
      <w:r w:rsidRPr="00A443E2">
        <w:rPr>
          <w:i/>
          <w:iCs/>
          <w:lang w:val="en-US"/>
        </w:rPr>
        <w:t>internalization</w:t>
      </w:r>
      <w:r w:rsidRPr="00A443E2">
        <w:rPr>
          <w:lang w:val="en-US"/>
        </w:rPr>
        <w:t xml:space="preserve"> (actin rearrangement to engulf bacteria), which is modulated here by calcium signaling</w:t>
      </w:r>
      <w:sdt>
        <w:sdtPr>
          <w:rPr>
            <w:lang w:val="en-US"/>
          </w:rPr>
          <w:alias w:val="SmartCite Citation"/>
          <w:tag w:val="a9e2a68d-fe3b-412d-8c06-1ac3ca305ac6:9816ac87-894a-45a6-afd3-a21681e7562d,a9e2a68d-fe3b-412d-8c06-1ac3ca305ac6:2072922b-85ef-40aa-89f4-fa254de52c25+{&quot;a9e2a68d-fe3b-412d-8c06-1ac3ca305ac6:9816ac87-894a-45a6-afd3-a21681e7562d&quot;:{&quot;doi&quot;:&quot;10.1038/s41467-021-23683-y&quot;,&quot;pmid&quot;:&quot;34112781&quot;,&quot;pmcid&quot;:&quot;PMC8192512&quot;},&quot;a9e2a68d-fe3b-412d-8c06-1ac3ca305ac6:2072922b-85ef-40aa-89f4-fa254de52c25&quot;:{&quot;doi&quot;:&quot;10.1007/s00018-024-05372-3&quot;,&quot;pmid&quot;:&quot;39107572&quot;,&quot;pmcid&quot;:&quot;PMC11335255&quot;}}"/>
          <w:id w:val="-1698311664"/>
          <w:placeholder>
            <w:docPart w:val="584DED1E96E24F87B76C7641B62D0D3A"/>
          </w:placeholder>
        </w:sdtPr>
        <w:sdtContent>
          <w:r w:rsidRPr="00A443E2">
            <w:rPr>
              <w:rFonts w:eastAsia="Times New Roman"/>
              <w:vertAlign w:val="superscript"/>
            </w:rPr>
            <w:t>35,38</w:t>
          </w:r>
        </w:sdtContent>
      </w:sdt>
      <w:r w:rsidRPr="00A443E2">
        <w:rPr>
          <w:lang w:val="en-US"/>
        </w:rPr>
        <w:t>. IL-4/IL-13-polarized M2 macrophages upregulate capture receptors compared to M0 macrophages</w:t>
      </w:r>
      <w:sdt>
        <w:sdtPr>
          <w:rPr>
            <w:lang w:val="en-US"/>
          </w:rPr>
          <w:alias w:val="SmartCite Citation"/>
          <w:tag w:val="a9e2a68d-fe3b-412d-8c06-1ac3ca305ac6:50462e29-8db5-45b4-84ec-4ae36c819bb5,a9e2a68d-fe3b-412d-8c06-1ac3ca305ac6:737d2610-0a5b-4fa1-8018-0572ba29fe21+{&quot;a9e2a68d-fe3b-412d-8c06-1ac3ca305ac6:50462e29-8db5-45b4-84ec-4ae36c819bb5&quot;:{&quot;doi&quot;:&quot;10.1084/jem.176.1.287&quot;,&quot;pmid&quot;:&quot;1613462&quot;,&quot;pmcid&quot;:&quot;PMC2119288&quot;},&quot;a9e2a68d-fe3b-412d-8c06-1ac3ca305ac6:737d2610-0a5b-4fa1-8018-0572ba29fe21&quot;:{&quot;pmid&quot;:&quot;10202000&quot;}}"/>
          <w:id w:val="-1798677044"/>
          <w:placeholder>
            <w:docPart w:val="584DED1E96E24F87B76C7641B62D0D3A"/>
          </w:placeholder>
        </w:sdtPr>
        <w:sdtContent>
          <w:r w:rsidRPr="00A443E2">
            <w:rPr>
              <w:rFonts w:eastAsia="Times New Roman"/>
              <w:vertAlign w:val="superscript"/>
            </w:rPr>
            <w:t>36,37</w:t>
          </w:r>
        </w:sdtContent>
      </w:sdt>
      <w:r w:rsidRPr="00A443E2">
        <w:rPr>
          <w:lang w:val="en-US"/>
        </w:rPr>
        <w:t xml:space="preserve">, expanding M2’s bacterial binding capacity </w:t>
      </w:r>
      <w:r w:rsidRPr="00A443E2">
        <w:rPr>
          <w:lang w:val="en-US"/>
        </w:rPr>
        <w:lastRenderedPageBreak/>
        <w:t xml:space="preserve">for phagocytosis. However, M2 basal uptake may have remained capped by internalization machinery, so M2 static basal phagocytosis was comparable to that of static monocytes and significantly lower than that of static M0 macrophages </w:t>
      </w:r>
      <w:r w:rsidRPr="00A443E2">
        <w:rPr>
          <w:b/>
          <w:bCs/>
          <w:lang w:val="en-US"/>
        </w:rPr>
        <w:t>(Figure 4B,D)</w:t>
      </w:r>
      <w:r w:rsidRPr="00A443E2">
        <w:rPr>
          <w:lang w:val="en-US"/>
        </w:rPr>
        <w:t>. On the other hand, when M2 macrophages were sheared, FSS-mediated Piezo1 activation and calcium influx catalyzed actin remodeling</w:t>
      </w:r>
      <w:sdt>
        <w:sdtPr>
          <w:rPr>
            <w:lang w:val="en-US"/>
          </w:rPr>
          <w:alias w:val="SmartCite Citation"/>
          <w:tag w:val="a9e2a68d-fe3b-412d-8c06-1ac3ca305ac6:9816ac87-894a-45a6-afd3-a21681e7562d+{&quot;a9e2a68d-fe3b-412d-8c06-1ac3ca305ac6:9816ac87-894a-45a6-afd3-a21681e7562d&quot;:{&quot;doi&quot;:&quot;10.1038/s41467-021-23683-y&quot;,&quot;pmid&quot;:&quot;34112781&quot;,&quot;pmcid&quot;:&quot;PMC8192512&quot;}}"/>
          <w:id w:val="2139447447"/>
          <w:placeholder>
            <w:docPart w:val="D44B411CE9924C85A450B3F8C25A6CC1"/>
          </w:placeholder>
        </w:sdtPr>
        <w:sdtContent>
          <w:r w:rsidRPr="00A443E2">
            <w:rPr>
              <w:rFonts w:eastAsia="Times New Roman"/>
              <w:vertAlign w:val="superscript"/>
            </w:rPr>
            <w:t>35</w:t>
          </w:r>
        </w:sdtContent>
      </w:sdt>
      <w:r w:rsidRPr="00A443E2">
        <w:rPr>
          <w:lang w:val="en-US"/>
        </w:rPr>
        <w:t xml:space="preserve">, consistent with the elevated actin signal observed in </w:t>
      </w:r>
      <w:r w:rsidRPr="00A443E2">
        <w:rPr>
          <w:b/>
          <w:bCs/>
          <w:lang w:val="en-US"/>
        </w:rPr>
        <w:t>Figure 4C</w:t>
      </w:r>
      <w:r w:rsidRPr="00A443E2">
        <w:rPr>
          <w:lang w:val="en-US"/>
        </w:rPr>
        <w:t xml:space="preserve">, releasing the rate-limiting internalization machinery and ultimately increasing phagocytic activity </w:t>
      </w:r>
      <w:r w:rsidRPr="00A443E2">
        <w:rPr>
          <w:b/>
          <w:bCs/>
          <w:lang w:val="en-US"/>
        </w:rPr>
        <w:t>(Figure 4B,D)</w:t>
      </w:r>
      <w:r w:rsidRPr="00A443E2">
        <w:rPr>
          <w:lang w:val="en-US"/>
        </w:rPr>
        <w:t>. In M0 macrophages, which were not exposed to IL-4/IL-13, calcium signaling would not be expected to increase phagocytic activity, as cytokine-driven capture rather than internalization is limiting. Monocytes are similarly constrained by the capture arm.</w:t>
      </w:r>
    </w:p>
    <w:p w14:paraId="77469B8A" w14:textId="77777777" w:rsidR="001D7B03" w:rsidRPr="00A443E2" w:rsidRDefault="001D7B03" w:rsidP="00A443E2">
      <w:pPr>
        <w:pBdr>
          <w:top w:val="nil"/>
          <w:left w:val="nil"/>
          <w:bottom w:val="nil"/>
          <w:right w:val="nil"/>
          <w:between w:val="nil"/>
        </w:pBdr>
        <w:rPr>
          <w:lang w:val="en-US"/>
        </w:rPr>
      </w:pPr>
    </w:p>
    <w:p w14:paraId="6ACA06D9" w14:textId="77777777" w:rsidR="001D7B03" w:rsidRPr="00A443E2" w:rsidRDefault="00000000" w:rsidP="00A443E2">
      <w:pPr>
        <w:pBdr>
          <w:top w:val="nil"/>
          <w:left w:val="nil"/>
          <w:bottom w:val="nil"/>
          <w:right w:val="nil"/>
          <w:between w:val="nil"/>
        </w:pBdr>
        <w:rPr>
          <w:lang w:val="en-US"/>
        </w:rPr>
      </w:pPr>
      <w:r w:rsidRPr="00A443E2">
        <w:rPr>
          <w:lang w:val="en-US"/>
        </w:rPr>
        <w:t>Because macrophage phagocytic capacity underlies emerging anti-tumor strategies such as CAR-macrophage therapy</w:t>
      </w:r>
      <w:sdt>
        <w:sdtPr>
          <w:rPr>
            <w:lang w:val="en-US"/>
          </w:rPr>
          <w:alias w:val="SmartCite Citation"/>
          <w:tag w:val="a9e2a68d-fe3b-412d-8c06-1ac3ca305ac6:f08db473-0789-4306-a0e6-5eb3df539ce8+{&quot;a9e2a68d-fe3b-412d-8c06-1ac3ca305ac6:f08db473-0789-4306-a0e6-5eb3df539ce8&quot;:{&quot;doi&quot;:&quot;10.1038/s41423-024-01220-3&quot;,&quot;pmid&quot;:&quot;39379603&quot;,&quot;pmcid&quot;:&quot;PMC11527885&quot;}}"/>
          <w:id w:val="-1092540840"/>
          <w:placeholder>
            <w:docPart w:val="584DED1E96E24F87B76C7641B62D0D3A"/>
          </w:placeholder>
        </w:sdtPr>
        <w:sdtContent>
          <w:r w:rsidRPr="00A443E2">
            <w:rPr>
              <w:rFonts w:eastAsia="Times New Roman"/>
              <w:vertAlign w:val="superscript"/>
            </w:rPr>
            <w:t>39</w:t>
          </w:r>
        </w:sdtContent>
      </w:sdt>
      <w:r w:rsidRPr="00A443E2">
        <w:rPr>
          <w:lang w:val="en-US"/>
        </w:rPr>
        <w:t xml:space="preserve">, FSS-based modulation of phagocytic capacity could enhance the anti-tumor responses of such therapies. That said, we note that our assay measured bacterial phagocytic capacity rather than tumor cell uptake, so future work on FSS-based modulation of cancer-specific phagocytic capacity would better support this concept. </w:t>
      </w:r>
    </w:p>
    <w:p w14:paraId="6375ADA3" w14:textId="77777777" w:rsidR="001D7B03" w:rsidRPr="00A443E2" w:rsidRDefault="001D7B03" w:rsidP="00A443E2">
      <w:pPr>
        <w:pBdr>
          <w:top w:val="nil"/>
          <w:left w:val="nil"/>
          <w:bottom w:val="nil"/>
          <w:right w:val="nil"/>
          <w:between w:val="nil"/>
        </w:pBdr>
        <w:rPr>
          <w:lang w:val="en-US"/>
        </w:rPr>
      </w:pPr>
    </w:p>
    <w:p w14:paraId="34933B54" w14:textId="2624CF5A" w:rsidR="001D7B03" w:rsidRPr="00A443E2" w:rsidRDefault="00000000" w:rsidP="00A443E2">
      <w:pPr>
        <w:pBdr>
          <w:top w:val="nil"/>
          <w:left w:val="nil"/>
          <w:bottom w:val="nil"/>
          <w:right w:val="nil"/>
          <w:between w:val="nil"/>
        </w:pBdr>
        <w:rPr>
          <w:color w:val="000000" w:themeColor="text1"/>
          <w:lang w:val="en-US"/>
        </w:rPr>
      </w:pPr>
      <w:r w:rsidRPr="00A443E2">
        <w:rPr>
          <w:b/>
          <w:bCs/>
          <w:color w:val="000000" w:themeColor="text1"/>
          <w:lang w:val="en-US"/>
        </w:rPr>
        <w:t xml:space="preserve">Figure 5 </w:t>
      </w:r>
      <w:r w:rsidRPr="00A443E2">
        <w:rPr>
          <w:color w:val="000000" w:themeColor="text1"/>
          <w:lang w:val="en-US"/>
        </w:rPr>
        <w:t>demonstrates the differential response of weakly (LNCaP) and highly (PC3) metastatic prostate cancer cell lines to ten high-intensity FSS pulses applied using the syringe pump method (</w:t>
      </w:r>
      <w:r w:rsidRPr="00A443E2">
        <w:rPr>
          <w:b/>
          <w:bCs/>
          <w:color w:val="000000" w:themeColor="text1"/>
          <w:lang w:val="en-US"/>
        </w:rPr>
        <w:t>Figure 5A</w:t>
      </w:r>
      <w:r w:rsidRPr="00A443E2">
        <w:rPr>
          <w:color w:val="000000" w:themeColor="text1"/>
          <w:lang w:val="en-US"/>
        </w:rPr>
        <w:t>). Viability was measured using the annexin-V/propidium iodide (AV/PI) flow cytometry assay. A significant decrease in the mean viability of the LNCaP cells was observed as the FSS pulse number was increased (</w:t>
      </w:r>
      <w:r w:rsidRPr="00A443E2">
        <w:rPr>
          <w:b/>
          <w:bCs/>
          <w:color w:val="000000" w:themeColor="text1"/>
          <w:lang w:val="en-US"/>
        </w:rPr>
        <w:t>Figure 5B</w:t>
      </w:r>
      <w:r w:rsidRPr="00A443E2">
        <w:rPr>
          <w:color w:val="000000" w:themeColor="text1"/>
          <w:lang w:val="en-US"/>
        </w:rPr>
        <w:t xml:space="preserve">), dropping to 19.5 ± 6.3% (mean ± SEM) at ten FSS pulses. </w:t>
      </w:r>
      <w:r w:rsidR="002E3B8A" w:rsidRPr="00A443E2">
        <w:rPr>
          <w:color w:val="000000" w:themeColor="text1"/>
          <w:lang w:val="en-US"/>
        </w:rPr>
        <w:t>N</w:t>
      </w:r>
      <w:r w:rsidRPr="00A443E2">
        <w:rPr>
          <w:color w:val="000000" w:themeColor="text1"/>
          <w:lang w:val="en-US"/>
        </w:rPr>
        <w:t>o significant changes in the percentage of PC3 cells in late-stage apoptosis were seen (</w:t>
      </w:r>
      <w:r w:rsidRPr="00A443E2">
        <w:rPr>
          <w:b/>
          <w:bCs/>
          <w:color w:val="000000" w:themeColor="text1"/>
          <w:lang w:val="en-US"/>
        </w:rPr>
        <w:t xml:space="preserve">Figure </w:t>
      </w:r>
      <w:r w:rsidRPr="00877848">
        <w:rPr>
          <w:b/>
          <w:bCs/>
          <w:color w:val="000000" w:themeColor="text1"/>
          <w:lang w:val="en-US"/>
        </w:rPr>
        <w:t>5C</w:t>
      </w:r>
      <w:r w:rsidRPr="00877848">
        <w:rPr>
          <w:color w:val="000000" w:themeColor="text1"/>
          <w:lang w:val="en-US"/>
        </w:rPr>
        <w:t>)</w:t>
      </w:r>
      <w:r w:rsidR="002E3B8A" w:rsidRPr="00877848">
        <w:rPr>
          <w:color w:val="000000" w:themeColor="text1"/>
          <w:lang w:val="en-US"/>
        </w:rPr>
        <w:t>; t</w:t>
      </w:r>
      <w:r w:rsidRPr="00877848">
        <w:rPr>
          <w:color w:val="000000" w:themeColor="text1"/>
          <w:lang w:val="en-US"/>
        </w:rPr>
        <w:t>he</w:t>
      </w:r>
      <w:r w:rsidRPr="00A443E2">
        <w:rPr>
          <w:color w:val="000000" w:themeColor="text1"/>
          <w:lang w:val="en-US"/>
        </w:rPr>
        <w:t xml:space="preserve"> percentage of PC3 cells in late-stage apoptosis was 7.95 ± 1.18% and 19.0 ± 2.3% at zero and ten FSS pulses, respectively. The representative flow plots in </w:t>
      </w:r>
      <w:r w:rsidRPr="00A443E2">
        <w:rPr>
          <w:b/>
          <w:bCs/>
          <w:color w:val="000000" w:themeColor="text1"/>
          <w:lang w:val="en-US"/>
        </w:rPr>
        <w:t>Figure 5D,E</w:t>
      </w:r>
      <w:r w:rsidRPr="00A443E2">
        <w:rPr>
          <w:color w:val="000000" w:themeColor="text1"/>
          <w:lang w:val="en-US"/>
        </w:rPr>
        <w:t xml:space="preserve"> exemplify the dramatic shift in the LNCaP cell populations residing in the late-stage apoptosis quadrant at five and ten FSS pulses compared to the zero FSS pulse condition, as well as the PC3 cells at zero, five, and ten FSS pulses. Overall, a lower baseline viability is observed in LNCaP cells under the zero (static) condition, consistent with previous literature and reflecting LNCaP cells’ intrinsic growth characteristics</w:t>
      </w:r>
      <w:sdt>
        <w:sdtPr>
          <w:rPr>
            <w:color w:val="000000" w:themeColor="text1"/>
            <w:lang w:val="en-US"/>
          </w:rPr>
          <w:alias w:val="SmartCite Citation"/>
          <w:tag w:val="a9e2a68d-fe3b-412d-8c06-1ac3ca305ac6:e9a6856c-ea42-49a0-9fa0-6a7aa260793a,a9e2a68d-fe3b-412d-8c06-1ac3ca305ac6:dc054ead-c810-4eb4-a12b-91bf1b53a94e+{&quot;a9e2a68d-fe3b-412d-8c06-1ac3ca305ac6:e9a6856c-ea42-49a0-9fa0-6a7aa260793a&quot;:{&quot;doi&quot;:&quot;10.1038/s42003-024-06327-x&quot;},&quot;a9e2a68d-fe3b-412d-8c06-1ac3ca305ac6:dc054ead-c810-4eb4-a12b-91bf1b53a94e&quot;:{&quot;doi&quot;:&quot;10.1002/advs.76535&quot;,&quot;pmid&quot;:&quot;42474106&quot;,&quot;pmcid&quot;:&quot;PMC13383692&quot;}}"/>
          <w:id w:val="-410692551"/>
          <w:placeholder>
            <w:docPart w:val="21948D0472684274A0D783897D2C8C59"/>
          </w:placeholder>
        </w:sdtPr>
        <w:sdtContent>
          <w:r w:rsidRPr="00A443E2">
            <w:rPr>
              <w:rFonts w:eastAsia="Times New Roman"/>
              <w:vertAlign w:val="superscript"/>
            </w:rPr>
            <w:t>31,33</w:t>
          </w:r>
        </w:sdtContent>
      </w:sdt>
      <w:r w:rsidRPr="00A443E2">
        <w:rPr>
          <w:color w:val="000000" w:themeColor="text1"/>
          <w:lang w:val="en-US"/>
        </w:rPr>
        <w:t xml:space="preserve">. This includes the greater sensitivity of the LNCaP cells to routine handling and mechanical dissociation during standard culture compared with PC3 cells. The LNCaP’s epithelial-like morphology also makes them more intrinsically fragile than most immortalized cancer cell lines, as they would have only been exposed to low, physiologically relevant FSS presented by the lymphatic system </w:t>
      </w:r>
      <w:r w:rsidRPr="00A443E2">
        <w:rPr>
          <w:i/>
          <w:iCs/>
          <w:color w:val="000000" w:themeColor="text1"/>
          <w:lang w:val="en-US"/>
        </w:rPr>
        <w:t>in vivo</w:t>
      </w:r>
      <w:sdt>
        <w:sdtPr>
          <w:rPr>
            <w:color w:val="000000" w:themeColor="text1"/>
            <w:lang w:val="en-US"/>
          </w:rPr>
          <w:alias w:val="SmartCite Citation"/>
          <w:tag w:val="a9e2a68d-fe3b-412d-8c06-1ac3ca305ac6:63ebf7a7-d3a0-4e5c-bdd2-70a55a3e7efb,a9e2a68d-fe3b-412d-8c06-1ac3ca305ac6:00cb1664-fc13-4ed4-83af-7201863d2c28+{&quot;a9e2a68d-fe3b-412d-8c06-1ac3ca305ac6:63ebf7a7-d3a0-4e5c-bdd2-70a55a3e7efb&quot;:{&quot;pmid&quot;:&quot;7384082&quot;},&quot;a9e2a68d-fe3b-412d-8c06-1ac3ca305ac6:00cb1664-fc13-4ed4-83af-7201863d2c28&quot;:{&quot;pmid&quot;:&quot;6831420&quot;}}"/>
          <w:id w:val="-1920633439"/>
          <w:placeholder>
            <w:docPart w:val="21948D0472684274A0D783897D2C8C59"/>
          </w:placeholder>
        </w:sdtPr>
        <w:sdtContent>
          <w:r w:rsidRPr="00A443E2">
            <w:rPr>
              <w:rFonts w:eastAsia="Times New Roman"/>
              <w:vertAlign w:val="superscript"/>
            </w:rPr>
            <w:t>40,41</w:t>
          </w:r>
        </w:sdtContent>
      </w:sdt>
      <w:r w:rsidRPr="00A443E2">
        <w:rPr>
          <w:color w:val="000000" w:themeColor="text1"/>
          <w:lang w:val="en-US"/>
        </w:rPr>
        <w:t>. Collectively, these data demonstrate that cancer cells of differing origin exhibit markedly divergent responses to extreme mechanical forces, even when classified within the same cancer type.</w:t>
      </w:r>
    </w:p>
    <w:p w14:paraId="0F57DBB0" w14:textId="77777777" w:rsidR="001D7B03" w:rsidRPr="00A443E2" w:rsidRDefault="001D7B03" w:rsidP="00A443E2">
      <w:pPr>
        <w:pBdr>
          <w:top w:val="nil"/>
          <w:left w:val="nil"/>
          <w:bottom w:val="nil"/>
          <w:right w:val="nil"/>
          <w:between w:val="nil"/>
        </w:pBdr>
        <w:rPr>
          <w:i/>
          <w:iCs/>
          <w:color w:val="000000"/>
        </w:rPr>
      </w:pPr>
    </w:p>
    <w:p w14:paraId="38939E11" w14:textId="77777777" w:rsidR="001D7B03" w:rsidRPr="00A443E2" w:rsidRDefault="00000000" w:rsidP="00A443E2">
      <w:r w:rsidRPr="00A443E2">
        <w:rPr>
          <w:b/>
          <w:bCs/>
        </w:rPr>
        <w:t>FIGURE AND TABLE LEGENDS:</w:t>
      </w:r>
    </w:p>
    <w:p w14:paraId="3A9E0890" w14:textId="77777777" w:rsidR="001D7B03" w:rsidRPr="00A443E2" w:rsidRDefault="001D7B03" w:rsidP="00A443E2"/>
    <w:p w14:paraId="5BBB48D0" w14:textId="422F4E00" w:rsidR="001D7B03" w:rsidRPr="00A443E2" w:rsidRDefault="00000000" w:rsidP="00A443E2">
      <w:pPr>
        <w:rPr>
          <w:lang w:val="en-US"/>
        </w:rPr>
      </w:pPr>
      <w:r w:rsidRPr="00A443E2">
        <w:rPr>
          <w:b/>
          <w:bCs/>
          <w:lang w:val="en-US"/>
        </w:rPr>
        <w:t>Figure 1</w:t>
      </w:r>
      <w:r w:rsidR="00F673A1">
        <w:rPr>
          <w:b/>
          <w:bCs/>
          <w:lang w:val="en-US"/>
        </w:rPr>
        <w:t>:</w:t>
      </w:r>
      <w:r w:rsidRPr="00A443E2">
        <w:rPr>
          <w:b/>
          <w:bCs/>
          <w:lang w:val="en-US"/>
        </w:rPr>
        <w:t xml:space="preserve"> FSS methods for modeling different vessels. </w:t>
      </w:r>
      <w:r w:rsidRPr="00A443E2">
        <w:rPr>
          <w:lang w:val="en-US"/>
        </w:rPr>
        <w:t>(</w:t>
      </w:r>
      <w:r w:rsidRPr="00A443E2">
        <w:rPr>
          <w:b/>
          <w:bCs/>
          <w:lang w:val="en-US"/>
        </w:rPr>
        <w:t>A</w:t>
      </w:r>
      <w:r w:rsidRPr="00A443E2">
        <w:rPr>
          <w:lang w:val="en-US"/>
        </w:rPr>
        <w:t>) Physiological FSS ranges exerted on cells circulating through healthy and diseased cardiovascular and lymphatic vessels. (</w:t>
      </w:r>
      <w:r w:rsidRPr="00A443E2">
        <w:rPr>
          <w:b/>
          <w:bCs/>
          <w:lang w:val="en-US"/>
        </w:rPr>
        <w:t>B</w:t>
      </w:r>
      <w:r w:rsidRPr="00A443E2">
        <w:rPr>
          <w:lang w:val="en-US"/>
        </w:rPr>
        <w:t>) In relation to human physiological range, FSS ranges attainable with cone-and-plate viscometers, multichannel pipettor, and syringe pump instruments. Using Supplementary Equations 1 and 2, we calculated the representative viscometer shear stress range with the following parameters: CPA-40Z (0.014 rad) and CPA-41Z (0.052 rad) spindle model cone angles, 0.3–150 RPM</w:t>
      </w:r>
      <w:r w:rsidR="00B7671F" w:rsidRPr="00A443E2">
        <w:rPr>
          <w:lang w:val="en-US"/>
        </w:rPr>
        <w:t xml:space="preserve"> </w:t>
      </w:r>
      <w:r w:rsidR="00B7671F" w:rsidRPr="00362AA8">
        <w:rPr>
          <w:lang w:val="en-US"/>
        </w:rPr>
        <w:t xml:space="preserve">(note: </w:t>
      </w:r>
      <w:r w:rsidR="00B7671F" w:rsidRPr="00362AA8">
        <w:rPr>
          <w:lang w:val="en-US"/>
        </w:rPr>
        <w:lastRenderedPageBreak/>
        <w:t xml:space="preserve">beyond the range reported in </w:t>
      </w:r>
      <w:r w:rsidR="00B7671F" w:rsidRPr="00F20AD1">
        <w:rPr>
          <w:lang w:val="en-US"/>
        </w:rPr>
        <w:t>Table 1</w:t>
      </w:r>
      <w:r w:rsidR="00B7671F" w:rsidRPr="00362AA8">
        <w:rPr>
          <w:lang w:val="en-US"/>
        </w:rPr>
        <w:t>)</w:t>
      </w:r>
      <w:r w:rsidRPr="00A443E2">
        <w:rPr>
          <w:lang w:val="en-US"/>
        </w:rPr>
        <w:t xml:space="preserve">, and empirically-derived viscosities of 1.5 cP at 37 </w:t>
      </w:r>
      <w:r w:rsidRPr="00A443E2">
        <w:t>°</w:t>
      </w:r>
      <w:r w:rsidRPr="00A443E2">
        <w:rPr>
          <w:lang w:val="en-US"/>
        </w:rPr>
        <w:t xml:space="preserve">C and 2.5 cP at 25 </w:t>
      </w:r>
      <w:r w:rsidRPr="00A443E2">
        <w:t>°</w:t>
      </w:r>
      <w:r w:rsidRPr="00A443E2">
        <w:rPr>
          <w:lang w:val="en-US"/>
        </w:rPr>
        <w:t>C.</w:t>
      </w:r>
    </w:p>
    <w:p w14:paraId="3AE53EDC" w14:textId="77777777" w:rsidR="001D7B03" w:rsidRPr="00A443E2" w:rsidRDefault="001D7B03" w:rsidP="00A443E2">
      <w:pPr>
        <w:rPr>
          <w:lang w:val="en-US"/>
        </w:rPr>
      </w:pPr>
    </w:p>
    <w:p w14:paraId="07A95BF6" w14:textId="3275680F" w:rsidR="001D7B03" w:rsidRPr="00A443E2" w:rsidRDefault="00000000" w:rsidP="00A443E2">
      <w:pPr>
        <w:rPr>
          <w:lang w:val="en-US"/>
        </w:rPr>
      </w:pPr>
      <w:r w:rsidRPr="00A443E2">
        <w:rPr>
          <w:b/>
          <w:bCs/>
          <w:lang w:val="en-US"/>
        </w:rPr>
        <w:t>Figure 2</w:t>
      </w:r>
      <w:r w:rsidR="00F673A1">
        <w:rPr>
          <w:b/>
          <w:bCs/>
          <w:lang w:val="en-US"/>
        </w:rPr>
        <w:t>:</w:t>
      </w:r>
      <w:r w:rsidRPr="00A443E2">
        <w:rPr>
          <w:b/>
          <w:bCs/>
          <w:lang w:val="en-US"/>
        </w:rPr>
        <w:t xml:space="preserve"> Stepwise fabrication of modified needle tips for medium-intensity FSS application via multichannel pipettor.</w:t>
      </w:r>
      <w:r w:rsidRPr="00A443E2">
        <w:rPr>
          <w:lang w:val="en-US"/>
        </w:rPr>
        <w:t xml:space="preserve"> (</w:t>
      </w:r>
      <w:r w:rsidRPr="00A443E2">
        <w:rPr>
          <w:b/>
          <w:bCs/>
          <w:lang w:val="en-US"/>
        </w:rPr>
        <w:t>A</w:t>
      </w:r>
      <w:r w:rsidRPr="00A443E2">
        <w:rPr>
          <w:lang w:val="en-US"/>
        </w:rPr>
        <w:t xml:space="preserve">) Cut site on “long” 300 µL pipette tips, located at the junction between the </w:t>
      </w:r>
      <w:r w:rsidRPr="00A443E2">
        <w:rPr>
          <w:color w:val="000000" w:themeColor="text1"/>
          <w:lang w:val="en-US"/>
        </w:rPr>
        <w:t>straight tube length from the tapered tip length</w:t>
      </w:r>
      <w:r w:rsidRPr="00A443E2">
        <w:rPr>
          <w:lang w:val="en-US"/>
        </w:rPr>
        <w:t xml:space="preserve"> (step 2.1.1). (</w:t>
      </w:r>
      <w:r w:rsidRPr="00A443E2">
        <w:rPr>
          <w:b/>
          <w:bCs/>
          <w:lang w:val="en-US"/>
        </w:rPr>
        <w:t>B</w:t>
      </w:r>
      <w:r w:rsidRPr="00A443E2">
        <w:rPr>
          <w:lang w:val="en-US"/>
        </w:rPr>
        <w:t>) Example cropped tip and a single silicone O-ring from multipack positioned above the cut end of the cropped tip (step 2.1.2). (</w:t>
      </w:r>
      <w:r w:rsidRPr="00A443E2">
        <w:rPr>
          <w:b/>
          <w:bCs/>
          <w:lang w:val="en-US"/>
        </w:rPr>
        <w:t>C</w:t>
      </w:r>
      <w:r w:rsidRPr="00A443E2">
        <w:rPr>
          <w:lang w:val="en-US"/>
        </w:rPr>
        <w:t>) Activated epoxy applied to the outer lower tip (step 2.1.4). (</w:t>
      </w:r>
      <w:r w:rsidRPr="00A443E2">
        <w:rPr>
          <w:b/>
          <w:bCs/>
          <w:lang w:val="en-US"/>
        </w:rPr>
        <w:t>D</w:t>
      </w:r>
      <w:r w:rsidRPr="00A443E2">
        <w:rPr>
          <w:lang w:val="en-US"/>
        </w:rPr>
        <w:t>) 22 G needle hub attached over epoxy-coated tip end (step 2.1.5). (</w:t>
      </w:r>
      <w:r w:rsidRPr="00A443E2">
        <w:rPr>
          <w:b/>
          <w:bCs/>
          <w:lang w:val="en-US"/>
        </w:rPr>
        <w:t>E</w:t>
      </w:r>
      <w:r w:rsidRPr="00A443E2">
        <w:rPr>
          <w:lang w:val="en-US"/>
        </w:rPr>
        <w:t>) O-ring seals the cavity at the base of the needle hub (step 2.1.6). (</w:t>
      </w:r>
      <w:r w:rsidRPr="00A443E2">
        <w:rPr>
          <w:b/>
          <w:bCs/>
          <w:lang w:val="en-US"/>
        </w:rPr>
        <w:t>F</w:t>
      </w:r>
      <w:r w:rsidRPr="00A443E2">
        <w:rPr>
          <w:lang w:val="en-US"/>
        </w:rPr>
        <w:t>) Cyanoacrylate adhesive applied over the O-ring to eliminate residual air pockets (step 2.1.7).</w:t>
      </w:r>
    </w:p>
    <w:p w14:paraId="07399E46" w14:textId="77777777" w:rsidR="001D7B03" w:rsidRPr="00A443E2" w:rsidRDefault="001D7B03" w:rsidP="00A443E2"/>
    <w:p w14:paraId="487995DB" w14:textId="30C4C436" w:rsidR="001D7B03" w:rsidRPr="00A443E2" w:rsidRDefault="00000000" w:rsidP="00A443E2">
      <w:r w:rsidRPr="00A443E2">
        <w:rPr>
          <w:b/>
          <w:bCs/>
          <w:lang w:val="en-US"/>
        </w:rPr>
        <w:t>Figure 3</w:t>
      </w:r>
      <w:r w:rsidR="00F673A1">
        <w:rPr>
          <w:b/>
          <w:bCs/>
          <w:lang w:val="en-US"/>
        </w:rPr>
        <w:t>:</w:t>
      </w:r>
      <w:r w:rsidRPr="00A443E2">
        <w:rPr>
          <w:b/>
          <w:bCs/>
          <w:lang w:val="en-US"/>
        </w:rPr>
        <w:t xml:space="preserve"> Representative FSS methods (viscometer and multichannel pipettor) and readouts on primary and immortalized T cells. </w:t>
      </w:r>
      <w:r w:rsidRPr="00A443E2">
        <w:rPr>
          <w:lang w:val="en-US"/>
        </w:rPr>
        <w:t>(</w:t>
      </w:r>
      <w:r w:rsidRPr="00A443E2">
        <w:rPr>
          <w:b/>
          <w:bCs/>
          <w:lang w:val="en-US"/>
        </w:rPr>
        <w:t>A</w:t>
      </w:r>
      <w:r w:rsidRPr="00A443E2">
        <w:rPr>
          <w:lang w:val="en-US"/>
        </w:rPr>
        <w:t>) Experimental protocol schematic for FSS on primary and immortalized (Jurkat) T cells. After a 30 min pre-incubation with anti-CD3/CD28 beads at day 0, 1 h of FSS was applied to the cell and bead mix: at 5 dyn/cm</w:t>
      </w:r>
      <w:r w:rsidRPr="00A443E2">
        <w:rPr>
          <w:vertAlign w:val="superscript"/>
          <w:lang w:val="en-US"/>
        </w:rPr>
        <w:t>2</w:t>
      </w:r>
      <w:r w:rsidRPr="00A443E2">
        <w:rPr>
          <w:lang w:val="en-US"/>
        </w:rPr>
        <w:t xml:space="preserve"> via cone-and-plate viscometer (CPA-41Z spindle at 100 RPM) at room temperature (25 </w:t>
      </w:r>
      <w:r w:rsidRPr="00A443E2">
        <w:t>°</w:t>
      </w:r>
      <w:r w:rsidRPr="00A443E2">
        <w:rPr>
          <w:lang w:val="en-US"/>
        </w:rPr>
        <w:t>C; no heated element equipped on this instrument), and at 90 dyn/cm</w:t>
      </w:r>
      <w:r w:rsidRPr="00A443E2">
        <w:rPr>
          <w:vertAlign w:val="superscript"/>
          <w:lang w:val="en-US"/>
        </w:rPr>
        <w:t>2</w:t>
      </w:r>
      <w:r w:rsidRPr="00A443E2">
        <w:rPr>
          <w:lang w:val="en-US"/>
        </w:rPr>
        <w:t xml:space="preserve"> via multichannel pipettor (unmodified tips at speed 7) at physiologically relevant temperature (40 </w:t>
      </w:r>
      <w:r w:rsidRPr="00A443E2">
        <w:t>°</w:t>
      </w:r>
      <w:r w:rsidRPr="00A443E2">
        <w:rPr>
          <w:lang w:val="en-US"/>
        </w:rPr>
        <w:t xml:space="preserve">C to approximate 37 </w:t>
      </w:r>
      <w:r w:rsidRPr="00A443E2">
        <w:t>°</w:t>
      </w:r>
      <w:r w:rsidRPr="00A443E2">
        <w:rPr>
          <w:lang w:val="en-US"/>
        </w:rPr>
        <w:t>C; see Discussion). Flow cytometry readouts were collected from day 3 onwards. (</w:t>
      </w:r>
      <w:r w:rsidRPr="00A443E2">
        <w:rPr>
          <w:b/>
          <w:bCs/>
          <w:lang w:val="en-US"/>
        </w:rPr>
        <w:t>B</w:t>
      </w:r>
      <w:r w:rsidRPr="00A443E2">
        <w:rPr>
          <w:lang w:val="en-US"/>
        </w:rPr>
        <w:t xml:space="preserve">) Figure legend for the six treatment conditions: static (grey), viscometer FSS only (green), multichannel pipettor FSS only (blue), beads only (orange), viscometer </w:t>
      </w:r>
      <w:proofErr w:type="spellStart"/>
      <w:r w:rsidRPr="00A443E2">
        <w:rPr>
          <w:lang w:val="en-US"/>
        </w:rPr>
        <w:t>FSS+beads</w:t>
      </w:r>
      <w:proofErr w:type="spellEnd"/>
      <w:r w:rsidRPr="00A443E2">
        <w:rPr>
          <w:lang w:val="en-US"/>
        </w:rPr>
        <w:t xml:space="preserve"> (pink), multichannel pipettor </w:t>
      </w:r>
      <w:proofErr w:type="spellStart"/>
      <w:r w:rsidRPr="00A443E2">
        <w:rPr>
          <w:lang w:val="en-US"/>
        </w:rPr>
        <w:t>FSS+beads</w:t>
      </w:r>
      <w:proofErr w:type="spellEnd"/>
      <w:r w:rsidRPr="00A443E2">
        <w:rPr>
          <w:lang w:val="en-US"/>
        </w:rPr>
        <w:t xml:space="preserve"> (purple). (</w:t>
      </w:r>
      <w:r w:rsidRPr="00A443E2">
        <w:rPr>
          <w:b/>
          <w:bCs/>
          <w:lang w:val="en-US"/>
        </w:rPr>
        <w:t>C</w:t>
      </w:r>
      <w:r w:rsidRPr="00A443E2">
        <w:rPr>
          <w:lang w:val="en-US"/>
        </w:rPr>
        <w:t>) Primary T cell (</w:t>
      </w:r>
      <w:r w:rsidRPr="00A443E2">
        <w:rPr>
          <w:i/>
          <w:iCs/>
          <w:lang w:val="en-US"/>
        </w:rPr>
        <w:t xml:space="preserve">n </w:t>
      </w:r>
      <w:r w:rsidRPr="00A443E2">
        <w:rPr>
          <w:lang w:val="en-US"/>
        </w:rPr>
        <w:t>= 2–4 donors per condition) CTV-derived metrics of expansion fold (left, defined as 2^</w:t>
      </w:r>
      <w:r w:rsidRPr="00A443E2">
        <w:rPr>
          <w:i/>
          <w:iCs/>
          <w:lang w:val="en-US"/>
        </w:rPr>
        <w:t>i</w:t>
      </w:r>
      <w:r w:rsidRPr="00A443E2">
        <w:rPr>
          <w:lang w:val="en-US"/>
        </w:rPr>
        <w:t xml:space="preserve">, where </w:t>
      </w:r>
      <w:proofErr w:type="spellStart"/>
      <w:r w:rsidRPr="00A443E2">
        <w:rPr>
          <w:i/>
          <w:iCs/>
          <w:lang w:val="en-US"/>
        </w:rPr>
        <w:t>i</w:t>
      </w:r>
      <w:proofErr w:type="spellEnd"/>
      <w:r w:rsidRPr="00A443E2">
        <w:rPr>
          <w:lang w:val="en-US"/>
        </w:rPr>
        <w:t xml:space="preserve"> represents the mean divisions per dividing cell) and percentage of live cells divided (right). Each row represents a different time interval following FSS treatment: days 3, 6/7, and 8/9. Each dot represents one donor; statistical comparison was omitted due to unequal </w:t>
      </w:r>
      <w:r w:rsidRPr="00A443E2">
        <w:rPr>
          <w:i/>
          <w:iCs/>
          <w:lang w:val="en-US"/>
        </w:rPr>
        <w:t>n</w:t>
      </w:r>
      <w:r w:rsidRPr="00A443E2">
        <w:rPr>
          <w:lang w:val="en-US"/>
        </w:rPr>
        <w:t xml:space="preserve"> between groups. (</w:t>
      </w:r>
      <w:r w:rsidRPr="00A443E2">
        <w:rPr>
          <w:b/>
          <w:bCs/>
          <w:lang w:val="en-US"/>
        </w:rPr>
        <w:t>D</w:t>
      </w:r>
      <w:r w:rsidRPr="00A443E2">
        <w:rPr>
          <w:lang w:val="en-US"/>
        </w:rPr>
        <w:t>) Jurkat cell CTV mean fluorescence intensity (MFI) as measured by flow cytometry on days 3, 6, and 8. (</w:t>
      </w:r>
      <w:r w:rsidRPr="00A443E2">
        <w:rPr>
          <w:b/>
          <w:bCs/>
          <w:lang w:val="en-US"/>
        </w:rPr>
        <w:t>E</w:t>
      </w:r>
      <w:r w:rsidRPr="00A443E2">
        <w:rPr>
          <w:lang w:val="en-US"/>
        </w:rPr>
        <w:t>) The percentage of Ki-67+ Jurkat cells as measured by flow cytometry on days 3, 6, and 8. (</w:t>
      </w:r>
      <w:r w:rsidRPr="00A443E2">
        <w:rPr>
          <w:b/>
          <w:bCs/>
          <w:lang w:val="en-US"/>
        </w:rPr>
        <w:t>F</w:t>
      </w:r>
      <w:r w:rsidRPr="00A443E2">
        <w:rPr>
          <w:lang w:val="en-US"/>
        </w:rPr>
        <w:t xml:space="preserve">) The percentage of IFN-γ-producing Jurkat cells following 4 h incubation with a protein transport inhibitor, as measured by flow cytometry on days 3 and 6. Numerical </w:t>
      </w:r>
      <w:r w:rsidRPr="00A443E2">
        <w:rPr>
          <w:i/>
          <w:lang w:val="en-US"/>
        </w:rPr>
        <w:t>P</w:t>
      </w:r>
      <w:r w:rsidRPr="00A443E2">
        <w:rPr>
          <w:lang w:val="en-US"/>
        </w:rPr>
        <w:t xml:space="preserve">-values are reported in this panel since beads </w:t>
      </w:r>
      <w:r w:rsidRPr="00A443E2">
        <w:rPr>
          <w:i/>
          <w:iCs/>
          <w:lang w:val="en-US"/>
        </w:rPr>
        <w:t>vs.</w:t>
      </w:r>
      <w:r w:rsidRPr="00A443E2">
        <w:rPr>
          <w:lang w:val="en-US"/>
        </w:rPr>
        <w:t xml:space="preserve"> </w:t>
      </w:r>
      <w:proofErr w:type="spellStart"/>
      <w:r w:rsidRPr="00A443E2">
        <w:rPr>
          <w:lang w:val="en-US"/>
        </w:rPr>
        <w:t>FSS+beads</w:t>
      </w:r>
      <w:proofErr w:type="spellEnd"/>
      <w:r w:rsidRPr="00A443E2">
        <w:rPr>
          <w:lang w:val="en-US"/>
        </w:rPr>
        <w:t xml:space="preserve"> group comparisons do not meet the threshold for statistical significance with α = 0.05. (</w:t>
      </w:r>
      <w:r w:rsidRPr="00A443E2">
        <w:rPr>
          <w:b/>
          <w:bCs/>
          <w:lang w:val="en-US"/>
        </w:rPr>
        <w:t>G</w:t>
      </w:r>
      <w:r w:rsidRPr="00A443E2">
        <w:rPr>
          <w:lang w:val="en-US"/>
        </w:rPr>
        <w:t xml:space="preserve">) Jurkat cell CD69 MFI as measured by flow cytometry on day 3. Each dot represents one technical replicate. For panels with statistical comparison: </w:t>
      </w:r>
      <w:r w:rsidRPr="00A443E2">
        <w:rPr>
          <w:i/>
          <w:lang w:val="en-US"/>
        </w:rPr>
        <w:t>p</w:t>
      </w:r>
      <w:r w:rsidRPr="00A443E2">
        <w:rPr>
          <w:lang w:val="en-US"/>
        </w:rPr>
        <w:t xml:space="preserve">-values calculated by two-way ANOVA with Dunnett’s tests versus Beads; </w:t>
      </w:r>
      <w:r w:rsidRPr="00A443E2">
        <w:rPr>
          <w:i/>
          <w:iCs/>
          <w:lang w:val="en-US"/>
        </w:rPr>
        <w:t xml:space="preserve">*p </w:t>
      </w:r>
      <w:r w:rsidRPr="00A443E2">
        <w:rPr>
          <w:lang w:val="en-US"/>
        </w:rPr>
        <w:t xml:space="preserve">&lt; 0.05, </w:t>
      </w:r>
      <w:r w:rsidRPr="00A443E2">
        <w:rPr>
          <w:i/>
          <w:iCs/>
          <w:lang w:val="en-US"/>
        </w:rPr>
        <w:t>**p</w:t>
      </w:r>
      <w:r w:rsidRPr="00A443E2">
        <w:rPr>
          <w:lang w:val="en-US"/>
        </w:rPr>
        <w:t xml:space="preserve"> &lt; 0.01, </w:t>
      </w:r>
      <w:r w:rsidRPr="00A443E2">
        <w:rPr>
          <w:i/>
          <w:iCs/>
          <w:lang w:val="en-US"/>
        </w:rPr>
        <w:t>***p</w:t>
      </w:r>
      <w:r w:rsidRPr="00A443E2">
        <w:rPr>
          <w:lang w:val="en-US"/>
        </w:rPr>
        <w:t xml:space="preserve"> &lt; 0.00</w:t>
      </w:r>
      <w:r w:rsidR="00AB4A9B" w:rsidRPr="00A443E2">
        <w:rPr>
          <w:lang w:val="en-US"/>
        </w:rPr>
        <w:t>1</w:t>
      </w:r>
      <w:r w:rsidRPr="00A443E2">
        <w:rPr>
          <w:lang w:val="en-US"/>
        </w:rPr>
        <w:t xml:space="preserve">, </w:t>
      </w:r>
      <w:r w:rsidRPr="00877848">
        <w:rPr>
          <w:i/>
          <w:iCs/>
          <w:lang w:val="en-US"/>
        </w:rPr>
        <w:t>****</w:t>
      </w:r>
      <w:r w:rsidRPr="00A443E2">
        <w:rPr>
          <w:i/>
          <w:iCs/>
          <w:lang w:val="en-US"/>
        </w:rPr>
        <w:t xml:space="preserve">p </w:t>
      </w:r>
      <w:r w:rsidRPr="00A443E2">
        <w:rPr>
          <w:lang w:val="en-US"/>
        </w:rPr>
        <w:t>&lt; 0.0001. Error bars represent mean ± SEM.</w:t>
      </w:r>
    </w:p>
    <w:p w14:paraId="7B76D5C3" w14:textId="77777777" w:rsidR="001D7B03" w:rsidRPr="00A443E2" w:rsidRDefault="001D7B03" w:rsidP="00A443E2"/>
    <w:p w14:paraId="18F38690" w14:textId="35960E6E" w:rsidR="001D7B03" w:rsidRPr="00A443E2" w:rsidRDefault="00000000" w:rsidP="00A443E2">
      <w:pPr>
        <w:rPr>
          <w:lang w:val="en-US"/>
        </w:rPr>
      </w:pPr>
      <w:r w:rsidRPr="00A443E2">
        <w:rPr>
          <w:b/>
          <w:bCs/>
          <w:lang w:val="en-US"/>
        </w:rPr>
        <w:t>Figure 4</w:t>
      </w:r>
      <w:r w:rsidR="00F673A1">
        <w:rPr>
          <w:b/>
          <w:bCs/>
          <w:lang w:val="en-US"/>
        </w:rPr>
        <w:t>:</w:t>
      </w:r>
      <w:r w:rsidRPr="00A443E2">
        <w:rPr>
          <w:b/>
          <w:bCs/>
          <w:lang w:val="en-US"/>
        </w:rPr>
        <w:t xml:space="preserve"> Representative FSS methods (multichannel pipettor) applied to primary monocytes and macrophages. </w:t>
      </w:r>
      <w:r w:rsidRPr="00A443E2">
        <w:rPr>
          <w:lang w:val="en-US"/>
        </w:rPr>
        <w:t>(</w:t>
      </w:r>
      <w:r w:rsidRPr="00A443E2">
        <w:rPr>
          <w:b/>
          <w:bCs/>
          <w:lang w:val="en-US"/>
        </w:rPr>
        <w:t>A</w:t>
      </w:r>
      <w:r w:rsidRPr="00A443E2">
        <w:rPr>
          <w:lang w:val="en-US"/>
        </w:rPr>
        <w:t>) Experimental protocol schematic to expose monocytes and macrophages to cyclical FSS (needle tips at speed 2; average FSS of 17.27 dyn/cm</w:t>
      </w:r>
      <w:r w:rsidRPr="00A443E2">
        <w:rPr>
          <w:vertAlign w:val="superscript"/>
          <w:lang w:val="en-US"/>
        </w:rPr>
        <w:t>2</w:t>
      </w:r>
      <w:r w:rsidRPr="00A443E2">
        <w:rPr>
          <w:lang w:val="en-US"/>
        </w:rPr>
        <w:t>) using a multichannel pipettor and modified needle tips for 30 min. (</w:t>
      </w:r>
      <w:r w:rsidRPr="00A443E2">
        <w:rPr>
          <w:b/>
          <w:bCs/>
          <w:lang w:val="en-US"/>
        </w:rPr>
        <w:t>B</w:t>
      </w:r>
      <w:r w:rsidRPr="00A443E2">
        <w:rPr>
          <w:lang w:val="en-US"/>
        </w:rPr>
        <w:t>) Quantification of the corrected total cell fluorescence (CTCF) of the mean FITC phagocytic bioparticles taken up by monocytes and macrophages 48 h post-FSS. (</w:t>
      </w:r>
      <w:r w:rsidRPr="00A443E2">
        <w:rPr>
          <w:b/>
          <w:bCs/>
          <w:lang w:val="en-US"/>
        </w:rPr>
        <w:t>C</w:t>
      </w:r>
      <w:r w:rsidRPr="00A443E2">
        <w:rPr>
          <w:lang w:val="en-US"/>
        </w:rPr>
        <w:t>) Quantification of the mean CTCF of actin at 48 h post-FSS. (</w:t>
      </w:r>
      <w:r w:rsidRPr="00A443E2">
        <w:rPr>
          <w:b/>
          <w:bCs/>
          <w:lang w:val="en-US"/>
        </w:rPr>
        <w:t>D</w:t>
      </w:r>
      <w:r w:rsidRPr="00A443E2">
        <w:rPr>
          <w:lang w:val="en-US"/>
        </w:rPr>
        <w:t xml:space="preserve">) Representative images of phagocytic activity (green = FITC-conjugated bioparticles, magenta = actin, cyan = DAPI) at 48 h post-FSS; scale bars = 15 μm. pH-sensitive bioparticles fluoresce only </w:t>
      </w:r>
      <w:r w:rsidRPr="00A443E2">
        <w:rPr>
          <w:lang w:val="en-US"/>
        </w:rPr>
        <w:lastRenderedPageBreak/>
        <w:t xml:space="preserve">in the acidic environment of a phagocytosed vesicle; thus, we have added white arrow annotations to point out the locations of phagocytosed bioparticles at this early timepoint. Identical acquisition and display settings were applied across all panels. (B,C) n = 3 independent experiments, each with 40 technical replicates/cells. </w:t>
      </w:r>
      <w:r w:rsidRPr="00A443E2">
        <w:rPr>
          <w:i/>
          <w:lang w:val="en-US"/>
        </w:rPr>
        <w:t>p</w:t>
      </w:r>
      <w:r w:rsidRPr="00A443E2">
        <w:rPr>
          <w:lang w:val="en-US"/>
        </w:rPr>
        <w:t xml:space="preserve">-values calculated by one-way ANOVA with Tukey’s post hoc tests for multiple comparisons; </w:t>
      </w:r>
      <w:r w:rsidRPr="00A443E2">
        <w:rPr>
          <w:i/>
          <w:iCs/>
          <w:lang w:val="en-US"/>
        </w:rPr>
        <w:t xml:space="preserve">*p </w:t>
      </w:r>
      <w:r w:rsidRPr="00A443E2">
        <w:rPr>
          <w:lang w:val="en-US"/>
        </w:rPr>
        <w:t xml:space="preserve">&lt; 0.05, </w:t>
      </w:r>
      <w:r w:rsidRPr="00A443E2">
        <w:rPr>
          <w:i/>
          <w:iCs/>
          <w:lang w:val="en-US"/>
        </w:rPr>
        <w:t xml:space="preserve">**p </w:t>
      </w:r>
      <w:r w:rsidRPr="00A443E2">
        <w:rPr>
          <w:lang w:val="en-US"/>
        </w:rPr>
        <w:t xml:space="preserve">&lt; 0.01, </w:t>
      </w:r>
      <w:r w:rsidRPr="00A443E2">
        <w:rPr>
          <w:i/>
          <w:iCs/>
          <w:lang w:val="en-US"/>
        </w:rPr>
        <w:t xml:space="preserve">***p </w:t>
      </w:r>
      <w:r w:rsidRPr="00A443E2">
        <w:rPr>
          <w:lang w:val="en-US"/>
        </w:rPr>
        <w:t>&lt; 0.00</w:t>
      </w:r>
      <w:r w:rsidR="002021D1" w:rsidRPr="00A443E2">
        <w:rPr>
          <w:lang w:val="en-US"/>
        </w:rPr>
        <w:t>1</w:t>
      </w:r>
      <w:r w:rsidRPr="00A443E2">
        <w:rPr>
          <w:lang w:val="en-US"/>
        </w:rPr>
        <w:t xml:space="preserve">, </w:t>
      </w:r>
      <w:r w:rsidRPr="00A443E2">
        <w:rPr>
          <w:i/>
          <w:iCs/>
          <w:lang w:val="en-US"/>
        </w:rPr>
        <w:t xml:space="preserve">****p </w:t>
      </w:r>
      <w:r w:rsidRPr="00A443E2">
        <w:rPr>
          <w:lang w:val="en-US"/>
        </w:rPr>
        <w:t>&lt; 0.0001. Error bars represent mean ± SEM.</w:t>
      </w:r>
    </w:p>
    <w:p w14:paraId="517E0B5E" w14:textId="77777777" w:rsidR="001D7B03" w:rsidRPr="00A443E2" w:rsidRDefault="001D7B03" w:rsidP="00A443E2"/>
    <w:p w14:paraId="6B86F2CE" w14:textId="65C8673D" w:rsidR="001D7B03" w:rsidRPr="00A443E2" w:rsidRDefault="58D45F88" w:rsidP="00A443E2">
      <w:pPr>
        <w:rPr>
          <w:lang w:val="en-US"/>
        </w:rPr>
      </w:pPr>
      <w:r w:rsidRPr="00A443E2">
        <w:rPr>
          <w:b/>
          <w:bCs/>
          <w:lang w:val="en-US"/>
        </w:rPr>
        <w:t>Figure 5</w:t>
      </w:r>
      <w:r w:rsidR="00F673A1">
        <w:rPr>
          <w:b/>
          <w:bCs/>
          <w:lang w:val="en-US"/>
        </w:rPr>
        <w:t>:</w:t>
      </w:r>
      <w:r w:rsidRPr="00A443E2">
        <w:rPr>
          <w:b/>
          <w:bCs/>
          <w:lang w:val="en-US"/>
        </w:rPr>
        <w:t xml:space="preserve"> Representative FSS method (syringe pump) and readouts on prostate cancer cell lines. </w:t>
      </w:r>
      <w:r w:rsidRPr="00A443E2">
        <w:rPr>
          <w:lang w:val="en-US"/>
        </w:rPr>
        <w:t>(</w:t>
      </w:r>
      <w:r w:rsidRPr="00A443E2">
        <w:rPr>
          <w:b/>
          <w:bCs/>
          <w:lang w:val="en-US"/>
        </w:rPr>
        <w:t>A</w:t>
      </w:r>
      <w:r w:rsidRPr="00A443E2">
        <w:rPr>
          <w:lang w:val="en-US"/>
        </w:rPr>
        <w:t>) Experimental protocol schematic to expose cancer cells to high-intensity FSS (average FSS of 3957 dyn/cm</w:t>
      </w:r>
      <w:r w:rsidRPr="00A443E2">
        <w:rPr>
          <w:vertAlign w:val="superscript"/>
          <w:lang w:val="en-US"/>
        </w:rPr>
        <w:t>2</w:t>
      </w:r>
      <w:r w:rsidRPr="00A443E2">
        <w:rPr>
          <w:lang w:val="en-US"/>
        </w:rPr>
        <w:t>) at 20 °C. Percentage of (</w:t>
      </w:r>
      <w:r w:rsidRPr="00A443E2">
        <w:rPr>
          <w:b/>
          <w:bCs/>
          <w:lang w:val="en-US"/>
        </w:rPr>
        <w:t>B</w:t>
      </w:r>
      <w:r w:rsidRPr="00A443E2">
        <w:rPr>
          <w:lang w:val="en-US"/>
        </w:rPr>
        <w:t>) viable cells and (</w:t>
      </w:r>
      <w:r w:rsidRPr="00A443E2">
        <w:rPr>
          <w:b/>
          <w:bCs/>
          <w:lang w:val="en-US"/>
        </w:rPr>
        <w:t>C</w:t>
      </w:r>
      <w:r w:rsidRPr="00A443E2">
        <w:rPr>
          <w:lang w:val="en-US"/>
        </w:rPr>
        <w:t>) late-apoptotic cells 24 h following high-intensity FSS exposure measured using the annexin-V/propidium iodide (AV/PI) flow cytometry assay. (</w:t>
      </w:r>
      <w:r w:rsidRPr="00A443E2">
        <w:rPr>
          <w:b/>
          <w:bCs/>
          <w:lang w:val="en-US"/>
        </w:rPr>
        <w:t>D</w:t>
      </w:r>
      <w:r w:rsidRPr="00A443E2">
        <w:rPr>
          <w:lang w:val="en-US"/>
        </w:rPr>
        <w:t>) Gating scheme for the AV/PI assay. (</w:t>
      </w:r>
      <w:r w:rsidRPr="00A443E2">
        <w:rPr>
          <w:b/>
          <w:bCs/>
          <w:lang w:val="en-US"/>
        </w:rPr>
        <w:t>E</w:t>
      </w:r>
      <w:r w:rsidRPr="00A443E2">
        <w:rPr>
          <w:lang w:val="en-US"/>
        </w:rPr>
        <w:t xml:space="preserve">) </w:t>
      </w:r>
      <w:r w:rsidRPr="00F20AD1">
        <w:rPr>
          <w:lang w:val="en-US"/>
        </w:rPr>
        <w:t>Single replicate</w:t>
      </w:r>
      <w:r w:rsidRPr="00A443E2">
        <w:rPr>
          <w:lang w:val="en-US"/>
        </w:rPr>
        <w:t xml:space="preserve"> representative AV/PI flow cytometry plots for the LNCaP and PC3 cells exposed to 0 (static), 5, and 10 high-intensity FSS pulses</w:t>
      </w:r>
      <w:r w:rsidRPr="00F20AD1">
        <w:rPr>
          <w:lang w:val="en-US"/>
        </w:rPr>
        <w:t xml:space="preserve">. Quantitative data in panels B,C. </w:t>
      </w:r>
      <w:r w:rsidRPr="00A443E2">
        <w:rPr>
          <w:i/>
          <w:iCs/>
          <w:lang w:val="en-US"/>
        </w:rPr>
        <w:t>p</w:t>
      </w:r>
      <w:r w:rsidRPr="00A443E2">
        <w:rPr>
          <w:lang w:val="en-US"/>
        </w:rPr>
        <w:t xml:space="preserve">-values calculated by two-way ANOVA comparing the 5- and 10-FSS pulse conditions for each cell line to the respective 0-FSS condition; </w:t>
      </w:r>
      <w:r w:rsidRPr="00A443E2">
        <w:rPr>
          <w:i/>
          <w:iCs/>
          <w:lang w:val="en-US"/>
        </w:rPr>
        <w:t xml:space="preserve">*p </w:t>
      </w:r>
      <w:r w:rsidRPr="00A443E2">
        <w:rPr>
          <w:lang w:val="en-US"/>
        </w:rPr>
        <w:t xml:space="preserve">&lt; 0.05, </w:t>
      </w:r>
      <w:r w:rsidRPr="00A443E2">
        <w:rPr>
          <w:i/>
          <w:iCs/>
          <w:lang w:val="en-US"/>
        </w:rPr>
        <w:t>**p</w:t>
      </w:r>
      <w:r w:rsidRPr="00A443E2">
        <w:rPr>
          <w:lang w:val="en-US"/>
        </w:rPr>
        <w:t xml:space="preserve"> &lt; 0.01, </w:t>
      </w:r>
      <w:r w:rsidRPr="00A443E2">
        <w:rPr>
          <w:i/>
          <w:iCs/>
          <w:lang w:val="en-US"/>
        </w:rPr>
        <w:t>***p</w:t>
      </w:r>
      <w:r w:rsidRPr="00A443E2">
        <w:rPr>
          <w:lang w:val="en-US"/>
        </w:rPr>
        <w:t xml:space="preserve"> &lt; 0.001, </w:t>
      </w:r>
      <w:r w:rsidRPr="00A443E2">
        <w:rPr>
          <w:i/>
          <w:iCs/>
          <w:lang w:val="en-US"/>
        </w:rPr>
        <w:t xml:space="preserve">****p </w:t>
      </w:r>
      <w:r w:rsidRPr="00A443E2">
        <w:rPr>
          <w:lang w:val="en-US"/>
        </w:rPr>
        <w:t xml:space="preserve">&lt; 0.0001. </w:t>
      </w:r>
      <w:r w:rsidRPr="00A443E2">
        <w:rPr>
          <w:i/>
          <w:iCs/>
          <w:lang w:val="en-US"/>
        </w:rPr>
        <w:t xml:space="preserve">n </w:t>
      </w:r>
      <w:r w:rsidRPr="00A443E2">
        <w:rPr>
          <w:lang w:val="en-US"/>
        </w:rPr>
        <w:t>= 3 independent experiments. Error bars represent mean ± SEM.</w:t>
      </w:r>
    </w:p>
    <w:p w14:paraId="331DCAFD" w14:textId="77777777" w:rsidR="001D7B03" w:rsidRPr="00A443E2" w:rsidRDefault="001D7B03" w:rsidP="00A443E2">
      <w:pPr>
        <w:rPr>
          <w:lang w:val="en-US"/>
        </w:rPr>
      </w:pPr>
    </w:p>
    <w:p w14:paraId="19011305" w14:textId="20C6EE33" w:rsidR="001D7B03" w:rsidRPr="00A443E2" w:rsidRDefault="00000000" w:rsidP="00A443E2">
      <w:r w:rsidRPr="00A443E2">
        <w:rPr>
          <w:b/>
          <w:bCs/>
          <w:lang w:val="en-US"/>
        </w:rPr>
        <w:t>Figure 6</w:t>
      </w:r>
      <w:r w:rsidR="00F673A1">
        <w:rPr>
          <w:b/>
          <w:bCs/>
          <w:lang w:val="en-US"/>
        </w:rPr>
        <w:t>:</w:t>
      </w:r>
      <w:r w:rsidRPr="00A443E2">
        <w:rPr>
          <w:b/>
          <w:bCs/>
          <w:lang w:val="en-US"/>
        </w:rPr>
        <w:t xml:space="preserve"> Cell density decision tree.</w:t>
      </w:r>
      <w:r w:rsidRPr="00A443E2">
        <w:rPr>
          <w:lang w:val="en-US"/>
        </w:rPr>
        <w:t xml:space="preserve"> Cell density optimization workflow for FSS experiments, depending on cell type.</w:t>
      </w:r>
      <w:r w:rsidR="00F20AD1">
        <w:rPr>
          <w:lang w:val="en-US"/>
        </w:rPr>
        <w:t xml:space="preserve"> </w:t>
      </w:r>
    </w:p>
    <w:p w14:paraId="489FDD46" w14:textId="77777777" w:rsidR="002A52CD" w:rsidRPr="00A443E2" w:rsidRDefault="002A52CD" w:rsidP="002A52CD"/>
    <w:p w14:paraId="37F89ED9" w14:textId="2246DED8" w:rsidR="002A52CD" w:rsidRPr="00A443E2" w:rsidRDefault="002A52CD" w:rsidP="002A52CD">
      <w:r w:rsidRPr="00A443E2">
        <w:rPr>
          <w:b/>
          <w:bCs/>
          <w:lang w:val="en-US"/>
        </w:rPr>
        <w:t>Table 1</w:t>
      </w:r>
      <w:r w:rsidR="00F673A1">
        <w:rPr>
          <w:b/>
          <w:bCs/>
          <w:lang w:val="en-US"/>
        </w:rPr>
        <w:t>:</w:t>
      </w:r>
      <w:r w:rsidRPr="00A443E2">
        <w:rPr>
          <w:b/>
          <w:bCs/>
          <w:lang w:val="en-US"/>
        </w:rPr>
        <w:t xml:space="preserve"> Viscometer spindle parameters and shear rates. </w:t>
      </w:r>
      <w:r w:rsidRPr="00A443E2">
        <w:rPr>
          <w:lang w:val="en-US"/>
        </w:rPr>
        <w:t>Rotations per minute (RPM; in units of min</w:t>
      </w:r>
      <w:r w:rsidRPr="00A443E2">
        <w:rPr>
          <w:vertAlign w:val="superscript"/>
          <w:lang w:val="en-US"/>
        </w:rPr>
        <w:t>-1</w:t>
      </w:r>
      <w:r w:rsidRPr="00A443E2">
        <w:rPr>
          <w:lang w:val="en-US"/>
        </w:rPr>
        <w:t>) and shear rates (in units of s</w:t>
      </w:r>
      <w:r w:rsidRPr="00A443E2">
        <w:rPr>
          <w:vertAlign w:val="superscript"/>
          <w:lang w:val="en-US"/>
        </w:rPr>
        <w:t>-1</w:t>
      </w:r>
      <w:r w:rsidRPr="00A443E2">
        <w:rPr>
          <w:lang w:val="en-US"/>
        </w:rPr>
        <w:t>) corresponding to different spindle models. Plug in shear rate from this table and sample viscosity measurement from step 1.1.5.4 (in units of cP) into Equation 2 to calculate applied FSS (in units of dyn/cm</w:t>
      </w:r>
      <w:r w:rsidRPr="00A443E2">
        <w:rPr>
          <w:vertAlign w:val="superscript"/>
          <w:lang w:val="en-US"/>
        </w:rPr>
        <w:t>2</w:t>
      </w:r>
      <w:r w:rsidRPr="00AD0A9A">
        <w:rPr>
          <w:lang w:val="en-US"/>
        </w:rPr>
        <w:t>). Note that some viscometer models are capped at 100 RPM, hence the range provided in this table. Shear rates beyond 100 RPM can be calculated using Supplementary Equation 1.</w:t>
      </w:r>
    </w:p>
    <w:p w14:paraId="57F2AB32" w14:textId="77777777" w:rsidR="002A52CD" w:rsidRPr="00A443E2" w:rsidRDefault="002A52CD" w:rsidP="002A52CD"/>
    <w:p w14:paraId="139E7821" w14:textId="1B465990" w:rsidR="002A52CD" w:rsidRPr="00A443E2" w:rsidRDefault="002A52CD" w:rsidP="002A52CD">
      <w:r w:rsidRPr="00A443E2">
        <w:rPr>
          <w:b/>
          <w:bCs/>
          <w:lang w:val="en-US"/>
        </w:rPr>
        <w:t>Table 2</w:t>
      </w:r>
      <w:r w:rsidR="00A84661">
        <w:rPr>
          <w:b/>
          <w:bCs/>
          <w:lang w:val="en-US"/>
        </w:rPr>
        <w:t>:</w:t>
      </w:r>
      <w:r w:rsidRPr="00A443E2">
        <w:rPr>
          <w:b/>
          <w:bCs/>
          <w:lang w:val="en-US"/>
        </w:rPr>
        <w:t xml:space="preserve"> Multichannel pipettor speeds, flow rates, and corresponding average FSS magnitudes </w:t>
      </w:r>
      <w:r w:rsidRPr="00A443E2">
        <w:rPr>
          <w:b/>
          <w:bCs/>
        </w:rPr>
        <w:t>at 20 °C, 25 °C, and 37 °C</w:t>
      </w:r>
      <w:r w:rsidRPr="00A443E2">
        <w:rPr>
          <w:b/>
          <w:bCs/>
          <w:lang w:val="en-US"/>
        </w:rPr>
        <w:t xml:space="preserve">. </w:t>
      </w:r>
      <w:r w:rsidRPr="00A443E2">
        <w:rPr>
          <w:lang w:val="en-US"/>
        </w:rPr>
        <w:t>Preset speeds of the multichannel pipettor, the respective flow rates (</w:t>
      </w:r>
      <w:r w:rsidRPr="00A443E2">
        <w:rPr>
          <w:i/>
          <w:iCs/>
          <w:lang w:val="en-US"/>
        </w:rPr>
        <w:t>Q</w:t>
      </w:r>
      <w:r w:rsidRPr="00A443E2">
        <w:rPr>
          <w:lang w:val="en-US"/>
        </w:rPr>
        <w:t xml:space="preserve">), and the corresponding </w:t>
      </w:r>
      <w:r w:rsidRPr="00A443E2">
        <w:rPr>
          <w:i/>
          <w:iCs/>
          <w:lang w:val="en-US"/>
        </w:rPr>
        <w:t xml:space="preserve">average </w:t>
      </w:r>
      <w:r w:rsidRPr="00A443E2">
        <w:rPr>
          <w:lang w:val="en-US"/>
        </w:rPr>
        <w:t xml:space="preserve">FSS magnitudes </w:t>
      </w:r>
      <w:r w:rsidRPr="00A443E2">
        <w:rPr>
          <w:i/>
          <w:iCs/>
          <w:lang w:val="en-US"/>
        </w:rPr>
        <w:t>(</w:t>
      </w:r>
      <w:proofErr w:type="spellStart"/>
      <w:r w:rsidRPr="00A443E2">
        <w:rPr>
          <w:i/>
          <w:iCs/>
          <w:lang w:val="en-US"/>
        </w:rPr>
        <w:t>τ</w:t>
      </w:r>
      <w:r w:rsidRPr="00A443E2">
        <w:rPr>
          <w:i/>
          <w:iCs/>
          <w:vertAlign w:val="subscript"/>
          <w:lang w:val="en-US"/>
        </w:rPr>
        <w:t>average</w:t>
      </w:r>
      <w:proofErr w:type="spellEnd"/>
      <w:r w:rsidRPr="00A443E2">
        <w:rPr>
          <w:i/>
          <w:iCs/>
          <w:lang w:val="en-US"/>
        </w:rPr>
        <w:t xml:space="preserve">) </w:t>
      </w:r>
      <w:r w:rsidRPr="00A443E2">
        <w:rPr>
          <w:lang w:val="en-US"/>
        </w:rPr>
        <w:t xml:space="preserve">exerted on the sample, depending on tip model. </w:t>
      </w:r>
      <w:proofErr w:type="spellStart"/>
      <w:r w:rsidRPr="00A443E2">
        <w:rPr>
          <w:i/>
          <w:iCs/>
          <w:lang w:val="en-US"/>
        </w:rPr>
        <w:t>τ</w:t>
      </w:r>
      <w:r w:rsidRPr="00A443E2">
        <w:rPr>
          <w:i/>
          <w:iCs/>
          <w:vertAlign w:val="subscript"/>
          <w:lang w:val="en-US"/>
        </w:rPr>
        <w:t>average</w:t>
      </w:r>
      <w:proofErr w:type="spellEnd"/>
      <w:r w:rsidRPr="00A443E2">
        <w:rPr>
          <w:i/>
          <w:iCs/>
          <w:vertAlign w:val="subscript"/>
          <w:lang w:val="en-US"/>
        </w:rPr>
        <w:t xml:space="preserve"> </w:t>
      </w:r>
      <w:r w:rsidRPr="00A443E2">
        <w:rPr>
          <w:lang w:val="en-US"/>
        </w:rPr>
        <w:t xml:space="preserve">is equal to two-thirds of </w:t>
      </w:r>
      <w:proofErr w:type="spellStart"/>
      <w:r w:rsidRPr="00A443E2">
        <w:rPr>
          <w:i/>
          <w:iCs/>
          <w:lang w:val="en-US"/>
        </w:rPr>
        <w:t>τ</w:t>
      </w:r>
      <w:r w:rsidRPr="00A443E2">
        <w:rPr>
          <w:i/>
          <w:iCs/>
          <w:vertAlign w:val="subscript"/>
          <w:lang w:val="en-US"/>
        </w:rPr>
        <w:t>wall</w:t>
      </w:r>
      <w:proofErr w:type="spellEnd"/>
      <w:r w:rsidRPr="00A443E2">
        <w:rPr>
          <w:lang w:val="en-US"/>
        </w:rPr>
        <w:t xml:space="preserve">, where </w:t>
      </w:r>
      <w:proofErr w:type="spellStart"/>
      <w:r w:rsidRPr="00A443E2">
        <w:rPr>
          <w:i/>
          <w:iCs/>
          <w:lang w:val="en-US"/>
        </w:rPr>
        <w:t>τ</w:t>
      </w:r>
      <w:r w:rsidRPr="00A443E2">
        <w:rPr>
          <w:i/>
          <w:iCs/>
          <w:vertAlign w:val="subscript"/>
          <w:lang w:val="en-US"/>
        </w:rPr>
        <w:t>wall</w:t>
      </w:r>
      <w:proofErr w:type="spellEnd"/>
      <w:r w:rsidRPr="00A443E2">
        <w:rPr>
          <w:lang w:val="en-US"/>
        </w:rPr>
        <w:t xml:space="preserve"> is calculated using Equation 1 and the following constants: μ|</w:t>
      </w:r>
      <w:r w:rsidRPr="00A443E2">
        <w:rPr>
          <w:vertAlign w:val="subscript"/>
          <w:lang w:val="en-US"/>
        </w:rPr>
        <w:t>20 °C</w:t>
      </w:r>
      <w:r w:rsidRPr="00A443E2">
        <w:rPr>
          <w:lang w:val="en-US"/>
        </w:rPr>
        <w:t xml:space="preserve"> = 0.010 dyn*s/cm</w:t>
      </w:r>
      <w:r w:rsidRPr="00A443E2">
        <w:rPr>
          <w:vertAlign w:val="superscript"/>
          <w:lang w:val="en-US"/>
        </w:rPr>
        <w:t>2</w:t>
      </w:r>
      <w:r w:rsidRPr="00A443E2">
        <w:rPr>
          <w:lang w:val="en-US"/>
        </w:rPr>
        <w:t>, μ|</w:t>
      </w:r>
      <w:r w:rsidRPr="00A443E2">
        <w:rPr>
          <w:vertAlign w:val="subscript"/>
          <w:lang w:val="en-US"/>
        </w:rPr>
        <w:t>25 °C</w:t>
      </w:r>
      <w:r w:rsidRPr="00A443E2">
        <w:rPr>
          <w:lang w:val="en-US"/>
        </w:rPr>
        <w:t xml:space="preserve"> = 0.0089 dyn*s/cm</w:t>
      </w:r>
      <w:r w:rsidRPr="00A443E2">
        <w:rPr>
          <w:vertAlign w:val="superscript"/>
          <w:lang w:val="en-US"/>
        </w:rPr>
        <w:t>2</w:t>
      </w:r>
      <w:r w:rsidRPr="00A443E2">
        <w:rPr>
          <w:lang w:val="en-US"/>
        </w:rPr>
        <w:t>, μ|</w:t>
      </w:r>
      <w:r w:rsidRPr="00A443E2">
        <w:rPr>
          <w:vertAlign w:val="subscript"/>
          <w:lang w:val="en-US"/>
        </w:rPr>
        <w:t>37 °C</w:t>
      </w:r>
      <w:r w:rsidRPr="00A443E2">
        <w:rPr>
          <w:lang w:val="en-US"/>
        </w:rPr>
        <w:t xml:space="preserve"> = 0.0069 dyn*s/cm</w:t>
      </w:r>
      <w:r w:rsidRPr="00A443E2">
        <w:rPr>
          <w:vertAlign w:val="superscript"/>
          <w:lang w:val="en-US"/>
        </w:rPr>
        <w:t>2</w:t>
      </w:r>
      <w:r w:rsidRPr="00A443E2">
        <w:rPr>
          <w:lang w:val="en-US"/>
        </w:rPr>
        <w:t xml:space="preserve">, </w:t>
      </w:r>
      <w:proofErr w:type="spellStart"/>
      <w:r w:rsidRPr="00A443E2">
        <w:rPr>
          <w:lang w:val="en-US"/>
        </w:rPr>
        <w:t>R</w:t>
      </w:r>
      <w:r w:rsidRPr="00A443E2">
        <w:rPr>
          <w:vertAlign w:val="subscript"/>
          <w:lang w:val="en-US"/>
        </w:rPr>
        <w:t>unmodified</w:t>
      </w:r>
      <w:proofErr w:type="spellEnd"/>
      <w:r w:rsidRPr="00A443E2">
        <w:rPr>
          <w:vertAlign w:val="subscript"/>
          <w:lang w:val="en-US"/>
        </w:rPr>
        <w:t xml:space="preserve"> tip</w:t>
      </w:r>
      <w:r w:rsidRPr="00A443E2">
        <w:rPr>
          <w:lang w:val="en-US"/>
        </w:rPr>
        <w:t xml:space="preserve"> = 0.0230 cm, </w:t>
      </w:r>
      <w:proofErr w:type="spellStart"/>
      <w:r w:rsidRPr="00A443E2">
        <w:rPr>
          <w:lang w:val="en-US"/>
        </w:rPr>
        <w:t>R</w:t>
      </w:r>
      <w:r w:rsidRPr="00A443E2">
        <w:rPr>
          <w:vertAlign w:val="subscript"/>
          <w:lang w:val="en-US"/>
        </w:rPr>
        <w:t>needle</w:t>
      </w:r>
      <w:proofErr w:type="spellEnd"/>
      <w:r w:rsidRPr="00A443E2">
        <w:rPr>
          <w:vertAlign w:val="subscript"/>
          <w:lang w:val="en-US"/>
        </w:rPr>
        <w:t xml:space="preserve"> tip</w:t>
      </w:r>
      <w:r w:rsidRPr="00A443E2">
        <w:rPr>
          <w:lang w:val="en-US"/>
        </w:rPr>
        <w:t xml:space="preserve"> = 0.0205 cm. The viscosity of media was assumed to be equivalent to that of water. The </w:t>
      </w:r>
      <w:proofErr w:type="spellStart"/>
      <w:r w:rsidRPr="00A443E2">
        <w:rPr>
          <w:lang w:val="en-US"/>
        </w:rPr>
        <w:t>R</w:t>
      </w:r>
      <w:r w:rsidRPr="00A443E2">
        <w:rPr>
          <w:vertAlign w:val="subscript"/>
          <w:lang w:val="en-US"/>
        </w:rPr>
        <w:t>unmodified</w:t>
      </w:r>
      <w:proofErr w:type="spellEnd"/>
      <w:r w:rsidRPr="00A443E2">
        <w:rPr>
          <w:vertAlign w:val="subscript"/>
          <w:lang w:val="en-US"/>
        </w:rPr>
        <w:t xml:space="preserve"> tip</w:t>
      </w:r>
      <w:r w:rsidRPr="00A443E2">
        <w:rPr>
          <w:lang w:val="en-US"/>
        </w:rPr>
        <w:t xml:space="preserve"> value corresponds to that at the tip orifice (narrowest point); the </w:t>
      </w:r>
      <w:proofErr w:type="spellStart"/>
      <w:r w:rsidRPr="00A443E2">
        <w:rPr>
          <w:lang w:val="en-US"/>
        </w:rPr>
        <w:t>R</w:t>
      </w:r>
      <w:r w:rsidRPr="00A443E2">
        <w:rPr>
          <w:vertAlign w:val="subscript"/>
          <w:lang w:val="en-US"/>
        </w:rPr>
        <w:t>needle</w:t>
      </w:r>
      <w:proofErr w:type="spellEnd"/>
      <w:r w:rsidRPr="00A443E2">
        <w:rPr>
          <w:vertAlign w:val="subscript"/>
          <w:lang w:val="en-US"/>
        </w:rPr>
        <w:t xml:space="preserve"> tip </w:t>
      </w:r>
      <w:r w:rsidRPr="00A443E2">
        <w:rPr>
          <w:lang w:val="en-US"/>
        </w:rPr>
        <w:t>value corresponds to that of the 22 G needle bore.</w:t>
      </w:r>
    </w:p>
    <w:p w14:paraId="41735118" w14:textId="77777777" w:rsidR="002A52CD" w:rsidRPr="00A443E2" w:rsidRDefault="002A52CD" w:rsidP="002A52CD"/>
    <w:p w14:paraId="7FFAEE04" w14:textId="26DBE90D" w:rsidR="002A52CD" w:rsidRPr="00A443E2" w:rsidRDefault="002A52CD" w:rsidP="002A52CD">
      <w:r w:rsidRPr="00A443E2">
        <w:rPr>
          <w:b/>
          <w:bCs/>
        </w:rPr>
        <w:t>Table 3</w:t>
      </w:r>
      <w:r w:rsidR="00A84661">
        <w:rPr>
          <w:b/>
          <w:bCs/>
        </w:rPr>
        <w:t>:</w:t>
      </w:r>
      <w:r w:rsidRPr="00A443E2">
        <w:rPr>
          <w:b/>
          <w:bCs/>
        </w:rPr>
        <w:t xml:space="preserve"> Syringe pump flow rates and corresponding FSS magnitudes at 20 °C, 25 °C, and 37 °C. </w:t>
      </w:r>
      <w:r w:rsidRPr="00A443E2">
        <w:t xml:space="preserve">Preset flow speeds of the syringe pump, the respective flow rate </w:t>
      </w:r>
      <w:r w:rsidRPr="00A443E2">
        <w:rPr>
          <w:lang w:val="en-US"/>
        </w:rPr>
        <w:t xml:space="preserve">(Q), </w:t>
      </w:r>
      <w:r w:rsidRPr="00A443E2">
        <w:t xml:space="preserve">and the corresponding average FSS magnitudes </w:t>
      </w:r>
      <w:r w:rsidRPr="00A443E2">
        <w:rPr>
          <w:i/>
          <w:iCs/>
          <w:lang w:val="en-US"/>
        </w:rPr>
        <w:t>(</w:t>
      </w:r>
      <w:proofErr w:type="spellStart"/>
      <w:r w:rsidRPr="00A443E2">
        <w:rPr>
          <w:i/>
          <w:iCs/>
          <w:lang w:val="en-US"/>
        </w:rPr>
        <w:t>τ</w:t>
      </w:r>
      <w:r w:rsidRPr="00A443E2">
        <w:rPr>
          <w:i/>
          <w:iCs/>
          <w:vertAlign w:val="subscript"/>
          <w:lang w:val="en-US"/>
        </w:rPr>
        <w:t>average</w:t>
      </w:r>
      <w:proofErr w:type="spellEnd"/>
      <w:r w:rsidRPr="00A443E2">
        <w:rPr>
          <w:i/>
          <w:iCs/>
          <w:lang w:val="en-US"/>
        </w:rPr>
        <w:t>)</w:t>
      </w:r>
      <w:r w:rsidRPr="00A443E2">
        <w:t xml:space="preserve"> exerted on cells flowing through the 30 G needle bore. </w:t>
      </w:r>
      <w:proofErr w:type="spellStart"/>
      <w:r w:rsidRPr="00A443E2">
        <w:rPr>
          <w:i/>
          <w:iCs/>
          <w:lang w:val="en-US"/>
        </w:rPr>
        <w:t>τ</w:t>
      </w:r>
      <w:r w:rsidRPr="00A443E2">
        <w:rPr>
          <w:i/>
          <w:iCs/>
          <w:vertAlign w:val="subscript"/>
          <w:lang w:val="en-US"/>
        </w:rPr>
        <w:t>average</w:t>
      </w:r>
      <w:proofErr w:type="spellEnd"/>
      <w:r w:rsidRPr="00A443E2">
        <w:rPr>
          <w:i/>
          <w:iCs/>
          <w:vertAlign w:val="subscript"/>
          <w:lang w:val="en-US"/>
        </w:rPr>
        <w:t xml:space="preserve"> </w:t>
      </w:r>
      <w:r w:rsidRPr="00A443E2">
        <w:rPr>
          <w:lang w:val="en-US"/>
        </w:rPr>
        <w:t xml:space="preserve">is equal to two-thirds of </w:t>
      </w:r>
      <w:proofErr w:type="spellStart"/>
      <w:r w:rsidRPr="00A443E2">
        <w:rPr>
          <w:i/>
          <w:iCs/>
          <w:lang w:val="en-US"/>
        </w:rPr>
        <w:t>τ</w:t>
      </w:r>
      <w:r w:rsidRPr="00A443E2">
        <w:rPr>
          <w:i/>
          <w:iCs/>
          <w:vertAlign w:val="subscript"/>
          <w:lang w:val="en-US"/>
        </w:rPr>
        <w:t>wall</w:t>
      </w:r>
      <w:proofErr w:type="spellEnd"/>
      <w:r w:rsidRPr="00A443E2">
        <w:rPr>
          <w:lang w:val="en-US"/>
        </w:rPr>
        <w:t xml:space="preserve">, where </w:t>
      </w:r>
      <w:proofErr w:type="spellStart"/>
      <w:r w:rsidRPr="00A443E2">
        <w:rPr>
          <w:i/>
          <w:iCs/>
          <w:lang w:val="en-US"/>
        </w:rPr>
        <w:t>τ</w:t>
      </w:r>
      <w:r w:rsidRPr="00A443E2">
        <w:rPr>
          <w:i/>
          <w:iCs/>
          <w:vertAlign w:val="subscript"/>
          <w:lang w:val="en-US"/>
        </w:rPr>
        <w:t>wall</w:t>
      </w:r>
      <w:proofErr w:type="spellEnd"/>
      <w:r w:rsidRPr="00A443E2">
        <w:rPr>
          <w:lang w:val="en-US"/>
        </w:rPr>
        <w:t xml:space="preserve"> is calculated using Equation 1 and the following constants: μ|</w:t>
      </w:r>
      <w:r w:rsidRPr="00A443E2">
        <w:rPr>
          <w:vertAlign w:val="subscript"/>
          <w:lang w:val="en-US"/>
        </w:rPr>
        <w:t>20 °C</w:t>
      </w:r>
      <w:r w:rsidRPr="00A443E2">
        <w:rPr>
          <w:lang w:val="en-US"/>
        </w:rPr>
        <w:t xml:space="preserve"> = 0.010 dyn*s/cm</w:t>
      </w:r>
      <w:r w:rsidRPr="00A443E2">
        <w:rPr>
          <w:vertAlign w:val="superscript"/>
          <w:lang w:val="en-US"/>
        </w:rPr>
        <w:t>2</w:t>
      </w:r>
      <w:r w:rsidRPr="00A443E2">
        <w:rPr>
          <w:lang w:val="en-US"/>
        </w:rPr>
        <w:t>, μ|</w:t>
      </w:r>
      <w:r w:rsidRPr="00A443E2">
        <w:rPr>
          <w:vertAlign w:val="subscript"/>
          <w:lang w:val="en-US"/>
        </w:rPr>
        <w:t>25 °C</w:t>
      </w:r>
      <w:r w:rsidRPr="00A443E2">
        <w:rPr>
          <w:lang w:val="en-US"/>
        </w:rPr>
        <w:t xml:space="preserve"> = 0.0089 dyn*s/cm</w:t>
      </w:r>
      <w:r w:rsidRPr="00A443E2">
        <w:rPr>
          <w:vertAlign w:val="superscript"/>
          <w:lang w:val="en-US"/>
        </w:rPr>
        <w:t>2</w:t>
      </w:r>
      <w:r w:rsidRPr="00A443E2">
        <w:rPr>
          <w:lang w:val="en-US"/>
        </w:rPr>
        <w:t>, μ|</w:t>
      </w:r>
      <w:r w:rsidRPr="00A443E2">
        <w:rPr>
          <w:vertAlign w:val="subscript"/>
          <w:lang w:val="en-US"/>
        </w:rPr>
        <w:t>37 °C</w:t>
      </w:r>
      <w:r w:rsidRPr="00A443E2">
        <w:rPr>
          <w:lang w:val="en-US"/>
        </w:rPr>
        <w:t xml:space="preserve"> = 0.0069 dyn*s/cm</w:t>
      </w:r>
      <w:r w:rsidRPr="00A443E2">
        <w:rPr>
          <w:vertAlign w:val="superscript"/>
          <w:lang w:val="en-US"/>
        </w:rPr>
        <w:t>2</w:t>
      </w:r>
      <w:r w:rsidRPr="00A443E2">
        <w:rPr>
          <w:lang w:val="en-US"/>
        </w:rPr>
        <w:t xml:space="preserve">, </w:t>
      </w:r>
      <w:proofErr w:type="spellStart"/>
      <w:r w:rsidRPr="00A443E2">
        <w:rPr>
          <w:lang w:val="en-US"/>
        </w:rPr>
        <w:t>R</w:t>
      </w:r>
      <w:r w:rsidRPr="00A443E2">
        <w:rPr>
          <w:vertAlign w:val="subscript"/>
          <w:lang w:val="en-US"/>
        </w:rPr>
        <w:t>needle</w:t>
      </w:r>
      <w:proofErr w:type="spellEnd"/>
      <w:r w:rsidRPr="00A443E2">
        <w:rPr>
          <w:vertAlign w:val="subscript"/>
          <w:lang w:val="en-US"/>
        </w:rPr>
        <w:t xml:space="preserve"> tip</w:t>
      </w:r>
      <w:r w:rsidRPr="00A443E2">
        <w:rPr>
          <w:lang w:val="en-US"/>
        </w:rPr>
        <w:t xml:space="preserve"> = 0.00794 cm. The viscosity of media was assumed to be equivalent to that of water. </w:t>
      </w:r>
    </w:p>
    <w:p w14:paraId="224D3C75" w14:textId="77777777" w:rsidR="00342F6C" w:rsidRDefault="00342F6C" w:rsidP="00A443E2">
      <w:pPr>
        <w:rPr>
          <w:lang w:val="en-US"/>
        </w:rPr>
      </w:pPr>
    </w:p>
    <w:p w14:paraId="0BE739C8" w14:textId="4D247CF1" w:rsidR="00342F6C" w:rsidRPr="00C40251" w:rsidRDefault="00342F6C" w:rsidP="00A443E2">
      <w:r w:rsidRPr="00342F6C">
        <w:rPr>
          <w:b/>
          <w:bCs/>
        </w:rPr>
        <w:lastRenderedPageBreak/>
        <w:t>Supplementary Figure 1</w:t>
      </w:r>
      <w:r w:rsidR="00A84661">
        <w:rPr>
          <w:b/>
          <w:bCs/>
        </w:rPr>
        <w:t>:</w:t>
      </w:r>
      <w:r w:rsidR="00C40251">
        <w:rPr>
          <w:b/>
          <w:bCs/>
        </w:rPr>
        <w:t xml:space="preserve"> </w:t>
      </w:r>
      <w:r w:rsidR="00C40251" w:rsidRPr="00511FCA">
        <w:rPr>
          <w:b/>
          <w:bCs/>
        </w:rPr>
        <w:t>Setup and operation of cone-and-plate viscometers for low-intensity fluid shear stress application</w:t>
      </w:r>
      <w:r w:rsidR="00C40251" w:rsidRPr="00C40251">
        <w:t>.</w:t>
      </w:r>
    </w:p>
    <w:p w14:paraId="261466E3" w14:textId="77777777" w:rsidR="00342F6C" w:rsidRDefault="00342F6C" w:rsidP="00A443E2">
      <w:pPr>
        <w:rPr>
          <w:b/>
          <w:bCs/>
        </w:rPr>
      </w:pPr>
    </w:p>
    <w:p w14:paraId="429F6AA6" w14:textId="10B78ACE" w:rsidR="00342F6C" w:rsidRPr="00342F6C" w:rsidRDefault="00342F6C" w:rsidP="00342F6C">
      <w:pPr>
        <w:rPr>
          <w:b/>
          <w:bCs/>
        </w:rPr>
      </w:pPr>
      <w:r w:rsidRPr="00342F6C">
        <w:rPr>
          <w:b/>
          <w:bCs/>
        </w:rPr>
        <w:t xml:space="preserve">Supplementary Figure </w:t>
      </w:r>
      <w:r w:rsidR="001B6F56">
        <w:rPr>
          <w:b/>
          <w:bCs/>
        </w:rPr>
        <w:t>2</w:t>
      </w:r>
      <w:r w:rsidR="00511FCA">
        <w:rPr>
          <w:b/>
          <w:bCs/>
        </w:rPr>
        <w:t>:</w:t>
      </w:r>
      <w:r w:rsidR="00003E4D">
        <w:rPr>
          <w:b/>
          <w:bCs/>
        </w:rPr>
        <w:t xml:space="preserve"> </w:t>
      </w:r>
      <w:r w:rsidR="00003E4D" w:rsidRPr="00511FCA">
        <w:rPr>
          <w:b/>
          <w:bCs/>
        </w:rPr>
        <w:t>Setup and operation of the multichannel pipettor system for cyclical, medium-intensity fluid shear stress application</w:t>
      </w:r>
      <w:r w:rsidR="00003E4D" w:rsidRPr="00003E4D">
        <w:t>.</w:t>
      </w:r>
    </w:p>
    <w:p w14:paraId="1E0C1F5C" w14:textId="77777777" w:rsidR="00342F6C" w:rsidRDefault="00342F6C" w:rsidP="00A443E2">
      <w:pPr>
        <w:rPr>
          <w:b/>
          <w:bCs/>
        </w:rPr>
      </w:pPr>
    </w:p>
    <w:p w14:paraId="5946458F" w14:textId="360A3543" w:rsidR="00342F6C" w:rsidRPr="00003E4D" w:rsidRDefault="00342F6C" w:rsidP="00342F6C">
      <w:r w:rsidRPr="00342F6C">
        <w:rPr>
          <w:b/>
          <w:bCs/>
        </w:rPr>
        <w:t xml:space="preserve">Supplementary Figure </w:t>
      </w:r>
      <w:r w:rsidR="001B6F56">
        <w:rPr>
          <w:b/>
          <w:bCs/>
        </w:rPr>
        <w:t>3</w:t>
      </w:r>
      <w:r w:rsidR="00D729DC">
        <w:rPr>
          <w:b/>
          <w:bCs/>
        </w:rPr>
        <w:t>:</w:t>
      </w:r>
      <w:r w:rsidR="00D941E6">
        <w:rPr>
          <w:b/>
          <w:bCs/>
        </w:rPr>
        <w:t xml:space="preserve"> </w:t>
      </w:r>
      <w:r w:rsidR="00D941E6" w:rsidRPr="00D729DC">
        <w:rPr>
          <w:b/>
          <w:bCs/>
        </w:rPr>
        <w:t>Setup and operation of the syringe pump for high-intensity fluid shear stress application</w:t>
      </w:r>
      <w:r w:rsidR="00FF6008">
        <w:t>.</w:t>
      </w:r>
    </w:p>
    <w:p w14:paraId="01B1E11C" w14:textId="77777777" w:rsidR="00342F6C" w:rsidRDefault="00342F6C" w:rsidP="00A443E2">
      <w:pPr>
        <w:rPr>
          <w:b/>
          <w:bCs/>
        </w:rPr>
      </w:pPr>
    </w:p>
    <w:p w14:paraId="778F07CE" w14:textId="5E49FFCD" w:rsidR="00114251" w:rsidRDefault="00114251" w:rsidP="00114251">
      <w:r w:rsidRPr="00342F6C">
        <w:rPr>
          <w:b/>
          <w:bCs/>
        </w:rPr>
        <w:t xml:space="preserve">Supplementary Figure </w:t>
      </w:r>
      <w:r w:rsidR="001B6F56">
        <w:rPr>
          <w:b/>
          <w:bCs/>
        </w:rPr>
        <w:t>4</w:t>
      </w:r>
      <w:r w:rsidR="00D729DC">
        <w:rPr>
          <w:b/>
          <w:bCs/>
        </w:rPr>
        <w:t>:</w:t>
      </w:r>
      <w:r w:rsidR="00FF6008">
        <w:rPr>
          <w:b/>
          <w:bCs/>
        </w:rPr>
        <w:t xml:space="preserve"> </w:t>
      </w:r>
      <w:r w:rsidR="00FF6008" w:rsidRPr="00D729DC">
        <w:rPr>
          <w:b/>
          <w:bCs/>
        </w:rPr>
        <w:t>Comparison of modified needle and unmodified pipette tips used for medium-intensity fluid shear stress application</w:t>
      </w:r>
      <w:r w:rsidR="00C65F35">
        <w:t>.</w:t>
      </w:r>
    </w:p>
    <w:p w14:paraId="06705DE4" w14:textId="77777777" w:rsidR="00C65F35" w:rsidRDefault="00C65F35" w:rsidP="00114251"/>
    <w:p w14:paraId="36ADCAD9" w14:textId="5B65764F" w:rsidR="00C65F35" w:rsidRDefault="00C65F35" w:rsidP="00C65F35">
      <w:pPr>
        <w:rPr>
          <w:lang w:val="en-US"/>
        </w:rPr>
      </w:pPr>
      <w:r w:rsidRPr="00A443E2">
        <w:rPr>
          <w:b/>
          <w:bCs/>
          <w:lang w:val="en-US"/>
        </w:rPr>
        <w:t>Supplementary Table 1</w:t>
      </w:r>
      <w:r w:rsidR="00D729DC">
        <w:rPr>
          <w:b/>
          <w:bCs/>
          <w:lang w:val="en-US"/>
        </w:rPr>
        <w:t>:</w:t>
      </w:r>
      <w:r w:rsidRPr="00A443E2">
        <w:rPr>
          <w:b/>
          <w:bCs/>
          <w:lang w:val="en-US"/>
        </w:rPr>
        <w:t xml:space="preserve"> Illustrative multichannel pipettor FSS experiment protocol for 200 µL working volume. </w:t>
      </w:r>
      <w:r w:rsidRPr="00A443E2">
        <w:rPr>
          <w:lang w:val="en-US"/>
        </w:rPr>
        <w:t>Illustrative multichannel pipettor program used to apply ~5 dyn/cm</w:t>
      </w:r>
      <w:r w:rsidRPr="00A443E2">
        <w:rPr>
          <w:vertAlign w:val="superscript"/>
          <w:lang w:val="en-US"/>
        </w:rPr>
        <w:t>2</w:t>
      </w:r>
      <w:r w:rsidRPr="00A443E2">
        <w:rPr>
          <w:lang w:val="en-US"/>
        </w:rPr>
        <w:t xml:space="preserve"> (unmodified tips at speed 1) of average FSS on Jurkat or primary human T cells for 1 h at 37 °C, in a working volume of 200 µL per well of a U-bottom 96-well plate. </w:t>
      </w:r>
    </w:p>
    <w:p w14:paraId="5F5360DC" w14:textId="77777777" w:rsidR="00114251" w:rsidRDefault="00114251" w:rsidP="00A443E2">
      <w:pPr>
        <w:rPr>
          <w:b/>
          <w:bCs/>
        </w:rPr>
      </w:pPr>
    </w:p>
    <w:p w14:paraId="0EABB186" w14:textId="553E8DE9" w:rsidR="00114251" w:rsidRPr="00877848" w:rsidRDefault="00114251" w:rsidP="00114251">
      <w:r w:rsidRPr="00342F6C">
        <w:rPr>
          <w:b/>
          <w:bCs/>
        </w:rPr>
        <w:t xml:space="preserve">Supplementary </w:t>
      </w:r>
      <w:r w:rsidR="00C65F35">
        <w:rPr>
          <w:b/>
          <w:bCs/>
        </w:rPr>
        <w:t xml:space="preserve">Equation </w:t>
      </w:r>
      <w:r w:rsidRPr="00342F6C">
        <w:rPr>
          <w:b/>
          <w:bCs/>
        </w:rPr>
        <w:t>1</w:t>
      </w:r>
      <w:r w:rsidR="00D729DC">
        <w:rPr>
          <w:b/>
          <w:bCs/>
        </w:rPr>
        <w:t xml:space="preserve">: </w:t>
      </w:r>
      <w:r w:rsidR="004B3814" w:rsidRPr="00D729DC">
        <w:rPr>
          <w:b/>
          <w:bCs/>
        </w:rPr>
        <w:t>Calculation of shear rate for the cone-and-plate viscometer</w:t>
      </w:r>
      <w:r w:rsidR="004B3814" w:rsidRPr="00877848">
        <w:t>.</w:t>
      </w:r>
    </w:p>
    <w:p w14:paraId="22E029BC" w14:textId="77777777" w:rsidR="00114251" w:rsidRPr="00877848" w:rsidRDefault="00114251" w:rsidP="00A443E2"/>
    <w:p w14:paraId="501DF593" w14:textId="591D6E02" w:rsidR="001B6F56" w:rsidRPr="00877848" w:rsidRDefault="001B6F56" w:rsidP="001B6F56">
      <w:r w:rsidRPr="00342F6C">
        <w:rPr>
          <w:b/>
          <w:bCs/>
        </w:rPr>
        <w:t xml:space="preserve">Supplementary </w:t>
      </w:r>
      <w:r w:rsidR="00C65F35">
        <w:rPr>
          <w:b/>
          <w:bCs/>
        </w:rPr>
        <w:t>Equation</w:t>
      </w:r>
      <w:r w:rsidRPr="00342F6C">
        <w:rPr>
          <w:b/>
          <w:bCs/>
        </w:rPr>
        <w:t xml:space="preserve"> </w:t>
      </w:r>
      <w:r w:rsidR="00C65F35">
        <w:rPr>
          <w:b/>
          <w:bCs/>
        </w:rPr>
        <w:t>2</w:t>
      </w:r>
      <w:r w:rsidR="00D729DC">
        <w:rPr>
          <w:b/>
          <w:bCs/>
        </w:rPr>
        <w:t>:</w:t>
      </w:r>
      <w:r w:rsidR="00877848">
        <w:rPr>
          <w:b/>
          <w:bCs/>
        </w:rPr>
        <w:t xml:space="preserve"> </w:t>
      </w:r>
      <w:r w:rsidR="00877848" w:rsidRPr="00D729DC">
        <w:rPr>
          <w:b/>
          <w:bCs/>
        </w:rPr>
        <w:t>Calculation of fluid shear stress for the cone-and-plate viscometer</w:t>
      </w:r>
      <w:r w:rsidR="00877848" w:rsidRPr="00877848">
        <w:t>.</w:t>
      </w:r>
    </w:p>
    <w:p w14:paraId="1D6AA5A9" w14:textId="77777777" w:rsidR="001D7B03" w:rsidRPr="00A443E2" w:rsidRDefault="001D7B03" w:rsidP="00A443E2"/>
    <w:p w14:paraId="1F620E34" w14:textId="77777777" w:rsidR="001D7B03" w:rsidRPr="00A443E2" w:rsidRDefault="00000000" w:rsidP="00A443E2">
      <w:pPr>
        <w:rPr>
          <w:b/>
          <w:bCs/>
        </w:rPr>
      </w:pPr>
      <w:r w:rsidRPr="00A443E2">
        <w:rPr>
          <w:b/>
          <w:bCs/>
        </w:rPr>
        <w:t>DISCUSSION:</w:t>
      </w:r>
    </w:p>
    <w:p w14:paraId="145FA762" w14:textId="36A163BA" w:rsidR="001D7B03" w:rsidRPr="00CC7DD2" w:rsidRDefault="00000000" w:rsidP="00A443E2">
      <w:pPr>
        <w:rPr>
          <w:b/>
          <w:bCs/>
        </w:rPr>
      </w:pPr>
      <w:r w:rsidRPr="00CC7DD2">
        <w:t>Critical steps in the protocol</w:t>
      </w:r>
      <w:r w:rsidR="00CC7DD2" w:rsidRPr="00CC7DD2">
        <w:t>:</w:t>
      </w:r>
      <w:r w:rsidR="00CC7DD2">
        <w:rPr>
          <w:b/>
          <w:bCs/>
        </w:rPr>
        <w:t xml:space="preserve"> </w:t>
      </w:r>
      <w:r w:rsidRPr="00A443E2">
        <w:rPr>
          <w:lang w:val="en-US"/>
        </w:rPr>
        <w:t>Supplementing media with tissue-culture-grade HEPES is recommended, as it is generally used to maintain stable physiological pH when CO</w:t>
      </w:r>
      <w:r w:rsidRPr="00A443E2">
        <w:rPr>
          <w:vertAlign w:val="subscript"/>
          <w:lang w:val="en-US"/>
        </w:rPr>
        <w:t>2</w:t>
      </w:r>
      <w:r w:rsidRPr="00A443E2">
        <w:rPr>
          <w:lang w:val="en-US"/>
        </w:rPr>
        <w:t xml:space="preserve"> levels fluctuate or when cells are handled outside of a CO</w:t>
      </w:r>
      <w:r w:rsidRPr="00A443E2">
        <w:rPr>
          <w:vertAlign w:val="subscript"/>
          <w:lang w:val="en-US"/>
        </w:rPr>
        <w:t>2</w:t>
      </w:r>
      <w:r w:rsidRPr="00A443E2">
        <w:rPr>
          <w:lang w:val="en-US"/>
        </w:rPr>
        <w:t>-regulated incubator. Following FSS stimulation, replacing the media with fresh, pre-equilibrated complete media is additionally recommended to restore optimal culture conditions prior to downstream analysis.</w:t>
      </w:r>
    </w:p>
    <w:p w14:paraId="34A518DE" w14:textId="77777777" w:rsidR="001D7B03" w:rsidRPr="00A443E2" w:rsidRDefault="001D7B03" w:rsidP="00A443E2"/>
    <w:p w14:paraId="3CB7D451" w14:textId="77777777" w:rsidR="001D7B03" w:rsidRPr="00A443E2" w:rsidRDefault="00000000" w:rsidP="00A443E2">
      <w:r w:rsidRPr="00A443E2">
        <w:rPr>
          <w:lang w:val="en-US"/>
        </w:rPr>
        <w:t>When possible, FSS experiments should be performed within a laminar flow hood or biosafety cabinet to maintain sterility. If a sterile environment is unavailable, additional precautions such as working deliberately and minimizing exposure time to a non-sterile environment should be taken. Regardless of sterile or non-sterile handling, media supplementation with antibiotics is highly recommended to minimize the risk of accidental contamination.</w:t>
      </w:r>
      <w:r w:rsidRPr="00A443E2">
        <w:t xml:space="preserve"> Additionally, the BSA blocking step prior to FSS is crucial to prevent nonspecific cell adhesion to the instrument, thereby maximizing sample recovery.</w:t>
      </w:r>
    </w:p>
    <w:p w14:paraId="7358EED4" w14:textId="77777777" w:rsidR="001D7B03" w:rsidRPr="00A443E2" w:rsidRDefault="001D7B03" w:rsidP="00A443E2"/>
    <w:p w14:paraId="35CF3F31" w14:textId="77777777" w:rsidR="001D7B03" w:rsidRPr="00A443E2" w:rsidRDefault="00000000" w:rsidP="00A443E2">
      <w:pPr>
        <w:rPr>
          <w:lang w:val="en-US"/>
        </w:rPr>
      </w:pPr>
      <w:r w:rsidRPr="00A443E2">
        <w:rPr>
          <w:lang w:val="en-US"/>
        </w:rPr>
        <w:t>When using the syringe pump, accurate calculation of the applied FSS magnitude is critical, as the flow rate will vary depending on the inner diameter of the syringe used. Therefore, consult the syringe pump manufacturer’s manual to confirm the maximum allowable force and ensure the selected syringe and flow rate combination does not exceed the limit to prevent needle dislodgement. Exceeding such forces can also lead to pump malfunction, as indicated by gears jumping across threads and inefficient plunging, causing the pump to fail over time.</w:t>
      </w:r>
    </w:p>
    <w:p w14:paraId="6AB7FE29" w14:textId="77777777" w:rsidR="001D7B03" w:rsidRPr="00A443E2" w:rsidRDefault="001D7B03" w:rsidP="00A443E2"/>
    <w:p w14:paraId="2F9E500D" w14:textId="77777777" w:rsidR="001D7B03" w:rsidRPr="00A443E2" w:rsidRDefault="00000000" w:rsidP="00A443E2">
      <w:r w:rsidRPr="00A443E2">
        <w:rPr>
          <w:lang w:val="en-US"/>
        </w:rPr>
        <w:t xml:space="preserve">To prevent corrosive pitting in viscometer cups, do not clean them with bleach. Instead, employ </w:t>
      </w:r>
      <w:r w:rsidRPr="00A443E2">
        <w:rPr>
          <w:lang w:val="en-US"/>
        </w:rPr>
        <w:lastRenderedPageBreak/>
        <w:t xml:space="preserve">the cleaning protocol outlined in </w:t>
      </w:r>
      <w:r w:rsidRPr="00A443E2">
        <w:rPr>
          <w:color w:val="000000" w:themeColor="text1"/>
          <w:lang w:val="en-US"/>
        </w:rPr>
        <w:t>steps 1.1.5.8–1.1.5.11</w:t>
      </w:r>
      <w:r w:rsidRPr="00A443E2">
        <w:rPr>
          <w:lang w:val="en-US"/>
        </w:rPr>
        <w:t>, utilizing only ethanol and water. Finally, verifying the suction integrity on custom needle tips (step 2.4.4) is crucial to maintain reproducibility and consistency of experimental results.</w:t>
      </w:r>
    </w:p>
    <w:p w14:paraId="6771BE70" w14:textId="77777777" w:rsidR="001D7B03" w:rsidRPr="00A443E2" w:rsidRDefault="001D7B03" w:rsidP="00A443E2"/>
    <w:p w14:paraId="52EEC1E4" w14:textId="5A320DDD" w:rsidR="001D7B03" w:rsidRPr="00CC7DD2" w:rsidRDefault="00000000" w:rsidP="00A443E2">
      <w:pPr>
        <w:rPr>
          <w:b/>
          <w:bCs/>
        </w:rPr>
      </w:pPr>
      <w:r w:rsidRPr="00CC7DD2">
        <w:t>Method customization and troubleshooting</w:t>
      </w:r>
      <w:r w:rsidR="00CC7DD2" w:rsidRPr="00CC7DD2">
        <w:t>:</w:t>
      </w:r>
      <w:r w:rsidR="00CC7DD2">
        <w:rPr>
          <w:b/>
          <w:bCs/>
        </w:rPr>
        <w:t xml:space="preserve"> </w:t>
      </w:r>
      <w:r w:rsidRPr="00A443E2">
        <w:rPr>
          <w:lang w:val="en-US"/>
        </w:rPr>
        <w:t>FSS experiments introduce stimuli and stressors unique to those encountered in standard static cell culture, necessitating careful optimization of several variables. The primary variables to consider include cell density, media composition, FSS magnitude and duration, and temperature during FSS application</w:t>
      </w:r>
      <w:r w:rsidRPr="00A443E2">
        <w:rPr>
          <w:color w:val="000000" w:themeColor="text1"/>
          <w:lang w:val="en-US"/>
        </w:rPr>
        <w:t xml:space="preserve">, </w:t>
      </w:r>
      <w:r w:rsidRPr="00A443E2">
        <w:rPr>
          <w:lang w:val="en-US"/>
        </w:rPr>
        <w:t>each of which is discussed below.</w:t>
      </w:r>
    </w:p>
    <w:p w14:paraId="2C9118E7" w14:textId="77777777" w:rsidR="001D7B03" w:rsidRPr="00A443E2" w:rsidRDefault="001D7B03" w:rsidP="00A443E2"/>
    <w:p w14:paraId="0909D5EE" w14:textId="4458215A" w:rsidR="001D7B03" w:rsidRPr="00CC7DD2" w:rsidRDefault="00000000" w:rsidP="00A443E2">
      <w:pPr>
        <w:rPr>
          <w:b/>
          <w:bCs/>
        </w:rPr>
      </w:pPr>
      <w:r w:rsidRPr="00CC7DD2">
        <w:t>Recommended cell densities during FSS and media composition</w:t>
      </w:r>
      <w:r w:rsidR="00CC7DD2" w:rsidRPr="00CC7DD2">
        <w:t>:</w:t>
      </w:r>
      <w:r w:rsidR="00CC7DD2">
        <w:rPr>
          <w:b/>
          <w:bCs/>
        </w:rPr>
        <w:t xml:space="preserve"> </w:t>
      </w:r>
      <w:r w:rsidRPr="00A443E2">
        <w:rPr>
          <w:b/>
          <w:bCs/>
          <w:lang w:val="en-US"/>
        </w:rPr>
        <w:t>Figure 6</w:t>
      </w:r>
      <w:r w:rsidRPr="00A443E2">
        <w:rPr>
          <w:lang w:val="en-US"/>
        </w:rPr>
        <w:t xml:space="preserve"> outlines a recommended workflow for selection of an appropriate starting cell density, based on cell type, and optimization. </w:t>
      </w:r>
    </w:p>
    <w:p w14:paraId="4F0524F5" w14:textId="77777777" w:rsidR="00834F94" w:rsidRPr="00A443E2" w:rsidRDefault="00834F94" w:rsidP="00A443E2">
      <w:pPr>
        <w:rPr>
          <w:lang w:val="en-US"/>
        </w:rPr>
      </w:pPr>
    </w:p>
    <w:p w14:paraId="5960D437" w14:textId="16E93FA0" w:rsidR="001D7B03" w:rsidRPr="00A443E2" w:rsidRDefault="00000000" w:rsidP="00A443E2">
      <w:pPr>
        <w:rPr>
          <w:color w:val="000000"/>
          <w:lang w:val="en-US"/>
        </w:rPr>
      </w:pPr>
      <w:r w:rsidRPr="00A443E2">
        <w:rPr>
          <w:lang w:val="en-US"/>
        </w:rPr>
        <w:t>For the viscometer results shown, primary and immortalized (Jurkat) T cells were resuspended at 1 x 10</w:t>
      </w:r>
      <w:r w:rsidRPr="00A443E2">
        <w:rPr>
          <w:vertAlign w:val="superscript"/>
          <w:lang w:val="en-US"/>
        </w:rPr>
        <w:t>6</w:t>
      </w:r>
      <w:r w:rsidRPr="00A443E2">
        <w:rPr>
          <w:lang w:val="en-US"/>
        </w:rPr>
        <w:t xml:space="preserve"> cells/mL and 5 x 10</w:t>
      </w:r>
      <w:r w:rsidRPr="00A443E2">
        <w:rPr>
          <w:vertAlign w:val="superscript"/>
          <w:lang w:val="en-US"/>
        </w:rPr>
        <w:t>5</w:t>
      </w:r>
      <w:r w:rsidRPr="00A443E2">
        <w:rPr>
          <w:lang w:val="en-US"/>
        </w:rPr>
        <w:t xml:space="preserve"> cells/mL, respectively, in RPMI (formulated with 2 mM L-glutamine, 10 mM HEPES, 1 mM sodium pyruvate, 4500 mg/L glucose, and 1500 mg/L sodium bicarbonate) supplemented with 10% FBS, 1x stable L-glutamine substitute, and 1% penicillin-streptomycin. </w:t>
      </w:r>
      <w:r w:rsidRPr="00A443E2">
        <w:rPr>
          <w:color w:val="000000"/>
          <w:lang w:val="en-US"/>
        </w:rPr>
        <w:t xml:space="preserve">Empirical observations from previous work (e.g., Sarna </w:t>
      </w:r>
      <w:r w:rsidRPr="00A443E2">
        <w:rPr>
          <w:i/>
          <w:iCs/>
          <w:color w:val="000000"/>
          <w:lang w:val="en-US"/>
        </w:rPr>
        <w:t>et al.</w:t>
      </w:r>
      <w:sdt>
        <w:sdtPr>
          <w:rPr>
            <w:i/>
            <w:iCs/>
            <w:color w:val="000000"/>
            <w:lang w:val="en-US"/>
          </w:rPr>
          <w:alias w:val="SmartCite Citation"/>
          <w:tag w:val="a9e2a68d-fe3b-412d-8c06-1ac3ca305ac6:0123e1da-f22e-4699-94dc-37146bcb3bb6+{&quot;a9e2a68d-fe3b-412d-8c06-1ac3ca305ac6:0123e1da-f22e-4699-94dc-37146bcb3bb6&quot;:{&quot;doi&quot;:&quot;10.1016/j.isci.2024.109999&quot;}}"/>
          <w:id w:val="97838767"/>
          <w:placeholder>
            <w:docPart w:val="584DED1E96E24F87B76C7641B62D0D3A"/>
          </w:placeholder>
        </w:sdtPr>
        <w:sdtContent>
          <w:r w:rsidRPr="00A443E2">
            <w:rPr>
              <w:rFonts w:eastAsia="Times New Roman"/>
              <w:vertAlign w:val="superscript"/>
            </w:rPr>
            <w:t>9</w:t>
          </w:r>
        </w:sdtContent>
      </w:sdt>
      <w:r w:rsidRPr="00A443E2">
        <w:rPr>
          <w:lang w:val="en-US"/>
        </w:rPr>
        <w:t>)</w:t>
      </w:r>
      <w:r w:rsidRPr="00A443E2">
        <w:rPr>
          <w:color w:val="000000"/>
          <w:lang w:val="en-US"/>
        </w:rPr>
        <w:t xml:space="preserve"> suggest that densities between 0.5–2 x 10</w:t>
      </w:r>
      <w:r w:rsidRPr="00A443E2">
        <w:rPr>
          <w:color w:val="000000"/>
          <w:vertAlign w:val="superscript"/>
          <w:lang w:val="en-US"/>
        </w:rPr>
        <w:t>6</w:t>
      </w:r>
      <w:r w:rsidRPr="00A443E2">
        <w:rPr>
          <w:color w:val="000000"/>
          <w:lang w:val="en-US"/>
        </w:rPr>
        <w:t xml:space="preserve"> cells/mL represent adequate starting points for T cells in relation to cell viability and recovery counts. </w:t>
      </w:r>
    </w:p>
    <w:p w14:paraId="72BA2A21" w14:textId="77777777" w:rsidR="001D7B03" w:rsidRPr="00A443E2" w:rsidRDefault="001D7B03" w:rsidP="00A443E2"/>
    <w:p w14:paraId="6AEF2042" w14:textId="77777777" w:rsidR="001D7B03" w:rsidRPr="00A443E2" w:rsidRDefault="00000000" w:rsidP="00A443E2">
      <w:pPr>
        <w:rPr>
          <w:color w:val="000000" w:themeColor="text1"/>
          <w:lang w:val="en-US"/>
        </w:rPr>
      </w:pPr>
      <w:r w:rsidRPr="00A443E2">
        <w:rPr>
          <w:lang w:val="en-US"/>
        </w:rPr>
        <w:t>For the multichannel pipettor</w:t>
      </w:r>
      <w:r w:rsidRPr="00A443E2">
        <w:rPr>
          <w:b/>
          <w:bCs/>
          <w:lang w:val="en-US"/>
        </w:rPr>
        <w:t xml:space="preserve"> </w:t>
      </w:r>
      <w:r w:rsidRPr="00A443E2">
        <w:rPr>
          <w:lang w:val="en-US"/>
        </w:rPr>
        <w:t xml:space="preserve">results shown, </w:t>
      </w:r>
      <w:r w:rsidRPr="00A443E2">
        <w:rPr>
          <w:color w:val="000000" w:themeColor="text1"/>
          <w:lang w:val="en-US"/>
        </w:rPr>
        <w:t>primary and immortalized (Jurkat) T cells were resuspended at 5 x 10</w:t>
      </w:r>
      <w:r w:rsidRPr="00A443E2">
        <w:rPr>
          <w:color w:val="000000" w:themeColor="text1"/>
          <w:vertAlign w:val="superscript"/>
          <w:lang w:val="en-US"/>
        </w:rPr>
        <w:t>5</w:t>
      </w:r>
      <w:r w:rsidRPr="00A443E2">
        <w:rPr>
          <w:color w:val="000000" w:themeColor="text1"/>
          <w:lang w:val="en-US"/>
        </w:rPr>
        <w:t xml:space="preserve"> cells/mL in the same media mentioned directly above, a density selected to maintain viability without inducing nutrient scarcity. Monocytes and macrophages were resuspended at 3 x 10</w:t>
      </w:r>
      <w:r w:rsidRPr="00A443E2">
        <w:rPr>
          <w:color w:val="000000" w:themeColor="text1"/>
          <w:vertAlign w:val="superscript"/>
          <w:lang w:val="en-US"/>
        </w:rPr>
        <w:t>6</w:t>
      </w:r>
      <w:r w:rsidRPr="00A443E2">
        <w:rPr>
          <w:color w:val="000000" w:themeColor="text1"/>
          <w:lang w:val="en-US"/>
        </w:rPr>
        <w:t xml:space="preserve"> cells/mL in RPMI media supplemented with 10% FBS, 2.5% HEPES, 0.05 mM beta-mercaptoethanol, and 1% penicillin-streptomycin.</w:t>
      </w:r>
    </w:p>
    <w:p w14:paraId="72B56FF2" w14:textId="77777777" w:rsidR="001D7B03" w:rsidRPr="00A443E2" w:rsidRDefault="001D7B03" w:rsidP="00A443E2">
      <w:pPr>
        <w:rPr>
          <w:color w:val="000000"/>
          <w:lang w:val="en-US"/>
        </w:rPr>
      </w:pPr>
    </w:p>
    <w:p w14:paraId="35948D60" w14:textId="77777777" w:rsidR="001D7B03" w:rsidRPr="00A443E2" w:rsidRDefault="00000000" w:rsidP="00A443E2">
      <w:pPr>
        <w:rPr>
          <w:color w:val="000000" w:themeColor="text1"/>
          <w:lang w:val="en-US"/>
        </w:rPr>
      </w:pPr>
      <w:r w:rsidRPr="00A443E2">
        <w:rPr>
          <w:color w:val="000000" w:themeColor="text1"/>
          <w:lang w:val="en-US"/>
        </w:rPr>
        <w:t>When using the syringe pump, cancer cell concentration during FSS must be carefully selected to avoid needle clogging, as this can cause dangerous pressure buildup and sudden needle dislodgement. For the results shown for LNCaP and PC3 immortalized prostate cancer cells, which are larger than immune cells, we recommend a starting density of 2–5 x 10</w:t>
      </w:r>
      <w:r w:rsidRPr="00A443E2">
        <w:rPr>
          <w:color w:val="000000" w:themeColor="text1"/>
          <w:vertAlign w:val="superscript"/>
          <w:lang w:val="en-US"/>
        </w:rPr>
        <w:t>5</w:t>
      </w:r>
      <w:r w:rsidRPr="00A443E2">
        <w:rPr>
          <w:color w:val="000000" w:themeColor="text1"/>
          <w:lang w:val="en-US"/>
        </w:rPr>
        <w:t xml:space="preserve"> cells/mL to avoid clogging while maintaining physiological relevance. In particular, LNCaP cells are epithelial-derived and show high adhesiveness, so excessive concentrations can promote spontaneous cell aggregation, biasing experimental results. For naïve primary T cells, which are notably smaller than cancer cells, we have successfully sheared samples via syringe pump at concentrations of 5–10 x 10</w:t>
      </w:r>
      <w:r w:rsidRPr="00A443E2">
        <w:rPr>
          <w:color w:val="000000" w:themeColor="text1"/>
          <w:vertAlign w:val="superscript"/>
          <w:lang w:val="en-US"/>
        </w:rPr>
        <w:t>6</w:t>
      </w:r>
      <w:r w:rsidRPr="00A443E2">
        <w:rPr>
          <w:color w:val="000000" w:themeColor="text1"/>
          <w:lang w:val="en-US"/>
        </w:rPr>
        <w:t xml:space="preserve"> cells/mL without clogging.</w:t>
      </w:r>
    </w:p>
    <w:p w14:paraId="1F007C76" w14:textId="77777777" w:rsidR="001D7B03" w:rsidRPr="00A443E2" w:rsidRDefault="001D7B03" w:rsidP="00A443E2">
      <w:pPr>
        <w:rPr>
          <w:color w:val="000000"/>
          <w:lang w:val="en-US"/>
        </w:rPr>
      </w:pPr>
    </w:p>
    <w:p w14:paraId="70B37383" w14:textId="77777777" w:rsidR="001D7B03" w:rsidRPr="00A443E2" w:rsidRDefault="00000000" w:rsidP="00A443E2">
      <w:r w:rsidRPr="00A443E2">
        <w:t>Notably, cancer cell clusters representing a model for circulating tumor cell (CTC) clusters have been successfully exposed to FSS on the viscometer and multichannel pipettor platforms in previous work</w:t>
      </w:r>
      <w:sdt>
        <w:sdtPr>
          <w:alias w:val="SmartCite Citation"/>
          <w:tag w:val="a9e2a68d-fe3b-412d-8c06-1ac3ca305ac6:8794b321-1f28-4db3-a833-cdab62ae1953,a9e2a68d-fe3b-412d-8c06-1ac3ca305ac6:c38fb151-b8c2-4b28-8b13-9af25483857a+{&quot;a9e2a68d-fe3b-412d-8c06-1ac3ca305ac6:8794b321-1f28-4db3-a833-cdab62ae1953&quot;:{&quot;doi&quot;:&quot;10.1002/adhm.202600011&quot;,&quot;pmid&quot;:&quot;41863420&quot;},&quot;a9e2a68d-fe3b-412d-8c06-1ac3ca305ac6:c38fb151-b8c2-4b28-8b13-9af25483857a&quot;:{&quot;doi&quot;:&quot;10.1021/acsnano.4c08132&quot;}}"/>
          <w:id w:val="-1555849218"/>
          <w:placeholder>
            <w:docPart w:val="584DED1E96E24F87B76C7641B62D0D3A"/>
          </w:placeholder>
        </w:sdtPr>
        <w:sdtContent>
          <w:r w:rsidRPr="00A443E2">
            <w:rPr>
              <w:rFonts w:eastAsia="Times New Roman"/>
              <w:vertAlign w:val="superscript"/>
            </w:rPr>
            <w:t>30,32</w:t>
          </w:r>
        </w:sdtContent>
      </w:sdt>
      <w:r w:rsidRPr="00A443E2">
        <w:t>. Thus, in addition to immune cell mechanobiology, this FSS platform framework can be used to study the FSS-based mechanobiology of CTC clusters during the circulatory phase of metastasis</w:t>
      </w:r>
      <w:r w:rsidRPr="00A443E2">
        <w:rPr>
          <w:color w:val="000000" w:themeColor="text1"/>
        </w:rPr>
        <w:t xml:space="preserve">, </w:t>
      </w:r>
      <w:r w:rsidRPr="00A443E2">
        <w:t>the least studied phase of the metastatic cascade</w:t>
      </w:r>
      <w:sdt>
        <w:sdtPr>
          <w:alias w:val="SmartCite Citation"/>
          <w:tag w:val="a9e2a68d-fe3b-412d-8c06-1ac3ca305ac6:dc054ead-c810-4eb4-a12b-91bf1b53a94e+{&quot;a9e2a68d-fe3b-412d-8c06-1ac3ca305ac6:dc054ead-c810-4eb4-a12b-91bf1b53a94e&quot;:{&quot;doi&quot;:&quot;10.1002/advs.76535&quot;,&quot;pmid&quot;:&quot;42474106&quot;,&quot;pmcid&quot;:&quot;PMC13383692&quot;}}"/>
          <w:id w:val="-966191112"/>
          <w:placeholder>
            <w:docPart w:val="584DED1E96E24F87B76C7641B62D0D3A"/>
          </w:placeholder>
        </w:sdtPr>
        <w:sdtContent>
          <w:r w:rsidRPr="00A443E2">
            <w:rPr>
              <w:rFonts w:eastAsia="Times New Roman"/>
              <w:vertAlign w:val="superscript"/>
            </w:rPr>
            <w:t>33</w:t>
          </w:r>
        </w:sdtContent>
      </w:sdt>
      <w:r w:rsidRPr="00A443E2">
        <w:t xml:space="preserve">. </w:t>
      </w:r>
    </w:p>
    <w:p w14:paraId="2F634EB8" w14:textId="77777777" w:rsidR="001D7B03" w:rsidRPr="00A443E2" w:rsidRDefault="001D7B03" w:rsidP="00A443E2"/>
    <w:p w14:paraId="2DFFA12F" w14:textId="6D40B87E" w:rsidR="001D7B03" w:rsidRPr="00CC7DD2" w:rsidRDefault="00000000" w:rsidP="00A443E2">
      <w:pPr>
        <w:rPr>
          <w:b/>
          <w:bCs/>
        </w:rPr>
      </w:pPr>
      <w:r w:rsidRPr="00CC7DD2">
        <w:lastRenderedPageBreak/>
        <w:t>FSS magnitude and duration</w:t>
      </w:r>
      <w:r w:rsidR="00CC7DD2" w:rsidRPr="00CC7DD2">
        <w:t>:</w:t>
      </w:r>
      <w:r w:rsidR="00CC7DD2">
        <w:rPr>
          <w:b/>
          <w:bCs/>
        </w:rPr>
        <w:t xml:space="preserve"> </w:t>
      </w:r>
      <w:r w:rsidRPr="00A443E2">
        <w:rPr>
          <w:lang w:val="en-US"/>
        </w:rPr>
        <w:t xml:space="preserve">Work by Hope </w:t>
      </w:r>
      <w:r w:rsidRPr="00A443E2">
        <w:rPr>
          <w:i/>
          <w:iCs/>
          <w:lang w:val="en-US"/>
        </w:rPr>
        <w:t>et al.</w:t>
      </w:r>
      <w:r w:rsidRPr="00A443E2">
        <w:rPr>
          <w:lang w:val="en-US"/>
        </w:rPr>
        <w:t xml:space="preserve"> demonstrated a positive correlation between T cell activation and both increasing FSS magnitude and duration</w:t>
      </w:r>
      <w:sdt>
        <w:sdtPr>
          <w:rPr>
            <w:lang w:val="en-US"/>
          </w:rPr>
          <w:alias w:val="SmartCite Citation"/>
          <w:tag w:val="a9e2a68d-fe3b-412d-8c06-1ac3ca305ac6:533a5160-3647-4639-a9ac-b8d66a46dfc6+{&quot;a9e2a68d-fe3b-412d-8c06-1ac3ca305ac6:533a5160-3647-4639-a9ac-b8d66a46dfc6&quot;:{&quot;doi&quot;:&quot;10.1186/s12915-022-01266-7&quot;}}"/>
          <w:id w:val="-1585683332"/>
          <w:placeholder>
            <w:docPart w:val="584DED1E96E24F87B76C7641B62D0D3A"/>
          </w:placeholder>
        </w:sdtPr>
        <w:sdtContent>
          <w:r w:rsidRPr="00A443E2">
            <w:rPr>
              <w:lang w:val="en-US"/>
            </w:rPr>
            <w:t xml:space="preserve"> up to 5 dyn/cm</w:t>
          </w:r>
          <w:r w:rsidRPr="00A443E2">
            <w:rPr>
              <w:vertAlign w:val="superscript"/>
              <w:lang w:val="en-US"/>
            </w:rPr>
            <w:t>2</w:t>
          </w:r>
          <w:r w:rsidRPr="00A443E2">
            <w:rPr>
              <w:lang w:val="en-US"/>
            </w:rPr>
            <w:t xml:space="preserve"> and 1 h, respectively</w:t>
          </w:r>
          <w:r w:rsidRPr="00A443E2">
            <w:rPr>
              <w:rFonts w:eastAsia="Times New Roman"/>
              <w:vertAlign w:val="superscript"/>
            </w:rPr>
            <w:t>10</w:t>
          </w:r>
        </w:sdtContent>
      </w:sdt>
      <w:r w:rsidRPr="00A443E2">
        <w:rPr>
          <w:lang w:val="en-US"/>
        </w:rPr>
        <w:t>. Optimal FSS magnitude and duration remain to be fully characterized and will likely vary by cell type and experimental context.</w:t>
      </w:r>
    </w:p>
    <w:p w14:paraId="42D742E5" w14:textId="77777777" w:rsidR="001D7B03" w:rsidRPr="00A443E2" w:rsidRDefault="001D7B03" w:rsidP="00A443E2"/>
    <w:p w14:paraId="572E1538" w14:textId="77777777" w:rsidR="001D7B03" w:rsidRPr="00A443E2" w:rsidRDefault="00000000" w:rsidP="00A443E2">
      <w:pPr>
        <w:pBdr>
          <w:top w:val="nil"/>
          <w:left w:val="nil"/>
          <w:bottom w:val="nil"/>
          <w:right w:val="nil"/>
          <w:between w:val="nil"/>
        </w:pBdr>
        <w:rPr>
          <w:color w:val="000000"/>
          <w:lang w:val="en-US"/>
        </w:rPr>
      </w:pPr>
      <w:r w:rsidRPr="00A443E2">
        <w:rPr>
          <w:color w:val="000000" w:themeColor="text1"/>
          <w:lang w:val="en-US"/>
        </w:rPr>
        <w:t>For cancer cell experiments on the syringe pump, a flow rate of 14 mL/min, corresponding to an average FSS of 3957 dyn/cm</w:t>
      </w:r>
      <w:r w:rsidRPr="00A443E2">
        <w:rPr>
          <w:color w:val="000000" w:themeColor="text1"/>
          <w:vertAlign w:val="superscript"/>
          <w:lang w:val="en-US"/>
        </w:rPr>
        <w:t>2</w:t>
      </w:r>
      <w:r w:rsidRPr="00A443E2">
        <w:rPr>
          <w:color w:val="000000" w:themeColor="text1"/>
          <w:lang w:val="en-US"/>
        </w:rPr>
        <w:t>, was selected to model the high FSS magnitudes experienced by circulating cells in the heart region, consistent with prior literature</w:t>
      </w:r>
      <w:sdt>
        <w:sdtPr>
          <w:rPr>
            <w:color w:val="000000" w:themeColor="text1"/>
            <w:lang w:val="en-US"/>
          </w:rPr>
          <w:alias w:val="SmartCite Citation"/>
          <w:tag w:val="a9e2a68d-fe3b-412d-8c06-1ac3ca305ac6:ce23d197-3d81-474d-8916-a2c513066d30,a9e2a68d-fe3b-412d-8c06-1ac3ca305ac6:0a52eebc-5cfa-478e-b600-d72f1d6116b2,a9e2a68d-fe3b-412d-8c06-1ac3ca305ac6:23c0fdac-1f5a-4c29-af0a-4fa7267c5130+{&quot;a9e2a68d-fe3b-412d-8c06-1ac3ca305ac6:ce23d197-3d81-474d-8916-a2c513066d30&quot;:{&quot;pmid&quot;:&quot;29888101&quot;,&quot;pmcid&quot;:&quot;PMC5992512&quot;},&quot;a9e2a68d-fe3b-412d-8c06-1ac3ca305ac6:0a52eebc-5cfa-478e-b600-d72f1d6116b2&quot;:{&quot;pmid&quot;:&quot;15222299&quot;},&quot;a9e2a68d-fe3b-412d-8c06-1ac3ca305ac6:23c0fdac-1f5a-4c29-af0a-4fa7267c5130&quot;:{&quot;doi&quot;:&quot;10.1371/journal.pone.0050973&quot;,&quot;pmid&quot;:&quot;23226552&quot;,&quot;pmcid&quot;:&quot;PMC3513308&quot;}}"/>
          <w:id w:val="1305195204"/>
          <w:placeholder>
            <w:docPart w:val="584DED1E96E24F87B76C7641B62D0D3A"/>
          </w:placeholder>
        </w:sdtPr>
        <w:sdtContent>
          <w:r w:rsidRPr="00A443E2">
            <w:rPr>
              <w:rFonts w:eastAsia="Times New Roman"/>
              <w:vertAlign w:val="superscript"/>
            </w:rPr>
            <w:t>2,42,43</w:t>
          </w:r>
        </w:sdtContent>
      </w:sdt>
      <w:r w:rsidRPr="00A443E2">
        <w:rPr>
          <w:color w:val="000000" w:themeColor="text1"/>
          <w:lang w:val="en-US"/>
        </w:rPr>
        <w:t xml:space="preserve">.  </w:t>
      </w:r>
    </w:p>
    <w:p w14:paraId="1DF0F0DE" w14:textId="77777777" w:rsidR="001D7B03" w:rsidRPr="00A443E2" w:rsidRDefault="001D7B03" w:rsidP="00A443E2"/>
    <w:p w14:paraId="44B419F9" w14:textId="02A8DABA" w:rsidR="001D7B03" w:rsidRPr="00CC7DD2" w:rsidRDefault="00000000" w:rsidP="00A443E2">
      <w:pPr>
        <w:rPr>
          <w:b/>
          <w:bCs/>
        </w:rPr>
      </w:pPr>
      <w:r w:rsidRPr="00CC7DD2">
        <w:t>Temperature during FSS stimulation</w:t>
      </w:r>
      <w:r w:rsidR="00CC7DD2" w:rsidRPr="00CC7DD2">
        <w:t xml:space="preserve">: </w:t>
      </w:r>
      <w:r w:rsidRPr="00A443E2">
        <w:rPr>
          <w:lang w:val="en-US"/>
        </w:rPr>
        <w:t>The viscometer and multichannel pipettor protocols can be customized to apply FSS at physiologically relevant temperatures. Many viscometers support connection to heated elements (e.g., a temperature bath or built-in Peltier device) for this purpose; refer to the manufacturer’s documentation for instrument-specific setup. The multichannel pipettor may be equipped with a temperature-controlled stage as described in section 2.5. In our laboratory, we set a temperature-controlled stage to 40 °C to approximate 37 °C physiological conditions; this method accounts for heat dissipation to the ambient environment, since our instrument is not fully enclosed (</w:t>
      </w:r>
      <w:r w:rsidRPr="00A443E2">
        <w:rPr>
          <w:b/>
          <w:bCs/>
          <w:lang w:val="en-US"/>
        </w:rPr>
        <w:t>Supplementary Figure 2A</w:t>
      </w:r>
      <w:r w:rsidRPr="00A443E2">
        <w:rPr>
          <w:lang w:val="en-US"/>
        </w:rPr>
        <w:t>). We recommend operators use a thermocouple to verify the actual temperature of their cell suspension within their specific setup and laboratory conditions. The syringe pump protocol does not support active temperature control unless experiments are conducted in a temperature-regulated room.</w:t>
      </w:r>
    </w:p>
    <w:p w14:paraId="4C553F5F" w14:textId="77777777" w:rsidR="001D7B03" w:rsidRPr="00A443E2" w:rsidRDefault="001D7B03" w:rsidP="00A443E2"/>
    <w:p w14:paraId="7D6CF826" w14:textId="77777777" w:rsidR="001D7B03" w:rsidRPr="00A443E2" w:rsidRDefault="00000000" w:rsidP="00A443E2">
      <w:r w:rsidRPr="00A443E2">
        <w:t>Temperature is an important experimental variable given its impact on immune cell metabolism and phenotype. Mild hyperthermia at fever-range temperatures (38</w:t>
      </w:r>
      <w:r w:rsidRPr="00A443E2">
        <w:rPr>
          <w:color w:val="000000" w:themeColor="text1"/>
          <w:lang w:val="en-US"/>
        </w:rPr>
        <w:t>–</w:t>
      </w:r>
      <w:r w:rsidRPr="00A443E2">
        <w:t>40 °C) has been shown to enhance T cell, macrophage, NK cell, dendritic cell, and neutrophil cytotoxicity</w:t>
      </w:r>
      <w:sdt>
        <w:sdtPr>
          <w:alias w:val="SmartCite Citation"/>
          <w:tag w:val="a9e2a68d-fe3b-412d-8c06-1ac3ca305ac6:4800f40d-e339-4827-ad84-ef9ed780d0b3,a9e2a68d-fe3b-412d-8c06-1ac3ca305ac6:12ea92a7-1d56-4eac-ab16-a28533854325+{&quot;a9e2a68d-fe3b-412d-8c06-1ac3ca305ac6:4800f40d-e339-4827-ad84-ef9ed780d0b3&quot;:{&quot;doi&quot;:&quot;10.3109/02656736.2011.616182&quot;,&quot;pmid&quot;:&quot;22235780&quot;,&quot;pmcid&quot;:&quot;PMC3293214&quot;},&quot;a9e2a68d-fe3b-412d-8c06-1ac3ca305ac6:12ea92a7-1d56-4eac-ab16-a28533854325&quot;:{&quot;doi&quot;:&quot;10.1038/nri3843&quot;,&quot;pmid&quot;:&quot;25976513&quot;,&quot;pmcid&quot;:&quot;PMC4786079&quot;}}"/>
          <w:id w:val="1028993588"/>
          <w:placeholder>
            <w:docPart w:val="584DED1E96E24F87B76C7641B62D0D3A"/>
          </w:placeholder>
        </w:sdtPr>
        <w:sdtContent>
          <w:r w:rsidRPr="00A443E2">
            <w:rPr>
              <w:rFonts w:eastAsia="Times New Roman"/>
              <w:vertAlign w:val="superscript"/>
            </w:rPr>
            <w:t>44,45</w:t>
          </w:r>
        </w:sdtContent>
      </w:sdt>
      <w:r w:rsidRPr="00A443E2">
        <w:rPr>
          <w:color w:val="000000"/>
        </w:rPr>
        <w:t xml:space="preserve">, </w:t>
      </w:r>
      <w:r w:rsidRPr="00A443E2">
        <w:t xml:space="preserve">suggesting that FSS experiments conducted at physiological temperatures may more faithfully recapitulate </w:t>
      </w:r>
      <w:r w:rsidRPr="00A443E2">
        <w:rPr>
          <w:i/>
          <w:iCs/>
        </w:rPr>
        <w:t xml:space="preserve">in vivo </w:t>
      </w:r>
      <w:r w:rsidRPr="00A443E2">
        <w:t>immune responses compared to room temperature conditions.</w:t>
      </w:r>
    </w:p>
    <w:p w14:paraId="5878C56F" w14:textId="77777777" w:rsidR="001D7B03" w:rsidRPr="00CC7DD2" w:rsidRDefault="001D7B03" w:rsidP="00A443E2"/>
    <w:p w14:paraId="748B26DA" w14:textId="1A0B4E25" w:rsidR="001D7B03" w:rsidRDefault="00000000" w:rsidP="00A443E2">
      <w:r w:rsidRPr="00CC7DD2">
        <w:t>Pulsatile vs. constant FSS profile</w:t>
      </w:r>
      <w:r w:rsidR="00CC7DD2" w:rsidRPr="00CC7DD2">
        <w:t>:</w:t>
      </w:r>
      <w:r w:rsidR="00CC7DD2">
        <w:rPr>
          <w:b/>
          <w:bCs/>
        </w:rPr>
        <w:t xml:space="preserve"> </w:t>
      </w:r>
      <w:r w:rsidRPr="00A443E2">
        <w:t>The three instruments described in this protocol apply distinct FSS profiles. First, the viscometer delivers a uniform, constant FSS profile. Second, the multichannel pipettor delivers a parabolic, cyclical FSS profile that varies from zero to maximum during each identical aspiration-dispense cycle. Third, the syringe pump delivers intermittent, constant FSS pulses at user-defined intervals.</w:t>
      </w:r>
    </w:p>
    <w:p w14:paraId="669F938D" w14:textId="77777777" w:rsidR="00CC7DD2" w:rsidRPr="00CC7DD2" w:rsidRDefault="00CC7DD2" w:rsidP="00A443E2">
      <w:pPr>
        <w:rPr>
          <w:b/>
          <w:bCs/>
        </w:rPr>
      </w:pPr>
    </w:p>
    <w:p w14:paraId="195E750E" w14:textId="77777777" w:rsidR="001D7B03" w:rsidRPr="00A443E2" w:rsidRDefault="00000000" w:rsidP="00A443E2">
      <w:pPr>
        <w:pBdr>
          <w:top w:val="nil"/>
          <w:left w:val="nil"/>
          <w:bottom w:val="nil"/>
          <w:right w:val="nil"/>
          <w:between w:val="nil"/>
        </w:pBdr>
        <w:rPr>
          <w:strike/>
        </w:rPr>
      </w:pPr>
      <w:r w:rsidRPr="00A443E2">
        <w:t>Depending on the viscometer model, the instrument may be programmed to apply pulsatile rather than constant FSS; refer to the manufacturer’s documentation for instrument-specific programming guidance. Here, we deliver syringe pump pulses at 2 min intervals, intended to approximate the circulation time for cells to re-encounter the elevated FSS conditions within and near the hear</w:t>
      </w:r>
      <w:r w:rsidRPr="00A443E2">
        <w:rPr>
          <w:lang w:val="en-US"/>
        </w:rPr>
        <w:t xml:space="preserve">t </w:t>
      </w:r>
      <w:r w:rsidRPr="00A443E2">
        <w:t>region, consistent with estimates of full-body circulation time</w:t>
      </w:r>
      <w:sdt>
        <w:sdtPr>
          <w:alias w:val="SmartCite Citation"/>
          <w:tag w:val="a9e2a68d-fe3b-412d-8c06-1ac3ca305ac6:0a52eebc-5cfa-478e-b600-d72f1d6116b2,a9e2a68d-fe3b-412d-8c06-1ac3ca305ac6:23c0fdac-1f5a-4c29-af0a-4fa7267c5130+{&quot;a9e2a68d-fe3b-412d-8c06-1ac3ca305ac6:0a52eebc-5cfa-478e-b600-d72f1d6116b2&quot;:{&quot;pmid&quot;:&quot;15222299&quot;},&quot;a9e2a68d-fe3b-412d-8c06-1ac3ca305ac6:23c0fdac-1f5a-4c29-af0a-4fa7267c5130&quot;:{&quot;doi&quot;:&quot;10.1371/journal.pone.0050973&quot;,&quot;pmid&quot;:&quot;23226552&quot;,&quot;pmcid&quot;:&quot;PMC3513308&quot;}}"/>
          <w:id w:val="2068140671"/>
          <w:placeholder>
            <w:docPart w:val="584DED1E96E24F87B76C7641B62D0D3A"/>
          </w:placeholder>
        </w:sdtPr>
        <w:sdtContent>
          <w:r w:rsidRPr="00A443E2">
            <w:rPr>
              <w:rFonts w:eastAsia="Times New Roman"/>
              <w:vertAlign w:val="superscript"/>
            </w:rPr>
            <w:t>42,43</w:t>
          </w:r>
        </w:sdtContent>
      </w:sdt>
      <w:r w:rsidRPr="00A443E2">
        <w:t>. </w:t>
      </w:r>
    </w:p>
    <w:p w14:paraId="57BD574D" w14:textId="77777777" w:rsidR="001D7B03" w:rsidRPr="00A443E2" w:rsidRDefault="001D7B03" w:rsidP="00A443E2">
      <w:pPr>
        <w:pBdr>
          <w:top w:val="nil"/>
          <w:left w:val="nil"/>
          <w:bottom w:val="nil"/>
          <w:right w:val="nil"/>
          <w:between w:val="nil"/>
        </w:pBdr>
      </w:pPr>
    </w:p>
    <w:p w14:paraId="29EB88B9" w14:textId="7BE9F5B6" w:rsidR="001D7B03" w:rsidRPr="00CC7DD2" w:rsidRDefault="00000000" w:rsidP="00CC7DD2">
      <w:pPr>
        <w:rPr>
          <w:b/>
          <w:bCs/>
        </w:rPr>
      </w:pPr>
      <w:r w:rsidRPr="00CC7DD2">
        <w:t>FAQs and troubleshooting</w:t>
      </w:r>
      <w:r w:rsidR="00CC7DD2" w:rsidRPr="00CC7DD2">
        <w:t>:</w:t>
      </w:r>
      <w:r w:rsidR="00CC7DD2">
        <w:rPr>
          <w:b/>
          <w:bCs/>
        </w:rPr>
        <w:t xml:space="preserve"> </w:t>
      </w:r>
      <w:r w:rsidRPr="00A443E2">
        <w:rPr>
          <w:lang w:val="en-US"/>
        </w:rPr>
        <w:t xml:space="preserve">Unexpected decreases in cell viability following FSS exposure may indicate bubble formation during pipetting or aspiration, or inadvertent application of FSS magnitudes exceeding the intended range. Inspect tips and needles for visible bubbles and verify programmed flow parameters before repeating the experiment. </w:t>
      </w:r>
    </w:p>
    <w:p w14:paraId="4BE8F9C6" w14:textId="77777777" w:rsidR="001D7B03" w:rsidRPr="00A443E2" w:rsidRDefault="001D7B03" w:rsidP="00A443E2">
      <w:pPr>
        <w:pBdr>
          <w:top w:val="nil"/>
          <w:left w:val="nil"/>
          <w:bottom w:val="nil"/>
          <w:right w:val="nil"/>
          <w:between w:val="nil"/>
        </w:pBdr>
      </w:pPr>
    </w:p>
    <w:p w14:paraId="43C2EF3B" w14:textId="77777777" w:rsidR="001D7B03" w:rsidRPr="00A443E2" w:rsidRDefault="00000000" w:rsidP="00A443E2">
      <w:pPr>
        <w:pBdr>
          <w:top w:val="nil"/>
          <w:left w:val="nil"/>
          <w:bottom w:val="nil"/>
          <w:right w:val="nil"/>
          <w:between w:val="nil"/>
        </w:pBdr>
        <w:rPr>
          <w:lang w:val="en-US"/>
        </w:rPr>
      </w:pPr>
      <w:r w:rsidRPr="00A443E2">
        <w:rPr>
          <w:lang w:val="en-US"/>
        </w:rPr>
        <w:t>Low sample recovery following an FSS experiment may indicate insufficient BSA blocking. Repeat the experiment with an extended blocking incubation using freshly prepared BSA, and consider modestly increasing the concentration of BSA or alternative passivation materials, such as milk protein.</w:t>
      </w:r>
    </w:p>
    <w:p w14:paraId="28607D28" w14:textId="77777777" w:rsidR="001D7B03" w:rsidRPr="00A443E2" w:rsidRDefault="001D7B03" w:rsidP="00A443E2">
      <w:pPr>
        <w:pBdr>
          <w:top w:val="nil"/>
          <w:left w:val="nil"/>
          <w:bottom w:val="nil"/>
          <w:right w:val="nil"/>
          <w:between w:val="nil"/>
        </w:pBdr>
      </w:pPr>
    </w:p>
    <w:p w14:paraId="18AE2F64" w14:textId="77777777" w:rsidR="001D7B03" w:rsidRPr="00A443E2" w:rsidRDefault="00000000" w:rsidP="00A443E2">
      <w:pPr>
        <w:pBdr>
          <w:top w:val="nil"/>
          <w:left w:val="nil"/>
          <w:bottom w:val="nil"/>
          <w:right w:val="nil"/>
          <w:between w:val="nil"/>
        </w:pBdr>
        <w:rPr>
          <w:lang w:val="en-US"/>
        </w:rPr>
      </w:pPr>
      <w:r w:rsidRPr="00A443E2">
        <w:rPr>
          <w:lang w:val="en-US"/>
        </w:rPr>
        <w:t>In the viscometers, accurate cone-and-plate gap calibration is essential for reproducible FSS delivery. Consistency in the viscosity readout between the initial characterization experiment (section 1.1) and subsequent FSS experiments (section 1.3) serves as a reliable internal indicator that gap calibration has been set up correctly.</w:t>
      </w:r>
    </w:p>
    <w:p w14:paraId="6D5CCA38" w14:textId="77777777" w:rsidR="001D7B03" w:rsidRPr="00A443E2" w:rsidRDefault="001D7B03" w:rsidP="00A443E2">
      <w:pPr>
        <w:pBdr>
          <w:top w:val="nil"/>
          <w:left w:val="nil"/>
          <w:bottom w:val="nil"/>
          <w:right w:val="nil"/>
          <w:between w:val="nil"/>
        </w:pBdr>
      </w:pPr>
    </w:p>
    <w:p w14:paraId="1BC6BDB5" w14:textId="77777777" w:rsidR="001D7B03" w:rsidRPr="00A443E2" w:rsidRDefault="00000000" w:rsidP="00A443E2">
      <w:pPr>
        <w:pBdr>
          <w:top w:val="nil"/>
          <w:left w:val="nil"/>
          <w:bottom w:val="nil"/>
          <w:right w:val="nil"/>
          <w:between w:val="nil"/>
        </w:pBdr>
        <w:rPr>
          <w:lang w:val="en-US"/>
        </w:rPr>
      </w:pPr>
      <w:r w:rsidRPr="00A443E2">
        <w:rPr>
          <w:lang w:val="en-US"/>
        </w:rPr>
        <w:t>Some viscometer reading drift is expected within the first 15 min; however, if the viscometer reading fails to stabilize by the end of a 1 h experiment, the cone-and-plate gap may not have been balanced or calibrated correctly, air may have entered the system, or the cone and plate may be misaligned. Repeat the experiment, taking special care to balance and set up the gap calibration accurately, and check for air bubbles at the cone-sample-plate interfaces.</w:t>
      </w:r>
    </w:p>
    <w:p w14:paraId="326889DE" w14:textId="77777777" w:rsidR="001D7B03" w:rsidRPr="00A443E2" w:rsidRDefault="001D7B03" w:rsidP="00A443E2">
      <w:pPr>
        <w:pBdr>
          <w:top w:val="nil"/>
          <w:left w:val="nil"/>
          <w:bottom w:val="nil"/>
          <w:right w:val="nil"/>
          <w:between w:val="nil"/>
        </w:pBdr>
      </w:pPr>
    </w:p>
    <w:p w14:paraId="6F7DDD91" w14:textId="77777777" w:rsidR="001D7B03" w:rsidRPr="00A443E2" w:rsidRDefault="00000000" w:rsidP="00A443E2">
      <w:pPr>
        <w:pBdr>
          <w:top w:val="nil"/>
          <w:left w:val="nil"/>
          <w:bottom w:val="nil"/>
          <w:right w:val="nil"/>
          <w:between w:val="nil"/>
        </w:pBdr>
        <w:rPr>
          <w:lang w:val="en-US"/>
        </w:rPr>
      </w:pPr>
      <w:r w:rsidRPr="00A443E2">
        <w:rPr>
          <w:lang w:val="en-US"/>
        </w:rPr>
        <w:t>During the blocking step, always confirm that the multichannel pipettor custom needle tips aspirate properly and uniformly relative to one another, especially if the needle tips are being reused following an autoclave cycle. If a tip is not performing as expected, discard it in an appropriate biohazard sharps container or in compliance with institutional guidelines.</w:t>
      </w:r>
    </w:p>
    <w:p w14:paraId="4AA9EE4C" w14:textId="77777777" w:rsidR="001D7B03" w:rsidRPr="00A443E2" w:rsidRDefault="001D7B03" w:rsidP="00A443E2">
      <w:pPr>
        <w:pBdr>
          <w:top w:val="nil"/>
          <w:left w:val="nil"/>
          <w:bottom w:val="nil"/>
          <w:right w:val="nil"/>
          <w:between w:val="nil"/>
        </w:pBdr>
      </w:pPr>
    </w:p>
    <w:p w14:paraId="7427C5BA" w14:textId="77777777" w:rsidR="001D7B03" w:rsidRPr="00A443E2" w:rsidRDefault="00000000" w:rsidP="00A443E2">
      <w:pPr>
        <w:pBdr>
          <w:top w:val="nil"/>
          <w:left w:val="nil"/>
          <w:bottom w:val="nil"/>
          <w:right w:val="nil"/>
          <w:between w:val="nil"/>
        </w:pBdr>
      </w:pPr>
      <w:r w:rsidRPr="00A443E2">
        <w:rPr>
          <w:lang w:val="en-US"/>
        </w:rPr>
        <w:t>A clogged syringe pump needle is typically indicated by a sudden increase in back-pressure on the pump</w:t>
      </w:r>
      <w:r w:rsidRPr="00A443E2">
        <w:rPr>
          <w:color w:val="EE0000"/>
          <w:lang w:val="en-US"/>
        </w:rPr>
        <w:t xml:space="preserve"> </w:t>
      </w:r>
      <w:r w:rsidRPr="00A443E2">
        <w:rPr>
          <w:lang w:val="en-US"/>
        </w:rPr>
        <w:t xml:space="preserve">or failure to fully dispense the cell suspension from the syringe within the expected timeframe. If clogging is suspected, immediately stop the pump, carefully recap and remove the needle in a safe direction in case contents are pressurized, and inspect for visible cell aggregates or dried BSA at the needle tip. If needed, replace the 30 G needle with a fresh one. For subsequent experiments, reduce cell density or pre-filter the suspension through a 40 µm cell strainer. Additionally, during the blocking step, ensure that BSA is advanced through the needle until the needle tip is fully submerged within the cap to prevent drying. </w:t>
      </w:r>
    </w:p>
    <w:p w14:paraId="34D974E5" w14:textId="77777777" w:rsidR="001D7B03" w:rsidRPr="00A443E2" w:rsidRDefault="001D7B03" w:rsidP="00A443E2">
      <w:pPr>
        <w:pBdr>
          <w:top w:val="nil"/>
          <w:left w:val="nil"/>
          <w:bottom w:val="nil"/>
          <w:right w:val="nil"/>
          <w:between w:val="nil"/>
        </w:pBdr>
        <w:rPr>
          <w:color w:val="000000"/>
        </w:rPr>
      </w:pPr>
    </w:p>
    <w:p w14:paraId="0FB0C611" w14:textId="6671E1F4" w:rsidR="001D7B03" w:rsidRPr="004B669F" w:rsidRDefault="00000000" w:rsidP="00A443E2">
      <w:pPr>
        <w:pBdr>
          <w:top w:val="nil"/>
          <w:left w:val="nil"/>
          <w:bottom w:val="nil"/>
          <w:right w:val="nil"/>
          <w:between w:val="nil"/>
        </w:pBdr>
        <w:rPr>
          <w:b/>
          <w:bCs/>
          <w:color w:val="000000"/>
        </w:rPr>
      </w:pPr>
      <w:r w:rsidRPr="004B669F">
        <w:rPr>
          <w:color w:val="000000"/>
        </w:rPr>
        <w:t>Method limitations</w:t>
      </w:r>
      <w:r w:rsidR="004B669F" w:rsidRPr="004B669F">
        <w:rPr>
          <w:color w:val="000000"/>
        </w:rPr>
        <w:t>:</w:t>
      </w:r>
      <w:r w:rsidR="004B669F">
        <w:rPr>
          <w:b/>
          <w:bCs/>
          <w:color w:val="000000"/>
        </w:rPr>
        <w:t xml:space="preserve"> </w:t>
      </w:r>
      <w:r w:rsidRPr="00A443E2">
        <w:rPr>
          <w:color w:val="000000" w:themeColor="text1"/>
          <w:lang w:val="en-US"/>
        </w:rPr>
        <w:t>The viscometer method is limited to low-to-moderate FSS magnitudes and a single-volume format, restricting testing to a single FSS magnitude per run. Similarly, the multichannel pipettor is limited to a single speed and thus FSS magnitude at a single time of operation. For both instruments, operating multiple units simultaneously or sequential runs on a single instrument can mitigate throughput limitations; however, these approaches also increase experimental time and potential for inter-run variability. For the multichannel pipettor, only one tip type may be used at a time, given discrepancies in length (</w:t>
      </w:r>
      <w:r w:rsidRPr="00A443E2">
        <w:rPr>
          <w:b/>
          <w:bCs/>
          <w:color w:val="000000" w:themeColor="text1"/>
          <w:lang w:val="en-US"/>
        </w:rPr>
        <w:t>Supplementary Figure 4</w:t>
      </w:r>
      <w:r w:rsidRPr="00A443E2">
        <w:rPr>
          <w:color w:val="000000" w:themeColor="text1"/>
          <w:lang w:val="en-US"/>
        </w:rPr>
        <w:t xml:space="preserve">). Additionally, the FSS values reported for the unmodified and modified needle tips describe the primary source of mechanical stimulation rather than a complete description of all hydrodynamic features within the well. Finally, the syringe pump method accommodates only one or two syringes per run, depending on the model type. However, this limitation is overall beneficial to the experimental protocol, since operating more than two samples at a time carries a risk of cross-contamination if different cell types are sheared simultaneously. </w:t>
      </w:r>
    </w:p>
    <w:p w14:paraId="0BAB2E68" w14:textId="77777777" w:rsidR="001D7B03" w:rsidRPr="004B669F" w:rsidRDefault="001D7B03" w:rsidP="00A443E2">
      <w:pPr>
        <w:pBdr>
          <w:top w:val="nil"/>
          <w:left w:val="nil"/>
          <w:bottom w:val="nil"/>
          <w:right w:val="nil"/>
          <w:between w:val="nil"/>
        </w:pBdr>
        <w:rPr>
          <w:color w:val="000000"/>
        </w:rPr>
      </w:pPr>
    </w:p>
    <w:p w14:paraId="0148D2E8" w14:textId="751C7444" w:rsidR="001D7B03" w:rsidRPr="004B669F" w:rsidRDefault="00000000" w:rsidP="00A443E2">
      <w:pPr>
        <w:pBdr>
          <w:top w:val="nil"/>
          <w:left w:val="nil"/>
          <w:bottom w:val="nil"/>
          <w:right w:val="nil"/>
          <w:between w:val="nil"/>
        </w:pBdr>
        <w:rPr>
          <w:b/>
          <w:bCs/>
          <w:color w:val="000000"/>
        </w:rPr>
      </w:pPr>
      <w:r w:rsidRPr="004B669F">
        <w:rPr>
          <w:color w:val="000000"/>
        </w:rPr>
        <w:t>Applicability of this method across research areas</w:t>
      </w:r>
      <w:r w:rsidR="004B669F" w:rsidRPr="004B669F">
        <w:rPr>
          <w:color w:val="000000"/>
        </w:rPr>
        <w:t>:</w:t>
      </w:r>
      <w:r w:rsidR="004B669F">
        <w:rPr>
          <w:b/>
          <w:bCs/>
          <w:color w:val="000000"/>
        </w:rPr>
        <w:t xml:space="preserve"> </w:t>
      </w:r>
      <w:r w:rsidRPr="00A443E2">
        <w:rPr>
          <w:color w:val="000000" w:themeColor="text1"/>
          <w:lang w:val="en-US"/>
        </w:rPr>
        <w:t>Beyond the specific application areas of the representative results demonstrated in this paper, the FSS platforms described here are broadly applicable across several emerging research fields, especially those involving cells suspended in a fluid.</w:t>
      </w:r>
    </w:p>
    <w:p w14:paraId="61CFB9E3" w14:textId="77777777" w:rsidR="001D7B03" w:rsidRPr="00A443E2" w:rsidRDefault="001D7B03" w:rsidP="00A443E2">
      <w:pPr>
        <w:pBdr>
          <w:top w:val="nil"/>
          <w:left w:val="nil"/>
          <w:bottom w:val="nil"/>
          <w:right w:val="nil"/>
          <w:between w:val="nil"/>
        </w:pBdr>
        <w:rPr>
          <w:color w:val="000000"/>
          <w:lang w:val="en-US"/>
        </w:rPr>
      </w:pPr>
    </w:p>
    <w:p w14:paraId="791B2EBA" w14:textId="77777777" w:rsidR="001D7B03" w:rsidRPr="00A443E2" w:rsidRDefault="00000000" w:rsidP="00A443E2">
      <w:pPr>
        <w:pBdr>
          <w:top w:val="nil"/>
          <w:left w:val="nil"/>
          <w:bottom w:val="nil"/>
          <w:right w:val="nil"/>
          <w:between w:val="nil"/>
        </w:pBdr>
        <w:rPr>
          <w:color w:val="000000" w:themeColor="text1"/>
          <w:lang w:val="en-US"/>
        </w:rPr>
      </w:pPr>
      <w:r w:rsidRPr="00A443E2">
        <w:rPr>
          <w:color w:val="000000" w:themeColor="text1"/>
          <w:lang w:val="en-US"/>
        </w:rPr>
        <w:t>In foundational mechanobiology research, these platforms enable systematic investigation of how FSS magnitude, duration, and profile (constant vs. cyclical) independently modulate immune and cancer cell behavior.</w:t>
      </w:r>
    </w:p>
    <w:p w14:paraId="22DC8524" w14:textId="77777777" w:rsidR="001D7B03" w:rsidRPr="00A443E2" w:rsidRDefault="001D7B03" w:rsidP="00A443E2">
      <w:pPr>
        <w:pBdr>
          <w:top w:val="nil"/>
          <w:left w:val="nil"/>
          <w:bottom w:val="nil"/>
          <w:right w:val="nil"/>
          <w:between w:val="nil"/>
        </w:pBdr>
        <w:rPr>
          <w:color w:val="000000"/>
          <w:lang w:val="en-US"/>
        </w:rPr>
      </w:pPr>
    </w:p>
    <w:p w14:paraId="00EC7B64" w14:textId="77777777" w:rsidR="001D7B03" w:rsidRPr="00A443E2" w:rsidRDefault="00000000" w:rsidP="00A443E2">
      <w:pPr>
        <w:pBdr>
          <w:top w:val="nil"/>
          <w:left w:val="nil"/>
          <w:bottom w:val="nil"/>
          <w:right w:val="nil"/>
          <w:between w:val="nil"/>
        </w:pBdr>
        <w:rPr>
          <w:color w:val="000000" w:themeColor="text1"/>
          <w:lang w:val="en-US"/>
        </w:rPr>
      </w:pPr>
      <w:r w:rsidRPr="00A443E2">
        <w:rPr>
          <w:color w:val="000000" w:themeColor="text1"/>
          <w:lang w:val="en-US"/>
        </w:rPr>
        <w:t xml:space="preserve">In translational cancer immunotherapy, </w:t>
      </w:r>
      <w:r w:rsidRPr="00A443E2">
        <w:rPr>
          <w:i/>
          <w:iCs/>
          <w:color w:val="000000" w:themeColor="text1"/>
          <w:lang w:val="en-US"/>
        </w:rPr>
        <w:t>ex vivo</w:t>
      </w:r>
      <w:r w:rsidRPr="00A443E2">
        <w:rPr>
          <w:color w:val="000000" w:themeColor="text1"/>
          <w:lang w:val="en-US"/>
        </w:rPr>
        <w:t xml:space="preserve"> FSS stimulation of immune cells prior to adoptive transfer represents a promising processing strategy</w:t>
      </w:r>
      <w:r w:rsidRPr="00A443E2">
        <w:rPr>
          <w:lang w:val="en-US"/>
        </w:rPr>
        <w:t xml:space="preserve"> for greater efficacy in cell-based therapies. This potential application stems from the </w:t>
      </w:r>
      <w:r w:rsidRPr="00A443E2">
        <w:rPr>
          <w:color w:val="000000" w:themeColor="text1"/>
          <w:lang w:val="en-US"/>
        </w:rPr>
        <w:t>FSS-induced enhancements in T cell proliferation, activation, cytokine secretion, and cytotoxicity and in macrophage phagocytic activity demonstrated in the results above and prior work</w:t>
      </w:r>
      <w:sdt>
        <w:sdtPr>
          <w:rPr>
            <w:color w:val="000000" w:themeColor="text1"/>
            <w:lang w:val="en-US"/>
          </w:rPr>
          <w:alias w:val="SmartCite Citation"/>
          <w:tag w:val="a9e2a68d-fe3b-412d-8c06-1ac3ca305ac6:533a5160-3647-4639-a9ac-b8d66a46dfc6,a9e2a68d-fe3b-412d-8c06-1ac3ca305ac6:0123e1da-f22e-4699-94dc-37146bcb3bb6+{&quot;a9e2a68d-fe3b-412d-8c06-1ac3ca305ac6:533a5160-3647-4639-a9ac-b8d66a46dfc6&quot;:{&quot;doi&quot;:&quot;10.1186/s12915-022-01266-7&quot;},&quot;a9e2a68d-fe3b-412d-8c06-1ac3ca305ac6:0123e1da-f22e-4699-94dc-37146bcb3bb6&quot;:{&quot;doi&quot;:&quot;10.1016/j.isci.2024.109999&quot;}}"/>
          <w:id w:val="-2053678661"/>
          <w:placeholder>
            <w:docPart w:val="584DED1E96E24F87B76C7641B62D0D3A"/>
          </w:placeholder>
        </w:sdtPr>
        <w:sdtContent>
          <w:r w:rsidRPr="00A443E2">
            <w:rPr>
              <w:rFonts w:eastAsia="Times New Roman"/>
              <w:vertAlign w:val="superscript"/>
            </w:rPr>
            <w:t>9,10</w:t>
          </w:r>
        </w:sdtContent>
      </w:sdt>
      <w:r w:rsidRPr="00A443E2">
        <w:rPr>
          <w:color w:val="000000" w:themeColor="text1"/>
          <w:lang w:val="en-US"/>
        </w:rPr>
        <w:t>. </w:t>
      </w:r>
    </w:p>
    <w:p w14:paraId="0B465F7B" w14:textId="77777777" w:rsidR="001D7B03" w:rsidRPr="00A443E2" w:rsidRDefault="001D7B03" w:rsidP="00A443E2">
      <w:pPr>
        <w:pBdr>
          <w:top w:val="nil"/>
          <w:left w:val="nil"/>
          <w:bottom w:val="nil"/>
          <w:right w:val="nil"/>
          <w:between w:val="nil"/>
        </w:pBdr>
        <w:rPr>
          <w:color w:val="000000"/>
          <w:lang w:val="en-US"/>
        </w:rPr>
      </w:pPr>
    </w:p>
    <w:p w14:paraId="25C9B559" w14:textId="77777777" w:rsidR="001D7B03" w:rsidRPr="00A443E2" w:rsidRDefault="00000000" w:rsidP="00A443E2">
      <w:pPr>
        <w:pBdr>
          <w:top w:val="nil"/>
          <w:left w:val="nil"/>
          <w:bottom w:val="nil"/>
          <w:right w:val="nil"/>
          <w:between w:val="nil"/>
        </w:pBdr>
        <w:rPr>
          <w:color w:val="000000" w:themeColor="text1"/>
          <w:lang w:val="en-US"/>
        </w:rPr>
      </w:pPr>
      <w:r w:rsidRPr="00A443E2">
        <w:rPr>
          <w:color w:val="000000" w:themeColor="text1"/>
          <w:lang w:val="en-US"/>
        </w:rPr>
        <w:t>Beyond immune cell therapy, the syringe pump protocol enables researchers to model extreme FSS magnitudes encountered by CTC clusters in stenosed vessels, supporting mechanistic studies of metastatic adaptation</w:t>
      </w:r>
      <w:sdt>
        <w:sdtPr>
          <w:rPr>
            <w:color w:val="000000" w:themeColor="text1"/>
            <w:lang w:val="en-US"/>
          </w:rPr>
          <w:alias w:val="SmartCite Citation"/>
          <w:tag w:val="a9e2a68d-fe3b-412d-8c06-1ac3ca305ac6:dc054ead-c810-4eb4-a12b-91bf1b53a94e+{&quot;a9e2a68d-fe3b-412d-8c06-1ac3ca305ac6:dc054ead-c810-4eb4-a12b-91bf1b53a94e&quot;:{&quot;doi&quot;:&quot;10.1002/advs.76535&quot;,&quot;pmid&quot;:&quot;42474106&quot;,&quot;pmcid&quot;:&quot;PMC13383692&quot;}}"/>
          <w:id w:val="-629010347"/>
          <w:placeholder>
            <w:docPart w:val="584DED1E96E24F87B76C7641B62D0D3A"/>
          </w:placeholder>
        </w:sdtPr>
        <w:sdtContent>
          <w:r w:rsidRPr="00A443E2">
            <w:rPr>
              <w:rFonts w:eastAsia="Times New Roman"/>
              <w:vertAlign w:val="superscript"/>
            </w:rPr>
            <w:t>33</w:t>
          </w:r>
        </w:sdtContent>
      </w:sdt>
      <w:r w:rsidRPr="00A443E2">
        <w:rPr>
          <w:color w:val="000000" w:themeColor="text1"/>
          <w:lang w:val="en-US"/>
        </w:rPr>
        <w:t xml:space="preserve"> and therapeutic sensitization</w:t>
      </w:r>
      <w:sdt>
        <w:sdtPr>
          <w:rPr>
            <w:color w:val="000000" w:themeColor="text1"/>
            <w:lang w:val="en-US"/>
          </w:rPr>
          <w:alias w:val="SmartCite Citation"/>
          <w:tag w:val="a9e2a68d-fe3b-412d-8c06-1ac3ca305ac6:508c14b3-93dd-41b2-b6db-e3aa4490c878,a9e2a68d-fe3b-412d-8c06-1ac3ca305ac6:f48fde3f-8e22-47f8-a145-10534508b5bb,a9e2a68d-fe3b-412d-8c06-1ac3ca305ac6:63486850-ec0f-4174-85bf-134b95217898+{&quot;a9e2a68d-fe3b-412d-8c06-1ac3ca305ac6:508c14b3-93dd-41b2-b6db-e3aa4490c878&quot;:{&quot;doi&quot;:&quot;10.1002/advs.202412995&quot;,&quot;pmid&quot;:&quot;39976192&quot;,&quot;pmcid&quot;:&quot;PMC12005757&quot;},&quot;a9e2a68d-fe3b-412d-8c06-1ac3ca305ac6:f48fde3f-8e22-47f8-a145-10534508b5bb&quot;:{&quot;doi&quot;:&quot;10.7150/jca.98075&quot;,&quot;pmid&quot;:&quot;39132151&quot;,&quot;pmcid&quot;:&quot;PMC11310884&quot;},&quot;a9e2a68d-fe3b-412d-8c06-1ac3ca305ac6:63486850-ec0f-4174-85bf-134b95217898&quot;:{&quot;doi&quot;:&quot;10.1021/acsomega.5c12237&quot;,&quot;pmid&quot;:&quot;41908375&quot;,&quot;pmcid&quot;:&quot;PMC13019251&quot;}}"/>
          <w:id w:val="430404233"/>
          <w:placeholder>
            <w:docPart w:val="584DED1E96E24F87B76C7641B62D0D3A"/>
          </w:placeholder>
        </w:sdtPr>
        <w:sdtContent>
          <w:r w:rsidRPr="00A443E2">
            <w:rPr>
              <w:rFonts w:eastAsia="Times New Roman"/>
              <w:vertAlign w:val="superscript"/>
            </w:rPr>
            <w:t>11–13</w:t>
          </w:r>
        </w:sdtContent>
      </w:sdt>
      <w:r w:rsidRPr="00A443E2">
        <w:rPr>
          <w:color w:val="000000" w:themeColor="text1"/>
          <w:lang w:val="en-US"/>
        </w:rPr>
        <w:t>. Future studies should further characterize the molecular and structural changes induced by high-intensity FSS and mechanosensitive channel activation, including changes in epithelial-to-mesenchymal-transition (EMT)-associated protein expression and cytoskeletal remodeling, which may underlie the differential survival responses observed between metastatic subtypes.</w:t>
      </w:r>
    </w:p>
    <w:p w14:paraId="463ED722" w14:textId="77777777" w:rsidR="001D7B03" w:rsidRPr="00A443E2" w:rsidRDefault="001D7B03" w:rsidP="00A443E2">
      <w:pPr>
        <w:pBdr>
          <w:top w:val="nil"/>
          <w:left w:val="nil"/>
          <w:bottom w:val="nil"/>
          <w:right w:val="nil"/>
          <w:between w:val="nil"/>
        </w:pBdr>
        <w:rPr>
          <w:color w:val="000000"/>
          <w:lang w:val="en-US"/>
        </w:rPr>
      </w:pPr>
    </w:p>
    <w:p w14:paraId="73D01398" w14:textId="77777777" w:rsidR="001D7B03" w:rsidRPr="00A443E2" w:rsidRDefault="00000000" w:rsidP="00A443E2">
      <w:pPr>
        <w:pBdr>
          <w:top w:val="nil"/>
          <w:left w:val="nil"/>
          <w:bottom w:val="nil"/>
          <w:right w:val="nil"/>
          <w:between w:val="nil"/>
        </w:pBdr>
        <w:rPr>
          <w:color w:val="000000"/>
          <w:lang w:val="en-US"/>
        </w:rPr>
      </w:pPr>
      <w:r w:rsidRPr="00A443E2">
        <w:rPr>
          <w:color w:val="000000" w:themeColor="text1"/>
          <w:lang w:val="en-US"/>
        </w:rPr>
        <w:t xml:space="preserve">These </w:t>
      </w:r>
      <w:r w:rsidRPr="00A443E2">
        <w:rPr>
          <w:i/>
          <w:iCs/>
          <w:color w:val="000000" w:themeColor="text1"/>
          <w:lang w:val="en-US"/>
        </w:rPr>
        <w:t xml:space="preserve">in vitro </w:t>
      </w:r>
      <w:r w:rsidRPr="00A443E2">
        <w:rPr>
          <w:color w:val="000000" w:themeColor="text1"/>
          <w:lang w:val="en-US"/>
        </w:rPr>
        <w:t xml:space="preserve">platforms </w:t>
      </w:r>
      <w:r w:rsidRPr="00A443E2">
        <w:rPr>
          <w:lang w:val="en-US"/>
        </w:rPr>
        <w:t xml:space="preserve">enable </w:t>
      </w:r>
      <w:r w:rsidRPr="00A443E2">
        <w:rPr>
          <w:color w:val="000000" w:themeColor="text1"/>
          <w:lang w:val="en-US"/>
        </w:rPr>
        <w:t>systematic investigati</w:t>
      </w:r>
      <w:r w:rsidRPr="00A443E2">
        <w:rPr>
          <w:lang w:val="en-US"/>
        </w:rPr>
        <w:t>on of</w:t>
      </w:r>
      <w:r w:rsidRPr="00A443E2">
        <w:rPr>
          <w:color w:val="000000" w:themeColor="text1"/>
          <w:lang w:val="en-US"/>
        </w:rPr>
        <w:t xml:space="preserve"> the effects of modulated FSS</w:t>
      </w:r>
      <w:r w:rsidRPr="00A443E2">
        <w:rPr>
          <w:lang w:val="en-US"/>
        </w:rPr>
        <w:t xml:space="preserve"> that may be</w:t>
      </w:r>
      <w:r w:rsidRPr="00A443E2">
        <w:rPr>
          <w:color w:val="000000" w:themeColor="text1"/>
          <w:lang w:val="en-US"/>
        </w:rPr>
        <w:t xml:space="preserve"> </w:t>
      </w:r>
      <w:r w:rsidRPr="00A443E2">
        <w:rPr>
          <w:lang w:val="en-US"/>
        </w:rPr>
        <w:t xml:space="preserve">encountered </w:t>
      </w:r>
      <w:r w:rsidRPr="00A443E2">
        <w:rPr>
          <w:i/>
          <w:iCs/>
          <w:color w:val="000000" w:themeColor="text1"/>
          <w:lang w:val="en-US"/>
        </w:rPr>
        <w:t>in vivo</w:t>
      </w:r>
      <w:r w:rsidRPr="00A443E2">
        <w:rPr>
          <w:color w:val="000000" w:themeColor="text1"/>
          <w:lang w:val="en-US"/>
        </w:rPr>
        <w:t xml:space="preserve"> under various </w:t>
      </w:r>
      <w:r w:rsidRPr="00A443E2">
        <w:rPr>
          <w:lang w:val="en-US"/>
        </w:rPr>
        <w:t>physiological</w:t>
      </w:r>
      <w:r w:rsidRPr="00A443E2">
        <w:rPr>
          <w:color w:val="000000" w:themeColor="text1"/>
          <w:lang w:val="en-US"/>
        </w:rPr>
        <w:t>, pathological, or therapeutic conditions, such</w:t>
      </w:r>
      <w:r w:rsidRPr="00A443E2">
        <w:rPr>
          <w:lang w:val="en-US"/>
        </w:rPr>
        <w:t xml:space="preserve"> as those generated by exercise, hypertension</w:t>
      </w:r>
      <w:r w:rsidRPr="00A443E2">
        <w:rPr>
          <w:color w:val="000000" w:themeColor="text1"/>
          <w:lang w:val="en-US"/>
        </w:rPr>
        <w:t>, or focused ultrasound, respectively. Vigorous exercise transiently elevates arterial FSS primarily via increased cardiac output and flow velocity, and the enhanced NK cell cytotoxicity and T cell activity observed in exercising cancer patients may be partly mechanotransduced through the same mechanosensitive-channel-mediated pathways described above</w:t>
      </w:r>
      <w:sdt>
        <w:sdtPr>
          <w:rPr>
            <w:color w:val="000000" w:themeColor="text1"/>
            <w:lang w:val="en-US"/>
          </w:rPr>
          <w:alias w:val="SmartCite Citation"/>
          <w:tag w:val="a9e2a68d-fe3b-412d-8c06-1ac3ca305ac6:c2cba7ab-c0a5-4222-92c7-8800521693ca,a9e2a68d-fe3b-412d-8c06-1ac3ca305ac6:e77e370a-d092-42f1-a756-cad40b4578f0+{&quot;a9e2a68d-fe3b-412d-8c06-1ac3ca305ac6:c2cba7ab-c0a5-4222-92c7-8800521693ca&quot;:{&quot;doi&quot;:&quot;10.1093/jncics/pkag021&quot;,&quot;pmid&quot;:&quot;41795834&quot;,&quot;pmcid&quot;:&quot;PMC13033349&quot;},&quot;a9e2a68d-fe3b-412d-8c06-1ac3ca305ac6:e77e370a-d092-42f1-a756-cad40b4578f0&quot;:{&quot;pmid&quot;:&quot;33965896&quot;}}"/>
          <w:id w:val="1410664687"/>
          <w:placeholder>
            <w:docPart w:val="584DED1E96E24F87B76C7641B62D0D3A"/>
          </w:placeholder>
        </w:sdtPr>
        <w:sdtContent>
          <w:r w:rsidRPr="00A443E2">
            <w:rPr>
              <w:rFonts w:eastAsia="Times New Roman"/>
              <w:vertAlign w:val="superscript"/>
            </w:rPr>
            <w:t>46,47</w:t>
          </w:r>
        </w:sdtContent>
      </w:sdt>
      <w:r w:rsidRPr="00A443E2">
        <w:rPr>
          <w:color w:val="000000" w:themeColor="text1"/>
          <w:lang w:val="en-US"/>
        </w:rPr>
        <w:t xml:space="preserve">. Similarly, focused ultrasound has emerged as a non-invasive modality for delivering controlled mechanical stimuli to cells </w:t>
      </w:r>
      <w:r w:rsidRPr="00A443E2">
        <w:rPr>
          <w:i/>
          <w:iCs/>
          <w:color w:val="000000" w:themeColor="text1"/>
          <w:lang w:val="en-US"/>
        </w:rPr>
        <w:t>in vivo</w:t>
      </w:r>
      <w:r w:rsidRPr="00A443E2">
        <w:rPr>
          <w:color w:val="000000" w:themeColor="text1"/>
          <w:lang w:val="en-US"/>
        </w:rPr>
        <w:t>, with early evidence suggesting immunomodulatory effects</w:t>
      </w:r>
      <w:sdt>
        <w:sdtPr>
          <w:rPr>
            <w:color w:val="000000" w:themeColor="text1"/>
            <w:lang w:val="en-US"/>
          </w:rPr>
          <w:alias w:val="SmartCite Citation"/>
          <w:tag w:val="a9e2a68d-fe3b-412d-8c06-1ac3ca305ac6:b92702eb-ef83-423e-a059-da64cab314d6,a9e2a68d-fe3b-412d-8c06-1ac3ca305ac6:836863a4-99c2-473e-babf-04f142b718fb,a9e2a68d-fe3b-412d-8c06-1ac3ca305ac6:ddd93aeb-1cdb-45c5-9d34-f0aa8387e1c7,a9e2a68d-fe3b-412d-8c06-1ac3ca305ac6:7644cfc6-7fed-4935-a740-14f9abfd88a3+{&quot;a9e2a68d-fe3b-412d-8c06-1ac3ca305ac6:b92702eb-ef83-423e-a059-da64cab314d6&quot;:{&quot;doi&quot;:&quot;10.1016/j.cobme.2025.100619&quot;},&quot;a9e2a68d-fe3b-412d-8c06-1ac3ca305ac6:836863a4-99c2-473e-babf-04f142b718fb&quot;:{&quot;doi&quot;:&quot;10.3389/fimmu.2024.1486744&quot;,&quot;pmid&quot;:&quot;39502696&quot;,&quot;pmcid&quot;:&quot;PMC11534865&quot;},&quot;a9e2a68d-fe3b-412d-8c06-1ac3ca305ac6:ddd93aeb-1cdb-45c5-9d34-f0aa8387e1c7&quot;:{&quot;doi&quot;:&quot;10.1007/s00262-023-03613-1&quot;,&quot;pmid&quot;:&quot;38349555&quot;,&quot;pmcid&quot;:&quot;PMC10864467&quot;},&quot;a9e2a68d-fe3b-412d-8c06-1ac3ca305ac6:7644cfc6-7fed-4935-a740-14f9abfd88a3&quot;:{&quot;doi&quot;:&quot;10.1073/pnas.1714900115&quot;}}"/>
          <w:id w:val="966090718"/>
          <w:placeholder>
            <w:docPart w:val="584DED1E96E24F87B76C7641B62D0D3A"/>
          </w:placeholder>
        </w:sdtPr>
        <w:sdtContent>
          <w:r w:rsidRPr="00A443E2">
            <w:rPr>
              <w:rFonts w:eastAsia="Times New Roman"/>
              <w:vertAlign w:val="superscript"/>
            </w:rPr>
            <w:t>22,48–50</w:t>
          </w:r>
        </w:sdtContent>
      </w:sdt>
      <w:r w:rsidRPr="00A443E2">
        <w:rPr>
          <w:color w:val="000000" w:themeColor="text1"/>
          <w:lang w:val="en-US"/>
        </w:rPr>
        <w:t>.</w:t>
      </w:r>
      <w:r w:rsidRPr="00A443E2">
        <w:rPr>
          <w:vertAlign w:val="superscript"/>
          <w:lang w:val="en-US"/>
        </w:rPr>
        <w:t xml:space="preserve">  </w:t>
      </w:r>
      <w:r w:rsidRPr="00A443E2">
        <w:rPr>
          <w:color w:val="000000" w:themeColor="text1"/>
          <w:lang w:val="en-US"/>
        </w:rPr>
        <w:t xml:space="preserve">The platforms described in this protocol offer an </w:t>
      </w:r>
      <w:r w:rsidRPr="00A443E2">
        <w:rPr>
          <w:i/>
          <w:iCs/>
          <w:color w:val="000000" w:themeColor="text1"/>
          <w:lang w:val="en-US"/>
        </w:rPr>
        <w:t>in vitro</w:t>
      </w:r>
      <w:r w:rsidRPr="00A443E2">
        <w:rPr>
          <w:color w:val="000000" w:themeColor="text1"/>
          <w:lang w:val="en-US"/>
        </w:rPr>
        <w:t xml:space="preserve"> approach for systematically characterizing the FSS conditions and mechanotransduction pathways that such </w:t>
      </w:r>
      <w:r w:rsidRPr="00A443E2">
        <w:rPr>
          <w:i/>
          <w:iCs/>
          <w:color w:val="000000" w:themeColor="text1"/>
          <w:lang w:val="en-US"/>
        </w:rPr>
        <w:t>in vivo</w:t>
      </w:r>
      <w:r w:rsidRPr="00A443E2">
        <w:rPr>
          <w:color w:val="000000" w:themeColor="text1"/>
          <w:lang w:val="en-US"/>
        </w:rPr>
        <w:t xml:space="preserve"> approaches may leverage.</w:t>
      </w:r>
    </w:p>
    <w:p w14:paraId="108CA775" w14:textId="77777777" w:rsidR="001D7B03" w:rsidRPr="00A443E2" w:rsidRDefault="001D7B03" w:rsidP="00A443E2"/>
    <w:p w14:paraId="7F00E314" w14:textId="77777777" w:rsidR="001D7B03" w:rsidRPr="00A443E2" w:rsidRDefault="00000000" w:rsidP="00A443E2">
      <w:pPr>
        <w:pBdr>
          <w:top w:val="nil"/>
          <w:left w:val="nil"/>
          <w:bottom w:val="nil"/>
          <w:right w:val="nil"/>
          <w:between w:val="nil"/>
        </w:pBdr>
      </w:pPr>
      <w:r w:rsidRPr="00A443E2">
        <w:rPr>
          <w:b/>
          <w:bCs/>
        </w:rPr>
        <w:t>ACKNOWLEDGMENTS:</w:t>
      </w:r>
    </w:p>
    <w:p w14:paraId="60148394" w14:textId="77777777" w:rsidR="001D7B03" w:rsidRPr="00A443E2" w:rsidRDefault="00000000" w:rsidP="00A443E2">
      <w:pPr>
        <w:rPr>
          <w:rFonts w:eastAsia="Helvetica Neue"/>
          <w:color w:val="000000"/>
        </w:rPr>
      </w:pPr>
      <w:r w:rsidRPr="00A443E2">
        <w:t xml:space="preserve">Funding: This research was funded by the National Institutes of Health grant number R01CA256054 and Cancer Prevention and Research Institute of Texas (CPRIT) grant number RR230029 to M.R.K.; and National Science Foundation Graduate Research Fellowship grant numbers 2021314768 (A.R.F.), </w:t>
      </w:r>
      <w:r w:rsidRPr="00A443E2">
        <w:rPr>
          <w:color w:val="000000"/>
        </w:rPr>
        <w:t>1937963 (N.S.S.), and 2022313184 (N.M.C.).</w:t>
      </w:r>
    </w:p>
    <w:p w14:paraId="0E08B4C9" w14:textId="77777777" w:rsidR="001D7B03" w:rsidRPr="00A443E2" w:rsidRDefault="001D7B03" w:rsidP="00A443E2"/>
    <w:p w14:paraId="7F0C4BB2" w14:textId="58779B10" w:rsidR="001D7B03" w:rsidRPr="00A443E2" w:rsidRDefault="00000000" w:rsidP="00A443E2">
      <w:r w:rsidRPr="00A443E2">
        <w:rPr>
          <w:lang w:val="en-US"/>
        </w:rPr>
        <w:t xml:space="preserve">The authors thank Benjamin Kaufman and Samuel Lu for their assistance with cell isolation, cell culture, and/or preliminary experimental work. The authors thank the primary immune cell </w:t>
      </w:r>
      <w:r w:rsidRPr="00A443E2">
        <w:rPr>
          <w:lang w:val="en-US"/>
        </w:rPr>
        <w:lastRenderedPageBreak/>
        <w:t>donors at the Gulf Coast Blood Center (Houston, TX).</w:t>
      </w:r>
    </w:p>
    <w:p w14:paraId="15C0F336" w14:textId="77777777" w:rsidR="001D7B03" w:rsidRPr="00A443E2" w:rsidRDefault="001D7B03" w:rsidP="00A443E2"/>
    <w:p w14:paraId="263F28B9" w14:textId="3AC73462" w:rsidR="001D7B03" w:rsidRPr="00A443E2" w:rsidRDefault="00000000" w:rsidP="00A443E2">
      <w:pPr>
        <w:rPr>
          <w:lang w:val="en-US"/>
        </w:rPr>
      </w:pPr>
      <w:r w:rsidRPr="00A443E2">
        <w:rPr>
          <w:lang w:val="en-US"/>
        </w:rPr>
        <w:t xml:space="preserve">Figures 1, 3, 4, and 5 in this manuscript were created in part with BioRender. For Figure 1: Created in BioRender. Cantú, M. (2026) </w:t>
      </w:r>
      <w:hyperlink r:id="rId11" w:history="1">
        <w:r w:rsidR="001D7B03" w:rsidRPr="00A443E2">
          <w:rPr>
            <w:rStyle w:val="Hyperlink"/>
            <w:lang w:val="en-US"/>
          </w:rPr>
          <w:t>https://BioRender.com/9q7hla7</w:t>
        </w:r>
      </w:hyperlink>
      <w:r w:rsidRPr="00A443E2">
        <w:rPr>
          <w:lang w:val="en-US"/>
        </w:rPr>
        <w:t xml:space="preserve">. BioRender publication license agreement no. </w:t>
      </w:r>
      <w:r w:rsidR="004E055E" w:rsidRPr="00A443E2">
        <w:rPr>
          <w:lang w:val="en-US"/>
        </w:rPr>
        <w:t>TC2A4TDWA6</w:t>
      </w:r>
      <w:r w:rsidRPr="00A443E2">
        <w:rPr>
          <w:lang w:val="en-US"/>
        </w:rPr>
        <w:t xml:space="preserve">. For Figure 3: Created in BioRender. Cantú, M. (2026) </w:t>
      </w:r>
      <w:hyperlink r:id="rId12" w:history="1">
        <w:r w:rsidR="001D7B03" w:rsidRPr="00A443E2">
          <w:rPr>
            <w:rStyle w:val="Hyperlink"/>
            <w:lang w:val="en-US"/>
          </w:rPr>
          <w:t>https://BioRender.com/jyrrv0t</w:t>
        </w:r>
      </w:hyperlink>
      <w:r w:rsidRPr="00A443E2">
        <w:rPr>
          <w:lang w:val="en-US"/>
        </w:rPr>
        <w:t xml:space="preserve">. BioRender publication license agreement no. YQ2A2J19XW. For Figure 4: Created in BioRender. Curry, N. (2026) </w:t>
      </w:r>
      <w:hyperlink r:id="rId13" w:history="1">
        <w:r w:rsidR="001D7B03" w:rsidRPr="00A443E2">
          <w:rPr>
            <w:rStyle w:val="Hyperlink"/>
            <w:lang w:val="en-US"/>
          </w:rPr>
          <w:t>https://BioRender.com/wdu68ck</w:t>
        </w:r>
      </w:hyperlink>
      <w:r w:rsidRPr="00A443E2">
        <w:rPr>
          <w:lang w:val="en-US"/>
        </w:rPr>
        <w:t xml:space="preserve">. BioRender publication license agreement no. BE2A2O70AY. For Figure 5: Created in BioRender. Cantú, M. (2026) </w:t>
      </w:r>
      <w:hyperlink r:id="rId14" w:history="1">
        <w:r w:rsidR="001D7B03" w:rsidRPr="00A443E2">
          <w:rPr>
            <w:rStyle w:val="Hyperlink"/>
            <w:lang w:val="en-US"/>
          </w:rPr>
          <w:t>https://BioRender.com/0sz3202</w:t>
        </w:r>
      </w:hyperlink>
      <w:r w:rsidRPr="00A443E2">
        <w:rPr>
          <w:lang w:val="en-US"/>
        </w:rPr>
        <w:t>. BioRender publication license agreement no.</w:t>
      </w:r>
      <w:r w:rsidRPr="00A443E2">
        <w:t xml:space="preserve"> </w:t>
      </w:r>
      <w:r w:rsidRPr="00A443E2">
        <w:rPr>
          <w:lang w:val="en-US"/>
        </w:rPr>
        <w:t>TU2A2J0TIV.</w:t>
      </w:r>
    </w:p>
    <w:p w14:paraId="600A0D55" w14:textId="77777777" w:rsidR="001D7B03" w:rsidRPr="00A443E2" w:rsidRDefault="001D7B03" w:rsidP="00A443E2">
      <w:pPr>
        <w:rPr>
          <w:b/>
          <w:bCs/>
        </w:rPr>
      </w:pPr>
    </w:p>
    <w:p w14:paraId="7CAE64B2" w14:textId="77777777" w:rsidR="001D7B03" w:rsidRPr="00A443E2" w:rsidRDefault="00000000" w:rsidP="00A443E2">
      <w:pPr>
        <w:pBdr>
          <w:top w:val="nil"/>
          <w:left w:val="nil"/>
          <w:bottom w:val="nil"/>
          <w:right w:val="nil"/>
          <w:between w:val="nil"/>
        </w:pBdr>
      </w:pPr>
      <w:r w:rsidRPr="00A443E2">
        <w:rPr>
          <w:b/>
          <w:bCs/>
        </w:rPr>
        <w:t>DISCLOSURES:</w:t>
      </w:r>
    </w:p>
    <w:p w14:paraId="1AD7CDE1" w14:textId="77777777" w:rsidR="001D7B03" w:rsidRPr="00A443E2" w:rsidRDefault="00000000" w:rsidP="00A443E2">
      <w:r w:rsidRPr="00A443E2">
        <w:rPr>
          <w:lang w:val="en-US"/>
        </w:rPr>
        <w:t>The authors disclose a US Patent (US20240327792A1) related to this study, with M.R.K. and N.S.S. as co-inventors.</w:t>
      </w:r>
    </w:p>
    <w:p w14:paraId="640202B5" w14:textId="77777777" w:rsidR="001D7B03" w:rsidRPr="00A443E2" w:rsidRDefault="001D7B03" w:rsidP="00A443E2"/>
    <w:p w14:paraId="3C2ECF04" w14:textId="77777777" w:rsidR="001D7B03" w:rsidRPr="00A443E2" w:rsidRDefault="00000000" w:rsidP="00A443E2">
      <w:pPr>
        <w:rPr>
          <w:b/>
          <w:bCs/>
        </w:rPr>
      </w:pPr>
      <w:r w:rsidRPr="00A443E2">
        <w:rPr>
          <w:b/>
          <w:bCs/>
        </w:rPr>
        <w:t>REFERENCES:</w:t>
      </w:r>
    </w:p>
    <w:p w14:paraId="1DF6A22B" w14:textId="5A29E549" w:rsidR="00F51F9B" w:rsidRPr="00A443E2" w:rsidRDefault="00F51F9B" w:rsidP="00A443E2">
      <w:pPr>
        <w:pStyle w:val="ListParagraph"/>
        <w:numPr>
          <w:ilvl w:val="0"/>
          <w:numId w:val="5"/>
        </w:numPr>
        <w:ind w:left="0" w:firstLine="0"/>
        <w:rPr>
          <w:lang w:val="en-IN"/>
        </w:rPr>
      </w:pPr>
      <w:r w:rsidRPr="00A443E2">
        <w:rPr>
          <w:lang w:val="en-IN"/>
        </w:rPr>
        <w:t xml:space="preserve">Sarna NS, et al. Immunomechanobiology: engineering the activation and function of immune cells with the mechanical signal of fluid shear stress. IEEE Rev Biomed Eng. 2025;18:231-49. </w:t>
      </w:r>
    </w:p>
    <w:p w14:paraId="19B80FBC" w14:textId="4756B65A" w:rsidR="00F51F9B" w:rsidRPr="00A443E2" w:rsidRDefault="00F51F9B" w:rsidP="00A443E2">
      <w:pPr>
        <w:pStyle w:val="ListParagraph"/>
        <w:numPr>
          <w:ilvl w:val="0"/>
          <w:numId w:val="5"/>
        </w:numPr>
        <w:ind w:left="0" w:firstLine="0"/>
        <w:rPr>
          <w:lang w:val="en-IN"/>
        </w:rPr>
      </w:pPr>
      <w:r w:rsidRPr="00A443E2">
        <w:rPr>
          <w:lang w:val="en-IN"/>
        </w:rPr>
        <w:t xml:space="preserve">Huang Q, et al. Fluid shear stress and </w:t>
      </w:r>
      <w:proofErr w:type="spellStart"/>
      <w:r w:rsidRPr="00A443E2">
        <w:rPr>
          <w:lang w:val="en-IN"/>
        </w:rPr>
        <w:t>tumor</w:t>
      </w:r>
      <w:proofErr w:type="spellEnd"/>
      <w:r w:rsidRPr="00A443E2">
        <w:rPr>
          <w:lang w:val="en-IN"/>
        </w:rPr>
        <w:t xml:space="preserve"> metastasis. Am J Cancer Res. 2018;8:763-77. </w:t>
      </w:r>
    </w:p>
    <w:p w14:paraId="4540570B" w14:textId="7933C5E1" w:rsidR="00F51F9B" w:rsidRPr="00A443E2" w:rsidRDefault="00F51F9B" w:rsidP="00A443E2">
      <w:pPr>
        <w:pStyle w:val="ListParagraph"/>
        <w:numPr>
          <w:ilvl w:val="0"/>
          <w:numId w:val="5"/>
        </w:numPr>
        <w:ind w:left="0" w:firstLine="0"/>
        <w:rPr>
          <w:lang w:val="en-IN"/>
        </w:rPr>
      </w:pPr>
      <w:r w:rsidRPr="00A443E2">
        <w:rPr>
          <w:lang w:val="en-IN"/>
        </w:rPr>
        <w:t xml:space="preserve">Truskey GA, Yuan F, Katz DF. Transport phenomena in biological systems. Pearson Prentice Hall; 2009. </w:t>
      </w:r>
    </w:p>
    <w:p w14:paraId="5058203B" w14:textId="2CAF15E6" w:rsidR="00F51F9B" w:rsidRPr="00A443E2" w:rsidRDefault="00F51F9B" w:rsidP="00A443E2">
      <w:pPr>
        <w:pStyle w:val="ListParagraph"/>
        <w:numPr>
          <w:ilvl w:val="0"/>
          <w:numId w:val="5"/>
        </w:numPr>
        <w:ind w:left="0" w:firstLine="0"/>
        <w:rPr>
          <w:lang w:val="en-IN"/>
        </w:rPr>
      </w:pPr>
      <w:r w:rsidRPr="00A443E2">
        <w:rPr>
          <w:lang w:val="en-IN"/>
        </w:rPr>
        <w:t xml:space="preserve">Liu H, et al. Comparison of Newtonian and non-Newtonian fluid models in blood flow simulation in patients with intracranial arterial stenosis. Front Physiol. 2021;12:718540. </w:t>
      </w:r>
    </w:p>
    <w:p w14:paraId="5FD94C1A" w14:textId="326D2FE3" w:rsidR="00F51F9B" w:rsidRPr="00A443E2" w:rsidRDefault="00F51F9B" w:rsidP="00A443E2">
      <w:pPr>
        <w:pStyle w:val="ListParagraph"/>
        <w:numPr>
          <w:ilvl w:val="0"/>
          <w:numId w:val="5"/>
        </w:numPr>
        <w:ind w:left="0" w:firstLine="0"/>
        <w:rPr>
          <w:lang w:val="en-IN"/>
        </w:rPr>
      </w:pPr>
      <w:r w:rsidRPr="00A443E2">
        <w:rPr>
          <w:lang w:val="en-IN"/>
        </w:rPr>
        <w:t xml:space="preserve">Metzner AB, Reed JC. Flow of non-Newtonian fluids—correlation of the laminar, transition, and turbulent-flow regions. AIChE J. 1955;1:434-40. </w:t>
      </w:r>
    </w:p>
    <w:p w14:paraId="2E496507" w14:textId="2E55111D" w:rsidR="00F51F9B" w:rsidRPr="00A443E2" w:rsidRDefault="00F51F9B" w:rsidP="00A443E2">
      <w:pPr>
        <w:pStyle w:val="ListParagraph"/>
        <w:numPr>
          <w:ilvl w:val="0"/>
          <w:numId w:val="5"/>
        </w:numPr>
        <w:ind w:left="0" w:firstLine="0"/>
        <w:rPr>
          <w:lang w:val="en-IN"/>
        </w:rPr>
      </w:pPr>
      <w:r w:rsidRPr="00A443E2">
        <w:rPr>
          <w:lang w:val="en-IN"/>
        </w:rPr>
        <w:t xml:space="preserve">Li H, Zhou WY, Xia YY, Zhang JX. Endothelial mechanosensors for atheroprone and </w:t>
      </w:r>
      <w:proofErr w:type="spellStart"/>
      <w:r w:rsidRPr="00A443E2">
        <w:rPr>
          <w:lang w:val="en-IN"/>
        </w:rPr>
        <w:t>atheroprotective</w:t>
      </w:r>
      <w:proofErr w:type="spellEnd"/>
      <w:r w:rsidRPr="00A443E2">
        <w:rPr>
          <w:lang w:val="en-IN"/>
        </w:rPr>
        <w:t xml:space="preserve"> shear stress signals. J </w:t>
      </w:r>
      <w:proofErr w:type="spellStart"/>
      <w:r w:rsidRPr="00A443E2">
        <w:rPr>
          <w:lang w:val="en-IN"/>
        </w:rPr>
        <w:t>Inflamm</w:t>
      </w:r>
      <w:proofErr w:type="spellEnd"/>
      <w:r w:rsidRPr="00A443E2">
        <w:rPr>
          <w:lang w:val="en-IN"/>
        </w:rPr>
        <w:t xml:space="preserve"> Res. 2022;15:1771-83. </w:t>
      </w:r>
    </w:p>
    <w:p w14:paraId="50B58061" w14:textId="1AF21750" w:rsidR="00F51F9B" w:rsidRPr="00A443E2" w:rsidRDefault="00F51F9B" w:rsidP="00A443E2">
      <w:pPr>
        <w:pStyle w:val="ListParagraph"/>
        <w:numPr>
          <w:ilvl w:val="0"/>
          <w:numId w:val="5"/>
        </w:numPr>
        <w:ind w:left="0" w:firstLine="0"/>
        <w:rPr>
          <w:lang w:val="en-IN"/>
        </w:rPr>
      </w:pPr>
      <w:r w:rsidRPr="00A443E2">
        <w:rPr>
          <w:lang w:val="en-IN"/>
        </w:rPr>
        <w:t xml:space="preserve">Mierke CT. Mechanosensory entities and functionality of endothelial cells. Front Cell Dev Biol. 2024;12:1446452. </w:t>
      </w:r>
    </w:p>
    <w:p w14:paraId="5E0AE3FA" w14:textId="56CD7C14" w:rsidR="00F51F9B" w:rsidRPr="00A443E2" w:rsidRDefault="00F51F9B" w:rsidP="00A443E2">
      <w:pPr>
        <w:pStyle w:val="ListParagraph"/>
        <w:numPr>
          <w:ilvl w:val="0"/>
          <w:numId w:val="5"/>
        </w:numPr>
        <w:ind w:left="0" w:firstLine="0"/>
        <w:rPr>
          <w:lang w:val="en-IN"/>
        </w:rPr>
      </w:pPr>
      <w:r w:rsidRPr="00A443E2">
        <w:rPr>
          <w:lang w:val="en-IN"/>
        </w:rPr>
        <w:t xml:space="preserve">Chen Y, Tran NM, Vining KH. Mechanical interactions impact the functions of immune cells and their application in </w:t>
      </w:r>
      <w:proofErr w:type="spellStart"/>
      <w:r w:rsidRPr="00A443E2">
        <w:rPr>
          <w:lang w:val="en-IN"/>
        </w:rPr>
        <w:t>immunoengineering</w:t>
      </w:r>
      <w:proofErr w:type="spellEnd"/>
      <w:r w:rsidRPr="00A443E2">
        <w:rPr>
          <w:lang w:val="en-IN"/>
        </w:rPr>
        <w:t xml:space="preserve">. Adv Ther. 2025;8:e00067. </w:t>
      </w:r>
    </w:p>
    <w:p w14:paraId="62D8C662" w14:textId="5D6ACA81" w:rsidR="00F51F9B" w:rsidRPr="00A443E2" w:rsidRDefault="00F51F9B" w:rsidP="00A443E2">
      <w:pPr>
        <w:pStyle w:val="ListParagraph"/>
        <w:numPr>
          <w:ilvl w:val="0"/>
          <w:numId w:val="5"/>
        </w:numPr>
        <w:ind w:left="0" w:firstLine="0"/>
        <w:rPr>
          <w:lang w:val="en-IN"/>
        </w:rPr>
      </w:pPr>
      <w:r w:rsidRPr="00A443E2">
        <w:rPr>
          <w:lang w:val="en-IN"/>
        </w:rPr>
        <w:t xml:space="preserve">Sarna NS, et al. Enhanced and sustained T cell activation in response to fluid shear stress. </w:t>
      </w:r>
      <w:proofErr w:type="spellStart"/>
      <w:r w:rsidRPr="00A443E2">
        <w:rPr>
          <w:lang w:val="en-IN"/>
        </w:rPr>
        <w:t>iScience</w:t>
      </w:r>
      <w:proofErr w:type="spellEnd"/>
      <w:r w:rsidRPr="00A443E2">
        <w:rPr>
          <w:lang w:val="en-IN"/>
        </w:rPr>
        <w:t xml:space="preserve">. 2024;27:109999. </w:t>
      </w:r>
    </w:p>
    <w:p w14:paraId="313F9244" w14:textId="6722249A" w:rsidR="00F51F9B" w:rsidRPr="00A443E2" w:rsidRDefault="00F51F9B" w:rsidP="00A443E2">
      <w:pPr>
        <w:pStyle w:val="ListParagraph"/>
        <w:numPr>
          <w:ilvl w:val="0"/>
          <w:numId w:val="5"/>
        </w:numPr>
        <w:ind w:left="0" w:firstLine="0"/>
        <w:rPr>
          <w:lang w:val="en-IN"/>
        </w:rPr>
      </w:pPr>
      <w:r w:rsidRPr="00A443E2">
        <w:rPr>
          <w:lang w:val="en-IN"/>
        </w:rPr>
        <w:t xml:space="preserve">Hope JM, et al. Fluid shear stress enhances T cell activation through Piezo1. BMC Biol. 2022;20:61. </w:t>
      </w:r>
    </w:p>
    <w:p w14:paraId="6EDB0D6C" w14:textId="6300C701" w:rsidR="00F51F9B" w:rsidRPr="00A443E2" w:rsidRDefault="00F51F9B" w:rsidP="00A443E2">
      <w:pPr>
        <w:pStyle w:val="ListParagraph"/>
        <w:numPr>
          <w:ilvl w:val="0"/>
          <w:numId w:val="5"/>
        </w:numPr>
        <w:ind w:left="0" w:firstLine="0"/>
        <w:rPr>
          <w:lang w:val="en-IN"/>
        </w:rPr>
      </w:pPr>
      <w:r w:rsidRPr="00A443E2">
        <w:rPr>
          <w:lang w:val="en-IN"/>
        </w:rPr>
        <w:t xml:space="preserve">Fabiano AR, et al. Applying ultrasound to mechanically and noninvasively sensitize prostate </w:t>
      </w:r>
      <w:proofErr w:type="spellStart"/>
      <w:r w:rsidRPr="00A443E2">
        <w:rPr>
          <w:lang w:val="en-IN"/>
        </w:rPr>
        <w:t>tumors</w:t>
      </w:r>
      <w:proofErr w:type="spellEnd"/>
      <w:r w:rsidRPr="00A443E2">
        <w:rPr>
          <w:lang w:val="en-IN"/>
        </w:rPr>
        <w:t xml:space="preserve"> to TRAIL-mediated apoptosis. Adv Sci. 2025;12:2412995. </w:t>
      </w:r>
    </w:p>
    <w:p w14:paraId="649ED674" w14:textId="5B7A9129" w:rsidR="00F51F9B" w:rsidRPr="00A443E2" w:rsidRDefault="00F51F9B" w:rsidP="00A443E2">
      <w:pPr>
        <w:pStyle w:val="ListParagraph"/>
        <w:numPr>
          <w:ilvl w:val="0"/>
          <w:numId w:val="5"/>
        </w:numPr>
        <w:ind w:left="0" w:firstLine="0"/>
        <w:rPr>
          <w:lang w:val="en-IN"/>
        </w:rPr>
      </w:pPr>
      <w:r w:rsidRPr="00A443E2">
        <w:rPr>
          <w:lang w:val="en-IN"/>
        </w:rPr>
        <w:t xml:space="preserve">Zhou XY, et al. Capsaicin exerts synergistic pro-apoptotic effects with cisplatin in TSCC through the calpain pathway via TRPV1. J Cancer. 2024;15:4801-17. </w:t>
      </w:r>
    </w:p>
    <w:p w14:paraId="3C960179" w14:textId="55553B42" w:rsidR="00F51F9B" w:rsidRPr="00A443E2" w:rsidRDefault="00F51F9B" w:rsidP="00A443E2">
      <w:pPr>
        <w:pStyle w:val="ListParagraph"/>
        <w:numPr>
          <w:ilvl w:val="0"/>
          <w:numId w:val="5"/>
        </w:numPr>
        <w:ind w:left="0" w:firstLine="0"/>
        <w:rPr>
          <w:lang w:val="en-IN"/>
        </w:rPr>
      </w:pPr>
      <w:r w:rsidRPr="00A443E2">
        <w:rPr>
          <w:lang w:val="en-IN"/>
        </w:rPr>
        <w:t xml:space="preserve">Desai SH, Sarna NS, Luo AC, King MR. Fluoxetine acts as a calcium-dependent sensitizer of TRAIL-induced apoptosis in glioblastoma multiforme. ACS Omega. 2026;11:17796-809. </w:t>
      </w:r>
    </w:p>
    <w:p w14:paraId="61C356EC" w14:textId="13C279E4" w:rsidR="00F51F9B" w:rsidRPr="00A443E2" w:rsidRDefault="00F51F9B" w:rsidP="00A443E2">
      <w:pPr>
        <w:pStyle w:val="ListParagraph"/>
        <w:numPr>
          <w:ilvl w:val="0"/>
          <w:numId w:val="5"/>
        </w:numPr>
        <w:ind w:left="0" w:firstLine="0"/>
        <w:rPr>
          <w:lang w:val="en-IN"/>
        </w:rPr>
      </w:pPr>
      <w:r w:rsidRPr="00A443E2">
        <w:rPr>
          <w:lang w:val="en-IN"/>
        </w:rPr>
        <w:t xml:space="preserve">Mitchell MJ, King MR. Fluid shear stress sensitizes cancer cells to receptor-mediated apoptosis via trimeric death receptors. New J Phys. 2013;15:015008. </w:t>
      </w:r>
    </w:p>
    <w:p w14:paraId="1DEA7F04" w14:textId="0774755B" w:rsidR="00F51F9B" w:rsidRPr="00A443E2" w:rsidRDefault="00F51F9B" w:rsidP="00A443E2">
      <w:pPr>
        <w:pStyle w:val="ListParagraph"/>
        <w:numPr>
          <w:ilvl w:val="0"/>
          <w:numId w:val="5"/>
        </w:numPr>
        <w:ind w:left="0" w:firstLine="0"/>
        <w:rPr>
          <w:lang w:val="en-IN"/>
        </w:rPr>
      </w:pPr>
      <w:r w:rsidRPr="00A443E2">
        <w:rPr>
          <w:lang w:val="en-IN"/>
        </w:rPr>
        <w:lastRenderedPageBreak/>
        <w:t xml:space="preserve">Harrison DL, Fang Y, Huang J. T-cell mechanobiology: force sensation, potentiation, and translation. Front Phys. 2019;7:45. </w:t>
      </w:r>
    </w:p>
    <w:p w14:paraId="481789C7" w14:textId="6A598432" w:rsidR="00F51F9B" w:rsidRPr="00A443E2" w:rsidRDefault="00F51F9B" w:rsidP="00A443E2">
      <w:pPr>
        <w:pStyle w:val="ListParagraph"/>
        <w:numPr>
          <w:ilvl w:val="0"/>
          <w:numId w:val="5"/>
        </w:numPr>
        <w:ind w:left="0" w:firstLine="0"/>
        <w:rPr>
          <w:lang w:val="en-IN"/>
        </w:rPr>
      </w:pPr>
      <w:r w:rsidRPr="00A443E2">
        <w:rPr>
          <w:lang w:val="en-IN"/>
        </w:rPr>
        <w:t xml:space="preserve">Lei K, </w:t>
      </w:r>
      <w:proofErr w:type="spellStart"/>
      <w:r w:rsidRPr="00A443E2">
        <w:rPr>
          <w:lang w:val="en-IN"/>
        </w:rPr>
        <w:t>Kurum</w:t>
      </w:r>
      <w:proofErr w:type="spellEnd"/>
      <w:r w:rsidRPr="00A443E2">
        <w:rPr>
          <w:lang w:val="en-IN"/>
        </w:rPr>
        <w:t xml:space="preserve"> A, Tang L. Mechanical </w:t>
      </w:r>
      <w:proofErr w:type="spellStart"/>
      <w:r w:rsidRPr="00A443E2">
        <w:rPr>
          <w:lang w:val="en-IN"/>
        </w:rPr>
        <w:t>immunoengineering</w:t>
      </w:r>
      <w:proofErr w:type="spellEnd"/>
      <w:r w:rsidRPr="00A443E2">
        <w:rPr>
          <w:lang w:val="en-IN"/>
        </w:rPr>
        <w:t xml:space="preserve"> of T cells for therapeutic applications. </w:t>
      </w:r>
      <w:proofErr w:type="spellStart"/>
      <w:r w:rsidRPr="00A443E2">
        <w:rPr>
          <w:lang w:val="en-IN"/>
        </w:rPr>
        <w:t>Acc</w:t>
      </w:r>
      <w:proofErr w:type="spellEnd"/>
      <w:r w:rsidRPr="00A443E2">
        <w:rPr>
          <w:lang w:val="en-IN"/>
        </w:rPr>
        <w:t xml:space="preserve"> Chem Res. 2020;53:2777-90. </w:t>
      </w:r>
    </w:p>
    <w:p w14:paraId="4A0D8284" w14:textId="09F20720" w:rsidR="00F51F9B" w:rsidRPr="00A443E2" w:rsidRDefault="00F51F9B" w:rsidP="00A443E2">
      <w:pPr>
        <w:pStyle w:val="ListParagraph"/>
        <w:numPr>
          <w:ilvl w:val="0"/>
          <w:numId w:val="5"/>
        </w:numPr>
        <w:ind w:left="0" w:firstLine="0"/>
        <w:rPr>
          <w:lang w:val="en-IN"/>
        </w:rPr>
      </w:pPr>
      <w:r w:rsidRPr="00A443E2">
        <w:rPr>
          <w:lang w:val="en-IN"/>
        </w:rPr>
        <w:t xml:space="preserve">Hu KH, Butte MJ. T cell activation requires force generation. J Cell Biol. 2016;213:535-42. </w:t>
      </w:r>
    </w:p>
    <w:p w14:paraId="0354D906" w14:textId="517FC8C7" w:rsidR="00F51F9B" w:rsidRPr="00A443E2" w:rsidRDefault="00F51F9B" w:rsidP="00A443E2">
      <w:pPr>
        <w:pStyle w:val="ListParagraph"/>
        <w:numPr>
          <w:ilvl w:val="0"/>
          <w:numId w:val="5"/>
        </w:numPr>
        <w:ind w:left="0" w:firstLine="0"/>
        <w:rPr>
          <w:lang w:val="en-IN"/>
        </w:rPr>
      </w:pPr>
      <w:r w:rsidRPr="00A443E2">
        <w:rPr>
          <w:lang w:val="en-IN"/>
        </w:rPr>
        <w:t xml:space="preserve">Li Y, Kurlander RJ. Comparison of anti-CD3 and anti-CD28-coated beads with soluble anti-CD3 for expanding human T cells: differing impact on CD8 T cell phenotype and responsiveness to restimulation. J </w:t>
      </w:r>
      <w:proofErr w:type="spellStart"/>
      <w:r w:rsidRPr="00A443E2">
        <w:rPr>
          <w:lang w:val="en-IN"/>
        </w:rPr>
        <w:t>Transl</w:t>
      </w:r>
      <w:proofErr w:type="spellEnd"/>
      <w:r w:rsidRPr="00A443E2">
        <w:rPr>
          <w:lang w:val="en-IN"/>
        </w:rPr>
        <w:t xml:space="preserve"> Med. 2010;8:104. </w:t>
      </w:r>
    </w:p>
    <w:p w14:paraId="69167133" w14:textId="5F12B766" w:rsidR="00F51F9B" w:rsidRPr="00A443E2" w:rsidRDefault="00F51F9B" w:rsidP="00A443E2">
      <w:pPr>
        <w:pStyle w:val="ListParagraph"/>
        <w:numPr>
          <w:ilvl w:val="0"/>
          <w:numId w:val="5"/>
        </w:numPr>
        <w:ind w:left="0" w:firstLine="0"/>
        <w:rPr>
          <w:lang w:val="en-IN"/>
        </w:rPr>
      </w:pPr>
      <w:r w:rsidRPr="00A443E2">
        <w:rPr>
          <w:lang w:val="en-IN"/>
        </w:rPr>
        <w:t xml:space="preserve">Lee DH, et al. Improved expansion and function of CAR T cell products from cultures initiated at defined CD4:CD8 ratios. Blood. 2018;132:3334. </w:t>
      </w:r>
    </w:p>
    <w:p w14:paraId="1D01B050" w14:textId="00304F77" w:rsidR="00F51F9B" w:rsidRPr="00A443E2" w:rsidRDefault="00F51F9B" w:rsidP="00A443E2">
      <w:pPr>
        <w:pStyle w:val="ListParagraph"/>
        <w:numPr>
          <w:ilvl w:val="0"/>
          <w:numId w:val="5"/>
        </w:numPr>
        <w:ind w:left="0" w:firstLine="0"/>
        <w:rPr>
          <w:lang w:val="en-IN"/>
        </w:rPr>
      </w:pPr>
      <w:r w:rsidRPr="00A443E2">
        <w:rPr>
          <w:lang w:val="en-IN"/>
        </w:rPr>
        <w:t xml:space="preserve">Turtle CJ, et al. CD19 CAR–T cells of defined CD4+:CD8+ composition in adult B cell ALL patients. J Clin Invest. 2016;126:2123-38. </w:t>
      </w:r>
    </w:p>
    <w:p w14:paraId="64D59E10" w14:textId="06D9CE60" w:rsidR="00F51F9B" w:rsidRPr="00A443E2" w:rsidRDefault="00F51F9B" w:rsidP="00A443E2">
      <w:pPr>
        <w:pStyle w:val="ListParagraph"/>
        <w:numPr>
          <w:ilvl w:val="0"/>
          <w:numId w:val="5"/>
        </w:numPr>
        <w:ind w:left="0" w:firstLine="0"/>
        <w:rPr>
          <w:lang w:val="en-IN"/>
        </w:rPr>
      </w:pPr>
      <w:r w:rsidRPr="00A443E2">
        <w:rPr>
          <w:lang w:val="en-IN"/>
        </w:rPr>
        <w:t xml:space="preserve">Hong R, et al. Clinical characterization and risk factors associated with cytokine release syndrome induced by COVID-19 and chimeric antigen receptor T-cell therapy. Bone Marrow Transplant. 2021;56:570-80. </w:t>
      </w:r>
    </w:p>
    <w:p w14:paraId="721DC412" w14:textId="3E27C31C" w:rsidR="00F51F9B" w:rsidRPr="00A443E2" w:rsidRDefault="00F51F9B" w:rsidP="00A443E2">
      <w:pPr>
        <w:pStyle w:val="ListParagraph"/>
        <w:numPr>
          <w:ilvl w:val="0"/>
          <w:numId w:val="5"/>
        </w:numPr>
        <w:ind w:left="0" w:firstLine="0"/>
        <w:rPr>
          <w:lang w:val="en-IN"/>
        </w:rPr>
      </w:pPr>
      <w:r w:rsidRPr="00A443E2">
        <w:rPr>
          <w:lang w:val="en-IN"/>
        </w:rPr>
        <w:t xml:space="preserve">Ghazanfari D, Ren L, Cantú MS, King MR. Cellular mechanoactivation of antigen-presenting cells and T cells for cancer immunotherapy. Curr </w:t>
      </w:r>
      <w:proofErr w:type="spellStart"/>
      <w:r w:rsidRPr="00A443E2">
        <w:rPr>
          <w:lang w:val="en-IN"/>
        </w:rPr>
        <w:t>Opin</w:t>
      </w:r>
      <w:proofErr w:type="spellEnd"/>
      <w:r w:rsidRPr="00A443E2">
        <w:rPr>
          <w:lang w:val="en-IN"/>
        </w:rPr>
        <w:t xml:space="preserve"> Biomed Eng. 2025;36:100619. </w:t>
      </w:r>
    </w:p>
    <w:p w14:paraId="7AF7D4D5" w14:textId="4EE9A639" w:rsidR="00F51F9B" w:rsidRPr="00A443E2" w:rsidRDefault="00F51F9B" w:rsidP="00A443E2">
      <w:pPr>
        <w:pStyle w:val="ListParagraph"/>
        <w:numPr>
          <w:ilvl w:val="0"/>
          <w:numId w:val="5"/>
        </w:numPr>
        <w:ind w:left="0" w:firstLine="0"/>
        <w:rPr>
          <w:lang w:val="en-IN"/>
        </w:rPr>
      </w:pPr>
      <w:r w:rsidRPr="00A443E2">
        <w:rPr>
          <w:lang w:val="en-IN"/>
        </w:rPr>
        <w:t xml:space="preserve">Tu LN, et al. Shear stress associated with cardiopulmonary bypass induces expression of inflammatory cytokines and necroptosis in monocytes. JCI Insight. 2021;6:e141341. </w:t>
      </w:r>
    </w:p>
    <w:p w14:paraId="10ACD79B" w14:textId="4A541D55" w:rsidR="00F51F9B" w:rsidRPr="00A443E2" w:rsidRDefault="00F51F9B" w:rsidP="00A443E2">
      <w:pPr>
        <w:pStyle w:val="ListParagraph"/>
        <w:numPr>
          <w:ilvl w:val="0"/>
          <w:numId w:val="5"/>
        </w:numPr>
        <w:ind w:left="0" w:firstLine="0"/>
        <w:rPr>
          <w:lang w:val="en-IN"/>
        </w:rPr>
      </w:pPr>
      <w:r w:rsidRPr="00A443E2">
        <w:rPr>
          <w:lang w:val="en-IN"/>
        </w:rPr>
        <w:t xml:space="preserve">Jui E, et al. Shear stress induces a time-dependent inflammatory response in human monocyte-derived macrophages. Ann Biomed Eng. 2024;52:2932-47. </w:t>
      </w:r>
    </w:p>
    <w:p w14:paraId="51D82242" w14:textId="5903D202" w:rsidR="00F51F9B" w:rsidRPr="00A443E2" w:rsidRDefault="00F51F9B" w:rsidP="00A443E2">
      <w:pPr>
        <w:pStyle w:val="ListParagraph"/>
        <w:numPr>
          <w:ilvl w:val="0"/>
          <w:numId w:val="5"/>
        </w:numPr>
        <w:ind w:left="0" w:firstLine="0"/>
        <w:rPr>
          <w:lang w:val="en-IN"/>
        </w:rPr>
      </w:pPr>
      <w:r w:rsidRPr="00A443E2">
        <w:rPr>
          <w:lang w:val="en-IN"/>
        </w:rPr>
        <w:t xml:space="preserve">Smith EWC. Macrophage polarization and its role in cancer. J Clin Cell Immunol. 2015;6:338. </w:t>
      </w:r>
    </w:p>
    <w:p w14:paraId="6BA72CB8" w14:textId="1B30A778" w:rsidR="00F51F9B" w:rsidRPr="00A443E2" w:rsidRDefault="00F51F9B" w:rsidP="00A443E2">
      <w:pPr>
        <w:pStyle w:val="ListParagraph"/>
        <w:numPr>
          <w:ilvl w:val="0"/>
          <w:numId w:val="5"/>
        </w:numPr>
        <w:ind w:left="0" w:firstLine="0"/>
        <w:rPr>
          <w:lang w:val="en-IN"/>
        </w:rPr>
      </w:pPr>
      <w:proofErr w:type="spellStart"/>
      <w:r w:rsidRPr="00A443E2">
        <w:rPr>
          <w:lang w:val="en-IN"/>
        </w:rPr>
        <w:t>Salmaninejad</w:t>
      </w:r>
      <w:proofErr w:type="spellEnd"/>
      <w:r w:rsidRPr="00A443E2">
        <w:rPr>
          <w:lang w:val="en-IN"/>
        </w:rPr>
        <w:t xml:space="preserve"> A, et al. The role of </w:t>
      </w:r>
      <w:proofErr w:type="spellStart"/>
      <w:r w:rsidRPr="00A443E2">
        <w:rPr>
          <w:lang w:val="en-IN"/>
        </w:rPr>
        <w:t>tumor</w:t>
      </w:r>
      <w:proofErr w:type="spellEnd"/>
      <w:r w:rsidRPr="00A443E2">
        <w:rPr>
          <w:lang w:val="en-IN"/>
        </w:rPr>
        <w:t xml:space="preserve">-associated macrophages in cancer development and their significance as prognostic markers. Clin Exp Med. 2026;26:155. </w:t>
      </w:r>
    </w:p>
    <w:p w14:paraId="076B7A85" w14:textId="6E7DC8FB" w:rsidR="00F51F9B" w:rsidRPr="00A443E2" w:rsidRDefault="00F51F9B" w:rsidP="00A443E2">
      <w:pPr>
        <w:pStyle w:val="ListParagraph"/>
        <w:numPr>
          <w:ilvl w:val="0"/>
          <w:numId w:val="5"/>
        </w:numPr>
        <w:ind w:left="0" w:firstLine="0"/>
        <w:rPr>
          <w:lang w:val="en-IN"/>
        </w:rPr>
      </w:pPr>
      <w:r w:rsidRPr="00A443E2">
        <w:rPr>
          <w:lang w:val="en-IN"/>
        </w:rPr>
        <w:t xml:space="preserve">Dombroski JA, et al. Fluid shear stress enhances dendritic cell activation. Immunobiology. 2023;228:152744. </w:t>
      </w:r>
    </w:p>
    <w:p w14:paraId="4147F48B" w14:textId="4D6475B4" w:rsidR="00F51F9B" w:rsidRPr="00A443E2" w:rsidRDefault="00F51F9B" w:rsidP="00A443E2">
      <w:pPr>
        <w:pStyle w:val="ListParagraph"/>
        <w:numPr>
          <w:ilvl w:val="0"/>
          <w:numId w:val="5"/>
        </w:numPr>
        <w:ind w:left="0" w:firstLine="0"/>
        <w:rPr>
          <w:lang w:val="en-IN"/>
        </w:rPr>
      </w:pPr>
      <w:r w:rsidRPr="00A443E2">
        <w:rPr>
          <w:lang w:val="en-IN"/>
        </w:rPr>
        <w:t xml:space="preserve">Dombroski JA, et al. Dendritic cells isolated from the blood of prostate cancer patients respond to ex vivo fluid shear stress stimulation. Curr Protoc. 2023;3:e933. </w:t>
      </w:r>
    </w:p>
    <w:p w14:paraId="007D4321" w14:textId="6C38AB93" w:rsidR="00F51F9B" w:rsidRPr="00A443E2" w:rsidRDefault="00F51F9B" w:rsidP="00A443E2">
      <w:pPr>
        <w:pStyle w:val="ListParagraph"/>
        <w:numPr>
          <w:ilvl w:val="0"/>
          <w:numId w:val="5"/>
        </w:numPr>
        <w:ind w:left="0" w:firstLine="0"/>
        <w:rPr>
          <w:lang w:val="en-IN"/>
        </w:rPr>
      </w:pPr>
      <w:r w:rsidRPr="00A443E2">
        <w:rPr>
          <w:lang w:val="en-IN"/>
        </w:rPr>
        <w:t xml:space="preserve">Mitchell MJ, Lin KS, King MR. Fluid shear stress increases neutrophil activation via platelet-activating factor. </w:t>
      </w:r>
      <w:proofErr w:type="spellStart"/>
      <w:r w:rsidRPr="00A443E2">
        <w:rPr>
          <w:lang w:val="en-IN"/>
        </w:rPr>
        <w:t>Biophys</w:t>
      </w:r>
      <w:proofErr w:type="spellEnd"/>
      <w:r w:rsidRPr="00A443E2">
        <w:rPr>
          <w:lang w:val="en-IN"/>
        </w:rPr>
        <w:t xml:space="preserve"> J. 2014;106:2243-53. </w:t>
      </w:r>
    </w:p>
    <w:p w14:paraId="6084F92A" w14:textId="12255A3F" w:rsidR="00F51F9B" w:rsidRPr="00A443E2" w:rsidRDefault="00F51F9B" w:rsidP="00A443E2">
      <w:pPr>
        <w:pStyle w:val="ListParagraph"/>
        <w:numPr>
          <w:ilvl w:val="0"/>
          <w:numId w:val="5"/>
        </w:numPr>
        <w:ind w:left="0" w:firstLine="0"/>
        <w:rPr>
          <w:lang w:val="en-IN"/>
        </w:rPr>
      </w:pPr>
      <w:r w:rsidRPr="000A0C49">
        <w:rPr>
          <w:lang w:val="fr-FR"/>
        </w:rPr>
        <w:t xml:space="preserve">Lopez-Cavestany M, et al. </w:t>
      </w:r>
      <w:r w:rsidRPr="00A443E2">
        <w:rPr>
          <w:lang w:val="en-IN"/>
        </w:rPr>
        <w:t xml:space="preserve">Superhydrophobic array devices for the enhanced formation of 3D cancer models. ACS Nano. 2024;18:23637-54. </w:t>
      </w:r>
    </w:p>
    <w:p w14:paraId="6857B897" w14:textId="06BA6130" w:rsidR="00F51F9B" w:rsidRPr="00A443E2" w:rsidRDefault="00F51F9B" w:rsidP="00A443E2">
      <w:pPr>
        <w:pStyle w:val="ListParagraph"/>
        <w:numPr>
          <w:ilvl w:val="0"/>
          <w:numId w:val="5"/>
        </w:numPr>
        <w:ind w:left="0" w:firstLine="0"/>
        <w:rPr>
          <w:lang w:val="en-IN"/>
        </w:rPr>
      </w:pPr>
      <w:r w:rsidRPr="00A443E2">
        <w:rPr>
          <w:lang w:val="en-IN"/>
        </w:rPr>
        <w:t xml:space="preserve">Fabiano AR, et al. Multiplex, high-throughput method to study cancer and immune cell mechanotransduction. Commun Biol. 2024;7:674. </w:t>
      </w:r>
    </w:p>
    <w:p w14:paraId="08517996" w14:textId="29DDA958" w:rsidR="00F51F9B" w:rsidRPr="00A443E2" w:rsidRDefault="00F51F9B" w:rsidP="00A443E2">
      <w:pPr>
        <w:pStyle w:val="ListParagraph"/>
        <w:numPr>
          <w:ilvl w:val="0"/>
          <w:numId w:val="5"/>
        </w:numPr>
        <w:ind w:left="0" w:firstLine="0"/>
        <w:rPr>
          <w:lang w:val="en-IN"/>
        </w:rPr>
      </w:pPr>
      <w:r w:rsidRPr="00A443E2">
        <w:rPr>
          <w:lang w:val="en-IN"/>
        </w:rPr>
        <w:t xml:space="preserve">Carter AT, et al. A superhydrophobic 3D cell culture system reveals the mechanobiological role of cancer-associated fibroblasts in prostate cancer metastasis. Adv </w:t>
      </w:r>
      <w:proofErr w:type="spellStart"/>
      <w:r w:rsidRPr="00A443E2">
        <w:rPr>
          <w:lang w:val="en-IN"/>
        </w:rPr>
        <w:t>Healthc</w:t>
      </w:r>
      <w:proofErr w:type="spellEnd"/>
      <w:r w:rsidRPr="00A443E2">
        <w:rPr>
          <w:lang w:val="en-IN"/>
        </w:rPr>
        <w:t xml:space="preserve"> Mater. 2026;15(20):e00011. </w:t>
      </w:r>
    </w:p>
    <w:p w14:paraId="38B22537" w14:textId="5D08CCC4" w:rsidR="00F51F9B" w:rsidRPr="00A443E2" w:rsidRDefault="00F51F9B" w:rsidP="00A443E2">
      <w:pPr>
        <w:pStyle w:val="ListParagraph"/>
        <w:numPr>
          <w:ilvl w:val="0"/>
          <w:numId w:val="5"/>
        </w:numPr>
        <w:ind w:left="0" w:firstLine="0"/>
        <w:rPr>
          <w:lang w:val="en-IN"/>
        </w:rPr>
      </w:pPr>
      <w:r w:rsidRPr="00A443E2">
        <w:rPr>
          <w:lang w:val="en-IN"/>
        </w:rPr>
        <w:t xml:space="preserve">Fabiano AR, et al. CALB2 is a mechanoresistance gene in metastatic prostate cancer. Adv Sci. 2026;0:e76535. </w:t>
      </w:r>
    </w:p>
    <w:p w14:paraId="254A91E3" w14:textId="67EDD552" w:rsidR="00F51F9B" w:rsidRPr="00A443E2" w:rsidRDefault="00F51F9B" w:rsidP="00A443E2">
      <w:pPr>
        <w:pStyle w:val="ListParagraph"/>
        <w:numPr>
          <w:ilvl w:val="0"/>
          <w:numId w:val="5"/>
        </w:numPr>
        <w:ind w:left="0" w:firstLine="0"/>
        <w:rPr>
          <w:lang w:val="en-IN"/>
        </w:rPr>
      </w:pPr>
      <w:r w:rsidRPr="00A443E2">
        <w:rPr>
          <w:lang w:val="en-IN"/>
        </w:rPr>
        <w:t xml:space="preserve">Brookfield A. More solutions to sticky problems: a guide to getting more from your Brookfield viscometer. Brookfield Engineering Laboratories; 2009. </w:t>
      </w:r>
    </w:p>
    <w:p w14:paraId="38CB8250" w14:textId="53BEC456" w:rsidR="00F51F9B" w:rsidRPr="00A443E2" w:rsidRDefault="00F51F9B" w:rsidP="00A443E2">
      <w:pPr>
        <w:pStyle w:val="ListParagraph"/>
        <w:numPr>
          <w:ilvl w:val="0"/>
          <w:numId w:val="5"/>
        </w:numPr>
        <w:ind w:left="0" w:firstLine="0"/>
        <w:rPr>
          <w:lang w:val="en-IN"/>
        </w:rPr>
      </w:pPr>
      <w:r w:rsidRPr="00A443E2">
        <w:rPr>
          <w:lang w:val="en-IN"/>
        </w:rPr>
        <w:t xml:space="preserve">Geng J, et al. TLR4 signalling via Piezo1 engages and enhances the macrophage mediated host response during bacterial infection. Nat Commun. 2021;12:3519. </w:t>
      </w:r>
    </w:p>
    <w:p w14:paraId="72531086" w14:textId="7A0A0CE4" w:rsidR="00F51F9B" w:rsidRPr="00A443E2" w:rsidRDefault="00F51F9B" w:rsidP="00A443E2">
      <w:pPr>
        <w:pStyle w:val="ListParagraph"/>
        <w:numPr>
          <w:ilvl w:val="0"/>
          <w:numId w:val="5"/>
        </w:numPr>
        <w:ind w:left="0" w:firstLine="0"/>
        <w:rPr>
          <w:lang w:val="en-IN"/>
        </w:rPr>
      </w:pPr>
      <w:r w:rsidRPr="00A443E2">
        <w:rPr>
          <w:lang w:val="en-IN"/>
        </w:rPr>
        <w:lastRenderedPageBreak/>
        <w:t xml:space="preserve">Stein M, Keshav S, Harris N, Gordon S. Interleukin 4 potently enhances murine macrophage mannose receptor activity: a marker of alternative immunologic macrophage activation. J Exp Med. 1992;176:287-92. </w:t>
      </w:r>
    </w:p>
    <w:p w14:paraId="77ADE03C" w14:textId="45E2C9A7" w:rsidR="00F51F9B" w:rsidRPr="00A443E2" w:rsidRDefault="00F51F9B" w:rsidP="00A443E2">
      <w:pPr>
        <w:pStyle w:val="ListParagraph"/>
        <w:numPr>
          <w:ilvl w:val="0"/>
          <w:numId w:val="5"/>
        </w:numPr>
        <w:ind w:left="0" w:firstLine="0"/>
        <w:rPr>
          <w:lang w:val="en-IN"/>
        </w:rPr>
      </w:pPr>
      <w:r w:rsidRPr="00A443E2">
        <w:rPr>
          <w:lang w:val="en-IN"/>
        </w:rPr>
        <w:t xml:space="preserve">Montaner LJ, et al. Type 1 and type 2 cytokine regulation of macrophage endocytosis: differential activation by IL-4/IL-13 as opposed to IFN-gamma or IL-10. J Immunol. 1999;162:4606-13. </w:t>
      </w:r>
    </w:p>
    <w:p w14:paraId="64804BDD" w14:textId="1395DF90" w:rsidR="00F51F9B" w:rsidRPr="00A443E2" w:rsidRDefault="00F51F9B" w:rsidP="00A443E2">
      <w:pPr>
        <w:pStyle w:val="ListParagraph"/>
        <w:numPr>
          <w:ilvl w:val="0"/>
          <w:numId w:val="5"/>
        </w:numPr>
        <w:ind w:left="0" w:firstLine="0"/>
        <w:rPr>
          <w:lang w:val="en-IN"/>
        </w:rPr>
      </w:pPr>
      <w:proofErr w:type="spellStart"/>
      <w:r w:rsidRPr="00A443E2">
        <w:rPr>
          <w:lang w:val="en-IN"/>
        </w:rPr>
        <w:t>Pourteymour</w:t>
      </w:r>
      <w:proofErr w:type="spellEnd"/>
      <w:r w:rsidRPr="00A443E2">
        <w:rPr>
          <w:lang w:val="en-IN"/>
        </w:rPr>
        <w:t xml:space="preserve"> S, et al. PIEZO1 targeting in macrophages boosts phagocytic activity and foam cell apoptosis in atherosclerosis. Cell Mol Life Sci. 2024;81:331. </w:t>
      </w:r>
    </w:p>
    <w:p w14:paraId="28EB570C" w14:textId="5579A894" w:rsidR="00F51F9B" w:rsidRPr="00A443E2" w:rsidRDefault="00F51F9B" w:rsidP="00A443E2">
      <w:pPr>
        <w:pStyle w:val="ListParagraph"/>
        <w:numPr>
          <w:ilvl w:val="0"/>
          <w:numId w:val="5"/>
        </w:numPr>
        <w:ind w:left="0" w:firstLine="0"/>
        <w:rPr>
          <w:lang w:val="en-IN"/>
        </w:rPr>
      </w:pPr>
      <w:r w:rsidRPr="00A443E2">
        <w:rPr>
          <w:lang w:val="en-IN"/>
        </w:rPr>
        <w:t xml:space="preserve">Zhang H, et al. Silencing of SIRPα enhances the antitumor efficacy of CAR-M in solid </w:t>
      </w:r>
      <w:proofErr w:type="spellStart"/>
      <w:r w:rsidRPr="00A443E2">
        <w:rPr>
          <w:lang w:val="en-IN"/>
        </w:rPr>
        <w:t>tumors</w:t>
      </w:r>
      <w:proofErr w:type="spellEnd"/>
      <w:r w:rsidRPr="00A443E2">
        <w:rPr>
          <w:lang w:val="en-IN"/>
        </w:rPr>
        <w:t xml:space="preserve">. Cell Mol Immunol. 2024;21:1335-49. </w:t>
      </w:r>
    </w:p>
    <w:p w14:paraId="67772134" w14:textId="62699EE5" w:rsidR="00F51F9B" w:rsidRPr="00A443E2" w:rsidRDefault="00F51F9B" w:rsidP="00A443E2">
      <w:pPr>
        <w:pStyle w:val="ListParagraph"/>
        <w:numPr>
          <w:ilvl w:val="0"/>
          <w:numId w:val="5"/>
        </w:numPr>
        <w:ind w:left="0" w:firstLine="0"/>
        <w:rPr>
          <w:lang w:val="en-IN"/>
        </w:rPr>
      </w:pPr>
      <w:proofErr w:type="spellStart"/>
      <w:r w:rsidRPr="00A443E2">
        <w:rPr>
          <w:lang w:val="en-IN"/>
        </w:rPr>
        <w:t>Horoszewicz</w:t>
      </w:r>
      <w:proofErr w:type="spellEnd"/>
      <w:r w:rsidRPr="00A443E2">
        <w:rPr>
          <w:lang w:val="en-IN"/>
        </w:rPr>
        <w:t xml:space="preserve"> JS, et al. The LNCaP cell line—a new model for studies on human prostatic carcinoma. Prog Clin </w:t>
      </w:r>
      <w:proofErr w:type="spellStart"/>
      <w:r w:rsidRPr="00A443E2">
        <w:rPr>
          <w:lang w:val="en-IN"/>
        </w:rPr>
        <w:t>Biol</w:t>
      </w:r>
      <w:proofErr w:type="spellEnd"/>
      <w:r w:rsidRPr="00A443E2">
        <w:rPr>
          <w:lang w:val="en-IN"/>
        </w:rPr>
        <w:t xml:space="preserve"> Res. 1980;37:115-32. </w:t>
      </w:r>
    </w:p>
    <w:p w14:paraId="6041AA6B" w14:textId="08EBF149" w:rsidR="00F51F9B" w:rsidRPr="00A443E2" w:rsidRDefault="00F51F9B" w:rsidP="00A443E2">
      <w:pPr>
        <w:pStyle w:val="ListParagraph"/>
        <w:numPr>
          <w:ilvl w:val="0"/>
          <w:numId w:val="5"/>
        </w:numPr>
        <w:ind w:left="0" w:firstLine="0"/>
        <w:rPr>
          <w:lang w:val="en-IN"/>
        </w:rPr>
      </w:pPr>
      <w:proofErr w:type="spellStart"/>
      <w:r w:rsidRPr="00A443E2">
        <w:rPr>
          <w:lang w:val="en-IN"/>
        </w:rPr>
        <w:t>Horoszewicz</w:t>
      </w:r>
      <w:proofErr w:type="spellEnd"/>
      <w:r w:rsidRPr="00A443E2">
        <w:rPr>
          <w:lang w:val="en-IN"/>
        </w:rPr>
        <w:t xml:space="preserve"> JS, et al. LNCaP model of human prostatic carcinoma. Cancer Res. 1983;43:1809-18. </w:t>
      </w:r>
    </w:p>
    <w:p w14:paraId="5233C59A" w14:textId="0369AA5C" w:rsidR="00F51F9B" w:rsidRPr="00A443E2" w:rsidRDefault="00F51F9B" w:rsidP="00A443E2">
      <w:pPr>
        <w:pStyle w:val="ListParagraph"/>
        <w:numPr>
          <w:ilvl w:val="0"/>
          <w:numId w:val="5"/>
        </w:numPr>
        <w:ind w:left="0" w:firstLine="0"/>
        <w:rPr>
          <w:lang w:val="en-IN"/>
        </w:rPr>
      </w:pPr>
      <w:r w:rsidRPr="00A443E2">
        <w:rPr>
          <w:lang w:val="en-IN"/>
        </w:rPr>
        <w:t xml:space="preserve">Bluestein D, Yin W, Affeld K, Jesty J. Flow-induced platelet activation in mechanical heart valves. J Heart Valve Dis. 2004;13:501-8. </w:t>
      </w:r>
    </w:p>
    <w:p w14:paraId="27309304" w14:textId="00292924" w:rsidR="00F51F9B" w:rsidRPr="00A443E2" w:rsidRDefault="00F51F9B" w:rsidP="00A443E2">
      <w:pPr>
        <w:pStyle w:val="ListParagraph"/>
        <w:numPr>
          <w:ilvl w:val="0"/>
          <w:numId w:val="5"/>
        </w:numPr>
        <w:ind w:left="0" w:firstLine="0"/>
        <w:rPr>
          <w:lang w:val="en-IN"/>
        </w:rPr>
      </w:pPr>
      <w:r w:rsidRPr="00A443E2">
        <w:rPr>
          <w:lang w:val="en-IN"/>
        </w:rPr>
        <w:t xml:space="preserve">Barnes JM, </w:t>
      </w:r>
      <w:proofErr w:type="spellStart"/>
      <w:r w:rsidRPr="00A443E2">
        <w:rPr>
          <w:lang w:val="en-IN"/>
        </w:rPr>
        <w:t>Nauseef</w:t>
      </w:r>
      <w:proofErr w:type="spellEnd"/>
      <w:r w:rsidRPr="00A443E2">
        <w:rPr>
          <w:lang w:val="en-IN"/>
        </w:rPr>
        <w:t xml:space="preserve"> JT, Henry MD. Resistance to fluid shear stress is a conserved biophysical property of malignant cells. </w:t>
      </w:r>
      <w:proofErr w:type="spellStart"/>
      <w:r w:rsidRPr="00A443E2">
        <w:rPr>
          <w:lang w:val="en-IN"/>
        </w:rPr>
        <w:t>PLoS</w:t>
      </w:r>
      <w:proofErr w:type="spellEnd"/>
      <w:r w:rsidRPr="00A443E2">
        <w:rPr>
          <w:lang w:val="en-IN"/>
        </w:rPr>
        <w:t xml:space="preserve"> One. 2012;7:e50973. </w:t>
      </w:r>
    </w:p>
    <w:p w14:paraId="0D84D3C7" w14:textId="261823F6" w:rsidR="00F51F9B" w:rsidRPr="00A443E2" w:rsidRDefault="00F51F9B" w:rsidP="00A443E2">
      <w:pPr>
        <w:pStyle w:val="ListParagraph"/>
        <w:numPr>
          <w:ilvl w:val="0"/>
          <w:numId w:val="5"/>
        </w:numPr>
        <w:ind w:left="0" w:firstLine="0"/>
        <w:rPr>
          <w:lang w:val="en-IN"/>
        </w:rPr>
      </w:pPr>
      <w:r w:rsidRPr="000A0C49">
        <w:rPr>
          <w:lang w:val="fr-FR"/>
        </w:rPr>
        <w:t xml:space="preserve">Mace TA, Zhong L, </w:t>
      </w:r>
      <w:proofErr w:type="spellStart"/>
      <w:r w:rsidRPr="000A0C49">
        <w:rPr>
          <w:lang w:val="fr-FR"/>
        </w:rPr>
        <w:t>Kokolus</w:t>
      </w:r>
      <w:proofErr w:type="spellEnd"/>
      <w:r w:rsidRPr="000A0C49">
        <w:rPr>
          <w:lang w:val="fr-FR"/>
        </w:rPr>
        <w:t xml:space="preserve"> KM, Repasky EA. </w:t>
      </w:r>
      <w:r w:rsidRPr="00A443E2">
        <w:rPr>
          <w:lang w:val="en-IN"/>
        </w:rPr>
        <w:t xml:space="preserve">Effector CD8+ T cell IFN-γ production and cytotoxicity are enhanced by mild hyperthermia. Int J Hyperthermia. 2012;28:9-18. </w:t>
      </w:r>
    </w:p>
    <w:p w14:paraId="3BBD2C2B" w14:textId="1E4C85C7" w:rsidR="00F51F9B" w:rsidRPr="00A443E2" w:rsidRDefault="00F51F9B" w:rsidP="00A443E2">
      <w:pPr>
        <w:pStyle w:val="ListParagraph"/>
        <w:numPr>
          <w:ilvl w:val="0"/>
          <w:numId w:val="5"/>
        </w:numPr>
        <w:ind w:left="0" w:firstLine="0"/>
        <w:rPr>
          <w:lang w:val="en-IN"/>
        </w:rPr>
      </w:pPr>
      <w:r w:rsidRPr="00A443E2">
        <w:rPr>
          <w:lang w:val="en-IN"/>
        </w:rPr>
        <w:t xml:space="preserve">Evans SS, Repasky EA, Fisher DT. Fever and the thermal regulation of immunity: the immune system feels the heat. Nat Rev Immunol. 2015;15:335-49. </w:t>
      </w:r>
    </w:p>
    <w:p w14:paraId="63545445" w14:textId="7B190DF6" w:rsidR="00F51F9B" w:rsidRPr="00A443E2" w:rsidRDefault="00F51F9B" w:rsidP="00A443E2">
      <w:pPr>
        <w:pStyle w:val="ListParagraph"/>
        <w:numPr>
          <w:ilvl w:val="0"/>
          <w:numId w:val="5"/>
        </w:numPr>
        <w:ind w:left="0" w:firstLine="0"/>
        <w:rPr>
          <w:lang w:val="en-IN"/>
        </w:rPr>
      </w:pPr>
      <w:r w:rsidRPr="00A443E2">
        <w:rPr>
          <w:lang w:val="en-IN"/>
        </w:rPr>
        <w:t xml:space="preserve">Kang DW, et al. Chronic exercise training intensity, immune cells, and cancer outcomes: a scoping review. JNCI Cancer </w:t>
      </w:r>
      <w:proofErr w:type="spellStart"/>
      <w:r w:rsidRPr="00A443E2">
        <w:rPr>
          <w:lang w:val="en-IN"/>
        </w:rPr>
        <w:t>Spectr</w:t>
      </w:r>
      <w:proofErr w:type="spellEnd"/>
      <w:r w:rsidRPr="00A443E2">
        <w:rPr>
          <w:lang w:val="en-IN"/>
        </w:rPr>
        <w:t xml:space="preserve">. 2026;10:pkag021. </w:t>
      </w:r>
    </w:p>
    <w:p w14:paraId="3531D56D" w14:textId="10DD7F9F" w:rsidR="00F51F9B" w:rsidRPr="00A443E2" w:rsidRDefault="00F51F9B" w:rsidP="00A443E2">
      <w:pPr>
        <w:pStyle w:val="ListParagraph"/>
        <w:numPr>
          <w:ilvl w:val="0"/>
          <w:numId w:val="5"/>
        </w:numPr>
        <w:ind w:left="0" w:firstLine="0"/>
        <w:rPr>
          <w:lang w:val="en-IN"/>
        </w:rPr>
      </w:pPr>
      <w:proofErr w:type="spellStart"/>
      <w:r w:rsidRPr="00A443E2">
        <w:rPr>
          <w:lang w:val="en-IN"/>
        </w:rPr>
        <w:t>Llavero</w:t>
      </w:r>
      <w:proofErr w:type="spellEnd"/>
      <w:r w:rsidRPr="00A443E2">
        <w:rPr>
          <w:lang w:val="en-IN"/>
        </w:rPr>
        <w:t xml:space="preserve"> F, et al. Exercise training effects on natural killer cells: a preliminary proteomics and systems biology approach. </w:t>
      </w:r>
      <w:proofErr w:type="spellStart"/>
      <w:r w:rsidRPr="00A443E2">
        <w:rPr>
          <w:lang w:val="en-IN"/>
        </w:rPr>
        <w:t>Exerc</w:t>
      </w:r>
      <w:proofErr w:type="spellEnd"/>
      <w:r w:rsidRPr="00A443E2">
        <w:rPr>
          <w:lang w:val="en-IN"/>
        </w:rPr>
        <w:t xml:space="preserve"> Immunol Rev. 2021;27:125-41. </w:t>
      </w:r>
    </w:p>
    <w:p w14:paraId="53D581D3" w14:textId="302D482D" w:rsidR="00F51F9B" w:rsidRPr="00A443E2" w:rsidRDefault="00F51F9B" w:rsidP="00A443E2">
      <w:pPr>
        <w:pStyle w:val="ListParagraph"/>
        <w:numPr>
          <w:ilvl w:val="0"/>
          <w:numId w:val="5"/>
        </w:numPr>
        <w:ind w:left="0" w:firstLine="0"/>
        <w:rPr>
          <w:lang w:val="en-IN"/>
        </w:rPr>
      </w:pPr>
      <w:r w:rsidRPr="00A443E2">
        <w:rPr>
          <w:lang w:val="en-IN"/>
        </w:rPr>
        <w:t xml:space="preserve">Baez A, et al. Immunomodulation of human T cells by microbubble-mediated focused ultrasound. Front Immunol. 2024;15:1486744. </w:t>
      </w:r>
    </w:p>
    <w:p w14:paraId="40E26394" w14:textId="5463839B" w:rsidR="00F51F9B" w:rsidRPr="00A443E2" w:rsidRDefault="00F51F9B" w:rsidP="00A443E2">
      <w:pPr>
        <w:pStyle w:val="ListParagraph"/>
        <w:numPr>
          <w:ilvl w:val="0"/>
          <w:numId w:val="5"/>
        </w:numPr>
        <w:ind w:left="0" w:firstLine="0"/>
        <w:rPr>
          <w:lang w:val="en-IN"/>
        </w:rPr>
      </w:pPr>
      <w:r w:rsidRPr="00A443E2">
        <w:rPr>
          <w:lang w:val="en-IN"/>
        </w:rPr>
        <w:t>Xia Y, et al. Low-intensity pulsed ultrasound activated the anti-</w:t>
      </w:r>
      <w:proofErr w:type="spellStart"/>
      <w:r w:rsidRPr="00A443E2">
        <w:rPr>
          <w:lang w:val="en-IN"/>
        </w:rPr>
        <w:t>tumor</w:t>
      </w:r>
      <w:proofErr w:type="spellEnd"/>
      <w:r w:rsidRPr="00A443E2">
        <w:rPr>
          <w:lang w:val="en-IN"/>
        </w:rPr>
        <w:t xml:space="preserve"> immunity by irradiating the spleen of mice in 4T-1 breast cancer. Cancer Immunol </w:t>
      </w:r>
      <w:proofErr w:type="spellStart"/>
      <w:r w:rsidRPr="00A443E2">
        <w:rPr>
          <w:lang w:val="en-IN"/>
        </w:rPr>
        <w:t>Immunother</w:t>
      </w:r>
      <w:proofErr w:type="spellEnd"/>
      <w:r w:rsidRPr="00A443E2">
        <w:rPr>
          <w:lang w:val="en-IN"/>
        </w:rPr>
        <w:t xml:space="preserve">. 2024;73:50. </w:t>
      </w:r>
    </w:p>
    <w:p w14:paraId="4CCF5E98" w14:textId="0D635018" w:rsidR="00D92A41" w:rsidRPr="00A443E2" w:rsidRDefault="00F51F9B" w:rsidP="00A443E2">
      <w:pPr>
        <w:pStyle w:val="ListParagraph"/>
        <w:numPr>
          <w:ilvl w:val="0"/>
          <w:numId w:val="5"/>
        </w:numPr>
        <w:ind w:left="0" w:firstLine="0"/>
      </w:pPr>
      <w:r w:rsidRPr="00A443E2">
        <w:rPr>
          <w:lang w:val="en-IN"/>
        </w:rPr>
        <w:t xml:space="preserve">Pan Y, et al. Mechanogenetics for the remote and </w:t>
      </w:r>
      <w:proofErr w:type="spellStart"/>
      <w:r w:rsidRPr="00A443E2">
        <w:rPr>
          <w:lang w:val="en-IN"/>
        </w:rPr>
        <w:t>noninvasive</w:t>
      </w:r>
      <w:proofErr w:type="spellEnd"/>
      <w:r w:rsidRPr="00A443E2">
        <w:rPr>
          <w:lang w:val="en-IN"/>
        </w:rPr>
        <w:t xml:space="preserve"> control of cancer immunotherapy. Proc Natl </w:t>
      </w:r>
      <w:proofErr w:type="spellStart"/>
      <w:r w:rsidRPr="00A443E2">
        <w:rPr>
          <w:lang w:val="en-IN"/>
        </w:rPr>
        <w:t>Acad</w:t>
      </w:r>
      <w:proofErr w:type="spellEnd"/>
      <w:r w:rsidRPr="00A443E2">
        <w:rPr>
          <w:lang w:val="en-IN"/>
        </w:rPr>
        <w:t xml:space="preserve"> Sci U S A. 2018;115:992-7.</w:t>
      </w:r>
    </w:p>
    <w:sectPr w:rsidR="00D92A41" w:rsidRPr="00A443E2" w:rsidSect="001D7B03">
      <w:headerReference w:type="even" r:id="rId15"/>
      <w:headerReference w:type="default" r:id="rId16"/>
      <w:footerReference w:type="even" r:id="rId17"/>
      <w:headerReference w:type="first" r:id="rId18"/>
      <w:pgSz w:w="12240" w:h="15840"/>
      <w:pgMar w:top="1440" w:right="1440" w:bottom="1440" w:left="1440" w:header="720" w:footer="605" w:gutter="0"/>
      <w:lnNumType w:countBy="1" w:restart="continuou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978A5A" w14:textId="77777777" w:rsidR="003316A1" w:rsidRDefault="003316A1">
      <w:r>
        <w:separator/>
      </w:r>
    </w:p>
  </w:endnote>
  <w:endnote w:type="continuationSeparator" w:id="0">
    <w:p w14:paraId="662B5C3B" w14:textId="77777777" w:rsidR="003316A1" w:rsidRDefault="00331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9A0F39" w14:textId="77777777" w:rsidR="001D7B03" w:rsidRDefault="001D7B03">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E404CF" w14:textId="77777777" w:rsidR="003316A1" w:rsidRDefault="003316A1">
      <w:r>
        <w:separator/>
      </w:r>
    </w:p>
  </w:footnote>
  <w:footnote w:type="continuationSeparator" w:id="0">
    <w:p w14:paraId="0A478D00" w14:textId="77777777" w:rsidR="003316A1" w:rsidRDefault="003316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E6536FC" w14:textId="77777777" w:rsidR="001D7B03" w:rsidRDefault="001D7B03">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0B64F" w14:textId="77777777" w:rsidR="001D7B03" w:rsidRDefault="001D7B03">
    <w:pPr>
      <w:pBdr>
        <w:top w:val="nil"/>
        <w:left w:val="nil"/>
        <w:bottom w:val="nil"/>
        <w:right w:val="nil"/>
        <w:between w:val="nil"/>
      </w:pBdr>
      <w:tabs>
        <w:tab w:val="center" w:pos="4680"/>
        <w:tab w:val="left" w:pos="5724"/>
        <w:tab w:val="right" w:pos="9360"/>
      </w:tabs>
      <w:rPr>
        <w:b/>
        <w:bCs/>
        <w:color w:val="1F497D"/>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B5FA57" w14:textId="77777777" w:rsidR="001D7B03" w:rsidRDefault="001D7B03">
    <w:pPr>
      <w:pBdr>
        <w:top w:val="nil"/>
        <w:left w:val="nil"/>
        <w:bottom w:val="nil"/>
        <w:right w:val="nil"/>
        <w:between w:val="nil"/>
      </w:pBdr>
      <w:tabs>
        <w:tab w:val="center" w:pos="4680"/>
        <w:tab w:val="right" w:pos="9360"/>
      </w:tabs>
      <w:jc w:val="left"/>
      <w:rPr>
        <w:b/>
        <w:bCs/>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CE57E7"/>
    <w:multiLevelType w:val="hybridMultilevel"/>
    <w:tmpl w:val="DED4EE5A"/>
    <w:lvl w:ilvl="0" w:tplc="DF2052A0">
      <w:start w:val="1"/>
      <w:numFmt w:val="bullet"/>
      <w:lvlText w:val=""/>
      <w:lvlJc w:val="left"/>
      <w:pPr>
        <w:ind w:left="1080" w:hanging="360"/>
      </w:pPr>
      <w:rPr>
        <w:rFonts w:ascii="Symbol" w:hAnsi="Symbol"/>
      </w:rPr>
    </w:lvl>
    <w:lvl w:ilvl="1" w:tplc="5BF896B4">
      <w:start w:val="1"/>
      <w:numFmt w:val="bullet"/>
      <w:lvlText w:val=""/>
      <w:lvlJc w:val="left"/>
      <w:pPr>
        <w:ind w:left="1080" w:hanging="360"/>
      </w:pPr>
      <w:rPr>
        <w:rFonts w:ascii="Symbol" w:hAnsi="Symbol"/>
      </w:rPr>
    </w:lvl>
    <w:lvl w:ilvl="2" w:tplc="10F83B12">
      <w:start w:val="1"/>
      <w:numFmt w:val="bullet"/>
      <w:lvlText w:val=""/>
      <w:lvlJc w:val="left"/>
      <w:pPr>
        <w:ind w:left="1080" w:hanging="360"/>
      </w:pPr>
      <w:rPr>
        <w:rFonts w:ascii="Symbol" w:hAnsi="Symbol"/>
      </w:rPr>
    </w:lvl>
    <w:lvl w:ilvl="3" w:tplc="7F846E2C">
      <w:start w:val="1"/>
      <w:numFmt w:val="bullet"/>
      <w:lvlText w:val=""/>
      <w:lvlJc w:val="left"/>
      <w:pPr>
        <w:ind w:left="1080" w:hanging="360"/>
      </w:pPr>
      <w:rPr>
        <w:rFonts w:ascii="Symbol" w:hAnsi="Symbol"/>
      </w:rPr>
    </w:lvl>
    <w:lvl w:ilvl="4" w:tplc="2F5407F0">
      <w:start w:val="1"/>
      <w:numFmt w:val="bullet"/>
      <w:lvlText w:val=""/>
      <w:lvlJc w:val="left"/>
      <w:pPr>
        <w:ind w:left="1080" w:hanging="360"/>
      </w:pPr>
      <w:rPr>
        <w:rFonts w:ascii="Symbol" w:hAnsi="Symbol"/>
      </w:rPr>
    </w:lvl>
    <w:lvl w:ilvl="5" w:tplc="EF5EB000">
      <w:start w:val="1"/>
      <w:numFmt w:val="bullet"/>
      <w:lvlText w:val=""/>
      <w:lvlJc w:val="left"/>
      <w:pPr>
        <w:ind w:left="1080" w:hanging="360"/>
      </w:pPr>
      <w:rPr>
        <w:rFonts w:ascii="Symbol" w:hAnsi="Symbol"/>
      </w:rPr>
    </w:lvl>
    <w:lvl w:ilvl="6" w:tplc="A00C5C4C">
      <w:start w:val="1"/>
      <w:numFmt w:val="bullet"/>
      <w:lvlText w:val=""/>
      <w:lvlJc w:val="left"/>
      <w:pPr>
        <w:ind w:left="1080" w:hanging="360"/>
      </w:pPr>
      <w:rPr>
        <w:rFonts w:ascii="Symbol" w:hAnsi="Symbol"/>
      </w:rPr>
    </w:lvl>
    <w:lvl w:ilvl="7" w:tplc="65ACD6B0">
      <w:start w:val="1"/>
      <w:numFmt w:val="bullet"/>
      <w:lvlText w:val=""/>
      <w:lvlJc w:val="left"/>
      <w:pPr>
        <w:ind w:left="1080" w:hanging="360"/>
      </w:pPr>
      <w:rPr>
        <w:rFonts w:ascii="Symbol" w:hAnsi="Symbol"/>
      </w:rPr>
    </w:lvl>
    <w:lvl w:ilvl="8" w:tplc="A3A685D6">
      <w:start w:val="1"/>
      <w:numFmt w:val="bullet"/>
      <w:lvlText w:val=""/>
      <w:lvlJc w:val="left"/>
      <w:pPr>
        <w:ind w:left="1080" w:hanging="360"/>
      </w:pPr>
      <w:rPr>
        <w:rFonts w:ascii="Symbol" w:hAnsi="Symbol"/>
      </w:rPr>
    </w:lvl>
  </w:abstractNum>
  <w:abstractNum w:abstractNumId="1" w15:restartNumberingAfterBreak="0">
    <w:nsid w:val="1D1616DA"/>
    <w:multiLevelType w:val="hybridMultilevel"/>
    <w:tmpl w:val="A0E04B44"/>
    <w:lvl w:ilvl="0" w:tplc="9AD8DEA4">
      <w:start w:val="1"/>
      <w:numFmt w:val="bullet"/>
      <w:lvlText w:val=""/>
      <w:lvlJc w:val="left"/>
      <w:pPr>
        <w:ind w:left="1080" w:hanging="360"/>
      </w:pPr>
      <w:rPr>
        <w:rFonts w:ascii="Symbol" w:hAnsi="Symbol"/>
      </w:rPr>
    </w:lvl>
    <w:lvl w:ilvl="1" w:tplc="C10200BA">
      <w:start w:val="1"/>
      <w:numFmt w:val="bullet"/>
      <w:lvlText w:val=""/>
      <w:lvlJc w:val="left"/>
      <w:pPr>
        <w:ind w:left="1080" w:hanging="360"/>
      </w:pPr>
      <w:rPr>
        <w:rFonts w:ascii="Symbol" w:hAnsi="Symbol"/>
      </w:rPr>
    </w:lvl>
    <w:lvl w:ilvl="2" w:tplc="419082B0">
      <w:start w:val="1"/>
      <w:numFmt w:val="bullet"/>
      <w:lvlText w:val=""/>
      <w:lvlJc w:val="left"/>
      <w:pPr>
        <w:ind w:left="1080" w:hanging="360"/>
      </w:pPr>
      <w:rPr>
        <w:rFonts w:ascii="Symbol" w:hAnsi="Symbol"/>
      </w:rPr>
    </w:lvl>
    <w:lvl w:ilvl="3" w:tplc="2E98071E">
      <w:start w:val="1"/>
      <w:numFmt w:val="bullet"/>
      <w:lvlText w:val=""/>
      <w:lvlJc w:val="left"/>
      <w:pPr>
        <w:ind w:left="1080" w:hanging="360"/>
      </w:pPr>
      <w:rPr>
        <w:rFonts w:ascii="Symbol" w:hAnsi="Symbol"/>
      </w:rPr>
    </w:lvl>
    <w:lvl w:ilvl="4" w:tplc="70700E7C">
      <w:start w:val="1"/>
      <w:numFmt w:val="bullet"/>
      <w:lvlText w:val=""/>
      <w:lvlJc w:val="left"/>
      <w:pPr>
        <w:ind w:left="1080" w:hanging="360"/>
      </w:pPr>
      <w:rPr>
        <w:rFonts w:ascii="Symbol" w:hAnsi="Symbol"/>
      </w:rPr>
    </w:lvl>
    <w:lvl w:ilvl="5" w:tplc="141A72B8">
      <w:start w:val="1"/>
      <w:numFmt w:val="bullet"/>
      <w:lvlText w:val=""/>
      <w:lvlJc w:val="left"/>
      <w:pPr>
        <w:ind w:left="1080" w:hanging="360"/>
      </w:pPr>
      <w:rPr>
        <w:rFonts w:ascii="Symbol" w:hAnsi="Symbol"/>
      </w:rPr>
    </w:lvl>
    <w:lvl w:ilvl="6" w:tplc="9BAA4506">
      <w:start w:val="1"/>
      <w:numFmt w:val="bullet"/>
      <w:lvlText w:val=""/>
      <w:lvlJc w:val="left"/>
      <w:pPr>
        <w:ind w:left="1080" w:hanging="360"/>
      </w:pPr>
      <w:rPr>
        <w:rFonts w:ascii="Symbol" w:hAnsi="Symbol"/>
      </w:rPr>
    </w:lvl>
    <w:lvl w:ilvl="7" w:tplc="608A27A4">
      <w:start w:val="1"/>
      <w:numFmt w:val="bullet"/>
      <w:lvlText w:val=""/>
      <w:lvlJc w:val="left"/>
      <w:pPr>
        <w:ind w:left="1080" w:hanging="360"/>
      </w:pPr>
      <w:rPr>
        <w:rFonts w:ascii="Symbol" w:hAnsi="Symbol"/>
      </w:rPr>
    </w:lvl>
    <w:lvl w:ilvl="8" w:tplc="2DF0AD70">
      <w:start w:val="1"/>
      <w:numFmt w:val="bullet"/>
      <w:lvlText w:val=""/>
      <w:lvlJc w:val="left"/>
      <w:pPr>
        <w:ind w:left="1080" w:hanging="360"/>
      </w:pPr>
      <w:rPr>
        <w:rFonts w:ascii="Symbol" w:hAnsi="Symbol"/>
      </w:rPr>
    </w:lvl>
  </w:abstractNum>
  <w:abstractNum w:abstractNumId="2" w15:restartNumberingAfterBreak="0">
    <w:nsid w:val="27885015"/>
    <w:multiLevelType w:val="multilevel"/>
    <w:tmpl w:val="CB062F66"/>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4EFBD213"/>
    <w:multiLevelType w:val="multilevel"/>
    <w:tmpl w:val="C3BEE542"/>
    <w:lvl w:ilvl="0">
      <w:start w:val="1"/>
      <w:numFmt w:val="decimal"/>
      <w:lvlText w:val="%1"/>
      <w:lvlJc w:val="left"/>
      <w:pPr>
        <w:ind w:left="360" w:hanging="360"/>
      </w:pPr>
      <w:rPr>
        <w:b/>
        <w:bCs/>
      </w:r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15:restartNumberingAfterBreak="0">
    <w:nsid w:val="699306FC"/>
    <w:multiLevelType w:val="hybridMultilevel"/>
    <w:tmpl w:val="5774765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F683363"/>
    <w:multiLevelType w:val="hybridMultilevel"/>
    <w:tmpl w:val="57D02A18"/>
    <w:lvl w:ilvl="0" w:tplc="B6B0F096">
      <w:numFmt w:val="bullet"/>
      <w:lvlText w:val=""/>
      <w:lvlJc w:val="left"/>
      <w:pPr>
        <w:ind w:left="720" w:hanging="360"/>
      </w:pPr>
      <w:rPr>
        <w:rFonts w:ascii="Calibri" w:eastAsia="Calibr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63567939">
    <w:abstractNumId w:val="3"/>
  </w:num>
  <w:num w:numId="2" w16cid:durableId="1132793778">
    <w:abstractNumId w:val="2"/>
  </w:num>
  <w:num w:numId="3" w16cid:durableId="112987603">
    <w:abstractNumId w:val="0"/>
  </w:num>
  <w:num w:numId="4" w16cid:durableId="1070694380">
    <w:abstractNumId w:val="1"/>
  </w:num>
  <w:num w:numId="5" w16cid:durableId="1439720840">
    <w:abstractNumId w:val="4"/>
  </w:num>
  <w:num w:numId="6" w16cid:durableId="268584599">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removePersonalInformation/>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C7"/>
    <w:rsid w:val="00003C47"/>
    <w:rsid w:val="00003E4D"/>
    <w:rsid w:val="00006DEB"/>
    <w:rsid w:val="00014FEB"/>
    <w:rsid w:val="00020A18"/>
    <w:rsid w:val="00026B68"/>
    <w:rsid w:val="00026BBC"/>
    <w:rsid w:val="0006413C"/>
    <w:rsid w:val="00065A19"/>
    <w:rsid w:val="000A0C49"/>
    <w:rsid w:val="000B12C5"/>
    <w:rsid w:val="000B7535"/>
    <w:rsid w:val="000C2273"/>
    <w:rsid w:val="000C6530"/>
    <w:rsid w:val="00114251"/>
    <w:rsid w:val="0014570F"/>
    <w:rsid w:val="00183D36"/>
    <w:rsid w:val="00196B38"/>
    <w:rsid w:val="001B0120"/>
    <w:rsid w:val="001B6F56"/>
    <w:rsid w:val="001D467C"/>
    <w:rsid w:val="001D4951"/>
    <w:rsid w:val="001D6DFB"/>
    <w:rsid w:val="001D7B03"/>
    <w:rsid w:val="001E460E"/>
    <w:rsid w:val="002021D1"/>
    <w:rsid w:val="00206543"/>
    <w:rsid w:val="002234DA"/>
    <w:rsid w:val="00226675"/>
    <w:rsid w:val="00241D7E"/>
    <w:rsid w:val="00294972"/>
    <w:rsid w:val="002A52CD"/>
    <w:rsid w:val="002E3B8A"/>
    <w:rsid w:val="002E5D04"/>
    <w:rsid w:val="002E7734"/>
    <w:rsid w:val="002E7D60"/>
    <w:rsid w:val="0032272A"/>
    <w:rsid w:val="003316A1"/>
    <w:rsid w:val="00336B11"/>
    <w:rsid w:val="00342F6C"/>
    <w:rsid w:val="00362AA8"/>
    <w:rsid w:val="00371382"/>
    <w:rsid w:val="00387F34"/>
    <w:rsid w:val="00401229"/>
    <w:rsid w:val="0047100C"/>
    <w:rsid w:val="004900EC"/>
    <w:rsid w:val="004B3814"/>
    <w:rsid w:val="004B669F"/>
    <w:rsid w:val="004D5C3D"/>
    <w:rsid w:val="004D5CAE"/>
    <w:rsid w:val="004E055E"/>
    <w:rsid w:val="00502B55"/>
    <w:rsid w:val="00505E6C"/>
    <w:rsid w:val="00511FCA"/>
    <w:rsid w:val="005351D4"/>
    <w:rsid w:val="005A607A"/>
    <w:rsid w:val="005E15D8"/>
    <w:rsid w:val="005F4C33"/>
    <w:rsid w:val="00606132"/>
    <w:rsid w:val="00607251"/>
    <w:rsid w:val="00612659"/>
    <w:rsid w:val="006350E1"/>
    <w:rsid w:val="006B666E"/>
    <w:rsid w:val="006B6971"/>
    <w:rsid w:val="006C0B44"/>
    <w:rsid w:val="00725D3E"/>
    <w:rsid w:val="007416F9"/>
    <w:rsid w:val="00745B5A"/>
    <w:rsid w:val="00767BF7"/>
    <w:rsid w:val="007929D3"/>
    <w:rsid w:val="007B0902"/>
    <w:rsid w:val="0081324D"/>
    <w:rsid w:val="008268C9"/>
    <w:rsid w:val="00833639"/>
    <w:rsid w:val="00834F94"/>
    <w:rsid w:val="00840682"/>
    <w:rsid w:val="008749AC"/>
    <w:rsid w:val="00877848"/>
    <w:rsid w:val="008D59C7"/>
    <w:rsid w:val="008E160B"/>
    <w:rsid w:val="008E7BDC"/>
    <w:rsid w:val="008F1CBA"/>
    <w:rsid w:val="00914F6E"/>
    <w:rsid w:val="0094719C"/>
    <w:rsid w:val="0095566B"/>
    <w:rsid w:val="0095588A"/>
    <w:rsid w:val="009612B1"/>
    <w:rsid w:val="009A3F3B"/>
    <w:rsid w:val="009A5427"/>
    <w:rsid w:val="009C62B8"/>
    <w:rsid w:val="00A025A1"/>
    <w:rsid w:val="00A22E28"/>
    <w:rsid w:val="00A3694C"/>
    <w:rsid w:val="00A443E2"/>
    <w:rsid w:val="00A6291D"/>
    <w:rsid w:val="00A80D0C"/>
    <w:rsid w:val="00A83C0C"/>
    <w:rsid w:val="00A84661"/>
    <w:rsid w:val="00AA3CA5"/>
    <w:rsid w:val="00AA5AE3"/>
    <w:rsid w:val="00AB4A9B"/>
    <w:rsid w:val="00AC15DC"/>
    <w:rsid w:val="00AC522F"/>
    <w:rsid w:val="00AD0A9A"/>
    <w:rsid w:val="00AD79E3"/>
    <w:rsid w:val="00AE2E5C"/>
    <w:rsid w:val="00AF0943"/>
    <w:rsid w:val="00B252DA"/>
    <w:rsid w:val="00B35B7B"/>
    <w:rsid w:val="00B4189D"/>
    <w:rsid w:val="00B41D3C"/>
    <w:rsid w:val="00B535B4"/>
    <w:rsid w:val="00B7671F"/>
    <w:rsid w:val="00B77A5D"/>
    <w:rsid w:val="00B80FDC"/>
    <w:rsid w:val="00BD2B5A"/>
    <w:rsid w:val="00BE260A"/>
    <w:rsid w:val="00BE5634"/>
    <w:rsid w:val="00C05038"/>
    <w:rsid w:val="00C233EB"/>
    <w:rsid w:val="00C379BC"/>
    <w:rsid w:val="00C40251"/>
    <w:rsid w:val="00C65F35"/>
    <w:rsid w:val="00CC7016"/>
    <w:rsid w:val="00CC7DD2"/>
    <w:rsid w:val="00CD5BE9"/>
    <w:rsid w:val="00CD5CCA"/>
    <w:rsid w:val="00CD678C"/>
    <w:rsid w:val="00CF3D33"/>
    <w:rsid w:val="00D210F1"/>
    <w:rsid w:val="00D22432"/>
    <w:rsid w:val="00D72827"/>
    <w:rsid w:val="00D729DC"/>
    <w:rsid w:val="00D90187"/>
    <w:rsid w:val="00D92A41"/>
    <w:rsid w:val="00D941E6"/>
    <w:rsid w:val="00DB5BE1"/>
    <w:rsid w:val="00E0408E"/>
    <w:rsid w:val="00E15D55"/>
    <w:rsid w:val="00E21341"/>
    <w:rsid w:val="00E60AE3"/>
    <w:rsid w:val="00EA09E5"/>
    <w:rsid w:val="00EA4477"/>
    <w:rsid w:val="00EB6DAA"/>
    <w:rsid w:val="00ED2114"/>
    <w:rsid w:val="00ED6D16"/>
    <w:rsid w:val="00EE665F"/>
    <w:rsid w:val="00F004FB"/>
    <w:rsid w:val="00F00E41"/>
    <w:rsid w:val="00F0641F"/>
    <w:rsid w:val="00F20AD1"/>
    <w:rsid w:val="00F356A6"/>
    <w:rsid w:val="00F51F9B"/>
    <w:rsid w:val="00F61B3F"/>
    <w:rsid w:val="00F673A1"/>
    <w:rsid w:val="00FB7479"/>
    <w:rsid w:val="00FF6008"/>
    <w:rsid w:val="0158617A"/>
    <w:rsid w:val="0E656D50"/>
    <w:rsid w:val="1DB4C3B9"/>
    <w:rsid w:val="3176909A"/>
    <w:rsid w:val="410B454B"/>
    <w:rsid w:val="5679B040"/>
    <w:rsid w:val="58D45F88"/>
    <w:rsid w:val="63CC0786"/>
    <w:rsid w:val="7A11D9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9F53F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B03"/>
    <w:pPr>
      <w:widowControl w:val="0"/>
      <w:spacing w:after="0" w:line="240" w:lineRule="auto"/>
      <w:jc w:val="both"/>
    </w:pPr>
    <w:rPr>
      <w:rFonts w:ascii="Calibri" w:eastAsia="Calibri" w:hAnsi="Calibri" w:cs="Calibri"/>
      <w:kern w:val="0"/>
      <w:lang w:val="en"/>
      <w14:ligatures w14:val="none"/>
    </w:rPr>
  </w:style>
  <w:style w:type="paragraph" w:styleId="Heading1">
    <w:name w:val="heading 1"/>
    <w:basedOn w:val="Normal"/>
    <w:next w:val="Normal"/>
    <w:link w:val="Heading1Char"/>
    <w:uiPriority w:val="9"/>
    <w:qFormat/>
    <w:rsid w:val="008D5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9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9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9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9C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9C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9C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9C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9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9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9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9C7"/>
    <w:rPr>
      <w:rFonts w:eastAsiaTheme="majorEastAsia" w:cstheme="majorBidi"/>
      <w:color w:val="272727" w:themeColor="text1" w:themeTint="D8"/>
    </w:rPr>
  </w:style>
  <w:style w:type="paragraph" w:styleId="Title">
    <w:name w:val="Title"/>
    <w:basedOn w:val="Normal"/>
    <w:next w:val="Normal"/>
    <w:link w:val="TitleChar"/>
    <w:uiPriority w:val="10"/>
    <w:qFormat/>
    <w:rsid w:val="008D59C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9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9C7"/>
    <w:pPr>
      <w:spacing w:before="160"/>
      <w:jc w:val="center"/>
    </w:pPr>
    <w:rPr>
      <w:i/>
      <w:iCs/>
      <w:color w:val="404040" w:themeColor="text1" w:themeTint="BF"/>
    </w:rPr>
  </w:style>
  <w:style w:type="character" w:customStyle="1" w:styleId="QuoteChar">
    <w:name w:val="Quote Char"/>
    <w:basedOn w:val="DefaultParagraphFont"/>
    <w:link w:val="Quote"/>
    <w:uiPriority w:val="29"/>
    <w:rsid w:val="008D59C7"/>
    <w:rPr>
      <w:i/>
      <w:iCs/>
      <w:color w:val="404040" w:themeColor="text1" w:themeTint="BF"/>
    </w:rPr>
  </w:style>
  <w:style w:type="paragraph" w:styleId="ListParagraph">
    <w:name w:val="List Paragraph"/>
    <w:basedOn w:val="Normal"/>
    <w:uiPriority w:val="34"/>
    <w:qFormat/>
    <w:rsid w:val="008D59C7"/>
    <w:pPr>
      <w:ind w:left="720"/>
      <w:contextualSpacing/>
    </w:pPr>
  </w:style>
  <w:style w:type="character" w:styleId="IntenseEmphasis">
    <w:name w:val="Intense Emphasis"/>
    <w:basedOn w:val="DefaultParagraphFont"/>
    <w:uiPriority w:val="21"/>
    <w:qFormat/>
    <w:rsid w:val="008D59C7"/>
    <w:rPr>
      <w:i/>
      <w:iCs/>
      <w:color w:val="0F4761" w:themeColor="accent1" w:themeShade="BF"/>
    </w:rPr>
  </w:style>
  <w:style w:type="paragraph" w:styleId="IntenseQuote">
    <w:name w:val="Intense Quote"/>
    <w:basedOn w:val="Normal"/>
    <w:next w:val="Normal"/>
    <w:link w:val="IntenseQuoteChar"/>
    <w:uiPriority w:val="30"/>
    <w:qFormat/>
    <w:rsid w:val="008D5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D59C7"/>
    <w:rPr>
      <w:i/>
      <w:iCs/>
      <w:color w:val="0F4761" w:themeColor="accent1" w:themeShade="BF"/>
    </w:rPr>
  </w:style>
  <w:style w:type="character" w:styleId="IntenseReference">
    <w:name w:val="Intense Reference"/>
    <w:basedOn w:val="DefaultParagraphFont"/>
    <w:uiPriority w:val="32"/>
    <w:qFormat/>
    <w:rsid w:val="008D59C7"/>
    <w:rPr>
      <w:b/>
      <w:bCs/>
      <w:smallCaps/>
      <w:color w:val="0F4761" w:themeColor="accent1" w:themeShade="BF"/>
      <w:spacing w:val="5"/>
    </w:rPr>
  </w:style>
  <w:style w:type="table" w:customStyle="1" w:styleId="a">
    <w:name w:val="a"/>
    <w:basedOn w:val="TableNormal"/>
    <w:rsid w:val="001D7B03"/>
    <w:pPr>
      <w:widowControl w:val="0"/>
      <w:spacing w:after="0" w:line="240" w:lineRule="auto"/>
      <w:jc w:val="both"/>
    </w:pPr>
    <w:rPr>
      <w:rFonts w:ascii="Calibri" w:eastAsia="Calibri" w:hAnsi="Calibri" w:cs="Calibri"/>
      <w:kern w:val="0"/>
      <w:lang w:val="en"/>
      <w14:ligatures w14:val="none"/>
    </w:rPr>
    <w:tblPr>
      <w:tblStyleRowBandSize w:val="1"/>
      <w:tblStyleColBandSize w:val="1"/>
    </w:tblPr>
  </w:style>
  <w:style w:type="table" w:customStyle="1" w:styleId="a0">
    <w:name w:val="a0"/>
    <w:basedOn w:val="TableNormal"/>
    <w:rsid w:val="001D7B03"/>
    <w:pPr>
      <w:widowControl w:val="0"/>
      <w:spacing w:after="0" w:line="240" w:lineRule="auto"/>
      <w:jc w:val="both"/>
    </w:pPr>
    <w:rPr>
      <w:rFonts w:ascii="Calibri" w:eastAsia="Calibri" w:hAnsi="Calibri" w:cs="Calibri"/>
      <w:kern w:val="0"/>
      <w:lang w:val="en"/>
      <w14:ligatures w14:val="none"/>
    </w:rPr>
    <w:tblPr>
      <w:tblStyleRowBandSize w:val="1"/>
      <w:tblStyleColBandSize w:val="1"/>
    </w:tblPr>
  </w:style>
  <w:style w:type="table" w:customStyle="1" w:styleId="a1">
    <w:name w:val="a1"/>
    <w:basedOn w:val="TableNormal"/>
    <w:rsid w:val="001D7B03"/>
    <w:pPr>
      <w:widowControl w:val="0"/>
      <w:spacing w:after="0" w:line="240" w:lineRule="auto"/>
      <w:jc w:val="both"/>
    </w:pPr>
    <w:rPr>
      <w:rFonts w:ascii="Calibri" w:eastAsia="Calibri" w:hAnsi="Calibri" w:cs="Calibri"/>
      <w:kern w:val="0"/>
      <w:lang w:val="en"/>
      <w14:ligatures w14:val="none"/>
    </w:rPr>
    <w:tblPr>
      <w:tblStyleRowBandSize w:val="1"/>
      <w:tblStyleColBandSize w:val="1"/>
    </w:tblPr>
  </w:style>
  <w:style w:type="paragraph" w:styleId="CommentText">
    <w:name w:val="annotation text"/>
    <w:basedOn w:val="Normal"/>
    <w:link w:val="CommentTextChar"/>
    <w:uiPriority w:val="99"/>
    <w:unhideWhenUsed/>
    <w:rsid w:val="001D7B03"/>
    <w:rPr>
      <w:sz w:val="20"/>
      <w:szCs w:val="20"/>
    </w:rPr>
  </w:style>
  <w:style w:type="character" w:customStyle="1" w:styleId="CommentTextChar">
    <w:name w:val="Comment Text Char"/>
    <w:basedOn w:val="DefaultParagraphFont"/>
    <w:link w:val="CommentText"/>
    <w:uiPriority w:val="99"/>
    <w:rsid w:val="001D7B03"/>
    <w:rPr>
      <w:rFonts w:ascii="Calibri" w:eastAsia="Calibri" w:hAnsi="Calibri" w:cs="Calibri"/>
      <w:kern w:val="0"/>
      <w:sz w:val="20"/>
      <w:szCs w:val="20"/>
      <w:lang w:val="en"/>
      <w14:ligatures w14:val="none"/>
    </w:rPr>
  </w:style>
  <w:style w:type="character" w:styleId="CommentReference">
    <w:name w:val="annotation reference"/>
    <w:basedOn w:val="DefaultParagraphFont"/>
    <w:uiPriority w:val="99"/>
    <w:semiHidden/>
    <w:unhideWhenUsed/>
    <w:rsid w:val="001D7B03"/>
    <w:rPr>
      <w:sz w:val="16"/>
      <w:szCs w:val="16"/>
    </w:rPr>
  </w:style>
  <w:style w:type="character" w:styleId="LineNumber">
    <w:name w:val="line number"/>
    <w:basedOn w:val="DefaultParagraphFont"/>
    <w:uiPriority w:val="99"/>
    <w:semiHidden/>
    <w:unhideWhenUsed/>
    <w:rsid w:val="001D7B03"/>
  </w:style>
  <w:style w:type="paragraph" w:styleId="Header">
    <w:name w:val="header"/>
    <w:basedOn w:val="Normal"/>
    <w:link w:val="HeaderChar"/>
    <w:uiPriority w:val="99"/>
    <w:unhideWhenUsed/>
    <w:rsid w:val="001D7B03"/>
    <w:pPr>
      <w:tabs>
        <w:tab w:val="center" w:pos="4680"/>
        <w:tab w:val="right" w:pos="9360"/>
      </w:tabs>
    </w:pPr>
  </w:style>
  <w:style w:type="character" w:customStyle="1" w:styleId="HeaderChar">
    <w:name w:val="Header Char"/>
    <w:basedOn w:val="DefaultParagraphFont"/>
    <w:link w:val="Header"/>
    <w:uiPriority w:val="99"/>
    <w:rsid w:val="001D7B03"/>
    <w:rPr>
      <w:rFonts w:ascii="Calibri" w:eastAsia="Calibri" w:hAnsi="Calibri" w:cs="Calibri"/>
      <w:kern w:val="0"/>
      <w:lang w:val="en"/>
      <w14:ligatures w14:val="none"/>
    </w:rPr>
  </w:style>
  <w:style w:type="paragraph" w:styleId="Footer">
    <w:name w:val="footer"/>
    <w:basedOn w:val="Normal"/>
    <w:link w:val="FooterChar"/>
    <w:uiPriority w:val="99"/>
    <w:unhideWhenUsed/>
    <w:rsid w:val="001D7B03"/>
    <w:pPr>
      <w:tabs>
        <w:tab w:val="center" w:pos="4680"/>
        <w:tab w:val="right" w:pos="9360"/>
      </w:tabs>
    </w:pPr>
  </w:style>
  <w:style w:type="character" w:customStyle="1" w:styleId="FooterChar">
    <w:name w:val="Footer Char"/>
    <w:basedOn w:val="DefaultParagraphFont"/>
    <w:link w:val="Footer"/>
    <w:uiPriority w:val="99"/>
    <w:rsid w:val="001D7B03"/>
    <w:rPr>
      <w:rFonts w:ascii="Calibri" w:eastAsia="Calibri" w:hAnsi="Calibri" w:cs="Calibri"/>
      <w:kern w:val="0"/>
      <w:lang w:val="en"/>
      <w14:ligatures w14:val="none"/>
    </w:rPr>
  </w:style>
  <w:style w:type="table" w:styleId="TableGrid">
    <w:name w:val="Table Grid"/>
    <w:basedOn w:val="TableNormal"/>
    <w:uiPriority w:val="59"/>
    <w:rsid w:val="001D7B03"/>
    <w:pPr>
      <w:widowControl w:val="0"/>
      <w:spacing w:after="0" w:line="240" w:lineRule="auto"/>
      <w:jc w:val="both"/>
    </w:pPr>
    <w:rPr>
      <w:rFonts w:ascii="Calibri" w:eastAsia="Calibri" w:hAnsi="Calibri" w:cs="Calibri"/>
      <w:kern w:val="0"/>
      <w:lang w:val="en"/>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1D7B03"/>
    <w:rPr>
      <w:color w:val="666666"/>
    </w:rPr>
  </w:style>
  <w:style w:type="paragraph" w:styleId="CommentSubject">
    <w:name w:val="annotation subject"/>
    <w:basedOn w:val="CommentText"/>
    <w:next w:val="CommentText"/>
    <w:link w:val="CommentSubjectChar"/>
    <w:uiPriority w:val="99"/>
    <w:semiHidden/>
    <w:unhideWhenUsed/>
    <w:rsid w:val="001D7B03"/>
    <w:rPr>
      <w:b/>
      <w:bCs/>
    </w:rPr>
  </w:style>
  <w:style w:type="character" w:customStyle="1" w:styleId="CommentSubjectChar">
    <w:name w:val="Comment Subject Char"/>
    <w:basedOn w:val="CommentTextChar"/>
    <w:link w:val="CommentSubject"/>
    <w:uiPriority w:val="99"/>
    <w:semiHidden/>
    <w:rsid w:val="001D7B03"/>
    <w:rPr>
      <w:rFonts w:ascii="Calibri" w:eastAsia="Calibri" w:hAnsi="Calibri" w:cs="Calibri"/>
      <w:b/>
      <w:bCs/>
      <w:kern w:val="0"/>
      <w:sz w:val="20"/>
      <w:szCs w:val="20"/>
      <w:lang w:val="en"/>
      <w14:ligatures w14:val="none"/>
    </w:rPr>
  </w:style>
  <w:style w:type="character" w:styleId="Hyperlink">
    <w:name w:val="Hyperlink"/>
    <w:basedOn w:val="DefaultParagraphFont"/>
    <w:uiPriority w:val="99"/>
    <w:unhideWhenUsed/>
    <w:rsid w:val="001D7B03"/>
    <w:rPr>
      <w:color w:val="467886" w:themeColor="hyperlink"/>
      <w:u w:val="single"/>
    </w:rPr>
  </w:style>
  <w:style w:type="character" w:styleId="UnresolvedMention">
    <w:name w:val="Unresolved Mention"/>
    <w:basedOn w:val="DefaultParagraphFont"/>
    <w:uiPriority w:val="99"/>
    <w:semiHidden/>
    <w:unhideWhenUsed/>
    <w:rsid w:val="001D7B03"/>
    <w:rPr>
      <w:color w:val="605E5C"/>
      <w:shd w:val="clear" w:color="auto" w:fill="E1DFDD"/>
    </w:rPr>
  </w:style>
  <w:style w:type="paragraph" w:customStyle="1" w:styleId="Bibliography1">
    <w:name w:val="Bibliography1"/>
    <w:basedOn w:val="Normal"/>
    <w:rsid w:val="001D7B03"/>
    <w:pPr>
      <w:widowControl/>
      <w:spacing w:before="100" w:beforeAutospacing="1" w:after="100" w:afterAutospacing="1"/>
      <w:jc w:val="left"/>
    </w:pPr>
    <w:rPr>
      <w:rFonts w:ascii="Times New Roman" w:eastAsiaTheme="minorEastAsia" w:hAnsi="Times New Roman" w:cs="Times New Roman"/>
      <w:lang w:val="en-US"/>
    </w:rPr>
  </w:style>
  <w:style w:type="paragraph" w:styleId="Revision">
    <w:name w:val="Revision"/>
    <w:hidden/>
    <w:uiPriority w:val="99"/>
    <w:semiHidden/>
    <w:rsid w:val="001D7B03"/>
    <w:pPr>
      <w:spacing w:after="0" w:line="240" w:lineRule="auto"/>
    </w:pPr>
    <w:rPr>
      <w:rFonts w:ascii="Calibri" w:eastAsia="Calibri" w:hAnsi="Calibri" w:cs="Calibri"/>
      <w:kern w:val="0"/>
      <w:lang w:val="en"/>
      <w14:ligatures w14:val="none"/>
    </w:rPr>
  </w:style>
  <w:style w:type="paragraph" w:customStyle="1" w:styleId="Bibliography2">
    <w:name w:val="Bibliography2"/>
    <w:basedOn w:val="Normal"/>
    <w:rsid w:val="001D7B03"/>
    <w:pPr>
      <w:widowControl/>
      <w:spacing w:before="100" w:beforeAutospacing="1" w:after="100" w:afterAutospacing="1"/>
      <w:jc w:val="left"/>
    </w:pPr>
    <w:rPr>
      <w:rFonts w:ascii="Times New Roman" w:eastAsiaTheme="minorEastAsia" w:hAnsi="Times New Roman" w:cs="Times New Roman"/>
      <w:lang w:val="en-US"/>
    </w:rPr>
  </w:style>
  <w:style w:type="paragraph" w:customStyle="1" w:styleId="Bibliography3">
    <w:name w:val="Bibliography3"/>
    <w:basedOn w:val="Normal"/>
    <w:rsid w:val="001D7B03"/>
    <w:pPr>
      <w:widowControl/>
      <w:spacing w:before="100" w:beforeAutospacing="1" w:after="100" w:afterAutospacing="1"/>
      <w:jc w:val="left"/>
    </w:pPr>
    <w:rPr>
      <w:rFonts w:ascii="Times New Roman" w:eastAsiaTheme="minorEastAsia" w:hAnsi="Times New Roman" w:cs="Times New Roman"/>
      <w:lang w:val="en-US"/>
    </w:rPr>
  </w:style>
  <w:style w:type="character" w:styleId="FollowedHyperlink">
    <w:name w:val="FollowedHyperlink"/>
    <w:basedOn w:val="DefaultParagraphFont"/>
    <w:uiPriority w:val="99"/>
    <w:semiHidden/>
    <w:unhideWhenUsed/>
    <w:rsid w:val="001D7B03"/>
    <w:rPr>
      <w:color w:val="96607D" w:themeColor="followedHyperlink"/>
      <w:u w:val="single"/>
    </w:rPr>
  </w:style>
  <w:style w:type="paragraph" w:customStyle="1" w:styleId="Bibliography4">
    <w:name w:val="Bibliography4"/>
    <w:basedOn w:val="Normal"/>
    <w:rsid w:val="001D7B03"/>
    <w:pPr>
      <w:widowControl/>
      <w:spacing w:before="100" w:beforeAutospacing="1" w:after="100" w:afterAutospacing="1"/>
      <w:jc w:val="left"/>
    </w:pPr>
    <w:rPr>
      <w:rFonts w:ascii="Times New Roman" w:eastAsiaTheme="minorEastAsia" w:hAnsi="Times New Roman" w:cs="Times New Roman"/>
      <w:lang w:val="en-US"/>
    </w:rPr>
  </w:style>
  <w:style w:type="paragraph" w:customStyle="1" w:styleId="Bibliography5">
    <w:name w:val="Bibliography5"/>
    <w:basedOn w:val="Normal"/>
    <w:rsid w:val="001D7B03"/>
    <w:pPr>
      <w:widowControl/>
      <w:spacing w:before="100" w:beforeAutospacing="1" w:after="100" w:afterAutospacing="1"/>
      <w:jc w:val="left"/>
    </w:pPr>
    <w:rPr>
      <w:rFonts w:ascii="Times New Roman" w:eastAsiaTheme="minorEastAsia"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tum.thompson@rice.edu" TargetMode="External"/><Relationship Id="rId13" Type="http://schemas.openxmlformats.org/officeDocument/2006/relationships/hyperlink" Target="https://BioRender.com/wdu68ck"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abby.fabiano@rice.edu" TargetMode="External"/><Relationship Id="rId12" Type="http://schemas.openxmlformats.org/officeDocument/2006/relationships/hyperlink" Target="https://BioRender.com/jyrrv0t"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BioRender.com/9q7hla7"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mike.king@rice.edu"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icole.sarna@rice.edu" TargetMode="External"/><Relationship Id="rId14" Type="http://schemas.openxmlformats.org/officeDocument/2006/relationships/hyperlink" Target="https://BioRender.com/0sz32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584DED1E96E24F87B76C7641B62D0D3A"/>
        <w:category>
          <w:name w:val="General"/>
          <w:gallery w:val="placeholder"/>
        </w:category>
        <w:types>
          <w:type w:val="bbPlcHdr"/>
        </w:types>
        <w:behaviors>
          <w:behavior w:val="content"/>
        </w:behaviors>
        <w:guid w:val="{885F8374-5968-4E27-B2D8-E9573446E43E}"/>
      </w:docPartPr>
      <w:docPartBody>
        <w:p w:rsidR="00914F6E" w:rsidRDefault="00000000" w:rsidP="00B41D3C">
          <w:pPr>
            <w:pStyle w:val="584DED1E96E24F87B76C7641B62D0D3A"/>
          </w:pPr>
          <w:r w:rsidRPr="00F0641F">
            <w:rPr>
              <w:rStyle w:val="PlaceholderText"/>
            </w:rPr>
            <w:t>Click or tap here to enter text.</w:t>
          </w:r>
        </w:p>
      </w:docPartBody>
    </w:docPart>
    <w:docPart>
      <w:docPartPr>
        <w:name w:val="21948D0472684274A0D783897D2C8C59"/>
        <w:category>
          <w:name w:val="General"/>
          <w:gallery w:val="placeholder"/>
        </w:category>
        <w:types>
          <w:type w:val="bbPlcHdr"/>
        </w:types>
        <w:behaviors>
          <w:behavior w:val="content"/>
        </w:behaviors>
        <w:guid w:val="{409365FB-8E95-4180-A778-121488ADD537}"/>
      </w:docPartPr>
      <w:docPartBody>
        <w:p w:rsidR="00914F6E" w:rsidRDefault="00000000" w:rsidP="00B41D3C">
          <w:pPr>
            <w:pStyle w:val="21948D0472684274A0D783897D2C8C59"/>
          </w:pPr>
          <w:r w:rsidRPr="00BE260A">
            <w:rPr>
              <w:rStyle w:val="PlaceholderText"/>
            </w:rPr>
            <w:t>Click or tap here to enter text.</w:t>
          </w:r>
        </w:p>
      </w:docPartBody>
    </w:docPart>
    <w:docPart>
      <w:docPartPr>
        <w:name w:val="9D52124102E64EC5923EE8D47AA45C42"/>
        <w:category>
          <w:name w:val="General"/>
          <w:gallery w:val="placeholder"/>
        </w:category>
        <w:types>
          <w:type w:val="bbPlcHdr"/>
        </w:types>
        <w:behaviors>
          <w:behavior w:val="content"/>
        </w:behaviors>
        <w:guid w:val="{AF9B808D-0505-4600-A63C-43793A2E37D3}"/>
      </w:docPartPr>
      <w:docPartBody>
        <w:p w:rsidR="00914F6E" w:rsidRDefault="00000000" w:rsidP="00B41D3C">
          <w:pPr>
            <w:pStyle w:val="9D52124102E64EC5923EE8D47AA45C42"/>
          </w:pPr>
          <w:r w:rsidRPr="00F0641F">
            <w:rPr>
              <w:rStyle w:val="PlaceholderText"/>
            </w:rPr>
            <w:t>Click or tap here to enter text.</w:t>
          </w:r>
        </w:p>
      </w:docPartBody>
    </w:docPart>
    <w:docPart>
      <w:docPartPr>
        <w:name w:val="722EDCA9E07A4ECB80C31F2A67CBE245"/>
        <w:category>
          <w:name w:val="General"/>
          <w:gallery w:val="placeholder"/>
        </w:category>
        <w:types>
          <w:type w:val="bbPlcHdr"/>
        </w:types>
        <w:behaviors>
          <w:behavior w:val="content"/>
        </w:behaviors>
        <w:guid w:val="{A5016DD2-D06D-44FC-8418-7CA6A8C5D682}"/>
      </w:docPartPr>
      <w:docPartBody>
        <w:p w:rsidR="00914F6E" w:rsidRDefault="00000000" w:rsidP="00B41D3C">
          <w:pPr>
            <w:pStyle w:val="722EDCA9E07A4ECB80C31F2A67CBE245"/>
          </w:pPr>
          <w:r w:rsidRPr="5679B040">
            <w:rPr>
              <w:rStyle w:val="PlaceholderText"/>
            </w:rPr>
            <w:t>Click or tap here to enter text.</w:t>
          </w:r>
        </w:p>
      </w:docPartBody>
    </w:docPart>
    <w:docPart>
      <w:docPartPr>
        <w:name w:val="56F49B177E2443A28A780A522EA89A6E"/>
        <w:category>
          <w:name w:val="General"/>
          <w:gallery w:val="placeholder"/>
        </w:category>
        <w:types>
          <w:type w:val="bbPlcHdr"/>
        </w:types>
        <w:behaviors>
          <w:behavior w:val="content"/>
        </w:behaviors>
        <w:guid w:val="{E72EBBB4-1D7D-4BFF-ABCA-FE0A52539121}"/>
      </w:docPartPr>
      <w:docPartBody>
        <w:p w:rsidR="00914F6E" w:rsidRDefault="00000000" w:rsidP="00B41D3C">
          <w:pPr>
            <w:pStyle w:val="56F49B177E2443A28A780A522EA89A6E"/>
          </w:pPr>
          <w:r w:rsidRPr="00F0641F">
            <w:rPr>
              <w:rStyle w:val="PlaceholderText"/>
            </w:rPr>
            <w:t>Click or tap here to enter text.</w:t>
          </w:r>
        </w:p>
      </w:docPartBody>
    </w:docPart>
    <w:docPart>
      <w:docPartPr>
        <w:name w:val="D44B411CE9924C85A450B3F8C25A6CC1"/>
        <w:category>
          <w:name w:val="General"/>
          <w:gallery w:val="placeholder"/>
        </w:category>
        <w:types>
          <w:type w:val="bbPlcHdr"/>
        </w:types>
        <w:behaviors>
          <w:behavior w:val="content"/>
        </w:behaviors>
        <w:guid w:val="{12EA6508-7F48-4F1D-9198-AC3582482D36}"/>
      </w:docPartPr>
      <w:docPartBody>
        <w:p w:rsidR="00914F6E" w:rsidRDefault="00000000" w:rsidP="00B41D3C">
          <w:pPr>
            <w:pStyle w:val="D44B411CE9924C85A450B3F8C25A6CC1"/>
          </w:pPr>
          <w:r w:rsidRPr="00F0641F">
            <w:rPr>
              <w:rStyle w:val="PlaceholderText"/>
            </w:rPr>
            <w:t>Click or tap here to enter text.</w:t>
          </w:r>
        </w:p>
      </w:docPartBody>
    </w:docPart>
    <w:docPart>
      <w:docPartPr>
        <w:name w:val="94E1698C060B49C6ACDA1A3B4302AFBC"/>
        <w:category>
          <w:name w:val="General"/>
          <w:gallery w:val="placeholder"/>
        </w:category>
        <w:types>
          <w:type w:val="bbPlcHdr"/>
        </w:types>
        <w:behaviors>
          <w:behavior w:val="content"/>
        </w:behaviors>
        <w:guid w:val="{80B4D14E-C0C3-4783-9C40-AB1B5C3F256D}"/>
      </w:docPartPr>
      <w:docPartBody>
        <w:p w:rsidR="002F388D" w:rsidRDefault="00CC5549" w:rsidP="00CC5549">
          <w:pPr>
            <w:pStyle w:val="94E1698C060B49C6ACDA1A3B4302AFBC"/>
          </w:pPr>
          <w:r w:rsidRPr="00F0641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D3C"/>
    <w:rsid w:val="00003C47"/>
    <w:rsid w:val="000B51F4"/>
    <w:rsid w:val="0014570F"/>
    <w:rsid w:val="001849B4"/>
    <w:rsid w:val="00226675"/>
    <w:rsid w:val="002F388D"/>
    <w:rsid w:val="006548C7"/>
    <w:rsid w:val="006F3682"/>
    <w:rsid w:val="00830066"/>
    <w:rsid w:val="00914F6E"/>
    <w:rsid w:val="00A97DF9"/>
    <w:rsid w:val="00AF0943"/>
    <w:rsid w:val="00B41D3C"/>
    <w:rsid w:val="00CC5549"/>
    <w:rsid w:val="00CD678C"/>
    <w:rsid w:val="00CE6986"/>
    <w:rsid w:val="00DB5BE1"/>
    <w:rsid w:val="00E0408E"/>
    <w:rsid w:val="00E93B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IN" w:eastAsia="en-I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C5549"/>
    <w:rPr>
      <w:color w:val="666666"/>
    </w:rPr>
  </w:style>
  <w:style w:type="paragraph" w:customStyle="1" w:styleId="584DED1E96E24F87B76C7641B62D0D3A">
    <w:name w:val="584DED1E96E24F87B76C7641B62D0D3A"/>
    <w:rsid w:val="00B41D3C"/>
  </w:style>
  <w:style w:type="paragraph" w:customStyle="1" w:styleId="21948D0472684274A0D783897D2C8C59">
    <w:name w:val="21948D0472684274A0D783897D2C8C59"/>
    <w:rsid w:val="00B41D3C"/>
  </w:style>
  <w:style w:type="paragraph" w:customStyle="1" w:styleId="9D52124102E64EC5923EE8D47AA45C42">
    <w:name w:val="9D52124102E64EC5923EE8D47AA45C42"/>
    <w:rsid w:val="00B41D3C"/>
  </w:style>
  <w:style w:type="paragraph" w:customStyle="1" w:styleId="722EDCA9E07A4ECB80C31F2A67CBE245">
    <w:name w:val="722EDCA9E07A4ECB80C31F2A67CBE245"/>
    <w:rsid w:val="00B41D3C"/>
  </w:style>
  <w:style w:type="paragraph" w:customStyle="1" w:styleId="56F49B177E2443A28A780A522EA89A6E">
    <w:name w:val="56F49B177E2443A28A780A522EA89A6E"/>
    <w:rsid w:val="00B41D3C"/>
  </w:style>
  <w:style w:type="paragraph" w:customStyle="1" w:styleId="D44B411CE9924C85A450B3F8C25A6CC1">
    <w:name w:val="D44B411CE9924C85A450B3F8C25A6CC1"/>
    <w:rsid w:val="00B41D3C"/>
  </w:style>
  <w:style w:type="paragraph" w:customStyle="1" w:styleId="94E1698C060B49C6ACDA1A3B4302AFBC">
    <w:name w:val="94E1698C060B49C6ACDA1A3B4302AFBC"/>
    <w:rsid w:val="00CC55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11052</Words>
  <Characters>63000</Characters>
  <Application>Microsoft Office Word</Application>
  <DocSecurity>0</DocSecurity>
  <Lines>525</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2026-08-30T18:51:00Z</dcterms:created>
  <dcterms:modified xsi:type="dcterms:W3CDTF">2026-08-31T22:59:00Z</dcterms:modified>
</cp:coreProperties>
</file>