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69481" w14:textId="263C5E5B" w:rsidR="00F87A1A" w:rsidRPr="00FA366D" w:rsidRDefault="002969B5" w:rsidP="001A7EF0">
      <w:pPr>
        <w:pStyle w:val="Heading1"/>
        <w:spacing w:before="0" w:after="0" w:line="0" w:lineRule="atLeast"/>
        <w:rPr>
          <w:color w:val="000000" w:themeColor="text1"/>
          <w:sz w:val="24"/>
          <w:szCs w:val="24"/>
        </w:rPr>
      </w:pPr>
      <w:r w:rsidRPr="00FA366D">
        <w:rPr>
          <w:color w:val="000000" w:themeColor="text1"/>
          <w:sz w:val="24"/>
          <w:szCs w:val="24"/>
        </w:rPr>
        <w:t>TITLE:</w:t>
      </w:r>
    </w:p>
    <w:p w14:paraId="54005404" w14:textId="4C06E6A0" w:rsidR="001D6AE1" w:rsidRPr="00FA366D" w:rsidRDefault="002969B5" w:rsidP="001A7EF0">
      <w:pPr>
        <w:spacing w:line="0" w:lineRule="atLeast"/>
        <w:rPr>
          <w:color w:val="000000" w:themeColor="text1"/>
        </w:rPr>
      </w:pPr>
      <w:r w:rsidRPr="00FA366D">
        <w:rPr>
          <w:color w:val="000000" w:themeColor="text1"/>
        </w:rPr>
        <w:t>Near Real-Time Quantitative Ultrasound Imaging Using an Ultra-Portable Handheld Ultrasound System</w:t>
      </w:r>
    </w:p>
    <w:p w14:paraId="06C0C87E" w14:textId="2BA3F5F2" w:rsidR="006E4797" w:rsidRPr="00FA366D" w:rsidRDefault="006E4797" w:rsidP="001A7EF0">
      <w:pPr>
        <w:pBdr>
          <w:top w:val="nil"/>
          <w:left w:val="nil"/>
          <w:bottom w:val="nil"/>
          <w:right w:val="nil"/>
          <w:between w:val="nil"/>
        </w:pBdr>
        <w:spacing w:line="0" w:lineRule="atLeast"/>
        <w:rPr>
          <w:b/>
          <w:color w:val="000000" w:themeColor="text1"/>
        </w:rPr>
      </w:pPr>
    </w:p>
    <w:p w14:paraId="00535F2C" w14:textId="5CE98305" w:rsidR="006E4797" w:rsidRPr="00FA366D" w:rsidRDefault="002969B5" w:rsidP="001A7EF0">
      <w:pPr>
        <w:spacing w:line="0" w:lineRule="atLeast"/>
        <w:rPr>
          <w:b/>
          <w:color w:val="000000" w:themeColor="text1"/>
        </w:rPr>
      </w:pPr>
      <w:r w:rsidRPr="00FA366D">
        <w:rPr>
          <w:b/>
          <w:color w:val="000000" w:themeColor="text1"/>
        </w:rPr>
        <w:t>AUTHORS AND AFFILIATIONS</w:t>
      </w:r>
      <w:r w:rsidR="00F87A1A" w:rsidRPr="00FA366D">
        <w:rPr>
          <w:b/>
          <w:color w:val="000000" w:themeColor="text1"/>
        </w:rPr>
        <w:t>:</w:t>
      </w:r>
    </w:p>
    <w:p w14:paraId="1760AA3C" w14:textId="7A8ED428" w:rsidR="00807BE9" w:rsidRPr="00FA366D" w:rsidRDefault="002969B5" w:rsidP="001A7EF0">
      <w:pPr>
        <w:spacing w:line="0" w:lineRule="atLeast"/>
        <w:rPr>
          <w:bCs/>
          <w:color w:val="000000" w:themeColor="text1"/>
        </w:rPr>
      </w:pPr>
      <w:r w:rsidRPr="00FA366D">
        <w:rPr>
          <w:bCs/>
          <w:color w:val="000000" w:themeColor="text1"/>
        </w:rPr>
        <w:t>Nitin Burman</w:t>
      </w:r>
      <w:r w:rsidRPr="00FA366D">
        <w:rPr>
          <w:bCs/>
          <w:color w:val="000000" w:themeColor="text1"/>
          <w:vertAlign w:val="superscript"/>
        </w:rPr>
        <w:t>1</w:t>
      </w:r>
      <w:r w:rsidR="003C6C60" w:rsidRPr="00FA366D">
        <w:rPr>
          <w:bCs/>
          <w:color w:val="000000" w:themeColor="text1"/>
        </w:rPr>
        <w:t>*</w:t>
      </w:r>
      <w:r w:rsidRPr="00FA366D">
        <w:rPr>
          <w:bCs/>
          <w:color w:val="000000" w:themeColor="text1"/>
        </w:rPr>
        <w:t>, Cameron Hoerig</w:t>
      </w:r>
      <w:r w:rsidRPr="00FA366D">
        <w:rPr>
          <w:bCs/>
          <w:color w:val="000000" w:themeColor="text1"/>
          <w:vertAlign w:val="superscript"/>
        </w:rPr>
        <w:t>1</w:t>
      </w:r>
      <w:r w:rsidRPr="00FA366D">
        <w:rPr>
          <w:bCs/>
          <w:color w:val="000000" w:themeColor="text1"/>
        </w:rPr>
        <w:t>, Marie Muller</w:t>
      </w:r>
      <w:r w:rsidR="008B60E8" w:rsidRPr="00FA366D">
        <w:rPr>
          <w:bCs/>
          <w:color w:val="000000" w:themeColor="text1"/>
          <w:vertAlign w:val="superscript"/>
        </w:rPr>
        <w:t>2</w:t>
      </w:r>
      <w:r w:rsidR="00532569" w:rsidRPr="00FA366D">
        <w:rPr>
          <w:bCs/>
          <w:color w:val="000000" w:themeColor="text1"/>
        </w:rPr>
        <w:t>,</w:t>
      </w:r>
      <w:r w:rsidRPr="00FA366D">
        <w:rPr>
          <w:bCs/>
          <w:color w:val="000000" w:themeColor="text1"/>
        </w:rPr>
        <w:t xml:space="preserve"> Jonathan Mamou</w:t>
      </w:r>
      <w:r w:rsidRPr="00FA366D">
        <w:rPr>
          <w:bCs/>
          <w:color w:val="000000" w:themeColor="text1"/>
          <w:vertAlign w:val="superscript"/>
        </w:rPr>
        <w:t>1</w:t>
      </w:r>
    </w:p>
    <w:p w14:paraId="1BDA3D8D" w14:textId="4CCD74A9" w:rsidR="00807BE9" w:rsidRPr="00FA366D" w:rsidRDefault="003C6C60" w:rsidP="001A7EF0">
      <w:pPr>
        <w:spacing w:line="0" w:lineRule="atLeast"/>
        <w:rPr>
          <w:bCs/>
          <w:color w:val="000000" w:themeColor="text1"/>
        </w:rPr>
      </w:pPr>
      <w:r w:rsidRPr="00FA366D">
        <w:rPr>
          <w:bCs/>
          <w:color w:val="000000" w:themeColor="text1"/>
          <w:vertAlign w:val="superscript"/>
        </w:rPr>
        <w:t>1</w:t>
      </w:r>
      <w:r w:rsidR="00801F31" w:rsidRPr="00FA366D">
        <w:rPr>
          <w:bCs/>
          <w:color w:val="000000" w:themeColor="text1"/>
        </w:rPr>
        <w:t xml:space="preserve">Department of Radiology, </w:t>
      </w:r>
      <w:r w:rsidR="00D505C7" w:rsidRPr="00FA366D">
        <w:rPr>
          <w:bCs/>
          <w:color w:val="000000" w:themeColor="text1"/>
        </w:rPr>
        <w:t>Weill Cornell Medicine</w:t>
      </w:r>
      <w:r w:rsidR="00801F31" w:rsidRPr="00FA366D">
        <w:rPr>
          <w:bCs/>
          <w:color w:val="000000" w:themeColor="text1"/>
        </w:rPr>
        <w:t>, New York City, New York, USA</w:t>
      </w:r>
    </w:p>
    <w:p w14:paraId="141ABDE5" w14:textId="1E53DADB" w:rsidR="006E4797" w:rsidRPr="00FA366D" w:rsidRDefault="003C6C60" w:rsidP="001A7EF0">
      <w:pPr>
        <w:pBdr>
          <w:top w:val="nil"/>
          <w:left w:val="nil"/>
          <w:bottom w:val="nil"/>
          <w:right w:val="nil"/>
          <w:between w:val="nil"/>
        </w:pBdr>
        <w:spacing w:line="0" w:lineRule="atLeast"/>
        <w:rPr>
          <w:color w:val="000000" w:themeColor="text1"/>
        </w:rPr>
      </w:pPr>
      <w:r w:rsidRPr="00FA366D">
        <w:rPr>
          <w:color w:val="000000" w:themeColor="text1"/>
          <w:vertAlign w:val="superscript"/>
        </w:rPr>
        <w:t>2</w:t>
      </w:r>
      <w:r w:rsidR="00D30E4A" w:rsidRPr="00FA366D">
        <w:rPr>
          <w:color w:val="000000" w:themeColor="text1"/>
        </w:rPr>
        <w:t xml:space="preserve">Mechanical and Aerospace Engineering, </w:t>
      </w:r>
      <w:r w:rsidR="00D505C7" w:rsidRPr="00FA366D">
        <w:rPr>
          <w:color w:val="000000" w:themeColor="text1"/>
        </w:rPr>
        <w:t>North Carolina State</w:t>
      </w:r>
      <w:r w:rsidR="00D30E4A" w:rsidRPr="00FA366D">
        <w:rPr>
          <w:color w:val="000000" w:themeColor="text1"/>
        </w:rPr>
        <w:t xml:space="preserve"> University, </w:t>
      </w:r>
      <w:r w:rsidR="00ED1ABE" w:rsidRPr="00FA366D">
        <w:rPr>
          <w:color w:val="000000" w:themeColor="text1"/>
        </w:rPr>
        <w:t>Raleigh, North Carolina</w:t>
      </w:r>
    </w:p>
    <w:p w14:paraId="316F169D" w14:textId="77777777" w:rsidR="00D505C7" w:rsidRPr="00FA366D" w:rsidRDefault="00D505C7" w:rsidP="001A7EF0">
      <w:pPr>
        <w:pBdr>
          <w:top w:val="nil"/>
          <w:left w:val="nil"/>
          <w:bottom w:val="nil"/>
          <w:right w:val="nil"/>
          <w:between w:val="nil"/>
        </w:pBdr>
        <w:spacing w:line="0" w:lineRule="atLeast"/>
        <w:rPr>
          <w:color w:val="000000" w:themeColor="text1"/>
        </w:rPr>
      </w:pPr>
    </w:p>
    <w:p w14:paraId="74F0AACD" w14:textId="77777777" w:rsidR="004D6EA6" w:rsidRPr="00FA366D" w:rsidRDefault="002969B5" w:rsidP="001A7EF0">
      <w:pPr>
        <w:pBdr>
          <w:top w:val="nil"/>
          <w:left w:val="nil"/>
          <w:bottom w:val="nil"/>
          <w:right w:val="nil"/>
          <w:between w:val="nil"/>
        </w:pBdr>
        <w:spacing w:line="0" w:lineRule="atLeast"/>
        <w:rPr>
          <w:color w:val="000000" w:themeColor="text1"/>
        </w:rPr>
      </w:pPr>
      <w:r w:rsidRPr="00FA366D">
        <w:rPr>
          <w:color w:val="000000" w:themeColor="text1"/>
        </w:rPr>
        <w:t>E-mail addresses of the co-authors:</w:t>
      </w:r>
      <w:r w:rsidR="00F15ED2" w:rsidRPr="00FA366D">
        <w:rPr>
          <w:color w:val="000000" w:themeColor="text1"/>
        </w:rPr>
        <w:t xml:space="preserve"> </w:t>
      </w:r>
    </w:p>
    <w:p w14:paraId="3C685818" w14:textId="78E77EA4" w:rsidR="004D6EA6" w:rsidRPr="00FA366D" w:rsidRDefault="004D6EA6" w:rsidP="001A7EF0">
      <w:pPr>
        <w:pBdr>
          <w:top w:val="nil"/>
          <w:left w:val="nil"/>
          <w:bottom w:val="nil"/>
          <w:right w:val="nil"/>
          <w:between w:val="nil"/>
        </w:pBdr>
        <w:spacing w:line="0" w:lineRule="atLeast"/>
        <w:rPr>
          <w:color w:val="000000" w:themeColor="text1"/>
        </w:rPr>
      </w:pPr>
      <w:r w:rsidRPr="00FA366D">
        <w:rPr>
          <w:color w:val="000000" w:themeColor="text1"/>
        </w:rPr>
        <w:t xml:space="preserve">Cameron Hoerig </w:t>
      </w:r>
      <w:r w:rsidR="003C6C60" w:rsidRPr="00FA366D">
        <w:rPr>
          <w:color w:val="000000" w:themeColor="text1"/>
        </w:rPr>
        <w:tab/>
      </w:r>
      <w:r w:rsidR="003C6C60" w:rsidRPr="00FA366D">
        <w:rPr>
          <w:color w:val="000000" w:themeColor="text1"/>
        </w:rPr>
        <w:tab/>
        <w:t>(</w:t>
      </w:r>
      <w:hyperlink r:id="rId8" w:history="1">
        <w:r w:rsidR="003C6C60" w:rsidRPr="00FA366D">
          <w:rPr>
            <w:rStyle w:val="Hyperlink"/>
            <w:color w:val="000000" w:themeColor="text1"/>
          </w:rPr>
          <w:t>cah4016@med.cornell.edu</w:t>
        </w:r>
      </w:hyperlink>
      <w:r w:rsidR="003C6C60" w:rsidRPr="00FA366D">
        <w:rPr>
          <w:color w:val="000000" w:themeColor="text1"/>
        </w:rPr>
        <w:t>)</w:t>
      </w:r>
    </w:p>
    <w:p w14:paraId="48216AF3" w14:textId="6D575025" w:rsidR="004D6EA6" w:rsidRPr="00FA366D" w:rsidRDefault="004D6EA6" w:rsidP="001A7EF0">
      <w:pPr>
        <w:pBdr>
          <w:top w:val="nil"/>
          <w:left w:val="nil"/>
          <w:bottom w:val="nil"/>
          <w:right w:val="nil"/>
          <w:between w:val="nil"/>
        </w:pBdr>
        <w:spacing w:line="0" w:lineRule="atLeast"/>
        <w:rPr>
          <w:color w:val="000000" w:themeColor="text1"/>
          <w:lang w:val="fr-FR"/>
        </w:rPr>
      </w:pPr>
      <w:r w:rsidRPr="00FA366D">
        <w:rPr>
          <w:color w:val="000000" w:themeColor="text1"/>
          <w:lang w:val="fr-FR"/>
        </w:rPr>
        <w:t xml:space="preserve">Marie Muller </w:t>
      </w:r>
      <w:r w:rsidR="003C6C60" w:rsidRPr="00FA366D">
        <w:rPr>
          <w:color w:val="000000" w:themeColor="text1"/>
          <w:lang w:val="fr-FR"/>
        </w:rPr>
        <w:tab/>
      </w:r>
      <w:r w:rsidR="003C6C60" w:rsidRPr="00FA366D">
        <w:rPr>
          <w:color w:val="000000" w:themeColor="text1"/>
          <w:lang w:val="fr-FR"/>
        </w:rPr>
        <w:tab/>
      </w:r>
      <w:r w:rsidR="003C6C60" w:rsidRPr="00FA366D">
        <w:rPr>
          <w:color w:val="000000" w:themeColor="text1"/>
          <w:lang w:val="fr-FR"/>
        </w:rPr>
        <w:tab/>
        <w:t>(</w:t>
      </w:r>
      <w:hyperlink r:id="rId9" w:history="1">
        <w:r w:rsidR="003C6C60" w:rsidRPr="00FA366D">
          <w:rPr>
            <w:rStyle w:val="Hyperlink"/>
            <w:color w:val="000000" w:themeColor="text1"/>
            <w:lang w:val="fr-FR"/>
          </w:rPr>
          <w:t>mmuller2@ncsu.edu</w:t>
        </w:r>
      </w:hyperlink>
      <w:r w:rsidR="003C6C60" w:rsidRPr="00FA366D">
        <w:rPr>
          <w:color w:val="000000" w:themeColor="text1"/>
          <w:lang w:val="fr-FR"/>
        </w:rPr>
        <w:t>)</w:t>
      </w:r>
    </w:p>
    <w:p w14:paraId="18B05272" w14:textId="158689DE" w:rsidR="00190EA7" w:rsidRPr="00FA366D" w:rsidRDefault="004D6EA6" w:rsidP="001A7EF0">
      <w:pPr>
        <w:pBdr>
          <w:top w:val="nil"/>
          <w:left w:val="nil"/>
          <w:bottom w:val="nil"/>
          <w:right w:val="nil"/>
          <w:between w:val="nil"/>
        </w:pBdr>
        <w:spacing w:line="0" w:lineRule="atLeast"/>
        <w:rPr>
          <w:color w:val="000000" w:themeColor="text1"/>
        </w:rPr>
      </w:pPr>
      <w:r w:rsidRPr="00FA366D">
        <w:rPr>
          <w:color w:val="000000" w:themeColor="text1"/>
        </w:rPr>
        <w:t xml:space="preserve">Jonathan Mamou </w:t>
      </w:r>
      <w:r w:rsidR="003C6C60" w:rsidRPr="00FA366D">
        <w:rPr>
          <w:color w:val="000000" w:themeColor="text1"/>
        </w:rPr>
        <w:tab/>
      </w:r>
      <w:r w:rsidR="003C6C60" w:rsidRPr="00FA366D">
        <w:rPr>
          <w:color w:val="000000" w:themeColor="text1"/>
        </w:rPr>
        <w:tab/>
        <w:t>(</w:t>
      </w:r>
      <w:hyperlink r:id="rId10" w:history="1">
        <w:r w:rsidR="003C6C60" w:rsidRPr="00FA366D">
          <w:rPr>
            <w:rStyle w:val="Hyperlink"/>
            <w:color w:val="000000" w:themeColor="text1"/>
          </w:rPr>
          <w:t>jom4032@med.cornell.edu</w:t>
        </w:r>
      </w:hyperlink>
      <w:r w:rsidR="003C6C60" w:rsidRPr="00FA366D">
        <w:rPr>
          <w:color w:val="000000" w:themeColor="text1"/>
        </w:rPr>
        <w:t>)</w:t>
      </w:r>
    </w:p>
    <w:p w14:paraId="3E49820E" w14:textId="77777777" w:rsidR="004D6EA6" w:rsidRPr="00FA366D" w:rsidRDefault="004D6EA6" w:rsidP="001A7EF0">
      <w:pPr>
        <w:pBdr>
          <w:top w:val="nil"/>
          <w:left w:val="nil"/>
          <w:bottom w:val="nil"/>
          <w:right w:val="nil"/>
          <w:between w:val="nil"/>
        </w:pBdr>
        <w:spacing w:line="0" w:lineRule="atLeast"/>
        <w:rPr>
          <w:color w:val="000000" w:themeColor="text1"/>
        </w:rPr>
      </w:pPr>
    </w:p>
    <w:p w14:paraId="4BA24256" w14:textId="77777777" w:rsidR="003C6C60" w:rsidRPr="00FA366D" w:rsidRDefault="002969B5" w:rsidP="001A7EF0">
      <w:pPr>
        <w:pBdr>
          <w:top w:val="nil"/>
          <w:left w:val="nil"/>
          <w:bottom w:val="nil"/>
          <w:right w:val="nil"/>
          <w:between w:val="nil"/>
        </w:pBdr>
        <w:spacing w:line="0" w:lineRule="atLeast"/>
        <w:rPr>
          <w:color w:val="000000" w:themeColor="text1"/>
        </w:rPr>
      </w:pPr>
      <w:r w:rsidRPr="00FA366D">
        <w:rPr>
          <w:color w:val="000000" w:themeColor="text1"/>
        </w:rPr>
        <w:t>*Corresponding author:</w:t>
      </w:r>
    </w:p>
    <w:p w14:paraId="0356BE00" w14:textId="5FE9D016" w:rsidR="003C6C60" w:rsidRPr="00FA366D" w:rsidRDefault="003C6C60" w:rsidP="001A7EF0">
      <w:pPr>
        <w:pBdr>
          <w:top w:val="nil"/>
          <w:left w:val="nil"/>
          <w:bottom w:val="nil"/>
          <w:right w:val="nil"/>
          <w:between w:val="nil"/>
        </w:pBdr>
        <w:spacing w:line="0" w:lineRule="atLeast"/>
        <w:rPr>
          <w:color w:val="000000" w:themeColor="text1"/>
        </w:rPr>
      </w:pPr>
      <w:r w:rsidRPr="00FA366D">
        <w:rPr>
          <w:color w:val="000000" w:themeColor="text1"/>
        </w:rPr>
        <w:t xml:space="preserve">Nitin Burman </w:t>
      </w:r>
      <w:r w:rsidRPr="00FA366D">
        <w:rPr>
          <w:color w:val="000000" w:themeColor="text1"/>
        </w:rPr>
        <w:tab/>
      </w:r>
      <w:r w:rsidRPr="00FA366D">
        <w:rPr>
          <w:color w:val="000000" w:themeColor="text1"/>
        </w:rPr>
        <w:tab/>
      </w:r>
      <w:r w:rsidRPr="00FA366D">
        <w:rPr>
          <w:color w:val="000000" w:themeColor="text1"/>
        </w:rPr>
        <w:tab/>
        <w:t>(</w:t>
      </w:r>
      <w:hyperlink r:id="rId11" w:history="1">
        <w:r w:rsidRPr="00FA366D">
          <w:rPr>
            <w:rStyle w:val="Hyperlink"/>
            <w:color w:val="000000" w:themeColor="text1"/>
          </w:rPr>
          <w:t>nib4022@med.cornell.edu</w:t>
        </w:r>
      </w:hyperlink>
      <w:r w:rsidRPr="00FA366D">
        <w:rPr>
          <w:color w:val="000000" w:themeColor="text1"/>
        </w:rPr>
        <w:t>)</w:t>
      </w:r>
    </w:p>
    <w:p w14:paraId="27BD1037" w14:textId="77777777" w:rsidR="00190EA7" w:rsidRPr="00FA366D" w:rsidRDefault="00190EA7" w:rsidP="001A7EF0">
      <w:pPr>
        <w:pBdr>
          <w:top w:val="nil"/>
          <w:left w:val="nil"/>
          <w:bottom w:val="nil"/>
          <w:right w:val="nil"/>
          <w:between w:val="nil"/>
        </w:pBdr>
        <w:spacing w:line="0" w:lineRule="atLeast"/>
        <w:rPr>
          <w:color w:val="000000" w:themeColor="text1"/>
        </w:rPr>
      </w:pPr>
    </w:p>
    <w:p w14:paraId="60F3B8D4" w14:textId="7CBBF8D0" w:rsidR="006E4797" w:rsidRPr="00FA366D" w:rsidRDefault="002969B5" w:rsidP="001A7EF0">
      <w:pPr>
        <w:spacing w:line="0" w:lineRule="atLeast"/>
        <w:rPr>
          <w:color w:val="000000" w:themeColor="text1"/>
        </w:rPr>
      </w:pPr>
      <w:r w:rsidRPr="00FA366D">
        <w:rPr>
          <w:b/>
          <w:color w:val="000000" w:themeColor="text1"/>
        </w:rPr>
        <w:t>SUMMARY:</w:t>
      </w:r>
      <w:r w:rsidRPr="00FA366D">
        <w:rPr>
          <w:color w:val="000000" w:themeColor="text1"/>
        </w:rPr>
        <w:t xml:space="preserve"> </w:t>
      </w:r>
    </w:p>
    <w:p w14:paraId="74EFC8D7" w14:textId="700CBA23" w:rsidR="006E4797" w:rsidRPr="00FA366D" w:rsidRDefault="002969B5" w:rsidP="001A7EF0">
      <w:pPr>
        <w:spacing w:line="0" w:lineRule="atLeast"/>
        <w:rPr>
          <w:color w:val="000000" w:themeColor="text1"/>
        </w:rPr>
      </w:pPr>
      <w:r w:rsidRPr="00FA366D">
        <w:rPr>
          <w:color w:val="000000" w:themeColor="text1"/>
        </w:rPr>
        <w:t>This protocol demonstrates near real-time quantitative ultrasound imaging using an ultra-portable handheld ultrasound system to acquire radiofrequency data, estimate quantitative tissue parameters, and visualize parameter maps for point-of-care tissue characterization.</w:t>
      </w:r>
    </w:p>
    <w:p w14:paraId="69BF8504" w14:textId="77777777" w:rsidR="0060415A" w:rsidRPr="00FA366D" w:rsidRDefault="0060415A" w:rsidP="001A7EF0">
      <w:pPr>
        <w:spacing w:line="0" w:lineRule="atLeast"/>
        <w:rPr>
          <w:color w:val="000000" w:themeColor="text1"/>
        </w:rPr>
      </w:pPr>
    </w:p>
    <w:p w14:paraId="2DF8E628" w14:textId="50FE63D9" w:rsidR="006E4797" w:rsidRPr="00FA366D" w:rsidRDefault="002969B5" w:rsidP="001A7EF0">
      <w:pPr>
        <w:spacing w:line="0" w:lineRule="atLeast"/>
        <w:rPr>
          <w:color w:val="000000" w:themeColor="text1"/>
        </w:rPr>
      </w:pPr>
      <w:r w:rsidRPr="00FA366D">
        <w:rPr>
          <w:b/>
          <w:color w:val="000000" w:themeColor="text1"/>
        </w:rPr>
        <w:t>ABSTRACT:</w:t>
      </w:r>
      <w:r w:rsidRPr="00FA366D">
        <w:rPr>
          <w:color w:val="000000" w:themeColor="text1"/>
        </w:rPr>
        <w:t xml:space="preserve"> </w:t>
      </w:r>
    </w:p>
    <w:p w14:paraId="0FDC75AF" w14:textId="40A8EA88" w:rsidR="004B0DF0" w:rsidRPr="00FA366D" w:rsidRDefault="002969B5" w:rsidP="001A7EF0">
      <w:pPr>
        <w:spacing w:line="0" w:lineRule="atLeast"/>
        <w:rPr>
          <w:color w:val="000000" w:themeColor="text1"/>
          <w:lang w:val="en-IN"/>
        </w:rPr>
      </w:pPr>
      <w:r w:rsidRPr="00FA366D">
        <w:rPr>
          <w:color w:val="000000" w:themeColor="text1"/>
          <w:lang w:val="en-IN"/>
        </w:rPr>
        <w:t xml:space="preserve">Clinical ultrasound is widely used because of its low cost, portability, safety, and real-time imaging capability, making it well suited for point-of-care applications. However, conventional B-mode imaging is inherently qualitative and primarily sensitive to tissue morphology. Quantitative ultrasound (QUS) methods exploit information contained in backscattered radiofrequency (RF) signals to extract fundamental acoustic tissue properties, such as the backscatter coefficient (BSC) and attenuation, which more directly quantify tissue microstructure and provide complementary information to B-mode imaging. Although QUS methods have been implemented on conventional cart-based ultrasound scanners, their integration into portable handheld systems remains limited. </w:t>
      </w:r>
      <w:r w:rsidR="00A57B9D" w:rsidRPr="00FA366D">
        <w:rPr>
          <w:color w:val="000000" w:themeColor="text1"/>
        </w:rPr>
        <w:t xml:space="preserve">Motivated by the growing availability and clinical potential of ultra-portable ultrasound devices, this protocol presents a QUS imaging pipeline implemented on the </w:t>
      </w:r>
      <w:r w:rsidR="005739BC" w:rsidRPr="00FA366D">
        <w:rPr>
          <w:color w:val="000000" w:themeColor="text1"/>
        </w:rPr>
        <w:t>DKPOC probe (portable linear ultrasound probe; Vermon SA, Tours, France)</w:t>
      </w:r>
      <w:r w:rsidR="00A57B9D" w:rsidRPr="00FA366D">
        <w:rPr>
          <w:color w:val="000000" w:themeColor="text1"/>
        </w:rPr>
        <w:t>, which interfaces directly with a laptop through a USB-C connection.</w:t>
      </w:r>
      <w:r w:rsidRPr="00FA366D">
        <w:rPr>
          <w:color w:val="000000" w:themeColor="text1"/>
          <w:lang w:val="en-IN"/>
        </w:rPr>
        <w:t xml:space="preserve"> The protocol integrates multiple QUS processing methods based on spectral analysis and envelope statistics of RF data acquired using focused-wave or plane-wave transmit modes. QUS processing begins with a user-defined region of interest (ROI). The reference phantom method is used to estimate the BSC and attenuation within sliding sub-ROIs. Model-based fitting of the estimated BSC is then performed to extract tissue microstructure-related parameters, including effective scatterer diameter and effective acoustic concentration. In addition, envelope statistics parameters are estimated using three probability density functions. Computed QUS parameter maps are displayed as translucent </w:t>
      </w:r>
      <w:proofErr w:type="spellStart"/>
      <w:r w:rsidRPr="00FA366D">
        <w:rPr>
          <w:color w:val="000000" w:themeColor="text1"/>
          <w:lang w:val="en-IN"/>
        </w:rPr>
        <w:t>color</w:t>
      </w:r>
      <w:proofErr w:type="spellEnd"/>
      <w:r w:rsidRPr="00FA366D">
        <w:rPr>
          <w:color w:val="000000" w:themeColor="text1"/>
          <w:lang w:val="en-IN"/>
        </w:rPr>
        <w:t xml:space="preserve"> overlays on corresponding B-mode images. The workflow is implemented in a </w:t>
      </w:r>
      <w:r w:rsidR="00F77EA1" w:rsidRPr="00FA366D">
        <w:rPr>
          <w:color w:val="000000" w:themeColor="text1"/>
        </w:rPr>
        <w:t>numerical computing software</w:t>
      </w:r>
      <w:r w:rsidR="00F77EA1" w:rsidRPr="00FA366D">
        <w:rPr>
          <w:color w:val="000000" w:themeColor="text1"/>
          <w:lang w:val="en-IN"/>
        </w:rPr>
        <w:t>–</w:t>
      </w:r>
      <w:r w:rsidRPr="00FA366D">
        <w:rPr>
          <w:color w:val="000000" w:themeColor="text1"/>
          <w:lang w:val="en-IN"/>
        </w:rPr>
        <w:t xml:space="preserve">based graphical user interface, enabling near real-time QUS processing, </w:t>
      </w:r>
      <w:r w:rsidRPr="00FA366D">
        <w:rPr>
          <w:color w:val="000000" w:themeColor="text1"/>
          <w:lang w:val="en-IN"/>
        </w:rPr>
        <w:lastRenderedPageBreak/>
        <w:t>parameter map visualization, interactive parameter adjustment, and rapid evaluation of different processing configurations. The pipeline is adaptable to different imaging sequences and ultrasound probes, providing a practical framework for quantitative point-of-care ultrasound imaging and clinician-led QUS studies in human subjects.</w:t>
      </w:r>
    </w:p>
    <w:p w14:paraId="2CF9CD54" w14:textId="77777777" w:rsidR="006E4797" w:rsidRPr="00FA366D" w:rsidRDefault="006E4797" w:rsidP="001A7EF0">
      <w:pPr>
        <w:spacing w:line="0" w:lineRule="atLeast"/>
        <w:rPr>
          <w:color w:val="000000" w:themeColor="text1"/>
        </w:rPr>
      </w:pPr>
    </w:p>
    <w:p w14:paraId="46122939" w14:textId="77777777" w:rsidR="00D701E0" w:rsidRPr="00FA366D" w:rsidRDefault="002969B5" w:rsidP="001A7EF0">
      <w:pPr>
        <w:spacing w:line="0" w:lineRule="atLeast"/>
        <w:rPr>
          <w:b/>
          <w:bCs/>
          <w:color w:val="000000" w:themeColor="text1"/>
        </w:rPr>
      </w:pPr>
      <w:r w:rsidRPr="00FA366D">
        <w:rPr>
          <w:b/>
          <w:bCs/>
          <w:color w:val="000000" w:themeColor="text1"/>
        </w:rPr>
        <w:t>INTRODUCTION:</w:t>
      </w:r>
    </w:p>
    <w:p w14:paraId="41C44653" w14:textId="77777777" w:rsidR="00D701E0" w:rsidRPr="00FA366D" w:rsidRDefault="002969B5" w:rsidP="001A7EF0">
      <w:pPr>
        <w:spacing w:line="0" w:lineRule="atLeast"/>
        <w:rPr>
          <w:color w:val="000000" w:themeColor="text1"/>
        </w:rPr>
      </w:pPr>
      <w:r w:rsidRPr="00FA366D">
        <w:rPr>
          <w:color w:val="000000" w:themeColor="text1"/>
        </w:rPr>
        <w:t>Clinical ultrasound imaging is widely used in medical practice because of its low cost, portability, safety, and ability to provide real-time visualization. These attributes make this modality well suited for point-of-care applications, where rapid bedside assessment is essential for clinical decision-making. Despite these advantages, conventional ultrasound imaging is predominantly based on B-mode imaging, which is inherently qualitative and provides information primarily related to tissue morphology through differences in acoustic impedance at tissue boundaries. This limits its ability to characterize subtle changes in tissue microstructure that may carry clinically significant diagnostic information. Consequently, because of the lack of quantitative information, diagnosis and prognosis are often subjective and prone to interobserver and intraobserver variability</w:t>
      </w:r>
      <w:r w:rsidRPr="00FA366D">
        <w:rPr>
          <w:color w:val="000000" w:themeColor="text1"/>
          <w:vertAlign w:val="superscript"/>
        </w:rPr>
        <w:t>1–3</w:t>
      </w:r>
      <w:r w:rsidRPr="00FA366D">
        <w:rPr>
          <w:color w:val="000000" w:themeColor="text1"/>
        </w:rPr>
        <w:t>.</w:t>
      </w:r>
    </w:p>
    <w:p w14:paraId="21CAB718" w14:textId="77777777" w:rsidR="00D701E0" w:rsidRPr="00FA366D" w:rsidRDefault="00D701E0" w:rsidP="001A7EF0">
      <w:pPr>
        <w:spacing w:line="0" w:lineRule="atLeast"/>
        <w:rPr>
          <w:color w:val="000000" w:themeColor="text1"/>
        </w:rPr>
      </w:pPr>
    </w:p>
    <w:p w14:paraId="78DEDE7E" w14:textId="49DC1F67" w:rsidR="00D701E0" w:rsidRPr="00FA366D" w:rsidRDefault="002969B5" w:rsidP="001A7EF0">
      <w:pPr>
        <w:spacing w:line="0" w:lineRule="atLeast"/>
        <w:rPr>
          <w:color w:val="000000" w:themeColor="text1"/>
        </w:rPr>
      </w:pPr>
      <w:r w:rsidRPr="00FA366D">
        <w:rPr>
          <w:color w:val="000000" w:themeColor="text1"/>
        </w:rPr>
        <w:t>Quantitative ultrasound (QUS) methods, in contrast, exploit information contained in backscattered radiofrequency (RF) signals rather than relying solely on echo amplitudes. QUS methods extract fundamental acoustic tissue properties, including the backscatter coefficient (BSC) and attenuation, which more directly reflect tissue microstructure and provide quantitative information complementary to conventional B-mode imaging. Scattering model-based fitting of the estimated BSC further yields quantitative parameters that relate more directly to tissue microstructural properties</w:t>
      </w:r>
      <w:r w:rsidRPr="00FA366D">
        <w:rPr>
          <w:color w:val="000000" w:themeColor="text1"/>
          <w:vertAlign w:val="superscript"/>
        </w:rPr>
        <w:t>4–6</w:t>
      </w:r>
      <w:r w:rsidRPr="00FA366D">
        <w:rPr>
          <w:color w:val="000000" w:themeColor="text1"/>
        </w:rPr>
        <w:t>. Fitting a Gaussian scattering model to the estimated BSC yields two QUS parameters: the effective scatterer diameter (ESD) and the effective acoustic concentration (EAC)</w:t>
      </w:r>
      <w:r w:rsidRPr="00FA366D">
        <w:rPr>
          <w:color w:val="000000" w:themeColor="text1"/>
          <w:vertAlign w:val="superscript"/>
        </w:rPr>
        <w:t>5</w:t>
      </w:r>
      <w:r w:rsidRPr="00FA366D">
        <w:rPr>
          <w:color w:val="000000" w:themeColor="text1"/>
        </w:rPr>
        <w:t>. Similarly, fitting a linear model to the estimated BSC yields three QUS parameters: spectral slope (SS), spectral intercept (I0), and mid-band fit (MBF)</w:t>
      </w:r>
      <w:r w:rsidRPr="00FA366D">
        <w:rPr>
          <w:color w:val="000000" w:themeColor="text1"/>
          <w:vertAlign w:val="superscript"/>
        </w:rPr>
        <w:t>6</w:t>
      </w:r>
      <w:r w:rsidRPr="00FA366D">
        <w:rPr>
          <w:color w:val="000000" w:themeColor="text1"/>
        </w:rPr>
        <w:t>. Because these QUS parameters are derived from fundamental acoustic tissue properties, they are independent of imaging system settings and operator interpretation, providing more objective quantitative tissue descriptors. Their quantitative nature also enables disease follow-up and treatment response monitoring. QUS parameters have demonstrated diagnostic utility across a range of applications, including prediction of breast cancer treatment response</w:t>
      </w:r>
      <w:r w:rsidRPr="00FA366D">
        <w:rPr>
          <w:color w:val="000000" w:themeColor="text1"/>
          <w:vertAlign w:val="superscript"/>
        </w:rPr>
        <w:t>7</w:t>
      </w:r>
      <w:r w:rsidRPr="00FA366D">
        <w:rPr>
          <w:color w:val="000000" w:themeColor="text1"/>
        </w:rPr>
        <w:t>, identification of cancerous regions in the prostate</w:t>
      </w:r>
      <w:r w:rsidRPr="00FA366D">
        <w:rPr>
          <w:color w:val="000000" w:themeColor="text1"/>
          <w:vertAlign w:val="superscript"/>
        </w:rPr>
        <w:t>8</w:t>
      </w:r>
      <w:r w:rsidRPr="00FA366D">
        <w:rPr>
          <w:color w:val="000000" w:themeColor="text1"/>
        </w:rPr>
        <w:t xml:space="preserve"> and thyroid</w:t>
      </w:r>
      <w:r w:rsidRPr="00FA366D">
        <w:rPr>
          <w:color w:val="000000" w:themeColor="text1"/>
          <w:vertAlign w:val="superscript"/>
        </w:rPr>
        <w:t>9</w:t>
      </w:r>
      <w:r w:rsidRPr="00FA366D">
        <w:rPr>
          <w:color w:val="000000" w:themeColor="text1"/>
        </w:rPr>
        <w:t>, and classification of metastatic lymph nodes</w:t>
      </w:r>
      <w:r w:rsidRPr="00FA366D">
        <w:rPr>
          <w:color w:val="000000" w:themeColor="text1"/>
          <w:vertAlign w:val="superscript"/>
        </w:rPr>
        <w:t>10–12</w:t>
      </w:r>
      <w:r w:rsidRPr="00FA366D">
        <w:rPr>
          <w:color w:val="000000" w:themeColor="text1"/>
        </w:rPr>
        <w:t>. Similarly, attenuation-based QUS parameters have shown promise for tissue characterization, including differentiation of normal and steatotic liver tissue</w:t>
      </w:r>
      <w:r w:rsidRPr="00FA366D">
        <w:rPr>
          <w:color w:val="000000" w:themeColor="text1"/>
          <w:vertAlign w:val="superscript"/>
        </w:rPr>
        <w:t>13,14</w:t>
      </w:r>
      <w:r w:rsidRPr="00FA366D">
        <w:rPr>
          <w:color w:val="000000" w:themeColor="text1"/>
        </w:rPr>
        <w:t xml:space="preserve"> and detection of malignant and benign tumors</w:t>
      </w:r>
      <w:r w:rsidRPr="00FA366D">
        <w:rPr>
          <w:color w:val="000000" w:themeColor="text1"/>
          <w:vertAlign w:val="superscript"/>
        </w:rPr>
        <w:t>15</w:t>
      </w:r>
      <w:r w:rsidRPr="00FA366D">
        <w:rPr>
          <w:color w:val="000000" w:themeColor="text1"/>
        </w:rPr>
        <w:t>. In addition to spectral-based methods, envelope statistics-based approaches provide another class of QUS parameters obtained by fitting envelope-detected RF echo values to theoretical probability density functions, such as the Rayleigh, Nakagami</w:t>
      </w:r>
      <w:r w:rsidRPr="00FA366D">
        <w:rPr>
          <w:color w:val="000000" w:themeColor="text1"/>
          <w:vertAlign w:val="superscript"/>
        </w:rPr>
        <w:t>16</w:t>
      </w:r>
      <w:r w:rsidRPr="00FA366D">
        <w:rPr>
          <w:color w:val="000000" w:themeColor="text1"/>
        </w:rPr>
        <w:t>, and Homodyned-K</w:t>
      </w:r>
      <w:r w:rsidR="000A4D44" w:rsidRPr="00FA366D">
        <w:rPr>
          <w:color w:val="000000" w:themeColor="text1"/>
        </w:rPr>
        <w:t xml:space="preserve"> (H-K)</w:t>
      </w:r>
      <w:r w:rsidRPr="00FA366D">
        <w:rPr>
          <w:color w:val="000000" w:themeColor="text1"/>
          <w:vertAlign w:val="superscript"/>
        </w:rPr>
        <w:t>17</w:t>
      </w:r>
      <w:r w:rsidRPr="00FA366D">
        <w:rPr>
          <w:color w:val="000000" w:themeColor="text1"/>
        </w:rPr>
        <w:t xml:space="preserve"> distributions. Envelope statistics-based QUS parameters are particularly sensitive to scatterer number density and spatial organization and have similarly demonstrated utility for tissue characterization in applications including breast mass classification</w:t>
      </w:r>
      <w:r w:rsidRPr="00FA366D">
        <w:rPr>
          <w:color w:val="000000" w:themeColor="text1"/>
          <w:vertAlign w:val="superscript"/>
        </w:rPr>
        <w:t>18</w:t>
      </w:r>
      <w:r w:rsidRPr="00FA366D">
        <w:rPr>
          <w:color w:val="000000" w:themeColor="text1"/>
        </w:rPr>
        <w:t xml:space="preserve"> and hepatic steatosis assessment</w:t>
      </w:r>
      <w:r w:rsidRPr="00FA366D">
        <w:rPr>
          <w:color w:val="000000" w:themeColor="text1"/>
          <w:vertAlign w:val="superscript"/>
        </w:rPr>
        <w:t>19</w:t>
      </w:r>
      <w:r w:rsidRPr="00FA366D">
        <w:rPr>
          <w:color w:val="000000" w:themeColor="text1"/>
        </w:rPr>
        <w:t xml:space="preserve">. These relationships arise because the interaction of ultrasound waves with tissue depends on several factors, including the size, concentration, spatial arrangement, and acoustic impedance contrast of tissue microstructures relative to the imaging wavelength. Changes in </w:t>
      </w:r>
      <w:r w:rsidRPr="00FA366D">
        <w:rPr>
          <w:color w:val="000000" w:themeColor="text1"/>
        </w:rPr>
        <w:lastRenderedPageBreak/>
        <w:t>tissue composition or organization alter the frequency content, amplitude distribution, and spatial statistics of the backscattered RF signal, which can be quantified using QUS parameters.</w:t>
      </w:r>
    </w:p>
    <w:p w14:paraId="190A929E" w14:textId="77777777" w:rsidR="00D701E0" w:rsidRPr="00FA366D" w:rsidRDefault="00D701E0" w:rsidP="001A7EF0">
      <w:pPr>
        <w:spacing w:line="0" w:lineRule="atLeast"/>
        <w:rPr>
          <w:color w:val="000000" w:themeColor="text1"/>
        </w:rPr>
      </w:pPr>
    </w:p>
    <w:p w14:paraId="52204A60" w14:textId="76B6B84A" w:rsidR="00387B4E" w:rsidRPr="00FA366D" w:rsidRDefault="002969B5" w:rsidP="001A7EF0">
      <w:pPr>
        <w:spacing w:line="0" w:lineRule="atLeast"/>
        <w:rPr>
          <w:color w:val="000000" w:themeColor="text1"/>
        </w:rPr>
      </w:pPr>
      <w:r w:rsidRPr="00FA366D">
        <w:rPr>
          <w:color w:val="000000" w:themeColor="text1"/>
        </w:rPr>
        <w:t>Over the past decade, QUS methods have been extensively developed and validated using conventional cart-based ultrasound systems</w:t>
      </w:r>
      <w:r w:rsidRPr="00FA366D">
        <w:rPr>
          <w:color w:val="000000" w:themeColor="text1"/>
          <w:vertAlign w:val="superscript"/>
        </w:rPr>
        <w:t>20,21</w:t>
      </w:r>
      <w:r w:rsidRPr="00FA366D">
        <w:rPr>
          <w:color w:val="000000" w:themeColor="text1"/>
        </w:rPr>
        <w:t>. However, these systems are large and typically confined to clinical or laboratory settings, limiting the broader accessibility of QUS imaging. In recent years, ultra-portable handheld ultrasound devices that connect directly to smartphones or laptops have become increasingly available, offering a compelling opportunity to extend ultrasound imaging to point-of-care settings</w:t>
      </w:r>
      <w:r w:rsidRPr="00FA366D">
        <w:rPr>
          <w:color w:val="000000" w:themeColor="text1"/>
          <w:vertAlign w:val="superscript"/>
        </w:rPr>
        <w:t>22,23</w:t>
      </w:r>
      <w:r w:rsidRPr="00FA366D">
        <w:rPr>
          <w:color w:val="000000" w:themeColor="text1"/>
        </w:rPr>
        <w:t>. However, the integration of QUS methods into ultra-portable handheld ultrasound devices remains limited, largely because of restricted access to RF data and the computational demands of QUS processing on compact hardware. While some efforts have been made to implement QUS methods on portable platforms</w:t>
      </w:r>
      <w:r w:rsidRPr="00FA366D">
        <w:rPr>
          <w:color w:val="000000" w:themeColor="text1"/>
          <w:vertAlign w:val="superscript"/>
        </w:rPr>
        <w:t>24</w:t>
      </w:r>
      <w:r w:rsidRPr="00FA366D">
        <w:rPr>
          <w:color w:val="000000" w:themeColor="text1"/>
        </w:rPr>
        <w:t xml:space="preserve">, a comprehensive, user-friendly pipeline integrating spectral-based and envelope statistics-based QUS processing with near real-time visualization has not yet been demonstrated on an ultra-portable system. </w:t>
      </w:r>
      <w:r w:rsidR="00274DEA" w:rsidRPr="00FA366D">
        <w:rPr>
          <w:color w:val="000000" w:themeColor="text1"/>
        </w:rPr>
        <w:t xml:space="preserve">Motivated by the increasing availability and clinical potential of ultra-portable ultrasound systems with access to RF data, we present a QUS imaging pipeline with a </w:t>
      </w:r>
      <w:r w:rsidR="007C0D84" w:rsidRPr="00FA366D">
        <w:rPr>
          <w:color w:val="000000" w:themeColor="text1"/>
        </w:rPr>
        <w:t>MATLAB (numerical computing software)</w:t>
      </w:r>
      <w:r w:rsidR="00274DEA" w:rsidRPr="00FA366D">
        <w:rPr>
          <w:color w:val="000000" w:themeColor="text1"/>
        </w:rPr>
        <w:t xml:space="preserve">-based graphical user interface (GUI), </w:t>
      </w:r>
      <w:r w:rsidR="001D5ECC" w:rsidRPr="00FA366D">
        <w:rPr>
          <w:color w:val="000000" w:themeColor="text1"/>
        </w:rPr>
        <w:t>implemented using the portable linear ultrasound probe</w:t>
      </w:r>
      <w:r w:rsidR="00274DEA" w:rsidRPr="00FA366D">
        <w:rPr>
          <w:color w:val="000000" w:themeColor="text1"/>
        </w:rPr>
        <w:t>, interfaced with a laptop through a USB-C connection.</w:t>
      </w:r>
      <w:r w:rsidRPr="00FA366D">
        <w:rPr>
          <w:color w:val="000000" w:themeColor="text1"/>
        </w:rPr>
        <w:t xml:space="preserve"> </w:t>
      </w:r>
      <w:r w:rsidR="0033226F" w:rsidRPr="00FA366D">
        <w:rPr>
          <w:color w:val="000000" w:themeColor="text1"/>
        </w:rPr>
        <w:t xml:space="preserve">The primary contribution of this work is the system integration and software implementation of multiple spectral and envelope statistics-based QUS methods into a unified software pipeline for </w:t>
      </w:r>
      <w:r w:rsidR="004F3787" w:rsidRPr="00FA366D">
        <w:rPr>
          <w:color w:val="000000" w:themeColor="text1"/>
        </w:rPr>
        <w:t>the ultra-portable ultrasound platform</w:t>
      </w:r>
      <w:r w:rsidR="000372AB" w:rsidRPr="00FA366D">
        <w:rPr>
          <w:color w:val="000000" w:themeColor="text1"/>
        </w:rPr>
        <w:t>.</w:t>
      </w:r>
      <w:r w:rsidR="0033226F" w:rsidRPr="00FA366D">
        <w:rPr>
          <w:color w:val="000000" w:themeColor="text1"/>
        </w:rPr>
        <w:t xml:space="preserve"> </w:t>
      </w:r>
      <w:r w:rsidR="00CE5383" w:rsidRPr="00FA366D">
        <w:rPr>
          <w:color w:val="000000" w:themeColor="text1"/>
        </w:rPr>
        <w:t xml:space="preserve">By leveraging access to beamformed RF data, the proposed implementation enables interactive near real-time QUS processing, visualization, and parameter tuning, making multiparametric QUS imaging </w:t>
      </w:r>
      <w:r w:rsidR="002B3F16" w:rsidRPr="00FA366D">
        <w:rPr>
          <w:color w:val="000000" w:themeColor="text1"/>
        </w:rPr>
        <w:t xml:space="preserve">readily accessible </w:t>
      </w:r>
      <w:r w:rsidR="004444C0" w:rsidRPr="00FA366D">
        <w:rPr>
          <w:color w:val="000000" w:themeColor="text1"/>
        </w:rPr>
        <w:t>for</w:t>
      </w:r>
      <w:r w:rsidR="002B3F16" w:rsidRPr="00FA366D">
        <w:rPr>
          <w:color w:val="000000" w:themeColor="text1"/>
        </w:rPr>
        <w:t xml:space="preserve"> point-of-care applications</w:t>
      </w:r>
      <w:r w:rsidR="007C260E" w:rsidRPr="00FA366D">
        <w:rPr>
          <w:color w:val="000000" w:themeColor="text1"/>
        </w:rPr>
        <w:t xml:space="preserve"> using </w:t>
      </w:r>
      <w:r w:rsidR="004F3787" w:rsidRPr="00FA366D">
        <w:rPr>
          <w:color w:val="000000" w:themeColor="text1"/>
        </w:rPr>
        <w:t>the portable ultrasound platform</w:t>
      </w:r>
      <w:r w:rsidR="002B3F16" w:rsidRPr="00FA366D">
        <w:rPr>
          <w:color w:val="000000" w:themeColor="text1"/>
        </w:rPr>
        <w:t>.</w:t>
      </w:r>
    </w:p>
    <w:p w14:paraId="243D9494" w14:textId="77777777" w:rsidR="00CE5383" w:rsidRPr="00FA366D" w:rsidRDefault="00CE5383" w:rsidP="001A7EF0">
      <w:pPr>
        <w:spacing w:line="0" w:lineRule="atLeast"/>
        <w:rPr>
          <w:color w:val="000000" w:themeColor="text1"/>
        </w:rPr>
      </w:pPr>
    </w:p>
    <w:p w14:paraId="03CF015B" w14:textId="11D33CEB" w:rsidR="004B0DF0" w:rsidRPr="00FA366D" w:rsidRDefault="002969B5" w:rsidP="001A7EF0">
      <w:pPr>
        <w:spacing w:line="0" w:lineRule="atLeast"/>
        <w:rPr>
          <w:color w:val="000000" w:themeColor="text1"/>
        </w:rPr>
      </w:pPr>
      <w:r w:rsidRPr="00FA366D">
        <w:rPr>
          <w:color w:val="000000" w:themeColor="text1"/>
        </w:rPr>
        <w:t>This compact, ultra-portable system eliminates the need for bulky cart-based hardware while retaining the ability to acquire RF data using user-defined transmit and receive aperture configurations. The system provides FPGA-based real-time beamforming for focused-wave (FW) and plane-wave (PW) linear scan acquisitions, two commonly used transmit configurations in clinical ultrasound imaging, while also allowing access to channel data for custom acquisition and beamforming strategies. The developed pipeline integrates multiple QUS processing methods based on spectral analysis and envelope statistics of beamformed RF data acquired using both focused-wave and plane-wave transmit configurations. Spectral-based QUS processing is performed using the reference phantom method</w:t>
      </w:r>
      <w:r w:rsidRPr="00FA366D">
        <w:rPr>
          <w:color w:val="000000" w:themeColor="text1"/>
          <w:vertAlign w:val="superscript"/>
        </w:rPr>
        <w:t>25</w:t>
      </w:r>
      <w:r w:rsidRPr="00FA366D">
        <w:rPr>
          <w:color w:val="000000" w:themeColor="text1"/>
        </w:rPr>
        <w:t xml:space="preserve"> to estimate the BSC and attenuation within sliding sub-regions of interest (sub-ROIs) defined inside a user-defined ROI, from which model-based fitting is used to extract QUS parameters related to tissue microstructure. Envelope statistics parameters are estimated from the envelope amplitudes within each sub-ROI using multiple probability distribution models. The computed QUS parameter maps are visualized as translucent color overlays on corresponding B-mode images, enabling near real-time spatial assessment of tissue acoustic properties. The goal of the present protocol is to demonstrate a near real-time QUS imaging pipeline that simplifies QUS imaging and brings it closer to the clinical environment. This protocol is intended for researchers and clinicians interested in quantitative point-of-care ultrasound applications, providing a flexible framework for translational biomedical ultrasound research and clinician-led QUS studies in human subjects. The following protocol </w:t>
      </w:r>
      <w:r w:rsidRPr="00FA366D">
        <w:rPr>
          <w:color w:val="000000" w:themeColor="text1"/>
        </w:rPr>
        <w:lastRenderedPageBreak/>
        <w:t xml:space="preserve">describes system setup, RF data acquisition, QUS processing, and parameter visualization using the developed </w:t>
      </w:r>
      <w:r w:rsidR="007C0D84" w:rsidRPr="00FA366D">
        <w:rPr>
          <w:color w:val="000000" w:themeColor="text1"/>
        </w:rPr>
        <w:t>numerical computing software–</w:t>
      </w:r>
      <w:r w:rsidRPr="00FA366D">
        <w:rPr>
          <w:color w:val="000000" w:themeColor="text1"/>
        </w:rPr>
        <w:t>based GUI on the portable ultrasound platform.</w:t>
      </w:r>
    </w:p>
    <w:p w14:paraId="28C75F26" w14:textId="77777777" w:rsidR="00D701E0" w:rsidRPr="00FA366D" w:rsidRDefault="00D701E0" w:rsidP="001A7EF0">
      <w:pPr>
        <w:spacing w:line="0" w:lineRule="atLeast"/>
        <w:rPr>
          <w:color w:val="000000" w:themeColor="text1"/>
        </w:rPr>
      </w:pPr>
    </w:p>
    <w:p w14:paraId="36E8F013" w14:textId="77777777" w:rsidR="004579E2" w:rsidRPr="00FA366D" w:rsidRDefault="002969B5" w:rsidP="001A7EF0">
      <w:pPr>
        <w:spacing w:line="0" w:lineRule="atLeast"/>
        <w:rPr>
          <w:b/>
          <w:bCs/>
          <w:color w:val="000000" w:themeColor="text1"/>
        </w:rPr>
      </w:pPr>
      <w:r w:rsidRPr="00FA366D">
        <w:rPr>
          <w:b/>
          <w:bCs/>
          <w:color w:val="000000" w:themeColor="text1"/>
        </w:rPr>
        <w:t>PROTOCOL:</w:t>
      </w:r>
    </w:p>
    <w:p w14:paraId="66EE9FF7" w14:textId="1BA2B676" w:rsidR="00E72C93" w:rsidRPr="00FA366D" w:rsidRDefault="008C544C" w:rsidP="001A7EF0">
      <w:pPr>
        <w:spacing w:line="0" w:lineRule="atLeast"/>
        <w:rPr>
          <w:color w:val="000000" w:themeColor="text1"/>
        </w:rPr>
      </w:pPr>
      <w:r w:rsidRPr="00FA366D">
        <w:rPr>
          <w:color w:val="000000" w:themeColor="text1"/>
        </w:rPr>
        <w:t>No human participants or live animals were involved. Therefore, institutional human research ethics approval and animal care and use committee approval were not required.</w:t>
      </w:r>
    </w:p>
    <w:p w14:paraId="6949711C" w14:textId="77777777" w:rsidR="004579E2" w:rsidRPr="00FA366D" w:rsidRDefault="004579E2" w:rsidP="001A7EF0">
      <w:pPr>
        <w:spacing w:line="0" w:lineRule="atLeast"/>
        <w:rPr>
          <w:b/>
          <w:bCs/>
          <w:color w:val="000000" w:themeColor="text1"/>
        </w:rPr>
      </w:pPr>
    </w:p>
    <w:p w14:paraId="4185248D" w14:textId="77777777" w:rsidR="004579E2" w:rsidRPr="00FA366D" w:rsidRDefault="002969B5" w:rsidP="001A7EF0">
      <w:pPr>
        <w:spacing w:line="0" w:lineRule="atLeast"/>
        <w:rPr>
          <w:b/>
          <w:bCs/>
          <w:color w:val="000000" w:themeColor="text1"/>
        </w:rPr>
      </w:pPr>
      <w:r w:rsidRPr="00FA366D">
        <w:rPr>
          <w:b/>
          <w:bCs/>
          <w:color w:val="000000" w:themeColor="text1"/>
        </w:rPr>
        <w:t>1. System Setup and GUI Initialization</w:t>
      </w:r>
    </w:p>
    <w:p w14:paraId="2BD805D9" w14:textId="77777777" w:rsidR="004579E2" w:rsidRPr="00FA366D" w:rsidRDefault="004579E2" w:rsidP="001A7EF0">
      <w:pPr>
        <w:spacing w:line="0" w:lineRule="atLeast"/>
        <w:rPr>
          <w:b/>
          <w:bCs/>
          <w:color w:val="000000" w:themeColor="text1"/>
        </w:rPr>
      </w:pPr>
    </w:p>
    <w:p w14:paraId="19651A65" w14:textId="54B11678" w:rsidR="004579E2" w:rsidRPr="00FA366D" w:rsidRDefault="002969B5" w:rsidP="001A7EF0">
      <w:pPr>
        <w:spacing w:line="0" w:lineRule="atLeast"/>
        <w:rPr>
          <w:color w:val="000000" w:themeColor="text1"/>
        </w:rPr>
      </w:pPr>
      <w:r w:rsidRPr="00FA366D">
        <w:rPr>
          <w:color w:val="000000" w:themeColor="text1"/>
        </w:rPr>
        <w:t xml:space="preserve">1.1. </w:t>
      </w:r>
      <w:r w:rsidR="00887EED" w:rsidRPr="00FA366D">
        <w:rPr>
          <w:color w:val="000000" w:themeColor="text1"/>
        </w:rPr>
        <w:t xml:space="preserve">Connect the linear ultrasound probe to the laptop using the USB-C cable, as shown in </w:t>
      </w:r>
      <w:r w:rsidR="00887EED" w:rsidRPr="00FA366D">
        <w:rPr>
          <w:b/>
          <w:bCs/>
          <w:color w:val="000000" w:themeColor="text1"/>
        </w:rPr>
        <w:t>Figure 1</w:t>
      </w:r>
      <w:r w:rsidR="00887EED" w:rsidRPr="00FA366D">
        <w:rPr>
          <w:color w:val="000000" w:themeColor="text1"/>
        </w:rPr>
        <w:t>. Ensure that the USB-C port is compatible with Thunderbolt technology (high-speed hardware interface) to support the high-speed data transfer required for real-time RF data streaming.</w:t>
      </w:r>
    </w:p>
    <w:p w14:paraId="56B24FE2" w14:textId="77777777" w:rsidR="004579E2" w:rsidRPr="00FA366D" w:rsidRDefault="004579E2" w:rsidP="001A7EF0">
      <w:pPr>
        <w:spacing w:line="0" w:lineRule="atLeast"/>
        <w:rPr>
          <w:color w:val="000000" w:themeColor="text1"/>
        </w:rPr>
      </w:pPr>
    </w:p>
    <w:p w14:paraId="11AF7DFA" w14:textId="77777777" w:rsidR="004579E2"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Figure 1</w:t>
      </w:r>
      <w:r w:rsidRPr="00FA366D">
        <w:rPr>
          <w:color w:val="000000" w:themeColor="text1"/>
        </w:rPr>
        <w:t xml:space="preserve"> here.]</w:t>
      </w:r>
    </w:p>
    <w:p w14:paraId="14809060" w14:textId="77777777" w:rsidR="004579E2" w:rsidRPr="00FA366D" w:rsidRDefault="004579E2" w:rsidP="001A7EF0">
      <w:pPr>
        <w:spacing w:line="0" w:lineRule="atLeast"/>
        <w:rPr>
          <w:color w:val="000000" w:themeColor="text1"/>
        </w:rPr>
      </w:pPr>
    </w:p>
    <w:p w14:paraId="232F8154" w14:textId="77777777" w:rsidR="004579E2" w:rsidRPr="00FA366D" w:rsidRDefault="002969B5" w:rsidP="001A7EF0">
      <w:pPr>
        <w:spacing w:line="0" w:lineRule="atLeast"/>
        <w:rPr>
          <w:color w:val="000000" w:themeColor="text1"/>
        </w:rPr>
      </w:pPr>
      <w:r w:rsidRPr="00FA366D">
        <w:rPr>
          <w:color w:val="000000" w:themeColor="text1"/>
        </w:rPr>
        <w:t xml:space="preserve">1.2. Press the power button on the probe, as annotated in </w:t>
      </w:r>
      <w:r w:rsidRPr="00FA366D">
        <w:rPr>
          <w:b/>
          <w:bCs/>
          <w:color w:val="000000" w:themeColor="text1"/>
        </w:rPr>
        <w:t>Figure 1</w:t>
      </w:r>
      <w:r w:rsidRPr="00FA366D">
        <w:rPr>
          <w:color w:val="000000" w:themeColor="text1"/>
        </w:rPr>
        <w:t>. Confirm that the red light-emitting diode (LED) indicator is illuminated, indicating that the probe is powered and ready for use.</w:t>
      </w:r>
    </w:p>
    <w:p w14:paraId="70812DCF" w14:textId="77777777" w:rsidR="004579E2" w:rsidRPr="00FA366D" w:rsidRDefault="004579E2" w:rsidP="001A7EF0">
      <w:pPr>
        <w:spacing w:line="0" w:lineRule="atLeast"/>
        <w:rPr>
          <w:color w:val="000000" w:themeColor="text1"/>
        </w:rPr>
      </w:pPr>
    </w:p>
    <w:p w14:paraId="26C7442E" w14:textId="6D5B2D1C" w:rsidR="004579E2" w:rsidRPr="00FA366D" w:rsidRDefault="002969B5" w:rsidP="001A7EF0">
      <w:pPr>
        <w:spacing w:line="0" w:lineRule="atLeast"/>
        <w:rPr>
          <w:color w:val="000000" w:themeColor="text1"/>
        </w:rPr>
      </w:pPr>
      <w:r w:rsidRPr="00FA366D">
        <w:rPr>
          <w:color w:val="000000" w:themeColor="text1"/>
        </w:rPr>
        <w:t xml:space="preserve">1.3. Launch </w:t>
      </w:r>
      <w:r w:rsidR="00D83BA1" w:rsidRPr="00FA366D">
        <w:rPr>
          <w:color w:val="000000" w:themeColor="text1"/>
        </w:rPr>
        <w:t>the numerical computing software</w:t>
      </w:r>
      <w:r w:rsidRPr="00FA366D">
        <w:rPr>
          <w:color w:val="000000" w:themeColor="text1"/>
        </w:rPr>
        <w:t xml:space="preserve"> (version 2018a or later) and navigate to the directory containing the GUI script. Open the script named </w:t>
      </w:r>
      <w:r w:rsidRPr="00FA366D">
        <w:rPr>
          <w:i/>
          <w:iCs/>
          <w:color w:val="000000" w:themeColor="text1"/>
        </w:rPr>
        <w:t>GUI_v1_main</w:t>
      </w:r>
      <w:proofErr w:type="gramStart"/>
      <w:r w:rsidRPr="00FA366D">
        <w:rPr>
          <w:i/>
          <w:iCs/>
          <w:color w:val="000000" w:themeColor="text1"/>
        </w:rPr>
        <w:t>1.m</w:t>
      </w:r>
      <w:r w:rsidRPr="00FA366D">
        <w:rPr>
          <w:color w:val="000000" w:themeColor="text1"/>
        </w:rPr>
        <w:t>.</w:t>
      </w:r>
      <w:proofErr w:type="gramEnd"/>
    </w:p>
    <w:p w14:paraId="458F546E" w14:textId="77777777" w:rsidR="004579E2" w:rsidRPr="00FA366D" w:rsidRDefault="004579E2" w:rsidP="001A7EF0">
      <w:pPr>
        <w:spacing w:line="0" w:lineRule="atLeast"/>
        <w:rPr>
          <w:color w:val="000000" w:themeColor="text1"/>
        </w:rPr>
      </w:pPr>
    </w:p>
    <w:p w14:paraId="507DAE82" w14:textId="4DC8ECB0" w:rsidR="00AB1FFE" w:rsidRPr="00FA366D" w:rsidRDefault="00AB1FFE" w:rsidP="001A7EF0">
      <w:pPr>
        <w:spacing w:line="0" w:lineRule="atLeast"/>
        <w:rPr>
          <w:color w:val="000000" w:themeColor="text1"/>
          <w:lang w:val="en-IN"/>
        </w:rPr>
      </w:pPr>
      <w:r w:rsidRPr="00FA366D">
        <w:rPr>
          <w:color w:val="000000" w:themeColor="text1"/>
          <w:lang w:val="en-IN"/>
        </w:rPr>
        <w:t xml:space="preserve">1.4. Before running the GUI, install </w:t>
      </w:r>
      <w:r w:rsidR="00D83BA1" w:rsidRPr="00FA366D">
        <w:rPr>
          <w:color w:val="000000" w:themeColor="text1"/>
        </w:rPr>
        <w:t>the numerical computing software</w:t>
      </w:r>
      <w:r w:rsidRPr="00FA366D">
        <w:rPr>
          <w:color w:val="000000" w:themeColor="text1"/>
          <w:lang w:val="en-IN"/>
        </w:rPr>
        <w:t xml:space="preserve"> R2018a or later (R2025b recommended) together with the required toolboxes: Signal Processing Toolbox, </w:t>
      </w:r>
      <w:r w:rsidR="008D3094" w:rsidRPr="00FA366D">
        <w:rPr>
          <w:color w:val="000000" w:themeColor="text1"/>
        </w:rPr>
        <w:t>Statistics and Machine Learning Toolbox (statistical analysis software toolbox)</w:t>
      </w:r>
      <w:r w:rsidRPr="00FA366D">
        <w:rPr>
          <w:color w:val="000000" w:themeColor="text1"/>
          <w:lang w:val="en-IN"/>
        </w:rPr>
        <w:t>, and Curve Fitting Toolbox.</w:t>
      </w:r>
    </w:p>
    <w:p w14:paraId="78A70A1A" w14:textId="77777777" w:rsidR="00AB1FFE" w:rsidRPr="00FA366D" w:rsidRDefault="00AB1FFE" w:rsidP="001A7EF0">
      <w:pPr>
        <w:spacing w:line="0" w:lineRule="atLeast"/>
        <w:rPr>
          <w:color w:val="000000" w:themeColor="text1"/>
          <w:lang w:val="en-IN"/>
        </w:rPr>
      </w:pPr>
    </w:p>
    <w:p w14:paraId="009C8E4B" w14:textId="29F1EC76" w:rsidR="00AB1FFE" w:rsidRPr="00FA366D" w:rsidRDefault="00AB1FFE" w:rsidP="001A7EF0">
      <w:pPr>
        <w:spacing w:line="0" w:lineRule="atLeast"/>
        <w:rPr>
          <w:color w:val="000000" w:themeColor="text1"/>
          <w:lang w:val="en-IN"/>
        </w:rPr>
      </w:pPr>
      <w:r w:rsidRPr="00FA366D">
        <w:rPr>
          <w:color w:val="000000" w:themeColor="text1"/>
          <w:lang w:val="en-IN"/>
        </w:rPr>
        <w:t xml:space="preserve">1.4.1. </w:t>
      </w:r>
      <w:r w:rsidR="00FB0193" w:rsidRPr="00FA366D">
        <w:rPr>
          <w:color w:val="000000" w:themeColor="text1"/>
        </w:rPr>
        <w:t>Install the device acquisition software (version 2.1.0)</w:t>
      </w:r>
      <w:r w:rsidR="004B4A2B" w:rsidRPr="00FA366D">
        <w:rPr>
          <w:color w:val="000000" w:themeColor="text1"/>
        </w:rPr>
        <w:t xml:space="preserve"> and the associated device drivers and MEX functions for data acquisition provided by the manufacturer.</w:t>
      </w:r>
    </w:p>
    <w:p w14:paraId="6C08BD49" w14:textId="77777777" w:rsidR="00AB1FFE" w:rsidRPr="00FA366D" w:rsidRDefault="00AB1FFE" w:rsidP="001A7EF0">
      <w:pPr>
        <w:spacing w:line="0" w:lineRule="atLeast"/>
        <w:rPr>
          <w:color w:val="000000" w:themeColor="text1"/>
          <w:lang w:val="en-IN"/>
        </w:rPr>
      </w:pPr>
    </w:p>
    <w:p w14:paraId="110B774A" w14:textId="7081FAC2" w:rsidR="00AB1FFE" w:rsidRPr="00FA366D" w:rsidRDefault="00AB1FFE" w:rsidP="001A7EF0">
      <w:pPr>
        <w:spacing w:line="0" w:lineRule="atLeast"/>
        <w:rPr>
          <w:color w:val="000000" w:themeColor="text1"/>
          <w:lang w:val="en-IN"/>
        </w:rPr>
      </w:pPr>
      <w:r w:rsidRPr="00FA366D">
        <w:rPr>
          <w:color w:val="000000" w:themeColor="text1"/>
          <w:lang w:val="en-IN"/>
        </w:rPr>
        <w:t xml:space="preserve">1.4.2. Add the folders containing the GUI and QUS processing code to the </w:t>
      </w:r>
      <w:r w:rsidR="005A0DEA" w:rsidRPr="00FA366D">
        <w:rPr>
          <w:color w:val="000000" w:themeColor="text1"/>
        </w:rPr>
        <w:t>numerical computing software search path</w:t>
      </w:r>
      <w:r w:rsidRPr="00FA366D">
        <w:rPr>
          <w:color w:val="000000" w:themeColor="text1"/>
          <w:lang w:val="en-IN"/>
        </w:rPr>
        <w:t xml:space="preserve">. </w:t>
      </w:r>
      <w:r w:rsidR="00FB0193" w:rsidRPr="00FA366D">
        <w:rPr>
          <w:color w:val="000000" w:themeColor="text1"/>
        </w:rPr>
        <w:t xml:space="preserve">Verify that the ultrasound probe is </w:t>
      </w:r>
      <w:r w:rsidRPr="00FA366D">
        <w:rPr>
          <w:color w:val="000000" w:themeColor="text1"/>
          <w:lang w:val="en-IN"/>
        </w:rPr>
        <w:t>recognized by the operating system before launching the GUI.</w:t>
      </w:r>
    </w:p>
    <w:p w14:paraId="7AE907D7" w14:textId="77777777" w:rsidR="00126A25" w:rsidRPr="00FA366D" w:rsidRDefault="00126A25" w:rsidP="001A7EF0">
      <w:pPr>
        <w:spacing w:line="0" w:lineRule="atLeast"/>
        <w:rPr>
          <w:color w:val="000000" w:themeColor="text1"/>
        </w:rPr>
      </w:pPr>
    </w:p>
    <w:p w14:paraId="1BD9AED8" w14:textId="182DB89A" w:rsidR="004579E2" w:rsidRPr="00FA366D" w:rsidRDefault="002969B5" w:rsidP="001A7EF0">
      <w:pPr>
        <w:spacing w:line="0" w:lineRule="atLeast"/>
        <w:rPr>
          <w:color w:val="000000" w:themeColor="text1"/>
        </w:rPr>
      </w:pPr>
      <w:r w:rsidRPr="00FA366D">
        <w:rPr>
          <w:color w:val="000000" w:themeColor="text1"/>
        </w:rPr>
        <w:t xml:space="preserve">1.5. Run the script to initialize the portable ultrasound system. Upon successful initialization, verify that the main GUI window opens, as shown in </w:t>
      </w:r>
      <w:r w:rsidRPr="00FA366D">
        <w:rPr>
          <w:b/>
          <w:bCs/>
          <w:color w:val="000000" w:themeColor="text1"/>
        </w:rPr>
        <w:t>Figure 2</w:t>
      </w:r>
      <w:r w:rsidRPr="00FA366D">
        <w:rPr>
          <w:color w:val="000000" w:themeColor="text1"/>
        </w:rPr>
        <w:t xml:space="preserve">. Monitor the </w:t>
      </w:r>
      <w:r w:rsidR="00282301" w:rsidRPr="00FA366D">
        <w:rPr>
          <w:color w:val="000000" w:themeColor="text1"/>
        </w:rPr>
        <w:t>numerical computing software Command Window</w:t>
      </w:r>
      <w:r w:rsidRPr="00FA366D">
        <w:rPr>
          <w:color w:val="000000" w:themeColor="text1"/>
        </w:rPr>
        <w:t xml:space="preserve"> and confirm that the message “Probe </w:t>
      </w:r>
      <w:proofErr w:type="gramStart"/>
      <w:r w:rsidRPr="00FA366D">
        <w:rPr>
          <w:color w:val="000000" w:themeColor="text1"/>
        </w:rPr>
        <w:t>state::</w:t>
      </w:r>
      <w:proofErr w:type="gramEnd"/>
      <w:r w:rsidRPr="00FA366D">
        <w:rPr>
          <w:color w:val="000000" w:themeColor="text1"/>
        </w:rPr>
        <w:t>READY” is displayed before proceeding. Note that initialization may take several seconds while the system establishes communication with the probe.</w:t>
      </w:r>
    </w:p>
    <w:p w14:paraId="09155C7B" w14:textId="77777777" w:rsidR="004579E2" w:rsidRPr="00FA366D" w:rsidRDefault="004579E2" w:rsidP="001A7EF0">
      <w:pPr>
        <w:spacing w:line="0" w:lineRule="atLeast"/>
        <w:rPr>
          <w:b/>
          <w:bCs/>
          <w:color w:val="000000" w:themeColor="text1"/>
        </w:rPr>
      </w:pPr>
    </w:p>
    <w:p w14:paraId="13897D27" w14:textId="77777777" w:rsidR="004579E2" w:rsidRPr="00FA366D" w:rsidRDefault="002969B5" w:rsidP="001A7EF0">
      <w:pPr>
        <w:spacing w:line="0" w:lineRule="atLeast"/>
        <w:rPr>
          <w:b/>
          <w:bCs/>
          <w:color w:val="000000" w:themeColor="text1"/>
        </w:rPr>
      </w:pPr>
      <w:r w:rsidRPr="00FA366D">
        <w:rPr>
          <w:color w:val="000000" w:themeColor="text1"/>
        </w:rPr>
        <w:t xml:space="preserve">[Place </w:t>
      </w:r>
      <w:r w:rsidRPr="00FA366D">
        <w:rPr>
          <w:b/>
          <w:bCs/>
          <w:color w:val="000000" w:themeColor="text1"/>
        </w:rPr>
        <w:t>Figure 2</w:t>
      </w:r>
      <w:r w:rsidRPr="00FA366D">
        <w:rPr>
          <w:color w:val="000000" w:themeColor="text1"/>
        </w:rPr>
        <w:t xml:space="preserve"> here.]</w:t>
      </w:r>
    </w:p>
    <w:p w14:paraId="1C9309ED" w14:textId="77777777" w:rsidR="004579E2" w:rsidRPr="00FA366D" w:rsidRDefault="004579E2" w:rsidP="001A7EF0">
      <w:pPr>
        <w:spacing w:line="0" w:lineRule="atLeast"/>
        <w:rPr>
          <w:color w:val="000000" w:themeColor="text1"/>
        </w:rPr>
      </w:pPr>
    </w:p>
    <w:p w14:paraId="74A8D267" w14:textId="50B052E9" w:rsidR="00DB66C8" w:rsidRPr="00FA366D" w:rsidRDefault="00DB66C8" w:rsidP="001A7EF0">
      <w:pPr>
        <w:spacing w:line="0" w:lineRule="atLeast"/>
        <w:rPr>
          <w:color w:val="000000" w:themeColor="text1"/>
          <w:lang w:val="en-IN"/>
        </w:rPr>
      </w:pPr>
      <w:r w:rsidRPr="00FA366D">
        <w:rPr>
          <w:color w:val="000000" w:themeColor="text1"/>
          <w:lang w:val="en-IN"/>
        </w:rPr>
        <w:t xml:space="preserve">1.6. If the message “Probe </w:t>
      </w:r>
      <w:proofErr w:type="gramStart"/>
      <w:r w:rsidRPr="00FA366D">
        <w:rPr>
          <w:color w:val="000000" w:themeColor="text1"/>
          <w:lang w:val="en-IN"/>
        </w:rPr>
        <w:t>state::</w:t>
      </w:r>
      <w:proofErr w:type="gramEnd"/>
      <w:r w:rsidRPr="00FA366D">
        <w:rPr>
          <w:color w:val="000000" w:themeColor="text1"/>
          <w:lang w:val="en-IN"/>
        </w:rPr>
        <w:t xml:space="preserve">READY” is not displayed, </w:t>
      </w:r>
      <w:r w:rsidR="00926319" w:rsidRPr="00FA366D">
        <w:rPr>
          <w:color w:val="000000" w:themeColor="text1"/>
        </w:rPr>
        <w:t>verify that the ultrasound probe is connected</w:t>
      </w:r>
      <w:r w:rsidRPr="00FA366D">
        <w:rPr>
          <w:color w:val="000000" w:themeColor="text1"/>
          <w:lang w:val="en-IN"/>
        </w:rPr>
        <w:t xml:space="preserve">, powered, and recognized by the operating system. </w:t>
      </w:r>
      <w:r w:rsidR="00926319" w:rsidRPr="00FA366D">
        <w:rPr>
          <w:color w:val="000000" w:themeColor="text1"/>
        </w:rPr>
        <w:t>Verify that the device acquisition software (version 2.1.0)</w:t>
      </w:r>
      <w:r w:rsidRPr="00FA366D">
        <w:rPr>
          <w:color w:val="000000" w:themeColor="text1"/>
          <w:lang w:val="en-IN"/>
        </w:rPr>
        <w:t>, the associated device drivers, and MEX functions are correctly installed.</w:t>
      </w:r>
    </w:p>
    <w:p w14:paraId="14AC4A57" w14:textId="77777777" w:rsidR="00DB66C8" w:rsidRPr="00FA366D" w:rsidRDefault="00DB66C8" w:rsidP="001A7EF0">
      <w:pPr>
        <w:spacing w:line="0" w:lineRule="atLeast"/>
        <w:rPr>
          <w:color w:val="000000" w:themeColor="text1"/>
          <w:lang w:val="en-IN"/>
        </w:rPr>
      </w:pPr>
    </w:p>
    <w:p w14:paraId="0B9CA2B2" w14:textId="7EE419D7" w:rsidR="00DB66C8" w:rsidRPr="00FA366D" w:rsidRDefault="00DB66C8" w:rsidP="001A7EF0">
      <w:pPr>
        <w:spacing w:line="0" w:lineRule="atLeast"/>
        <w:rPr>
          <w:color w:val="000000" w:themeColor="text1"/>
          <w:lang w:val="en-IN"/>
        </w:rPr>
      </w:pPr>
      <w:r w:rsidRPr="00FA366D">
        <w:rPr>
          <w:color w:val="000000" w:themeColor="text1"/>
          <w:lang w:val="en-IN"/>
        </w:rPr>
        <w:t xml:space="preserve">1.6.1. Restart the GUI and repeat the initialization. Proceed only after the message “Probe </w:t>
      </w:r>
      <w:proofErr w:type="gramStart"/>
      <w:r w:rsidRPr="00FA366D">
        <w:rPr>
          <w:color w:val="000000" w:themeColor="text1"/>
          <w:lang w:val="en-IN"/>
        </w:rPr>
        <w:t>state::</w:t>
      </w:r>
      <w:proofErr w:type="gramEnd"/>
      <w:r w:rsidRPr="00FA366D">
        <w:rPr>
          <w:color w:val="000000" w:themeColor="text1"/>
          <w:lang w:val="en-IN"/>
        </w:rPr>
        <w:t xml:space="preserve">READY” appears in the </w:t>
      </w:r>
      <w:r w:rsidR="00282301" w:rsidRPr="00FA366D">
        <w:rPr>
          <w:color w:val="000000" w:themeColor="text1"/>
        </w:rPr>
        <w:t>numerical computing software Command Window</w:t>
      </w:r>
      <w:r w:rsidRPr="00FA366D">
        <w:rPr>
          <w:color w:val="000000" w:themeColor="text1"/>
          <w:lang w:val="en-IN"/>
        </w:rPr>
        <w:t>.</w:t>
      </w:r>
    </w:p>
    <w:p w14:paraId="2C2741DC" w14:textId="77777777" w:rsidR="00DB66C8" w:rsidRPr="00FA366D" w:rsidRDefault="00DB66C8" w:rsidP="001A7EF0">
      <w:pPr>
        <w:spacing w:line="0" w:lineRule="atLeast"/>
        <w:rPr>
          <w:color w:val="000000" w:themeColor="text1"/>
          <w:lang w:val="en-IN"/>
        </w:rPr>
      </w:pPr>
    </w:p>
    <w:p w14:paraId="6BAC0B31" w14:textId="66582BB9" w:rsidR="00342326" w:rsidRPr="00FA366D" w:rsidRDefault="00DB66C8" w:rsidP="001A7EF0">
      <w:pPr>
        <w:spacing w:line="0" w:lineRule="atLeast"/>
        <w:rPr>
          <w:color w:val="000000" w:themeColor="text1"/>
          <w:lang w:val="en-IN"/>
        </w:rPr>
      </w:pPr>
      <w:r w:rsidRPr="00FA366D">
        <w:rPr>
          <w:color w:val="000000" w:themeColor="text1"/>
          <w:lang w:val="en-IN"/>
        </w:rPr>
        <w:t xml:space="preserve">1.6.2. </w:t>
      </w:r>
      <w:r w:rsidR="004B4A2B" w:rsidRPr="00FA366D">
        <w:rPr>
          <w:color w:val="000000" w:themeColor="text1"/>
        </w:rPr>
        <w:t>Refer to the device manual supplied by the manufacturer for additional troubleshooting guidance.</w:t>
      </w:r>
    </w:p>
    <w:p w14:paraId="5A0CEC5F" w14:textId="77777777" w:rsidR="004579E2" w:rsidRPr="00FA366D" w:rsidRDefault="004579E2" w:rsidP="001A7EF0">
      <w:pPr>
        <w:spacing w:line="0" w:lineRule="atLeast"/>
        <w:rPr>
          <w:color w:val="000000" w:themeColor="text1"/>
        </w:rPr>
      </w:pPr>
    </w:p>
    <w:p w14:paraId="3CD4E469" w14:textId="77777777" w:rsidR="004579E2" w:rsidRPr="00FA366D" w:rsidRDefault="002969B5" w:rsidP="001A7EF0">
      <w:pPr>
        <w:spacing w:line="0" w:lineRule="atLeast"/>
        <w:rPr>
          <w:b/>
          <w:bCs/>
          <w:color w:val="000000" w:themeColor="text1"/>
        </w:rPr>
      </w:pPr>
      <w:r w:rsidRPr="00FA366D">
        <w:rPr>
          <w:b/>
          <w:bCs/>
          <w:color w:val="000000" w:themeColor="text1"/>
        </w:rPr>
        <w:t>2. GUI Overview and Default Settings</w:t>
      </w:r>
    </w:p>
    <w:p w14:paraId="4E4B5933" w14:textId="77777777" w:rsidR="004579E2" w:rsidRPr="00FA366D" w:rsidRDefault="004579E2" w:rsidP="001A7EF0">
      <w:pPr>
        <w:spacing w:line="0" w:lineRule="atLeast"/>
        <w:rPr>
          <w:color w:val="000000" w:themeColor="text1"/>
        </w:rPr>
      </w:pPr>
    </w:p>
    <w:p w14:paraId="3BA9D730" w14:textId="77777777" w:rsidR="004579E2" w:rsidRPr="00FA366D" w:rsidRDefault="002969B5" w:rsidP="001A7EF0">
      <w:pPr>
        <w:spacing w:line="0" w:lineRule="atLeast"/>
        <w:rPr>
          <w:color w:val="000000" w:themeColor="text1"/>
        </w:rPr>
      </w:pPr>
      <w:r w:rsidRPr="00FA366D">
        <w:rPr>
          <w:color w:val="000000" w:themeColor="text1"/>
        </w:rPr>
        <w:t xml:space="preserve">2.1. Verify that the GUI titled “Ultrasound QUS Processing” has loaded successfully. Confirm that the GUI consists of three main components, as annotated in </w:t>
      </w:r>
      <w:r w:rsidRPr="00FA366D">
        <w:rPr>
          <w:b/>
          <w:bCs/>
          <w:color w:val="000000" w:themeColor="text1"/>
        </w:rPr>
        <w:t>Figure 2</w:t>
      </w:r>
      <w:r w:rsidRPr="00FA366D">
        <w:rPr>
          <w:color w:val="000000" w:themeColor="text1"/>
        </w:rPr>
        <w:t>: a top control bar, a bottom control panel, and a central display panel containing two image windows. Verify that the left window, titled “Live BF RF | FPS: 0.0,” displays the live B-mode image and that the right window, titled “QUS Overlay: ESD,” displays the QUS parameter map overlaid on the B-mode image. Note that both windows remain blank until data acquisition is started.</w:t>
      </w:r>
    </w:p>
    <w:p w14:paraId="7DB12839" w14:textId="77777777" w:rsidR="004579E2" w:rsidRPr="00FA366D" w:rsidRDefault="004579E2" w:rsidP="001A7EF0">
      <w:pPr>
        <w:spacing w:line="0" w:lineRule="atLeast"/>
        <w:rPr>
          <w:color w:val="000000" w:themeColor="text1"/>
        </w:rPr>
      </w:pPr>
    </w:p>
    <w:p w14:paraId="1061001B" w14:textId="77777777" w:rsidR="004579E2" w:rsidRPr="00FA366D" w:rsidRDefault="002969B5" w:rsidP="001A7EF0">
      <w:pPr>
        <w:spacing w:line="0" w:lineRule="atLeast"/>
        <w:rPr>
          <w:color w:val="000000" w:themeColor="text1"/>
        </w:rPr>
      </w:pPr>
      <w:r w:rsidRPr="00FA366D">
        <w:rPr>
          <w:color w:val="000000" w:themeColor="text1"/>
        </w:rPr>
        <w:t>2.2. Review the controls located in the top control bar.</w:t>
      </w:r>
    </w:p>
    <w:p w14:paraId="744DC6C6" w14:textId="77777777" w:rsidR="004579E2" w:rsidRPr="00FA366D" w:rsidRDefault="004579E2" w:rsidP="001A7EF0">
      <w:pPr>
        <w:spacing w:line="0" w:lineRule="atLeast"/>
        <w:rPr>
          <w:color w:val="000000" w:themeColor="text1"/>
        </w:rPr>
      </w:pPr>
    </w:p>
    <w:p w14:paraId="66CF9842" w14:textId="4BF10783" w:rsidR="004579E2" w:rsidRPr="00FA366D" w:rsidRDefault="002969B5" w:rsidP="001A7EF0">
      <w:pPr>
        <w:spacing w:line="0" w:lineRule="atLeast"/>
        <w:rPr>
          <w:color w:val="000000" w:themeColor="text1"/>
        </w:rPr>
      </w:pPr>
      <w:r w:rsidRPr="00FA366D">
        <w:rPr>
          <w:color w:val="000000" w:themeColor="text1"/>
        </w:rPr>
        <w:t xml:space="preserve">2.2.1. Verify that the “Left Overlay: ON” toggle button controls whether the QUS parameter map overlay is displayed on the left live B-mode image. Note that the QUS overlay in the right image window always remains enabled. </w:t>
      </w:r>
      <w:r w:rsidR="008C544C" w:rsidRPr="00FA366D">
        <w:rPr>
          <w:color w:val="000000" w:themeColor="text1"/>
        </w:rPr>
        <w:t>Use this toggle when comparing QUS parameters across different regions</w:t>
      </w:r>
      <w:r w:rsidRPr="00FA366D">
        <w:rPr>
          <w:color w:val="000000" w:themeColor="text1"/>
        </w:rPr>
        <w:t>.</w:t>
      </w:r>
    </w:p>
    <w:p w14:paraId="4510FF68" w14:textId="77777777" w:rsidR="004579E2" w:rsidRPr="00FA366D" w:rsidRDefault="004579E2" w:rsidP="001A7EF0">
      <w:pPr>
        <w:spacing w:line="0" w:lineRule="atLeast"/>
        <w:rPr>
          <w:color w:val="000000" w:themeColor="text1"/>
        </w:rPr>
      </w:pPr>
    </w:p>
    <w:p w14:paraId="3823140B" w14:textId="77777777" w:rsidR="004579E2" w:rsidRPr="00FA366D" w:rsidRDefault="002969B5" w:rsidP="001A7EF0">
      <w:pPr>
        <w:spacing w:line="0" w:lineRule="atLeast"/>
        <w:rPr>
          <w:color w:val="000000" w:themeColor="text1"/>
        </w:rPr>
      </w:pPr>
      <w:r w:rsidRPr="00FA366D">
        <w:rPr>
          <w:color w:val="000000" w:themeColor="text1"/>
        </w:rPr>
        <w:t>2.2.2. Verify that the “Acquisition” drop-down menu (</w:t>
      </w:r>
      <w:r w:rsidRPr="00FA366D">
        <w:rPr>
          <w:b/>
          <w:bCs/>
          <w:color w:val="000000" w:themeColor="text1"/>
        </w:rPr>
        <w:t>Figure 3A</w:t>
      </w:r>
      <w:r w:rsidRPr="00FA366D">
        <w:rPr>
          <w:color w:val="000000" w:themeColor="text1"/>
        </w:rPr>
        <w:t>) is set to “PW (Default),” corresponding to plane-wave transmit mode.</w:t>
      </w:r>
    </w:p>
    <w:p w14:paraId="34C4CCFA" w14:textId="77777777" w:rsidR="004579E2" w:rsidRPr="00FA366D" w:rsidRDefault="004579E2" w:rsidP="001A7EF0">
      <w:pPr>
        <w:spacing w:line="0" w:lineRule="atLeast"/>
        <w:rPr>
          <w:color w:val="000000" w:themeColor="text1"/>
        </w:rPr>
      </w:pPr>
    </w:p>
    <w:p w14:paraId="7CF86AA2" w14:textId="77777777" w:rsidR="004579E2"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Figure 3</w:t>
      </w:r>
      <w:r w:rsidRPr="00FA366D">
        <w:rPr>
          <w:color w:val="000000" w:themeColor="text1"/>
        </w:rPr>
        <w:t xml:space="preserve"> here.]</w:t>
      </w:r>
    </w:p>
    <w:p w14:paraId="611FC48E" w14:textId="77777777" w:rsidR="004579E2" w:rsidRPr="00FA366D" w:rsidRDefault="004579E2" w:rsidP="001A7EF0">
      <w:pPr>
        <w:spacing w:line="0" w:lineRule="atLeast"/>
        <w:rPr>
          <w:color w:val="000000" w:themeColor="text1"/>
        </w:rPr>
      </w:pPr>
    </w:p>
    <w:p w14:paraId="1AC47798" w14:textId="77777777" w:rsidR="004579E2" w:rsidRPr="00FA366D" w:rsidRDefault="002969B5" w:rsidP="001A7EF0">
      <w:pPr>
        <w:spacing w:line="0" w:lineRule="atLeast"/>
        <w:rPr>
          <w:color w:val="000000" w:themeColor="text1"/>
        </w:rPr>
      </w:pPr>
      <w:r w:rsidRPr="00FA366D">
        <w:rPr>
          <w:color w:val="000000" w:themeColor="text1"/>
        </w:rPr>
        <w:t>2.2.3. Verify that the “Select Params” button (</w:t>
      </w:r>
      <w:r w:rsidRPr="00FA366D">
        <w:rPr>
          <w:b/>
          <w:bCs/>
          <w:color w:val="000000" w:themeColor="text1"/>
        </w:rPr>
        <w:t>Figure 3B</w:t>
      </w:r>
      <w:r w:rsidRPr="00FA366D">
        <w:rPr>
          <w:color w:val="000000" w:themeColor="text1"/>
        </w:rPr>
        <w:t>) opens the parameter selection window described in Step 2.3.</w:t>
      </w:r>
    </w:p>
    <w:p w14:paraId="7E2CCD4B" w14:textId="77777777" w:rsidR="004579E2" w:rsidRPr="00FA366D" w:rsidRDefault="004579E2" w:rsidP="001A7EF0">
      <w:pPr>
        <w:spacing w:line="0" w:lineRule="atLeast"/>
        <w:rPr>
          <w:color w:val="000000" w:themeColor="text1"/>
        </w:rPr>
      </w:pPr>
    </w:p>
    <w:p w14:paraId="17CCB69A" w14:textId="77777777" w:rsidR="004579E2" w:rsidRPr="00FA366D" w:rsidRDefault="002969B5" w:rsidP="001A7EF0">
      <w:pPr>
        <w:spacing w:line="0" w:lineRule="atLeast"/>
        <w:rPr>
          <w:color w:val="000000" w:themeColor="text1"/>
        </w:rPr>
      </w:pPr>
      <w:r w:rsidRPr="00FA366D">
        <w:rPr>
          <w:color w:val="000000" w:themeColor="text1"/>
        </w:rPr>
        <w:t>2.2.4. Verify that the “QUS Map” drop-down menu (</w:t>
      </w:r>
      <w:r w:rsidRPr="00FA366D">
        <w:rPr>
          <w:b/>
          <w:bCs/>
          <w:color w:val="000000" w:themeColor="text1"/>
        </w:rPr>
        <w:t>Figure 3C</w:t>
      </w:r>
      <w:r w:rsidRPr="00FA366D">
        <w:rPr>
          <w:color w:val="000000" w:themeColor="text1"/>
        </w:rPr>
        <w:t>) is set to “ESD” by default. This setting determines the QUS parameter displayed as the color overlay in the right display window.</w:t>
      </w:r>
    </w:p>
    <w:p w14:paraId="2385EB44" w14:textId="77777777" w:rsidR="004579E2" w:rsidRPr="00FA366D" w:rsidRDefault="004579E2" w:rsidP="001A7EF0">
      <w:pPr>
        <w:spacing w:line="0" w:lineRule="atLeast"/>
        <w:rPr>
          <w:color w:val="000000" w:themeColor="text1"/>
        </w:rPr>
      </w:pPr>
    </w:p>
    <w:p w14:paraId="639F67D1" w14:textId="77777777" w:rsidR="004579E2" w:rsidRPr="00FA366D" w:rsidRDefault="002969B5" w:rsidP="001A7EF0">
      <w:pPr>
        <w:spacing w:line="0" w:lineRule="atLeast"/>
        <w:rPr>
          <w:color w:val="000000" w:themeColor="text1"/>
        </w:rPr>
      </w:pPr>
      <w:r w:rsidRPr="00FA366D">
        <w:rPr>
          <w:color w:val="000000" w:themeColor="text1"/>
        </w:rPr>
        <w:t>2.2.5. Verify that the “Set Limits” button (</w:t>
      </w:r>
      <w:r w:rsidRPr="00FA366D">
        <w:rPr>
          <w:b/>
          <w:bCs/>
          <w:color w:val="000000" w:themeColor="text1"/>
        </w:rPr>
        <w:t>Figure 3D</w:t>
      </w:r>
      <w:r w:rsidRPr="00FA366D">
        <w:rPr>
          <w:color w:val="000000" w:themeColor="text1"/>
        </w:rPr>
        <w:t>), which adjusts the color scale limits of the QUS parameter map, is inactive before data acquisition begins.</w:t>
      </w:r>
    </w:p>
    <w:p w14:paraId="755EAE24" w14:textId="77777777" w:rsidR="004579E2" w:rsidRPr="00FA366D" w:rsidRDefault="004579E2" w:rsidP="001A7EF0">
      <w:pPr>
        <w:spacing w:line="0" w:lineRule="atLeast"/>
        <w:rPr>
          <w:color w:val="000000" w:themeColor="text1"/>
        </w:rPr>
      </w:pPr>
    </w:p>
    <w:p w14:paraId="4C4B8686" w14:textId="77777777" w:rsidR="004579E2" w:rsidRPr="00FA366D" w:rsidRDefault="002969B5" w:rsidP="001A7EF0">
      <w:pPr>
        <w:spacing w:line="0" w:lineRule="atLeast"/>
        <w:rPr>
          <w:color w:val="000000" w:themeColor="text1"/>
        </w:rPr>
      </w:pPr>
      <w:r w:rsidRPr="00FA366D">
        <w:rPr>
          <w:color w:val="000000" w:themeColor="text1"/>
        </w:rPr>
        <w:t xml:space="preserve">2.3. Click “Select Params” to open the parameter selection window, as shown in </w:t>
      </w:r>
      <w:r w:rsidRPr="00FA366D">
        <w:rPr>
          <w:b/>
          <w:bCs/>
          <w:color w:val="000000" w:themeColor="text1"/>
        </w:rPr>
        <w:t>Figure 3B</w:t>
      </w:r>
      <w:r w:rsidRPr="00FA366D">
        <w:rPr>
          <w:color w:val="000000" w:themeColor="text1"/>
        </w:rPr>
        <w:t>. Verify that the following parameters are selected by default for near real-time processing.</w:t>
      </w:r>
    </w:p>
    <w:p w14:paraId="0874AECE" w14:textId="77777777" w:rsidR="004579E2" w:rsidRPr="00FA366D" w:rsidRDefault="004579E2" w:rsidP="001A7EF0">
      <w:pPr>
        <w:spacing w:line="0" w:lineRule="atLeast"/>
        <w:rPr>
          <w:color w:val="000000" w:themeColor="text1"/>
        </w:rPr>
      </w:pPr>
    </w:p>
    <w:p w14:paraId="7F62CC6E" w14:textId="77777777" w:rsidR="004579E2" w:rsidRPr="00FA366D" w:rsidRDefault="002969B5" w:rsidP="001A7EF0">
      <w:pPr>
        <w:spacing w:line="0" w:lineRule="atLeast"/>
        <w:rPr>
          <w:color w:val="000000" w:themeColor="text1"/>
        </w:rPr>
      </w:pPr>
      <w:r w:rsidRPr="00FA366D">
        <w:rPr>
          <w:color w:val="000000" w:themeColor="text1"/>
        </w:rPr>
        <w:t xml:space="preserve">2.3.1. Gaussian scattering model </w:t>
      </w:r>
      <w:proofErr w:type="gramStart"/>
      <w:r w:rsidRPr="00FA366D">
        <w:rPr>
          <w:color w:val="000000" w:themeColor="text1"/>
        </w:rPr>
        <w:t>fit to</w:t>
      </w:r>
      <w:proofErr w:type="gramEnd"/>
      <w:r w:rsidRPr="00FA366D">
        <w:rPr>
          <w:color w:val="000000" w:themeColor="text1"/>
        </w:rPr>
        <w:t xml:space="preserve"> the BSC: ESD and EAC.</w:t>
      </w:r>
    </w:p>
    <w:p w14:paraId="0C498FA0" w14:textId="77777777" w:rsidR="004579E2" w:rsidRPr="00FA366D" w:rsidRDefault="004579E2" w:rsidP="001A7EF0">
      <w:pPr>
        <w:spacing w:line="0" w:lineRule="atLeast"/>
        <w:rPr>
          <w:color w:val="000000" w:themeColor="text1"/>
        </w:rPr>
      </w:pPr>
    </w:p>
    <w:p w14:paraId="7D17A3BF" w14:textId="77777777" w:rsidR="004579E2" w:rsidRPr="00FA366D" w:rsidRDefault="002969B5" w:rsidP="001A7EF0">
      <w:pPr>
        <w:spacing w:line="0" w:lineRule="atLeast"/>
        <w:rPr>
          <w:color w:val="000000" w:themeColor="text1"/>
        </w:rPr>
      </w:pPr>
      <w:r w:rsidRPr="00FA366D">
        <w:rPr>
          <w:color w:val="000000" w:themeColor="text1"/>
        </w:rPr>
        <w:t>2.3.2. Linear model fit to the BSC: MBF, SS, and I0.</w:t>
      </w:r>
    </w:p>
    <w:p w14:paraId="0EF1C030" w14:textId="77777777" w:rsidR="004579E2" w:rsidRPr="00FA366D" w:rsidRDefault="004579E2" w:rsidP="001A7EF0">
      <w:pPr>
        <w:spacing w:line="0" w:lineRule="atLeast"/>
        <w:rPr>
          <w:color w:val="000000" w:themeColor="text1"/>
        </w:rPr>
      </w:pPr>
    </w:p>
    <w:p w14:paraId="6B66B732" w14:textId="77777777" w:rsidR="004579E2" w:rsidRPr="00FA366D" w:rsidRDefault="002969B5" w:rsidP="001A7EF0">
      <w:pPr>
        <w:spacing w:line="0" w:lineRule="atLeast"/>
        <w:rPr>
          <w:color w:val="000000" w:themeColor="text1"/>
        </w:rPr>
      </w:pPr>
      <w:r w:rsidRPr="00FA366D">
        <w:rPr>
          <w:color w:val="000000" w:themeColor="text1"/>
        </w:rPr>
        <w:lastRenderedPageBreak/>
        <w:t>2.3.3. Envelope statistics-based Nakagami parameters: Nakagami scale parameter and Nakagami shape parameter.</w:t>
      </w:r>
    </w:p>
    <w:p w14:paraId="5E8ED71F" w14:textId="77777777" w:rsidR="004579E2" w:rsidRPr="00FA366D" w:rsidRDefault="004579E2" w:rsidP="001A7EF0">
      <w:pPr>
        <w:spacing w:line="0" w:lineRule="atLeast"/>
        <w:rPr>
          <w:color w:val="000000" w:themeColor="text1"/>
        </w:rPr>
      </w:pPr>
    </w:p>
    <w:p w14:paraId="28DFB813" w14:textId="67E3C00E" w:rsidR="004579E2" w:rsidRPr="00FA366D" w:rsidRDefault="002969B5" w:rsidP="001A7EF0">
      <w:pPr>
        <w:spacing w:line="0" w:lineRule="atLeast"/>
        <w:rPr>
          <w:color w:val="000000" w:themeColor="text1"/>
        </w:rPr>
      </w:pPr>
      <w:r w:rsidRPr="00FA366D">
        <w:rPr>
          <w:color w:val="000000" w:themeColor="text1"/>
        </w:rPr>
        <w:t xml:space="preserve">2.3.4. Add additional parameters, including Rayleigh signal-to-noise ratio (SNR), </w:t>
      </w:r>
      <w:r w:rsidR="000A4D44" w:rsidRPr="00FA366D">
        <w:rPr>
          <w:color w:val="000000" w:themeColor="text1"/>
        </w:rPr>
        <w:t>H-K</w:t>
      </w:r>
      <w:r w:rsidRPr="00FA366D">
        <w:rPr>
          <w:color w:val="000000" w:themeColor="text1"/>
        </w:rPr>
        <w:t xml:space="preserve"> parameters, and attenuation-based parameters (attenuation coefficient and attenuation intercept), by holding Shift while selecting the desired parameters. Click “Select All” to select all available parameters. Note that selecting a larger number of parameters reduces the processing frame rate, as discussed in the </w:t>
      </w:r>
      <w:r w:rsidRPr="00FA366D">
        <w:rPr>
          <w:b/>
          <w:bCs/>
          <w:i/>
          <w:iCs/>
          <w:color w:val="000000" w:themeColor="text1"/>
        </w:rPr>
        <w:t>Representative Results and Discussion</w:t>
      </w:r>
      <w:r w:rsidRPr="00FA366D">
        <w:rPr>
          <w:color w:val="000000" w:themeColor="text1"/>
        </w:rPr>
        <w:t xml:space="preserve"> sections.</w:t>
      </w:r>
    </w:p>
    <w:p w14:paraId="29A57563" w14:textId="77777777" w:rsidR="004579E2" w:rsidRPr="00FA366D" w:rsidRDefault="004579E2" w:rsidP="001A7EF0">
      <w:pPr>
        <w:spacing w:line="0" w:lineRule="atLeast"/>
        <w:rPr>
          <w:color w:val="000000" w:themeColor="text1"/>
        </w:rPr>
      </w:pPr>
    </w:p>
    <w:p w14:paraId="4B95318E" w14:textId="77777777" w:rsidR="004579E2" w:rsidRPr="00FA366D" w:rsidRDefault="002969B5" w:rsidP="001A7EF0">
      <w:pPr>
        <w:spacing w:line="0" w:lineRule="atLeast"/>
        <w:rPr>
          <w:color w:val="000000" w:themeColor="text1"/>
        </w:rPr>
      </w:pPr>
      <w:r w:rsidRPr="00FA366D">
        <w:rPr>
          <w:color w:val="000000" w:themeColor="text1"/>
        </w:rPr>
        <w:t>2.3.5. Use the “Select ROI” button (</w:t>
      </w:r>
      <w:r w:rsidRPr="00FA366D">
        <w:rPr>
          <w:b/>
          <w:bCs/>
          <w:color w:val="000000" w:themeColor="text1"/>
        </w:rPr>
        <w:t>Figure 3E</w:t>
      </w:r>
      <w:r w:rsidRPr="00FA366D">
        <w:rPr>
          <w:color w:val="000000" w:themeColor="text1"/>
        </w:rPr>
        <w:t>) to activate the crosshair tool for selecting two diagonally opposite corners of a rectangular ROI on the B-mode image. Note that this function becomes available only after data acquisition has started.</w:t>
      </w:r>
    </w:p>
    <w:p w14:paraId="359ADF37" w14:textId="77777777" w:rsidR="004579E2" w:rsidRPr="00FA366D" w:rsidRDefault="004579E2" w:rsidP="001A7EF0">
      <w:pPr>
        <w:spacing w:line="0" w:lineRule="atLeast"/>
        <w:rPr>
          <w:color w:val="000000" w:themeColor="text1"/>
        </w:rPr>
      </w:pPr>
    </w:p>
    <w:p w14:paraId="11721787" w14:textId="58ACBD2E" w:rsidR="004579E2" w:rsidRPr="00FA366D" w:rsidRDefault="009F5AE9" w:rsidP="001A7EF0">
      <w:pPr>
        <w:spacing w:line="0" w:lineRule="atLeast"/>
        <w:rPr>
          <w:color w:val="000000" w:themeColor="text1"/>
        </w:rPr>
      </w:pPr>
      <w:r w:rsidRPr="00FA366D">
        <w:rPr>
          <w:color w:val="000000" w:themeColor="text1"/>
        </w:rPr>
        <w:t>NOTE: The GUI automatically restores the default parameter configuration each time it is launched.</w:t>
      </w:r>
    </w:p>
    <w:p w14:paraId="60FD41A6" w14:textId="77777777" w:rsidR="004579E2" w:rsidRPr="00FA366D" w:rsidRDefault="004579E2" w:rsidP="001A7EF0">
      <w:pPr>
        <w:spacing w:line="0" w:lineRule="atLeast"/>
        <w:rPr>
          <w:color w:val="000000" w:themeColor="text1"/>
        </w:rPr>
      </w:pPr>
    </w:p>
    <w:p w14:paraId="6ECC7291" w14:textId="77777777" w:rsidR="004579E2" w:rsidRPr="00FA366D" w:rsidRDefault="002969B5" w:rsidP="001A7EF0">
      <w:pPr>
        <w:spacing w:line="0" w:lineRule="atLeast"/>
        <w:rPr>
          <w:color w:val="000000" w:themeColor="text1"/>
        </w:rPr>
      </w:pPr>
      <w:r w:rsidRPr="00FA366D">
        <w:rPr>
          <w:color w:val="000000" w:themeColor="text1"/>
        </w:rPr>
        <w:t>2.4. Review the two sections of the control panel.</w:t>
      </w:r>
    </w:p>
    <w:p w14:paraId="345408C8" w14:textId="77777777" w:rsidR="004579E2" w:rsidRPr="00FA366D" w:rsidRDefault="004579E2" w:rsidP="001A7EF0">
      <w:pPr>
        <w:spacing w:line="0" w:lineRule="atLeast"/>
        <w:rPr>
          <w:color w:val="000000" w:themeColor="text1"/>
        </w:rPr>
      </w:pPr>
    </w:p>
    <w:p w14:paraId="16E1ADE9" w14:textId="70396CB9" w:rsidR="004579E2" w:rsidRPr="00FA366D" w:rsidRDefault="002969B5" w:rsidP="001A7EF0">
      <w:pPr>
        <w:spacing w:line="0" w:lineRule="atLeast"/>
        <w:rPr>
          <w:color w:val="000000" w:themeColor="text1"/>
        </w:rPr>
      </w:pPr>
      <w:r w:rsidRPr="00FA366D">
        <w:rPr>
          <w:color w:val="000000" w:themeColor="text1"/>
        </w:rPr>
        <w:t>2.4.1. Verify that the “Sample Attenuation” section (</w:t>
      </w:r>
      <w:r w:rsidRPr="00FA366D">
        <w:rPr>
          <w:b/>
          <w:bCs/>
          <w:color w:val="000000" w:themeColor="text1"/>
        </w:rPr>
        <w:t>Figure 3F</w:t>
      </w:r>
      <w:r w:rsidRPr="00FA366D">
        <w:rPr>
          <w:color w:val="000000" w:themeColor="text1"/>
        </w:rPr>
        <w:t>) contains editable fields for the attenuation coefficient (</w:t>
      </w:r>
      <w:r w:rsidRPr="00FA366D">
        <w:rPr>
          <w:i/>
          <w:iCs/>
          <w:color w:val="000000" w:themeColor="text1"/>
        </w:rPr>
        <w:t>a</w:t>
      </w:r>
      <w:r w:rsidRPr="00FA366D">
        <w:rPr>
          <w:color w:val="000000" w:themeColor="text1"/>
        </w:rPr>
        <w:t>, dB/cm/MHz), exponent (</w:t>
      </w:r>
      <w:r w:rsidRPr="00FA366D">
        <w:rPr>
          <w:i/>
          <w:iCs/>
          <w:color w:val="000000" w:themeColor="text1"/>
        </w:rPr>
        <w:t>n</w:t>
      </w:r>
      <w:r w:rsidRPr="00FA366D">
        <w:rPr>
          <w:color w:val="000000" w:themeColor="text1"/>
        </w:rPr>
        <w:t>), and attenuation intercept (</w:t>
      </w:r>
      <w:r w:rsidRPr="00FA366D">
        <w:rPr>
          <w:i/>
          <w:iCs/>
          <w:color w:val="000000" w:themeColor="text1"/>
        </w:rPr>
        <w:t>c</w:t>
      </w:r>
      <w:r w:rsidRPr="00FA366D">
        <w:rPr>
          <w:color w:val="000000" w:themeColor="text1"/>
        </w:rPr>
        <w:t xml:space="preserve">, dB/cm), with default values of 0.5, 1, and 0, respectively. Use these values to compensate for two-way attenuation during QUS processing, </w:t>
      </w:r>
      <w:r w:rsidR="0006618F" w:rsidRPr="00FA366D">
        <w:rPr>
          <w:color w:val="000000" w:themeColor="text1"/>
        </w:rPr>
        <w:t>as described in Steps 3.5–3.7</w:t>
      </w:r>
      <w:r w:rsidRPr="00FA366D">
        <w:rPr>
          <w:color w:val="000000" w:themeColor="text1"/>
        </w:rPr>
        <w:t>.</w:t>
      </w:r>
    </w:p>
    <w:p w14:paraId="6AD98188" w14:textId="77777777" w:rsidR="004579E2" w:rsidRPr="00FA366D" w:rsidRDefault="004579E2" w:rsidP="001A7EF0">
      <w:pPr>
        <w:spacing w:line="0" w:lineRule="atLeast"/>
        <w:rPr>
          <w:color w:val="000000" w:themeColor="text1"/>
        </w:rPr>
      </w:pPr>
    </w:p>
    <w:p w14:paraId="354B3FF5" w14:textId="77777777" w:rsidR="004579E2" w:rsidRPr="00FA366D" w:rsidRDefault="002969B5" w:rsidP="001A7EF0">
      <w:pPr>
        <w:spacing w:line="0" w:lineRule="atLeast"/>
        <w:rPr>
          <w:color w:val="000000" w:themeColor="text1"/>
        </w:rPr>
      </w:pPr>
      <w:r w:rsidRPr="00FA366D">
        <w:rPr>
          <w:color w:val="000000" w:themeColor="text1"/>
        </w:rPr>
        <w:t>2.4.2. Verify that the “Scan Parameters” section (</w:t>
      </w:r>
      <w:r w:rsidRPr="00FA366D">
        <w:rPr>
          <w:b/>
          <w:bCs/>
          <w:color w:val="000000" w:themeColor="text1"/>
        </w:rPr>
        <w:t>Figure 3G</w:t>
      </w:r>
      <w:r w:rsidRPr="00FA366D">
        <w:rPr>
          <w:color w:val="000000" w:themeColor="text1"/>
        </w:rPr>
        <w:t>) contains editable fields for “Start depth (mm)” and “End depth (mm),” with default values of 0 mm and 100 mm, respectively. Verify that the “fd (mm) [FW only]” field specifies the transmit focal depth for focused-wave acquisition. Confirm that this field is inactive and displays “N/A” during plane-wave acquisition.</w:t>
      </w:r>
    </w:p>
    <w:p w14:paraId="7F9C5A03" w14:textId="77777777" w:rsidR="00047F7D" w:rsidRPr="00FA366D" w:rsidRDefault="00047F7D" w:rsidP="001A7EF0">
      <w:pPr>
        <w:spacing w:line="0" w:lineRule="atLeast"/>
        <w:rPr>
          <w:color w:val="000000" w:themeColor="text1"/>
        </w:rPr>
      </w:pPr>
    </w:p>
    <w:p w14:paraId="3E7C3343" w14:textId="4BB52F84" w:rsidR="004579E2" w:rsidRPr="00FA366D" w:rsidRDefault="00047F7D" w:rsidP="001A7EF0">
      <w:pPr>
        <w:spacing w:line="0" w:lineRule="atLeast"/>
        <w:rPr>
          <w:color w:val="000000" w:themeColor="text1"/>
        </w:rPr>
      </w:pPr>
      <w:r w:rsidRPr="00FA366D">
        <w:rPr>
          <w:color w:val="000000" w:themeColor="text1"/>
        </w:rPr>
        <w:t xml:space="preserve">2.4.3. Enter finite numeric values in the attenuation fields. Enter numeric scan depths, with the start depth ≥ 0 mm and the end depth greater than the start depth. If an invalid value is entered, acknowledge the warning; the field will revert to the current configuration value. In focused-wave mode, enter a numeric focal depth; the value is </w:t>
      </w:r>
      <w:r w:rsidR="0006618F" w:rsidRPr="00FA366D">
        <w:rPr>
          <w:color w:val="000000" w:themeColor="text1"/>
        </w:rPr>
        <w:t>automatically rounded to the nearest 5 mm within the range of 10–75 mm</w:t>
      </w:r>
      <w:r w:rsidRPr="00FA366D">
        <w:rPr>
          <w:color w:val="000000" w:themeColor="text1"/>
        </w:rPr>
        <w:t>.</w:t>
      </w:r>
    </w:p>
    <w:p w14:paraId="3DC76230" w14:textId="77777777" w:rsidR="004579E2" w:rsidRPr="00FA366D" w:rsidRDefault="004579E2" w:rsidP="001A7EF0">
      <w:pPr>
        <w:spacing w:line="0" w:lineRule="atLeast"/>
        <w:rPr>
          <w:color w:val="000000" w:themeColor="text1"/>
        </w:rPr>
      </w:pPr>
    </w:p>
    <w:p w14:paraId="250EA4E7" w14:textId="77777777" w:rsidR="004579E2" w:rsidRPr="00FA366D" w:rsidRDefault="002969B5" w:rsidP="001A7EF0">
      <w:pPr>
        <w:spacing w:line="0" w:lineRule="atLeast"/>
        <w:rPr>
          <w:color w:val="000000" w:themeColor="text1"/>
        </w:rPr>
      </w:pPr>
      <w:r w:rsidRPr="00FA366D">
        <w:rPr>
          <w:color w:val="000000" w:themeColor="text1"/>
        </w:rPr>
        <w:t>2.5. Verify that the default ROI displayed at the bottom of the GUI is “ROI: X = [−15, 15] mm, Z = [10, 41] mm,” with a processing sub-ROI size of 5 mm × 3 mm. These values define the processing region and the dimensions of the sliding sub-ROI windows used for spectral analysis. Modify these values using the “Processing Params” button, as described in Step 2.6.</w:t>
      </w:r>
    </w:p>
    <w:p w14:paraId="3DD9071D" w14:textId="77777777" w:rsidR="004579E2" w:rsidRPr="00FA366D" w:rsidRDefault="004579E2" w:rsidP="001A7EF0">
      <w:pPr>
        <w:spacing w:line="0" w:lineRule="atLeast"/>
        <w:rPr>
          <w:color w:val="000000" w:themeColor="text1"/>
        </w:rPr>
      </w:pPr>
    </w:p>
    <w:p w14:paraId="49F2AB2B" w14:textId="3C277963" w:rsidR="004579E2" w:rsidRPr="00FA366D" w:rsidRDefault="00E561EB" w:rsidP="001A7EF0">
      <w:pPr>
        <w:spacing w:line="0" w:lineRule="atLeast"/>
        <w:rPr>
          <w:color w:val="000000" w:themeColor="text1"/>
        </w:rPr>
      </w:pPr>
      <w:r w:rsidRPr="00FA366D">
        <w:rPr>
          <w:color w:val="000000" w:themeColor="text1"/>
        </w:rPr>
        <w:t>NOTE: The default ROI and sub-ROI dimensions are predefined and remain fixed across all acquisition configurations. The ROI may be modified interactively during a paused acquisition using the “Select ROI” function.</w:t>
      </w:r>
    </w:p>
    <w:p w14:paraId="7D9D5CF8" w14:textId="77777777" w:rsidR="004579E2" w:rsidRPr="00FA366D" w:rsidRDefault="004579E2" w:rsidP="001A7EF0">
      <w:pPr>
        <w:spacing w:line="0" w:lineRule="atLeast"/>
        <w:rPr>
          <w:color w:val="000000" w:themeColor="text1"/>
        </w:rPr>
      </w:pPr>
    </w:p>
    <w:p w14:paraId="190499D2" w14:textId="77777777" w:rsidR="004579E2" w:rsidRPr="00FA366D" w:rsidRDefault="002969B5" w:rsidP="001A7EF0">
      <w:pPr>
        <w:spacing w:line="0" w:lineRule="atLeast"/>
        <w:rPr>
          <w:color w:val="000000" w:themeColor="text1"/>
        </w:rPr>
      </w:pPr>
      <w:r w:rsidRPr="00FA366D">
        <w:rPr>
          <w:color w:val="000000" w:themeColor="text1"/>
        </w:rPr>
        <w:t xml:space="preserve">2.6. Click “Processing Params” to open the processing parameters window, as shown in </w:t>
      </w:r>
      <w:r w:rsidRPr="00FA366D">
        <w:rPr>
          <w:b/>
          <w:bCs/>
          <w:color w:val="000000" w:themeColor="text1"/>
        </w:rPr>
        <w:t xml:space="preserve">Figure </w:t>
      </w:r>
      <w:r w:rsidRPr="00FA366D">
        <w:rPr>
          <w:b/>
          <w:bCs/>
          <w:color w:val="000000" w:themeColor="text1"/>
        </w:rPr>
        <w:lastRenderedPageBreak/>
        <w:t>3H</w:t>
      </w:r>
      <w:r w:rsidRPr="00FA366D">
        <w:rPr>
          <w:color w:val="000000" w:themeColor="text1"/>
        </w:rPr>
        <w:t>.</w:t>
      </w:r>
    </w:p>
    <w:p w14:paraId="608DCD5A" w14:textId="77777777" w:rsidR="004579E2" w:rsidRPr="00FA366D" w:rsidRDefault="004579E2" w:rsidP="001A7EF0">
      <w:pPr>
        <w:spacing w:line="0" w:lineRule="atLeast"/>
        <w:rPr>
          <w:color w:val="000000" w:themeColor="text1"/>
        </w:rPr>
      </w:pPr>
    </w:p>
    <w:p w14:paraId="3B0BDB26" w14:textId="77777777" w:rsidR="004579E2" w:rsidRPr="00FA366D" w:rsidRDefault="002969B5" w:rsidP="001A7EF0">
      <w:pPr>
        <w:spacing w:line="0" w:lineRule="atLeast"/>
        <w:rPr>
          <w:color w:val="000000" w:themeColor="text1"/>
        </w:rPr>
      </w:pPr>
      <w:r w:rsidRPr="00FA366D">
        <w:rPr>
          <w:color w:val="000000" w:themeColor="text1"/>
        </w:rPr>
        <w:t>2.6.1. Verify that “Axial ROI (mm)” defines the axial dimension of the processing sub-ROI.</w:t>
      </w:r>
    </w:p>
    <w:p w14:paraId="50E31865" w14:textId="77777777" w:rsidR="004579E2" w:rsidRPr="00FA366D" w:rsidRDefault="004579E2" w:rsidP="001A7EF0">
      <w:pPr>
        <w:spacing w:line="0" w:lineRule="atLeast"/>
        <w:rPr>
          <w:color w:val="000000" w:themeColor="text1"/>
        </w:rPr>
      </w:pPr>
    </w:p>
    <w:p w14:paraId="332BC17E" w14:textId="77777777" w:rsidR="004579E2" w:rsidRPr="00FA366D" w:rsidRDefault="002969B5" w:rsidP="001A7EF0">
      <w:pPr>
        <w:spacing w:line="0" w:lineRule="atLeast"/>
        <w:rPr>
          <w:color w:val="000000" w:themeColor="text1"/>
        </w:rPr>
      </w:pPr>
      <w:r w:rsidRPr="00FA366D">
        <w:rPr>
          <w:color w:val="000000" w:themeColor="text1"/>
        </w:rPr>
        <w:t>2.6.2. Verify that “Lateral ROI (mm)” defines the lateral dimension of the processing sub-ROI.</w:t>
      </w:r>
    </w:p>
    <w:p w14:paraId="30AAE0B5" w14:textId="77777777" w:rsidR="004579E2" w:rsidRPr="00FA366D" w:rsidRDefault="004579E2" w:rsidP="001A7EF0">
      <w:pPr>
        <w:spacing w:line="0" w:lineRule="atLeast"/>
        <w:rPr>
          <w:color w:val="000000" w:themeColor="text1"/>
        </w:rPr>
      </w:pPr>
    </w:p>
    <w:p w14:paraId="267B42BE" w14:textId="77777777" w:rsidR="004579E2" w:rsidRPr="00FA366D" w:rsidRDefault="002969B5" w:rsidP="001A7EF0">
      <w:pPr>
        <w:spacing w:line="0" w:lineRule="atLeast"/>
        <w:rPr>
          <w:color w:val="000000" w:themeColor="text1"/>
        </w:rPr>
      </w:pPr>
      <w:r w:rsidRPr="00FA366D">
        <w:rPr>
          <w:color w:val="000000" w:themeColor="text1"/>
        </w:rPr>
        <w:t>2.6.3. Verify that “BW min (MHz)” and “BW max (MHz)” define the processing bandwidth used for estimating and fitting the BSC and attenuation (when selected in “Select Params”). For the portable ultrasound probe, the default bandwidth is 3–6.5 MHz, corresponding to the −6 dB bandwidth of the reference phantom RF power spectrum.</w:t>
      </w:r>
    </w:p>
    <w:p w14:paraId="61BC3555" w14:textId="77777777" w:rsidR="004579E2" w:rsidRPr="00FA366D" w:rsidRDefault="004579E2" w:rsidP="001A7EF0">
      <w:pPr>
        <w:spacing w:line="0" w:lineRule="atLeast"/>
        <w:rPr>
          <w:color w:val="000000" w:themeColor="text1"/>
        </w:rPr>
      </w:pPr>
    </w:p>
    <w:p w14:paraId="0C56F492" w14:textId="2A894603" w:rsidR="004579E2" w:rsidRPr="00FA366D" w:rsidRDefault="00E561EB" w:rsidP="001A7EF0">
      <w:pPr>
        <w:spacing w:line="0" w:lineRule="atLeast"/>
        <w:rPr>
          <w:color w:val="000000" w:themeColor="text1"/>
        </w:rPr>
      </w:pPr>
      <w:r w:rsidRPr="00FA366D">
        <w:rPr>
          <w:color w:val="000000" w:themeColor="text1"/>
        </w:rPr>
        <w:t>NOTE: Select the processing bandwidth within the common −6 dB bandwidth of the sample and reference RF power spectra, excluding frequency regions with a low signal-to-noise ratio.</w:t>
      </w:r>
    </w:p>
    <w:p w14:paraId="7EF12DB9" w14:textId="77777777" w:rsidR="004579E2" w:rsidRPr="00FA366D" w:rsidRDefault="004579E2" w:rsidP="001A7EF0">
      <w:pPr>
        <w:spacing w:line="0" w:lineRule="atLeast"/>
        <w:rPr>
          <w:color w:val="000000" w:themeColor="text1"/>
        </w:rPr>
      </w:pPr>
    </w:p>
    <w:p w14:paraId="05740440" w14:textId="77777777" w:rsidR="004579E2" w:rsidRPr="002C1D30" w:rsidRDefault="002969B5" w:rsidP="001A7EF0">
      <w:pPr>
        <w:spacing w:line="0" w:lineRule="atLeast"/>
        <w:rPr>
          <w:b/>
          <w:bCs/>
          <w:color w:val="000000" w:themeColor="text1"/>
          <w:highlight w:val="yellow"/>
        </w:rPr>
      </w:pPr>
      <w:r w:rsidRPr="002C1D30">
        <w:rPr>
          <w:b/>
          <w:bCs/>
          <w:color w:val="000000" w:themeColor="text1"/>
          <w:highlight w:val="yellow"/>
        </w:rPr>
        <w:t>3. Scan Parameter Configuration and Data Acquisition</w:t>
      </w:r>
    </w:p>
    <w:p w14:paraId="4ED3D069" w14:textId="77777777" w:rsidR="004579E2" w:rsidRPr="002C1D30" w:rsidRDefault="004579E2" w:rsidP="001A7EF0">
      <w:pPr>
        <w:spacing w:line="0" w:lineRule="atLeast"/>
        <w:rPr>
          <w:color w:val="000000" w:themeColor="text1"/>
          <w:highlight w:val="yellow"/>
        </w:rPr>
      </w:pPr>
    </w:p>
    <w:p w14:paraId="2EEF18B9"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 In the top control bar, select the desired transmit mode from the “Acquisition” drop-down menu. Select “PW” for plane-wave acquisition or “FW” for focused-wave acquisition.</w:t>
      </w:r>
    </w:p>
    <w:p w14:paraId="25943D1D" w14:textId="77777777" w:rsidR="004579E2" w:rsidRPr="002C1D30" w:rsidRDefault="004579E2" w:rsidP="001A7EF0">
      <w:pPr>
        <w:spacing w:line="0" w:lineRule="atLeast"/>
        <w:rPr>
          <w:color w:val="000000" w:themeColor="text1"/>
          <w:highlight w:val="yellow"/>
        </w:rPr>
      </w:pPr>
    </w:p>
    <w:p w14:paraId="66F1517D" w14:textId="77777777" w:rsidR="00047F7D" w:rsidRPr="002C1D30" w:rsidRDefault="00047F7D" w:rsidP="001A7EF0">
      <w:pPr>
        <w:spacing w:line="0" w:lineRule="atLeast"/>
        <w:rPr>
          <w:color w:val="000000" w:themeColor="text1"/>
          <w:highlight w:val="yellow"/>
          <w:lang w:val="en-IN"/>
        </w:rPr>
      </w:pPr>
      <w:r w:rsidRPr="002C1D30">
        <w:rPr>
          <w:color w:val="000000" w:themeColor="text1"/>
          <w:highlight w:val="yellow"/>
          <w:lang w:val="en-IN"/>
        </w:rPr>
        <w:t>3.2. In PW acquisition mode, generate quasi-plane-wave transmissions by applying transmit delays corresponding to a focal depth of approximately 1 m, providing a practical approximation of a plane-wave transmit field. In FW acquisition mode, apply transmit delays to focus the acoustic beam at a user-defined focal depth. In both acquisition modes, sequentially translate a moving 64-element transmit aperture across the probe aperture to generate 255 beamformed image lines.</w:t>
      </w:r>
    </w:p>
    <w:p w14:paraId="2476C3A6" w14:textId="77777777" w:rsidR="00047F7D" w:rsidRPr="002C1D30" w:rsidRDefault="00047F7D" w:rsidP="001A7EF0">
      <w:pPr>
        <w:spacing w:line="0" w:lineRule="atLeast"/>
        <w:rPr>
          <w:color w:val="000000" w:themeColor="text1"/>
          <w:highlight w:val="yellow"/>
          <w:lang w:val="en-IN"/>
        </w:rPr>
      </w:pPr>
    </w:p>
    <w:p w14:paraId="2F3AED03" w14:textId="0AC3A341" w:rsidR="004579E2" w:rsidRPr="002C1D30" w:rsidRDefault="00047F7D" w:rsidP="001A7EF0">
      <w:pPr>
        <w:spacing w:line="0" w:lineRule="atLeast"/>
        <w:rPr>
          <w:color w:val="000000" w:themeColor="text1"/>
          <w:highlight w:val="yellow"/>
          <w:lang w:val="en-IN"/>
        </w:rPr>
      </w:pPr>
      <w:r w:rsidRPr="002C1D30">
        <w:rPr>
          <w:color w:val="000000" w:themeColor="text1"/>
          <w:highlight w:val="yellow"/>
          <w:lang w:val="en-IN"/>
        </w:rPr>
        <w:t xml:space="preserve">3.2.1. Select PW or FW from the “Acquisition” drop-down menu. The selected acquisition mode automatically configures the corresponding transmit delays, receive aperture configuration, and FPGA beamforming parameters. </w:t>
      </w:r>
      <w:r w:rsidR="00FA4E1E" w:rsidRPr="002C1D30">
        <w:rPr>
          <w:color w:val="000000" w:themeColor="text1"/>
          <w:highlight w:val="yellow"/>
        </w:rPr>
        <w:t>Acquire beamformed RF data using the ultrasound probe</w:t>
      </w:r>
      <w:r w:rsidRPr="002C1D30">
        <w:rPr>
          <w:color w:val="000000" w:themeColor="text1"/>
          <w:highlight w:val="yellow"/>
          <w:lang w:val="en-IN"/>
        </w:rPr>
        <w:t xml:space="preserve"> (6 MHz </w:t>
      </w:r>
      <w:proofErr w:type="spellStart"/>
      <w:r w:rsidRPr="002C1D30">
        <w:rPr>
          <w:color w:val="000000" w:themeColor="text1"/>
          <w:highlight w:val="yellow"/>
          <w:lang w:val="en-IN"/>
        </w:rPr>
        <w:t>center</w:t>
      </w:r>
      <w:proofErr w:type="spellEnd"/>
      <w:r w:rsidRPr="002C1D30">
        <w:rPr>
          <w:color w:val="000000" w:themeColor="text1"/>
          <w:highlight w:val="yellow"/>
          <w:lang w:val="en-IN"/>
        </w:rPr>
        <w:t xml:space="preserve"> frequency) at a sampling frequency of 24 MHz with a fixed 3-half-cycle (1.5-cycle) sinusoidal transmit pulse </w:t>
      </w:r>
      <w:proofErr w:type="spellStart"/>
      <w:r w:rsidRPr="002C1D30">
        <w:rPr>
          <w:color w:val="000000" w:themeColor="text1"/>
          <w:highlight w:val="yellow"/>
          <w:lang w:val="en-IN"/>
        </w:rPr>
        <w:t>centered</w:t>
      </w:r>
      <w:proofErr w:type="spellEnd"/>
      <w:r w:rsidRPr="002C1D30">
        <w:rPr>
          <w:color w:val="000000" w:themeColor="text1"/>
          <w:highlight w:val="yellow"/>
          <w:lang w:val="en-IN"/>
        </w:rPr>
        <w:t xml:space="preserve"> at the probe operating frequency.</w:t>
      </w:r>
    </w:p>
    <w:p w14:paraId="1E4FB173" w14:textId="77777777" w:rsidR="00EE6BF7" w:rsidRPr="002C1D30" w:rsidRDefault="00EE6BF7" w:rsidP="001A7EF0">
      <w:pPr>
        <w:spacing w:line="0" w:lineRule="atLeast"/>
        <w:rPr>
          <w:color w:val="000000" w:themeColor="text1"/>
          <w:highlight w:val="yellow"/>
        </w:rPr>
      </w:pPr>
    </w:p>
    <w:p w14:paraId="02A36256"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3.3. If “FW” is selected, verify that the “fd (mm) [FW only]” field in the “Scan Parameters” section becomes active. Enter the desired focal depth in millimeters.</w:t>
      </w:r>
    </w:p>
    <w:p w14:paraId="51003357" w14:textId="77777777" w:rsidR="004579E2" w:rsidRPr="002C1D30" w:rsidRDefault="004579E2" w:rsidP="001A7EF0">
      <w:pPr>
        <w:spacing w:line="0" w:lineRule="atLeast"/>
        <w:rPr>
          <w:color w:val="000000" w:themeColor="text1"/>
          <w:highlight w:val="yellow"/>
        </w:rPr>
      </w:pPr>
    </w:p>
    <w:p w14:paraId="0FBE6FFF"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 xml:space="preserve">3.4. Select a focal depth between 10 mm and 75 mm in 5 mm increments. Use the default focal depth of 15 mm, unless a different focal depth is required. Position the focal depth near the center of the ROI to maximize lateral resolution. For example, when </w:t>
      </w:r>
      <w:proofErr w:type="gramStart"/>
      <w:r w:rsidRPr="002C1D30">
        <w:rPr>
          <w:color w:val="000000" w:themeColor="text1"/>
          <w:highlight w:val="yellow"/>
        </w:rPr>
        <w:t>imaging</w:t>
      </w:r>
      <w:proofErr w:type="gramEnd"/>
      <w:r w:rsidRPr="002C1D30">
        <w:rPr>
          <w:color w:val="000000" w:themeColor="text1"/>
          <w:highlight w:val="yellow"/>
        </w:rPr>
        <w:t xml:space="preserve"> a lymph node, </w:t>
      </w:r>
      <w:proofErr w:type="gramStart"/>
      <w:r w:rsidRPr="002C1D30">
        <w:rPr>
          <w:color w:val="000000" w:themeColor="text1"/>
          <w:highlight w:val="yellow"/>
        </w:rPr>
        <w:t>position</w:t>
      </w:r>
      <w:proofErr w:type="gramEnd"/>
      <w:r w:rsidRPr="002C1D30">
        <w:rPr>
          <w:color w:val="000000" w:themeColor="text1"/>
          <w:highlight w:val="yellow"/>
        </w:rPr>
        <w:t xml:space="preserve"> the focal depth near the center of the lymph node.</w:t>
      </w:r>
    </w:p>
    <w:p w14:paraId="17DB3686" w14:textId="77777777" w:rsidR="004579E2" w:rsidRPr="002C1D30" w:rsidRDefault="004579E2" w:rsidP="001A7EF0">
      <w:pPr>
        <w:spacing w:line="0" w:lineRule="atLeast"/>
        <w:rPr>
          <w:color w:val="000000" w:themeColor="text1"/>
          <w:highlight w:val="yellow"/>
        </w:rPr>
      </w:pPr>
    </w:p>
    <w:p w14:paraId="4FC75E96"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3.5. In the “Sample Attenuation” section of the control panel, verify or update the attenuation compensation parameters for the medium being imaged.</w:t>
      </w:r>
    </w:p>
    <w:p w14:paraId="2E848B44" w14:textId="77777777" w:rsidR="004579E2" w:rsidRPr="002C1D30" w:rsidRDefault="004579E2" w:rsidP="001A7EF0">
      <w:pPr>
        <w:spacing w:line="0" w:lineRule="atLeast"/>
        <w:rPr>
          <w:color w:val="000000" w:themeColor="text1"/>
          <w:highlight w:val="yellow"/>
        </w:rPr>
      </w:pPr>
    </w:p>
    <w:p w14:paraId="2DDF8353"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3.5.1. Set the attenuation coefficient (</w:t>
      </w:r>
      <w:r w:rsidRPr="002C1D30">
        <w:rPr>
          <w:i/>
          <w:iCs/>
          <w:color w:val="000000" w:themeColor="text1"/>
          <w:highlight w:val="yellow"/>
        </w:rPr>
        <w:t>a</w:t>
      </w:r>
      <w:r w:rsidRPr="002C1D30">
        <w:rPr>
          <w:color w:val="000000" w:themeColor="text1"/>
          <w:highlight w:val="yellow"/>
        </w:rPr>
        <w:t>; dB/cm/MHz).</w:t>
      </w:r>
    </w:p>
    <w:p w14:paraId="72BDD5E6" w14:textId="77777777" w:rsidR="004579E2" w:rsidRPr="002C1D30" w:rsidRDefault="004579E2" w:rsidP="001A7EF0">
      <w:pPr>
        <w:spacing w:line="0" w:lineRule="atLeast"/>
        <w:rPr>
          <w:color w:val="000000" w:themeColor="text1"/>
          <w:highlight w:val="yellow"/>
        </w:rPr>
      </w:pPr>
    </w:p>
    <w:p w14:paraId="77C3D515"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3.5.2. Set the attenuation exponent (</w:t>
      </w:r>
      <w:r w:rsidRPr="002C1D30">
        <w:rPr>
          <w:i/>
          <w:iCs/>
          <w:color w:val="000000" w:themeColor="text1"/>
          <w:highlight w:val="yellow"/>
        </w:rPr>
        <w:t>n</w:t>
      </w:r>
      <w:r w:rsidRPr="002C1D30">
        <w:rPr>
          <w:color w:val="000000" w:themeColor="text1"/>
          <w:highlight w:val="yellow"/>
        </w:rPr>
        <w:t>).</w:t>
      </w:r>
    </w:p>
    <w:p w14:paraId="2ED282A3" w14:textId="77777777" w:rsidR="004579E2" w:rsidRPr="002C1D30" w:rsidRDefault="004579E2" w:rsidP="001A7EF0">
      <w:pPr>
        <w:spacing w:line="0" w:lineRule="atLeast"/>
        <w:rPr>
          <w:color w:val="000000" w:themeColor="text1"/>
          <w:highlight w:val="yellow"/>
        </w:rPr>
      </w:pPr>
    </w:p>
    <w:p w14:paraId="5CEA725E"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3.5.3. Set the attenuation intercept (</w:t>
      </w:r>
      <w:r w:rsidRPr="002C1D30">
        <w:rPr>
          <w:i/>
          <w:iCs/>
          <w:color w:val="000000" w:themeColor="text1"/>
          <w:highlight w:val="yellow"/>
        </w:rPr>
        <w:t>c</w:t>
      </w:r>
      <w:r w:rsidRPr="002C1D30">
        <w:rPr>
          <w:color w:val="000000" w:themeColor="text1"/>
          <w:highlight w:val="yellow"/>
        </w:rPr>
        <w:t>; dB/cm).</w:t>
      </w:r>
    </w:p>
    <w:p w14:paraId="2932611B" w14:textId="77777777" w:rsidR="004579E2" w:rsidRPr="002C1D30" w:rsidRDefault="004579E2" w:rsidP="001A7EF0">
      <w:pPr>
        <w:spacing w:line="0" w:lineRule="atLeast"/>
        <w:rPr>
          <w:color w:val="000000" w:themeColor="text1"/>
          <w:highlight w:val="yellow"/>
        </w:rPr>
      </w:pPr>
    </w:p>
    <w:p w14:paraId="0CC4244D" w14:textId="6C73BA1C" w:rsidR="004579E2" w:rsidRPr="002C1D30" w:rsidRDefault="002969B5" w:rsidP="001A7EF0">
      <w:pPr>
        <w:spacing w:line="0" w:lineRule="atLeast"/>
        <w:rPr>
          <w:color w:val="000000" w:themeColor="text1"/>
          <w:highlight w:val="yellow"/>
        </w:rPr>
      </w:pPr>
      <w:r w:rsidRPr="002C1D30">
        <w:rPr>
          <w:color w:val="000000" w:themeColor="text1"/>
          <w:highlight w:val="yellow"/>
        </w:rPr>
        <w:t xml:space="preserve">3.6. </w:t>
      </w:r>
      <w:r w:rsidR="00EA6E99" w:rsidRPr="002C1D30">
        <w:rPr>
          <w:color w:val="000000" w:themeColor="text1"/>
          <w:highlight w:val="yellow"/>
        </w:rPr>
        <w:t xml:space="preserve">Use these parameters to compensate for frequency-dependent propagation losses during QUS processing according to </w:t>
      </w:r>
      <w:r w:rsidR="00EA6E99" w:rsidRPr="002C1D30">
        <w:rPr>
          <w:b/>
          <w:bCs/>
          <w:color w:val="000000" w:themeColor="text1"/>
          <w:highlight w:val="yellow"/>
        </w:rPr>
        <w:t>Equation 1</w:t>
      </w:r>
      <w:r w:rsidR="00EA6E99" w:rsidRPr="002C1D30">
        <w:rPr>
          <w:color w:val="000000" w:themeColor="text1"/>
          <w:highlight w:val="yellow"/>
        </w:rPr>
        <w:t>. The subscript ref denotes the reference phantom</w:t>
      </w:r>
      <w:r w:rsidR="00EA6E99" w:rsidRPr="002C1D30">
        <w:rPr>
          <w:color w:val="000000" w:themeColor="text1"/>
          <w:highlight w:val="yellow"/>
          <w:vertAlign w:val="superscript"/>
        </w:rPr>
        <w:t>26</w:t>
      </w:r>
      <w:r w:rsidRPr="002C1D30">
        <w:rPr>
          <w:color w:val="000000" w:themeColor="text1"/>
          <w:highlight w:val="yellow"/>
        </w:rPr>
        <w:t>.</w:t>
      </w:r>
    </w:p>
    <w:p w14:paraId="5BB14921" w14:textId="77777777" w:rsidR="004579E2" w:rsidRPr="002C1D30" w:rsidRDefault="004579E2" w:rsidP="001A7EF0">
      <w:pPr>
        <w:spacing w:line="0" w:lineRule="atLeast"/>
        <w:rPr>
          <w:color w:val="000000" w:themeColor="text1"/>
          <w:highlight w:val="yellow"/>
        </w:rPr>
      </w:pPr>
    </w:p>
    <w:p w14:paraId="3B4F68CE" w14:textId="77777777" w:rsidR="004579E2" w:rsidRPr="002C1D30" w:rsidRDefault="002969B5" w:rsidP="001A7EF0">
      <w:pPr>
        <w:spacing w:line="0" w:lineRule="atLeast"/>
        <w:rPr>
          <w:color w:val="000000" w:themeColor="text1"/>
          <w:highlight w:val="yellow"/>
        </w:rPr>
      </w:pPr>
      <m:oMath>
        <m:r>
          <w:rPr>
            <w:rFonts w:ascii="Cambria Math" w:hAnsi="Cambria Math"/>
            <w:color w:val="000000" w:themeColor="text1"/>
            <w:highlight w:val="yellow"/>
          </w:rPr>
          <m:t>A</m:t>
        </m:r>
        <m:d>
          <m:dPr>
            <m:sepChr m:val=","/>
            <m:ctrlPr>
              <w:rPr>
                <w:rFonts w:ascii="Cambria Math" w:hAnsi="Cambria Math"/>
                <w:color w:val="000000" w:themeColor="text1"/>
                <w:highlight w:val="yellow"/>
              </w:rPr>
            </m:ctrlPr>
          </m:dPr>
          <m:e>
            <m:r>
              <w:rPr>
                <w:rFonts w:ascii="Cambria Math" w:hAnsi="Cambria Math"/>
                <w:color w:val="000000" w:themeColor="text1"/>
                <w:highlight w:val="yellow"/>
              </w:rPr>
              <m:t>f</m:t>
            </m:r>
          </m:e>
          <m:e>
            <m:r>
              <w:rPr>
                <w:rFonts w:ascii="Cambria Math" w:hAnsi="Cambria Math"/>
                <w:color w:val="000000" w:themeColor="text1"/>
                <w:highlight w:val="yellow"/>
              </w:rPr>
              <m:t>z</m:t>
            </m:r>
          </m:e>
        </m:d>
        <m:r>
          <w:rPr>
            <w:rFonts w:ascii="Cambria Math" w:hAnsi="Cambria Math"/>
            <w:color w:val="000000" w:themeColor="text1"/>
            <w:highlight w:val="yellow"/>
          </w:rPr>
          <m:t>=</m:t>
        </m:r>
        <m:func>
          <m:funcPr>
            <m:ctrlPr>
              <w:rPr>
                <w:rFonts w:ascii="Cambria Math" w:hAnsi="Cambria Math"/>
                <w:color w:val="000000" w:themeColor="text1"/>
                <w:highlight w:val="yellow"/>
              </w:rPr>
            </m:ctrlPr>
          </m:funcPr>
          <m:fName>
            <m:r>
              <m:rPr>
                <m:sty m:val="p"/>
              </m:rPr>
              <w:rPr>
                <w:rFonts w:ascii="Cambria Math" w:hAnsi="Cambria Math"/>
                <w:color w:val="000000" w:themeColor="text1"/>
                <w:highlight w:val="yellow"/>
              </w:rPr>
              <m:t>exp</m:t>
            </m:r>
          </m:fName>
          <m:e>
            <m:d>
              <m:dPr>
                <m:begChr m:val="["/>
                <m:endChr m:val="]"/>
                <m:ctrlPr>
                  <w:rPr>
                    <w:rFonts w:ascii="Cambria Math" w:hAnsi="Cambria Math"/>
                    <w:color w:val="000000" w:themeColor="text1"/>
                    <w:highlight w:val="yellow"/>
                  </w:rPr>
                </m:ctrlPr>
              </m:dPr>
              <m:e>
                <m:r>
                  <w:rPr>
                    <w:rFonts w:ascii="Cambria Math" w:hAnsi="Cambria Math"/>
                    <w:color w:val="000000" w:themeColor="text1"/>
                    <w:highlight w:val="yellow"/>
                  </w:rPr>
                  <m:t>4</m:t>
                </m:r>
                <m:d>
                  <m:dPr>
                    <m:ctrlPr>
                      <w:rPr>
                        <w:rFonts w:ascii="Cambria Math" w:hAnsi="Cambria Math"/>
                        <w:color w:val="000000" w:themeColor="text1"/>
                        <w:highlight w:val="yellow"/>
                      </w:rPr>
                    </m:ctrlPr>
                  </m:dPr>
                  <m:e>
                    <m:r>
                      <w:rPr>
                        <w:rFonts w:ascii="Cambria Math" w:hAnsi="Cambria Math"/>
                        <w:color w:val="000000" w:themeColor="text1"/>
                        <w:highlight w:val="yellow"/>
                      </w:rPr>
                      <m:t>α</m:t>
                    </m:r>
                    <m:d>
                      <m:dPr>
                        <m:sepChr m:val=","/>
                        <m:ctrlPr>
                          <w:rPr>
                            <w:rFonts w:ascii="Cambria Math" w:hAnsi="Cambria Math"/>
                            <w:color w:val="000000" w:themeColor="text1"/>
                            <w:highlight w:val="yellow"/>
                          </w:rPr>
                        </m:ctrlPr>
                      </m:dPr>
                      <m:e>
                        <m:r>
                          <w:rPr>
                            <w:rFonts w:ascii="Cambria Math" w:hAnsi="Cambria Math"/>
                            <w:color w:val="000000" w:themeColor="text1"/>
                            <w:highlight w:val="yellow"/>
                          </w:rPr>
                          <m:t>f</m:t>
                        </m:r>
                      </m:e>
                      <m:e>
                        <m:r>
                          <w:rPr>
                            <w:rFonts w:ascii="Cambria Math" w:hAnsi="Cambria Math"/>
                            <w:color w:val="000000" w:themeColor="text1"/>
                            <w:highlight w:val="yellow"/>
                          </w:rPr>
                          <m:t>z</m:t>
                        </m:r>
                      </m:e>
                    </m:d>
                    <m:r>
                      <w:rPr>
                        <w:rFonts w:ascii="Cambria Math" w:hAnsi="Cambria Math"/>
                        <w:color w:val="000000" w:themeColor="text1"/>
                        <w:highlight w:val="yellow"/>
                      </w:rPr>
                      <m:t>-</m:t>
                    </m:r>
                    <m:sSub>
                      <m:sSubPr>
                        <m:ctrlPr>
                          <w:rPr>
                            <w:rFonts w:ascii="Cambria Math" w:hAnsi="Cambria Math"/>
                            <w:color w:val="000000" w:themeColor="text1"/>
                            <w:highlight w:val="yellow"/>
                          </w:rPr>
                        </m:ctrlPr>
                      </m:sSubPr>
                      <m:e>
                        <m:r>
                          <w:rPr>
                            <w:rFonts w:ascii="Cambria Math" w:hAnsi="Cambria Math"/>
                            <w:color w:val="000000" w:themeColor="text1"/>
                            <w:highlight w:val="yellow"/>
                          </w:rPr>
                          <m:t>α</m:t>
                        </m:r>
                      </m:e>
                      <m:sub>
                        <m:r>
                          <m:rPr>
                            <m:sty m:val="p"/>
                          </m:rPr>
                          <w:rPr>
                            <w:rFonts w:ascii="Cambria Math" w:hAnsi="Cambria Math"/>
                            <w:color w:val="000000" w:themeColor="text1"/>
                            <w:highlight w:val="yellow"/>
                          </w:rPr>
                          <m:t>ref</m:t>
                        </m:r>
                      </m:sub>
                    </m:sSub>
                    <m:d>
                      <m:dPr>
                        <m:sepChr m:val=","/>
                        <m:ctrlPr>
                          <w:rPr>
                            <w:rFonts w:ascii="Cambria Math" w:hAnsi="Cambria Math"/>
                            <w:color w:val="000000" w:themeColor="text1"/>
                            <w:highlight w:val="yellow"/>
                          </w:rPr>
                        </m:ctrlPr>
                      </m:dPr>
                      <m:e>
                        <m:r>
                          <w:rPr>
                            <w:rFonts w:ascii="Cambria Math" w:hAnsi="Cambria Math"/>
                            <w:color w:val="000000" w:themeColor="text1"/>
                            <w:highlight w:val="yellow"/>
                          </w:rPr>
                          <m:t>f</m:t>
                        </m:r>
                      </m:e>
                      <m:e>
                        <m:r>
                          <w:rPr>
                            <w:rFonts w:ascii="Cambria Math" w:hAnsi="Cambria Math"/>
                            <w:color w:val="000000" w:themeColor="text1"/>
                            <w:highlight w:val="yellow"/>
                          </w:rPr>
                          <m:t>z</m:t>
                        </m:r>
                      </m:e>
                    </m:d>
                  </m:e>
                </m:d>
              </m:e>
            </m:d>
          </m:e>
        </m:func>
      </m:oMath>
      <w:r w:rsidRPr="002C1D30">
        <w:rPr>
          <w:rFonts w:eastAsiaTheme="minorEastAsia"/>
          <w:color w:val="000000" w:themeColor="text1"/>
          <w:highlight w:val="yellow"/>
        </w:rPr>
        <w:tab/>
      </w:r>
      <w:r w:rsidRPr="002C1D30">
        <w:rPr>
          <w:rFonts w:eastAsiaTheme="minorEastAsia"/>
          <w:color w:val="000000" w:themeColor="text1"/>
          <w:highlight w:val="yellow"/>
        </w:rPr>
        <w:tab/>
      </w:r>
      <w:r w:rsidRPr="002C1D30">
        <w:rPr>
          <w:rFonts w:eastAsiaTheme="minorEastAsia"/>
          <w:color w:val="000000" w:themeColor="text1"/>
          <w:highlight w:val="yellow"/>
        </w:rPr>
        <w:tab/>
      </w:r>
      <w:r w:rsidRPr="002C1D30">
        <w:rPr>
          <w:rFonts w:eastAsiaTheme="minorEastAsia"/>
          <w:color w:val="000000" w:themeColor="text1"/>
          <w:highlight w:val="yellow"/>
        </w:rPr>
        <w:tab/>
      </w:r>
      <w:r w:rsidRPr="002C1D30">
        <w:rPr>
          <w:rFonts w:eastAsiaTheme="minorEastAsia"/>
          <w:color w:val="000000" w:themeColor="text1"/>
          <w:highlight w:val="yellow"/>
        </w:rPr>
        <w:tab/>
      </w:r>
      <w:r w:rsidRPr="002C1D30">
        <w:rPr>
          <w:rFonts w:eastAsiaTheme="minorEastAsia"/>
          <w:color w:val="000000" w:themeColor="text1"/>
          <w:highlight w:val="yellow"/>
        </w:rPr>
        <w:tab/>
      </w:r>
      <w:r w:rsidRPr="002C1D30">
        <w:rPr>
          <w:rFonts w:eastAsiaTheme="minorEastAsia"/>
          <w:color w:val="000000" w:themeColor="text1"/>
          <w:highlight w:val="yellow"/>
        </w:rPr>
        <w:tab/>
      </w:r>
      <m:oMath>
        <m:r>
          <m:rPr>
            <m:nor/>
          </m:rPr>
          <w:rPr>
            <w:color w:val="000000" w:themeColor="text1"/>
            <w:highlight w:val="yellow"/>
          </w:rPr>
          <m:t>(1)</m:t>
        </m:r>
      </m:oMath>
    </w:p>
    <w:p w14:paraId="70747D4D" w14:textId="77777777" w:rsidR="004579E2" w:rsidRPr="002C1D30" w:rsidRDefault="004579E2" w:rsidP="001A7EF0">
      <w:pPr>
        <w:spacing w:line="0" w:lineRule="atLeast"/>
        <w:rPr>
          <w:color w:val="000000" w:themeColor="text1"/>
          <w:highlight w:val="yellow"/>
        </w:rPr>
      </w:pPr>
    </w:p>
    <w:p w14:paraId="339EAE94" w14:textId="2CCE8166" w:rsidR="004579E2" w:rsidRPr="002C1D30" w:rsidRDefault="00F37AB2" w:rsidP="001A7EF0">
      <w:pPr>
        <w:spacing w:line="0" w:lineRule="atLeast"/>
        <w:rPr>
          <w:color w:val="000000" w:themeColor="text1"/>
          <w:highlight w:val="yellow"/>
        </w:rPr>
      </w:pPr>
      <w:r w:rsidRPr="002C1D30">
        <w:rPr>
          <w:color w:val="000000" w:themeColor="text1"/>
          <w:highlight w:val="yellow"/>
        </w:rPr>
        <w:t xml:space="preserve">Here, </w:t>
      </w:r>
      <m:oMath>
        <m:r>
          <w:rPr>
            <w:rFonts w:ascii="Cambria Math" w:hAnsi="Cambria Math"/>
            <w:color w:val="000000" w:themeColor="text1"/>
            <w:highlight w:val="yellow"/>
          </w:rPr>
          <m:t>α</m:t>
        </m:r>
        <m:d>
          <m:dPr>
            <m:sepChr m:val=","/>
            <m:ctrlPr>
              <w:rPr>
                <w:rFonts w:ascii="Cambria Math" w:hAnsi="Cambria Math"/>
                <w:color w:val="000000" w:themeColor="text1"/>
                <w:highlight w:val="yellow"/>
              </w:rPr>
            </m:ctrlPr>
          </m:dPr>
          <m:e>
            <m:r>
              <w:rPr>
                <w:rFonts w:ascii="Cambria Math" w:hAnsi="Cambria Math"/>
                <w:color w:val="000000" w:themeColor="text1"/>
                <w:highlight w:val="yellow"/>
              </w:rPr>
              <m:t>f</m:t>
            </m:r>
          </m:e>
          <m:e>
            <m:r>
              <w:rPr>
                <w:rFonts w:ascii="Cambria Math" w:hAnsi="Cambria Math"/>
                <w:color w:val="000000" w:themeColor="text1"/>
                <w:highlight w:val="yellow"/>
              </w:rPr>
              <m:t>z</m:t>
            </m:r>
          </m:e>
        </m:d>
        <m:r>
          <w:rPr>
            <w:rFonts w:ascii="Cambria Math" w:hAnsi="Cambria Math"/>
            <w:color w:val="000000" w:themeColor="text1"/>
            <w:highlight w:val="yellow"/>
          </w:rPr>
          <m:t>=z</m:t>
        </m:r>
        <m:d>
          <m:dPr>
            <m:ctrlPr>
              <w:rPr>
                <w:rFonts w:ascii="Cambria Math" w:hAnsi="Cambria Math"/>
                <w:color w:val="000000" w:themeColor="text1"/>
                <w:highlight w:val="yellow"/>
              </w:rPr>
            </m:ctrlPr>
          </m:dPr>
          <m:e>
            <m:sSub>
              <m:sSubPr>
                <m:ctrlPr>
                  <w:rPr>
                    <w:rFonts w:ascii="Cambria Math" w:hAnsi="Cambria Math"/>
                    <w:color w:val="000000" w:themeColor="text1"/>
                    <w:highlight w:val="yellow"/>
                  </w:rPr>
                </m:ctrlPr>
              </m:sSubPr>
              <m:e>
                <m:r>
                  <w:rPr>
                    <w:rFonts w:ascii="Cambria Math" w:hAnsi="Cambria Math"/>
                    <w:color w:val="000000" w:themeColor="text1"/>
                    <w:highlight w:val="yellow"/>
                  </w:rPr>
                  <m:t>α</m:t>
                </m:r>
              </m:e>
              <m:sub>
                <m:r>
                  <w:rPr>
                    <w:rFonts w:ascii="Cambria Math" w:hAnsi="Cambria Math"/>
                    <w:color w:val="000000" w:themeColor="text1"/>
                    <w:highlight w:val="yellow"/>
                  </w:rPr>
                  <m:t>0</m:t>
                </m:r>
              </m:sub>
            </m:sSub>
            <m:sSup>
              <m:sSupPr>
                <m:ctrlPr>
                  <w:rPr>
                    <w:rFonts w:ascii="Cambria Math" w:hAnsi="Cambria Math"/>
                    <w:color w:val="000000" w:themeColor="text1"/>
                    <w:highlight w:val="yellow"/>
                  </w:rPr>
                </m:ctrlPr>
              </m:sSupPr>
              <m:e>
                <m:r>
                  <w:rPr>
                    <w:rFonts w:ascii="Cambria Math" w:hAnsi="Cambria Math"/>
                    <w:color w:val="000000" w:themeColor="text1"/>
                    <w:highlight w:val="yellow"/>
                  </w:rPr>
                  <m:t>f</m:t>
                </m:r>
              </m:e>
              <m:sup>
                <m:r>
                  <w:rPr>
                    <w:rFonts w:ascii="Cambria Math" w:hAnsi="Cambria Math"/>
                    <w:color w:val="000000" w:themeColor="text1"/>
                    <w:highlight w:val="yellow"/>
                  </w:rPr>
                  <m:t>n</m:t>
                </m:r>
              </m:sup>
            </m:sSup>
            <m:r>
              <w:rPr>
                <w:rFonts w:ascii="Cambria Math" w:hAnsi="Cambria Math"/>
                <w:color w:val="000000" w:themeColor="text1"/>
                <w:highlight w:val="yellow"/>
              </w:rPr>
              <m:t>+c</m:t>
            </m:r>
          </m:e>
        </m:d>
      </m:oMath>
      <w:r w:rsidRPr="002C1D30">
        <w:rPr>
          <w:color w:val="000000" w:themeColor="text1"/>
          <w:highlight w:val="yellow"/>
        </w:rPr>
        <w:t>, and</w:t>
      </w:r>
      <w:r w:rsidR="002969B5" w:rsidRPr="002C1D30">
        <w:rPr>
          <w:color w:val="000000" w:themeColor="text1"/>
          <w:highlight w:val="yellow"/>
        </w:rPr>
        <w:t xml:space="preserve"> </w:t>
      </w:r>
      <w:r w:rsidR="002969B5" w:rsidRPr="002C1D30">
        <w:rPr>
          <w:i/>
          <w:iCs/>
          <w:color w:val="000000" w:themeColor="text1"/>
          <w:highlight w:val="yellow"/>
        </w:rPr>
        <w:t>f</w:t>
      </w:r>
      <w:r w:rsidR="002969B5" w:rsidRPr="002C1D30">
        <w:rPr>
          <w:color w:val="000000" w:themeColor="text1"/>
          <w:highlight w:val="yellow"/>
        </w:rPr>
        <w:t xml:space="preserve"> is the frequency (MHz).</w:t>
      </w:r>
    </w:p>
    <w:p w14:paraId="699C398E" w14:textId="77777777" w:rsidR="004579E2" w:rsidRPr="002C1D30" w:rsidRDefault="004579E2" w:rsidP="001A7EF0">
      <w:pPr>
        <w:spacing w:line="0" w:lineRule="atLeast"/>
        <w:rPr>
          <w:color w:val="000000" w:themeColor="text1"/>
          <w:highlight w:val="yellow"/>
        </w:rPr>
      </w:pPr>
    </w:p>
    <w:p w14:paraId="2958FBF7" w14:textId="77BEA424" w:rsidR="004579E2" w:rsidRPr="002C1D30" w:rsidRDefault="002969B5" w:rsidP="001A7EF0">
      <w:pPr>
        <w:spacing w:line="0" w:lineRule="atLeast"/>
        <w:rPr>
          <w:color w:val="000000" w:themeColor="text1"/>
          <w:highlight w:val="yellow"/>
        </w:rPr>
      </w:pPr>
      <w:r w:rsidRPr="002C1D30">
        <w:rPr>
          <w:color w:val="000000" w:themeColor="text1"/>
          <w:highlight w:val="yellow"/>
        </w:rPr>
        <w:t>3.7. Use the default sample values (</w:t>
      </w:r>
      <w:r w:rsidRPr="002C1D30">
        <w:rPr>
          <w:i/>
          <w:iCs/>
          <w:color w:val="000000" w:themeColor="text1"/>
          <w:highlight w:val="yellow"/>
        </w:rPr>
        <w:t>α</w:t>
      </w:r>
      <w:r w:rsidRPr="002C1D30">
        <w:rPr>
          <w:color w:val="000000" w:themeColor="text1"/>
          <w:highlight w:val="yellow"/>
        </w:rPr>
        <w:t xml:space="preserve">₀ = 0.5 dB/cm/MHz, </w:t>
      </w:r>
      <w:r w:rsidRPr="002C1D30">
        <w:rPr>
          <w:i/>
          <w:iCs/>
          <w:color w:val="000000" w:themeColor="text1"/>
          <w:highlight w:val="yellow"/>
        </w:rPr>
        <w:t>n</w:t>
      </w:r>
      <w:r w:rsidRPr="002C1D30">
        <w:rPr>
          <w:color w:val="000000" w:themeColor="text1"/>
          <w:highlight w:val="yellow"/>
        </w:rPr>
        <w:t xml:space="preserve"> = 1, </w:t>
      </w:r>
      <w:r w:rsidRPr="002C1D30">
        <w:rPr>
          <w:i/>
          <w:iCs/>
          <w:color w:val="000000" w:themeColor="text1"/>
          <w:highlight w:val="yellow"/>
        </w:rPr>
        <w:t>c</w:t>
      </w:r>
      <w:r w:rsidRPr="002C1D30">
        <w:rPr>
          <w:color w:val="000000" w:themeColor="text1"/>
          <w:highlight w:val="yellow"/>
        </w:rPr>
        <w:t xml:space="preserve"> = 0 dB/cm) for tissue-mimicking phantoms. </w:t>
      </w:r>
      <w:r w:rsidR="003A41B7" w:rsidRPr="002C1D30">
        <w:rPr>
          <w:color w:val="000000" w:themeColor="text1"/>
          <w:highlight w:val="yellow"/>
        </w:rPr>
        <w:t>Update these values to match the known or estimated attenuation properties of the medium when imaging other tissues, such as breast tissue</w:t>
      </w:r>
      <w:r w:rsidR="003A41B7" w:rsidRPr="002C1D30">
        <w:rPr>
          <w:color w:val="000000" w:themeColor="text1"/>
          <w:highlight w:val="yellow"/>
          <w:vertAlign w:val="superscript"/>
        </w:rPr>
        <w:t>27,28</w:t>
      </w:r>
      <w:r w:rsidR="003A41B7" w:rsidRPr="002C1D30">
        <w:rPr>
          <w:color w:val="000000" w:themeColor="text1"/>
          <w:highlight w:val="yellow"/>
        </w:rPr>
        <w:t>.</w:t>
      </w:r>
    </w:p>
    <w:p w14:paraId="55C7047A" w14:textId="77777777" w:rsidR="004579E2" w:rsidRPr="002C1D30" w:rsidRDefault="004579E2" w:rsidP="001A7EF0">
      <w:pPr>
        <w:spacing w:line="0" w:lineRule="atLeast"/>
        <w:rPr>
          <w:color w:val="000000" w:themeColor="text1"/>
          <w:highlight w:val="yellow"/>
        </w:rPr>
      </w:pPr>
    </w:p>
    <w:p w14:paraId="4F039CAD"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NOTE: Incorrect attenuation compensation values introduce bias into the estimated BSC. Attenuation compensation does not affect envelope statistics-based parameters because these parameters are estimated directly from the envelope amplitudes of the RF data.</w:t>
      </w:r>
    </w:p>
    <w:p w14:paraId="589E8950" w14:textId="77777777" w:rsidR="004579E2" w:rsidRPr="002C1D30" w:rsidRDefault="004579E2" w:rsidP="001A7EF0">
      <w:pPr>
        <w:spacing w:line="0" w:lineRule="atLeast"/>
        <w:rPr>
          <w:color w:val="000000" w:themeColor="text1"/>
          <w:highlight w:val="yellow"/>
        </w:rPr>
      </w:pPr>
    </w:p>
    <w:p w14:paraId="7D49740A" w14:textId="5FF6D45E" w:rsidR="004579E2" w:rsidRPr="002C1D30" w:rsidRDefault="005A5377" w:rsidP="001A7EF0">
      <w:pPr>
        <w:spacing w:line="0" w:lineRule="atLeast"/>
        <w:rPr>
          <w:color w:val="000000" w:themeColor="text1"/>
          <w:highlight w:val="yellow"/>
        </w:rPr>
      </w:pPr>
      <w:r w:rsidRPr="002C1D30">
        <w:rPr>
          <w:color w:val="000000" w:themeColor="text1"/>
          <w:highlight w:val="yellow"/>
        </w:rPr>
        <w:t xml:space="preserve">3.7.1. </w:t>
      </w:r>
      <w:r w:rsidR="00BC4C8F" w:rsidRPr="002C1D30">
        <w:rPr>
          <w:color w:val="000000" w:themeColor="text1"/>
          <w:highlight w:val="yellow"/>
        </w:rPr>
        <w:t>When the sample attenuation is unknown, select the attenuation-based linear fit parameters in the ‘QUS Compute: Select Parameters’ menu to obtain estimates of the attenuation coefficient and intercept maps</w:t>
      </w:r>
      <w:r w:rsidR="00BC4C8F" w:rsidRPr="002C1D30">
        <w:rPr>
          <w:color w:val="000000" w:themeColor="text1"/>
          <w:highlight w:val="yellow"/>
          <w:vertAlign w:val="superscript"/>
        </w:rPr>
        <w:t>29</w:t>
      </w:r>
      <w:r w:rsidR="00992238" w:rsidRPr="002C1D30">
        <w:rPr>
          <w:color w:val="000000" w:themeColor="text1"/>
          <w:highlight w:val="yellow"/>
        </w:rPr>
        <w:t>. Enter the estimated attenuation coefficient and intercept corresponding to the depth of interest into the “Sample Attenuation” section for attenuation compensation during subsequent BSC estimation.</w:t>
      </w:r>
    </w:p>
    <w:p w14:paraId="0D684381" w14:textId="77777777" w:rsidR="005A5377" w:rsidRPr="002C1D30" w:rsidRDefault="005A5377" w:rsidP="001A7EF0">
      <w:pPr>
        <w:spacing w:line="0" w:lineRule="atLeast"/>
        <w:rPr>
          <w:color w:val="000000" w:themeColor="text1"/>
          <w:highlight w:val="yellow"/>
        </w:rPr>
      </w:pPr>
    </w:p>
    <w:p w14:paraId="05F59647"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3.8. In the “Scan Parameters” section, set the “Start depth (mm)” and “End depth (mm)” fields to define the axial imaging range.</w:t>
      </w:r>
    </w:p>
    <w:p w14:paraId="3992D1F9" w14:textId="77777777" w:rsidR="004579E2" w:rsidRPr="002C1D30" w:rsidRDefault="004579E2" w:rsidP="001A7EF0">
      <w:pPr>
        <w:spacing w:line="0" w:lineRule="atLeast"/>
        <w:rPr>
          <w:color w:val="000000" w:themeColor="text1"/>
          <w:highlight w:val="yellow"/>
        </w:rPr>
      </w:pPr>
    </w:p>
    <w:p w14:paraId="508E0F6E"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3.9. Use the default values of 0 and 100 mm, respectively, to image the full depth of the probe. Reduce the imaging depth to the ROI to improve the acquisition frame rate by reducing the amount of data acquired and processed per frame.</w:t>
      </w:r>
    </w:p>
    <w:p w14:paraId="74F2BDDC" w14:textId="77777777" w:rsidR="004579E2" w:rsidRPr="002C1D30" w:rsidRDefault="004579E2" w:rsidP="001A7EF0">
      <w:pPr>
        <w:spacing w:line="0" w:lineRule="atLeast"/>
        <w:rPr>
          <w:color w:val="000000" w:themeColor="text1"/>
          <w:highlight w:val="yellow"/>
        </w:rPr>
      </w:pPr>
    </w:p>
    <w:p w14:paraId="1F6A8507"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3.10. Click the green “Start” button to begin data acquisition.</w:t>
      </w:r>
    </w:p>
    <w:p w14:paraId="547E2ACB" w14:textId="77777777" w:rsidR="004579E2" w:rsidRPr="002C1D30" w:rsidRDefault="004579E2" w:rsidP="001A7EF0">
      <w:pPr>
        <w:spacing w:line="0" w:lineRule="atLeast"/>
        <w:rPr>
          <w:color w:val="000000" w:themeColor="text1"/>
          <w:highlight w:val="yellow"/>
        </w:rPr>
      </w:pPr>
    </w:p>
    <w:p w14:paraId="552CA29F" w14:textId="19743DDE" w:rsidR="005443A7" w:rsidRPr="002C1D30" w:rsidRDefault="005443A7" w:rsidP="001A7EF0">
      <w:pPr>
        <w:spacing w:line="0" w:lineRule="atLeast"/>
        <w:rPr>
          <w:color w:val="000000" w:themeColor="text1"/>
          <w:highlight w:val="yellow"/>
        </w:rPr>
      </w:pPr>
      <w:r w:rsidRPr="002C1D30">
        <w:rPr>
          <w:color w:val="000000" w:themeColor="text1"/>
          <w:highlight w:val="yellow"/>
        </w:rPr>
        <w:t>NOTE: Pressing “Start” initiates QUS processing automatically within the default ROI, and the selected parameter map is displayed as a color overlay on the corresponding B-mode image.</w:t>
      </w:r>
    </w:p>
    <w:p w14:paraId="29285BA6" w14:textId="77777777" w:rsidR="005443A7" w:rsidRPr="002C1D30" w:rsidRDefault="005443A7" w:rsidP="001A7EF0">
      <w:pPr>
        <w:spacing w:line="0" w:lineRule="atLeast"/>
        <w:rPr>
          <w:color w:val="000000" w:themeColor="text1"/>
          <w:highlight w:val="yellow"/>
        </w:rPr>
      </w:pPr>
    </w:p>
    <w:p w14:paraId="073C9201"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3.11. Verify that the left display window titled “Live BF RF” displays live B-mode images and that the current acquisition frame rate is shown as “FPS:” in the window title. Verify that the right display window titled “QUS Overlay: ESD” simultaneously displays the live B-mode image with a translucent color overlay of the selected QUS parameter from the “QUS Map” drop-down menu within the default ROI.</w:t>
      </w:r>
    </w:p>
    <w:p w14:paraId="39B9E530" w14:textId="77777777" w:rsidR="004579E2" w:rsidRPr="002C1D30" w:rsidRDefault="004579E2" w:rsidP="001A7EF0">
      <w:pPr>
        <w:spacing w:line="0" w:lineRule="atLeast"/>
        <w:rPr>
          <w:color w:val="000000" w:themeColor="text1"/>
          <w:highlight w:val="yellow"/>
        </w:rPr>
      </w:pPr>
    </w:p>
    <w:p w14:paraId="420383E6" w14:textId="415953F2" w:rsidR="00F211D0" w:rsidRPr="002C1D30" w:rsidRDefault="00F211D0" w:rsidP="001A7EF0">
      <w:pPr>
        <w:spacing w:line="0" w:lineRule="atLeast"/>
        <w:rPr>
          <w:color w:val="000000" w:themeColor="text1"/>
          <w:highlight w:val="yellow"/>
        </w:rPr>
      </w:pPr>
      <w:r w:rsidRPr="002C1D30">
        <w:rPr>
          <w:color w:val="000000" w:themeColor="text1"/>
          <w:highlight w:val="yellow"/>
        </w:rPr>
        <w:lastRenderedPageBreak/>
        <w:t>3.11.1. Verify that the displayed B-mode image is free of visible motion artifacts and that adequate acoustic coupling has been maintained before proceeding with QUS processing. If significant probe or sample motion is observed, repeat the acquisition.</w:t>
      </w:r>
    </w:p>
    <w:p w14:paraId="575A9DB7" w14:textId="77777777" w:rsidR="004579E2" w:rsidRPr="002C1D30" w:rsidRDefault="004579E2" w:rsidP="001A7EF0">
      <w:pPr>
        <w:spacing w:line="0" w:lineRule="atLeast"/>
        <w:rPr>
          <w:color w:val="000000" w:themeColor="text1"/>
          <w:highlight w:val="yellow"/>
        </w:rPr>
      </w:pPr>
    </w:p>
    <w:p w14:paraId="4A614A73"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3.12. When a satisfactory B-mode image of the target tissue is displayed, click “Pause” to pause data acquisition.</w:t>
      </w:r>
    </w:p>
    <w:p w14:paraId="1171F6DF" w14:textId="77777777" w:rsidR="004579E2" w:rsidRPr="002C1D30" w:rsidRDefault="004579E2" w:rsidP="001A7EF0">
      <w:pPr>
        <w:spacing w:line="0" w:lineRule="atLeast"/>
        <w:rPr>
          <w:color w:val="000000" w:themeColor="text1"/>
          <w:highlight w:val="yellow"/>
        </w:rPr>
      </w:pPr>
    </w:p>
    <w:p w14:paraId="5C187B5D"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3.13. Verify that the button label changes to “Resume,” allowing live acquisition to be restarted at any time.</w:t>
      </w:r>
    </w:p>
    <w:p w14:paraId="32417B06" w14:textId="77777777" w:rsidR="004579E2" w:rsidRPr="002C1D30" w:rsidRDefault="004579E2" w:rsidP="001A7EF0">
      <w:pPr>
        <w:spacing w:line="0" w:lineRule="atLeast"/>
        <w:rPr>
          <w:color w:val="000000" w:themeColor="text1"/>
          <w:highlight w:val="yellow"/>
        </w:rPr>
      </w:pPr>
    </w:p>
    <w:p w14:paraId="15195FA9"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3.14. Click “Select ROI” to define the ROI for QUS processing.</w:t>
      </w:r>
    </w:p>
    <w:p w14:paraId="09779F01" w14:textId="77777777" w:rsidR="004579E2" w:rsidRPr="002C1D30" w:rsidRDefault="004579E2" w:rsidP="001A7EF0">
      <w:pPr>
        <w:spacing w:line="0" w:lineRule="atLeast"/>
        <w:rPr>
          <w:color w:val="000000" w:themeColor="text1"/>
          <w:highlight w:val="yellow"/>
        </w:rPr>
      </w:pPr>
    </w:p>
    <w:p w14:paraId="1105172F" w14:textId="77777777" w:rsidR="00992238" w:rsidRPr="002C1D30" w:rsidRDefault="00992238" w:rsidP="001A7EF0">
      <w:pPr>
        <w:spacing w:line="0" w:lineRule="atLeast"/>
        <w:rPr>
          <w:color w:val="000000" w:themeColor="text1"/>
          <w:highlight w:val="yellow"/>
          <w:lang w:val="en-IN"/>
        </w:rPr>
      </w:pPr>
      <w:r w:rsidRPr="002C1D30">
        <w:rPr>
          <w:color w:val="000000" w:themeColor="text1"/>
          <w:highlight w:val="yellow"/>
          <w:lang w:val="en-IN"/>
        </w:rPr>
        <w:t>3.15. On the live B-mode image, select two diagonally opposite corners of the desired rectangular ROI. Verify that the selected ROI defines the spatial extent over which QUS processing will be performed using the sliding sub-regions of interest (sub-ROIs) specified in the “Processing Params” window (Step 2.6).</w:t>
      </w:r>
    </w:p>
    <w:p w14:paraId="4CED434E" w14:textId="77777777" w:rsidR="00992238" w:rsidRPr="002C1D30" w:rsidRDefault="00992238" w:rsidP="001A7EF0">
      <w:pPr>
        <w:spacing w:line="0" w:lineRule="atLeast"/>
        <w:rPr>
          <w:color w:val="000000" w:themeColor="text1"/>
          <w:highlight w:val="yellow"/>
          <w:lang w:val="en-IN"/>
        </w:rPr>
      </w:pPr>
    </w:p>
    <w:p w14:paraId="5E80B2AE" w14:textId="7DC36B03" w:rsidR="001A1609" w:rsidRPr="002C1D30" w:rsidRDefault="00992238" w:rsidP="001A7EF0">
      <w:pPr>
        <w:spacing w:line="0" w:lineRule="atLeast"/>
        <w:rPr>
          <w:color w:val="000000" w:themeColor="text1"/>
          <w:highlight w:val="yellow"/>
          <w:lang w:val="en-IN"/>
        </w:rPr>
      </w:pPr>
      <w:r w:rsidRPr="002C1D30">
        <w:rPr>
          <w:color w:val="000000" w:themeColor="text1"/>
          <w:highlight w:val="yellow"/>
          <w:lang w:val="en-IN"/>
        </w:rPr>
        <w:t>3.15.1. Position the ROI over the tissue region of interest. If modifying the default sub-ROI dimensions, maintain the recommended minimum size of approximately 10 times the axial and lateral resolutions. For spectral-based QUS processing, position the ROI within the depth range for which reference phantom data are available (≤50 mm). For envelope statistics-based processing, position the ROI anywhere within the full imaging depth.</w:t>
      </w:r>
    </w:p>
    <w:p w14:paraId="53F1D4D0" w14:textId="77777777" w:rsidR="004579E2" w:rsidRPr="002C1D30" w:rsidRDefault="004579E2" w:rsidP="001A7EF0">
      <w:pPr>
        <w:spacing w:line="0" w:lineRule="atLeast"/>
        <w:rPr>
          <w:color w:val="000000" w:themeColor="text1"/>
          <w:highlight w:val="yellow"/>
        </w:rPr>
      </w:pPr>
    </w:p>
    <w:p w14:paraId="7F7E1011"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3.16. After defining the ROI, click “Resume” to restart live acquisition.</w:t>
      </w:r>
    </w:p>
    <w:p w14:paraId="223B5A95" w14:textId="77777777" w:rsidR="004579E2" w:rsidRPr="002C1D30" w:rsidRDefault="004579E2" w:rsidP="001A7EF0">
      <w:pPr>
        <w:spacing w:line="0" w:lineRule="atLeast"/>
        <w:rPr>
          <w:color w:val="000000" w:themeColor="text1"/>
          <w:highlight w:val="yellow"/>
        </w:rPr>
      </w:pPr>
    </w:p>
    <w:p w14:paraId="5A0ECA16"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 xml:space="preserve">3.17. Verify that near real-time QUS processing and parameter map visualization </w:t>
      </w:r>
      <w:proofErr w:type="gramStart"/>
      <w:r w:rsidRPr="002C1D30">
        <w:rPr>
          <w:color w:val="000000" w:themeColor="text1"/>
          <w:highlight w:val="yellow"/>
        </w:rPr>
        <w:t>begin</w:t>
      </w:r>
      <w:proofErr w:type="gramEnd"/>
      <w:r w:rsidRPr="002C1D30">
        <w:rPr>
          <w:color w:val="000000" w:themeColor="text1"/>
          <w:highlight w:val="yellow"/>
        </w:rPr>
        <w:t xml:space="preserve"> automatically. Confirm that the right display window updates the displayed QUS parameter overlay according to the newly selected ROI.</w:t>
      </w:r>
    </w:p>
    <w:p w14:paraId="046BA488" w14:textId="77777777" w:rsidR="004579E2" w:rsidRPr="002C1D30" w:rsidRDefault="004579E2" w:rsidP="001A7EF0">
      <w:pPr>
        <w:spacing w:line="0" w:lineRule="atLeast"/>
        <w:rPr>
          <w:color w:val="000000" w:themeColor="text1"/>
          <w:highlight w:val="yellow"/>
        </w:rPr>
      </w:pPr>
    </w:p>
    <w:p w14:paraId="1D7F7F7F" w14:textId="77BBB83E" w:rsidR="0046278B" w:rsidRPr="002C1D30" w:rsidRDefault="0046278B" w:rsidP="001A7EF0">
      <w:pPr>
        <w:spacing w:line="0" w:lineRule="atLeast"/>
        <w:rPr>
          <w:color w:val="000000" w:themeColor="text1"/>
          <w:highlight w:val="yellow"/>
          <w:lang w:val="en-IN"/>
        </w:rPr>
      </w:pPr>
      <w:r w:rsidRPr="002C1D30">
        <w:rPr>
          <w:color w:val="000000" w:themeColor="text1"/>
          <w:highlight w:val="yellow"/>
          <w:lang w:val="en-IN"/>
        </w:rPr>
        <w:t>3.17.</w:t>
      </w:r>
      <w:r w:rsidR="002129A7" w:rsidRPr="002C1D30">
        <w:rPr>
          <w:color w:val="000000" w:themeColor="text1"/>
          <w:highlight w:val="yellow"/>
          <w:lang w:val="en-IN"/>
        </w:rPr>
        <w:t>1</w:t>
      </w:r>
      <w:r w:rsidRPr="002C1D30">
        <w:rPr>
          <w:color w:val="000000" w:themeColor="text1"/>
          <w:highlight w:val="yellow"/>
          <w:lang w:val="en-IN"/>
        </w:rPr>
        <w:t>. If parameter estimation fails because required inputs are blank, enter the missing inputs, restart the GUI, and repeat the acquisition.</w:t>
      </w:r>
    </w:p>
    <w:p w14:paraId="71BED748" w14:textId="77777777" w:rsidR="0046278B" w:rsidRPr="002C1D30" w:rsidRDefault="0046278B" w:rsidP="001A7EF0">
      <w:pPr>
        <w:spacing w:line="0" w:lineRule="atLeast"/>
        <w:rPr>
          <w:color w:val="000000" w:themeColor="text1"/>
          <w:highlight w:val="yellow"/>
          <w:lang w:val="en-IN"/>
        </w:rPr>
      </w:pPr>
    </w:p>
    <w:p w14:paraId="3F4AEB33" w14:textId="36EC3A09" w:rsidR="0046278B" w:rsidRPr="002C1D30" w:rsidRDefault="0046278B" w:rsidP="001A7EF0">
      <w:pPr>
        <w:spacing w:line="0" w:lineRule="atLeast"/>
        <w:rPr>
          <w:color w:val="000000" w:themeColor="text1"/>
          <w:highlight w:val="yellow"/>
          <w:lang w:val="en-IN"/>
        </w:rPr>
      </w:pPr>
      <w:r w:rsidRPr="002C1D30">
        <w:rPr>
          <w:color w:val="000000" w:themeColor="text1"/>
          <w:highlight w:val="yellow"/>
          <w:lang w:val="en-IN"/>
        </w:rPr>
        <w:t>3.17.</w:t>
      </w:r>
      <w:r w:rsidR="002129A7" w:rsidRPr="002C1D30">
        <w:rPr>
          <w:color w:val="000000" w:themeColor="text1"/>
          <w:highlight w:val="yellow"/>
          <w:lang w:val="en-IN"/>
        </w:rPr>
        <w:t>2</w:t>
      </w:r>
      <w:r w:rsidRPr="002C1D30">
        <w:rPr>
          <w:color w:val="000000" w:themeColor="text1"/>
          <w:highlight w:val="yellow"/>
          <w:lang w:val="en-IN"/>
        </w:rPr>
        <w:t>. As a quality check for spectral-based QUS parameter maps, verify that the BSC-based intercept (I0) and mid-band fit (MBF) maps do not exhibit a systematic depth-dependent gradient, which may indicate incorrect attenuation compensation.</w:t>
      </w:r>
    </w:p>
    <w:p w14:paraId="294E2D7F" w14:textId="77777777" w:rsidR="0046278B" w:rsidRPr="002C1D30" w:rsidRDefault="0046278B" w:rsidP="001A7EF0">
      <w:pPr>
        <w:spacing w:line="0" w:lineRule="atLeast"/>
        <w:rPr>
          <w:color w:val="000000" w:themeColor="text1"/>
          <w:highlight w:val="yellow"/>
          <w:lang w:val="en-IN"/>
        </w:rPr>
      </w:pPr>
    </w:p>
    <w:p w14:paraId="382DE8FB" w14:textId="59BE48DE" w:rsidR="0046278B" w:rsidRPr="002C1D30" w:rsidRDefault="0046278B" w:rsidP="001A7EF0">
      <w:pPr>
        <w:spacing w:line="0" w:lineRule="atLeast"/>
        <w:rPr>
          <w:color w:val="000000" w:themeColor="text1"/>
          <w:highlight w:val="yellow"/>
          <w:lang w:val="en-IN"/>
        </w:rPr>
      </w:pPr>
      <w:r w:rsidRPr="002C1D30">
        <w:rPr>
          <w:color w:val="000000" w:themeColor="text1"/>
          <w:highlight w:val="yellow"/>
          <w:lang w:val="en-IN"/>
        </w:rPr>
        <w:t>3.17.</w:t>
      </w:r>
      <w:r w:rsidR="002129A7" w:rsidRPr="002C1D30">
        <w:rPr>
          <w:color w:val="000000" w:themeColor="text1"/>
          <w:highlight w:val="yellow"/>
          <w:lang w:val="en-IN"/>
        </w:rPr>
        <w:t>3</w:t>
      </w:r>
      <w:r w:rsidRPr="002C1D30">
        <w:rPr>
          <w:color w:val="000000" w:themeColor="text1"/>
          <w:highlight w:val="yellow"/>
          <w:lang w:val="en-IN"/>
        </w:rPr>
        <w:t>. For Homodyned-K processing, identify saturated regions in the H-K Cluster map as failed parameter estimates; do not interpret these regions as valid QUS estimates.</w:t>
      </w:r>
    </w:p>
    <w:p w14:paraId="2DCDE03D" w14:textId="77777777" w:rsidR="004579E2" w:rsidRPr="002C1D30" w:rsidRDefault="004579E2" w:rsidP="001A7EF0">
      <w:pPr>
        <w:spacing w:line="0" w:lineRule="atLeast"/>
        <w:rPr>
          <w:color w:val="000000" w:themeColor="text1"/>
          <w:highlight w:val="yellow"/>
        </w:rPr>
      </w:pPr>
    </w:p>
    <w:p w14:paraId="4E20486B" w14:textId="77777777" w:rsidR="004579E2" w:rsidRPr="002C1D30" w:rsidRDefault="002969B5" w:rsidP="001A7EF0">
      <w:pPr>
        <w:spacing w:line="0" w:lineRule="atLeast"/>
        <w:rPr>
          <w:color w:val="000000" w:themeColor="text1"/>
          <w:highlight w:val="yellow"/>
        </w:rPr>
      </w:pPr>
      <w:r w:rsidRPr="002C1D30">
        <w:rPr>
          <w:color w:val="000000" w:themeColor="text1"/>
          <w:highlight w:val="yellow"/>
        </w:rPr>
        <w:t>3.18. To terminate the session, click “Stop &amp; Exit” to stop data acquisition and close the GUI.</w:t>
      </w:r>
    </w:p>
    <w:p w14:paraId="47871CEB" w14:textId="77777777" w:rsidR="004579E2" w:rsidRPr="002C1D30" w:rsidRDefault="004579E2" w:rsidP="001A7EF0">
      <w:pPr>
        <w:spacing w:line="0" w:lineRule="atLeast"/>
        <w:rPr>
          <w:color w:val="000000" w:themeColor="text1"/>
          <w:highlight w:val="yellow"/>
        </w:rPr>
      </w:pPr>
    </w:p>
    <w:p w14:paraId="256D3A5D" w14:textId="5335434A" w:rsidR="004579E2" w:rsidRPr="00FA366D" w:rsidRDefault="002969B5" w:rsidP="001A7EF0">
      <w:pPr>
        <w:spacing w:line="0" w:lineRule="atLeast"/>
        <w:rPr>
          <w:color w:val="000000" w:themeColor="text1"/>
        </w:rPr>
      </w:pPr>
      <w:r w:rsidRPr="002C1D30">
        <w:rPr>
          <w:color w:val="000000" w:themeColor="text1"/>
          <w:highlight w:val="yellow"/>
        </w:rPr>
        <w:t xml:space="preserve">3.19. </w:t>
      </w:r>
      <w:r w:rsidR="002B7A01" w:rsidRPr="002C1D30">
        <w:rPr>
          <w:color w:val="000000" w:themeColor="text1"/>
          <w:highlight w:val="yellow"/>
        </w:rPr>
        <w:t>To save the acquisition results, proceed to Step 5</w:t>
      </w:r>
      <w:r w:rsidRPr="002C1D30">
        <w:rPr>
          <w:color w:val="000000" w:themeColor="text1"/>
          <w:highlight w:val="yellow"/>
        </w:rPr>
        <w:t>.</w:t>
      </w:r>
    </w:p>
    <w:p w14:paraId="6A64D733" w14:textId="77777777" w:rsidR="004579E2" w:rsidRPr="00FA366D" w:rsidRDefault="004579E2" w:rsidP="001A7EF0">
      <w:pPr>
        <w:spacing w:line="0" w:lineRule="atLeast"/>
        <w:rPr>
          <w:color w:val="000000" w:themeColor="text1"/>
        </w:rPr>
      </w:pPr>
    </w:p>
    <w:p w14:paraId="39A0C26E" w14:textId="77777777" w:rsidR="004579E2" w:rsidRPr="00FA366D" w:rsidRDefault="002969B5" w:rsidP="001A7EF0">
      <w:pPr>
        <w:spacing w:line="0" w:lineRule="atLeast"/>
        <w:rPr>
          <w:b/>
          <w:bCs/>
          <w:color w:val="000000" w:themeColor="text1"/>
        </w:rPr>
      </w:pPr>
      <w:r w:rsidRPr="000C5E3D">
        <w:rPr>
          <w:b/>
          <w:bCs/>
          <w:color w:val="000000" w:themeColor="text1"/>
          <w:highlight w:val="yellow"/>
        </w:rPr>
        <w:t>4. QUS Processing and Visualization</w:t>
      </w:r>
    </w:p>
    <w:p w14:paraId="674FB5F3" w14:textId="77777777" w:rsidR="004579E2" w:rsidRPr="00FA366D" w:rsidRDefault="004579E2" w:rsidP="001A7EF0">
      <w:pPr>
        <w:spacing w:line="0" w:lineRule="atLeast"/>
        <w:rPr>
          <w:color w:val="000000" w:themeColor="text1"/>
        </w:rPr>
      </w:pPr>
    </w:p>
    <w:p w14:paraId="780409C2" w14:textId="77777777" w:rsidR="004579E2" w:rsidRPr="00E64A61" w:rsidRDefault="002969B5" w:rsidP="001A7EF0">
      <w:pPr>
        <w:spacing w:line="0" w:lineRule="atLeast"/>
        <w:rPr>
          <w:color w:val="000000" w:themeColor="text1"/>
          <w:highlight w:val="yellow"/>
        </w:rPr>
      </w:pPr>
      <w:r w:rsidRPr="00E64A61">
        <w:rPr>
          <w:color w:val="000000" w:themeColor="text1"/>
          <w:highlight w:val="yellow"/>
        </w:rPr>
        <w:t>4.1. Verify QUS Parameter Selection</w:t>
      </w:r>
    </w:p>
    <w:p w14:paraId="4DF7598D" w14:textId="77777777" w:rsidR="004579E2" w:rsidRPr="00E64A61" w:rsidRDefault="004579E2" w:rsidP="001A7EF0">
      <w:pPr>
        <w:spacing w:line="0" w:lineRule="atLeast"/>
        <w:rPr>
          <w:color w:val="000000" w:themeColor="text1"/>
          <w:highlight w:val="yellow"/>
        </w:rPr>
      </w:pPr>
    </w:p>
    <w:p w14:paraId="25335CA7" w14:textId="53FDFBDC" w:rsidR="004579E2" w:rsidRPr="00E64A61" w:rsidRDefault="002969B5" w:rsidP="001A7EF0">
      <w:pPr>
        <w:spacing w:line="0" w:lineRule="atLeast"/>
        <w:rPr>
          <w:color w:val="000000" w:themeColor="text1"/>
          <w:highlight w:val="yellow"/>
        </w:rPr>
      </w:pPr>
      <w:r w:rsidRPr="00E64A61">
        <w:rPr>
          <w:color w:val="000000" w:themeColor="text1"/>
          <w:highlight w:val="yellow"/>
        </w:rPr>
        <w:t>4.</w:t>
      </w:r>
      <w:r w:rsidR="00152442" w:rsidRPr="00E64A61">
        <w:rPr>
          <w:color w:val="000000" w:themeColor="text1"/>
          <w:highlight w:val="yellow"/>
        </w:rPr>
        <w:t>1</w:t>
      </w:r>
      <w:r w:rsidRPr="00E64A61">
        <w:rPr>
          <w:color w:val="000000" w:themeColor="text1"/>
          <w:highlight w:val="yellow"/>
        </w:rPr>
        <w:t>.</w:t>
      </w:r>
      <w:r w:rsidR="00152442" w:rsidRPr="00E64A61">
        <w:rPr>
          <w:color w:val="000000" w:themeColor="text1"/>
          <w:highlight w:val="yellow"/>
        </w:rPr>
        <w:t>1.</w:t>
      </w:r>
      <w:r w:rsidRPr="00E64A61">
        <w:rPr>
          <w:color w:val="000000" w:themeColor="text1"/>
          <w:highlight w:val="yellow"/>
        </w:rPr>
        <w:t xml:space="preserve"> Click “Select Params” and verify that the desired QUS parameters are selected for computation, as described in Step 2.3.</w:t>
      </w:r>
    </w:p>
    <w:p w14:paraId="3E7631C2" w14:textId="77777777" w:rsidR="004579E2" w:rsidRPr="00E64A61" w:rsidRDefault="004579E2" w:rsidP="001A7EF0">
      <w:pPr>
        <w:spacing w:line="0" w:lineRule="atLeast"/>
        <w:rPr>
          <w:color w:val="000000" w:themeColor="text1"/>
          <w:highlight w:val="yellow"/>
        </w:rPr>
      </w:pPr>
    </w:p>
    <w:p w14:paraId="575FB711" w14:textId="54897AF7" w:rsidR="004579E2" w:rsidRPr="00E64A61" w:rsidRDefault="002969B5" w:rsidP="001A7EF0">
      <w:pPr>
        <w:spacing w:line="0" w:lineRule="atLeast"/>
        <w:rPr>
          <w:color w:val="000000" w:themeColor="text1"/>
          <w:highlight w:val="yellow"/>
        </w:rPr>
      </w:pPr>
      <w:r w:rsidRPr="00E64A61">
        <w:rPr>
          <w:color w:val="000000" w:themeColor="text1"/>
          <w:highlight w:val="yellow"/>
        </w:rPr>
        <w:t>4.</w:t>
      </w:r>
      <w:r w:rsidR="00152442" w:rsidRPr="00E64A61">
        <w:rPr>
          <w:color w:val="000000" w:themeColor="text1"/>
          <w:highlight w:val="yellow"/>
        </w:rPr>
        <w:t>1</w:t>
      </w:r>
      <w:r w:rsidRPr="00E64A61">
        <w:rPr>
          <w:color w:val="000000" w:themeColor="text1"/>
          <w:highlight w:val="yellow"/>
        </w:rPr>
        <w:t>.</w:t>
      </w:r>
      <w:r w:rsidR="00152442" w:rsidRPr="00E64A61">
        <w:rPr>
          <w:color w:val="000000" w:themeColor="text1"/>
          <w:highlight w:val="yellow"/>
        </w:rPr>
        <w:t>2.</w:t>
      </w:r>
      <w:r w:rsidRPr="00E64A61">
        <w:rPr>
          <w:color w:val="000000" w:themeColor="text1"/>
          <w:highlight w:val="yellow"/>
        </w:rPr>
        <w:t xml:space="preserve"> Verify that the “QUS Map” drop-down menu displays only the parameters selected in the “Select Params” window. If a parameter that has not yet been computed is selected while using the default parameter list, verify that the right display window title shows “Unavailable” until computation is complete.</w:t>
      </w:r>
    </w:p>
    <w:p w14:paraId="0DFEEDFB" w14:textId="77777777" w:rsidR="004579E2" w:rsidRPr="00E64A61" w:rsidRDefault="004579E2" w:rsidP="001A7EF0">
      <w:pPr>
        <w:spacing w:line="0" w:lineRule="atLeast"/>
        <w:rPr>
          <w:color w:val="000000" w:themeColor="text1"/>
          <w:highlight w:val="yellow"/>
        </w:rPr>
      </w:pPr>
    </w:p>
    <w:p w14:paraId="07FC71C1" w14:textId="152558D6" w:rsidR="004579E2" w:rsidRPr="00E64A61" w:rsidRDefault="002969B5" w:rsidP="001A7EF0">
      <w:pPr>
        <w:spacing w:line="0" w:lineRule="atLeast"/>
        <w:rPr>
          <w:color w:val="000000" w:themeColor="text1"/>
          <w:highlight w:val="yellow"/>
        </w:rPr>
      </w:pPr>
      <w:r w:rsidRPr="00E64A61">
        <w:rPr>
          <w:color w:val="000000" w:themeColor="text1"/>
          <w:highlight w:val="yellow"/>
        </w:rPr>
        <w:t>4.</w:t>
      </w:r>
      <w:r w:rsidR="00152442" w:rsidRPr="00E64A61">
        <w:rPr>
          <w:color w:val="000000" w:themeColor="text1"/>
          <w:highlight w:val="yellow"/>
        </w:rPr>
        <w:t>2</w:t>
      </w:r>
      <w:r w:rsidRPr="00E64A61">
        <w:rPr>
          <w:color w:val="000000" w:themeColor="text1"/>
          <w:highlight w:val="yellow"/>
        </w:rPr>
        <w:t>. Start QUS Processing</w:t>
      </w:r>
    </w:p>
    <w:p w14:paraId="7AA4BC19" w14:textId="77777777" w:rsidR="004579E2" w:rsidRPr="00E64A61" w:rsidRDefault="004579E2" w:rsidP="001A7EF0">
      <w:pPr>
        <w:spacing w:line="0" w:lineRule="atLeast"/>
        <w:rPr>
          <w:color w:val="000000" w:themeColor="text1"/>
          <w:highlight w:val="yellow"/>
        </w:rPr>
      </w:pPr>
    </w:p>
    <w:p w14:paraId="1CD0F3C2" w14:textId="4B23D1CA" w:rsidR="004579E2" w:rsidRPr="00E64A61" w:rsidRDefault="002969B5" w:rsidP="001A7EF0">
      <w:pPr>
        <w:spacing w:line="0" w:lineRule="atLeast"/>
        <w:rPr>
          <w:color w:val="000000" w:themeColor="text1"/>
          <w:highlight w:val="yellow"/>
        </w:rPr>
      </w:pPr>
      <w:r w:rsidRPr="00E64A61">
        <w:rPr>
          <w:color w:val="000000" w:themeColor="text1"/>
          <w:highlight w:val="yellow"/>
        </w:rPr>
        <w:t>4.</w:t>
      </w:r>
      <w:r w:rsidR="00152442" w:rsidRPr="00E64A61">
        <w:rPr>
          <w:color w:val="000000" w:themeColor="text1"/>
          <w:highlight w:val="yellow"/>
        </w:rPr>
        <w:t>2</w:t>
      </w:r>
      <w:r w:rsidRPr="00E64A61">
        <w:rPr>
          <w:color w:val="000000" w:themeColor="text1"/>
          <w:highlight w:val="yellow"/>
        </w:rPr>
        <w:t>.</w:t>
      </w:r>
      <w:r w:rsidR="00152442" w:rsidRPr="00E64A61">
        <w:rPr>
          <w:color w:val="000000" w:themeColor="text1"/>
          <w:highlight w:val="yellow"/>
        </w:rPr>
        <w:t>1.</w:t>
      </w:r>
      <w:r w:rsidRPr="00E64A61">
        <w:rPr>
          <w:color w:val="000000" w:themeColor="text1"/>
          <w:highlight w:val="yellow"/>
        </w:rPr>
        <w:t xml:space="preserve"> After defining the ROI as described in Step 3.15, click “Resume” to restart data acquisition.</w:t>
      </w:r>
    </w:p>
    <w:p w14:paraId="172429E1" w14:textId="77777777" w:rsidR="004579E2" w:rsidRPr="00E64A61" w:rsidRDefault="004579E2" w:rsidP="001A7EF0">
      <w:pPr>
        <w:spacing w:line="0" w:lineRule="atLeast"/>
        <w:rPr>
          <w:color w:val="000000" w:themeColor="text1"/>
          <w:highlight w:val="yellow"/>
        </w:rPr>
      </w:pPr>
    </w:p>
    <w:p w14:paraId="61674C64" w14:textId="2683A2FB" w:rsidR="004579E2" w:rsidRPr="00FA366D" w:rsidRDefault="002969B5" w:rsidP="001A7EF0">
      <w:pPr>
        <w:spacing w:line="0" w:lineRule="atLeast"/>
        <w:rPr>
          <w:color w:val="000000" w:themeColor="text1"/>
        </w:rPr>
      </w:pPr>
      <w:r w:rsidRPr="00E64A61">
        <w:rPr>
          <w:color w:val="000000" w:themeColor="text1"/>
          <w:highlight w:val="yellow"/>
        </w:rPr>
        <w:t>4.</w:t>
      </w:r>
      <w:r w:rsidR="00152442" w:rsidRPr="00E64A61">
        <w:rPr>
          <w:color w:val="000000" w:themeColor="text1"/>
          <w:highlight w:val="yellow"/>
        </w:rPr>
        <w:t>2</w:t>
      </w:r>
      <w:r w:rsidRPr="00E64A61">
        <w:rPr>
          <w:color w:val="000000" w:themeColor="text1"/>
          <w:highlight w:val="yellow"/>
        </w:rPr>
        <w:t>.</w:t>
      </w:r>
      <w:r w:rsidR="00152442" w:rsidRPr="00E64A61">
        <w:rPr>
          <w:color w:val="000000" w:themeColor="text1"/>
          <w:highlight w:val="yellow"/>
        </w:rPr>
        <w:t>2.</w:t>
      </w:r>
      <w:r w:rsidRPr="00E64A61">
        <w:rPr>
          <w:color w:val="000000" w:themeColor="text1"/>
          <w:highlight w:val="yellow"/>
        </w:rPr>
        <w:t xml:space="preserve"> Verify that near real-time QUS processing begins automatically. Confirm that all selected QUS parameters are computed simultaneously using the same sliding sub-ROIs defined in the “Processing Params” window (Step 2.6).</w:t>
      </w:r>
    </w:p>
    <w:p w14:paraId="52EA863F" w14:textId="77777777" w:rsidR="004579E2" w:rsidRPr="00FA366D" w:rsidRDefault="004579E2" w:rsidP="001A7EF0">
      <w:pPr>
        <w:spacing w:line="0" w:lineRule="atLeast"/>
        <w:rPr>
          <w:color w:val="000000" w:themeColor="text1"/>
        </w:rPr>
      </w:pPr>
    </w:p>
    <w:p w14:paraId="1EED7AF7" w14:textId="2E2C4559" w:rsidR="00AF5866" w:rsidRPr="00FA366D" w:rsidRDefault="00ED1BC4" w:rsidP="001A7EF0">
      <w:pPr>
        <w:spacing w:line="0" w:lineRule="atLeast"/>
        <w:rPr>
          <w:color w:val="000000" w:themeColor="text1"/>
        </w:rPr>
      </w:pPr>
      <w:r w:rsidRPr="00FA366D">
        <w:rPr>
          <w:color w:val="000000" w:themeColor="text1"/>
        </w:rPr>
        <w:t>NOTE: Successful computation is indicated by display of the selected QUS parameter map as a color overlay on the corresponding B-mode image. For failed parameter estimation and troubleshooting, refer to Step 3.17.1.</w:t>
      </w:r>
    </w:p>
    <w:p w14:paraId="7CFDCA54" w14:textId="77777777" w:rsidR="004579E2" w:rsidRPr="00FA366D" w:rsidRDefault="004579E2" w:rsidP="001A7EF0">
      <w:pPr>
        <w:spacing w:line="0" w:lineRule="atLeast"/>
        <w:rPr>
          <w:color w:val="000000" w:themeColor="text1"/>
        </w:rPr>
      </w:pPr>
    </w:p>
    <w:p w14:paraId="2F4804C8" w14:textId="77777777" w:rsidR="004579E2" w:rsidRPr="00FA366D" w:rsidRDefault="002969B5" w:rsidP="001A7EF0">
      <w:pPr>
        <w:spacing w:line="0" w:lineRule="atLeast"/>
        <w:rPr>
          <w:color w:val="000000" w:themeColor="text1"/>
        </w:rPr>
      </w:pPr>
      <w:r w:rsidRPr="00E64A61">
        <w:rPr>
          <w:color w:val="000000" w:themeColor="text1"/>
          <w:highlight w:val="yellow"/>
        </w:rPr>
        <w:t>4.3. Spectral-Based Processing</w:t>
      </w:r>
    </w:p>
    <w:p w14:paraId="78EC47B1" w14:textId="77777777" w:rsidR="004579E2" w:rsidRPr="00FA366D" w:rsidRDefault="004579E2" w:rsidP="001A7EF0">
      <w:pPr>
        <w:spacing w:line="0" w:lineRule="atLeast"/>
        <w:rPr>
          <w:color w:val="000000" w:themeColor="text1"/>
        </w:rPr>
      </w:pPr>
    </w:p>
    <w:p w14:paraId="1B8745BE" w14:textId="29331530" w:rsidR="004579E2" w:rsidRPr="00FA366D" w:rsidRDefault="002969B5" w:rsidP="001A7EF0">
      <w:pPr>
        <w:spacing w:line="0" w:lineRule="atLeast"/>
        <w:rPr>
          <w:color w:val="000000" w:themeColor="text1"/>
        </w:rPr>
      </w:pPr>
      <w:r w:rsidRPr="009B27A4">
        <w:rPr>
          <w:color w:val="000000" w:themeColor="text1"/>
          <w:highlight w:val="yellow"/>
        </w:rPr>
        <w:t>4.</w:t>
      </w:r>
      <w:r w:rsidR="00152442" w:rsidRPr="009B27A4">
        <w:rPr>
          <w:color w:val="000000" w:themeColor="text1"/>
          <w:highlight w:val="yellow"/>
        </w:rPr>
        <w:t>3</w:t>
      </w:r>
      <w:r w:rsidRPr="009B27A4">
        <w:rPr>
          <w:color w:val="000000" w:themeColor="text1"/>
          <w:highlight w:val="yellow"/>
        </w:rPr>
        <w:t>.</w:t>
      </w:r>
      <w:r w:rsidR="000065E9" w:rsidRPr="009B27A4">
        <w:rPr>
          <w:color w:val="000000" w:themeColor="text1"/>
          <w:highlight w:val="yellow"/>
        </w:rPr>
        <w:t>1</w:t>
      </w:r>
      <w:r w:rsidR="00152442" w:rsidRPr="009B27A4">
        <w:rPr>
          <w:color w:val="000000" w:themeColor="text1"/>
          <w:highlight w:val="yellow"/>
        </w:rPr>
        <w:t>.</w:t>
      </w:r>
      <w:r w:rsidRPr="009B27A4">
        <w:rPr>
          <w:color w:val="000000" w:themeColor="text1"/>
          <w:highlight w:val="yellow"/>
        </w:rPr>
        <w:t xml:space="preserve"> BSC Estimation:</w:t>
      </w:r>
      <w:r w:rsidRPr="00FA366D">
        <w:rPr>
          <w:color w:val="000000" w:themeColor="text1"/>
        </w:rPr>
        <w:t xml:space="preserve"> If BSC-based parameters are selected in “Select Params,” estimate the BSC within each sub-ROI using the reference phantom method (RPM)</w:t>
      </w:r>
      <w:r w:rsidRPr="00FA366D">
        <w:rPr>
          <w:color w:val="000000" w:themeColor="text1"/>
          <w:vertAlign w:val="superscript"/>
        </w:rPr>
        <w:t>25,2</w:t>
      </w:r>
      <w:r w:rsidR="00D02AAA" w:rsidRPr="00FA366D">
        <w:rPr>
          <w:color w:val="000000" w:themeColor="text1"/>
          <w:vertAlign w:val="superscript"/>
        </w:rPr>
        <w:t>6</w:t>
      </w:r>
      <w:r w:rsidRPr="00FA366D">
        <w:rPr>
          <w:color w:val="000000" w:themeColor="text1"/>
        </w:rPr>
        <w:t xml:space="preserve">. The sample BSC for each sub-ROI is estimated using </w:t>
      </w:r>
      <w:r w:rsidRPr="00FA366D">
        <w:rPr>
          <w:b/>
          <w:bCs/>
          <w:color w:val="000000" w:themeColor="text1"/>
        </w:rPr>
        <w:t>Equation 2</w:t>
      </w:r>
      <w:r w:rsidRPr="00FA366D">
        <w:rPr>
          <w:color w:val="000000" w:themeColor="text1"/>
        </w:rPr>
        <w:t xml:space="preserve"> as follows:</w:t>
      </w:r>
    </w:p>
    <w:p w14:paraId="2F8B47FE" w14:textId="77777777" w:rsidR="004579E2" w:rsidRPr="00FA366D" w:rsidRDefault="004579E2" w:rsidP="001A7EF0">
      <w:pPr>
        <w:spacing w:line="0" w:lineRule="atLeast"/>
        <w:rPr>
          <w:color w:val="000000" w:themeColor="text1"/>
        </w:rPr>
      </w:pPr>
    </w:p>
    <w:p w14:paraId="0D559712" w14:textId="77777777" w:rsidR="004579E2" w:rsidRPr="00FA366D" w:rsidRDefault="00000000" w:rsidP="001A7EF0">
      <w:pPr>
        <w:spacing w:line="0" w:lineRule="atLeast"/>
        <w:rPr>
          <w:color w:val="000000" w:themeColor="text1"/>
        </w:rPr>
      </w:pPr>
      <m:oMath>
        <m:sSub>
          <m:sSubPr>
            <m:ctrlPr>
              <w:rPr>
                <w:rFonts w:ascii="Cambria Math" w:hAnsi="Cambria Math"/>
                <w:color w:val="000000" w:themeColor="text1"/>
              </w:rPr>
            </m:ctrlPr>
          </m:sSubPr>
          <m:e>
            <m:r>
              <m:rPr>
                <m:sty m:val="p"/>
              </m:rPr>
              <w:rPr>
                <w:rFonts w:ascii="Cambria Math" w:hAnsi="Cambria Math"/>
                <w:color w:val="000000" w:themeColor="text1"/>
              </w:rPr>
              <m:t>BSC</m:t>
            </m:r>
          </m:e>
          <m:sub>
            <m:r>
              <m:rPr>
                <m:sty m:val="p"/>
              </m:rPr>
              <w:rPr>
                <w:rFonts w:ascii="Cambria Math" w:hAnsi="Cambria Math"/>
                <w:color w:val="000000" w:themeColor="text1"/>
              </w:rPr>
              <m:t>subROI</m:t>
            </m:r>
          </m:sub>
        </m:sSub>
        <m:d>
          <m:dPr>
            <m:sepChr m:val=","/>
            <m:ctrlPr>
              <w:rPr>
                <w:rFonts w:ascii="Cambria Math" w:hAnsi="Cambria Math"/>
                <w:color w:val="000000" w:themeColor="text1"/>
              </w:rPr>
            </m:ctrlPr>
          </m:dPr>
          <m:e>
            <m:r>
              <w:rPr>
                <w:rFonts w:ascii="Cambria Math" w:hAnsi="Cambria Math"/>
                <w:color w:val="000000" w:themeColor="text1"/>
              </w:rPr>
              <m:t>f</m:t>
            </m:r>
          </m:e>
          <m:e>
            <m:r>
              <w:rPr>
                <w:rFonts w:ascii="Cambria Math" w:hAnsi="Cambria Math"/>
                <w:color w:val="000000" w:themeColor="text1"/>
              </w:rPr>
              <m:t>z</m:t>
            </m:r>
          </m:e>
        </m:d>
        <m: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m:rPr>
                    <m:sty m:val="p"/>
                  </m:rPr>
                  <w:rPr>
                    <w:rFonts w:ascii="Cambria Math" w:hAnsi="Cambria Math"/>
                    <w:color w:val="000000" w:themeColor="text1"/>
                  </w:rPr>
                  <m:t>BSC</m:t>
                </m:r>
              </m:e>
              <m:sub>
                <m:r>
                  <m:rPr>
                    <m:sty m:val="p"/>
                  </m:rPr>
                  <w:rPr>
                    <w:rFonts w:ascii="Cambria Math" w:hAnsi="Cambria Math"/>
                    <w:color w:val="000000" w:themeColor="text1"/>
                  </w:rPr>
                  <m:t>ref</m:t>
                </m:r>
              </m:sub>
            </m:sSub>
            <m:d>
              <m:dPr>
                <m:ctrlPr>
                  <w:rPr>
                    <w:rFonts w:ascii="Cambria Math" w:hAnsi="Cambria Math"/>
                    <w:color w:val="000000" w:themeColor="text1"/>
                  </w:rPr>
                </m:ctrlPr>
              </m:dPr>
              <m:e>
                <m:r>
                  <w:rPr>
                    <w:rFonts w:ascii="Cambria Math" w:hAnsi="Cambria Math"/>
                    <w:color w:val="000000" w:themeColor="text1"/>
                  </w:rPr>
                  <m:t>f</m:t>
                </m:r>
              </m:e>
            </m:d>
            <m:r>
              <w:rPr>
                <w:rFonts w:ascii="Cambria Math" w:hAnsi="Cambria Math"/>
                <w:color w:val="000000" w:themeColor="text1"/>
              </w:rPr>
              <m:t>×</m:t>
            </m:r>
            <m:r>
              <m:rPr>
                <m:sty m:val="p"/>
              </m:rPr>
              <w:rPr>
                <w:rFonts w:ascii="Cambria Math" w:hAnsi="Cambria Math"/>
                <w:color w:val="000000" w:themeColor="text1"/>
              </w:rPr>
              <m:t>NPS</m:t>
            </m:r>
            <m:d>
              <m:dPr>
                <m:sepChr m:val=","/>
                <m:ctrlPr>
                  <w:rPr>
                    <w:rFonts w:ascii="Cambria Math" w:hAnsi="Cambria Math"/>
                    <w:color w:val="000000" w:themeColor="text1"/>
                  </w:rPr>
                </m:ctrlPr>
              </m:dPr>
              <m:e>
                <m:r>
                  <w:rPr>
                    <w:rFonts w:ascii="Cambria Math" w:hAnsi="Cambria Math"/>
                    <w:color w:val="000000" w:themeColor="text1"/>
                  </w:rPr>
                  <m:t>f</m:t>
                </m:r>
              </m:e>
              <m:e>
                <m:r>
                  <w:rPr>
                    <w:rFonts w:ascii="Cambria Math" w:hAnsi="Cambria Math"/>
                    <w:color w:val="000000" w:themeColor="text1"/>
                  </w:rPr>
                  <m:t>z</m:t>
                </m:r>
              </m:e>
            </m:d>
            <m:r>
              <w:rPr>
                <w:rFonts w:ascii="Cambria Math" w:hAnsi="Cambria Math"/>
                <w:color w:val="000000" w:themeColor="text1"/>
              </w:rPr>
              <m:t>×A</m:t>
            </m:r>
            <m:d>
              <m:dPr>
                <m:sepChr m:val=","/>
                <m:ctrlPr>
                  <w:rPr>
                    <w:rFonts w:ascii="Cambria Math" w:hAnsi="Cambria Math"/>
                    <w:color w:val="000000" w:themeColor="text1"/>
                  </w:rPr>
                </m:ctrlPr>
              </m:dPr>
              <m:e>
                <m:r>
                  <w:rPr>
                    <w:rFonts w:ascii="Cambria Math" w:hAnsi="Cambria Math"/>
                    <w:color w:val="000000" w:themeColor="text1"/>
                  </w:rPr>
                  <m:t>f</m:t>
                </m:r>
              </m:e>
              <m:e>
                <m:r>
                  <w:rPr>
                    <w:rFonts w:ascii="Cambria Math" w:hAnsi="Cambria Math"/>
                    <w:color w:val="000000" w:themeColor="text1"/>
                  </w:rPr>
                  <m:t>z</m:t>
                </m:r>
              </m:e>
            </m:d>
          </m:num>
          <m:den>
            <m:r>
              <w:rPr>
                <w:rFonts w:ascii="Cambria Math" w:hAnsi="Cambria Math"/>
                <w:color w:val="000000" w:themeColor="text1"/>
              </w:rPr>
              <m:t>T</m:t>
            </m:r>
            <m:d>
              <m:dPr>
                <m:sepChr m:val=","/>
                <m:ctrlPr>
                  <w:rPr>
                    <w:rFonts w:ascii="Cambria Math" w:hAnsi="Cambria Math"/>
                    <w:color w:val="000000" w:themeColor="text1"/>
                  </w:rPr>
                </m:ctrlPr>
              </m:dPr>
              <m:e>
                <m:r>
                  <w:rPr>
                    <w:rFonts w:ascii="Cambria Math" w:hAnsi="Cambria Math"/>
                    <w:color w:val="000000" w:themeColor="text1"/>
                  </w:rPr>
                  <m:t>f</m:t>
                </m:r>
              </m:e>
              <m:e>
                <m:r>
                  <w:rPr>
                    <w:rFonts w:ascii="Cambria Math" w:hAnsi="Cambria Math"/>
                    <w:color w:val="000000" w:themeColor="text1"/>
                  </w:rPr>
                  <m:t>z</m:t>
                </m:r>
              </m:e>
            </m:d>
          </m:den>
        </m:f>
      </m:oMath>
      <w:r w:rsidR="002969B5" w:rsidRPr="00FA366D">
        <w:rPr>
          <w:rFonts w:eastAsiaTheme="minorEastAsia"/>
          <w:color w:val="000000" w:themeColor="text1"/>
        </w:rPr>
        <w:t xml:space="preserve"> </w:t>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t>(2)</w:t>
      </w:r>
    </w:p>
    <w:p w14:paraId="27913F12" w14:textId="77777777" w:rsidR="004579E2" w:rsidRPr="00FA366D" w:rsidRDefault="004579E2" w:rsidP="001A7EF0">
      <w:pPr>
        <w:spacing w:line="0" w:lineRule="atLeast"/>
        <w:rPr>
          <w:color w:val="000000" w:themeColor="text1"/>
        </w:rPr>
      </w:pPr>
    </w:p>
    <w:p w14:paraId="0A2D4B7E" w14:textId="6435C715" w:rsidR="004579E2" w:rsidRPr="00FA366D" w:rsidRDefault="002969B5" w:rsidP="001A7EF0">
      <w:pPr>
        <w:spacing w:line="0" w:lineRule="atLeast"/>
        <w:rPr>
          <w:color w:val="000000" w:themeColor="text1"/>
        </w:rPr>
      </w:pPr>
      <w:r w:rsidRPr="00FA366D">
        <w:rPr>
          <w:color w:val="000000" w:themeColor="text1"/>
        </w:rPr>
        <w:t xml:space="preserve">Here, </w:t>
      </w:r>
      <w:proofErr w:type="spellStart"/>
      <w:r w:rsidRPr="00FA366D">
        <w:rPr>
          <w:color w:val="000000" w:themeColor="text1"/>
        </w:rPr>
        <w:t>BSCref</w:t>
      </w:r>
      <w:proofErr w:type="spellEnd"/>
      <w:r w:rsidRPr="00FA366D">
        <w:rPr>
          <w:color w:val="000000" w:themeColor="text1"/>
        </w:rPr>
        <w:t>(f) is the frequency-dependent BSC of the reference phantom, NPS(</w:t>
      </w:r>
      <w:proofErr w:type="spellStart"/>
      <w:proofErr w:type="gramStart"/>
      <w:r w:rsidRPr="00FA366D">
        <w:rPr>
          <w:color w:val="000000" w:themeColor="text1"/>
        </w:rPr>
        <w:t>f,z</w:t>
      </w:r>
      <w:proofErr w:type="spellEnd"/>
      <w:proofErr w:type="gramEnd"/>
      <w:r w:rsidRPr="00FA366D">
        <w:rPr>
          <w:color w:val="000000" w:themeColor="text1"/>
        </w:rPr>
        <w:t>) is the normalized power spectrum, A(</w:t>
      </w:r>
      <w:proofErr w:type="spellStart"/>
      <w:proofErr w:type="gramStart"/>
      <w:r w:rsidRPr="00FA366D">
        <w:rPr>
          <w:color w:val="000000" w:themeColor="text1"/>
        </w:rPr>
        <w:t>f,z</w:t>
      </w:r>
      <w:proofErr w:type="spellEnd"/>
      <w:proofErr w:type="gramEnd"/>
      <w:r w:rsidRPr="00FA366D">
        <w:rPr>
          <w:color w:val="000000" w:themeColor="text1"/>
        </w:rPr>
        <w:t>) is the attenuation compensation term, T(</w:t>
      </w:r>
      <w:proofErr w:type="spellStart"/>
      <w:proofErr w:type="gramStart"/>
      <w:r w:rsidRPr="00FA366D">
        <w:rPr>
          <w:color w:val="000000" w:themeColor="text1"/>
        </w:rPr>
        <w:t>f,z</w:t>
      </w:r>
      <w:proofErr w:type="spellEnd"/>
      <w:proofErr w:type="gramEnd"/>
      <w:r w:rsidRPr="00FA366D">
        <w:rPr>
          <w:color w:val="000000" w:themeColor="text1"/>
        </w:rPr>
        <w:t xml:space="preserve">) accounts for transmission losses through the phantom membrane, f is frequency (MHz), </w:t>
      </w:r>
      <w:r w:rsidR="00C0115B" w:rsidRPr="00FA366D">
        <w:rPr>
          <w:color w:val="000000" w:themeColor="text1"/>
        </w:rPr>
        <w:t>and</w:t>
      </w:r>
      <w:r w:rsidRPr="00FA366D">
        <w:rPr>
          <w:color w:val="000000" w:themeColor="text1"/>
        </w:rPr>
        <w:t xml:space="preserve"> z is the axial distance from the probe surface to the midpoint of the current sub-ROI. </w:t>
      </w:r>
    </w:p>
    <w:p w14:paraId="06B5CBDC" w14:textId="77777777" w:rsidR="004579E2" w:rsidRPr="00FA366D" w:rsidRDefault="004579E2" w:rsidP="001A7EF0">
      <w:pPr>
        <w:spacing w:line="0" w:lineRule="atLeast"/>
        <w:rPr>
          <w:color w:val="000000" w:themeColor="text1"/>
        </w:rPr>
      </w:pPr>
    </w:p>
    <w:p w14:paraId="075A7B69" w14:textId="0351CB57" w:rsidR="004579E2" w:rsidRPr="00FA366D" w:rsidRDefault="002969B5" w:rsidP="001A7EF0">
      <w:pPr>
        <w:spacing w:line="0" w:lineRule="atLeast"/>
        <w:rPr>
          <w:color w:val="000000" w:themeColor="text1"/>
        </w:rPr>
      </w:pPr>
      <w:r w:rsidRPr="00FA366D">
        <w:rPr>
          <w:color w:val="000000" w:themeColor="text1"/>
        </w:rPr>
        <w:t>4.</w:t>
      </w:r>
      <w:r w:rsidR="000065E9" w:rsidRPr="00FA366D">
        <w:rPr>
          <w:color w:val="000000" w:themeColor="text1"/>
        </w:rPr>
        <w:t>3</w:t>
      </w:r>
      <w:r w:rsidRPr="00FA366D">
        <w:rPr>
          <w:color w:val="000000" w:themeColor="text1"/>
        </w:rPr>
        <w:t>.</w:t>
      </w:r>
      <w:r w:rsidR="000065E9" w:rsidRPr="00FA366D">
        <w:rPr>
          <w:color w:val="000000" w:themeColor="text1"/>
        </w:rPr>
        <w:t>2.</w:t>
      </w:r>
      <w:r w:rsidRPr="00FA366D">
        <w:rPr>
          <w:color w:val="000000" w:themeColor="text1"/>
        </w:rPr>
        <w:t xml:space="preserve"> Calculate the normalized power spectrum (NPS) for each sub-ROI using </w:t>
      </w:r>
      <w:r w:rsidRPr="00FA366D">
        <w:rPr>
          <w:b/>
          <w:bCs/>
          <w:color w:val="000000" w:themeColor="text1"/>
        </w:rPr>
        <w:t>Equation 3</w:t>
      </w:r>
      <w:r w:rsidRPr="00FA366D">
        <w:rPr>
          <w:color w:val="000000" w:themeColor="text1"/>
        </w:rPr>
        <w:t>.</w:t>
      </w:r>
    </w:p>
    <w:p w14:paraId="353D1F5F" w14:textId="77777777" w:rsidR="004579E2" w:rsidRPr="00FA366D" w:rsidRDefault="004579E2" w:rsidP="001A7EF0">
      <w:pPr>
        <w:spacing w:line="0" w:lineRule="atLeast"/>
        <w:rPr>
          <w:color w:val="000000" w:themeColor="text1"/>
        </w:rPr>
      </w:pPr>
    </w:p>
    <w:p w14:paraId="04E94A25" w14:textId="77777777" w:rsidR="004579E2" w:rsidRPr="00FA366D" w:rsidRDefault="002969B5" w:rsidP="001A7EF0">
      <w:pPr>
        <w:spacing w:line="0" w:lineRule="atLeast"/>
        <w:rPr>
          <w:color w:val="000000" w:themeColor="text1"/>
        </w:rPr>
      </w:pPr>
      <m:oMath>
        <m:r>
          <m:rPr>
            <m:sty m:val="p"/>
          </m:rPr>
          <w:rPr>
            <w:rFonts w:ascii="Cambria Math" w:hAnsi="Cambria Math"/>
            <w:color w:val="000000" w:themeColor="text1"/>
          </w:rPr>
          <m:t>NPS</m:t>
        </m:r>
        <m:d>
          <m:dPr>
            <m:sepChr m:val=","/>
            <m:ctrlPr>
              <w:rPr>
                <w:rFonts w:ascii="Cambria Math" w:hAnsi="Cambria Math"/>
                <w:color w:val="000000" w:themeColor="text1"/>
              </w:rPr>
            </m:ctrlPr>
          </m:dPr>
          <m:e>
            <m:r>
              <w:rPr>
                <w:rFonts w:ascii="Cambria Math" w:hAnsi="Cambria Math"/>
                <w:color w:val="000000" w:themeColor="text1"/>
              </w:rPr>
              <m:t>f</m:t>
            </m:r>
          </m:e>
          <m:e>
            <m:r>
              <w:rPr>
                <w:rFonts w:ascii="Cambria Math" w:hAnsi="Cambria Math"/>
                <w:color w:val="000000" w:themeColor="text1"/>
              </w:rPr>
              <m:t>z</m:t>
            </m:r>
          </m:e>
        </m:d>
        <m:r>
          <w:rPr>
            <w:rFonts w:ascii="Cambria Math" w:hAnsi="Cambria Math"/>
            <w:color w:val="000000" w:themeColor="text1"/>
          </w:rPr>
          <m:t>=</m:t>
        </m:r>
        <m:f>
          <m:fPr>
            <m:ctrlPr>
              <w:rPr>
                <w:rFonts w:ascii="Cambria Math" w:hAnsi="Cambria Math"/>
                <w:color w:val="000000" w:themeColor="text1"/>
              </w:rPr>
            </m:ctrlPr>
          </m:fPr>
          <m:num>
            <m:nary>
              <m:naryPr>
                <m:chr m:val="∑"/>
                <m:limLoc m:val="undOvr"/>
                <m:grow m:val="1"/>
                <m:ctrlPr>
                  <w:rPr>
                    <w:rFonts w:ascii="Cambria Math" w:hAnsi="Cambria Math"/>
                    <w:color w:val="000000" w:themeColor="text1"/>
                  </w:rPr>
                </m:ctrlPr>
              </m:naryPr>
              <m:sub>
                <m:r>
                  <w:rPr>
                    <w:rFonts w:ascii="Cambria Math" w:hAnsi="Cambria Math"/>
                    <w:color w:val="000000" w:themeColor="text1"/>
                  </w:rPr>
                  <m:t>i=1</m:t>
                </m:r>
              </m:sub>
              <m:sup>
                <m:r>
                  <w:rPr>
                    <w:rFonts w:ascii="Cambria Math" w:hAnsi="Cambria Math"/>
                    <w:color w:val="000000" w:themeColor="text1"/>
                  </w:rPr>
                  <m:t>N</m:t>
                </m:r>
              </m:sup>
              <m:e>
                <m:r>
                  <w:rPr>
                    <w:rFonts w:ascii="Cambria Math" w:hAnsi="Cambria Math"/>
                    <w:color w:val="000000" w:themeColor="text1"/>
                  </w:rPr>
                  <m:t>P</m:t>
                </m:r>
              </m:e>
            </m:nary>
            <m:sSubSup>
              <m:sSubSupPr>
                <m:ctrlPr>
                  <w:rPr>
                    <w:rFonts w:ascii="Cambria Math" w:hAnsi="Cambria Math"/>
                    <w:color w:val="000000" w:themeColor="text1"/>
                  </w:rPr>
                </m:ctrlPr>
              </m:sSubSupPr>
              <m:e>
                <m:r>
                  <w:rPr>
                    <w:rFonts w:ascii="Cambria Math" w:hAnsi="Cambria Math"/>
                    <w:color w:val="000000" w:themeColor="text1"/>
                  </w:rPr>
                  <m:t>S</m:t>
                </m:r>
              </m:e>
              <m:sub>
                <m:r>
                  <m:rPr>
                    <m:sty m:val="p"/>
                  </m:rPr>
                  <w:rPr>
                    <w:rFonts w:ascii="Cambria Math" w:hAnsi="Cambria Math"/>
                    <w:color w:val="000000" w:themeColor="text1"/>
                  </w:rPr>
                  <m:t>subROI</m:t>
                </m:r>
              </m:sub>
              <m:sup>
                <m:r>
                  <w:rPr>
                    <w:rFonts w:ascii="Cambria Math" w:hAnsi="Cambria Math"/>
                    <w:color w:val="000000" w:themeColor="text1"/>
                  </w:rPr>
                  <m:t>i</m:t>
                </m:r>
              </m:sup>
            </m:sSubSup>
            <m:d>
              <m:dPr>
                <m:sepChr m:val=","/>
                <m:ctrlPr>
                  <w:rPr>
                    <w:rFonts w:ascii="Cambria Math" w:hAnsi="Cambria Math"/>
                    <w:color w:val="000000" w:themeColor="text1"/>
                  </w:rPr>
                </m:ctrlPr>
              </m:dPr>
              <m:e>
                <m:r>
                  <w:rPr>
                    <w:rFonts w:ascii="Cambria Math" w:hAnsi="Cambria Math"/>
                    <w:color w:val="000000" w:themeColor="text1"/>
                  </w:rPr>
                  <m:t>f</m:t>
                </m:r>
              </m:e>
              <m:e>
                <m:r>
                  <w:rPr>
                    <w:rFonts w:ascii="Cambria Math" w:hAnsi="Cambria Math"/>
                    <w:color w:val="000000" w:themeColor="text1"/>
                  </w:rPr>
                  <m:t>z</m:t>
                </m:r>
              </m:e>
            </m:d>
          </m:num>
          <m:den>
            <m:r>
              <w:rPr>
                <w:rFonts w:ascii="Cambria Math" w:hAnsi="Cambria Math"/>
                <w:color w:val="000000" w:themeColor="text1"/>
              </w:rPr>
              <m:t>N×P</m:t>
            </m:r>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ref</m:t>
                </m:r>
              </m:sub>
            </m:sSub>
            <m:d>
              <m:dPr>
                <m:sepChr m:val=","/>
                <m:ctrlPr>
                  <w:rPr>
                    <w:rFonts w:ascii="Cambria Math" w:hAnsi="Cambria Math"/>
                    <w:color w:val="000000" w:themeColor="text1"/>
                  </w:rPr>
                </m:ctrlPr>
              </m:dPr>
              <m:e>
                <m:r>
                  <w:rPr>
                    <w:rFonts w:ascii="Cambria Math" w:hAnsi="Cambria Math"/>
                    <w:color w:val="000000" w:themeColor="text1"/>
                  </w:rPr>
                  <m:t>f</m:t>
                </m:r>
              </m:e>
              <m:e>
                <m:r>
                  <w:rPr>
                    <w:rFonts w:ascii="Cambria Math" w:hAnsi="Cambria Math"/>
                    <w:color w:val="000000" w:themeColor="text1"/>
                  </w:rPr>
                  <m:t>z</m:t>
                </m:r>
              </m:e>
            </m:d>
          </m:den>
        </m:f>
      </m:oMath>
      <w:r w:rsidRPr="00FA366D">
        <w:rPr>
          <w:rFonts w:eastAsiaTheme="minorEastAsia"/>
          <w:color w:val="000000" w:themeColor="text1"/>
        </w:rPr>
        <w:t xml:space="preserve"> </w:t>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t>(3)</w:t>
      </w:r>
    </w:p>
    <w:p w14:paraId="04CE1DA0" w14:textId="77777777" w:rsidR="004579E2" w:rsidRPr="00FA366D" w:rsidRDefault="004579E2" w:rsidP="001A7EF0">
      <w:pPr>
        <w:spacing w:line="0" w:lineRule="atLeast"/>
        <w:rPr>
          <w:color w:val="000000" w:themeColor="text1"/>
        </w:rPr>
      </w:pPr>
    </w:p>
    <w:p w14:paraId="72532EBB" w14:textId="76F4A2B7" w:rsidR="004579E2" w:rsidRPr="00FA366D" w:rsidRDefault="002969B5" w:rsidP="001A7EF0">
      <w:pPr>
        <w:spacing w:line="0" w:lineRule="atLeast"/>
        <w:rPr>
          <w:color w:val="000000" w:themeColor="text1"/>
        </w:rPr>
      </w:pPr>
      <w:r w:rsidRPr="00FA366D">
        <w:rPr>
          <w:color w:val="000000" w:themeColor="text1"/>
        </w:rPr>
        <w:t xml:space="preserve">Here, N is the number </w:t>
      </w:r>
      <w:r w:rsidR="00C0115B" w:rsidRPr="00FA366D">
        <w:rPr>
          <w:color w:val="000000" w:themeColor="text1"/>
        </w:rPr>
        <w:t xml:space="preserve">of </w:t>
      </w:r>
      <w:r w:rsidRPr="00FA366D">
        <w:rPr>
          <w:color w:val="000000" w:themeColor="text1"/>
        </w:rPr>
        <w:t xml:space="preserve">RF segments within each sub-ROI; </w:t>
      </w:r>
      <m:oMath>
        <m:r>
          <w:rPr>
            <w:rFonts w:ascii="Cambria Math" w:hAnsi="Cambria Math"/>
            <w:color w:val="000000" w:themeColor="text1"/>
          </w:rPr>
          <m:t>P</m:t>
        </m:r>
        <m:sSubSup>
          <m:sSubSupPr>
            <m:ctrlPr>
              <w:rPr>
                <w:rFonts w:ascii="Cambria Math" w:hAnsi="Cambria Math"/>
                <w:color w:val="000000" w:themeColor="text1"/>
              </w:rPr>
            </m:ctrlPr>
          </m:sSubSupPr>
          <m:e>
            <m:r>
              <w:rPr>
                <w:rFonts w:ascii="Cambria Math" w:hAnsi="Cambria Math"/>
                <w:color w:val="000000" w:themeColor="text1"/>
              </w:rPr>
              <m:t>S</m:t>
            </m:r>
          </m:e>
          <m:sub>
            <m:r>
              <m:rPr>
                <m:sty m:val="p"/>
              </m:rPr>
              <w:rPr>
                <w:rFonts w:ascii="Cambria Math" w:hAnsi="Cambria Math"/>
                <w:color w:val="000000" w:themeColor="text1"/>
              </w:rPr>
              <m:t>subROI</m:t>
            </m:r>
          </m:sub>
          <m:sup>
            <m:r>
              <w:rPr>
                <w:rFonts w:ascii="Cambria Math" w:hAnsi="Cambria Math"/>
                <w:color w:val="000000" w:themeColor="text1"/>
              </w:rPr>
              <m:t>i</m:t>
            </m:r>
          </m:sup>
        </m:sSubSup>
      </m:oMath>
      <w:r w:rsidRPr="00FA366D">
        <w:rPr>
          <w:rFonts w:eastAsiaTheme="minorEastAsia"/>
          <w:color w:val="000000" w:themeColor="text1"/>
        </w:rPr>
        <w:t xml:space="preserve"> </w:t>
      </w:r>
      <w:r w:rsidRPr="00FA366D">
        <w:rPr>
          <w:color w:val="000000" w:themeColor="text1"/>
        </w:rPr>
        <w:t xml:space="preserve">is the power spectrum of the </w:t>
      </w:r>
      <w:proofErr w:type="spellStart"/>
      <w:r w:rsidRPr="00FA366D">
        <w:rPr>
          <w:i/>
          <w:iCs/>
          <w:color w:val="000000" w:themeColor="text1"/>
        </w:rPr>
        <w:t>i</w:t>
      </w:r>
      <w:r w:rsidRPr="00FA366D">
        <w:rPr>
          <w:color w:val="000000" w:themeColor="text1"/>
        </w:rPr>
        <w:t>th</w:t>
      </w:r>
      <w:proofErr w:type="spellEnd"/>
      <w:r w:rsidRPr="00FA366D">
        <w:rPr>
          <w:color w:val="000000" w:themeColor="text1"/>
        </w:rPr>
        <w:t xml:space="preserve"> RF segment, calculated as the squared magnitude of its Fourier transform; and </w:t>
      </w:r>
      <m:oMath>
        <m:r>
          <w:rPr>
            <w:rFonts w:ascii="Cambria Math" w:hAnsi="Cambria Math"/>
            <w:color w:val="000000" w:themeColor="text1"/>
          </w:rPr>
          <m:t>P</m:t>
        </m:r>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ref</m:t>
            </m:r>
          </m:sub>
        </m:sSub>
      </m:oMath>
      <w:r w:rsidRPr="00FA366D">
        <w:rPr>
          <w:rFonts w:eastAsiaTheme="minorEastAsia"/>
          <w:color w:val="000000" w:themeColor="text1"/>
        </w:rPr>
        <w:t xml:space="preserve"> </w:t>
      </w:r>
      <w:r w:rsidRPr="00FA366D">
        <w:rPr>
          <w:color w:val="000000" w:themeColor="text1"/>
        </w:rPr>
        <w:t xml:space="preserve">is </w:t>
      </w:r>
      <w:r w:rsidRPr="00FA366D">
        <w:rPr>
          <w:color w:val="000000" w:themeColor="text1"/>
        </w:rPr>
        <w:lastRenderedPageBreak/>
        <w:t xml:space="preserve">the average reference phantom power spectrum calculated using the same sub-ROI size and location. </w:t>
      </w:r>
    </w:p>
    <w:p w14:paraId="7C34B131" w14:textId="77777777" w:rsidR="004579E2" w:rsidRPr="00FA366D" w:rsidRDefault="004579E2" w:rsidP="001A7EF0">
      <w:pPr>
        <w:spacing w:line="0" w:lineRule="atLeast"/>
        <w:ind w:left="360"/>
        <w:rPr>
          <w:color w:val="000000" w:themeColor="text1"/>
        </w:rPr>
      </w:pPr>
    </w:p>
    <w:p w14:paraId="7B8D3CDB" w14:textId="2E00CBCC" w:rsidR="00473C85" w:rsidRPr="00FA366D" w:rsidRDefault="00ED1BC4" w:rsidP="001A7EF0">
      <w:pPr>
        <w:spacing w:line="0" w:lineRule="atLeast"/>
        <w:rPr>
          <w:color w:val="000000" w:themeColor="text1"/>
        </w:rPr>
      </w:pPr>
      <w:r w:rsidRPr="00FA366D">
        <w:rPr>
          <w:color w:val="000000" w:themeColor="text1"/>
        </w:rPr>
        <w:t xml:space="preserve">NOTE: The power spectrum (PS) is estimated as the mean squared magnitude of the FFT of all 3 mm axial RF segments within each 5 mm (lateral) × 3 mm (axial) sub-ROI using a rectangular window. An FFT length of 2048 points is used, with zero-padding applied as needed. For real-time processing, adjacent sub-ROIs are processed without </w:t>
      </w:r>
      <w:proofErr w:type="gramStart"/>
      <w:r w:rsidRPr="00FA366D">
        <w:rPr>
          <w:color w:val="000000" w:themeColor="text1"/>
        </w:rPr>
        <w:t>overlap</w:t>
      </w:r>
      <w:proofErr w:type="gramEnd"/>
      <w:r w:rsidRPr="00FA366D">
        <w:rPr>
          <w:color w:val="000000" w:themeColor="text1"/>
        </w:rPr>
        <w:t xml:space="preserve"> to maximize the frame rate.</w:t>
      </w:r>
    </w:p>
    <w:p w14:paraId="73199743" w14:textId="77777777" w:rsidR="004579E2" w:rsidRPr="00FA366D" w:rsidRDefault="004579E2" w:rsidP="001A7EF0">
      <w:pPr>
        <w:spacing w:line="0" w:lineRule="atLeast"/>
        <w:rPr>
          <w:color w:val="000000" w:themeColor="text1"/>
        </w:rPr>
      </w:pPr>
    </w:p>
    <w:p w14:paraId="37CCCC71" w14:textId="640D63AB" w:rsidR="004579E2" w:rsidRPr="00FA366D" w:rsidRDefault="002969B5" w:rsidP="001A7EF0">
      <w:pPr>
        <w:spacing w:line="0" w:lineRule="atLeast"/>
        <w:rPr>
          <w:color w:val="000000" w:themeColor="text1"/>
        </w:rPr>
      </w:pPr>
      <w:r w:rsidRPr="0063648C">
        <w:rPr>
          <w:color w:val="000000" w:themeColor="text1"/>
          <w:highlight w:val="yellow"/>
        </w:rPr>
        <w:t>4.</w:t>
      </w:r>
      <w:r w:rsidR="00C20507" w:rsidRPr="0063648C">
        <w:rPr>
          <w:color w:val="000000" w:themeColor="text1"/>
          <w:highlight w:val="yellow"/>
        </w:rPr>
        <w:t>3</w:t>
      </w:r>
      <w:r w:rsidRPr="0063648C">
        <w:rPr>
          <w:color w:val="000000" w:themeColor="text1"/>
          <w:highlight w:val="yellow"/>
        </w:rPr>
        <w:t>.</w:t>
      </w:r>
      <w:r w:rsidR="00C20507" w:rsidRPr="0063648C">
        <w:rPr>
          <w:color w:val="000000" w:themeColor="text1"/>
          <w:highlight w:val="yellow"/>
        </w:rPr>
        <w:t>3.</w:t>
      </w:r>
      <w:r w:rsidRPr="0063648C">
        <w:rPr>
          <w:color w:val="000000" w:themeColor="text1"/>
          <w:highlight w:val="yellow"/>
        </w:rPr>
        <w:t xml:space="preserve"> Gaussian Scattering Model:</w:t>
      </w:r>
      <w:r w:rsidRPr="00FA366D">
        <w:rPr>
          <w:color w:val="000000" w:themeColor="text1"/>
        </w:rPr>
        <w:t xml:space="preserve"> Fit the estimated BSC for each sub-ROI using the Gaussian scattering model (</w:t>
      </w:r>
      <w:r w:rsidRPr="00FA366D">
        <w:rPr>
          <w:b/>
          <w:bCs/>
          <w:color w:val="000000" w:themeColor="text1"/>
        </w:rPr>
        <w:t>Equation 4</w:t>
      </w:r>
      <w:r w:rsidRPr="00FA366D">
        <w:rPr>
          <w:color w:val="000000" w:themeColor="text1"/>
        </w:rPr>
        <w:t>):</w:t>
      </w:r>
    </w:p>
    <w:p w14:paraId="46CBE27E" w14:textId="77777777" w:rsidR="004579E2" w:rsidRPr="00FA366D" w:rsidRDefault="004579E2" w:rsidP="001A7EF0">
      <w:pPr>
        <w:spacing w:line="0" w:lineRule="atLeast"/>
        <w:rPr>
          <w:color w:val="000000" w:themeColor="text1"/>
        </w:rPr>
      </w:pPr>
    </w:p>
    <w:p w14:paraId="16BCD4A4" w14:textId="0E803F9F" w:rsidR="004579E2" w:rsidRPr="00FA366D" w:rsidRDefault="00000000" w:rsidP="001A7EF0">
      <w:pPr>
        <w:spacing w:line="0" w:lineRule="atLeast"/>
        <w:rPr>
          <w:color w:val="000000" w:themeColor="text1"/>
        </w:rPr>
      </w:pPr>
      <m:oMath>
        <m:sSub>
          <m:sSubPr>
            <m:ctrlPr>
              <w:rPr>
                <w:rFonts w:ascii="Cambria Math" w:hAnsi="Cambria Math"/>
                <w:color w:val="000000" w:themeColor="text1"/>
              </w:rPr>
            </m:ctrlPr>
          </m:sSubPr>
          <m:e>
            <m:r>
              <m:rPr>
                <m:sty m:val="p"/>
              </m:rPr>
              <w:rPr>
                <w:rFonts w:ascii="Cambria Math" w:hAnsi="Cambria Math"/>
                <w:color w:val="000000" w:themeColor="text1"/>
              </w:rPr>
              <m:t>BSC</m:t>
            </m:r>
          </m:e>
          <m:sub>
            <m:r>
              <w:rPr>
                <w:rFonts w:ascii="Cambria Math" w:hAnsi="Cambria Math"/>
                <w:color w:val="000000" w:themeColor="text1"/>
              </w:rPr>
              <m:t>GS</m:t>
            </m:r>
          </m:sub>
        </m:sSub>
        <m:d>
          <m:dPr>
            <m:ctrlPr>
              <w:rPr>
                <w:rFonts w:ascii="Cambria Math" w:hAnsi="Cambria Math"/>
                <w:color w:val="000000" w:themeColor="text1"/>
              </w:rPr>
            </m:ctrlPr>
          </m:dPr>
          <m:e>
            <m:r>
              <w:rPr>
                <w:rFonts w:ascii="Cambria Math" w:hAnsi="Cambria Math"/>
                <w:color w:val="000000" w:themeColor="text1"/>
              </w:rPr>
              <m:t>f</m:t>
            </m:r>
          </m:e>
        </m:d>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n</m:t>
            </m:r>
            <m:sSubSup>
              <m:sSubSupPr>
                <m:ctrlPr>
                  <w:rPr>
                    <w:rFonts w:ascii="Cambria Math" w:hAnsi="Cambria Math"/>
                    <w:color w:val="000000" w:themeColor="text1"/>
                  </w:rPr>
                </m:ctrlPr>
              </m:sSubSupPr>
              <m:e>
                <m:r>
                  <m:rPr>
                    <m:sty m:val="p"/>
                  </m:rPr>
                  <w:rPr>
                    <w:rFonts w:ascii="Cambria Math" w:hAnsi="Cambria Math"/>
                    <w:color w:val="000000" w:themeColor="text1"/>
                  </w:rPr>
                  <m:t>Υ</m:t>
                </m:r>
              </m:e>
              <m:sub>
                <m:r>
                  <w:rPr>
                    <w:rFonts w:ascii="Cambria Math" w:hAnsi="Cambria Math"/>
                    <w:color w:val="000000" w:themeColor="text1"/>
                  </w:rPr>
                  <m:t>0</m:t>
                </m:r>
              </m:sub>
              <m:sup>
                <m:r>
                  <w:rPr>
                    <w:rFonts w:ascii="Cambria Math" w:hAnsi="Cambria Math"/>
                    <w:color w:val="000000" w:themeColor="text1"/>
                  </w:rPr>
                  <m:t>2</m:t>
                </m:r>
              </m:sup>
            </m:sSubSup>
            <m:sSup>
              <m:sSupPr>
                <m:ctrlPr>
                  <w:rPr>
                    <w:rFonts w:ascii="Cambria Math" w:hAnsi="Cambria Math"/>
                    <w:color w:val="000000" w:themeColor="text1"/>
                  </w:rPr>
                </m:ctrlPr>
              </m:sSupPr>
              <m:e>
                <m:r>
                  <w:rPr>
                    <w:rFonts w:ascii="Cambria Math" w:hAnsi="Cambria Math"/>
                    <w:color w:val="000000" w:themeColor="text1"/>
                  </w:rPr>
                  <m:t>π</m:t>
                </m:r>
              </m:e>
              <m:sup>
                <m:r>
                  <w:rPr>
                    <w:rFonts w:ascii="Cambria Math" w:hAnsi="Cambria Math"/>
                    <w:color w:val="000000" w:themeColor="text1"/>
                  </w:rPr>
                  <m:t>4</m:t>
                </m:r>
              </m:sup>
            </m:sSup>
            <m:sSup>
              <m:sSupPr>
                <m:ctrlPr>
                  <w:rPr>
                    <w:rFonts w:ascii="Cambria Math" w:hAnsi="Cambria Math"/>
                    <w:color w:val="000000" w:themeColor="text1"/>
                  </w:rPr>
                </m:ctrlPr>
              </m:sSupPr>
              <m:e>
                <m:r>
                  <w:rPr>
                    <w:rFonts w:ascii="Cambria Math" w:hAnsi="Cambria Math"/>
                    <w:color w:val="000000" w:themeColor="text1"/>
                  </w:rPr>
                  <m:t>f</m:t>
                </m:r>
              </m:e>
              <m:sup>
                <m:r>
                  <w:rPr>
                    <w:rFonts w:ascii="Cambria Math" w:hAnsi="Cambria Math"/>
                    <w:color w:val="000000" w:themeColor="text1"/>
                  </w:rPr>
                  <m:t>4</m:t>
                </m:r>
              </m:sup>
            </m:sSup>
            <m:sSub>
              <m:sSubPr>
                <m:ctrlPr>
                  <w:rPr>
                    <w:rFonts w:ascii="Cambria Math" w:hAnsi="Cambria Math"/>
                    <w:color w:val="000000" w:themeColor="text1"/>
                  </w:rPr>
                </m:ctrlPr>
              </m:sSubPr>
              <m:e>
                <m:r>
                  <w:rPr>
                    <w:rFonts w:ascii="Cambria Math" w:hAnsi="Cambria Math"/>
                    <w:color w:val="000000" w:themeColor="text1"/>
                  </w:rPr>
                  <m:t>V</m:t>
                </m:r>
              </m:e>
              <m:sub>
                <m:r>
                  <w:rPr>
                    <w:rFonts w:ascii="Cambria Math" w:hAnsi="Cambria Math"/>
                    <w:color w:val="000000" w:themeColor="text1"/>
                  </w:rPr>
                  <m:t>s</m:t>
                </m:r>
              </m:sub>
            </m:sSub>
            <m:sSup>
              <m:sSupPr>
                <m:ctrlPr>
                  <w:rPr>
                    <w:rFonts w:ascii="Cambria Math" w:hAnsi="Cambria Math"/>
                    <w:color w:val="000000" w:themeColor="text1"/>
                  </w:rPr>
                </m:ctrlPr>
              </m:sSupPr>
              <m:e>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eff</m:t>
                        </m:r>
                      </m:sub>
                    </m:sSub>
                  </m:e>
                </m:d>
              </m:e>
              <m:sup>
                <m:r>
                  <w:rPr>
                    <w:rFonts w:ascii="Cambria Math" w:hAnsi="Cambria Math"/>
                    <w:color w:val="000000" w:themeColor="text1"/>
                  </w:rPr>
                  <m:t>2</m:t>
                </m:r>
              </m:sup>
            </m:sSup>
          </m:num>
          <m:den>
            <m:r>
              <w:rPr>
                <w:rFonts w:ascii="Cambria Math" w:hAnsi="Cambria Math"/>
                <w:color w:val="000000" w:themeColor="text1"/>
              </w:rPr>
              <m:t>4</m:t>
            </m:r>
            <m:sSup>
              <m:sSupPr>
                <m:ctrlPr>
                  <w:rPr>
                    <w:rFonts w:ascii="Cambria Math" w:hAnsi="Cambria Math"/>
                    <w:color w:val="000000" w:themeColor="text1"/>
                  </w:rPr>
                </m:ctrlPr>
              </m:sSupPr>
              <m:e>
                <m:r>
                  <w:rPr>
                    <w:rFonts w:ascii="Cambria Math" w:hAnsi="Cambria Math"/>
                    <w:color w:val="000000" w:themeColor="text1"/>
                  </w:rPr>
                  <m:t>π</m:t>
                </m:r>
              </m:e>
              <m:sup>
                <m:r>
                  <w:rPr>
                    <w:rFonts w:ascii="Cambria Math" w:hAnsi="Cambria Math"/>
                    <w:color w:val="000000" w:themeColor="text1"/>
                  </w:rPr>
                  <m:t>2</m:t>
                </m:r>
              </m:sup>
            </m:sSup>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s</m:t>
                </m:r>
              </m:sub>
              <m:sup>
                <m:r>
                  <w:rPr>
                    <w:rFonts w:ascii="Cambria Math" w:hAnsi="Cambria Math"/>
                    <w:color w:val="000000" w:themeColor="text1"/>
                  </w:rPr>
                  <m:t>4</m:t>
                </m:r>
              </m:sup>
            </m:sSubSup>
          </m:den>
        </m:f>
        <m:func>
          <m:funcPr>
            <m:ctrlPr>
              <w:rPr>
                <w:rFonts w:ascii="Cambria Math" w:hAnsi="Cambria Math"/>
                <w:color w:val="000000" w:themeColor="text1"/>
              </w:rPr>
            </m:ctrlPr>
          </m:funcPr>
          <m:fName>
            <m:r>
              <m:rPr>
                <m:sty m:val="p"/>
              </m:rPr>
              <w:rPr>
                <w:rFonts w:ascii="Cambria Math" w:hAnsi="Cambria Math"/>
                <w:color w:val="000000" w:themeColor="text1"/>
              </w:rPr>
              <m:t>exp</m:t>
            </m:r>
          </m:fName>
          <m:e>
            <m:r>
              <m:rPr>
                <m:nor/>
              </m:rPr>
              <w:rPr>
                <w:color w:val="000000" w:themeColor="text1"/>
              </w:rPr>
              <m:t> </m:t>
            </m:r>
          </m:e>
        </m:func>
        <m:d>
          <m:dPr>
            <m:ctrlPr>
              <w:rPr>
                <w:rFonts w:ascii="Cambria Math" w:hAnsi="Cambria Math"/>
                <w:color w:val="000000" w:themeColor="text1"/>
              </w:rPr>
            </m:ctrlPr>
          </m:dPr>
          <m:e>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0.827</m:t>
                </m:r>
                <m:sSup>
                  <m:sSupPr>
                    <m:ctrlPr>
                      <w:rPr>
                        <w:rFonts w:ascii="Cambria Math" w:hAnsi="Cambria Math"/>
                        <w:color w:val="000000" w:themeColor="text1"/>
                      </w:rPr>
                    </m:ctrlPr>
                  </m:sSupPr>
                  <m:e>
                    <m:r>
                      <w:rPr>
                        <w:rFonts w:ascii="Cambria Math" w:hAnsi="Cambria Math"/>
                        <w:color w:val="000000" w:themeColor="text1"/>
                      </w:rPr>
                      <m:t>π</m:t>
                    </m:r>
                  </m:e>
                  <m:sup>
                    <m:r>
                      <w:rPr>
                        <w:rFonts w:ascii="Cambria Math" w:hAnsi="Cambria Math"/>
                        <w:color w:val="000000" w:themeColor="text1"/>
                      </w:rPr>
                      <m:t>2</m:t>
                    </m:r>
                  </m:sup>
                </m:sSup>
                <m:sSup>
                  <m:sSupPr>
                    <m:ctrlPr>
                      <w:rPr>
                        <w:rFonts w:ascii="Cambria Math" w:hAnsi="Cambria Math"/>
                        <w:color w:val="000000" w:themeColor="text1"/>
                      </w:rPr>
                    </m:ctrlPr>
                  </m:sSupPr>
                  <m:e>
                    <m:r>
                      <w:rPr>
                        <w:rFonts w:ascii="Cambria Math" w:hAnsi="Cambria Math"/>
                        <w:color w:val="000000" w:themeColor="text1"/>
                      </w:rPr>
                      <m:t>f</m:t>
                    </m:r>
                  </m:e>
                  <m:sup>
                    <m:r>
                      <w:rPr>
                        <w:rFonts w:ascii="Cambria Math" w:hAnsi="Cambria Math"/>
                        <w:color w:val="000000" w:themeColor="text1"/>
                      </w:rPr>
                      <m:t>2</m:t>
                    </m:r>
                  </m:sup>
                </m:sSup>
                <m:sSubSup>
                  <m:sSubSupPr>
                    <m:ctrlPr>
                      <w:rPr>
                        <w:rFonts w:ascii="Cambria Math" w:hAnsi="Cambria Math"/>
                        <w:color w:val="000000" w:themeColor="text1"/>
                      </w:rPr>
                    </m:ctrlPr>
                  </m:sSubSupPr>
                  <m:e>
                    <m:r>
                      <w:rPr>
                        <w:rFonts w:ascii="Cambria Math" w:hAnsi="Cambria Math"/>
                        <w:color w:val="000000" w:themeColor="text1"/>
                      </w:rPr>
                      <m:t>a</m:t>
                    </m:r>
                  </m:e>
                  <m:sub>
                    <m:r>
                      <m:rPr>
                        <m:sty m:val="p"/>
                      </m:rPr>
                      <w:rPr>
                        <w:rFonts w:ascii="Cambria Math" w:hAnsi="Cambria Math"/>
                        <w:color w:val="000000" w:themeColor="text1"/>
                      </w:rPr>
                      <m:t>eff</m:t>
                    </m:r>
                  </m:sub>
                  <m:sup>
                    <m:r>
                      <w:rPr>
                        <w:rFonts w:ascii="Cambria Math" w:hAnsi="Cambria Math"/>
                        <w:color w:val="000000" w:themeColor="text1"/>
                      </w:rPr>
                      <m:t>2</m:t>
                    </m:r>
                  </m:sup>
                </m:sSubSup>
              </m:num>
              <m:den>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s</m:t>
                    </m:r>
                  </m:sub>
                  <m:sup>
                    <m:r>
                      <w:rPr>
                        <w:rFonts w:ascii="Cambria Math" w:hAnsi="Cambria Math"/>
                        <w:color w:val="000000" w:themeColor="text1"/>
                      </w:rPr>
                      <m:t>2</m:t>
                    </m:r>
                  </m:sup>
                </m:sSubSup>
              </m:den>
            </m:f>
          </m:e>
        </m:d>
      </m:oMath>
      <w:r w:rsidR="002969B5" w:rsidRPr="00FA366D">
        <w:rPr>
          <w:rFonts w:eastAsiaTheme="minorEastAsia"/>
          <w:color w:val="000000" w:themeColor="text1"/>
        </w:rPr>
        <w:t xml:space="preserve"> </w:t>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t>(4)</w:t>
      </w:r>
    </w:p>
    <w:p w14:paraId="65365B63" w14:textId="77777777" w:rsidR="004579E2" w:rsidRPr="00FA366D" w:rsidRDefault="004579E2" w:rsidP="001A7EF0">
      <w:pPr>
        <w:spacing w:line="0" w:lineRule="atLeast"/>
        <w:rPr>
          <w:color w:val="000000" w:themeColor="text1"/>
        </w:rPr>
      </w:pPr>
    </w:p>
    <w:p w14:paraId="715CCD90" w14:textId="12FDF16E" w:rsidR="004579E2" w:rsidRPr="00FA366D" w:rsidRDefault="002969B5" w:rsidP="001A7EF0">
      <w:pPr>
        <w:spacing w:line="0" w:lineRule="atLeast"/>
        <w:rPr>
          <w:color w:val="000000" w:themeColor="text1"/>
        </w:rPr>
      </w:pPr>
      <w:r w:rsidRPr="00FA366D">
        <w:rPr>
          <w:color w:val="000000" w:themeColor="text1"/>
        </w:rPr>
        <w:t xml:space="preserve">Here, n is the scatterer number density, </w:t>
      </w:r>
      <m:oMath>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eff</m:t>
            </m:r>
          </m:sub>
        </m:sSub>
      </m:oMath>
      <w:r w:rsidRPr="00FA366D">
        <w:rPr>
          <w:rFonts w:eastAsiaTheme="minorEastAsia"/>
          <w:color w:val="000000" w:themeColor="text1"/>
        </w:rPr>
        <w:t xml:space="preserve"> </w:t>
      </w:r>
      <w:r w:rsidRPr="00FA366D">
        <w:rPr>
          <w:color w:val="000000" w:themeColor="text1"/>
        </w:rPr>
        <w:t xml:space="preserve">is the effective scatterer radius, </w:t>
      </w:r>
      <m:oMath>
        <m:sSub>
          <m:sSubPr>
            <m:ctrlPr>
              <w:rPr>
                <w:rFonts w:ascii="Cambria Math" w:hAnsi="Cambria Math"/>
                <w:color w:val="000000" w:themeColor="text1"/>
              </w:rPr>
            </m:ctrlPr>
          </m:sSubPr>
          <m:e>
            <m:r>
              <m:rPr>
                <m:sty m:val="p"/>
              </m:rPr>
              <w:rPr>
                <w:rFonts w:ascii="Cambria Math" w:hAnsi="Cambria Math"/>
                <w:color w:val="000000" w:themeColor="text1"/>
              </w:rPr>
              <m:t>Υ</m:t>
            </m:r>
          </m:e>
          <m:sub>
            <m:r>
              <w:rPr>
                <w:rFonts w:ascii="Cambria Math" w:hAnsi="Cambria Math"/>
                <w:color w:val="000000" w:themeColor="text1"/>
              </w:rPr>
              <m:t>0</m:t>
            </m:r>
          </m:sub>
        </m:sSub>
      </m:oMath>
      <w:r w:rsidRPr="00FA366D">
        <w:rPr>
          <w:rFonts w:eastAsiaTheme="minorEastAsia"/>
          <w:color w:val="000000" w:themeColor="text1"/>
        </w:rPr>
        <w:t xml:space="preserve"> </w:t>
      </w:r>
      <w:r w:rsidRPr="00FA366D">
        <w:rPr>
          <w:color w:val="000000" w:themeColor="text1"/>
        </w:rPr>
        <w:t>is the relative acoustic impedance mismatch,</w:t>
      </w:r>
      <w:r w:rsidR="00972FC8" w:rsidRPr="00FA366D">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m:t>
            </m:r>
          </m:sub>
        </m:sSub>
      </m:oMath>
      <w:r w:rsidR="00972FC8" w:rsidRPr="00FA366D">
        <w:rPr>
          <w:color w:val="000000" w:themeColor="text1"/>
        </w:rPr>
        <w:t xml:space="preserve"> is the sound speed, </w:t>
      </w:r>
      <w:r w:rsidRPr="00FA366D">
        <w:rPr>
          <w:color w:val="000000" w:themeColor="text1"/>
        </w:rPr>
        <w:t xml:space="preserve">and </w:t>
      </w:r>
      <m:oMath>
        <m:sSub>
          <m:sSubPr>
            <m:ctrlPr>
              <w:rPr>
                <w:rFonts w:ascii="Cambria Math" w:hAnsi="Cambria Math"/>
                <w:color w:val="000000" w:themeColor="text1"/>
              </w:rPr>
            </m:ctrlPr>
          </m:sSubPr>
          <m:e>
            <m:r>
              <w:rPr>
                <w:rFonts w:ascii="Cambria Math" w:hAnsi="Cambria Math"/>
                <w:color w:val="000000" w:themeColor="text1"/>
              </w:rPr>
              <m:t>V</m:t>
            </m:r>
          </m:e>
          <m:sub>
            <m:r>
              <w:rPr>
                <w:rFonts w:ascii="Cambria Math" w:hAnsi="Cambria Math"/>
                <w:color w:val="000000" w:themeColor="text1"/>
              </w:rPr>
              <m:t>s</m:t>
            </m:r>
          </m:sub>
        </m:sSub>
        <m:d>
          <m:dPr>
            <m:ctrlPr>
              <w:rPr>
                <w:rFonts w:ascii="Cambria Math" w:hAnsi="Cambria Math"/>
                <w:color w:val="000000" w:themeColor="text1"/>
              </w:rPr>
            </m:ctrlPr>
          </m:dPr>
          <m:e>
            <m:r>
              <w:rPr>
                <w:rFonts w:ascii="Cambria Math" w:hAnsi="Cambria Math"/>
                <w:color w:val="000000" w:themeColor="text1"/>
              </w:rPr>
              <m:t>a</m:t>
            </m:r>
          </m:e>
        </m:d>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4</m:t>
            </m:r>
          </m:num>
          <m:den>
            <m:r>
              <w:rPr>
                <w:rFonts w:ascii="Cambria Math" w:hAnsi="Cambria Math"/>
                <w:color w:val="000000" w:themeColor="text1"/>
              </w:rPr>
              <m:t>3</m:t>
            </m:r>
          </m:den>
        </m:f>
        <m:r>
          <w:rPr>
            <w:rFonts w:ascii="Cambria Math" w:hAnsi="Cambria Math"/>
            <w:color w:val="000000" w:themeColor="text1"/>
          </w:rPr>
          <m:t>π</m:t>
        </m:r>
        <m:sSubSup>
          <m:sSubSupPr>
            <m:ctrlPr>
              <w:rPr>
                <w:rFonts w:ascii="Cambria Math" w:hAnsi="Cambria Math"/>
                <w:color w:val="000000" w:themeColor="text1"/>
              </w:rPr>
            </m:ctrlPr>
          </m:sSubSupPr>
          <m:e>
            <m:r>
              <w:rPr>
                <w:rFonts w:ascii="Cambria Math" w:hAnsi="Cambria Math"/>
                <w:color w:val="000000" w:themeColor="text1"/>
              </w:rPr>
              <m:t>a</m:t>
            </m:r>
          </m:e>
          <m:sub>
            <m:r>
              <m:rPr>
                <m:sty m:val="p"/>
              </m:rPr>
              <w:rPr>
                <w:rFonts w:ascii="Cambria Math" w:hAnsi="Cambria Math"/>
                <w:color w:val="000000" w:themeColor="text1"/>
              </w:rPr>
              <m:t>eff</m:t>
            </m:r>
          </m:sub>
          <m:sup>
            <m:r>
              <w:rPr>
                <w:rFonts w:ascii="Cambria Math" w:hAnsi="Cambria Math"/>
                <w:color w:val="000000" w:themeColor="text1"/>
              </w:rPr>
              <m:t>3</m:t>
            </m:r>
          </m:sup>
        </m:sSubSup>
      </m:oMath>
      <w:r w:rsidRPr="00FA366D">
        <w:rPr>
          <w:rFonts w:eastAsiaTheme="minorEastAsia"/>
          <w:color w:val="000000" w:themeColor="text1"/>
        </w:rPr>
        <w:t xml:space="preserve"> </w:t>
      </w:r>
      <w:r w:rsidRPr="00FA366D">
        <w:rPr>
          <w:color w:val="000000" w:themeColor="text1"/>
        </w:rPr>
        <w:t>is the effective scatterer volume</w:t>
      </w:r>
      <w:r w:rsidRPr="00FA366D">
        <w:rPr>
          <w:color w:val="000000" w:themeColor="text1"/>
          <w:vertAlign w:val="superscript"/>
        </w:rPr>
        <w:t>4</w:t>
      </w:r>
      <w:r w:rsidRPr="00FA366D">
        <w:rPr>
          <w:color w:val="000000" w:themeColor="text1"/>
        </w:rPr>
        <w:t xml:space="preserve">. </w:t>
      </w:r>
    </w:p>
    <w:p w14:paraId="1046FD09" w14:textId="77777777" w:rsidR="004579E2" w:rsidRPr="00FA366D" w:rsidRDefault="004579E2" w:rsidP="001A7EF0">
      <w:pPr>
        <w:spacing w:line="0" w:lineRule="atLeast"/>
        <w:rPr>
          <w:color w:val="000000" w:themeColor="text1"/>
        </w:rPr>
      </w:pPr>
    </w:p>
    <w:p w14:paraId="0E65EF28" w14:textId="344114EF" w:rsidR="004579E2" w:rsidRPr="00FA366D" w:rsidRDefault="00C20507" w:rsidP="001A7EF0">
      <w:pPr>
        <w:spacing w:line="0" w:lineRule="atLeast"/>
        <w:rPr>
          <w:color w:val="000000" w:themeColor="text1"/>
        </w:rPr>
      </w:pPr>
      <w:r w:rsidRPr="00FA366D">
        <w:rPr>
          <w:color w:val="000000" w:themeColor="text1"/>
        </w:rPr>
        <w:t xml:space="preserve">4.3.4. </w:t>
      </w:r>
      <w:r w:rsidR="002969B5" w:rsidRPr="00FA366D">
        <w:rPr>
          <w:color w:val="000000" w:themeColor="text1"/>
        </w:rPr>
        <w:t xml:space="preserve">Estimate the ESD using </w:t>
      </w:r>
      <w:r w:rsidR="002969B5" w:rsidRPr="00FA366D">
        <w:rPr>
          <w:b/>
          <w:bCs/>
          <w:color w:val="000000" w:themeColor="text1"/>
        </w:rPr>
        <w:t>Equation 5</w:t>
      </w:r>
      <w:r w:rsidR="002969B5" w:rsidRPr="00FA366D">
        <w:rPr>
          <w:color w:val="000000" w:themeColor="text1"/>
        </w:rPr>
        <w:t xml:space="preserve"> as follows:</w:t>
      </w:r>
    </w:p>
    <w:p w14:paraId="77947D70" w14:textId="77777777" w:rsidR="004579E2" w:rsidRPr="00FA366D" w:rsidRDefault="004579E2" w:rsidP="001A7EF0">
      <w:pPr>
        <w:spacing w:line="0" w:lineRule="atLeast"/>
        <w:rPr>
          <w:color w:val="000000" w:themeColor="text1"/>
        </w:rPr>
      </w:pPr>
    </w:p>
    <w:p w14:paraId="169D1C77" w14:textId="77777777" w:rsidR="004579E2" w:rsidRPr="00FA366D" w:rsidRDefault="002969B5" w:rsidP="001A7EF0">
      <w:pPr>
        <w:spacing w:line="0" w:lineRule="atLeast"/>
        <w:rPr>
          <w:color w:val="000000" w:themeColor="text1"/>
        </w:rPr>
      </w:pPr>
      <m:oMath>
        <m:r>
          <w:rPr>
            <w:rFonts w:ascii="Cambria Math" w:hAnsi="Cambria Math"/>
            <w:color w:val="000000" w:themeColor="text1"/>
          </w:rPr>
          <m:t>ESD=2</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eff</m:t>
            </m:r>
          </m:sub>
        </m:sSub>
      </m:oMath>
      <w:r w:rsidRPr="00FA366D">
        <w:rPr>
          <w:rFonts w:eastAsiaTheme="minorEastAsia"/>
          <w:color w:val="000000" w:themeColor="text1"/>
        </w:rPr>
        <w:t xml:space="preserve"> </w:t>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t>(5)</w:t>
      </w:r>
    </w:p>
    <w:p w14:paraId="2459AE90" w14:textId="77777777" w:rsidR="004579E2" w:rsidRPr="00FA366D" w:rsidRDefault="004579E2" w:rsidP="001A7EF0">
      <w:pPr>
        <w:spacing w:line="0" w:lineRule="atLeast"/>
        <w:rPr>
          <w:color w:val="000000" w:themeColor="text1"/>
        </w:rPr>
      </w:pPr>
    </w:p>
    <w:p w14:paraId="1F8AA008" w14:textId="6C542882" w:rsidR="004579E2" w:rsidRPr="00FA366D" w:rsidRDefault="00C20507" w:rsidP="001A7EF0">
      <w:pPr>
        <w:spacing w:line="0" w:lineRule="atLeast"/>
        <w:rPr>
          <w:color w:val="000000" w:themeColor="text1"/>
        </w:rPr>
      </w:pPr>
      <w:r w:rsidRPr="00FA366D">
        <w:rPr>
          <w:color w:val="000000" w:themeColor="text1"/>
        </w:rPr>
        <w:t>4.3.5</w:t>
      </w:r>
      <w:r w:rsidR="002969B5" w:rsidRPr="00FA366D">
        <w:rPr>
          <w:color w:val="000000" w:themeColor="text1"/>
        </w:rPr>
        <w:t xml:space="preserve">. Estimate the EAC (dB/m³) using </w:t>
      </w:r>
      <w:r w:rsidR="002969B5" w:rsidRPr="00FA366D">
        <w:rPr>
          <w:b/>
          <w:bCs/>
          <w:color w:val="000000" w:themeColor="text1"/>
        </w:rPr>
        <w:t>Equation 6</w:t>
      </w:r>
      <w:r w:rsidR="002969B5" w:rsidRPr="00FA366D">
        <w:rPr>
          <w:color w:val="000000" w:themeColor="text1"/>
        </w:rPr>
        <w:t xml:space="preserve"> as follows:</w:t>
      </w:r>
    </w:p>
    <w:p w14:paraId="242A24F4" w14:textId="77777777" w:rsidR="004579E2" w:rsidRPr="00FA366D" w:rsidRDefault="004579E2" w:rsidP="001A7EF0">
      <w:pPr>
        <w:spacing w:line="0" w:lineRule="atLeast"/>
        <w:rPr>
          <w:color w:val="000000" w:themeColor="text1"/>
        </w:rPr>
      </w:pPr>
    </w:p>
    <w:p w14:paraId="7FD87A81" w14:textId="77777777" w:rsidR="004579E2" w:rsidRPr="00FA366D" w:rsidRDefault="002969B5" w:rsidP="001A7EF0">
      <w:pPr>
        <w:spacing w:line="0" w:lineRule="atLeast"/>
        <w:rPr>
          <w:color w:val="000000" w:themeColor="text1"/>
        </w:rPr>
      </w:pPr>
      <m:oMath>
        <m:r>
          <w:rPr>
            <w:rFonts w:ascii="Cambria Math" w:hAnsi="Cambria Math"/>
            <w:color w:val="000000" w:themeColor="text1"/>
          </w:rPr>
          <m:t>EAC=10</m:t>
        </m:r>
        <m:r>
          <m:rPr>
            <m:sty m:val="p"/>
          </m:rPr>
          <w:rPr>
            <w:rFonts w:ascii="Cambria Math" w:hAnsi="Cambria Math"/>
            <w:color w:val="000000" w:themeColor="text1"/>
          </w:rPr>
          <m:t>log</m:t>
        </m:r>
        <m:r>
          <w:rPr>
            <w:rFonts w:ascii="Cambria Math" w:hAnsi="Cambria Math"/>
            <w:color w:val="000000" w:themeColor="text1"/>
          </w:rPr>
          <m:t>⁡</m:t>
        </m:r>
        <m:d>
          <m:dPr>
            <m:ctrlPr>
              <w:rPr>
                <w:rFonts w:ascii="Cambria Math" w:hAnsi="Cambria Math"/>
                <w:color w:val="000000" w:themeColor="text1"/>
              </w:rPr>
            </m:ctrlPr>
          </m:dPr>
          <m:e>
            <m:r>
              <w:rPr>
                <w:rFonts w:ascii="Cambria Math" w:hAnsi="Cambria Math"/>
                <w:color w:val="000000" w:themeColor="text1"/>
              </w:rPr>
              <m:t>n</m:t>
            </m:r>
            <m:sSubSup>
              <m:sSubSupPr>
                <m:ctrlPr>
                  <w:rPr>
                    <w:rFonts w:ascii="Cambria Math" w:hAnsi="Cambria Math"/>
                    <w:color w:val="000000" w:themeColor="text1"/>
                  </w:rPr>
                </m:ctrlPr>
              </m:sSubSupPr>
              <m:e>
                <m:r>
                  <m:rPr>
                    <m:sty m:val="p"/>
                  </m:rPr>
                  <w:rPr>
                    <w:rFonts w:ascii="Cambria Math" w:hAnsi="Cambria Math"/>
                    <w:color w:val="000000" w:themeColor="text1"/>
                  </w:rPr>
                  <m:t>Υ</m:t>
                </m:r>
              </m:e>
              <m:sub>
                <m:r>
                  <w:rPr>
                    <w:rFonts w:ascii="Cambria Math" w:hAnsi="Cambria Math"/>
                    <w:color w:val="000000" w:themeColor="text1"/>
                  </w:rPr>
                  <m:t>0</m:t>
                </m:r>
              </m:sub>
              <m:sup>
                <m:r>
                  <w:rPr>
                    <w:rFonts w:ascii="Cambria Math" w:hAnsi="Cambria Math"/>
                    <w:color w:val="000000" w:themeColor="text1"/>
                  </w:rPr>
                  <m:t>2</m:t>
                </m:r>
              </m:sup>
            </m:sSubSup>
          </m:e>
        </m:d>
      </m:oMath>
      <w:r w:rsidRPr="00FA366D">
        <w:rPr>
          <w:rFonts w:eastAsiaTheme="minorEastAsia"/>
          <w:color w:val="000000" w:themeColor="text1"/>
        </w:rPr>
        <w:t xml:space="preserve"> </w:t>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r>
      <w:r w:rsidRPr="00FA366D">
        <w:rPr>
          <w:rFonts w:eastAsiaTheme="minorEastAsia"/>
          <w:color w:val="000000" w:themeColor="text1"/>
        </w:rPr>
        <w:tab/>
        <w:t>(6)</w:t>
      </w:r>
    </w:p>
    <w:p w14:paraId="2EE0AD36" w14:textId="77777777" w:rsidR="004579E2" w:rsidRPr="00FA366D" w:rsidRDefault="004579E2" w:rsidP="001A7EF0">
      <w:pPr>
        <w:spacing w:line="0" w:lineRule="atLeast"/>
        <w:rPr>
          <w:color w:val="000000" w:themeColor="text1"/>
        </w:rPr>
      </w:pPr>
    </w:p>
    <w:p w14:paraId="7C61BE51" w14:textId="4D6F4C42" w:rsidR="004579E2" w:rsidRPr="00FA366D" w:rsidRDefault="00C20507" w:rsidP="001A7EF0">
      <w:pPr>
        <w:spacing w:line="0" w:lineRule="atLeast"/>
        <w:rPr>
          <w:color w:val="000000" w:themeColor="text1"/>
        </w:rPr>
      </w:pPr>
      <w:r w:rsidRPr="009B27A4">
        <w:rPr>
          <w:color w:val="000000" w:themeColor="text1"/>
          <w:highlight w:val="yellow"/>
        </w:rPr>
        <w:t>4.3.6</w:t>
      </w:r>
      <w:r w:rsidR="002969B5" w:rsidRPr="009B27A4">
        <w:rPr>
          <w:color w:val="000000" w:themeColor="text1"/>
          <w:highlight w:val="yellow"/>
        </w:rPr>
        <w:t>. Linear Spectral Parameters:</w:t>
      </w:r>
      <w:r w:rsidR="002969B5" w:rsidRPr="00FA366D">
        <w:rPr>
          <w:color w:val="000000" w:themeColor="text1"/>
        </w:rPr>
        <w:t xml:space="preserve"> Perform linear fitting of the estimated BSC to calculate the SS, I0, and MBF. Although these parameters do not directly represent scatterer size or concentration, they are sensitive to changes in tissue microstructure and are widely used for tissue characterization and classification studies</w:t>
      </w:r>
      <w:r w:rsidR="00FD6732" w:rsidRPr="00FA366D">
        <w:rPr>
          <w:color w:val="000000" w:themeColor="text1"/>
          <w:vertAlign w:val="superscript"/>
        </w:rPr>
        <w:t>30</w:t>
      </w:r>
      <w:r w:rsidR="002969B5" w:rsidRPr="00FA366D">
        <w:rPr>
          <w:color w:val="000000" w:themeColor="text1"/>
        </w:rPr>
        <w:t>.</w:t>
      </w:r>
    </w:p>
    <w:p w14:paraId="4CCF1120" w14:textId="77777777" w:rsidR="004579E2" w:rsidRPr="00FA366D" w:rsidRDefault="004579E2" w:rsidP="001A7EF0">
      <w:pPr>
        <w:spacing w:line="0" w:lineRule="atLeast"/>
        <w:rPr>
          <w:color w:val="000000" w:themeColor="text1"/>
        </w:rPr>
      </w:pPr>
    </w:p>
    <w:p w14:paraId="3ED0E173" w14:textId="60FDFCC5" w:rsidR="004579E2" w:rsidRPr="00FA366D" w:rsidRDefault="00C20507" w:rsidP="001A7EF0">
      <w:pPr>
        <w:spacing w:line="0" w:lineRule="atLeast"/>
        <w:rPr>
          <w:color w:val="000000" w:themeColor="text1"/>
        </w:rPr>
      </w:pPr>
      <w:r w:rsidRPr="0063648C">
        <w:rPr>
          <w:color w:val="000000" w:themeColor="text1"/>
          <w:highlight w:val="yellow"/>
        </w:rPr>
        <w:t>4.3.7</w:t>
      </w:r>
      <w:r w:rsidR="002969B5" w:rsidRPr="0063648C">
        <w:rPr>
          <w:color w:val="000000" w:themeColor="text1"/>
          <w:highlight w:val="yellow"/>
        </w:rPr>
        <w:t xml:space="preserve">. </w:t>
      </w:r>
      <w:r w:rsidR="00BC4C8F" w:rsidRPr="0063648C">
        <w:rPr>
          <w:color w:val="000000" w:themeColor="text1"/>
          <w:highlight w:val="yellow"/>
        </w:rPr>
        <w:t>Attenuation Estimation:</w:t>
      </w:r>
      <w:r w:rsidR="00BC4C8F" w:rsidRPr="00FA366D">
        <w:rPr>
          <w:color w:val="000000" w:themeColor="text1"/>
        </w:rPr>
        <w:t xml:space="preserve"> If attenuation-based parameters are selected in ‘Select Params,’ estimate the attenuation within each sub-ROI using the RPM</w:t>
      </w:r>
      <w:r w:rsidR="00BC4C8F" w:rsidRPr="00FA366D">
        <w:rPr>
          <w:color w:val="000000" w:themeColor="text1"/>
          <w:vertAlign w:val="superscript"/>
        </w:rPr>
        <w:t>29</w:t>
      </w:r>
      <w:r w:rsidR="002969B5" w:rsidRPr="00FA366D">
        <w:rPr>
          <w:color w:val="000000" w:themeColor="text1"/>
        </w:rPr>
        <w:t xml:space="preserve">. Estimate the sample attenuation using </w:t>
      </w:r>
      <w:r w:rsidR="002969B5" w:rsidRPr="00FA366D">
        <w:rPr>
          <w:b/>
          <w:bCs/>
          <w:color w:val="000000" w:themeColor="text1"/>
        </w:rPr>
        <w:t>Equation 7</w:t>
      </w:r>
      <w:r w:rsidR="002969B5" w:rsidRPr="00FA366D">
        <w:rPr>
          <w:color w:val="000000" w:themeColor="text1"/>
        </w:rPr>
        <w:t>:</w:t>
      </w:r>
    </w:p>
    <w:p w14:paraId="6E65D709" w14:textId="77777777" w:rsidR="004579E2" w:rsidRPr="00FA366D" w:rsidRDefault="004579E2" w:rsidP="001A7EF0">
      <w:pPr>
        <w:spacing w:line="0" w:lineRule="atLeast"/>
        <w:rPr>
          <w:rFonts w:eastAsiaTheme="minorEastAsia"/>
          <w:color w:val="000000" w:themeColor="text1"/>
        </w:rPr>
      </w:pPr>
    </w:p>
    <w:p w14:paraId="53F76170" w14:textId="6915655D" w:rsidR="004579E2" w:rsidRPr="00FA366D" w:rsidRDefault="00000000" w:rsidP="001A7EF0">
      <w:pPr>
        <w:spacing w:line="0" w:lineRule="atLeast"/>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α</m:t>
            </m:r>
          </m:e>
          <m:sub>
            <m:r>
              <m:rPr>
                <m:sty m:val="p"/>
              </m:rPr>
              <w:rPr>
                <w:rFonts w:ascii="Cambria Math" w:hAnsi="Cambria Math"/>
                <w:color w:val="000000" w:themeColor="text1"/>
              </w:rPr>
              <m:t>subROI</m:t>
            </m:r>
          </m:sub>
        </m:sSub>
        <m:d>
          <m:dPr>
            <m:ctrlPr>
              <w:rPr>
                <w:rFonts w:ascii="Cambria Math" w:hAnsi="Cambria Math"/>
                <w:color w:val="000000" w:themeColor="text1"/>
              </w:rPr>
            </m:ctrlPr>
          </m:dPr>
          <m:e>
            <m:r>
              <w:rPr>
                <w:rFonts w:ascii="Cambria Math" w:hAnsi="Cambria Math"/>
                <w:color w:val="000000" w:themeColor="text1"/>
              </w:rPr>
              <m:t>f</m:t>
            </m:r>
          </m:e>
        </m:d>
        <m:r>
          <w:rPr>
            <w:rFonts w:ascii="Cambria Math" w:hAnsi="Cambria Math"/>
            <w:color w:val="000000" w:themeColor="text1"/>
          </w:rPr>
          <m:t>=</m:t>
        </m:r>
        <m:f>
          <m:fPr>
            <m:ctrlPr>
              <w:rPr>
                <w:rFonts w:ascii="Cambria Math" w:hAnsi="Cambria Math"/>
                <w:color w:val="000000" w:themeColor="text1"/>
              </w:rPr>
            </m:ctrlPr>
          </m:fPr>
          <m:num>
            <m:func>
              <m:funcPr>
                <m:ctrlPr>
                  <w:rPr>
                    <w:rFonts w:ascii="Cambria Math" w:hAnsi="Cambria Math"/>
                    <w:color w:val="000000" w:themeColor="text1"/>
                  </w:rPr>
                </m:ctrlPr>
              </m:funcPr>
              <m:fName>
                <m:r>
                  <m:rPr>
                    <m:sty m:val="p"/>
                  </m:rPr>
                  <w:rPr>
                    <w:rFonts w:ascii="Cambria Math" w:hAnsi="Cambria Math"/>
                    <w:color w:val="000000" w:themeColor="text1"/>
                  </w:rPr>
                  <m:t>ln</m:t>
                </m:r>
              </m:fName>
              <m:e>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NPS</m:t>
                        </m:r>
                        <m:d>
                          <m:dPr>
                            <m:sepChr m:val=","/>
                            <m:ctrlPr>
                              <w:rPr>
                                <w:rFonts w:ascii="Cambria Math" w:hAnsi="Cambria Math"/>
                                <w:color w:val="000000" w:themeColor="text1"/>
                              </w:rPr>
                            </m:ctrlPr>
                          </m:dPr>
                          <m:e>
                            <m:r>
                              <w:rPr>
                                <w:rFonts w:ascii="Cambria Math" w:hAnsi="Cambria Math"/>
                                <w:color w:val="000000" w:themeColor="text1"/>
                              </w:rPr>
                              <m:t>f</m:t>
                            </m:r>
                          </m:e>
                          <m:e>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0</m:t>
                                </m:r>
                              </m:sub>
                            </m:sSub>
                          </m:e>
                        </m:d>
                      </m:num>
                      <m:den>
                        <m:r>
                          <w:rPr>
                            <w:rFonts w:ascii="Cambria Math" w:hAnsi="Cambria Math"/>
                            <w:color w:val="000000" w:themeColor="text1"/>
                          </w:rPr>
                          <m:t>NPS</m:t>
                        </m:r>
                        <m:d>
                          <m:dPr>
                            <m:sepChr m:val=","/>
                            <m:ctrlPr>
                              <w:rPr>
                                <w:rFonts w:ascii="Cambria Math" w:hAnsi="Cambria Math"/>
                                <w:color w:val="000000" w:themeColor="text1"/>
                              </w:rPr>
                            </m:ctrlPr>
                          </m:dPr>
                          <m:e>
                            <m:r>
                              <w:rPr>
                                <w:rFonts w:ascii="Cambria Math" w:hAnsi="Cambria Math"/>
                                <w:color w:val="000000" w:themeColor="text1"/>
                              </w:rPr>
                              <m:t>f</m:t>
                            </m:r>
                          </m:e>
                          <m:e>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1</m:t>
                                </m:r>
                              </m:sub>
                            </m:sSub>
                          </m:e>
                        </m:d>
                      </m:den>
                    </m:f>
                  </m:e>
                </m:d>
              </m:e>
            </m:func>
          </m:num>
          <m:den>
            <m:r>
              <w:rPr>
                <w:rFonts w:ascii="Cambria Math" w:hAnsi="Cambria Math"/>
                <w:color w:val="000000" w:themeColor="text1"/>
              </w:rPr>
              <m:t>4</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0</m:t>
                    </m:r>
                  </m:sub>
                </m:sSub>
              </m:e>
            </m:d>
          </m:den>
        </m:f>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α</m:t>
            </m:r>
          </m:e>
          <m:sub>
            <m:r>
              <m:rPr>
                <m:sty m:val="p"/>
              </m:rPr>
              <w:rPr>
                <w:rFonts w:ascii="Cambria Math" w:hAnsi="Cambria Math"/>
                <w:color w:val="000000" w:themeColor="text1"/>
              </w:rPr>
              <m:t>ref</m:t>
            </m:r>
          </m:sub>
        </m:sSub>
        <m:d>
          <m:dPr>
            <m:ctrlPr>
              <w:rPr>
                <w:rFonts w:ascii="Cambria Math" w:hAnsi="Cambria Math"/>
                <w:color w:val="000000" w:themeColor="text1"/>
              </w:rPr>
            </m:ctrlPr>
          </m:dPr>
          <m:e>
            <m:r>
              <w:rPr>
                <w:rFonts w:ascii="Cambria Math" w:hAnsi="Cambria Math"/>
                <w:color w:val="000000" w:themeColor="text1"/>
              </w:rPr>
              <m:t>f</m:t>
            </m:r>
          </m:e>
        </m:d>
      </m:oMath>
      <w:r w:rsidR="002969B5" w:rsidRPr="00FA366D">
        <w:rPr>
          <w:rFonts w:eastAsiaTheme="minorEastAsia"/>
          <w:color w:val="000000" w:themeColor="text1"/>
        </w:rPr>
        <w:t xml:space="preserve"> </w:t>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t>(7)</w:t>
      </w:r>
    </w:p>
    <w:p w14:paraId="5461F88D" w14:textId="77777777" w:rsidR="004579E2" w:rsidRPr="00FA366D" w:rsidRDefault="004579E2" w:rsidP="001A7EF0">
      <w:pPr>
        <w:spacing w:line="0" w:lineRule="atLeast"/>
        <w:rPr>
          <w:color w:val="000000" w:themeColor="text1"/>
        </w:rPr>
      </w:pPr>
    </w:p>
    <w:p w14:paraId="4D892485" w14:textId="77777777" w:rsidR="004579E2" w:rsidRPr="00FA366D" w:rsidRDefault="002969B5" w:rsidP="001A7EF0">
      <w:pPr>
        <w:spacing w:line="0" w:lineRule="atLeast"/>
        <w:rPr>
          <w:color w:val="000000" w:themeColor="text1"/>
        </w:rPr>
      </w:pPr>
      <w:r w:rsidRPr="00FA366D">
        <w:rPr>
          <w:color w:val="000000" w:themeColor="text1"/>
        </w:rPr>
        <w:t xml:space="preserve">Here, </w:t>
      </w:r>
      <m:oMath>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1</m:t>
            </m:r>
          </m:sub>
        </m:sSub>
      </m:oMath>
      <w:r w:rsidRPr="00FA366D">
        <w:rPr>
          <w:rFonts w:eastAsiaTheme="minorEastAsia"/>
          <w:color w:val="000000" w:themeColor="text1"/>
        </w:rPr>
        <w:t xml:space="preserve"> </w:t>
      </w:r>
      <w:r w:rsidRPr="00FA366D">
        <w:rPr>
          <w:color w:val="000000" w:themeColor="text1"/>
        </w:rPr>
        <w:t xml:space="preserve">is the axial midpoint of the current sub-ROI, </w:t>
      </w:r>
      <m:oMath>
        <m:sSub>
          <m:sSubPr>
            <m:ctrlPr>
              <w:rPr>
                <w:rFonts w:ascii="Cambria Math" w:hAnsi="Cambria Math"/>
                <w:color w:val="000000" w:themeColor="text1"/>
              </w:rPr>
            </m:ctrlPr>
          </m:sSubPr>
          <m:e>
            <m:r>
              <w:rPr>
                <w:rFonts w:ascii="Cambria Math" w:hAnsi="Cambria Math"/>
                <w:color w:val="000000" w:themeColor="text1"/>
              </w:rPr>
              <m:t>z</m:t>
            </m:r>
          </m:e>
          <m:sub>
            <m:r>
              <w:rPr>
                <w:rFonts w:ascii="Cambria Math" w:hAnsi="Cambria Math"/>
                <w:color w:val="000000" w:themeColor="text1"/>
              </w:rPr>
              <m:t>0</m:t>
            </m:r>
          </m:sub>
        </m:sSub>
      </m:oMath>
      <w:r w:rsidRPr="00FA366D">
        <w:rPr>
          <w:rFonts w:eastAsiaTheme="minorEastAsia"/>
          <w:color w:val="000000" w:themeColor="text1"/>
        </w:rPr>
        <w:t xml:space="preserve"> </w:t>
      </w:r>
      <w:r w:rsidRPr="00FA366D">
        <w:rPr>
          <w:color w:val="000000" w:themeColor="text1"/>
        </w:rPr>
        <w:t xml:space="preserve">is the midpoint of the initial fixed reference sub-ROI, and </w:t>
      </w:r>
      <m:oMath>
        <m:sSub>
          <m:sSubPr>
            <m:ctrlPr>
              <w:rPr>
                <w:rFonts w:ascii="Cambria Math" w:hAnsi="Cambria Math"/>
                <w:color w:val="000000" w:themeColor="text1"/>
              </w:rPr>
            </m:ctrlPr>
          </m:sSubPr>
          <m:e>
            <m:r>
              <w:rPr>
                <w:rFonts w:ascii="Cambria Math" w:hAnsi="Cambria Math"/>
                <w:color w:val="000000" w:themeColor="text1"/>
              </w:rPr>
              <m:t>α</m:t>
            </m:r>
          </m:e>
          <m:sub>
            <m:r>
              <m:rPr>
                <m:sty m:val="p"/>
              </m:rPr>
              <w:rPr>
                <w:rFonts w:ascii="Cambria Math" w:hAnsi="Cambria Math"/>
                <w:color w:val="000000" w:themeColor="text1"/>
              </w:rPr>
              <m:t>ref</m:t>
            </m:r>
          </m:sub>
        </m:sSub>
        <m:d>
          <m:dPr>
            <m:ctrlPr>
              <w:rPr>
                <w:rFonts w:ascii="Cambria Math" w:hAnsi="Cambria Math"/>
                <w:color w:val="000000" w:themeColor="text1"/>
              </w:rPr>
            </m:ctrlPr>
          </m:dPr>
          <m:e>
            <m:r>
              <w:rPr>
                <w:rFonts w:ascii="Cambria Math" w:hAnsi="Cambria Math"/>
                <w:color w:val="000000" w:themeColor="text1"/>
              </w:rPr>
              <m:t>f</m:t>
            </m:r>
          </m:e>
        </m:d>
      </m:oMath>
      <w:r w:rsidRPr="00FA366D">
        <w:rPr>
          <w:rFonts w:eastAsiaTheme="minorEastAsia"/>
          <w:color w:val="000000" w:themeColor="text1"/>
        </w:rPr>
        <w:t xml:space="preserve"> </w:t>
      </w:r>
      <w:r w:rsidRPr="00FA366D">
        <w:rPr>
          <w:color w:val="000000" w:themeColor="text1"/>
        </w:rPr>
        <w:t xml:space="preserve">is the attenuation of the reference phantom. </w:t>
      </w:r>
    </w:p>
    <w:p w14:paraId="214AE05B" w14:textId="77777777" w:rsidR="004579E2" w:rsidRPr="00FA366D" w:rsidRDefault="004579E2" w:rsidP="001A7EF0">
      <w:pPr>
        <w:spacing w:line="0" w:lineRule="atLeast"/>
        <w:rPr>
          <w:color w:val="000000" w:themeColor="text1"/>
        </w:rPr>
      </w:pPr>
    </w:p>
    <w:p w14:paraId="508DB4F6" w14:textId="77777777" w:rsidR="004579E2" w:rsidRPr="00FA366D" w:rsidRDefault="002969B5" w:rsidP="001A7EF0">
      <w:pPr>
        <w:spacing w:line="0" w:lineRule="atLeast"/>
        <w:rPr>
          <w:color w:val="000000" w:themeColor="text1"/>
        </w:rPr>
      </w:pPr>
      <w:r w:rsidRPr="00FA366D">
        <w:rPr>
          <w:color w:val="000000" w:themeColor="text1"/>
        </w:rPr>
        <w:t>NOTE: This approach estimates the cumulative attenuation between the initial fixed sub-ROI and the current sub-ROI.</w:t>
      </w:r>
    </w:p>
    <w:p w14:paraId="39354005" w14:textId="77777777" w:rsidR="004579E2" w:rsidRPr="00FA366D" w:rsidRDefault="004579E2" w:rsidP="001A7EF0">
      <w:pPr>
        <w:spacing w:line="0" w:lineRule="atLeast"/>
        <w:rPr>
          <w:color w:val="000000" w:themeColor="text1"/>
        </w:rPr>
      </w:pPr>
    </w:p>
    <w:p w14:paraId="4AE5C8CC" w14:textId="0AD041CD" w:rsidR="004579E2" w:rsidRPr="00FA366D" w:rsidRDefault="00C20507" w:rsidP="001A7EF0">
      <w:pPr>
        <w:spacing w:line="0" w:lineRule="atLeast"/>
        <w:rPr>
          <w:color w:val="000000" w:themeColor="text1"/>
        </w:rPr>
      </w:pPr>
      <w:r w:rsidRPr="00FA366D">
        <w:rPr>
          <w:color w:val="000000" w:themeColor="text1"/>
        </w:rPr>
        <w:t>4.3.8</w:t>
      </w:r>
      <w:r w:rsidR="002969B5" w:rsidRPr="00FA366D">
        <w:rPr>
          <w:color w:val="000000" w:themeColor="text1"/>
        </w:rPr>
        <w:t xml:space="preserve">. Perform linear fitting of the estimated attenuation curve to </w:t>
      </w:r>
      <w:proofErr w:type="gramStart"/>
      <w:r w:rsidR="002969B5" w:rsidRPr="00FA366D">
        <w:rPr>
          <w:color w:val="000000" w:themeColor="text1"/>
        </w:rPr>
        <w:t>calculate:</w:t>
      </w:r>
      <w:proofErr w:type="gramEnd"/>
      <w:r w:rsidR="002969B5" w:rsidRPr="00FA366D">
        <w:rPr>
          <w:color w:val="000000" w:themeColor="text1"/>
        </w:rPr>
        <w:t xml:space="preserve"> attenuation coefficient, α₀ (</w:t>
      </w:r>
      <w:proofErr w:type="spellStart"/>
      <w:r w:rsidR="002969B5" w:rsidRPr="00FA366D">
        <w:rPr>
          <w:color w:val="000000" w:themeColor="text1"/>
        </w:rPr>
        <w:t>AttenAlpha</w:t>
      </w:r>
      <w:proofErr w:type="spellEnd"/>
      <w:r w:rsidR="002969B5" w:rsidRPr="00FA366D">
        <w:rPr>
          <w:color w:val="000000" w:themeColor="text1"/>
        </w:rPr>
        <w:t xml:space="preserve">; dB/cm/MHz); attenuation intercept, </w:t>
      </w:r>
      <w:r w:rsidR="001702B0" w:rsidRPr="00FA366D">
        <w:rPr>
          <w:color w:val="000000" w:themeColor="text1"/>
        </w:rPr>
        <w:t>c</w:t>
      </w:r>
      <w:r w:rsidR="002969B5" w:rsidRPr="00FA366D">
        <w:rPr>
          <w:color w:val="000000" w:themeColor="text1"/>
        </w:rPr>
        <w:t xml:space="preserve"> (</w:t>
      </w:r>
      <w:proofErr w:type="spellStart"/>
      <w:r w:rsidR="002969B5" w:rsidRPr="00FA366D">
        <w:rPr>
          <w:color w:val="000000" w:themeColor="text1"/>
        </w:rPr>
        <w:t>Atten</w:t>
      </w:r>
      <w:r w:rsidR="001702B0" w:rsidRPr="00FA366D">
        <w:rPr>
          <w:color w:val="000000" w:themeColor="text1"/>
        </w:rPr>
        <w:t>Intercept</w:t>
      </w:r>
      <w:proofErr w:type="spellEnd"/>
      <w:r w:rsidR="002969B5" w:rsidRPr="00FA366D">
        <w:rPr>
          <w:color w:val="000000" w:themeColor="text1"/>
        </w:rPr>
        <w:t>; dB/cm); and attenuation at the mid-band (</w:t>
      </w:r>
      <w:proofErr w:type="spellStart"/>
      <w:r w:rsidR="002969B5" w:rsidRPr="00FA366D">
        <w:rPr>
          <w:color w:val="000000" w:themeColor="text1"/>
        </w:rPr>
        <w:t>AttenMB</w:t>
      </w:r>
      <w:proofErr w:type="spellEnd"/>
      <w:r w:rsidR="002969B5" w:rsidRPr="00FA366D">
        <w:rPr>
          <w:color w:val="000000" w:themeColor="text1"/>
        </w:rPr>
        <w:t xml:space="preserve">; dB/cm). </w:t>
      </w:r>
    </w:p>
    <w:p w14:paraId="6C5510CD" w14:textId="77777777" w:rsidR="004579E2" w:rsidRPr="00FA366D" w:rsidRDefault="004579E2" w:rsidP="001A7EF0">
      <w:pPr>
        <w:spacing w:line="0" w:lineRule="atLeast"/>
        <w:rPr>
          <w:color w:val="000000" w:themeColor="text1"/>
        </w:rPr>
      </w:pPr>
    </w:p>
    <w:p w14:paraId="2BA1D698" w14:textId="77777777" w:rsidR="00DE76BE" w:rsidRPr="00FA366D" w:rsidRDefault="002969B5" w:rsidP="001A7EF0">
      <w:pPr>
        <w:spacing w:line="0" w:lineRule="atLeast"/>
        <w:rPr>
          <w:color w:val="000000" w:themeColor="text1"/>
        </w:rPr>
      </w:pPr>
      <w:r w:rsidRPr="00FA366D">
        <w:rPr>
          <w:color w:val="000000" w:themeColor="text1"/>
        </w:rPr>
        <w:t>4.</w:t>
      </w:r>
      <w:r w:rsidR="00C20507" w:rsidRPr="00FA366D">
        <w:rPr>
          <w:color w:val="000000" w:themeColor="text1"/>
        </w:rPr>
        <w:t>4</w:t>
      </w:r>
      <w:r w:rsidRPr="00FA366D">
        <w:rPr>
          <w:color w:val="000000" w:themeColor="text1"/>
        </w:rPr>
        <w:t>. Reference Phantom</w:t>
      </w:r>
    </w:p>
    <w:p w14:paraId="27808CE0" w14:textId="77777777" w:rsidR="00DE76BE" w:rsidRPr="00FA366D" w:rsidRDefault="00DE76BE" w:rsidP="001A7EF0">
      <w:pPr>
        <w:spacing w:line="0" w:lineRule="atLeast"/>
        <w:rPr>
          <w:color w:val="000000" w:themeColor="text1"/>
        </w:rPr>
      </w:pPr>
    </w:p>
    <w:p w14:paraId="16726862" w14:textId="4A99CF83" w:rsidR="004579E2" w:rsidRPr="00FA366D" w:rsidRDefault="00DE76BE" w:rsidP="001A7EF0">
      <w:pPr>
        <w:spacing w:line="0" w:lineRule="atLeast"/>
        <w:rPr>
          <w:color w:val="000000" w:themeColor="text1"/>
        </w:rPr>
      </w:pPr>
      <w:r w:rsidRPr="00FA366D">
        <w:rPr>
          <w:color w:val="000000" w:themeColor="text1"/>
        </w:rPr>
        <w:t xml:space="preserve">4.4.1. </w:t>
      </w:r>
      <w:r w:rsidR="002969B5" w:rsidRPr="00FA366D">
        <w:rPr>
          <w:color w:val="000000" w:themeColor="text1"/>
        </w:rPr>
        <w:t>Verify that the software automatically selects the appropriate reference phantom RF dataset according to the current acquisition settings.</w:t>
      </w:r>
    </w:p>
    <w:p w14:paraId="3E1B3E42" w14:textId="77777777" w:rsidR="004579E2" w:rsidRPr="00FA366D" w:rsidRDefault="004579E2" w:rsidP="001A7EF0">
      <w:pPr>
        <w:spacing w:line="0" w:lineRule="atLeast"/>
        <w:rPr>
          <w:color w:val="000000" w:themeColor="text1"/>
        </w:rPr>
      </w:pPr>
    </w:p>
    <w:p w14:paraId="36304ED5" w14:textId="425C924D" w:rsidR="004579E2" w:rsidRPr="00FA366D" w:rsidRDefault="00DE76BE" w:rsidP="001A7EF0">
      <w:pPr>
        <w:spacing w:line="0" w:lineRule="atLeast"/>
        <w:rPr>
          <w:color w:val="000000" w:themeColor="text1"/>
        </w:rPr>
      </w:pPr>
      <w:r w:rsidRPr="00FA366D">
        <w:rPr>
          <w:color w:val="000000" w:themeColor="text1"/>
        </w:rPr>
        <w:t>4.4.2</w:t>
      </w:r>
      <w:r w:rsidR="002969B5" w:rsidRPr="00FA366D">
        <w:rPr>
          <w:color w:val="000000" w:themeColor="text1"/>
        </w:rPr>
        <w:t>. Use the pre-acquired reference phantom consisting of an agar-based material containing embedded 60 μm borosilicate glass beads and a 25 μm TPX (</w:t>
      </w:r>
      <w:proofErr w:type="spellStart"/>
      <w:r w:rsidR="002969B5" w:rsidRPr="00FA366D">
        <w:rPr>
          <w:color w:val="000000" w:themeColor="text1"/>
        </w:rPr>
        <w:t>polymethylpentene</w:t>
      </w:r>
      <w:proofErr w:type="spellEnd"/>
      <w:r w:rsidR="002969B5" w:rsidRPr="00FA366D">
        <w:rPr>
          <w:color w:val="000000" w:themeColor="text1"/>
        </w:rPr>
        <w:t>) membrane.</w:t>
      </w:r>
    </w:p>
    <w:p w14:paraId="764D0795" w14:textId="77777777" w:rsidR="004579E2" w:rsidRPr="00FA366D" w:rsidRDefault="004579E2" w:rsidP="001A7EF0">
      <w:pPr>
        <w:spacing w:line="0" w:lineRule="atLeast"/>
        <w:rPr>
          <w:color w:val="000000" w:themeColor="text1"/>
        </w:rPr>
      </w:pPr>
    </w:p>
    <w:p w14:paraId="0428E6E7" w14:textId="3CFA88F4" w:rsidR="004579E2" w:rsidRPr="00FA366D" w:rsidRDefault="00DE76BE" w:rsidP="001A7EF0">
      <w:pPr>
        <w:spacing w:line="0" w:lineRule="atLeast"/>
        <w:rPr>
          <w:color w:val="000000" w:themeColor="text1"/>
        </w:rPr>
      </w:pPr>
      <w:r w:rsidRPr="00FA366D">
        <w:rPr>
          <w:color w:val="000000" w:themeColor="text1"/>
        </w:rPr>
        <w:t>4.4.3</w:t>
      </w:r>
      <w:r w:rsidR="002969B5" w:rsidRPr="00FA366D">
        <w:rPr>
          <w:color w:val="000000" w:themeColor="text1"/>
        </w:rPr>
        <w:t xml:space="preserve">. Calculate the reference phantom backscatter coefficient, </w:t>
      </w:r>
      <m:oMath>
        <m:r>
          <w:rPr>
            <w:rFonts w:ascii="Cambria Math" w:hAnsi="Cambria Math"/>
            <w:color w:val="000000" w:themeColor="text1"/>
          </w:rPr>
          <m:t>BS</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ref</m:t>
            </m:r>
          </m:sub>
        </m:sSub>
        <m:d>
          <m:dPr>
            <m:ctrlPr>
              <w:rPr>
                <w:rFonts w:ascii="Cambria Math" w:hAnsi="Cambria Math"/>
                <w:color w:val="000000" w:themeColor="text1"/>
              </w:rPr>
            </m:ctrlPr>
          </m:dPr>
          <m:e>
            <m:r>
              <w:rPr>
                <w:rFonts w:ascii="Cambria Math" w:hAnsi="Cambria Math"/>
                <w:color w:val="000000" w:themeColor="text1"/>
              </w:rPr>
              <m:t>f</m:t>
            </m:r>
          </m:e>
        </m:d>
      </m:oMath>
      <w:r w:rsidR="002969B5" w:rsidRPr="00FA366D">
        <w:rPr>
          <w:color w:val="000000" w:themeColor="text1"/>
        </w:rPr>
        <w:t>, using Faran scattering theory</w:t>
      </w:r>
      <w:r w:rsidR="009B3F7C" w:rsidRPr="00FA366D">
        <w:rPr>
          <w:color w:val="000000" w:themeColor="text1"/>
          <w:vertAlign w:val="superscript"/>
        </w:rPr>
        <w:t>31</w:t>
      </w:r>
      <w:r w:rsidR="002969B5" w:rsidRPr="00FA366D">
        <w:rPr>
          <w:color w:val="000000" w:themeColor="text1"/>
        </w:rPr>
        <w:t xml:space="preserve"> and the following material properties: speed of sound (5640 m/s), density (2.5 g/cm</w:t>
      </w:r>
      <w:r w:rsidR="002969B5" w:rsidRPr="00FA366D">
        <w:rPr>
          <w:color w:val="000000" w:themeColor="text1"/>
          <w:vertAlign w:val="superscript"/>
        </w:rPr>
        <w:t>3</w:t>
      </w:r>
      <w:r w:rsidR="002969B5" w:rsidRPr="00FA366D">
        <w:rPr>
          <w:color w:val="000000" w:themeColor="text1"/>
        </w:rPr>
        <w:t>), and Poisson’s ratio (0.2).</w:t>
      </w:r>
    </w:p>
    <w:p w14:paraId="302EE47D" w14:textId="77777777" w:rsidR="004579E2" w:rsidRPr="00FA366D" w:rsidRDefault="004579E2" w:rsidP="001A7EF0">
      <w:pPr>
        <w:spacing w:line="0" w:lineRule="atLeast"/>
        <w:rPr>
          <w:color w:val="000000" w:themeColor="text1"/>
        </w:rPr>
      </w:pPr>
    </w:p>
    <w:p w14:paraId="5742F7F6" w14:textId="3827CD85" w:rsidR="00BF4D26" w:rsidRPr="00FA366D" w:rsidRDefault="00DE76BE" w:rsidP="001A7EF0">
      <w:pPr>
        <w:spacing w:line="0" w:lineRule="atLeast"/>
        <w:rPr>
          <w:color w:val="000000" w:themeColor="text1"/>
          <w:lang w:val="en-IN"/>
        </w:rPr>
      </w:pPr>
      <w:r w:rsidRPr="00FA366D">
        <w:rPr>
          <w:color w:val="000000" w:themeColor="text1"/>
        </w:rPr>
        <w:t>4.4.4</w:t>
      </w:r>
      <w:r w:rsidR="00BF4D26" w:rsidRPr="00FA366D">
        <w:rPr>
          <w:color w:val="000000" w:themeColor="text1"/>
          <w:lang w:val="en-IN"/>
        </w:rPr>
        <w:t>. Use the reference phantom beamformed RF data supplied with the GUI for the PW and FW acquisition configurations supported by the GUI, including all available FW focal depths. The supplied reference dataset contains 20 frames for each configuration, acquired by slightly repositioning the probe between acquisitions to obtain independent speckle realizations. The corresponding .bin files provide the transmit, receive, and beamforming settings used for acquisition of the reference and sample RF data.</w:t>
      </w:r>
    </w:p>
    <w:p w14:paraId="162EAD95" w14:textId="77777777" w:rsidR="00BF4D26" w:rsidRPr="00FA366D" w:rsidRDefault="00BF4D26" w:rsidP="001A7EF0">
      <w:pPr>
        <w:spacing w:line="0" w:lineRule="atLeast"/>
        <w:rPr>
          <w:color w:val="000000" w:themeColor="text1"/>
          <w:lang w:val="en-IN"/>
        </w:rPr>
      </w:pPr>
    </w:p>
    <w:p w14:paraId="3F2F8760" w14:textId="418CC260" w:rsidR="00BF4D26" w:rsidRPr="00FA366D" w:rsidRDefault="00DE76BE" w:rsidP="001A7EF0">
      <w:pPr>
        <w:spacing w:line="0" w:lineRule="atLeast"/>
        <w:rPr>
          <w:color w:val="000000" w:themeColor="text1"/>
          <w:lang w:val="en-IN"/>
        </w:rPr>
      </w:pPr>
      <w:r w:rsidRPr="00FA366D">
        <w:rPr>
          <w:color w:val="000000" w:themeColor="text1"/>
        </w:rPr>
        <w:t>4.4.5</w:t>
      </w:r>
      <w:r w:rsidR="00BF4D26" w:rsidRPr="00FA366D">
        <w:rPr>
          <w:color w:val="000000" w:themeColor="text1"/>
          <w:lang w:val="en-IN"/>
        </w:rPr>
        <w:t xml:space="preserve">. To generate a new reference dataset (e.g., for recalibration), acquire beamformed RF data for each intended acquisition configuration by loading the corresponding .bin files into the Pulsarus software and following the RF acquisition procedure </w:t>
      </w:r>
      <w:r w:rsidR="00FA4E1E" w:rsidRPr="00FA366D">
        <w:rPr>
          <w:color w:val="000000" w:themeColor="text1"/>
        </w:rPr>
        <w:t>described in the ultrasound probe user manual</w:t>
      </w:r>
      <w:r w:rsidR="00BF4D26" w:rsidRPr="00FA366D">
        <w:rPr>
          <w:color w:val="000000" w:themeColor="text1"/>
          <w:lang w:val="en-IN"/>
        </w:rPr>
        <w:t>.</w:t>
      </w:r>
    </w:p>
    <w:p w14:paraId="3646B711" w14:textId="77777777" w:rsidR="00BF4D26" w:rsidRPr="00FA366D" w:rsidRDefault="00BF4D26" w:rsidP="001A7EF0">
      <w:pPr>
        <w:spacing w:line="0" w:lineRule="atLeast"/>
        <w:rPr>
          <w:color w:val="000000" w:themeColor="text1"/>
          <w:lang w:val="en-IN"/>
        </w:rPr>
      </w:pPr>
    </w:p>
    <w:p w14:paraId="168146A9" w14:textId="023A490A" w:rsidR="00BF3C37" w:rsidRPr="00FA366D" w:rsidRDefault="00BF3C37" w:rsidP="001A7EF0">
      <w:pPr>
        <w:spacing w:line="0" w:lineRule="atLeast"/>
        <w:rPr>
          <w:color w:val="000000" w:themeColor="text1"/>
          <w:lang w:val="en-IN"/>
        </w:rPr>
      </w:pPr>
      <w:r w:rsidRPr="00FA366D">
        <w:rPr>
          <w:color w:val="000000" w:themeColor="text1"/>
        </w:rPr>
        <w:t>4.4.6. Use the characterized physical and acoustic properties of the reference phantom for BSC calculations.</w:t>
      </w:r>
    </w:p>
    <w:p w14:paraId="61E57DA9" w14:textId="77777777" w:rsidR="00BF3C37" w:rsidRPr="00FA366D" w:rsidRDefault="00BF3C37" w:rsidP="001A7EF0">
      <w:pPr>
        <w:spacing w:line="0" w:lineRule="atLeast"/>
        <w:rPr>
          <w:color w:val="000000" w:themeColor="text1"/>
          <w:lang w:val="en-IN"/>
        </w:rPr>
      </w:pPr>
    </w:p>
    <w:p w14:paraId="1D69385B" w14:textId="2FD44561" w:rsidR="00BF4D26" w:rsidRPr="00FA366D" w:rsidRDefault="006547FB" w:rsidP="001A7EF0">
      <w:pPr>
        <w:spacing w:line="0" w:lineRule="atLeast"/>
        <w:rPr>
          <w:color w:val="000000" w:themeColor="text1"/>
          <w:lang w:val="en-IN"/>
        </w:rPr>
      </w:pPr>
      <w:r w:rsidRPr="00FA366D">
        <w:rPr>
          <w:color w:val="000000" w:themeColor="text1"/>
          <w:lang w:val="en-IN"/>
        </w:rPr>
        <w:t>NOTE:</w:t>
      </w:r>
      <w:r w:rsidR="00BF4D26" w:rsidRPr="00FA366D">
        <w:rPr>
          <w:color w:val="000000" w:themeColor="text1"/>
          <w:lang w:val="en-IN"/>
        </w:rPr>
        <w:t xml:space="preserve"> The physical properties of the reference phantom, including the size and number density of the borosilicate glass beads, were provided by the phantom manufacturer. The acoustic properties of borosilicate glass used for BSC calculations were obtained from the experimental characterization reported by Millet and Bourne</w:t>
      </w:r>
      <w:r w:rsidR="009B3F7C" w:rsidRPr="00FA366D">
        <w:rPr>
          <w:color w:val="000000" w:themeColor="text1"/>
          <w:vertAlign w:val="superscript"/>
          <w:lang w:val="en-IN"/>
        </w:rPr>
        <w:t>32</w:t>
      </w:r>
      <w:r w:rsidR="00C83638" w:rsidRPr="00FA366D">
        <w:rPr>
          <w:color w:val="000000" w:themeColor="text1"/>
          <w:lang w:val="en-IN"/>
        </w:rPr>
        <w:t>.</w:t>
      </w:r>
      <w:r w:rsidR="00BF4D26" w:rsidRPr="00FA366D">
        <w:rPr>
          <w:color w:val="000000" w:themeColor="text1"/>
          <w:lang w:val="en-IN"/>
        </w:rPr>
        <w:t xml:space="preserve"> The attenuation properties of the reference phantom </w:t>
      </w:r>
      <w:r w:rsidR="00234D6C" w:rsidRPr="00FA366D">
        <w:rPr>
          <w:color w:val="000000" w:themeColor="text1"/>
        </w:rPr>
        <w:t>over the ultrasound probe processing bandwidth</w:t>
      </w:r>
      <w:r w:rsidR="00BF4D26" w:rsidRPr="00FA366D">
        <w:rPr>
          <w:color w:val="000000" w:themeColor="text1"/>
          <w:lang w:val="en-IN"/>
        </w:rPr>
        <w:t xml:space="preserve"> were experimentally estimated using the reference phantom method</w:t>
      </w:r>
      <w:r w:rsidR="00796CFE" w:rsidRPr="00FA366D">
        <w:rPr>
          <w:color w:val="000000" w:themeColor="text1"/>
          <w:vertAlign w:val="superscript"/>
          <w:lang w:val="en-IN"/>
        </w:rPr>
        <w:t>26</w:t>
      </w:r>
      <w:r w:rsidR="00BF4D26" w:rsidRPr="00FA366D">
        <w:rPr>
          <w:color w:val="000000" w:themeColor="text1"/>
          <w:lang w:val="en-IN"/>
        </w:rPr>
        <w:t xml:space="preserve"> with the well-characterized 18 μm phantom described by Rohrbach et al.</w:t>
      </w:r>
      <w:r w:rsidR="00CE6C5F" w:rsidRPr="00FA366D">
        <w:rPr>
          <w:color w:val="000000" w:themeColor="text1"/>
          <w:vertAlign w:val="superscript"/>
          <w:lang w:val="en-IN"/>
        </w:rPr>
        <w:t>8</w:t>
      </w:r>
      <w:r w:rsidR="00BF4D26" w:rsidRPr="00FA366D">
        <w:rPr>
          <w:color w:val="000000" w:themeColor="text1"/>
          <w:lang w:val="en-IN"/>
        </w:rPr>
        <w:t xml:space="preserve"> as the attenuation reference.</w:t>
      </w:r>
    </w:p>
    <w:p w14:paraId="03494CC8" w14:textId="77777777" w:rsidR="00BF4D26" w:rsidRPr="00FA366D" w:rsidRDefault="00BF4D26" w:rsidP="001A7EF0">
      <w:pPr>
        <w:spacing w:line="0" w:lineRule="atLeast"/>
        <w:rPr>
          <w:color w:val="000000" w:themeColor="text1"/>
          <w:lang w:val="en-IN"/>
        </w:rPr>
      </w:pPr>
    </w:p>
    <w:p w14:paraId="68A3C3A9" w14:textId="1D942397" w:rsidR="00BF4D26" w:rsidRPr="00FA366D" w:rsidRDefault="007465DE" w:rsidP="001A7EF0">
      <w:pPr>
        <w:spacing w:line="0" w:lineRule="atLeast"/>
        <w:rPr>
          <w:color w:val="000000" w:themeColor="text1"/>
          <w:lang w:val="en-IN"/>
        </w:rPr>
      </w:pPr>
      <w:r w:rsidRPr="00FA366D">
        <w:rPr>
          <w:color w:val="000000" w:themeColor="text1"/>
          <w:lang w:val="en-IN"/>
        </w:rPr>
        <w:t>4.4.7</w:t>
      </w:r>
      <w:r w:rsidR="00BF4D26" w:rsidRPr="00FA366D">
        <w:rPr>
          <w:color w:val="000000" w:themeColor="text1"/>
          <w:lang w:val="en-IN"/>
        </w:rPr>
        <w:t xml:space="preserve">. </w:t>
      </w:r>
      <w:r w:rsidR="00BF3C37" w:rsidRPr="00FA366D">
        <w:rPr>
          <w:color w:val="000000" w:themeColor="text1"/>
        </w:rPr>
        <w:t xml:space="preserve">When generating a new reference phantom, use a uniform random distribution of glass bead scatterers at </w:t>
      </w:r>
      <w:proofErr w:type="gramStart"/>
      <w:r w:rsidR="00BF3C37" w:rsidRPr="00FA366D">
        <w:rPr>
          <w:color w:val="000000" w:themeColor="text1"/>
        </w:rPr>
        <w:t>a sufficient number</w:t>
      </w:r>
      <w:proofErr w:type="gramEnd"/>
      <w:r w:rsidR="00BF3C37" w:rsidRPr="00FA366D">
        <w:rPr>
          <w:color w:val="000000" w:themeColor="text1"/>
        </w:rPr>
        <w:t xml:space="preserve"> density (i.e., &gt;10 scatterers per resolution cell) to produce fully developed speckle. Use a phantom with well-characterized frequency-dependent BSC and attenuation properties over the processing bandwidth.</w:t>
      </w:r>
    </w:p>
    <w:p w14:paraId="2C538840" w14:textId="77777777" w:rsidR="004579E2" w:rsidRPr="00FA366D" w:rsidRDefault="004579E2" w:rsidP="001A7EF0">
      <w:pPr>
        <w:spacing w:line="0" w:lineRule="atLeast"/>
        <w:rPr>
          <w:color w:val="000000" w:themeColor="text1"/>
        </w:rPr>
      </w:pPr>
    </w:p>
    <w:p w14:paraId="1B9EB726" w14:textId="1FACAEE3" w:rsidR="004579E2" w:rsidRPr="00FA366D" w:rsidRDefault="002969B5" w:rsidP="001A7EF0">
      <w:pPr>
        <w:spacing w:line="0" w:lineRule="atLeast"/>
        <w:rPr>
          <w:color w:val="000000" w:themeColor="text1"/>
        </w:rPr>
      </w:pPr>
      <w:r w:rsidRPr="00C13346">
        <w:rPr>
          <w:color w:val="000000" w:themeColor="text1"/>
          <w:highlight w:val="yellow"/>
        </w:rPr>
        <w:t>4.</w:t>
      </w:r>
      <w:r w:rsidR="006547FB" w:rsidRPr="00C13346">
        <w:rPr>
          <w:color w:val="000000" w:themeColor="text1"/>
          <w:highlight w:val="yellow"/>
        </w:rPr>
        <w:t>5</w:t>
      </w:r>
      <w:r w:rsidRPr="00C13346">
        <w:rPr>
          <w:color w:val="000000" w:themeColor="text1"/>
          <w:highlight w:val="yellow"/>
        </w:rPr>
        <w:t>. Envelope Statistics Processing</w:t>
      </w:r>
    </w:p>
    <w:p w14:paraId="32E4F39D" w14:textId="77777777" w:rsidR="004579E2" w:rsidRPr="00FA366D" w:rsidRDefault="004579E2" w:rsidP="001A7EF0">
      <w:pPr>
        <w:spacing w:line="0" w:lineRule="atLeast"/>
        <w:rPr>
          <w:color w:val="000000" w:themeColor="text1"/>
        </w:rPr>
      </w:pPr>
    </w:p>
    <w:p w14:paraId="14629A77" w14:textId="62269C64" w:rsidR="004579E2" w:rsidRPr="00FA366D" w:rsidRDefault="002969B5" w:rsidP="001A7EF0">
      <w:pPr>
        <w:spacing w:line="0" w:lineRule="atLeast"/>
        <w:rPr>
          <w:color w:val="000000" w:themeColor="text1"/>
        </w:rPr>
      </w:pPr>
      <w:r w:rsidRPr="00FA366D">
        <w:rPr>
          <w:color w:val="000000" w:themeColor="text1"/>
        </w:rPr>
        <w:t>4.</w:t>
      </w:r>
      <w:r w:rsidR="006547FB" w:rsidRPr="00FA366D">
        <w:rPr>
          <w:color w:val="000000" w:themeColor="text1"/>
        </w:rPr>
        <w:t>5</w:t>
      </w:r>
      <w:r w:rsidRPr="00FA366D">
        <w:rPr>
          <w:color w:val="000000" w:themeColor="text1"/>
        </w:rPr>
        <w:t>.</w:t>
      </w:r>
      <w:r w:rsidR="004E71F8" w:rsidRPr="00FA366D">
        <w:rPr>
          <w:color w:val="000000" w:themeColor="text1"/>
        </w:rPr>
        <w:t>1.</w:t>
      </w:r>
      <w:r w:rsidRPr="00FA366D">
        <w:rPr>
          <w:color w:val="000000" w:themeColor="text1"/>
        </w:rPr>
        <w:t xml:space="preserve"> If envelope statistics parameters are selected in “Select Params,” estimate the envelope statistics parameters from the envelope amplitudes within each sub-ROI using the selected probability density function (PDF).</w:t>
      </w:r>
    </w:p>
    <w:p w14:paraId="25CC8533" w14:textId="77777777" w:rsidR="004579E2" w:rsidRPr="00FA366D" w:rsidRDefault="004579E2" w:rsidP="001A7EF0">
      <w:pPr>
        <w:spacing w:line="0" w:lineRule="atLeast"/>
        <w:rPr>
          <w:color w:val="000000" w:themeColor="text1"/>
        </w:rPr>
      </w:pPr>
    </w:p>
    <w:p w14:paraId="321EB152" w14:textId="67E7B64D" w:rsidR="004579E2" w:rsidRPr="00FA366D" w:rsidRDefault="006547FB" w:rsidP="001A7EF0">
      <w:pPr>
        <w:spacing w:line="0" w:lineRule="atLeast"/>
        <w:rPr>
          <w:color w:val="000000" w:themeColor="text1"/>
        </w:rPr>
      </w:pPr>
      <w:r w:rsidRPr="00FA366D">
        <w:rPr>
          <w:color w:val="000000" w:themeColor="text1"/>
        </w:rPr>
        <w:t>4.5.2</w:t>
      </w:r>
      <w:r w:rsidR="002969B5" w:rsidRPr="00FA366D">
        <w:rPr>
          <w:color w:val="000000" w:themeColor="text1"/>
        </w:rPr>
        <w:t>. Rayleigh SNR: Calculate the Rayleigh SNR as the ratio of the mean envelope intensity to the standard deviation of the envelope intensities within each sub-ROI.</w:t>
      </w:r>
    </w:p>
    <w:p w14:paraId="5E856EAE" w14:textId="77777777" w:rsidR="004579E2" w:rsidRPr="00FA366D" w:rsidRDefault="004579E2" w:rsidP="001A7EF0">
      <w:pPr>
        <w:spacing w:line="0" w:lineRule="atLeast"/>
        <w:rPr>
          <w:color w:val="000000" w:themeColor="text1"/>
        </w:rPr>
      </w:pPr>
    </w:p>
    <w:p w14:paraId="3FF3E586" w14:textId="3E339F4C" w:rsidR="004579E2" w:rsidRPr="00FA366D" w:rsidRDefault="006547FB" w:rsidP="001A7EF0">
      <w:pPr>
        <w:spacing w:line="0" w:lineRule="atLeast"/>
        <w:rPr>
          <w:color w:val="000000" w:themeColor="text1"/>
        </w:rPr>
      </w:pPr>
      <w:r w:rsidRPr="00FA366D">
        <w:rPr>
          <w:color w:val="000000" w:themeColor="text1"/>
        </w:rPr>
        <w:t>4.5.3</w:t>
      </w:r>
      <w:r w:rsidR="002969B5" w:rsidRPr="00FA366D">
        <w:rPr>
          <w:color w:val="000000" w:themeColor="text1"/>
        </w:rPr>
        <w:t xml:space="preserve">. Interpret values approaching </w:t>
      </w:r>
      <m:oMath>
        <m:f>
          <m:fPr>
            <m:ctrlPr>
              <w:rPr>
                <w:rFonts w:ascii="Cambria Math" w:hAnsi="Cambria Math"/>
                <w:color w:val="000000" w:themeColor="text1"/>
              </w:rPr>
            </m:ctrlPr>
          </m:fPr>
          <m:num>
            <m:rad>
              <m:radPr>
                <m:degHide m:val="1"/>
                <m:ctrlPr>
                  <w:rPr>
                    <w:rFonts w:ascii="Cambria Math" w:hAnsi="Cambria Math"/>
                    <w:color w:val="000000" w:themeColor="text1"/>
                  </w:rPr>
                </m:ctrlPr>
              </m:radPr>
              <m:deg/>
              <m:e>
                <m:r>
                  <w:rPr>
                    <w:rFonts w:ascii="Cambria Math" w:hAnsi="Cambria Math"/>
                    <w:color w:val="000000" w:themeColor="text1"/>
                  </w:rPr>
                  <m:t>π</m:t>
                </m:r>
              </m:e>
            </m:rad>
          </m:num>
          <m:den>
            <m:rad>
              <m:radPr>
                <m:degHide m:val="1"/>
                <m:ctrlPr>
                  <w:rPr>
                    <w:rFonts w:ascii="Cambria Math" w:hAnsi="Cambria Math"/>
                    <w:color w:val="000000" w:themeColor="text1"/>
                  </w:rPr>
                </m:ctrlPr>
              </m:radPr>
              <m:deg/>
              <m:e>
                <m:r>
                  <w:rPr>
                    <w:rFonts w:ascii="Cambria Math" w:hAnsi="Cambria Math"/>
                    <w:color w:val="000000" w:themeColor="text1"/>
                  </w:rPr>
                  <m:t>4-π</m:t>
                </m:r>
              </m:e>
            </m:rad>
          </m:den>
        </m:f>
        <m:r>
          <w:rPr>
            <w:rFonts w:ascii="Cambria Math" w:hAnsi="Cambria Math"/>
            <w:color w:val="000000" w:themeColor="text1"/>
          </w:rPr>
          <m:t>≈1.91</m:t>
        </m:r>
      </m:oMath>
      <w:r w:rsidR="002969B5" w:rsidRPr="00FA366D">
        <w:rPr>
          <w:color w:val="000000" w:themeColor="text1"/>
        </w:rPr>
        <w:t xml:space="preserve"> as indicating a Rayleigh envelope distribution corresponding to fully developed speckle.</w:t>
      </w:r>
    </w:p>
    <w:p w14:paraId="0AB91721" w14:textId="77777777" w:rsidR="004579E2" w:rsidRPr="00FA366D" w:rsidRDefault="004579E2" w:rsidP="001A7EF0">
      <w:pPr>
        <w:spacing w:line="0" w:lineRule="atLeast"/>
        <w:rPr>
          <w:color w:val="000000" w:themeColor="text1"/>
        </w:rPr>
      </w:pPr>
    </w:p>
    <w:p w14:paraId="79B91178" w14:textId="53A7B469" w:rsidR="004579E2" w:rsidRPr="00FA366D" w:rsidRDefault="006547FB" w:rsidP="001A7EF0">
      <w:pPr>
        <w:spacing w:line="0" w:lineRule="atLeast"/>
        <w:rPr>
          <w:color w:val="000000" w:themeColor="text1"/>
        </w:rPr>
      </w:pPr>
      <w:r w:rsidRPr="00FA366D">
        <w:rPr>
          <w:color w:val="000000" w:themeColor="text1"/>
        </w:rPr>
        <w:t>4.5.4</w:t>
      </w:r>
      <w:r w:rsidR="002969B5" w:rsidRPr="00FA366D">
        <w:rPr>
          <w:color w:val="000000" w:themeColor="text1"/>
        </w:rPr>
        <w:t xml:space="preserve">. Nakagami Distribution: Estimate the Nakagami distribution using </w:t>
      </w:r>
      <w:r w:rsidR="002969B5" w:rsidRPr="00FA366D">
        <w:rPr>
          <w:b/>
          <w:bCs/>
          <w:color w:val="000000" w:themeColor="text1"/>
        </w:rPr>
        <w:t>Equation 8</w:t>
      </w:r>
      <w:r w:rsidR="002969B5" w:rsidRPr="00FA366D">
        <w:rPr>
          <w:color w:val="000000" w:themeColor="text1"/>
        </w:rPr>
        <w:t>.</w:t>
      </w:r>
    </w:p>
    <w:p w14:paraId="4BE0298C" w14:textId="77777777" w:rsidR="004579E2" w:rsidRPr="00FA366D" w:rsidRDefault="004579E2" w:rsidP="001A7EF0">
      <w:pPr>
        <w:spacing w:line="0" w:lineRule="atLeast"/>
        <w:rPr>
          <w:rFonts w:eastAsiaTheme="minorEastAsia"/>
          <w:color w:val="000000" w:themeColor="text1"/>
        </w:rPr>
      </w:pPr>
    </w:p>
    <w:p w14:paraId="71A6AA8F" w14:textId="77777777" w:rsidR="004579E2" w:rsidRPr="00FA366D" w:rsidRDefault="00000000" w:rsidP="001A7EF0">
      <w:pPr>
        <w:spacing w:line="0" w:lineRule="atLeast"/>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P</m:t>
            </m:r>
          </m:e>
          <m:sub>
            <m:r>
              <m:rPr>
                <m:sty m:val="p"/>
              </m:rPr>
              <w:rPr>
                <w:rFonts w:ascii="Cambria Math" w:hAnsi="Cambria Math"/>
                <w:color w:val="000000" w:themeColor="text1"/>
              </w:rPr>
              <m:t>Nakagami</m:t>
            </m:r>
          </m:sub>
        </m:sSub>
        <m:d>
          <m:dPr>
            <m:ctrlPr>
              <w:rPr>
                <w:rFonts w:ascii="Cambria Math" w:hAnsi="Cambria Math"/>
                <w:color w:val="000000" w:themeColor="text1"/>
              </w:rPr>
            </m:ctrlPr>
          </m:dPr>
          <m:e>
            <m:r>
              <w:rPr>
                <w:rFonts w:ascii="Cambria Math" w:hAnsi="Cambria Math"/>
                <w:color w:val="000000" w:themeColor="text1"/>
              </w:rPr>
              <m:t>r</m:t>
            </m:r>
          </m:e>
        </m:d>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2</m:t>
            </m:r>
            <m:sSup>
              <m:sSupPr>
                <m:ctrlPr>
                  <w:rPr>
                    <w:rFonts w:ascii="Cambria Math" w:hAnsi="Cambria Math"/>
                    <w:color w:val="000000" w:themeColor="text1"/>
                  </w:rPr>
                </m:ctrlPr>
              </m:sSupPr>
              <m:e>
                <m:r>
                  <w:rPr>
                    <w:rFonts w:ascii="Cambria Math" w:hAnsi="Cambria Math"/>
                    <w:color w:val="000000" w:themeColor="text1"/>
                  </w:rPr>
                  <m:t>m</m:t>
                </m:r>
              </m:e>
              <m:sup>
                <m:r>
                  <w:rPr>
                    <w:rFonts w:ascii="Cambria Math" w:hAnsi="Cambria Math"/>
                    <w:color w:val="000000" w:themeColor="text1"/>
                  </w:rPr>
                  <m:t>m</m:t>
                </m:r>
              </m:sup>
            </m:sSup>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2m-1</m:t>
                </m:r>
              </m:sup>
            </m:sSup>
          </m:num>
          <m:den>
            <m:r>
              <m:rPr>
                <m:sty m:val="p"/>
              </m:rPr>
              <w:rPr>
                <w:rFonts w:ascii="Cambria Math" w:hAnsi="Cambria Math"/>
                <w:color w:val="000000" w:themeColor="text1"/>
              </w:rPr>
              <m:t>Γ</m:t>
            </m:r>
            <m:d>
              <m:dPr>
                <m:ctrlPr>
                  <w:rPr>
                    <w:rFonts w:ascii="Cambria Math" w:hAnsi="Cambria Math"/>
                    <w:color w:val="000000" w:themeColor="text1"/>
                  </w:rPr>
                </m:ctrlPr>
              </m:dPr>
              <m:e>
                <m:r>
                  <w:rPr>
                    <w:rFonts w:ascii="Cambria Math" w:hAnsi="Cambria Math"/>
                    <w:color w:val="000000" w:themeColor="text1"/>
                  </w:rPr>
                  <m:t>m</m:t>
                </m:r>
              </m:e>
            </m:d>
            <m:sSup>
              <m:sSupPr>
                <m:ctrlPr>
                  <w:rPr>
                    <w:rFonts w:ascii="Cambria Math" w:hAnsi="Cambria Math"/>
                    <w:color w:val="000000" w:themeColor="text1"/>
                  </w:rPr>
                </m:ctrlPr>
              </m:sSupPr>
              <m:e>
                <m:r>
                  <m:rPr>
                    <m:sty m:val="p"/>
                  </m:rPr>
                  <w:rPr>
                    <w:rFonts w:ascii="Cambria Math" w:hAnsi="Cambria Math"/>
                    <w:color w:val="000000" w:themeColor="text1"/>
                  </w:rPr>
                  <m:t>Ω</m:t>
                </m:r>
              </m:e>
              <m:sup>
                <m:r>
                  <w:rPr>
                    <w:rFonts w:ascii="Cambria Math" w:hAnsi="Cambria Math"/>
                    <w:color w:val="000000" w:themeColor="text1"/>
                  </w:rPr>
                  <m:t>m</m:t>
                </m:r>
              </m:sup>
            </m:sSup>
          </m:den>
        </m:f>
        <m:func>
          <m:funcPr>
            <m:ctrlPr>
              <w:rPr>
                <w:rFonts w:ascii="Cambria Math" w:hAnsi="Cambria Math"/>
                <w:color w:val="000000" w:themeColor="text1"/>
              </w:rPr>
            </m:ctrlPr>
          </m:funcPr>
          <m:fName>
            <m:r>
              <m:rPr>
                <m:sty m:val="p"/>
              </m:rPr>
              <w:rPr>
                <w:rFonts w:ascii="Cambria Math" w:hAnsi="Cambria Math"/>
                <w:color w:val="000000" w:themeColor="text1"/>
              </w:rPr>
              <m:t>exp</m:t>
            </m:r>
          </m:fName>
          <m:e>
            <m:d>
              <m:dPr>
                <m:ctrlPr>
                  <w:rPr>
                    <w:rFonts w:ascii="Cambria Math" w:hAnsi="Cambria Math"/>
                    <w:color w:val="000000" w:themeColor="text1"/>
                  </w:rPr>
                </m:ctrlPr>
              </m:dPr>
              <m:e>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m</m:t>
                    </m:r>
                  </m:num>
                  <m:den>
                    <m:r>
                      <m:rPr>
                        <m:sty m:val="p"/>
                      </m:rPr>
                      <w:rPr>
                        <w:rFonts w:ascii="Cambria Math" w:hAnsi="Cambria Math"/>
                        <w:color w:val="000000" w:themeColor="text1"/>
                      </w:rPr>
                      <m:t>Ω</m:t>
                    </m:r>
                  </m:den>
                </m:f>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e>
            </m:d>
          </m:e>
        </m:func>
        <m:r>
          <w:rPr>
            <w:rFonts w:ascii="Cambria Math" w:hAnsi="Cambria Math"/>
            <w:color w:val="000000" w:themeColor="text1"/>
          </w:rPr>
          <m:t>U</m:t>
        </m:r>
        <m:d>
          <m:dPr>
            <m:ctrlPr>
              <w:rPr>
                <w:rFonts w:ascii="Cambria Math" w:hAnsi="Cambria Math"/>
                <w:color w:val="000000" w:themeColor="text1"/>
              </w:rPr>
            </m:ctrlPr>
          </m:dPr>
          <m:e>
            <m:r>
              <w:rPr>
                <w:rFonts w:ascii="Cambria Math" w:hAnsi="Cambria Math"/>
                <w:color w:val="000000" w:themeColor="text1"/>
              </w:rPr>
              <m:t>r</m:t>
            </m:r>
          </m:e>
        </m:d>
      </m:oMath>
      <w:r w:rsidR="002969B5" w:rsidRPr="00FA366D">
        <w:rPr>
          <w:rFonts w:eastAsiaTheme="minorEastAsia"/>
          <w:color w:val="000000" w:themeColor="text1"/>
        </w:rPr>
        <w:t xml:space="preserve"> </w:t>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t>(8)</w:t>
      </w:r>
    </w:p>
    <w:p w14:paraId="21EA33D3" w14:textId="77777777" w:rsidR="004579E2" w:rsidRPr="00FA366D" w:rsidRDefault="004579E2" w:rsidP="001A7EF0">
      <w:pPr>
        <w:spacing w:line="0" w:lineRule="atLeast"/>
        <w:rPr>
          <w:color w:val="000000" w:themeColor="text1"/>
        </w:rPr>
      </w:pPr>
    </w:p>
    <w:p w14:paraId="30D2F381" w14:textId="77777777" w:rsidR="004579E2" w:rsidRPr="00FA366D" w:rsidRDefault="002969B5" w:rsidP="001A7EF0">
      <w:pPr>
        <w:spacing w:line="0" w:lineRule="atLeast"/>
        <w:rPr>
          <w:color w:val="000000" w:themeColor="text1"/>
        </w:rPr>
      </w:pPr>
      <w:r w:rsidRPr="00FA366D">
        <w:rPr>
          <w:color w:val="000000" w:themeColor="text1"/>
        </w:rPr>
        <w:t xml:space="preserve">Here, Γ is the gamma function and U is the unit step function. </w:t>
      </w:r>
    </w:p>
    <w:p w14:paraId="27D46B24" w14:textId="77777777" w:rsidR="004579E2" w:rsidRPr="00FA366D" w:rsidRDefault="004579E2" w:rsidP="001A7EF0">
      <w:pPr>
        <w:spacing w:line="0" w:lineRule="atLeast"/>
        <w:rPr>
          <w:color w:val="000000" w:themeColor="text1"/>
        </w:rPr>
      </w:pPr>
    </w:p>
    <w:p w14:paraId="1B1EFE4D" w14:textId="014BB4F3" w:rsidR="004579E2" w:rsidRPr="00FA366D" w:rsidRDefault="006547FB" w:rsidP="001A7EF0">
      <w:pPr>
        <w:spacing w:line="0" w:lineRule="atLeast"/>
        <w:rPr>
          <w:color w:val="000000" w:themeColor="text1"/>
        </w:rPr>
      </w:pPr>
      <w:r w:rsidRPr="00FA366D">
        <w:rPr>
          <w:color w:val="000000" w:themeColor="text1"/>
        </w:rPr>
        <w:t>4.5.5</w:t>
      </w:r>
      <w:r w:rsidR="002969B5" w:rsidRPr="00FA366D">
        <w:rPr>
          <w:color w:val="000000" w:themeColor="text1"/>
        </w:rPr>
        <w:t>. Fit the Nakagami PDF using a maximum likelihood estimator to estimate shape parameter (</w:t>
      </w:r>
      <w:r w:rsidR="002969B5" w:rsidRPr="00FA366D">
        <w:rPr>
          <w:i/>
          <w:iCs/>
          <w:color w:val="000000" w:themeColor="text1"/>
        </w:rPr>
        <w:t>m</w:t>
      </w:r>
      <w:r w:rsidR="002969B5" w:rsidRPr="00FA366D">
        <w:rPr>
          <w:color w:val="000000" w:themeColor="text1"/>
        </w:rPr>
        <w:t xml:space="preserve">) and scale parameter (Ω). </w:t>
      </w:r>
    </w:p>
    <w:p w14:paraId="0F0E889F" w14:textId="77777777" w:rsidR="004579E2" w:rsidRPr="00FA366D" w:rsidRDefault="004579E2" w:rsidP="001A7EF0">
      <w:pPr>
        <w:spacing w:line="0" w:lineRule="atLeast"/>
        <w:rPr>
          <w:color w:val="000000" w:themeColor="text1"/>
        </w:rPr>
      </w:pPr>
    </w:p>
    <w:p w14:paraId="3B9BFB87" w14:textId="77777777" w:rsidR="004579E2" w:rsidRPr="00FA366D" w:rsidRDefault="002969B5" w:rsidP="001A7EF0">
      <w:pPr>
        <w:spacing w:line="0" w:lineRule="atLeast"/>
        <w:rPr>
          <w:color w:val="000000" w:themeColor="text1"/>
        </w:rPr>
      </w:pPr>
      <w:r w:rsidRPr="00FA366D">
        <w:rPr>
          <w:color w:val="000000" w:themeColor="text1"/>
        </w:rPr>
        <w:t xml:space="preserve">NOTE: Interpret: m &lt; 1 as pre-Rayleigh scattering; m = 1 as Rayleigh scattering; and m &gt; 1 as post-Rayleigh scattering. </w:t>
      </w:r>
    </w:p>
    <w:p w14:paraId="6A0D339F" w14:textId="77777777" w:rsidR="004579E2" w:rsidRPr="00FA366D" w:rsidRDefault="004579E2" w:rsidP="001A7EF0">
      <w:pPr>
        <w:spacing w:line="0" w:lineRule="atLeast"/>
        <w:rPr>
          <w:color w:val="000000" w:themeColor="text1"/>
        </w:rPr>
      </w:pPr>
    </w:p>
    <w:p w14:paraId="575342AF" w14:textId="471BDC10" w:rsidR="00804733" w:rsidRPr="00FA366D" w:rsidRDefault="006547FB" w:rsidP="001A7EF0">
      <w:pPr>
        <w:spacing w:line="0" w:lineRule="atLeast"/>
        <w:rPr>
          <w:color w:val="000000" w:themeColor="text1"/>
        </w:rPr>
      </w:pPr>
      <w:r w:rsidRPr="00FA366D">
        <w:rPr>
          <w:color w:val="000000" w:themeColor="text1"/>
        </w:rPr>
        <w:t>4.5.</w:t>
      </w:r>
      <w:r w:rsidR="006154DA" w:rsidRPr="00FA366D">
        <w:rPr>
          <w:color w:val="000000" w:themeColor="text1"/>
        </w:rPr>
        <w:t>6</w:t>
      </w:r>
      <w:r w:rsidR="002969B5" w:rsidRPr="00FA366D">
        <w:rPr>
          <w:color w:val="000000" w:themeColor="text1"/>
        </w:rPr>
        <w:t xml:space="preserve">. </w:t>
      </w:r>
      <w:r w:rsidR="00C2379A" w:rsidRPr="00FA366D">
        <w:rPr>
          <w:color w:val="000000" w:themeColor="text1"/>
        </w:rPr>
        <w:t xml:space="preserve">Estimate the Nakagami parameters using </w:t>
      </w:r>
      <w:r w:rsidR="00282301" w:rsidRPr="00FA366D">
        <w:rPr>
          <w:color w:val="000000" w:themeColor="text1"/>
        </w:rPr>
        <w:t>the numerical computing software’s</w:t>
      </w:r>
      <w:r w:rsidR="00C2379A" w:rsidRPr="00FA366D">
        <w:rPr>
          <w:color w:val="000000" w:themeColor="text1"/>
        </w:rPr>
        <w:t xml:space="preserve"> </w:t>
      </w:r>
      <w:proofErr w:type="spellStart"/>
      <w:proofErr w:type="gramStart"/>
      <w:r w:rsidR="00C2379A" w:rsidRPr="00FA366D">
        <w:rPr>
          <w:color w:val="000000" w:themeColor="text1"/>
        </w:rPr>
        <w:t>fitdist</w:t>
      </w:r>
      <w:proofErr w:type="spellEnd"/>
      <w:r w:rsidR="00C2379A" w:rsidRPr="00FA366D">
        <w:rPr>
          <w:color w:val="000000" w:themeColor="text1"/>
        </w:rPr>
        <w:t>(</w:t>
      </w:r>
      <w:proofErr w:type="gramEnd"/>
      <w:r w:rsidR="00C2379A" w:rsidRPr="00FA366D">
        <w:rPr>
          <w:color w:val="000000" w:themeColor="text1"/>
        </w:rPr>
        <w:t>) function (</w:t>
      </w:r>
      <w:r w:rsidR="00F03CFE" w:rsidRPr="00FA366D">
        <w:rPr>
          <w:color w:val="000000" w:themeColor="text1"/>
        </w:rPr>
        <w:t>statistical analysis software toolbox</w:t>
      </w:r>
      <w:r w:rsidR="00C2379A" w:rsidRPr="00FA366D">
        <w:rPr>
          <w:color w:val="000000" w:themeColor="text1"/>
        </w:rPr>
        <w:t xml:space="preserve">) with the Nakagami distribution specified. The function estimates the Nakagami shape and scale parameters using </w:t>
      </w:r>
      <w:r w:rsidR="00282301" w:rsidRPr="00FA366D">
        <w:rPr>
          <w:color w:val="000000" w:themeColor="text1"/>
        </w:rPr>
        <w:t>the numerical computing software</w:t>
      </w:r>
      <w:r w:rsidR="00C2379A" w:rsidRPr="00FA366D">
        <w:rPr>
          <w:color w:val="000000" w:themeColor="text1"/>
        </w:rPr>
        <w:t>’s built-in maximum likelihood estimation procedure.</w:t>
      </w:r>
    </w:p>
    <w:p w14:paraId="7B4AF10B" w14:textId="77777777" w:rsidR="004579E2" w:rsidRPr="00FA366D" w:rsidRDefault="004579E2" w:rsidP="001A7EF0">
      <w:pPr>
        <w:spacing w:line="0" w:lineRule="atLeast"/>
        <w:rPr>
          <w:color w:val="000000" w:themeColor="text1"/>
        </w:rPr>
      </w:pPr>
    </w:p>
    <w:p w14:paraId="050E2305" w14:textId="03D654DF" w:rsidR="004579E2" w:rsidRPr="00FA366D" w:rsidRDefault="006154DA" w:rsidP="001A7EF0">
      <w:pPr>
        <w:spacing w:line="0" w:lineRule="atLeast"/>
        <w:rPr>
          <w:color w:val="000000" w:themeColor="text1"/>
        </w:rPr>
      </w:pPr>
      <w:r w:rsidRPr="00FA366D">
        <w:rPr>
          <w:color w:val="000000" w:themeColor="text1"/>
        </w:rPr>
        <w:t>4.5.7</w:t>
      </w:r>
      <w:r w:rsidR="002969B5" w:rsidRPr="00FA366D">
        <w:rPr>
          <w:color w:val="000000" w:themeColor="text1"/>
        </w:rPr>
        <w:t xml:space="preserve">. </w:t>
      </w:r>
      <w:r w:rsidR="000A4D44" w:rsidRPr="00FA366D">
        <w:rPr>
          <w:color w:val="000000" w:themeColor="text1"/>
        </w:rPr>
        <w:t>H-K</w:t>
      </w:r>
      <w:r w:rsidR="002969B5" w:rsidRPr="00FA366D">
        <w:rPr>
          <w:color w:val="000000" w:themeColor="text1"/>
        </w:rPr>
        <w:t xml:space="preserve"> Distribution: Estimate the </w:t>
      </w:r>
      <w:r w:rsidR="000A4D44" w:rsidRPr="00FA366D">
        <w:rPr>
          <w:color w:val="000000" w:themeColor="text1"/>
        </w:rPr>
        <w:t xml:space="preserve">H-K </w:t>
      </w:r>
      <w:r w:rsidR="002969B5" w:rsidRPr="00FA366D">
        <w:rPr>
          <w:color w:val="000000" w:themeColor="text1"/>
        </w:rPr>
        <w:t xml:space="preserve">distribution using </w:t>
      </w:r>
      <w:r w:rsidR="002969B5" w:rsidRPr="00FA366D">
        <w:rPr>
          <w:b/>
          <w:bCs/>
          <w:color w:val="000000" w:themeColor="text1"/>
        </w:rPr>
        <w:t>Equation 9</w:t>
      </w:r>
      <w:r w:rsidR="002969B5" w:rsidRPr="00FA366D">
        <w:rPr>
          <w:color w:val="000000" w:themeColor="text1"/>
        </w:rPr>
        <w:t>.</w:t>
      </w:r>
    </w:p>
    <w:p w14:paraId="0A621936" w14:textId="77777777" w:rsidR="004579E2" w:rsidRPr="00FA366D" w:rsidRDefault="004579E2" w:rsidP="001A7EF0">
      <w:pPr>
        <w:spacing w:line="0" w:lineRule="atLeast"/>
        <w:rPr>
          <w:color w:val="000000" w:themeColor="text1"/>
        </w:rPr>
      </w:pPr>
    </w:p>
    <w:p w14:paraId="706DEE67" w14:textId="77777777" w:rsidR="004579E2" w:rsidRPr="00FA366D" w:rsidRDefault="00000000" w:rsidP="001A7EF0">
      <w:pPr>
        <w:spacing w:line="0" w:lineRule="atLeast"/>
        <w:rPr>
          <w:rFonts w:eastAsiaTheme="minorEastAsia"/>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HK</m:t>
            </m:r>
          </m:sub>
        </m:sSub>
        <m:d>
          <m:dPr>
            <m:ctrlPr>
              <w:rPr>
                <w:rFonts w:ascii="Cambria Math" w:hAnsi="Cambria Math"/>
                <w:color w:val="000000" w:themeColor="text1"/>
              </w:rPr>
            </m:ctrlPr>
          </m:dPr>
          <m:e>
            <m:r>
              <w:rPr>
                <w:rFonts w:ascii="Cambria Math" w:hAnsi="Cambria Math"/>
                <w:color w:val="000000" w:themeColor="text1"/>
              </w:rPr>
              <m:t>r</m:t>
            </m:r>
          </m:e>
        </m:d>
        <m:r>
          <w:rPr>
            <w:rFonts w:ascii="Cambria Math" w:hAnsi="Cambria Math"/>
            <w:color w:val="000000" w:themeColor="text1"/>
          </w:rPr>
          <m:t>=r</m:t>
        </m:r>
        <m:nary>
          <m:naryPr>
            <m:limLoc m:val="subSup"/>
            <m:grow m:val="1"/>
            <m:ctrlPr>
              <w:rPr>
                <w:rFonts w:ascii="Cambria Math" w:hAnsi="Cambria Math"/>
                <w:color w:val="000000" w:themeColor="text1"/>
              </w:rPr>
            </m:ctrlPr>
          </m:naryPr>
          <m:sub>
            <m:r>
              <w:rPr>
                <w:rFonts w:ascii="Cambria Math" w:hAnsi="Cambria Math"/>
                <w:color w:val="000000" w:themeColor="text1"/>
              </w:rPr>
              <m:t>0</m:t>
            </m:r>
          </m:sub>
          <m:sup>
            <m:r>
              <w:rPr>
                <w:rFonts w:ascii="Cambria Math" w:hAnsi="Cambria Math"/>
                <w:color w:val="000000" w:themeColor="text1"/>
              </w:rPr>
              <m:t>∞</m:t>
            </m:r>
          </m:sup>
          <m:e>
            <m:r>
              <w:rPr>
                <w:rFonts w:ascii="Cambria Math" w:hAnsi="Cambria Math"/>
                <w:color w:val="000000" w:themeColor="text1"/>
              </w:rPr>
              <m:t>u</m:t>
            </m:r>
          </m:e>
        </m:nary>
        <m:sSub>
          <m:sSubPr>
            <m:ctrlPr>
              <w:rPr>
                <w:rFonts w:ascii="Cambria Math" w:hAnsi="Cambria Math"/>
                <w:color w:val="000000" w:themeColor="text1"/>
              </w:rPr>
            </m:ctrlPr>
          </m:sSubPr>
          <m:e>
            <m:r>
              <w:rPr>
                <w:rFonts w:ascii="Cambria Math" w:hAnsi="Cambria Math"/>
                <w:color w:val="000000" w:themeColor="text1"/>
              </w:rPr>
              <m:t>J</m:t>
            </m:r>
          </m:e>
          <m:sub>
            <m:r>
              <w:rPr>
                <w:rFonts w:ascii="Cambria Math" w:hAnsi="Cambria Math"/>
                <w:color w:val="000000" w:themeColor="text1"/>
              </w:rPr>
              <m:t>0</m:t>
            </m:r>
          </m:sub>
        </m:sSub>
        <m:d>
          <m:dPr>
            <m:ctrlPr>
              <w:rPr>
                <w:rFonts w:ascii="Cambria Math" w:hAnsi="Cambria Math"/>
                <w:color w:val="000000" w:themeColor="text1"/>
              </w:rPr>
            </m:ctrlPr>
          </m:dPr>
          <m:e>
            <m:r>
              <w:rPr>
                <w:rFonts w:ascii="Cambria Math" w:hAnsi="Cambria Math"/>
                <w:color w:val="000000" w:themeColor="text1"/>
              </w:rPr>
              <m:t>uε</m:t>
            </m:r>
          </m:e>
        </m:d>
        <m:sSub>
          <m:sSubPr>
            <m:ctrlPr>
              <w:rPr>
                <w:rFonts w:ascii="Cambria Math" w:hAnsi="Cambria Math"/>
                <w:color w:val="000000" w:themeColor="text1"/>
              </w:rPr>
            </m:ctrlPr>
          </m:sSubPr>
          <m:e>
            <m:r>
              <w:rPr>
                <w:rFonts w:ascii="Cambria Math" w:hAnsi="Cambria Math"/>
                <w:color w:val="000000" w:themeColor="text1"/>
              </w:rPr>
              <m:t>J</m:t>
            </m:r>
          </m:e>
          <m:sub>
            <m:r>
              <w:rPr>
                <w:rFonts w:ascii="Cambria Math" w:hAnsi="Cambria Math"/>
                <w:color w:val="000000" w:themeColor="text1"/>
              </w:rPr>
              <m:t>0</m:t>
            </m:r>
          </m:sub>
        </m:sSub>
        <m:d>
          <m:dPr>
            <m:ctrlPr>
              <w:rPr>
                <w:rFonts w:ascii="Cambria Math" w:hAnsi="Cambria Math"/>
                <w:color w:val="000000" w:themeColor="text1"/>
              </w:rPr>
            </m:ctrlPr>
          </m:dPr>
          <m:e>
            <m:r>
              <w:rPr>
                <w:rFonts w:ascii="Cambria Math" w:hAnsi="Cambria Math"/>
                <w:color w:val="000000" w:themeColor="text1"/>
              </w:rPr>
              <m:t>ur</m:t>
            </m:r>
          </m:e>
        </m:d>
        <m:sSup>
          <m:sSupPr>
            <m:ctrlPr>
              <w:rPr>
                <w:rFonts w:ascii="Cambria Math" w:hAnsi="Cambria Math"/>
                <w:color w:val="000000" w:themeColor="text1"/>
              </w:rPr>
            </m:ctrlPr>
          </m:sSupPr>
          <m:e>
            <m:d>
              <m:dPr>
                <m:ctrlPr>
                  <w:rPr>
                    <w:rFonts w:ascii="Cambria Math" w:hAnsi="Cambria Math"/>
                    <w:color w:val="000000" w:themeColor="text1"/>
                  </w:rPr>
                </m:ctrlPr>
              </m:dPr>
              <m:e>
                <m:r>
                  <w:rPr>
                    <w:rFonts w:ascii="Cambria Math" w:hAnsi="Cambria Math"/>
                    <w:color w:val="000000" w:themeColor="text1"/>
                  </w:rPr>
                  <m:t>1+</m:t>
                </m:r>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u</m:t>
                        </m:r>
                      </m:e>
                      <m:sup>
                        <m:r>
                          <w:rPr>
                            <w:rFonts w:ascii="Cambria Math" w:hAnsi="Cambria Math"/>
                            <w:color w:val="000000" w:themeColor="text1"/>
                          </w:rPr>
                          <m:t>2</m:t>
                        </m:r>
                      </m:sup>
                    </m:sSup>
                    <m:sSup>
                      <m:sSupPr>
                        <m:ctrlPr>
                          <w:rPr>
                            <w:rFonts w:ascii="Cambria Math" w:hAnsi="Cambria Math"/>
                            <w:color w:val="000000" w:themeColor="text1"/>
                          </w:rPr>
                        </m:ctrlPr>
                      </m:sSupPr>
                      <m:e>
                        <m:r>
                          <w:rPr>
                            <w:rFonts w:ascii="Cambria Math" w:hAnsi="Cambria Math"/>
                            <w:color w:val="000000" w:themeColor="text1"/>
                          </w:rPr>
                          <m:t>σ</m:t>
                        </m:r>
                      </m:e>
                      <m:sup>
                        <m:r>
                          <w:rPr>
                            <w:rFonts w:ascii="Cambria Math" w:hAnsi="Cambria Math"/>
                            <w:color w:val="000000" w:themeColor="text1"/>
                          </w:rPr>
                          <m:t>2</m:t>
                        </m:r>
                      </m:sup>
                    </m:sSup>
                  </m:num>
                  <m:den>
                    <m:r>
                      <w:rPr>
                        <w:rFonts w:ascii="Cambria Math" w:hAnsi="Cambria Math"/>
                        <w:color w:val="000000" w:themeColor="text1"/>
                      </w:rPr>
                      <m:t>2α</m:t>
                    </m:r>
                  </m:den>
                </m:f>
              </m:e>
            </m:d>
          </m:e>
          <m:sup>
            <m:r>
              <w:rPr>
                <w:rFonts w:ascii="Cambria Math" w:hAnsi="Cambria Math"/>
                <w:color w:val="000000" w:themeColor="text1"/>
              </w:rPr>
              <m:t>-α</m:t>
            </m:r>
          </m:sup>
        </m:sSup>
        <m:r>
          <w:rPr>
            <w:rFonts w:ascii="Cambria Math" w:hAnsi="Cambria Math"/>
            <w:color w:val="000000" w:themeColor="text1"/>
          </w:rPr>
          <m:t>du</m:t>
        </m:r>
      </m:oMath>
      <w:r w:rsidR="002969B5" w:rsidRPr="00FA366D">
        <w:rPr>
          <w:rFonts w:eastAsiaTheme="minorEastAsia"/>
          <w:color w:val="000000" w:themeColor="text1"/>
        </w:rPr>
        <w:t xml:space="preserve"> </w:t>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r>
      <w:r w:rsidR="002969B5" w:rsidRPr="00FA366D">
        <w:rPr>
          <w:rFonts w:eastAsiaTheme="minorEastAsia"/>
          <w:color w:val="000000" w:themeColor="text1"/>
        </w:rPr>
        <w:tab/>
        <w:t>(9)</w:t>
      </w:r>
    </w:p>
    <w:p w14:paraId="445FD1B0" w14:textId="77777777" w:rsidR="004579E2" w:rsidRPr="00FA366D" w:rsidRDefault="004579E2" w:rsidP="001A7EF0">
      <w:pPr>
        <w:spacing w:line="0" w:lineRule="atLeast"/>
        <w:rPr>
          <w:color w:val="000000" w:themeColor="text1"/>
        </w:rPr>
      </w:pPr>
    </w:p>
    <w:p w14:paraId="2AFC38E9" w14:textId="77777777" w:rsidR="004579E2" w:rsidRPr="00FA366D" w:rsidRDefault="002969B5" w:rsidP="001A7EF0">
      <w:pPr>
        <w:spacing w:line="0" w:lineRule="atLeast"/>
        <w:rPr>
          <w:color w:val="000000" w:themeColor="text1"/>
        </w:rPr>
      </w:pPr>
      <w:r w:rsidRPr="00FA366D">
        <w:rPr>
          <w:color w:val="000000" w:themeColor="text1"/>
        </w:rPr>
        <w:t xml:space="preserve">Here, </w:t>
      </w:r>
      <m:oMath>
        <m:sSub>
          <m:sSubPr>
            <m:ctrlPr>
              <w:rPr>
                <w:rFonts w:ascii="Cambria Math" w:hAnsi="Cambria Math"/>
                <w:color w:val="000000" w:themeColor="text1"/>
              </w:rPr>
            </m:ctrlPr>
          </m:sSubPr>
          <m:e>
            <m:r>
              <w:rPr>
                <w:rFonts w:ascii="Cambria Math" w:hAnsi="Cambria Math"/>
                <w:color w:val="000000" w:themeColor="text1"/>
              </w:rPr>
              <m:t>J</m:t>
            </m:r>
          </m:e>
          <m:sub>
            <m:r>
              <w:rPr>
                <w:rFonts w:ascii="Cambria Math" w:hAnsi="Cambria Math"/>
                <w:color w:val="000000" w:themeColor="text1"/>
              </w:rPr>
              <m:t>0</m:t>
            </m:r>
          </m:sub>
        </m:sSub>
      </m:oMath>
      <w:r w:rsidRPr="00FA366D">
        <w:rPr>
          <w:color w:val="000000" w:themeColor="text1"/>
        </w:rPr>
        <w:t xml:space="preserve">is the zeroth-order Bessel function of the first kind; ε² and σ² represent the coherent and diffuse signal energies, respectively; and α is the scatterer clustering parameter. </w:t>
      </w:r>
    </w:p>
    <w:p w14:paraId="292012AB" w14:textId="77777777" w:rsidR="004579E2" w:rsidRPr="00FA366D" w:rsidRDefault="004579E2" w:rsidP="001A7EF0">
      <w:pPr>
        <w:spacing w:line="0" w:lineRule="atLeast"/>
        <w:rPr>
          <w:color w:val="000000" w:themeColor="text1"/>
        </w:rPr>
      </w:pPr>
    </w:p>
    <w:p w14:paraId="4E7903A9" w14:textId="4EF48A67" w:rsidR="004579E2" w:rsidRPr="00FA366D" w:rsidRDefault="006154DA" w:rsidP="001A7EF0">
      <w:pPr>
        <w:spacing w:line="0" w:lineRule="atLeast"/>
        <w:rPr>
          <w:color w:val="000000" w:themeColor="text1"/>
        </w:rPr>
      </w:pPr>
      <w:r w:rsidRPr="00FA366D">
        <w:rPr>
          <w:color w:val="000000" w:themeColor="text1"/>
        </w:rPr>
        <w:t>4.5.8</w:t>
      </w:r>
      <w:r w:rsidR="002969B5" w:rsidRPr="00FA366D">
        <w:rPr>
          <w:color w:val="000000" w:themeColor="text1"/>
        </w:rPr>
        <w:t xml:space="preserve">. Estimate the </w:t>
      </w:r>
      <w:r w:rsidR="000A4D44" w:rsidRPr="00FA366D">
        <w:rPr>
          <w:color w:val="000000" w:themeColor="text1"/>
        </w:rPr>
        <w:t>H-K</w:t>
      </w:r>
      <w:r w:rsidR="002969B5" w:rsidRPr="00FA366D">
        <w:rPr>
          <w:color w:val="000000" w:themeColor="text1"/>
        </w:rPr>
        <w:t xml:space="preserve"> structure parameter (</w:t>
      </w:r>
      <w:r w:rsidR="002969B5" w:rsidRPr="00FA366D">
        <w:rPr>
          <w:i/>
          <w:iCs/>
          <w:color w:val="000000" w:themeColor="text1"/>
        </w:rPr>
        <w:t>k</w:t>
      </w:r>
      <w:r w:rsidR="002969B5" w:rsidRPr="00FA366D">
        <w:rPr>
          <w:color w:val="000000" w:themeColor="text1"/>
        </w:rPr>
        <w:t>) as the ratio of coherent to diffuse signal components (ε/σ).</w:t>
      </w:r>
    </w:p>
    <w:p w14:paraId="138E468F" w14:textId="77777777" w:rsidR="004579E2" w:rsidRPr="00FA366D" w:rsidRDefault="004579E2" w:rsidP="001A7EF0">
      <w:pPr>
        <w:spacing w:line="0" w:lineRule="atLeast"/>
        <w:rPr>
          <w:color w:val="000000" w:themeColor="text1"/>
        </w:rPr>
      </w:pPr>
    </w:p>
    <w:p w14:paraId="54359F75" w14:textId="51C20EBB" w:rsidR="004579E2" w:rsidRPr="00FA366D" w:rsidRDefault="006154DA" w:rsidP="001A7EF0">
      <w:pPr>
        <w:spacing w:line="0" w:lineRule="atLeast"/>
        <w:rPr>
          <w:color w:val="000000" w:themeColor="text1"/>
        </w:rPr>
      </w:pPr>
      <w:r w:rsidRPr="00FA366D">
        <w:rPr>
          <w:color w:val="000000" w:themeColor="text1"/>
        </w:rPr>
        <w:t>4.5.9</w:t>
      </w:r>
      <w:r w:rsidR="002969B5" w:rsidRPr="00FA366D">
        <w:rPr>
          <w:color w:val="000000" w:themeColor="text1"/>
        </w:rPr>
        <w:t xml:space="preserve">. Estimate the </w:t>
      </w:r>
      <w:r w:rsidR="000A4D44" w:rsidRPr="00FA366D">
        <w:rPr>
          <w:color w:val="000000" w:themeColor="text1"/>
        </w:rPr>
        <w:t>H-K</w:t>
      </w:r>
      <w:r w:rsidR="002969B5" w:rsidRPr="00FA366D">
        <w:rPr>
          <w:color w:val="000000" w:themeColor="text1"/>
        </w:rPr>
        <w:t xml:space="preserve"> parameters using the first moment of intensity and two logarithmic moments</w:t>
      </w:r>
      <w:r w:rsidR="002969B5" w:rsidRPr="00FA366D">
        <w:rPr>
          <w:color w:val="000000" w:themeColor="text1"/>
          <w:vertAlign w:val="superscript"/>
        </w:rPr>
        <w:t>3</w:t>
      </w:r>
      <w:r w:rsidR="00D40C6D" w:rsidRPr="00FA366D">
        <w:rPr>
          <w:color w:val="000000" w:themeColor="text1"/>
          <w:vertAlign w:val="superscript"/>
        </w:rPr>
        <w:t>3</w:t>
      </w:r>
      <w:r w:rsidR="00BD4131" w:rsidRPr="00FA366D">
        <w:rPr>
          <w:color w:val="000000" w:themeColor="text1"/>
        </w:rPr>
        <w:t>.</w:t>
      </w:r>
    </w:p>
    <w:p w14:paraId="28333E98" w14:textId="77777777" w:rsidR="004579E2" w:rsidRPr="00FA366D" w:rsidRDefault="004579E2" w:rsidP="001A7EF0">
      <w:pPr>
        <w:spacing w:line="0" w:lineRule="atLeast"/>
        <w:rPr>
          <w:color w:val="000000" w:themeColor="text1"/>
        </w:rPr>
      </w:pPr>
    </w:p>
    <w:p w14:paraId="404F836B" w14:textId="307155B1" w:rsidR="00F372CB" w:rsidRPr="00FA366D" w:rsidRDefault="006154DA" w:rsidP="001A7EF0">
      <w:pPr>
        <w:spacing w:line="0" w:lineRule="atLeast"/>
        <w:rPr>
          <w:color w:val="000000" w:themeColor="text1"/>
          <w:lang w:val="en-IN"/>
        </w:rPr>
      </w:pPr>
      <w:r w:rsidRPr="00FA366D">
        <w:rPr>
          <w:color w:val="000000" w:themeColor="text1"/>
        </w:rPr>
        <w:t>4.5.10</w:t>
      </w:r>
      <w:r w:rsidR="00F372CB" w:rsidRPr="00FA366D">
        <w:rPr>
          <w:color w:val="000000" w:themeColor="text1"/>
          <w:lang w:val="en-IN"/>
        </w:rPr>
        <w:t>. Use the XU estimator to estimate the Homodyned-K distribution parameters. The XU estimator was selected because it is a well-established and widely validated method for Homodyned-K parameter estimation in quantitative ultrasound studies</w:t>
      </w:r>
      <w:r w:rsidR="00F372CB" w:rsidRPr="00FA366D">
        <w:rPr>
          <w:color w:val="000000" w:themeColor="text1"/>
          <w:vertAlign w:val="superscript"/>
          <w:lang w:val="en-IN"/>
        </w:rPr>
        <w:t>3</w:t>
      </w:r>
      <w:r w:rsidR="00D40C6D" w:rsidRPr="00FA366D">
        <w:rPr>
          <w:color w:val="000000" w:themeColor="text1"/>
          <w:vertAlign w:val="superscript"/>
          <w:lang w:val="en-IN"/>
        </w:rPr>
        <w:t>3</w:t>
      </w:r>
      <w:r w:rsidR="00A83948" w:rsidRPr="00FA366D">
        <w:rPr>
          <w:color w:val="000000" w:themeColor="text1"/>
          <w:vertAlign w:val="superscript"/>
          <w:lang w:val="en-IN"/>
        </w:rPr>
        <w:t>,3</w:t>
      </w:r>
      <w:r w:rsidR="00D40C6D" w:rsidRPr="00FA366D">
        <w:rPr>
          <w:color w:val="000000" w:themeColor="text1"/>
          <w:vertAlign w:val="superscript"/>
          <w:lang w:val="en-IN"/>
        </w:rPr>
        <w:t>4</w:t>
      </w:r>
      <w:r w:rsidR="00F372CB" w:rsidRPr="00FA366D">
        <w:rPr>
          <w:color w:val="000000" w:themeColor="text1"/>
          <w:lang w:val="en-IN"/>
        </w:rPr>
        <w:t>. Although computationally intensive and therefore not suitable for near real-time implementation in the current pipeline, it provides a reliable reference implementation for demonstrating Homodyned-K parameter estimation. More computationally efficient Homodyned-K estimators have recently been reported</w:t>
      </w:r>
      <w:r w:rsidR="00F372CB" w:rsidRPr="00FA366D">
        <w:rPr>
          <w:color w:val="000000" w:themeColor="text1"/>
          <w:vertAlign w:val="superscript"/>
          <w:lang w:val="en-IN"/>
        </w:rPr>
        <w:t>3</w:t>
      </w:r>
      <w:r w:rsidR="00D40C6D" w:rsidRPr="00FA366D">
        <w:rPr>
          <w:color w:val="000000" w:themeColor="text1"/>
          <w:vertAlign w:val="superscript"/>
          <w:lang w:val="en-IN"/>
        </w:rPr>
        <w:t>5</w:t>
      </w:r>
      <w:r w:rsidR="00F372CB" w:rsidRPr="00FA366D">
        <w:rPr>
          <w:color w:val="000000" w:themeColor="text1"/>
          <w:vertAlign w:val="superscript"/>
          <w:lang w:val="en-IN"/>
        </w:rPr>
        <w:t>,3</w:t>
      </w:r>
      <w:r w:rsidR="00D40C6D" w:rsidRPr="00FA366D">
        <w:rPr>
          <w:color w:val="000000" w:themeColor="text1"/>
          <w:vertAlign w:val="superscript"/>
          <w:lang w:val="en-IN"/>
        </w:rPr>
        <w:t>6</w:t>
      </w:r>
      <w:r w:rsidR="00F372CB" w:rsidRPr="00FA366D">
        <w:rPr>
          <w:color w:val="000000" w:themeColor="text1"/>
          <w:lang w:val="en-IN"/>
        </w:rPr>
        <w:t xml:space="preserve"> and will be evaluated for integration into future versions of the software to enable real-time processing.</w:t>
      </w:r>
    </w:p>
    <w:p w14:paraId="417230B7" w14:textId="77777777" w:rsidR="00F372CB" w:rsidRPr="00FA366D" w:rsidRDefault="00F372CB" w:rsidP="001A7EF0">
      <w:pPr>
        <w:spacing w:line="0" w:lineRule="atLeast"/>
        <w:rPr>
          <w:color w:val="000000" w:themeColor="text1"/>
          <w:lang w:val="en-IN"/>
        </w:rPr>
      </w:pPr>
    </w:p>
    <w:p w14:paraId="1DD08E0F" w14:textId="1C2720C6" w:rsidR="001A6D80" w:rsidRPr="00FA366D" w:rsidRDefault="006154DA" w:rsidP="001A7EF0">
      <w:pPr>
        <w:spacing w:line="0" w:lineRule="atLeast"/>
        <w:rPr>
          <w:color w:val="000000" w:themeColor="text1"/>
          <w:lang w:val="en-IN"/>
        </w:rPr>
      </w:pPr>
      <w:r w:rsidRPr="00FA366D">
        <w:rPr>
          <w:color w:val="000000" w:themeColor="text1"/>
        </w:rPr>
        <w:t>4.5.11</w:t>
      </w:r>
      <w:r w:rsidR="00F372CB" w:rsidRPr="00FA366D">
        <w:rPr>
          <w:color w:val="000000" w:themeColor="text1"/>
          <w:lang w:val="en-IN"/>
        </w:rPr>
        <w:t>. Identify unsuccessful Homodyned-K fits as saturated regions in the H-K Cluster map, as described in Step 3.17.</w:t>
      </w:r>
      <w:r w:rsidR="006C0764" w:rsidRPr="00FA366D">
        <w:rPr>
          <w:color w:val="000000" w:themeColor="text1"/>
          <w:lang w:val="en-IN"/>
        </w:rPr>
        <w:t>3</w:t>
      </w:r>
      <w:r w:rsidR="00F372CB" w:rsidRPr="00FA366D">
        <w:rPr>
          <w:color w:val="000000" w:themeColor="text1"/>
          <w:lang w:val="en-IN"/>
        </w:rPr>
        <w:t>. Do not interpret these regions as valid QUS estimates.</w:t>
      </w:r>
    </w:p>
    <w:p w14:paraId="56D7B6E4" w14:textId="77777777" w:rsidR="004579E2" w:rsidRPr="00FA366D" w:rsidRDefault="004579E2" w:rsidP="001A7EF0">
      <w:pPr>
        <w:spacing w:line="0" w:lineRule="atLeast"/>
        <w:rPr>
          <w:color w:val="000000" w:themeColor="text1"/>
        </w:rPr>
      </w:pPr>
    </w:p>
    <w:p w14:paraId="2C903AF2" w14:textId="2915F7CD" w:rsidR="004579E2" w:rsidRPr="00FA366D" w:rsidRDefault="002969B5" w:rsidP="001A7EF0">
      <w:pPr>
        <w:spacing w:line="0" w:lineRule="atLeast"/>
        <w:rPr>
          <w:color w:val="000000" w:themeColor="text1"/>
        </w:rPr>
      </w:pPr>
      <w:r w:rsidRPr="00FA366D">
        <w:rPr>
          <w:color w:val="000000" w:themeColor="text1"/>
        </w:rPr>
        <w:t>4.</w:t>
      </w:r>
      <w:r w:rsidR="00424B2A" w:rsidRPr="00FA366D">
        <w:rPr>
          <w:color w:val="000000" w:themeColor="text1"/>
        </w:rPr>
        <w:t>5</w:t>
      </w:r>
      <w:r w:rsidRPr="00FA366D">
        <w:rPr>
          <w:color w:val="000000" w:themeColor="text1"/>
        </w:rPr>
        <w:t>.</w:t>
      </w:r>
      <w:r w:rsidR="00424B2A" w:rsidRPr="00FA366D">
        <w:rPr>
          <w:color w:val="000000" w:themeColor="text1"/>
        </w:rPr>
        <w:t>12.</w:t>
      </w:r>
      <w:r w:rsidRPr="00FA366D">
        <w:rPr>
          <w:color w:val="000000" w:themeColor="text1"/>
        </w:rPr>
        <w:t xml:space="preserve"> When higher frame rates are required, use Nakagami fitting and Rayleigh SNR estimation for near real-time processing. Use </w:t>
      </w:r>
      <w:r w:rsidR="000A4D44" w:rsidRPr="00FA366D">
        <w:rPr>
          <w:color w:val="000000" w:themeColor="text1"/>
        </w:rPr>
        <w:t>H-K</w:t>
      </w:r>
      <w:r w:rsidRPr="00FA366D">
        <w:rPr>
          <w:color w:val="000000" w:themeColor="text1"/>
        </w:rPr>
        <w:t xml:space="preserve"> fitting separately or during offline analysis because of its higher computational cost.</w:t>
      </w:r>
    </w:p>
    <w:p w14:paraId="343221E4" w14:textId="77777777" w:rsidR="004579E2" w:rsidRPr="00FA366D" w:rsidRDefault="004579E2" w:rsidP="001A7EF0">
      <w:pPr>
        <w:spacing w:line="0" w:lineRule="atLeast"/>
        <w:rPr>
          <w:color w:val="000000" w:themeColor="text1"/>
        </w:rPr>
      </w:pPr>
    </w:p>
    <w:p w14:paraId="024B08B7" w14:textId="7ED696CF" w:rsidR="004579E2" w:rsidRPr="00FA366D" w:rsidRDefault="00424B2A" w:rsidP="001A7EF0">
      <w:pPr>
        <w:spacing w:line="0" w:lineRule="atLeast"/>
        <w:rPr>
          <w:color w:val="000000" w:themeColor="text1"/>
        </w:rPr>
      </w:pPr>
      <w:r w:rsidRPr="00FA366D">
        <w:rPr>
          <w:color w:val="000000" w:themeColor="text1"/>
        </w:rPr>
        <w:t>4.5.13</w:t>
      </w:r>
      <w:r w:rsidR="002969B5" w:rsidRPr="00FA366D">
        <w:rPr>
          <w:color w:val="000000" w:themeColor="text1"/>
        </w:rPr>
        <w:t xml:space="preserve">. Apply a base-10 logarithmic transformation to the dynamic range of Ω after estimating the Nakagami and </w:t>
      </w:r>
      <w:r w:rsidR="000A4D44" w:rsidRPr="00FA366D">
        <w:rPr>
          <w:color w:val="000000" w:themeColor="text1"/>
        </w:rPr>
        <w:t>H-K</w:t>
      </w:r>
      <w:r w:rsidR="002969B5" w:rsidRPr="00FA366D">
        <w:rPr>
          <w:color w:val="000000" w:themeColor="text1"/>
        </w:rPr>
        <w:t xml:space="preserve"> parameters to facilitate visualization across regions exhibiting large parameter variability.</w:t>
      </w:r>
    </w:p>
    <w:p w14:paraId="139A02A4" w14:textId="77777777" w:rsidR="004579E2" w:rsidRPr="00FA366D" w:rsidRDefault="004579E2" w:rsidP="001A7EF0">
      <w:pPr>
        <w:spacing w:line="0" w:lineRule="atLeast"/>
        <w:rPr>
          <w:color w:val="000000" w:themeColor="text1"/>
        </w:rPr>
      </w:pPr>
    </w:p>
    <w:p w14:paraId="1663FCDD" w14:textId="77777777" w:rsidR="004579E2" w:rsidRPr="00FA366D" w:rsidRDefault="002969B5" w:rsidP="001A7EF0">
      <w:pPr>
        <w:spacing w:line="0" w:lineRule="atLeast"/>
        <w:rPr>
          <w:b/>
          <w:bCs/>
          <w:color w:val="000000" w:themeColor="text1"/>
        </w:rPr>
      </w:pPr>
      <w:r w:rsidRPr="009B27A4">
        <w:rPr>
          <w:b/>
          <w:bCs/>
          <w:color w:val="000000" w:themeColor="text1"/>
          <w:highlight w:val="yellow"/>
        </w:rPr>
        <w:t>5. Saving and Exporting QUS Results</w:t>
      </w:r>
    </w:p>
    <w:p w14:paraId="14E86602" w14:textId="77777777" w:rsidR="004579E2" w:rsidRPr="00FA366D" w:rsidRDefault="004579E2" w:rsidP="001A7EF0">
      <w:pPr>
        <w:spacing w:line="0" w:lineRule="atLeast"/>
        <w:rPr>
          <w:color w:val="000000" w:themeColor="text1"/>
        </w:rPr>
      </w:pPr>
    </w:p>
    <w:p w14:paraId="329E0549" w14:textId="77777777" w:rsidR="004579E2" w:rsidRPr="00FA366D" w:rsidRDefault="002969B5" w:rsidP="001A7EF0">
      <w:pPr>
        <w:spacing w:line="0" w:lineRule="atLeast"/>
        <w:rPr>
          <w:color w:val="000000" w:themeColor="text1"/>
        </w:rPr>
      </w:pPr>
      <w:r w:rsidRPr="00FA366D">
        <w:rPr>
          <w:color w:val="000000" w:themeColor="text1"/>
        </w:rPr>
        <w:t>5.1. Click “Pause” to pause live data acquisition.</w:t>
      </w:r>
    </w:p>
    <w:p w14:paraId="733DA1F3" w14:textId="77777777" w:rsidR="004579E2" w:rsidRPr="00FA366D" w:rsidRDefault="004579E2" w:rsidP="001A7EF0">
      <w:pPr>
        <w:spacing w:line="0" w:lineRule="atLeast"/>
        <w:rPr>
          <w:color w:val="000000" w:themeColor="text1"/>
        </w:rPr>
      </w:pPr>
    </w:p>
    <w:p w14:paraId="1E7ADEB7" w14:textId="77777777" w:rsidR="004579E2" w:rsidRPr="00FA366D" w:rsidRDefault="002969B5" w:rsidP="001A7EF0">
      <w:pPr>
        <w:spacing w:line="0" w:lineRule="atLeast"/>
        <w:rPr>
          <w:color w:val="000000" w:themeColor="text1"/>
        </w:rPr>
      </w:pPr>
      <w:r w:rsidRPr="00FA366D">
        <w:rPr>
          <w:color w:val="000000" w:themeColor="text1"/>
        </w:rPr>
        <w:t>5.2. Verify that the “Save” button becomes active. Note that the “Save” button remains inactive during live data acquisition.</w:t>
      </w:r>
    </w:p>
    <w:p w14:paraId="6ABEDAA2" w14:textId="77777777" w:rsidR="004579E2" w:rsidRPr="00FA366D" w:rsidRDefault="004579E2" w:rsidP="001A7EF0">
      <w:pPr>
        <w:spacing w:line="0" w:lineRule="atLeast"/>
        <w:rPr>
          <w:color w:val="000000" w:themeColor="text1"/>
        </w:rPr>
      </w:pPr>
    </w:p>
    <w:p w14:paraId="36D675FC" w14:textId="77777777" w:rsidR="004579E2" w:rsidRPr="00FA366D" w:rsidRDefault="002969B5" w:rsidP="001A7EF0">
      <w:pPr>
        <w:spacing w:line="0" w:lineRule="atLeast"/>
        <w:rPr>
          <w:color w:val="000000" w:themeColor="text1"/>
        </w:rPr>
      </w:pPr>
      <w:r w:rsidRPr="00FA366D">
        <w:rPr>
          <w:color w:val="000000" w:themeColor="text1"/>
        </w:rPr>
        <w:t>5.3. Click “Save” to export the current acquisition data.</w:t>
      </w:r>
    </w:p>
    <w:p w14:paraId="5C79050F" w14:textId="77777777" w:rsidR="004579E2" w:rsidRPr="00FA366D" w:rsidRDefault="004579E2" w:rsidP="001A7EF0">
      <w:pPr>
        <w:spacing w:line="0" w:lineRule="atLeast"/>
        <w:rPr>
          <w:color w:val="000000" w:themeColor="text1"/>
        </w:rPr>
      </w:pPr>
    </w:p>
    <w:p w14:paraId="29C3F95A" w14:textId="77777777" w:rsidR="004579E2" w:rsidRPr="00FA366D" w:rsidRDefault="002969B5" w:rsidP="001A7EF0">
      <w:pPr>
        <w:spacing w:line="0" w:lineRule="atLeast"/>
        <w:rPr>
          <w:color w:val="000000" w:themeColor="text1"/>
        </w:rPr>
      </w:pPr>
      <w:r w:rsidRPr="00FA366D">
        <w:rPr>
          <w:color w:val="000000" w:themeColor="text1"/>
        </w:rPr>
        <w:t>5.4. Verify that the software automatically creates a directory named “saved_data/YYYY-MM-DD/</w:t>
      </w:r>
      <w:proofErr w:type="spellStart"/>
      <w:r w:rsidRPr="00FA366D">
        <w:rPr>
          <w:color w:val="000000" w:themeColor="text1"/>
        </w:rPr>
        <w:t>acqX</w:t>
      </w:r>
      <w:proofErr w:type="spellEnd"/>
      <w:r w:rsidRPr="00FA366D">
        <w:rPr>
          <w:color w:val="000000" w:themeColor="text1"/>
        </w:rPr>
        <w:t>”, where “YYYY-MM-DD” corresponds to the acquisition date and “</w:t>
      </w:r>
      <w:proofErr w:type="spellStart"/>
      <w:r w:rsidRPr="00FA366D">
        <w:rPr>
          <w:color w:val="000000" w:themeColor="text1"/>
        </w:rPr>
        <w:t>acqX</w:t>
      </w:r>
      <w:proofErr w:type="spellEnd"/>
      <w:r w:rsidRPr="00FA366D">
        <w:rPr>
          <w:color w:val="000000" w:themeColor="text1"/>
        </w:rPr>
        <w:t>” corresponds to the acquisition number for that day.</w:t>
      </w:r>
    </w:p>
    <w:p w14:paraId="5E41B08F" w14:textId="77777777" w:rsidR="004579E2" w:rsidRPr="00FA366D" w:rsidRDefault="004579E2" w:rsidP="001A7EF0">
      <w:pPr>
        <w:spacing w:line="0" w:lineRule="atLeast"/>
        <w:rPr>
          <w:color w:val="000000" w:themeColor="text1"/>
        </w:rPr>
      </w:pPr>
    </w:p>
    <w:p w14:paraId="05D30368" w14:textId="5F30AC08" w:rsidR="0099570D" w:rsidRPr="00FA366D" w:rsidRDefault="001337AC" w:rsidP="001A7EF0">
      <w:pPr>
        <w:spacing w:line="0" w:lineRule="atLeast"/>
        <w:rPr>
          <w:color w:val="000000" w:themeColor="text1"/>
        </w:rPr>
      </w:pPr>
      <w:r w:rsidRPr="00FA366D">
        <w:rPr>
          <w:color w:val="000000" w:themeColor="text1"/>
        </w:rPr>
        <w:t xml:space="preserve">NOTE: The save directory is fixed to “saved_data” and cannot be configured through the GUI. If the destination acquisition folder already exists, an incremental suffix (e.g., acq_2, acq_3) is automatically appended to prevent overwriting. Each acquisition folder contains a screenshot of the GUI and a </w:t>
      </w:r>
      <w:r w:rsidR="00C1341C" w:rsidRPr="00FA366D">
        <w:rPr>
          <w:color w:val="000000" w:themeColor="text1"/>
        </w:rPr>
        <w:t>numerical computing software</w:t>
      </w:r>
      <w:r w:rsidRPr="00FA366D">
        <w:rPr>
          <w:color w:val="000000" w:themeColor="text1"/>
        </w:rPr>
        <w:t xml:space="preserve"> file (buffered_qus_capture.mat) containing the corresponding QUS parameter maps and buffered RF data from the previous 10 frames.</w:t>
      </w:r>
    </w:p>
    <w:p w14:paraId="5FF397CD" w14:textId="77777777" w:rsidR="004579E2" w:rsidRPr="00FA366D" w:rsidRDefault="004579E2" w:rsidP="001A7EF0">
      <w:pPr>
        <w:spacing w:line="0" w:lineRule="atLeast"/>
        <w:rPr>
          <w:color w:val="000000" w:themeColor="text1"/>
        </w:rPr>
      </w:pPr>
    </w:p>
    <w:p w14:paraId="1F137448" w14:textId="77777777" w:rsidR="004579E2" w:rsidRPr="00FA366D" w:rsidRDefault="002969B5" w:rsidP="001A7EF0">
      <w:pPr>
        <w:spacing w:line="0" w:lineRule="atLeast"/>
        <w:rPr>
          <w:color w:val="000000" w:themeColor="text1"/>
        </w:rPr>
      </w:pPr>
      <w:r w:rsidRPr="00FA366D">
        <w:rPr>
          <w:color w:val="000000" w:themeColor="text1"/>
        </w:rPr>
        <w:t>5.5. Verify that a .jpg image of the GUI has been exported to the acquisition directory.</w:t>
      </w:r>
    </w:p>
    <w:p w14:paraId="4860BBB5" w14:textId="77777777" w:rsidR="004579E2" w:rsidRPr="00FA366D" w:rsidRDefault="004579E2" w:rsidP="001A7EF0">
      <w:pPr>
        <w:spacing w:line="0" w:lineRule="atLeast"/>
        <w:rPr>
          <w:color w:val="000000" w:themeColor="text1"/>
        </w:rPr>
      </w:pPr>
    </w:p>
    <w:p w14:paraId="420DE885" w14:textId="77777777" w:rsidR="004579E2" w:rsidRPr="00FA366D" w:rsidRDefault="002969B5" w:rsidP="001A7EF0">
      <w:pPr>
        <w:spacing w:line="0" w:lineRule="atLeast"/>
        <w:rPr>
          <w:color w:val="000000" w:themeColor="text1"/>
        </w:rPr>
      </w:pPr>
      <w:r w:rsidRPr="00FA366D">
        <w:rPr>
          <w:color w:val="000000" w:themeColor="text1"/>
        </w:rPr>
        <w:t>5.6. Verify that a .mat file containing the exported QUS data structures has been exported to the acquisition directory.</w:t>
      </w:r>
    </w:p>
    <w:p w14:paraId="2A9E0106" w14:textId="77777777" w:rsidR="004579E2" w:rsidRPr="00FA366D" w:rsidRDefault="004579E2" w:rsidP="001A7EF0">
      <w:pPr>
        <w:spacing w:line="0" w:lineRule="atLeast"/>
        <w:rPr>
          <w:color w:val="000000" w:themeColor="text1"/>
        </w:rPr>
      </w:pPr>
    </w:p>
    <w:p w14:paraId="0A99FA55" w14:textId="77C762EF" w:rsidR="004579E2" w:rsidRPr="00FA366D" w:rsidRDefault="002969B5" w:rsidP="001A7EF0">
      <w:pPr>
        <w:spacing w:line="0" w:lineRule="atLeast"/>
        <w:rPr>
          <w:color w:val="000000" w:themeColor="text1"/>
        </w:rPr>
      </w:pPr>
      <w:r w:rsidRPr="00FA366D">
        <w:rPr>
          <w:color w:val="000000" w:themeColor="text1"/>
        </w:rPr>
        <w:t xml:space="preserve">5.7. Open the exported .mat file in </w:t>
      </w:r>
      <w:r w:rsidR="00C1341C" w:rsidRPr="00FA366D">
        <w:rPr>
          <w:color w:val="000000" w:themeColor="text1"/>
        </w:rPr>
        <w:t>the numerical computing software</w:t>
      </w:r>
      <w:r w:rsidRPr="00FA366D">
        <w:rPr>
          <w:color w:val="000000" w:themeColor="text1"/>
        </w:rPr>
        <w:t>.</w:t>
      </w:r>
    </w:p>
    <w:p w14:paraId="5025365E" w14:textId="77777777" w:rsidR="004579E2" w:rsidRPr="00FA366D" w:rsidRDefault="004579E2" w:rsidP="001A7EF0">
      <w:pPr>
        <w:spacing w:line="0" w:lineRule="atLeast"/>
        <w:rPr>
          <w:color w:val="000000" w:themeColor="text1"/>
        </w:rPr>
      </w:pPr>
    </w:p>
    <w:p w14:paraId="3EA3836C" w14:textId="77777777" w:rsidR="004579E2" w:rsidRPr="00FA366D" w:rsidRDefault="002969B5" w:rsidP="001A7EF0">
      <w:pPr>
        <w:spacing w:line="0" w:lineRule="atLeast"/>
        <w:rPr>
          <w:color w:val="000000" w:themeColor="text1"/>
        </w:rPr>
      </w:pPr>
      <w:r w:rsidRPr="00FA366D">
        <w:rPr>
          <w:color w:val="000000" w:themeColor="text1"/>
        </w:rPr>
        <w:t>5.8. Verify that the param_struct data structure contains the processing parameters, including the sub-ROI dimensions, processing bandwidth, and assumed speed of sound.</w:t>
      </w:r>
    </w:p>
    <w:p w14:paraId="21F5A6D2" w14:textId="77777777" w:rsidR="004579E2" w:rsidRPr="00FA366D" w:rsidRDefault="004579E2" w:rsidP="001A7EF0">
      <w:pPr>
        <w:spacing w:line="0" w:lineRule="atLeast"/>
        <w:rPr>
          <w:color w:val="000000" w:themeColor="text1"/>
        </w:rPr>
      </w:pPr>
    </w:p>
    <w:p w14:paraId="680D7EEF" w14:textId="77777777" w:rsidR="004579E2" w:rsidRPr="00FA366D" w:rsidRDefault="002969B5" w:rsidP="001A7EF0">
      <w:pPr>
        <w:spacing w:line="0" w:lineRule="atLeast"/>
        <w:rPr>
          <w:color w:val="000000" w:themeColor="text1"/>
        </w:rPr>
      </w:pPr>
      <w:r w:rsidRPr="00FA366D">
        <w:rPr>
          <w:color w:val="000000" w:themeColor="text1"/>
        </w:rPr>
        <w:t>5.9. Verify that the saveBuffer data structure contains the beamformed RF data corresponding to the current frame and the previous nine frames, together with the estimated QUS parameter maps and their spatial locations within the exported B-mode images.</w:t>
      </w:r>
    </w:p>
    <w:p w14:paraId="68CB7CF3" w14:textId="77777777" w:rsidR="004579E2" w:rsidRPr="00FA366D" w:rsidRDefault="004579E2" w:rsidP="001A7EF0">
      <w:pPr>
        <w:spacing w:line="0" w:lineRule="atLeast"/>
        <w:rPr>
          <w:color w:val="000000" w:themeColor="text1"/>
        </w:rPr>
      </w:pPr>
    </w:p>
    <w:p w14:paraId="3E64EB44" w14:textId="462D00BF" w:rsidR="00ED708E" w:rsidRPr="00FA366D" w:rsidRDefault="001337AC" w:rsidP="001A7EF0">
      <w:pPr>
        <w:spacing w:line="0" w:lineRule="atLeast"/>
        <w:rPr>
          <w:color w:val="000000" w:themeColor="text1"/>
        </w:rPr>
      </w:pPr>
      <w:r w:rsidRPr="00FA366D">
        <w:rPr>
          <w:color w:val="000000" w:themeColor="text1"/>
        </w:rPr>
        <w:t>NOTE: The exported MAT-file contains a saveBuffer structure array representing the 10-frame acquisition buffer immediately preceding the save operation. Each element contains the computed QUS results (output), corresponding beamformed RF data (rf), lateral (x, mm) and axial (z, mm) coordinate vectors, and acquisition timestamp (timestamp). The MAT-file also contains a param</w:t>
      </w:r>
      <w:proofErr w:type="gramStart"/>
      <w:r w:rsidRPr="00FA366D">
        <w:rPr>
          <w:color w:val="000000" w:themeColor="text1"/>
        </w:rPr>
        <w:t xml:space="preserve">_struct </w:t>
      </w:r>
      <w:proofErr w:type="gramEnd"/>
      <w:r w:rsidRPr="00FA366D">
        <w:rPr>
          <w:color w:val="000000" w:themeColor="text1"/>
        </w:rPr>
        <w:t>structure storing the processing parameters used for all buffered frames, including the ROI and sub-ROI definitions (</w:t>
      </w:r>
      <w:proofErr w:type="spellStart"/>
      <w:r w:rsidRPr="00FA366D">
        <w:rPr>
          <w:color w:val="000000" w:themeColor="text1"/>
        </w:rPr>
        <w:t>roi</w:t>
      </w:r>
      <w:proofErr w:type="spellEnd"/>
      <w:r w:rsidRPr="00FA366D">
        <w:rPr>
          <w:color w:val="000000" w:themeColor="text1"/>
        </w:rPr>
        <w:t>, m), processing bandwidth (</w:t>
      </w:r>
      <w:proofErr w:type="spellStart"/>
      <w:r w:rsidRPr="00FA366D">
        <w:rPr>
          <w:color w:val="000000" w:themeColor="text1"/>
        </w:rPr>
        <w:t>proc_bw</w:t>
      </w:r>
      <w:proofErr w:type="spellEnd"/>
      <w:r w:rsidRPr="00FA366D">
        <w:rPr>
          <w:color w:val="000000" w:themeColor="text1"/>
        </w:rPr>
        <w:t>, Hz), and speed of sound (c, m/s). Together, these data enable reproduction of QUS parameter estimation from the saved beamformed RF data, as described in Step 6.</w:t>
      </w:r>
    </w:p>
    <w:p w14:paraId="55AF5A6B" w14:textId="77777777" w:rsidR="004579E2" w:rsidRPr="00FA366D" w:rsidRDefault="004579E2" w:rsidP="001A7EF0">
      <w:pPr>
        <w:spacing w:line="0" w:lineRule="atLeast"/>
        <w:rPr>
          <w:color w:val="000000" w:themeColor="text1"/>
        </w:rPr>
      </w:pPr>
    </w:p>
    <w:p w14:paraId="432CA02D" w14:textId="77777777" w:rsidR="004579E2" w:rsidRPr="00FA366D" w:rsidRDefault="002969B5" w:rsidP="001A7EF0">
      <w:pPr>
        <w:spacing w:line="0" w:lineRule="atLeast"/>
        <w:rPr>
          <w:color w:val="000000" w:themeColor="text1"/>
        </w:rPr>
      </w:pPr>
      <w:r w:rsidRPr="00FA366D">
        <w:rPr>
          <w:color w:val="000000" w:themeColor="text1"/>
        </w:rPr>
        <w:t>NOTE: Repeat the acquisition and saving procedure as needed for different imaging regions, acquisition settings, or processing configurations.</w:t>
      </w:r>
    </w:p>
    <w:p w14:paraId="2209A801" w14:textId="77777777" w:rsidR="004579E2" w:rsidRPr="00FA366D" w:rsidRDefault="004579E2" w:rsidP="001A7EF0">
      <w:pPr>
        <w:spacing w:line="0" w:lineRule="atLeast"/>
        <w:rPr>
          <w:color w:val="000000" w:themeColor="text1"/>
        </w:rPr>
      </w:pPr>
    </w:p>
    <w:p w14:paraId="677EF70B" w14:textId="77777777" w:rsidR="004579E2" w:rsidRPr="00FA366D" w:rsidRDefault="002969B5" w:rsidP="001A7EF0">
      <w:pPr>
        <w:spacing w:line="0" w:lineRule="atLeast"/>
        <w:rPr>
          <w:b/>
          <w:bCs/>
          <w:color w:val="000000" w:themeColor="text1"/>
        </w:rPr>
      </w:pPr>
      <w:r w:rsidRPr="009B27A4">
        <w:rPr>
          <w:b/>
          <w:bCs/>
          <w:color w:val="000000" w:themeColor="text1"/>
          <w:highlight w:val="yellow"/>
        </w:rPr>
        <w:t>6. Offline Reprocessing and Visualization</w:t>
      </w:r>
    </w:p>
    <w:p w14:paraId="0CD8422E" w14:textId="77777777" w:rsidR="004579E2" w:rsidRPr="00FA366D" w:rsidRDefault="004579E2" w:rsidP="001A7EF0">
      <w:pPr>
        <w:spacing w:line="0" w:lineRule="atLeast"/>
        <w:rPr>
          <w:color w:val="000000" w:themeColor="text1"/>
        </w:rPr>
      </w:pPr>
    </w:p>
    <w:p w14:paraId="5F6FA8BD" w14:textId="10300C95" w:rsidR="004579E2" w:rsidRPr="009B27A4" w:rsidRDefault="002969B5" w:rsidP="001A7EF0">
      <w:pPr>
        <w:spacing w:line="0" w:lineRule="atLeast"/>
        <w:rPr>
          <w:color w:val="000000" w:themeColor="text1"/>
          <w:highlight w:val="yellow"/>
        </w:rPr>
      </w:pPr>
      <w:r w:rsidRPr="009B27A4">
        <w:rPr>
          <w:color w:val="000000" w:themeColor="text1"/>
          <w:highlight w:val="yellow"/>
        </w:rPr>
        <w:t xml:space="preserve">6.1. Launch </w:t>
      </w:r>
      <w:r w:rsidR="00B56BD7" w:rsidRPr="009B27A4">
        <w:rPr>
          <w:color w:val="000000" w:themeColor="text1"/>
          <w:highlight w:val="yellow"/>
        </w:rPr>
        <w:t>the numerical computing software</w:t>
      </w:r>
      <w:r w:rsidRPr="009B27A4">
        <w:rPr>
          <w:color w:val="000000" w:themeColor="text1"/>
          <w:highlight w:val="yellow"/>
        </w:rPr>
        <w:t xml:space="preserve"> and run the script “load_saved_data.m” to reload previously exported RF data and corresponding QUS parameter maps for offline visualization and reprocessing.</w:t>
      </w:r>
    </w:p>
    <w:p w14:paraId="59A9462E" w14:textId="77777777" w:rsidR="004579E2" w:rsidRPr="009B27A4" w:rsidRDefault="004579E2" w:rsidP="001A7EF0">
      <w:pPr>
        <w:spacing w:line="0" w:lineRule="atLeast"/>
        <w:rPr>
          <w:color w:val="000000" w:themeColor="text1"/>
          <w:highlight w:val="yellow"/>
        </w:rPr>
      </w:pPr>
    </w:p>
    <w:p w14:paraId="4DF645A7" w14:textId="219DF41C" w:rsidR="004579E2" w:rsidRPr="009B27A4" w:rsidRDefault="002969B5" w:rsidP="001A7EF0">
      <w:pPr>
        <w:spacing w:line="0" w:lineRule="atLeast"/>
        <w:rPr>
          <w:color w:val="000000" w:themeColor="text1"/>
          <w:highlight w:val="yellow"/>
        </w:rPr>
      </w:pPr>
      <w:r w:rsidRPr="009B27A4">
        <w:rPr>
          <w:color w:val="000000" w:themeColor="text1"/>
          <w:highlight w:val="yellow"/>
        </w:rPr>
        <w:t xml:space="preserve">6.2. </w:t>
      </w:r>
      <w:r w:rsidR="002129A7" w:rsidRPr="009B27A4">
        <w:rPr>
          <w:color w:val="000000" w:themeColor="text1"/>
          <w:highlight w:val="yellow"/>
        </w:rPr>
        <w:t>Select the desired buffered_qus_capture.mat file from the acquisition directory</w:t>
      </w:r>
      <w:r w:rsidRPr="009B27A4">
        <w:rPr>
          <w:color w:val="000000" w:themeColor="text1"/>
          <w:highlight w:val="yellow"/>
        </w:rPr>
        <w:t xml:space="preserve">. Verify that the script loads the saved beamformed RF frames and corresponding QUS parameter maps into the offline visualization window, as shown in </w:t>
      </w:r>
      <w:r w:rsidRPr="009B27A4">
        <w:rPr>
          <w:b/>
          <w:bCs/>
          <w:color w:val="000000" w:themeColor="text1"/>
          <w:highlight w:val="yellow"/>
        </w:rPr>
        <w:t>Figure 4</w:t>
      </w:r>
      <w:r w:rsidRPr="009B27A4">
        <w:rPr>
          <w:color w:val="000000" w:themeColor="text1"/>
          <w:highlight w:val="yellow"/>
        </w:rPr>
        <w:t>.</w:t>
      </w:r>
    </w:p>
    <w:p w14:paraId="7BDAE391" w14:textId="77777777" w:rsidR="004579E2" w:rsidRPr="009B27A4" w:rsidRDefault="004579E2" w:rsidP="001A7EF0">
      <w:pPr>
        <w:spacing w:line="0" w:lineRule="atLeast"/>
        <w:rPr>
          <w:color w:val="000000" w:themeColor="text1"/>
          <w:highlight w:val="yellow"/>
        </w:rPr>
      </w:pPr>
    </w:p>
    <w:p w14:paraId="175931F5" w14:textId="77777777" w:rsidR="004579E2" w:rsidRPr="009B27A4" w:rsidRDefault="002969B5" w:rsidP="001A7EF0">
      <w:pPr>
        <w:spacing w:line="0" w:lineRule="atLeast"/>
        <w:rPr>
          <w:color w:val="000000" w:themeColor="text1"/>
          <w:highlight w:val="yellow"/>
        </w:rPr>
      </w:pPr>
      <w:r w:rsidRPr="009B27A4">
        <w:rPr>
          <w:color w:val="000000" w:themeColor="text1"/>
          <w:highlight w:val="yellow"/>
        </w:rPr>
        <w:t xml:space="preserve">[Place </w:t>
      </w:r>
      <w:r w:rsidRPr="009B27A4">
        <w:rPr>
          <w:b/>
          <w:bCs/>
          <w:color w:val="000000" w:themeColor="text1"/>
          <w:highlight w:val="yellow"/>
        </w:rPr>
        <w:t>Figure 4</w:t>
      </w:r>
      <w:r w:rsidRPr="009B27A4">
        <w:rPr>
          <w:color w:val="000000" w:themeColor="text1"/>
          <w:highlight w:val="yellow"/>
        </w:rPr>
        <w:t xml:space="preserve"> here.]</w:t>
      </w:r>
    </w:p>
    <w:p w14:paraId="53DE3648" w14:textId="77777777" w:rsidR="004579E2" w:rsidRPr="009B27A4" w:rsidRDefault="004579E2" w:rsidP="001A7EF0">
      <w:pPr>
        <w:spacing w:line="0" w:lineRule="atLeast"/>
        <w:rPr>
          <w:color w:val="000000" w:themeColor="text1"/>
          <w:highlight w:val="yellow"/>
        </w:rPr>
      </w:pPr>
    </w:p>
    <w:p w14:paraId="576F55B5" w14:textId="1754C69A" w:rsidR="00ED708E" w:rsidRPr="009B27A4" w:rsidRDefault="00643B84" w:rsidP="001A7EF0">
      <w:pPr>
        <w:spacing w:line="0" w:lineRule="atLeast"/>
        <w:rPr>
          <w:color w:val="000000" w:themeColor="text1"/>
          <w:highlight w:val="yellow"/>
        </w:rPr>
      </w:pPr>
      <w:r w:rsidRPr="009B27A4">
        <w:rPr>
          <w:color w:val="000000" w:themeColor="text1"/>
          <w:highlight w:val="yellow"/>
        </w:rPr>
        <w:t xml:space="preserve">NOTE: </w:t>
      </w:r>
      <w:r w:rsidR="00BC3720" w:rsidRPr="009B27A4">
        <w:rPr>
          <w:color w:val="000000" w:themeColor="text1"/>
          <w:highlight w:val="yellow"/>
        </w:rPr>
        <w:t xml:space="preserve">No additional software, toolboxes, or external dependencies are required beyond those listed in Step 1.4. The </w:t>
      </w:r>
      <w:r w:rsidR="00BC3720" w:rsidRPr="009B27A4">
        <w:rPr>
          <w:i/>
          <w:iCs/>
          <w:color w:val="000000" w:themeColor="text1"/>
          <w:highlight w:val="yellow"/>
        </w:rPr>
        <w:t>load_saved_data.m</w:t>
      </w:r>
      <w:r w:rsidR="00BC3720" w:rsidRPr="009B27A4">
        <w:rPr>
          <w:color w:val="000000" w:themeColor="text1"/>
          <w:highlight w:val="yellow"/>
        </w:rPr>
        <w:t xml:space="preserve"> script uses the exported MAT-file described in Step 5.9 for offline visualization and reprocessing.</w:t>
      </w:r>
    </w:p>
    <w:p w14:paraId="25A24D33" w14:textId="77777777" w:rsidR="004579E2" w:rsidRPr="009B27A4" w:rsidRDefault="004579E2" w:rsidP="001A7EF0">
      <w:pPr>
        <w:spacing w:line="0" w:lineRule="atLeast"/>
        <w:rPr>
          <w:color w:val="000000" w:themeColor="text1"/>
          <w:highlight w:val="yellow"/>
        </w:rPr>
      </w:pPr>
    </w:p>
    <w:p w14:paraId="5E7865C2" w14:textId="77777777" w:rsidR="004579E2" w:rsidRPr="009B27A4" w:rsidRDefault="002969B5" w:rsidP="001A7EF0">
      <w:pPr>
        <w:spacing w:line="0" w:lineRule="atLeast"/>
        <w:rPr>
          <w:color w:val="000000" w:themeColor="text1"/>
          <w:highlight w:val="yellow"/>
        </w:rPr>
      </w:pPr>
      <w:r w:rsidRPr="009B27A4">
        <w:rPr>
          <w:color w:val="000000" w:themeColor="text1"/>
          <w:highlight w:val="yellow"/>
        </w:rPr>
        <w:t>6.3. Navigate through the saved image sequence using the scrollbar or the “Previous” and “Next” buttons.</w:t>
      </w:r>
    </w:p>
    <w:p w14:paraId="4BE4A136" w14:textId="77777777" w:rsidR="004579E2" w:rsidRPr="009B27A4" w:rsidRDefault="004579E2" w:rsidP="001A7EF0">
      <w:pPr>
        <w:spacing w:line="0" w:lineRule="atLeast"/>
        <w:rPr>
          <w:color w:val="000000" w:themeColor="text1"/>
          <w:highlight w:val="yellow"/>
        </w:rPr>
      </w:pPr>
    </w:p>
    <w:p w14:paraId="1D097760" w14:textId="77777777" w:rsidR="004579E2" w:rsidRPr="009B27A4" w:rsidRDefault="002969B5" w:rsidP="001A7EF0">
      <w:pPr>
        <w:spacing w:line="0" w:lineRule="atLeast"/>
        <w:rPr>
          <w:color w:val="000000" w:themeColor="text1"/>
          <w:highlight w:val="yellow"/>
        </w:rPr>
      </w:pPr>
      <w:r w:rsidRPr="009B27A4">
        <w:rPr>
          <w:color w:val="000000" w:themeColor="text1"/>
          <w:highlight w:val="yellow"/>
        </w:rPr>
        <w:t>6.4. Click “Processing Params” to modify the sub-ROI dimensions and processing bandwidth.</w:t>
      </w:r>
    </w:p>
    <w:p w14:paraId="0F3560CA" w14:textId="77777777" w:rsidR="004579E2" w:rsidRPr="009B27A4" w:rsidRDefault="004579E2" w:rsidP="001A7EF0">
      <w:pPr>
        <w:spacing w:line="0" w:lineRule="atLeast"/>
        <w:rPr>
          <w:color w:val="000000" w:themeColor="text1"/>
          <w:highlight w:val="yellow"/>
        </w:rPr>
      </w:pPr>
    </w:p>
    <w:p w14:paraId="0DCEE0BB" w14:textId="77777777" w:rsidR="004579E2" w:rsidRPr="009B27A4" w:rsidRDefault="002969B5" w:rsidP="001A7EF0">
      <w:pPr>
        <w:spacing w:line="0" w:lineRule="atLeast"/>
        <w:rPr>
          <w:color w:val="000000" w:themeColor="text1"/>
          <w:highlight w:val="yellow"/>
        </w:rPr>
      </w:pPr>
      <w:r w:rsidRPr="009B27A4">
        <w:rPr>
          <w:color w:val="000000" w:themeColor="text1"/>
          <w:highlight w:val="yellow"/>
        </w:rPr>
        <w:t>6.5. Click “Select ROI” to redefine the ROI.</w:t>
      </w:r>
    </w:p>
    <w:p w14:paraId="54901403" w14:textId="77777777" w:rsidR="004579E2" w:rsidRPr="009B27A4" w:rsidRDefault="004579E2" w:rsidP="001A7EF0">
      <w:pPr>
        <w:spacing w:line="0" w:lineRule="atLeast"/>
        <w:rPr>
          <w:color w:val="000000" w:themeColor="text1"/>
          <w:highlight w:val="yellow"/>
        </w:rPr>
      </w:pPr>
    </w:p>
    <w:p w14:paraId="365CAC21" w14:textId="0848E982" w:rsidR="004579E2" w:rsidRPr="009B27A4" w:rsidRDefault="002969B5" w:rsidP="001A7EF0">
      <w:pPr>
        <w:spacing w:line="0" w:lineRule="atLeast"/>
        <w:rPr>
          <w:color w:val="000000" w:themeColor="text1"/>
          <w:highlight w:val="yellow"/>
        </w:rPr>
      </w:pPr>
      <w:r w:rsidRPr="009B27A4">
        <w:rPr>
          <w:color w:val="000000" w:themeColor="text1"/>
          <w:highlight w:val="yellow"/>
        </w:rPr>
        <w:t xml:space="preserve">6.6. Click “Recompute </w:t>
      </w:r>
      <w:r w:rsidR="00D22FA9" w:rsidRPr="009B27A4">
        <w:rPr>
          <w:color w:val="000000" w:themeColor="text1"/>
          <w:highlight w:val="yellow"/>
        </w:rPr>
        <w:t>Frame</w:t>
      </w:r>
      <w:r w:rsidRPr="009B27A4">
        <w:rPr>
          <w:color w:val="000000" w:themeColor="text1"/>
          <w:highlight w:val="yellow"/>
        </w:rPr>
        <w:t xml:space="preserve">” to recompute the QUS parameter maps </w:t>
      </w:r>
      <w:r w:rsidR="00555F2D" w:rsidRPr="009B27A4">
        <w:rPr>
          <w:color w:val="000000" w:themeColor="text1"/>
          <w:highlight w:val="yellow"/>
        </w:rPr>
        <w:t>for the current</w:t>
      </w:r>
      <w:r w:rsidRPr="009B27A4">
        <w:rPr>
          <w:color w:val="000000" w:themeColor="text1"/>
          <w:highlight w:val="yellow"/>
        </w:rPr>
        <w:t xml:space="preserve"> frame using the updated processing parameters and ROI.</w:t>
      </w:r>
    </w:p>
    <w:p w14:paraId="1C443D31" w14:textId="77777777" w:rsidR="004579E2" w:rsidRPr="009B27A4" w:rsidRDefault="004579E2" w:rsidP="001A7EF0">
      <w:pPr>
        <w:spacing w:line="0" w:lineRule="atLeast"/>
        <w:rPr>
          <w:color w:val="000000" w:themeColor="text1"/>
          <w:highlight w:val="yellow"/>
        </w:rPr>
      </w:pPr>
    </w:p>
    <w:p w14:paraId="56807316" w14:textId="6562D271" w:rsidR="003959F7" w:rsidRPr="009B27A4" w:rsidRDefault="00643B84" w:rsidP="001A7EF0">
      <w:pPr>
        <w:spacing w:line="0" w:lineRule="atLeast"/>
        <w:rPr>
          <w:color w:val="000000" w:themeColor="text1"/>
          <w:highlight w:val="yellow"/>
        </w:rPr>
      </w:pPr>
      <w:r w:rsidRPr="009B27A4">
        <w:rPr>
          <w:color w:val="000000" w:themeColor="text1"/>
          <w:highlight w:val="yellow"/>
        </w:rPr>
        <w:t xml:space="preserve">NOTE: Offline recomputation does not overwrite the original saved data. The original saveBuffer remains unchanged, and the recomputed QUS parameter maps are stored only in the </w:t>
      </w:r>
      <w:r w:rsidR="00B56BD7" w:rsidRPr="009B27A4">
        <w:rPr>
          <w:color w:val="000000" w:themeColor="text1"/>
          <w:highlight w:val="yellow"/>
        </w:rPr>
        <w:t xml:space="preserve">numerical computing software </w:t>
      </w:r>
      <w:r w:rsidRPr="009B27A4">
        <w:rPr>
          <w:color w:val="000000" w:themeColor="text1"/>
          <w:highlight w:val="yellow"/>
        </w:rPr>
        <w:t>workspace unless they are explicitly saved as a new dataset.</w:t>
      </w:r>
    </w:p>
    <w:p w14:paraId="0095B9DB" w14:textId="77777777" w:rsidR="004579E2" w:rsidRPr="009B27A4" w:rsidRDefault="004579E2" w:rsidP="001A7EF0">
      <w:pPr>
        <w:spacing w:line="0" w:lineRule="atLeast"/>
        <w:rPr>
          <w:color w:val="000000" w:themeColor="text1"/>
          <w:highlight w:val="yellow"/>
        </w:rPr>
      </w:pPr>
    </w:p>
    <w:p w14:paraId="0B07C5F4" w14:textId="77777777" w:rsidR="004579E2" w:rsidRPr="009B27A4" w:rsidRDefault="002969B5" w:rsidP="001A7EF0">
      <w:pPr>
        <w:spacing w:line="0" w:lineRule="atLeast"/>
        <w:rPr>
          <w:color w:val="000000" w:themeColor="text1"/>
          <w:highlight w:val="yellow"/>
        </w:rPr>
      </w:pPr>
      <w:r w:rsidRPr="009B27A4">
        <w:rPr>
          <w:color w:val="000000" w:themeColor="text1"/>
          <w:highlight w:val="yellow"/>
        </w:rPr>
        <w:t>6.7. Click “Set Limits” to adjust the color scale of the displayed QUS parameter map during offline review.</w:t>
      </w:r>
    </w:p>
    <w:p w14:paraId="4441D3E1" w14:textId="77777777" w:rsidR="004579E2" w:rsidRPr="009B27A4" w:rsidRDefault="004579E2" w:rsidP="001A7EF0">
      <w:pPr>
        <w:spacing w:line="0" w:lineRule="atLeast"/>
        <w:rPr>
          <w:color w:val="000000" w:themeColor="text1"/>
          <w:highlight w:val="yellow"/>
        </w:rPr>
      </w:pPr>
    </w:p>
    <w:p w14:paraId="2C6A2CB6" w14:textId="77777777" w:rsidR="004579E2" w:rsidRPr="009B27A4" w:rsidRDefault="002969B5" w:rsidP="001A7EF0">
      <w:pPr>
        <w:spacing w:line="0" w:lineRule="atLeast"/>
        <w:rPr>
          <w:color w:val="000000" w:themeColor="text1"/>
          <w:highlight w:val="yellow"/>
        </w:rPr>
      </w:pPr>
      <w:r w:rsidRPr="009B27A4">
        <w:rPr>
          <w:color w:val="000000" w:themeColor="text1"/>
          <w:highlight w:val="yellow"/>
        </w:rPr>
        <w:t>6.8. Enter the desired minimum and maximum values for the selected parameter to update the displayed color scale.</w:t>
      </w:r>
    </w:p>
    <w:p w14:paraId="004217EA" w14:textId="77777777" w:rsidR="004579E2" w:rsidRPr="009B27A4" w:rsidRDefault="004579E2" w:rsidP="001A7EF0">
      <w:pPr>
        <w:spacing w:line="0" w:lineRule="atLeast"/>
        <w:rPr>
          <w:color w:val="000000" w:themeColor="text1"/>
          <w:highlight w:val="yellow"/>
        </w:rPr>
      </w:pPr>
    </w:p>
    <w:p w14:paraId="7722119D" w14:textId="76B84983" w:rsidR="003959F7" w:rsidRPr="00FA366D" w:rsidRDefault="002E6F7E" w:rsidP="001A7EF0">
      <w:pPr>
        <w:spacing w:line="0" w:lineRule="atLeast"/>
        <w:rPr>
          <w:color w:val="000000" w:themeColor="text1"/>
        </w:rPr>
      </w:pPr>
      <w:r w:rsidRPr="009B27A4">
        <w:rPr>
          <w:color w:val="000000" w:themeColor="text1"/>
          <w:highlight w:val="yellow"/>
        </w:rPr>
        <w:t>NOTE: Color scale adjustments apply only to the current offline visualization session and are not saved with the recomputed results. When the offline viewer is reopened, the default display limits are restored unless they are adjusted again.</w:t>
      </w:r>
    </w:p>
    <w:p w14:paraId="2BF7990E" w14:textId="77777777" w:rsidR="004579E2" w:rsidRPr="00FA366D" w:rsidRDefault="004579E2" w:rsidP="001A7EF0">
      <w:pPr>
        <w:spacing w:line="0" w:lineRule="atLeast"/>
        <w:rPr>
          <w:color w:val="000000" w:themeColor="text1"/>
        </w:rPr>
      </w:pPr>
    </w:p>
    <w:p w14:paraId="32FFFD3C" w14:textId="77777777" w:rsidR="00263167" w:rsidRPr="00FA366D" w:rsidRDefault="002969B5" w:rsidP="001A7EF0">
      <w:pPr>
        <w:spacing w:line="0" w:lineRule="atLeast"/>
        <w:rPr>
          <w:b/>
          <w:bCs/>
          <w:color w:val="000000" w:themeColor="text1"/>
        </w:rPr>
      </w:pPr>
      <w:r w:rsidRPr="00FA366D">
        <w:rPr>
          <w:b/>
          <w:bCs/>
          <w:color w:val="000000" w:themeColor="text1"/>
        </w:rPr>
        <w:t>RESULTS:</w:t>
      </w:r>
    </w:p>
    <w:p w14:paraId="21A2C1B0" w14:textId="77777777" w:rsidR="00263167" w:rsidRPr="00FA366D" w:rsidRDefault="002969B5" w:rsidP="001A7EF0">
      <w:pPr>
        <w:spacing w:line="0" w:lineRule="atLeast"/>
        <w:rPr>
          <w:b/>
          <w:bCs/>
          <w:color w:val="000000" w:themeColor="text1"/>
        </w:rPr>
      </w:pPr>
      <w:r w:rsidRPr="00FA366D">
        <w:rPr>
          <w:b/>
          <w:bCs/>
          <w:color w:val="000000" w:themeColor="text1"/>
        </w:rPr>
        <w:t>BSC validation using tissue-mimicking phantoms</w:t>
      </w:r>
    </w:p>
    <w:p w14:paraId="7BED3D13" w14:textId="2EDDD613" w:rsidR="00263167" w:rsidRPr="00FA366D" w:rsidRDefault="002969B5" w:rsidP="001A7EF0">
      <w:pPr>
        <w:spacing w:line="0" w:lineRule="atLeast"/>
        <w:rPr>
          <w:color w:val="000000" w:themeColor="text1"/>
        </w:rPr>
      </w:pPr>
      <w:r w:rsidRPr="00FA366D">
        <w:rPr>
          <w:color w:val="000000" w:themeColor="text1"/>
        </w:rPr>
        <w:t xml:space="preserve">To validate the BSC-based QUS processing pipeline, BSC estimation was performed using an agar-based tissue-mimicking phantom containing 60 μm diameter borosilicate glass beads as the sample phantom and an agar-based phantom containing 18 μm diameter borosilicate glass beads as the reference phantom. These phantoms were selected because their scatterer size, material properties, and acoustic properties had been independently characterized, enabling comparison between experimentally estimated BSC values and theoretical BSC predictions. The structural and acoustic properties of both phantoms were known </w:t>
      </w:r>
      <w:r w:rsidRPr="00FA366D">
        <w:rPr>
          <w:i/>
          <w:iCs/>
          <w:color w:val="000000" w:themeColor="text1"/>
        </w:rPr>
        <w:t>a priori</w:t>
      </w:r>
      <w:r w:rsidRPr="00FA366D">
        <w:rPr>
          <w:color w:val="000000" w:themeColor="text1"/>
        </w:rPr>
        <w:t>. The attenuation properties of the 18 μm reference phantom consisted of an attenuation coefficient of 0.</w:t>
      </w:r>
      <w:r w:rsidR="00F830A8" w:rsidRPr="00FA366D">
        <w:rPr>
          <w:color w:val="000000" w:themeColor="text1"/>
        </w:rPr>
        <w:t>02</w:t>
      </w:r>
      <w:r w:rsidR="00131F8B" w:rsidRPr="00FA366D">
        <w:rPr>
          <w:color w:val="000000" w:themeColor="text1"/>
        </w:rPr>
        <w:t>8</w:t>
      </w:r>
      <w:r w:rsidRPr="00FA366D">
        <w:rPr>
          <w:color w:val="000000" w:themeColor="text1"/>
        </w:rPr>
        <w:t xml:space="preserve"> dB/cm/MHz</w:t>
      </w:r>
      <w:r w:rsidR="00131F8B" w:rsidRPr="00FA366D">
        <w:rPr>
          <w:color w:val="000000" w:themeColor="text1"/>
          <w:vertAlign w:val="superscript"/>
        </w:rPr>
        <w:t>1.862</w:t>
      </w:r>
      <w:r w:rsidRPr="00FA366D">
        <w:rPr>
          <w:color w:val="000000" w:themeColor="text1"/>
        </w:rPr>
        <w:t xml:space="preserve"> and </w:t>
      </w:r>
      <w:r w:rsidR="0027253D" w:rsidRPr="00FA366D">
        <w:rPr>
          <w:color w:val="000000" w:themeColor="text1"/>
        </w:rPr>
        <w:t>exponent</w:t>
      </w:r>
      <w:r w:rsidR="00B053DD" w:rsidRPr="00FA366D">
        <w:rPr>
          <w:color w:val="000000" w:themeColor="text1"/>
        </w:rPr>
        <w:t xml:space="preserve"> of 1.862</w:t>
      </w:r>
      <w:r w:rsidR="009C1ABC" w:rsidRPr="00FA366D">
        <w:rPr>
          <w:color w:val="000000" w:themeColor="text1"/>
        </w:rPr>
        <w:t xml:space="preserve">, as </w:t>
      </w:r>
      <w:r w:rsidR="007A265E" w:rsidRPr="00FA366D">
        <w:rPr>
          <w:color w:val="000000" w:themeColor="text1"/>
        </w:rPr>
        <w:t>reported</w:t>
      </w:r>
      <w:r w:rsidR="009C1ABC" w:rsidRPr="00FA366D">
        <w:rPr>
          <w:color w:val="000000" w:themeColor="text1"/>
        </w:rPr>
        <w:t xml:space="preserve"> in </w:t>
      </w:r>
      <w:r w:rsidR="00F32630" w:rsidRPr="00FA366D">
        <w:rPr>
          <w:color w:val="000000" w:themeColor="text1"/>
        </w:rPr>
        <w:t xml:space="preserve">Rohrbach et. </w:t>
      </w:r>
      <w:r w:rsidR="00444637" w:rsidRPr="00FA366D">
        <w:rPr>
          <w:color w:val="000000" w:themeColor="text1"/>
        </w:rPr>
        <w:t>a</w:t>
      </w:r>
      <w:r w:rsidR="00F32630" w:rsidRPr="00FA366D">
        <w:rPr>
          <w:color w:val="000000" w:themeColor="text1"/>
        </w:rPr>
        <w:t>l</w:t>
      </w:r>
      <w:r w:rsidR="00696C3E">
        <w:rPr>
          <w:color w:val="000000" w:themeColor="text1"/>
        </w:rPr>
        <w:t>.</w:t>
      </w:r>
      <w:r w:rsidR="00444637" w:rsidRPr="00FA366D">
        <w:rPr>
          <w:color w:val="000000" w:themeColor="text1"/>
          <w:vertAlign w:val="superscript"/>
        </w:rPr>
        <w:t>8</w:t>
      </w:r>
      <w:r w:rsidRPr="00FA366D">
        <w:rPr>
          <w:color w:val="000000" w:themeColor="text1"/>
        </w:rPr>
        <w:t xml:space="preserve">. </w:t>
      </w:r>
      <w:r w:rsidR="00AE752D" w:rsidRPr="00FA366D">
        <w:rPr>
          <w:color w:val="000000" w:themeColor="text1"/>
        </w:rPr>
        <w:t>T</w:t>
      </w:r>
      <w:r w:rsidRPr="00FA366D">
        <w:rPr>
          <w:color w:val="000000" w:themeColor="text1"/>
        </w:rPr>
        <w:t xml:space="preserve">he 60 μm </w:t>
      </w:r>
      <w:proofErr w:type="gramStart"/>
      <w:r w:rsidRPr="00FA366D">
        <w:rPr>
          <w:color w:val="000000" w:themeColor="text1"/>
        </w:rPr>
        <w:t>phantom</w:t>
      </w:r>
      <w:proofErr w:type="gramEnd"/>
      <w:r w:rsidRPr="00FA366D">
        <w:rPr>
          <w:color w:val="000000" w:themeColor="text1"/>
        </w:rPr>
        <w:t xml:space="preserve"> had an attenuation coefficient of 0.</w:t>
      </w:r>
      <w:r w:rsidR="00B053DD" w:rsidRPr="00FA366D">
        <w:rPr>
          <w:color w:val="000000" w:themeColor="text1"/>
        </w:rPr>
        <w:t>34</w:t>
      </w:r>
      <w:r w:rsidRPr="00FA366D">
        <w:rPr>
          <w:color w:val="000000" w:themeColor="text1"/>
        </w:rPr>
        <w:t xml:space="preserve"> dB/cm/MHz and an attenuation intercept of −0.</w:t>
      </w:r>
      <w:r w:rsidR="00871FAF" w:rsidRPr="00FA366D">
        <w:rPr>
          <w:color w:val="000000" w:themeColor="text1"/>
        </w:rPr>
        <w:t>8</w:t>
      </w:r>
      <w:r w:rsidRPr="00FA366D">
        <w:rPr>
          <w:color w:val="000000" w:themeColor="text1"/>
        </w:rPr>
        <w:t xml:space="preserve"> dB/cm </w:t>
      </w:r>
      <w:r w:rsidR="00871FAF" w:rsidRPr="00FA366D">
        <w:rPr>
          <w:color w:val="000000" w:themeColor="text1"/>
        </w:rPr>
        <w:t>over the 3.5–6 MHz processing bandwidth</w:t>
      </w:r>
      <w:r w:rsidRPr="00FA366D">
        <w:rPr>
          <w:color w:val="000000" w:themeColor="text1"/>
        </w:rPr>
        <w:t>.</w:t>
      </w:r>
    </w:p>
    <w:p w14:paraId="574CEE53" w14:textId="77777777" w:rsidR="00263167" w:rsidRPr="00FA366D" w:rsidRDefault="00263167" w:rsidP="001A7EF0">
      <w:pPr>
        <w:spacing w:line="0" w:lineRule="atLeast"/>
        <w:rPr>
          <w:color w:val="000000" w:themeColor="text1"/>
        </w:rPr>
      </w:pPr>
    </w:p>
    <w:p w14:paraId="3D5FB9B3" w14:textId="7538D37B" w:rsidR="00263167" w:rsidRPr="00FA366D" w:rsidRDefault="002969B5" w:rsidP="001A7EF0">
      <w:pPr>
        <w:spacing w:line="0" w:lineRule="atLeast"/>
        <w:rPr>
          <w:color w:val="000000" w:themeColor="text1"/>
        </w:rPr>
      </w:pPr>
      <w:r w:rsidRPr="00FA366D">
        <w:rPr>
          <w:color w:val="000000" w:themeColor="text1"/>
        </w:rPr>
        <w:t xml:space="preserve">BSC estimation was performed using the reference phantom method, as described in Step 4.3, for both PW and FW acquisition RF data with the focal depth fixed at 20 mm, as shown in </w:t>
      </w:r>
      <w:r w:rsidRPr="00FA366D">
        <w:rPr>
          <w:b/>
          <w:bCs/>
          <w:color w:val="000000" w:themeColor="text1"/>
        </w:rPr>
        <w:t>Figure 5A–D</w:t>
      </w:r>
      <w:r w:rsidRPr="00FA366D">
        <w:rPr>
          <w:color w:val="000000" w:themeColor="text1"/>
        </w:rPr>
        <w:t xml:space="preserve">. The theoretical BSC of the 60 μm phantom was computed using Faran scattering theory with the following borosilicate glass bead acoustic and mechanical properties: speed of sound of 5460 m/s, mass density of 2.5 g/cm³, and Poisson’s ratio of 0.2. </w:t>
      </w:r>
      <w:r w:rsidR="006E63E9" w:rsidRPr="00FA366D">
        <w:rPr>
          <w:color w:val="000000" w:themeColor="text1"/>
        </w:rPr>
        <w:t xml:space="preserve">Analysis was performed within a 30 mm × 15 mm ROI </w:t>
      </w:r>
      <w:r w:rsidRPr="00FA366D">
        <w:rPr>
          <w:color w:val="000000" w:themeColor="text1"/>
        </w:rPr>
        <w:t xml:space="preserve">subdivided into 5 mm × 3 mm sliding sub-ROIs, as shown in </w:t>
      </w:r>
      <w:r w:rsidRPr="00FA366D">
        <w:rPr>
          <w:b/>
          <w:bCs/>
          <w:color w:val="000000" w:themeColor="text1"/>
        </w:rPr>
        <w:t>Figure 5A–D</w:t>
      </w:r>
      <w:r w:rsidRPr="00FA366D">
        <w:rPr>
          <w:color w:val="000000" w:themeColor="text1"/>
        </w:rPr>
        <w:t xml:space="preserve">. </w:t>
      </w:r>
      <w:r w:rsidRPr="00FA366D">
        <w:rPr>
          <w:b/>
          <w:bCs/>
          <w:color w:val="000000" w:themeColor="text1"/>
        </w:rPr>
        <w:t>Figure 5E</w:t>
      </w:r>
      <w:r w:rsidRPr="00FA366D">
        <w:rPr>
          <w:color w:val="000000" w:themeColor="text1"/>
        </w:rPr>
        <w:t xml:space="preserve"> shows the estimated BSC curves for the 60 μm </w:t>
      </w:r>
      <w:proofErr w:type="gramStart"/>
      <w:r w:rsidRPr="00FA366D">
        <w:rPr>
          <w:color w:val="000000" w:themeColor="text1"/>
        </w:rPr>
        <w:t>phantom</w:t>
      </w:r>
      <w:proofErr w:type="gramEnd"/>
      <w:r w:rsidRPr="00FA366D">
        <w:rPr>
          <w:color w:val="000000" w:themeColor="text1"/>
        </w:rPr>
        <w:t xml:space="preserve"> averaged over the entire ROI using a single frame for both PW and FW acquisition modes, together with the theoretical BSC. At the mid-band frequency of 4.75 MHz, the estimated BSC using PW acquisition was </w:t>
      </w:r>
      <w:r w:rsidR="004907F3" w:rsidRPr="00FA366D">
        <w:rPr>
          <w:color w:val="000000" w:themeColor="text1"/>
        </w:rPr>
        <w:t>−</w:t>
      </w:r>
      <w:r w:rsidR="00D45058" w:rsidRPr="00FA366D">
        <w:rPr>
          <w:color w:val="000000" w:themeColor="text1"/>
        </w:rPr>
        <w:t>0.43</w:t>
      </w:r>
      <w:r w:rsidRPr="00FA366D">
        <w:rPr>
          <w:color w:val="000000" w:themeColor="text1"/>
        </w:rPr>
        <w:t xml:space="preserve"> ± 1.60 dB/m/sr, whereas FW acquisition yielded a mean BSC of </w:t>
      </w:r>
      <w:r w:rsidR="004907F3" w:rsidRPr="00FA366D">
        <w:rPr>
          <w:color w:val="000000" w:themeColor="text1"/>
        </w:rPr>
        <w:t>−</w:t>
      </w:r>
      <w:r w:rsidR="00261B1D" w:rsidRPr="00FA366D">
        <w:rPr>
          <w:color w:val="000000" w:themeColor="text1"/>
        </w:rPr>
        <w:t>0</w:t>
      </w:r>
      <w:r w:rsidRPr="00FA366D">
        <w:rPr>
          <w:color w:val="000000" w:themeColor="text1"/>
        </w:rPr>
        <w:t>.</w:t>
      </w:r>
      <w:r w:rsidR="00261B1D" w:rsidRPr="00FA366D">
        <w:rPr>
          <w:color w:val="000000" w:themeColor="text1"/>
        </w:rPr>
        <w:t>80</w:t>
      </w:r>
      <w:r w:rsidRPr="00FA366D">
        <w:rPr>
          <w:color w:val="000000" w:themeColor="text1"/>
        </w:rPr>
        <w:t xml:space="preserve"> ± 1.2</w:t>
      </w:r>
      <w:r w:rsidR="00261B1D" w:rsidRPr="00FA366D">
        <w:rPr>
          <w:color w:val="000000" w:themeColor="text1"/>
        </w:rPr>
        <w:t>6</w:t>
      </w:r>
      <w:r w:rsidRPr="00FA366D">
        <w:rPr>
          <w:color w:val="000000" w:themeColor="text1"/>
        </w:rPr>
        <w:t xml:space="preserve"> dB/m/sr. </w:t>
      </w:r>
      <w:r w:rsidRPr="00FA366D">
        <w:rPr>
          <w:b/>
          <w:bCs/>
          <w:color w:val="000000" w:themeColor="text1"/>
        </w:rPr>
        <w:t>Figure 5F</w:t>
      </w:r>
      <w:r w:rsidRPr="00FA366D">
        <w:rPr>
          <w:color w:val="000000" w:themeColor="text1"/>
        </w:rPr>
        <w:t xml:space="preserve"> shows the estimated BSC curves averaged over 20 frames for both acquisition modes. Averaging over 20 frames reduced the variance of the estimated BSC curves and improved agreement with </w:t>
      </w:r>
      <w:r w:rsidRPr="00FA366D">
        <w:rPr>
          <w:color w:val="000000" w:themeColor="text1"/>
        </w:rPr>
        <w:lastRenderedPageBreak/>
        <w:t xml:space="preserve">the theoretical BSC. At 4.75 MHz, the estimated mean BSC using PW acquisition increased to </w:t>
      </w:r>
      <w:r w:rsidR="004907F3" w:rsidRPr="00FA366D">
        <w:rPr>
          <w:color w:val="000000" w:themeColor="text1"/>
        </w:rPr>
        <w:t>−</w:t>
      </w:r>
      <w:r w:rsidR="009561DC" w:rsidRPr="00FA366D">
        <w:rPr>
          <w:color w:val="000000" w:themeColor="text1"/>
        </w:rPr>
        <w:t>0</w:t>
      </w:r>
      <w:r w:rsidRPr="00FA366D">
        <w:rPr>
          <w:color w:val="000000" w:themeColor="text1"/>
        </w:rPr>
        <w:t>.</w:t>
      </w:r>
      <w:r w:rsidR="009561DC" w:rsidRPr="00FA366D">
        <w:rPr>
          <w:color w:val="000000" w:themeColor="text1"/>
        </w:rPr>
        <w:t>25</w:t>
      </w:r>
      <w:r w:rsidRPr="00FA366D">
        <w:rPr>
          <w:color w:val="000000" w:themeColor="text1"/>
        </w:rPr>
        <w:t xml:space="preserve"> ± 0.5</w:t>
      </w:r>
      <w:r w:rsidR="009561DC" w:rsidRPr="00FA366D">
        <w:rPr>
          <w:color w:val="000000" w:themeColor="text1"/>
        </w:rPr>
        <w:t>2</w:t>
      </w:r>
      <w:r w:rsidRPr="00FA366D">
        <w:rPr>
          <w:color w:val="000000" w:themeColor="text1"/>
        </w:rPr>
        <w:t xml:space="preserve"> dB/m/sr, whereas FW acquisition yielded a mean BSC of </w:t>
      </w:r>
      <w:r w:rsidR="004907F3" w:rsidRPr="00FA366D">
        <w:rPr>
          <w:color w:val="000000" w:themeColor="text1"/>
        </w:rPr>
        <w:t>−</w:t>
      </w:r>
      <w:r w:rsidRPr="00FA366D">
        <w:rPr>
          <w:color w:val="000000" w:themeColor="text1"/>
        </w:rPr>
        <w:t>0.</w:t>
      </w:r>
      <w:r w:rsidR="009561DC" w:rsidRPr="00FA366D">
        <w:rPr>
          <w:color w:val="000000" w:themeColor="text1"/>
        </w:rPr>
        <w:t>01</w:t>
      </w:r>
      <w:r w:rsidRPr="00FA366D">
        <w:rPr>
          <w:color w:val="000000" w:themeColor="text1"/>
        </w:rPr>
        <w:t xml:space="preserve"> ± 0.5</w:t>
      </w:r>
      <w:r w:rsidR="009561DC" w:rsidRPr="00FA366D">
        <w:rPr>
          <w:color w:val="000000" w:themeColor="text1"/>
        </w:rPr>
        <w:t>1</w:t>
      </w:r>
      <w:r w:rsidRPr="00FA366D">
        <w:rPr>
          <w:color w:val="000000" w:themeColor="text1"/>
        </w:rPr>
        <w:t xml:space="preserve"> dB/m/sr. The theoretical BSC at 4.75 MHz calculated using Faran scattering theory was </w:t>
      </w:r>
      <w:r w:rsidR="00F62D51" w:rsidRPr="00FA366D">
        <w:rPr>
          <w:color w:val="000000" w:themeColor="text1"/>
        </w:rPr>
        <w:t>-0.15</w:t>
      </w:r>
      <w:r w:rsidRPr="00FA366D">
        <w:rPr>
          <w:color w:val="000000" w:themeColor="text1"/>
        </w:rPr>
        <w:t xml:space="preserve"> dB/m/sr. The close agreement between the estimated and theoretical BSC values at the mid-band frequency under both single-frame and 20-frame averaging conditions demonstrates that the pipeline generated BSC estimates consistent with the theoretical predictions.</w:t>
      </w:r>
    </w:p>
    <w:p w14:paraId="1C63CFD0" w14:textId="77777777" w:rsidR="00263167" w:rsidRPr="00FA366D" w:rsidRDefault="00263167" w:rsidP="001A7EF0">
      <w:pPr>
        <w:spacing w:line="0" w:lineRule="atLeast"/>
        <w:rPr>
          <w:color w:val="000000" w:themeColor="text1"/>
        </w:rPr>
      </w:pPr>
    </w:p>
    <w:p w14:paraId="3C28127D" w14:textId="77777777" w:rsidR="00263167"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Figure 5</w:t>
      </w:r>
      <w:r w:rsidRPr="00FA366D">
        <w:rPr>
          <w:color w:val="000000" w:themeColor="text1"/>
        </w:rPr>
        <w:t xml:space="preserve"> here.]</w:t>
      </w:r>
    </w:p>
    <w:p w14:paraId="685A1A87" w14:textId="77777777" w:rsidR="00263167" w:rsidRPr="00FA366D" w:rsidRDefault="00263167" w:rsidP="001A7EF0">
      <w:pPr>
        <w:spacing w:line="0" w:lineRule="atLeast"/>
        <w:rPr>
          <w:color w:val="000000" w:themeColor="text1"/>
        </w:rPr>
      </w:pPr>
    </w:p>
    <w:p w14:paraId="63B89411" w14:textId="77777777" w:rsidR="00263167" w:rsidRPr="00FA366D" w:rsidRDefault="002969B5" w:rsidP="001A7EF0">
      <w:pPr>
        <w:spacing w:line="0" w:lineRule="atLeast"/>
        <w:rPr>
          <w:color w:val="000000" w:themeColor="text1"/>
        </w:rPr>
      </w:pPr>
      <w:r w:rsidRPr="00FA366D">
        <w:rPr>
          <w:color w:val="000000" w:themeColor="text1"/>
        </w:rPr>
        <w:t xml:space="preserve">To further evaluate the BSC-based parameter estimation, Gaussian scattering model fitting and linear fitting were applied to the estimated BSC curves for both acquisition modes to obtain the ESD, EAC, SS, I0, and MBF. The estimated parameters, averaged over the entire ROI, are summarized in </w:t>
      </w:r>
      <w:r w:rsidRPr="00FA366D">
        <w:rPr>
          <w:b/>
          <w:bCs/>
          <w:color w:val="000000" w:themeColor="text1"/>
        </w:rPr>
        <w:t>Table 1</w:t>
      </w:r>
      <w:r w:rsidRPr="00FA366D">
        <w:rPr>
          <w:color w:val="000000" w:themeColor="text1"/>
        </w:rPr>
        <w:t xml:space="preserve"> for both single-frame and 20-frame averaging. The expected model parameters, obtained by applying the same fitting procedures to the theoretical Faran BSC curve, are presented in the final row of </w:t>
      </w:r>
      <w:r w:rsidRPr="00FA366D">
        <w:rPr>
          <w:b/>
          <w:bCs/>
          <w:color w:val="000000" w:themeColor="text1"/>
        </w:rPr>
        <w:t>Table 1</w:t>
      </w:r>
      <w:r w:rsidRPr="00FA366D">
        <w:rPr>
          <w:color w:val="000000" w:themeColor="text1"/>
        </w:rPr>
        <w:t>.</w:t>
      </w:r>
    </w:p>
    <w:p w14:paraId="3B154703" w14:textId="77777777" w:rsidR="00263167" w:rsidRPr="00FA366D" w:rsidRDefault="00263167" w:rsidP="001A7EF0">
      <w:pPr>
        <w:spacing w:line="0" w:lineRule="atLeast"/>
        <w:rPr>
          <w:color w:val="000000" w:themeColor="text1"/>
        </w:rPr>
      </w:pPr>
    </w:p>
    <w:p w14:paraId="3A521B14" w14:textId="77777777" w:rsidR="00263167"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Table 1</w:t>
      </w:r>
      <w:r w:rsidRPr="00FA366D">
        <w:rPr>
          <w:color w:val="000000" w:themeColor="text1"/>
        </w:rPr>
        <w:t xml:space="preserve"> here.]</w:t>
      </w:r>
    </w:p>
    <w:p w14:paraId="7AE591B3" w14:textId="77777777" w:rsidR="00263167" w:rsidRPr="00FA366D" w:rsidRDefault="00263167" w:rsidP="001A7EF0">
      <w:pPr>
        <w:spacing w:line="0" w:lineRule="atLeast"/>
        <w:rPr>
          <w:color w:val="000000" w:themeColor="text1"/>
        </w:rPr>
      </w:pPr>
    </w:p>
    <w:p w14:paraId="54136C26" w14:textId="3CFB538B" w:rsidR="00263167" w:rsidRPr="00FA366D" w:rsidRDefault="002969B5" w:rsidP="001A7EF0">
      <w:pPr>
        <w:spacing w:line="0" w:lineRule="atLeast"/>
        <w:rPr>
          <w:color w:val="000000" w:themeColor="text1"/>
        </w:rPr>
      </w:pPr>
      <w:r w:rsidRPr="00FA366D">
        <w:rPr>
          <w:color w:val="000000" w:themeColor="text1"/>
        </w:rPr>
        <w:t xml:space="preserve">For single-frame estimation, corresponding to the near real-time operating condition of the pipeline, the estimated ESD was </w:t>
      </w:r>
      <w:r w:rsidR="004904A6" w:rsidRPr="00FA366D">
        <w:rPr>
          <w:color w:val="000000" w:themeColor="text1"/>
        </w:rPr>
        <w:t>74.6</w:t>
      </w:r>
      <w:r w:rsidRPr="00FA366D">
        <w:rPr>
          <w:color w:val="000000" w:themeColor="text1"/>
        </w:rPr>
        <w:t xml:space="preserve"> ± 28.6 μm and </w:t>
      </w:r>
      <w:r w:rsidR="00E617B6" w:rsidRPr="00FA366D">
        <w:rPr>
          <w:color w:val="000000" w:themeColor="text1"/>
        </w:rPr>
        <w:t>77.6</w:t>
      </w:r>
      <w:r w:rsidRPr="00FA366D">
        <w:rPr>
          <w:color w:val="000000" w:themeColor="text1"/>
        </w:rPr>
        <w:t xml:space="preserve"> ± </w:t>
      </w:r>
      <w:r w:rsidR="0067524C" w:rsidRPr="00FA366D">
        <w:rPr>
          <w:color w:val="000000" w:themeColor="text1"/>
        </w:rPr>
        <w:t>33</w:t>
      </w:r>
      <w:r w:rsidRPr="00FA366D">
        <w:rPr>
          <w:color w:val="000000" w:themeColor="text1"/>
        </w:rPr>
        <w:t xml:space="preserve">.6 μm for FW and PW acquisition modes, respectively, compared with the expected value of 77.8 μm. The estimated MBF was </w:t>
      </w:r>
      <w:r w:rsidR="004907F3" w:rsidRPr="00FA366D">
        <w:rPr>
          <w:color w:val="000000" w:themeColor="text1"/>
        </w:rPr>
        <w:t>−</w:t>
      </w:r>
      <w:r w:rsidR="003D3994" w:rsidRPr="00FA366D">
        <w:rPr>
          <w:color w:val="000000" w:themeColor="text1"/>
        </w:rPr>
        <w:t>0.49</w:t>
      </w:r>
      <w:r w:rsidRPr="00FA366D">
        <w:rPr>
          <w:color w:val="000000" w:themeColor="text1"/>
        </w:rPr>
        <w:t xml:space="preserve"> ± 0.5</w:t>
      </w:r>
      <w:r w:rsidR="003D3994" w:rsidRPr="00FA366D">
        <w:rPr>
          <w:color w:val="000000" w:themeColor="text1"/>
        </w:rPr>
        <w:t>8</w:t>
      </w:r>
      <w:r w:rsidRPr="00FA366D">
        <w:rPr>
          <w:color w:val="000000" w:themeColor="text1"/>
        </w:rPr>
        <w:t xml:space="preserve"> and </w:t>
      </w:r>
      <w:r w:rsidR="004907F3" w:rsidRPr="00FA366D">
        <w:rPr>
          <w:color w:val="000000" w:themeColor="text1"/>
        </w:rPr>
        <w:t>−</w:t>
      </w:r>
      <w:r w:rsidR="003D3994" w:rsidRPr="00FA366D">
        <w:rPr>
          <w:color w:val="000000" w:themeColor="text1"/>
        </w:rPr>
        <w:t>0</w:t>
      </w:r>
      <w:r w:rsidRPr="00FA366D">
        <w:rPr>
          <w:color w:val="000000" w:themeColor="text1"/>
        </w:rPr>
        <w:t>.</w:t>
      </w:r>
      <w:r w:rsidR="003D3994" w:rsidRPr="00FA366D">
        <w:rPr>
          <w:color w:val="000000" w:themeColor="text1"/>
        </w:rPr>
        <w:t>86</w:t>
      </w:r>
      <w:r w:rsidRPr="00FA366D">
        <w:rPr>
          <w:color w:val="000000" w:themeColor="text1"/>
        </w:rPr>
        <w:t xml:space="preserve"> ± 0.</w:t>
      </w:r>
      <w:r w:rsidR="003D3994" w:rsidRPr="00FA366D">
        <w:rPr>
          <w:color w:val="000000" w:themeColor="text1"/>
        </w:rPr>
        <w:t>51</w:t>
      </w:r>
      <w:r w:rsidRPr="00FA366D">
        <w:rPr>
          <w:color w:val="000000" w:themeColor="text1"/>
        </w:rPr>
        <w:t xml:space="preserve"> dB/m/sr for FW and PW acquisition modes, respectively, compared with the expected value of </w:t>
      </w:r>
      <w:r w:rsidR="004907F3" w:rsidRPr="00FA366D">
        <w:rPr>
          <w:color w:val="000000" w:themeColor="text1"/>
        </w:rPr>
        <w:t>−</w:t>
      </w:r>
      <w:r w:rsidR="00797E1D" w:rsidRPr="00FA366D">
        <w:rPr>
          <w:color w:val="000000" w:themeColor="text1"/>
        </w:rPr>
        <w:t>0.66</w:t>
      </w:r>
      <w:r w:rsidRPr="00FA366D">
        <w:rPr>
          <w:color w:val="000000" w:themeColor="text1"/>
        </w:rPr>
        <w:t xml:space="preserve"> dB/m/sr. The relatively large standard deviations observed under single-frame conditions reflect the sensitivity of model-based BSC fitting to fluctuations in the estimated power spectra caused by measurement noise and speckle variability between sub-ROIs. Despite this increased variability, the mean estimated parameters remained close to the expected theoretical values for both acquisition modes. As shown in </w:t>
      </w:r>
      <w:r w:rsidRPr="00FA366D">
        <w:rPr>
          <w:b/>
          <w:bCs/>
          <w:color w:val="000000" w:themeColor="text1"/>
        </w:rPr>
        <w:t>Table 1</w:t>
      </w:r>
      <w:r w:rsidRPr="00FA366D">
        <w:rPr>
          <w:color w:val="000000" w:themeColor="text1"/>
        </w:rPr>
        <w:t>, averaging over 20 frames substantially reduced parameter variability across all reported parameters, with the standard deviations of ESD, EAC, and I0 reduced by more than 50%, further improving agreement with the expected values. These findings demonstrate that the pipeline generated consistent BSC-based parameter estimates under near real-time single-frame conditions, while temporal averaging further reduced estimation variability.</w:t>
      </w:r>
    </w:p>
    <w:p w14:paraId="0828CBD8" w14:textId="77777777" w:rsidR="00263167" w:rsidRPr="00FA366D" w:rsidRDefault="00263167" w:rsidP="001A7EF0">
      <w:pPr>
        <w:spacing w:line="0" w:lineRule="atLeast"/>
        <w:rPr>
          <w:color w:val="000000" w:themeColor="text1"/>
        </w:rPr>
      </w:pPr>
    </w:p>
    <w:p w14:paraId="2020CF60" w14:textId="77777777" w:rsidR="00263167" w:rsidRPr="00FA366D" w:rsidRDefault="002969B5" w:rsidP="001A7EF0">
      <w:pPr>
        <w:spacing w:line="0" w:lineRule="atLeast"/>
        <w:rPr>
          <w:b/>
          <w:bCs/>
          <w:color w:val="000000" w:themeColor="text1"/>
        </w:rPr>
      </w:pPr>
      <w:r w:rsidRPr="00FA366D">
        <w:rPr>
          <w:b/>
          <w:bCs/>
          <w:color w:val="000000" w:themeColor="text1"/>
        </w:rPr>
        <w:t>Envelope statistics validation</w:t>
      </w:r>
    </w:p>
    <w:p w14:paraId="25C0484E" w14:textId="0566B9DC" w:rsidR="00263167" w:rsidRPr="00FA366D" w:rsidRDefault="002969B5" w:rsidP="001A7EF0">
      <w:pPr>
        <w:spacing w:line="0" w:lineRule="atLeast"/>
        <w:rPr>
          <w:color w:val="000000" w:themeColor="text1"/>
        </w:rPr>
      </w:pPr>
      <w:r w:rsidRPr="00FA366D">
        <w:rPr>
          <w:color w:val="000000" w:themeColor="text1"/>
        </w:rPr>
        <w:t xml:space="preserve">Envelope statistics parameters were estimated for the 60 μm tissue-mimicking </w:t>
      </w:r>
      <w:proofErr w:type="gramStart"/>
      <w:r w:rsidRPr="00FA366D">
        <w:rPr>
          <w:color w:val="000000" w:themeColor="text1"/>
        </w:rPr>
        <w:t>phantom</w:t>
      </w:r>
      <w:proofErr w:type="gramEnd"/>
      <w:r w:rsidRPr="00FA366D">
        <w:rPr>
          <w:color w:val="000000" w:themeColor="text1"/>
        </w:rPr>
        <w:t xml:space="preserve"> using a 30 mm × 35 mm ROI with 5 mm × 3 mm sub-ROIs and a single acquired frame for both PW and FW acquisition modes (focal depth = 25 mm), representing the near real-time operating condition of the pipeline. </w:t>
      </w:r>
      <w:r w:rsidRPr="00FA366D">
        <w:rPr>
          <w:b/>
          <w:bCs/>
          <w:color w:val="000000" w:themeColor="text1"/>
        </w:rPr>
        <w:t>Figure 6</w:t>
      </w:r>
      <w:r w:rsidRPr="00FA366D">
        <w:rPr>
          <w:color w:val="000000" w:themeColor="text1"/>
        </w:rPr>
        <w:t xml:space="preserve"> shows the spatial maps of the H-K structure and clustering parameters, the Nakagami shape and scale parameters, and the Rayleigh SNR. For PW and FW acquisition modes, the mean Nakagami shape parameter was 1.00 ± 0.08 and 1.00 ± 0.09, respectively. The corresponding Rayleigh SNR values were 1.91 ± 0.11 and 1.90 ± 0.11. These values are consistent with a fully developed speckle pattern expected from a dense random scatterer distribution, for which the Nakagami shape parameter approaches 1¹⁶ and the Rayleigh envelope SNR approaches 1.91</w:t>
      </w:r>
      <w:r w:rsidRPr="00FA366D">
        <w:rPr>
          <w:color w:val="000000" w:themeColor="text1"/>
          <w:vertAlign w:val="superscript"/>
        </w:rPr>
        <w:t>3</w:t>
      </w:r>
      <w:r w:rsidR="00DB2ED2" w:rsidRPr="00FA366D">
        <w:rPr>
          <w:color w:val="000000" w:themeColor="text1"/>
          <w:vertAlign w:val="superscript"/>
        </w:rPr>
        <w:t>7</w:t>
      </w:r>
      <w:r w:rsidRPr="00FA366D">
        <w:rPr>
          <w:color w:val="000000" w:themeColor="text1"/>
        </w:rPr>
        <w:t>.</w:t>
      </w:r>
    </w:p>
    <w:p w14:paraId="5CA2952D" w14:textId="77777777" w:rsidR="00263167" w:rsidRPr="00FA366D" w:rsidRDefault="00263167" w:rsidP="001A7EF0">
      <w:pPr>
        <w:spacing w:line="0" w:lineRule="atLeast"/>
        <w:rPr>
          <w:color w:val="000000" w:themeColor="text1"/>
        </w:rPr>
      </w:pPr>
    </w:p>
    <w:p w14:paraId="6441CC11" w14:textId="77777777" w:rsidR="00263167"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Figure 6</w:t>
      </w:r>
      <w:r w:rsidRPr="00FA366D">
        <w:rPr>
          <w:color w:val="000000" w:themeColor="text1"/>
        </w:rPr>
        <w:t xml:space="preserve"> here.]</w:t>
      </w:r>
    </w:p>
    <w:p w14:paraId="4B3E9785" w14:textId="77777777" w:rsidR="00263167" w:rsidRPr="00FA366D" w:rsidRDefault="00263167" w:rsidP="001A7EF0">
      <w:pPr>
        <w:spacing w:line="0" w:lineRule="atLeast"/>
        <w:rPr>
          <w:color w:val="000000" w:themeColor="text1"/>
        </w:rPr>
      </w:pPr>
    </w:p>
    <w:p w14:paraId="3B47A002" w14:textId="0E1311D2" w:rsidR="00263167" w:rsidRPr="00FA366D" w:rsidRDefault="002969B5" w:rsidP="001A7EF0">
      <w:pPr>
        <w:spacing w:line="0" w:lineRule="atLeast"/>
        <w:rPr>
          <w:color w:val="000000" w:themeColor="text1"/>
        </w:rPr>
      </w:pPr>
      <w:r w:rsidRPr="00FA366D">
        <w:rPr>
          <w:color w:val="000000" w:themeColor="text1"/>
        </w:rPr>
        <w:t xml:space="preserve">The mean Nakagami scale parameter was 5.51 ± 0.15 and 6.07 ± 0.41 for PW and FW acquisition modes, respectively, reflecting the local backscattered signal energy within the ROI. Differences in the estimated scale parameter between acquisition modes are expected because of differences in the transmitted acoustic field, beamforming characteristics, and local signal intensity. For PW and FW acquisition modes, the mean H-K structure parameter was 0.35 ± 0.29 and 0.35 ± 0.32, respectively, whereas the mean H-K clustering parameter was 34.8 ± 33.2 and 25.6 ± 30.3, respectively. These large clustering parameter values, together with their large standard deviations, indicate unstable estimates for this phantom. </w:t>
      </w:r>
      <w:r w:rsidR="001D06FB" w:rsidRPr="00FA366D">
        <w:rPr>
          <w:color w:val="000000" w:themeColor="text1"/>
        </w:rPr>
        <w:t>As described in Protocol Steps 4.5.7–4.5.10</w:t>
      </w:r>
      <w:r w:rsidRPr="00FA366D">
        <w:rPr>
          <w:color w:val="000000" w:themeColor="text1"/>
        </w:rPr>
        <w:t>, H-K parameter estimation relies on an iterative fitting procedure without a closed-form solution. When the fitting algorithm fails to converge, the estimated parameter values saturate and the fitting procedure terminates. Estimation failure is likely to occur for this phantom because the high scatterer number density and random spatial distribution of the glass beads produce scattering conditions approaching a fully developed Rayleigh regime, in which the H-K model has reduced sensitivity. In contrast, H-K parameter estimation has been reported to perform more reliably in biological tissue, where scattering conditions are more favorable for stable convergence</w:t>
      </w:r>
      <w:r w:rsidR="00444637" w:rsidRPr="00FA366D">
        <w:rPr>
          <w:color w:val="000000" w:themeColor="text1"/>
          <w:vertAlign w:val="superscript"/>
        </w:rPr>
        <w:t>3</w:t>
      </w:r>
      <w:r w:rsidR="00DB2ED2" w:rsidRPr="00FA366D">
        <w:rPr>
          <w:color w:val="000000" w:themeColor="text1"/>
          <w:vertAlign w:val="superscript"/>
        </w:rPr>
        <w:t>8</w:t>
      </w:r>
      <w:r w:rsidRPr="00FA366D">
        <w:rPr>
          <w:color w:val="000000" w:themeColor="text1"/>
        </w:rPr>
        <w:t>. Overall, the Nakagami and Rayleigh SNR parameters obtained using both PW and FW acquisition modes were in close agreement, demonstrating consistent parameter estimation across the two acquisition configurations for these envelope statistics-based parameters.</w:t>
      </w:r>
    </w:p>
    <w:p w14:paraId="45D24CA2" w14:textId="77777777" w:rsidR="00263167" w:rsidRPr="00FA366D" w:rsidRDefault="00263167" w:rsidP="001A7EF0">
      <w:pPr>
        <w:spacing w:line="0" w:lineRule="atLeast"/>
        <w:rPr>
          <w:color w:val="000000" w:themeColor="text1"/>
        </w:rPr>
      </w:pPr>
    </w:p>
    <w:p w14:paraId="2FD2CFE0" w14:textId="77777777" w:rsidR="00263167" w:rsidRPr="00FA366D" w:rsidRDefault="002969B5" w:rsidP="001A7EF0">
      <w:pPr>
        <w:spacing w:line="0" w:lineRule="atLeast"/>
        <w:rPr>
          <w:b/>
          <w:bCs/>
          <w:color w:val="000000" w:themeColor="text1"/>
        </w:rPr>
      </w:pPr>
      <w:r w:rsidRPr="00FA366D">
        <w:rPr>
          <w:b/>
          <w:bCs/>
          <w:color w:val="000000" w:themeColor="text1"/>
        </w:rPr>
        <w:t>ATS phantom validation of BSC-based mid-band fit and effective acoustic concentration parameters</w:t>
      </w:r>
    </w:p>
    <w:p w14:paraId="457D82DD" w14:textId="22D016B8" w:rsidR="00263167" w:rsidRPr="00FA366D" w:rsidRDefault="002969B5" w:rsidP="001A7EF0">
      <w:pPr>
        <w:spacing w:line="0" w:lineRule="atLeast"/>
        <w:rPr>
          <w:color w:val="000000" w:themeColor="text1"/>
        </w:rPr>
      </w:pPr>
      <w:r w:rsidRPr="00FA366D">
        <w:rPr>
          <w:color w:val="000000" w:themeColor="text1"/>
        </w:rPr>
        <w:t xml:space="preserve">To validate the MBF and EAC parameters, QUS processing was performed on an ATS tissue-mimicking phantom containing contrast targets with known relative backscatter levels using PW acquisition mode. A processing sub-ROI size of 4.1 mm (lateral) × 3 mm (axial) was used to ensure that each sub-ROI remained within the boundaries of an individual contrast target. </w:t>
      </w:r>
      <w:r w:rsidRPr="00FA366D">
        <w:rPr>
          <w:b/>
          <w:bCs/>
          <w:color w:val="000000" w:themeColor="text1"/>
        </w:rPr>
        <w:t>Figure 7A</w:t>
      </w:r>
      <w:r w:rsidRPr="00FA366D">
        <w:rPr>
          <w:color w:val="000000" w:themeColor="text1"/>
        </w:rPr>
        <w:t xml:space="preserve"> shows the ATS phantom layout with the annotated contrast targets corresponding to relative backscatter levels of +3 dB, −3 dB, and −6 dB with respect to the surrounding background. The MBF parameter was estimated within each contrast target, yielding values of 4.60 dB, −1.37 dB, and −4.58 dB for the +3 dB, −3 dB, and −6 dB targets, respectively, as shown in </w:t>
      </w:r>
      <w:r w:rsidRPr="00FA366D">
        <w:rPr>
          <w:b/>
          <w:bCs/>
          <w:color w:val="000000" w:themeColor="text1"/>
        </w:rPr>
        <w:t>Figure 7B</w:t>
      </w:r>
      <w:r w:rsidRPr="00FA366D">
        <w:rPr>
          <w:color w:val="000000" w:themeColor="text1"/>
        </w:rPr>
        <w:t>. The corresponding relative differences in MBF between adjacent contrast targets were −5.</w:t>
      </w:r>
      <w:r w:rsidR="006727B2" w:rsidRPr="00FA366D">
        <w:rPr>
          <w:color w:val="000000" w:themeColor="text1"/>
        </w:rPr>
        <w:t>9</w:t>
      </w:r>
      <w:r w:rsidRPr="00FA366D">
        <w:rPr>
          <w:color w:val="000000" w:themeColor="text1"/>
        </w:rPr>
        <w:t xml:space="preserve">7 dB and −3.21 dB, which closely matched the expected differences of −6 dB and −3 dB specified for the phantom. Similarly, the EAC parameter, obtained by Gaussian scattering model fitting of the estimated BSC, yielded values of 91.2 dB, 85.2 dB, and 82.1 dB for the +3 dB, −3 dB, and −6 dB targets, respectively, as shown in </w:t>
      </w:r>
      <w:r w:rsidRPr="00FA366D">
        <w:rPr>
          <w:b/>
          <w:bCs/>
          <w:color w:val="000000" w:themeColor="text1"/>
        </w:rPr>
        <w:t>Figure 7C</w:t>
      </w:r>
      <w:r w:rsidRPr="00FA366D">
        <w:rPr>
          <w:color w:val="000000" w:themeColor="text1"/>
        </w:rPr>
        <w:t>. The corresponding relative differences between adjacent targets were −6.05 dB and −3.09 dB, again closely matching the expected contrast differences. These results demonstrate that both MBF and EAC accurately capture relative differences in acoustic backscatter strength and support the ability of the pipeline to quantify acoustic contrast.</w:t>
      </w:r>
    </w:p>
    <w:p w14:paraId="7B1244DA" w14:textId="77777777" w:rsidR="00263167" w:rsidRPr="00FA366D" w:rsidRDefault="00263167" w:rsidP="001A7EF0">
      <w:pPr>
        <w:spacing w:line="0" w:lineRule="atLeast"/>
        <w:rPr>
          <w:color w:val="000000" w:themeColor="text1"/>
        </w:rPr>
      </w:pPr>
    </w:p>
    <w:p w14:paraId="06E866F8" w14:textId="77777777" w:rsidR="00263167"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Figure 7</w:t>
      </w:r>
      <w:r w:rsidRPr="00FA366D">
        <w:rPr>
          <w:color w:val="000000" w:themeColor="text1"/>
        </w:rPr>
        <w:t xml:space="preserve"> here.]</w:t>
      </w:r>
    </w:p>
    <w:p w14:paraId="1CC2F0AB" w14:textId="77777777" w:rsidR="00263167" w:rsidRPr="00FA366D" w:rsidRDefault="00263167" w:rsidP="001A7EF0">
      <w:pPr>
        <w:spacing w:line="0" w:lineRule="atLeast"/>
        <w:rPr>
          <w:color w:val="000000" w:themeColor="text1"/>
        </w:rPr>
      </w:pPr>
    </w:p>
    <w:p w14:paraId="7D9788EA" w14:textId="77777777" w:rsidR="00263167" w:rsidRPr="00FA366D" w:rsidRDefault="002969B5" w:rsidP="001A7EF0">
      <w:pPr>
        <w:spacing w:line="0" w:lineRule="atLeast"/>
        <w:rPr>
          <w:b/>
          <w:bCs/>
          <w:color w:val="000000" w:themeColor="text1"/>
        </w:rPr>
      </w:pPr>
      <w:r w:rsidRPr="00FA366D">
        <w:rPr>
          <w:b/>
          <w:bCs/>
          <w:color w:val="000000" w:themeColor="text1"/>
        </w:rPr>
        <w:t>QUS parameter maps of biological tissue</w:t>
      </w:r>
    </w:p>
    <w:p w14:paraId="396C6D13" w14:textId="0976EBB8" w:rsidR="00263167" w:rsidRPr="00FA366D" w:rsidRDefault="002969B5" w:rsidP="001A7EF0">
      <w:pPr>
        <w:spacing w:line="0" w:lineRule="atLeast"/>
        <w:rPr>
          <w:color w:val="000000" w:themeColor="text1"/>
        </w:rPr>
      </w:pPr>
      <w:r w:rsidRPr="00FA366D">
        <w:rPr>
          <w:color w:val="000000" w:themeColor="text1"/>
        </w:rPr>
        <w:t xml:space="preserve">To demonstrate the applicability of the pipeline to biological tissue, the QUS imaging pipeline was applied to an ex vivo chicken breast sample. </w:t>
      </w:r>
      <w:r w:rsidRPr="00FA366D">
        <w:rPr>
          <w:b/>
          <w:bCs/>
          <w:color w:val="000000" w:themeColor="text1"/>
        </w:rPr>
        <w:t>Figure 8</w:t>
      </w:r>
      <w:r w:rsidRPr="00FA366D">
        <w:rPr>
          <w:color w:val="000000" w:themeColor="text1"/>
        </w:rPr>
        <w:t xml:space="preserve"> shows the estimated QUS parameter maps, including BSC-based parameters (ESD, EAC, MBF, SS, and I0), attenuation-based parameters (attenuation coefficient and attenuation intercept), and envelope statistics-based parameters (Nakagami shape and scale parameters and H-K structure and clustering parameters), overlaid on the corresponding B-mode images. Parameter estimation was performed over a 30 mm (lateral) × 2</w:t>
      </w:r>
      <w:r w:rsidR="009251BD" w:rsidRPr="00FA366D">
        <w:rPr>
          <w:color w:val="000000" w:themeColor="text1"/>
        </w:rPr>
        <w:t xml:space="preserve">7 </w:t>
      </w:r>
      <w:r w:rsidRPr="00FA366D">
        <w:rPr>
          <w:color w:val="000000" w:themeColor="text1"/>
        </w:rPr>
        <w:t>mm (axial) ROI subdivided into 5 mm × 3 mm sliding sub-ROIs.</w:t>
      </w:r>
    </w:p>
    <w:p w14:paraId="0FA13351" w14:textId="77777777" w:rsidR="00263167" w:rsidRPr="00FA366D" w:rsidRDefault="00263167" w:rsidP="001A7EF0">
      <w:pPr>
        <w:spacing w:line="0" w:lineRule="atLeast"/>
        <w:rPr>
          <w:color w:val="000000" w:themeColor="text1"/>
        </w:rPr>
      </w:pPr>
    </w:p>
    <w:p w14:paraId="363A73DB" w14:textId="77777777" w:rsidR="00263167"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Figure 8</w:t>
      </w:r>
      <w:r w:rsidRPr="00FA366D">
        <w:rPr>
          <w:color w:val="000000" w:themeColor="text1"/>
        </w:rPr>
        <w:t xml:space="preserve"> here.]</w:t>
      </w:r>
    </w:p>
    <w:p w14:paraId="7B7B72B2" w14:textId="77777777" w:rsidR="00263167" w:rsidRPr="00FA366D" w:rsidRDefault="00263167" w:rsidP="001A7EF0">
      <w:pPr>
        <w:spacing w:line="0" w:lineRule="atLeast"/>
        <w:rPr>
          <w:color w:val="000000" w:themeColor="text1"/>
        </w:rPr>
      </w:pPr>
    </w:p>
    <w:p w14:paraId="49EC0435" w14:textId="2B19CC34" w:rsidR="00263167" w:rsidRPr="00FA366D" w:rsidRDefault="002969B5" w:rsidP="001A7EF0">
      <w:pPr>
        <w:spacing w:line="0" w:lineRule="atLeast"/>
        <w:rPr>
          <w:color w:val="000000" w:themeColor="text1"/>
        </w:rPr>
      </w:pPr>
      <w:r w:rsidRPr="00FA366D">
        <w:rPr>
          <w:color w:val="000000" w:themeColor="text1"/>
        </w:rPr>
        <w:t>The envelope statistics results showed a mean Nakagami shape parameter of 0.5</w:t>
      </w:r>
      <w:r w:rsidR="00B50975" w:rsidRPr="00FA366D">
        <w:rPr>
          <w:color w:val="000000" w:themeColor="text1"/>
        </w:rPr>
        <w:t>6</w:t>
      </w:r>
      <w:r w:rsidRPr="00FA366D">
        <w:rPr>
          <w:color w:val="000000" w:themeColor="text1"/>
        </w:rPr>
        <w:t xml:space="preserve"> ± 0.15 and a Rayleigh SNR of 1.19 ± 0.2</w:t>
      </w:r>
      <w:r w:rsidR="003C4E18" w:rsidRPr="00FA366D">
        <w:rPr>
          <w:color w:val="000000" w:themeColor="text1"/>
        </w:rPr>
        <w:t>8</w:t>
      </w:r>
      <w:r w:rsidRPr="00FA366D">
        <w:rPr>
          <w:color w:val="000000" w:themeColor="text1"/>
        </w:rPr>
        <w:t>, indicating a deviation from fully developed Rayleigh speckle consistent with pre-Rayleigh scattering behavior expected from structurally heterogeneous biological tissue. The mean Nakagami scale parameter was 5.</w:t>
      </w:r>
      <w:r w:rsidR="00D26804" w:rsidRPr="00FA366D">
        <w:rPr>
          <w:color w:val="000000" w:themeColor="text1"/>
        </w:rPr>
        <w:t>05</w:t>
      </w:r>
      <w:r w:rsidRPr="00FA366D">
        <w:rPr>
          <w:color w:val="000000" w:themeColor="text1"/>
        </w:rPr>
        <w:t xml:space="preserve"> ± 0.7</w:t>
      </w:r>
      <w:r w:rsidR="00D26804" w:rsidRPr="00FA366D">
        <w:rPr>
          <w:color w:val="000000" w:themeColor="text1"/>
        </w:rPr>
        <w:t>8</w:t>
      </w:r>
      <w:r w:rsidRPr="00FA366D">
        <w:rPr>
          <w:color w:val="000000" w:themeColor="text1"/>
        </w:rPr>
        <w:t>, reflecting the local backscattered signal energy within the ROI. The mean H-K structure parameter was 0.10 ± 0.0</w:t>
      </w:r>
      <w:r w:rsidR="00D26804" w:rsidRPr="00FA366D">
        <w:rPr>
          <w:color w:val="000000" w:themeColor="text1"/>
        </w:rPr>
        <w:t>5</w:t>
      </w:r>
      <w:r w:rsidRPr="00FA366D">
        <w:rPr>
          <w:color w:val="000000" w:themeColor="text1"/>
        </w:rPr>
        <w:t>, and the mean H-K clustering parameter was 1.0</w:t>
      </w:r>
      <w:r w:rsidR="00D26804" w:rsidRPr="00FA366D">
        <w:rPr>
          <w:color w:val="000000" w:themeColor="text1"/>
        </w:rPr>
        <w:t>2</w:t>
      </w:r>
      <w:r w:rsidRPr="00FA366D">
        <w:rPr>
          <w:color w:val="000000" w:themeColor="text1"/>
        </w:rPr>
        <w:t xml:space="preserve"> ± 2.</w:t>
      </w:r>
      <w:r w:rsidR="00D26804" w:rsidRPr="00FA366D">
        <w:rPr>
          <w:color w:val="000000" w:themeColor="text1"/>
        </w:rPr>
        <w:t>33</w:t>
      </w:r>
      <w:r w:rsidRPr="00FA366D">
        <w:rPr>
          <w:color w:val="000000" w:themeColor="text1"/>
        </w:rPr>
        <w:t>. The large spatial variability observed in the H-K clustering parameter likely reflects tissue heterogeneity.</w:t>
      </w:r>
    </w:p>
    <w:p w14:paraId="7E6A54AB" w14:textId="77777777" w:rsidR="00263167" w:rsidRPr="00FA366D" w:rsidRDefault="00263167" w:rsidP="001A7EF0">
      <w:pPr>
        <w:spacing w:line="0" w:lineRule="atLeast"/>
        <w:rPr>
          <w:color w:val="000000" w:themeColor="text1"/>
        </w:rPr>
      </w:pPr>
    </w:p>
    <w:p w14:paraId="503F2825" w14:textId="55BC0248" w:rsidR="00263167" w:rsidRPr="00FA366D" w:rsidRDefault="002969B5" w:rsidP="001A7EF0">
      <w:pPr>
        <w:spacing w:line="0" w:lineRule="atLeast"/>
        <w:rPr>
          <w:color w:val="000000" w:themeColor="text1"/>
        </w:rPr>
      </w:pPr>
      <w:r w:rsidRPr="00FA366D">
        <w:rPr>
          <w:color w:val="000000" w:themeColor="text1"/>
        </w:rPr>
        <w:t>The attenuation coefficient was estimated to be 0.</w:t>
      </w:r>
      <w:r w:rsidR="00B07E15" w:rsidRPr="00FA366D">
        <w:rPr>
          <w:color w:val="000000" w:themeColor="text1"/>
        </w:rPr>
        <w:t>56</w:t>
      </w:r>
      <w:r w:rsidRPr="00FA366D">
        <w:rPr>
          <w:color w:val="000000" w:themeColor="text1"/>
        </w:rPr>
        <w:t xml:space="preserve"> ± 0.2</w:t>
      </w:r>
      <w:r w:rsidR="00B07E15" w:rsidRPr="00FA366D">
        <w:rPr>
          <w:color w:val="000000" w:themeColor="text1"/>
        </w:rPr>
        <w:t>9</w:t>
      </w:r>
      <w:r w:rsidRPr="00FA366D">
        <w:rPr>
          <w:color w:val="000000" w:themeColor="text1"/>
        </w:rPr>
        <w:t xml:space="preserve"> dB/cm/MHz, with an attenuation intercept of 1.</w:t>
      </w:r>
      <w:r w:rsidR="00B07E15" w:rsidRPr="00FA366D">
        <w:rPr>
          <w:color w:val="000000" w:themeColor="text1"/>
        </w:rPr>
        <w:t>56</w:t>
      </w:r>
      <w:r w:rsidRPr="00FA366D">
        <w:rPr>
          <w:color w:val="000000" w:themeColor="text1"/>
        </w:rPr>
        <w:t xml:space="preserve"> ± </w:t>
      </w:r>
      <w:r w:rsidR="00B07E15" w:rsidRPr="00FA366D">
        <w:rPr>
          <w:color w:val="000000" w:themeColor="text1"/>
        </w:rPr>
        <w:t>2</w:t>
      </w:r>
      <w:r w:rsidRPr="00FA366D">
        <w:rPr>
          <w:color w:val="000000" w:themeColor="text1"/>
        </w:rPr>
        <w:t>.</w:t>
      </w:r>
      <w:r w:rsidR="00B07E15" w:rsidRPr="00FA366D">
        <w:rPr>
          <w:color w:val="000000" w:themeColor="text1"/>
        </w:rPr>
        <w:t>05</w:t>
      </w:r>
      <w:r w:rsidRPr="00FA366D">
        <w:rPr>
          <w:color w:val="000000" w:themeColor="text1"/>
        </w:rPr>
        <w:t xml:space="preserve"> dB/cm. The relatively large variability in the attenuation intercept is expected because it is obtained by extrapolating the attenuation fit to 0 MHz, outside the measured processing bandwidth, making it sensitive to small variations in the estimated attenuation curve. In contrast, the attenuation within the processing bandwidth remained relatively stable, yielding a mean attenuation of </w:t>
      </w:r>
      <w:r w:rsidR="001B5C6B" w:rsidRPr="00FA366D">
        <w:rPr>
          <w:color w:val="000000" w:themeColor="text1"/>
        </w:rPr>
        <w:t>4</w:t>
      </w:r>
      <w:r w:rsidRPr="00FA366D">
        <w:rPr>
          <w:color w:val="000000" w:themeColor="text1"/>
        </w:rPr>
        <w:t>.</w:t>
      </w:r>
      <w:r w:rsidR="001B5C6B" w:rsidRPr="00FA366D">
        <w:rPr>
          <w:color w:val="000000" w:themeColor="text1"/>
        </w:rPr>
        <w:t>2</w:t>
      </w:r>
      <w:r w:rsidRPr="00FA366D">
        <w:rPr>
          <w:color w:val="000000" w:themeColor="text1"/>
        </w:rPr>
        <w:t>2 ± 0.</w:t>
      </w:r>
      <w:r w:rsidR="001B5C6B" w:rsidRPr="00FA366D">
        <w:rPr>
          <w:color w:val="000000" w:themeColor="text1"/>
        </w:rPr>
        <w:t>9</w:t>
      </w:r>
      <w:r w:rsidRPr="00FA366D">
        <w:rPr>
          <w:color w:val="000000" w:themeColor="text1"/>
        </w:rPr>
        <w:t>9 dB/cm at the mid-band frequency of 4.75 MHz. Because Coila et al.</w:t>
      </w:r>
      <w:r w:rsidR="004D38DD" w:rsidRPr="00FA366D">
        <w:rPr>
          <w:color w:val="000000" w:themeColor="text1"/>
          <w:vertAlign w:val="superscript"/>
        </w:rPr>
        <w:t>3</w:t>
      </w:r>
      <w:r w:rsidR="00B61062" w:rsidRPr="00FA366D">
        <w:rPr>
          <w:color w:val="000000" w:themeColor="text1"/>
          <w:vertAlign w:val="superscript"/>
        </w:rPr>
        <w:t>9</w:t>
      </w:r>
      <w:r w:rsidRPr="00FA366D">
        <w:rPr>
          <w:color w:val="000000" w:themeColor="text1"/>
        </w:rPr>
        <w:t xml:space="preserve"> reported attenuation using a zero-intercept linear fit, comparison was performed using attenuation at the common mid-band frequency rather than the fitted slope and intercept parameters. Coila et al.</w:t>
      </w:r>
      <w:r w:rsidR="004D38DD" w:rsidRPr="00FA366D">
        <w:rPr>
          <w:color w:val="000000" w:themeColor="text1"/>
          <w:vertAlign w:val="superscript"/>
        </w:rPr>
        <w:t>3</w:t>
      </w:r>
      <w:r w:rsidR="00B61062" w:rsidRPr="00FA366D">
        <w:rPr>
          <w:color w:val="000000" w:themeColor="text1"/>
          <w:vertAlign w:val="superscript"/>
        </w:rPr>
        <w:t>9</w:t>
      </w:r>
      <w:r w:rsidRPr="00FA366D">
        <w:rPr>
          <w:color w:val="000000" w:themeColor="text1"/>
        </w:rPr>
        <w:t xml:space="preserve"> reported an attenuation coefficient of 0.83 ± 0.43 dB/cm/MHz for chicken breast tissue, corresponding to an attenuation of 3.94 dB/cm at 4.75 MHz. The estimated mid-band attenuation of </w:t>
      </w:r>
      <w:r w:rsidR="0032709A" w:rsidRPr="00FA366D">
        <w:rPr>
          <w:color w:val="000000" w:themeColor="text1"/>
        </w:rPr>
        <w:t>4</w:t>
      </w:r>
      <w:r w:rsidRPr="00FA366D">
        <w:rPr>
          <w:color w:val="000000" w:themeColor="text1"/>
        </w:rPr>
        <w:t>.</w:t>
      </w:r>
      <w:r w:rsidR="0032709A" w:rsidRPr="00FA366D">
        <w:rPr>
          <w:color w:val="000000" w:themeColor="text1"/>
        </w:rPr>
        <w:t>2</w:t>
      </w:r>
      <w:r w:rsidRPr="00FA366D">
        <w:rPr>
          <w:color w:val="000000" w:themeColor="text1"/>
        </w:rPr>
        <w:t>2 ± 0.</w:t>
      </w:r>
      <w:r w:rsidR="0032709A" w:rsidRPr="00FA366D">
        <w:rPr>
          <w:color w:val="000000" w:themeColor="text1"/>
        </w:rPr>
        <w:t>9</w:t>
      </w:r>
      <w:r w:rsidRPr="00FA366D">
        <w:rPr>
          <w:color w:val="000000" w:themeColor="text1"/>
        </w:rPr>
        <w:t>9 dB/cm obtained in the present study is in good agreement with this value, with the observed differences likely attributable to variations in tissue preparation and estimation methodology.</w:t>
      </w:r>
    </w:p>
    <w:p w14:paraId="21F3EF61" w14:textId="77777777" w:rsidR="00263167" w:rsidRPr="00FA366D" w:rsidRDefault="00263167" w:rsidP="001A7EF0">
      <w:pPr>
        <w:spacing w:line="0" w:lineRule="atLeast"/>
        <w:rPr>
          <w:color w:val="000000" w:themeColor="text1"/>
        </w:rPr>
      </w:pPr>
    </w:p>
    <w:p w14:paraId="26333135" w14:textId="7E90D48D" w:rsidR="00263167" w:rsidRPr="00FA366D" w:rsidRDefault="002969B5" w:rsidP="001A7EF0">
      <w:pPr>
        <w:spacing w:line="0" w:lineRule="atLeast"/>
        <w:rPr>
          <w:color w:val="000000" w:themeColor="text1"/>
        </w:rPr>
      </w:pPr>
      <w:r w:rsidRPr="00FA366D">
        <w:rPr>
          <w:color w:val="000000" w:themeColor="text1"/>
        </w:rPr>
        <w:t xml:space="preserve">The estimated attenuation coefficient and attenuation intercept were subsequently used as inputs to the reference phantom method for BSC estimation. The BSC-based linear fit parameters were estimated as follows: SS = </w:t>
      </w:r>
      <w:r w:rsidR="00CF6751" w:rsidRPr="00FA366D">
        <w:rPr>
          <w:color w:val="000000" w:themeColor="text1"/>
        </w:rPr>
        <w:t>1</w:t>
      </w:r>
      <w:r w:rsidRPr="00FA366D">
        <w:rPr>
          <w:color w:val="000000" w:themeColor="text1"/>
        </w:rPr>
        <w:t>.</w:t>
      </w:r>
      <w:r w:rsidR="00CF6751" w:rsidRPr="00FA366D">
        <w:rPr>
          <w:color w:val="000000" w:themeColor="text1"/>
        </w:rPr>
        <w:t>49</w:t>
      </w:r>
      <w:r w:rsidRPr="00FA366D">
        <w:rPr>
          <w:color w:val="000000" w:themeColor="text1"/>
        </w:rPr>
        <w:t xml:space="preserve"> ± 1.0</w:t>
      </w:r>
      <w:r w:rsidR="00CF6751" w:rsidRPr="00FA366D">
        <w:rPr>
          <w:color w:val="000000" w:themeColor="text1"/>
        </w:rPr>
        <w:t>4</w:t>
      </w:r>
      <w:r w:rsidRPr="00FA366D">
        <w:rPr>
          <w:color w:val="000000" w:themeColor="text1"/>
        </w:rPr>
        <w:t xml:space="preserve"> dB/sr/m/MHz, I0 = </w:t>
      </w:r>
      <w:r w:rsidR="00762B85" w:rsidRPr="00FA366D">
        <w:rPr>
          <w:color w:val="000000" w:themeColor="text1"/>
        </w:rPr>
        <w:t>17</w:t>
      </w:r>
      <w:r w:rsidRPr="00FA366D">
        <w:rPr>
          <w:color w:val="000000" w:themeColor="text1"/>
        </w:rPr>
        <w:t>.</w:t>
      </w:r>
      <w:r w:rsidR="00762B85" w:rsidRPr="00FA366D">
        <w:rPr>
          <w:color w:val="000000" w:themeColor="text1"/>
        </w:rPr>
        <w:t>4</w:t>
      </w:r>
      <w:r w:rsidRPr="00FA366D">
        <w:rPr>
          <w:color w:val="000000" w:themeColor="text1"/>
        </w:rPr>
        <w:t xml:space="preserve"> ± </w:t>
      </w:r>
      <w:r w:rsidR="00762B85" w:rsidRPr="00FA366D">
        <w:rPr>
          <w:color w:val="000000" w:themeColor="text1"/>
        </w:rPr>
        <w:t>7</w:t>
      </w:r>
      <w:r w:rsidRPr="00FA366D">
        <w:rPr>
          <w:color w:val="000000" w:themeColor="text1"/>
        </w:rPr>
        <w:t>.</w:t>
      </w:r>
      <w:r w:rsidR="00762B85" w:rsidRPr="00FA366D">
        <w:rPr>
          <w:color w:val="000000" w:themeColor="text1"/>
        </w:rPr>
        <w:t>87</w:t>
      </w:r>
      <w:r w:rsidRPr="00FA366D">
        <w:rPr>
          <w:color w:val="000000" w:themeColor="text1"/>
        </w:rPr>
        <w:t xml:space="preserve"> dB/sr/m, and MBF = 2</w:t>
      </w:r>
      <w:r w:rsidR="0065757C" w:rsidRPr="00FA366D">
        <w:rPr>
          <w:color w:val="000000" w:themeColor="text1"/>
        </w:rPr>
        <w:t>4</w:t>
      </w:r>
      <w:r w:rsidRPr="00FA366D">
        <w:rPr>
          <w:color w:val="000000" w:themeColor="text1"/>
        </w:rPr>
        <w:t>.</w:t>
      </w:r>
      <w:r w:rsidR="0065757C" w:rsidRPr="00FA366D">
        <w:rPr>
          <w:color w:val="000000" w:themeColor="text1"/>
        </w:rPr>
        <w:t>4</w:t>
      </w:r>
      <w:r w:rsidRPr="00FA366D">
        <w:rPr>
          <w:color w:val="000000" w:themeColor="text1"/>
        </w:rPr>
        <w:t xml:space="preserve"> ± 3.</w:t>
      </w:r>
      <w:r w:rsidR="0065757C" w:rsidRPr="00FA366D">
        <w:rPr>
          <w:color w:val="000000" w:themeColor="text1"/>
        </w:rPr>
        <w:t>90</w:t>
      </w:r>
      <w:r w:rsidRPr="00FA366D">
        <w:rPr>
          <w:color w:val="000000" w:themeColor="text1"/>
        </w:rPr>
        <w:t xml:space="preserve"> dB/sr/m. Gaussian scattering model fitting yielded an ESD of 1</w:t>
      </w:r>
      <w:r w:rsidR="0065757C" w:rsidRPr="00FA366D">
        <w:rPr>
          <w:color w:val="000000" w:themeColor="text1"/>
        </w:rPr>
        <w:t xml:space="preserve">21 </w:t>
      </w:r>
      <w:r w:rsidRPr="00FA366D">
        <w:rPr>
          <w:color w:val="000000" w:themeColor="text1"/>
        </w:rPr>
        <w:t>± 2</w:t>
      </w:r>
      <w:r w:rsidR="0065757C" w:rsidRPr="00FA366D">
        <w:rPr>
          <w:color w:val="000000" w:themeColor="text1"/>
        </w:rPr>
        <w:t>8</w:t>
      </w:r>
      <w:r w:rsidRPr="00FA366D">
        <w:rPr>
          <w:color w:val="000000" w:themeColor="text1"/>
        </w:rPr>
        <w:t>.</w:t>
      </w:r>
      <w:r w:rsidR="0065757C" w:rsidRPr="00FA366D">
        <w:rPr>
          <w:color w:val="000000" w:themeColor="text1"/>
        </w:rPr>
        <w:t>4</w:t>
      </w:r>
      <w:r w:rsidRPr="00FA366D">
        <w:rPr>
          <w:color w:val="000000" w:themeColor="text1"/>
        </w:rPr>
        <w:t xml:space="preserve"> µm and an EAC of 115 ± 3.</w:t>
      </w:r>
      <w:r w:rsidR="0065757C" w:rsidRPr="00FA366D">
        <w:rPr>
          <w:color w:val="000000" w:themeColor="text1"/>
        </w:rPr>
        <w:t>88</w:t>
      </w:r>
      <w:r w:rsidRPr="00FA366D">
        <w:rPr>
          <w:color w:val="000000" w:themeColor="text1"/>
        </w:rPr>
        <w:t xml:space="preserve"> dB/m³.</w:t>
      </w:r>
    </w:p>
    <w:p w14:paraId="14F39759" w14:textId="77777777" w:rsidR="00263167" w:rsidRPr="00FA366D" w:rsidRDefault="00263167" w:rsidP="001A7EF0">
      <w:pPr>
        <w:spacing w:line="0" w:lineRule="atLeast"/>
        <w:rPr>
          <w:color w:val="000000" w:themeColor="text1"/>
        </w:rPr>
      </w:pPr>
    </w:p>
    <w:p w14:paraId="6001E3AF" w14:textId="77777777" w:rsidR="00263167" w:rsidRPr="00FA366D" w:rsidRDefault="002969B5" w:rsidP="001A7EF0">
      <w:pPr>
        <w:spacing w:line="0" w:lineRule="atLeast"/>
        <w:rPr>
          <w:color w:val="000000" w:themeColor="text1"/>
        </w:rPr>
      </w:pPr>
      <w:r w:rsidRPr="00FA366D">
        <w:rPr>
          <w:color w:val="000000" w:themeColor="text1"/>
        </w:rPr>
        <w:t xml:space="preserve">These representative results demonstrate that the pipeline can generate a comprehensive set of QUS parameter maps and quantitative tissue descriptors from biological tissue using the integrated spectral-based, attenuation-based, and envelope statistics-based processing </w:t>
      </w:r>
      <w:r w:rsidRPr="00FA366D">
        <w:rPr>
          <w:color w:val="000000" w:themeColor="text1"/>
        </w:rPr>
        <w:lastRenderedPageBreak/>
        <w:t>methods.</w:t>
      </w:r>
    </w:p>
    <w:p w14:paraId="43888CD0" w14:textId="77777777" w:rsidR="00263167" w:rsidRPr="00FA366D" w:rsidRDefault="00263167" w:rsidP="001A7EF0">
      <w:pPr>
        <w:spacing w:line="0" w:lineRule="atLeast"/>
        <w:rPr>
          <w:color w:val="000000" w:themeColor="text1"/>
        </w:rPr>
      </w:pPr>
    </w:p>
    <w:p w14:paraId="688ED20A" w14:textId="77777777" w:rsidR="00263167" w:rsidRPr="00FA366D" w:rsidRDefault="002969B5" w:rsidP="001A7EF0">
      <w:pPr>
        <w:spacing w:line="0" w:lineRule="atLeast"/>
        <w:rPr>
          <w:b/>
          <w:bCs/>
          <w:color w:val="000000" w:themeColor="text1"/>
        </w:rPr>
      </w:pPr>
      <w:r w:rsidRPr="00FA366D">
        <w:rPr>
          <w:b/>
          <w:bCs/>
          <w:color w:val="000000" w:themeColor="text1"/>
        </w:rPr>
        <w:t>Performance metrics</w:t>
      </w:r>
    </w:p>
    <w:p w14:paraId="4A1CB89A" w14:textId="5DF60910" w:rsidR="00263167" w:rsidRPr="00FA366D" w:rsidRDefault="002969B5" w:rsidP="001A7EF0">
      <w:pPr>
        <w:spacing w:line="0" w:lineRule="atLeast"/>
        <w:rPr>
          <w:color w:val="000000" w:themeColor="text1"/>
        </w:rPr>
      </w:pPr>
      <w:r w:rsidRPr="00FA366D">
        <w:rPr>
          <w:b/>
          <w:bCs/>
          <w:color w:val="000000" w:themeColor="text1"/>
        </w:rPr>
        <w:t>Table 2</w:t>
      </w:r>
      <w:r w:rsidRPr="00FA366D">
        <w:rPr>
          <w:color w:val="000000" w:themeColor="text1"/>
        </w:rPr>
        <w:t xml:space="preserve"> summarizes the processing frame rate for different QUS parameter configurations using both PW and FW acquisition modes (focal depth = 25 mm).</w:t>
      </w:r>
      <w:r w:rsidR="008D158A" w:rsidRPr="00FA366D">
        <w:rPr>
          <w:color w:val="000000" w:themeColor="text1"/>
        </w:rPr>
        <w:t xml:space="preserve"> </w:t>
      </w:r>
      <w:r w:rsidR="0061161C" w:rsidRPr="00FA366D">
        <w:rPr>
          <w:color w:val="000000" w:themeColor="text1"/>
        </w:rPr>
        <w:t>The reported processing frame rates represent the end-to-end processing pipeline following beamformed RF acquisition, including data transfer, loading of the beamformed RF data, QUS computation, and display of the selected parameter map</w:t>
      </w:r>
      <w:r w:rsidR="00E03D6D" w:rsidRPr="00FA366D">
        <w:rPr>
          <w:color w:val="000000" w:themeColor="text1"/>
        </w:rPr>
        <w:t>.</w:t>
      </w:r>
      <w:r w:rsidR="008D158A" w:rsidRPr="00FA366D">
        <w:rPr>
          <w:color w:val="000000" w:themeColor="text1"/>
        </w:rPr>
        <w:t xml:space="preserve"> </w:t>
      </w:r>
      <w:r w:rsidRPr="00FA366D">
        <w:rPr>
          <w:color w:val="000000" w:themeColor="text1"/>
        </w:rPr>
        <w:t>Performance was evaluated over a 30 mm × 30 mm ROI with a scan depth of 55 mm. All measurements were obtained using a laptop equipped with an Intel Core Ultra 7 255H processor (20 cores, approximately 2.4 GHz) and 32 GB of RAM. Overall, the processing frame rate decreased as additional QUS parameters were selected for computation, consistent with the increased computational demand of each additional processing step.</w:t>
      </w:r>
    </w:p>
    <w:p w14:paraId="4AE2C629" w14:textId="77777777" w:rsidR="00263167" w:rsidRPr="00FA366D" w:rsidRDefault="00263167" w:rsidP="001A7EF0">
      <w:pPr>
        <w:spacing w:line="0" w:lineRule="atLeast"/>
        <w:rPr>
          <w:color w:val="000000" w:themeColor="text1"/>
        </w:rPr>
      </w:pPr>
    </w:p>
    <w:p w14:paraId="78D8E10B" w14:textId="77777777" w:rsidR="00263167" w:rsidRPr="00FA366D" w:rsidRDefault="002969B5" w:rsidP="001A7EF0">
      <w:pPr>
        <w:spacing w:line="0" w:lineRule="atLeast"/>
        <w:rPr>
          <w:color w:val="000000" w:themeColor="text1"/>
        </w:rPr>
      </w:pPr>
      <w:r w:rsidRPr="00FA366D">
        <w:rPr>
          <w:color w:val="000000" w:themeColor="text1"/>
        </w:rPr>
        <w:t xml:space="preserve">[Place </w:t>
      </w:r>
      <w:r w:rsidRPr="00FA366D">
        <w:rPr>
          <w:b/>
          <w:bCs/>
          <w:color w:val="000000" w:themeColor="text1"/>
        </w:rPr>
        <w:t>Table 2</w:t>
      </w:r>
      <w:r w:rsidRPr="00FA366D">
        <w:rPr>
          <w:color w:val="000000" w:themeColor="text1"/>
        </w:rPr>
        <w:t xml:space="preserve"> here.]</w:t>
      </w:r>
    </w:p>
    <w:p w14:paraId="333E4E25" w14:textId="77777777" w:rsidR="00263167" w:rsidRPr="00FA366D" w:rsidRDefault="00263167" w:rsidP="001A7EF0">
      <w:pPr>
        <w:spacing w:line="0" w:lineRule="atLeast"/>
        <w:rPr>
          <w:color w:val="000000" w:themeColor="text1"/>
        </w:rPr>
      </w:pPr>
    </w:p>
    <w:p w14:paraId="7848B1B0" w14:textId="77777777" w:rsidR="00263167" w:rsidRPr="00FA366D" w:rsidRDefault="002969B5" w:rsidP="001A7EF0">
      <w:pPr>
        <w:spacing w:line="0" w:lineRule="atLeast"/>
        <w:rPr>
          <w:color w:val="000000" w:themeColor="text1"/>
        </w:rPr>
      </w:pPr>
      <w:r w:rsidRPr="00FA366D">
        <w:rPr>
          <w:color w:val="000000" w:themeColor="text1"/>
        </w:rPr>
        <w:t xml:space="preserve">As summarized in </w:t>
      </w:r>
      <w:r w:rsidRPr="00FA366D">
        <w:rPr>
          <w:b/>
          <w:bCs/>
          <w:color w:val="000000" w:themeColor="text1"/>
        </w:rPr>
        <w:t>Table 2</w:t>
      </w:r>
      <w:r w:rsidRPr="00FA366D">
        <w:rPr>
          <w:color w:val="000000" w:themeColor="text1"/>
        </w:rPr>
        <w:t>, envelope statistics-based processing alone, consisting of Nakagami fitting and Rayleigh SNR estimation, yielded the highest frame rates of 2.0 frames/s and 1.8 frames/s for PW and FW acquisition modes, respectively. Adding H-K parameter estimation reduced the processing frame rate to 1.5 frames/s for both acquisition modes, reflecting the higher computational cost of iterative H-K fitting. Independently computing either BSC-based parameters or attenuation-based parameters resulted in frame rates of approximately 0.8 frames/s for both PW and FW acquisition modes. Combining envelope statistics-based parameters (excluding H-K) with BSC-based parameters further reduced the processing frame rate to 0.7 frames/s.</w:t>
      </w:r>
    </w:p>
    <w:p w14:paraId="17D59B62" w14:textId="77777777" w:rsidR="00263167" w:rsidRPr="00FA366D" w:rsidRDefault="00263167" w:rsidP="001A7EF0">
      <w:pPr>
        <w:spacing w:line="0" w:lineRule="atLeast"/>
        <w:rPr>
          <w:color w:val="000000" w:themeColor="text1"/>
        </w:rPr>
      </w:pPr>
    </w:p>
    <w:p w14:paraId="78B6CE8C" w14:textId="77777777" w:rsidR="00263167" w:rsidRPr="00FA366D" w:rsidRDefault="002969B5" w:rsidP="001A7EF0">
      <w:pPr>
        <w:spacing w:line="0" w:lineRule="atLeast"/>
        <w:rPr>
          <w:color w:val="000000" w:themeColor="text1"/>
        </w:rPr>
      </w:pPr>
      <w:r w:rsidRPr="00FA366D">
        <w:rPr>
          <w:color w:val="000000" w:themeColor="text1"/>
        </w:rPr>
        <w:t>Computing all implemented parameters except H-K yielded a processing frame rate of 0.4 frames/s. When H-K fitting was included together with all other parameters, a frame rate of approximately 0.4 frames/s was achieved for the tissue-mimicking phantoms evaluated in this study. The processing time required for H-K fitting depended on the imaging medium. Media exhibiting nearly homogeneous scattering or air-like scattering properties required additional iterations for convergence of the iterative H-K fitting algorithm, resulting in frame rates below 0.4 frames/s.</w:t>
      </w:r>
    </w:p>
    <w:p w14:paraId="181EC9CC" w14:textId="77777777" w:rsidR="00263167" w:rsidRPr="00FA366D" w:rsidRDefault="00263167" w:rsidP="001A7EF0">
      <w:pPr>
        <w:spacing w:line="0" w:lineRule="atLeast"/>
        <w:rPr>
          <w:color w:val="000000" w:themeColor="text1"/>
        </w:rPr>
      </w:pPr>
    </w:p>
    <w:p w14:paraId="4FC8C390" w14:textId="7030512D" w:rsidR="00FC5D44" w:rsidRPr="00FA366D" w:rsidRDefault="002969B5" w:rsidP="001A7EF0">
      <w:pPr>
        <w:spacing w:line="0" w:lineRule="atLeast"/>
        <w:rPr>
          <w:color w:val="000000" w:themeColor="text1"/>
        </w:rPr>
      </w:pPr>
      <w:r w:rsidRPr="00FA366D">
        <w:rPr>
          <w:color w:val="000000" w:themeColor="text1"/>
        </w:rPr>
        <w:t>These results demonstrate the trade-off between processing speed and the number of QUS parameters computed. For near real-time imaging applications, combining envelope statistics-based parameters (excluding H-K) with BSC-based parameters provided a practical balance between parameter diversity and computational performance, achieving a processing frame rate of approximately 0.7 frames/s. H-K parameter estimation is therefore better suited for offline analysis or applications in which higher temporal resolution is not required.</w:t>
      </w:r>
    </w:p>
    <w:p w14:paraId="60E7D379" w14:textId="77777777" w:rsidR="00836C04" w:rsidRPr="00FA366D" w:rsidRDefault="00836C04" w:rsidP="001A7EF0">
      <w:pPr>
        <w:spacing w:line="0" w:lineRule="atLeast"/>
        <w:rPr>
          <w:color w:val="000000" w:themeColor="text1"/>
        </w:rPr>
      </w:pPr>
    </w:p>
    <w:p w14:paraId="3DC48FE6" w14:textId="77777777" w:rsidR="00836C04" w:rsidRPr="00FA366D" w:rsidRDefault="002969B5" w:rsidP="001A7EF0">
      <w:pPr>
        <w:spacing w:line="0" w:lineRule="atLeast"/>
        <w:rPr>
          <w:b/>
          <w:color w:val="000000" w:themeColor="text1"/>
        </w:rPr>
      </w:pPr>
      <w:r w:rsidRPr="00FA366D">
        <w:rPr>
          <w:b/>
          <w:color w:val="000000" w:themeColor="text1"/>
        </w:rPr>
        <w:t>FIGURE AND TABLE LEGENDS:</w:t>
      </w:r>
    </w:p>
    <w:p w14:paraId="20971BFD" w14:textId="2E1F302D" w:rsidR="00836C04" w:rsidRPr="00FA366D" w:rsidRDefault="002969B5" w:rsidP="001A7EF0">
      <w:pPr>
        <w:spacing w:line="0" w:lineRule="atLeast"/>
        <w:rPr>
          <w:color w:val="000000" w:themeColor="text1"/>
        </w:rPr>
      </w:pPr>
      <w:r w:rsidRPr="00FA366D">
        <w:rPr>
          <w:b/>
          <w:bCs/>
          <w:color w:val="000000" w:themeColor="text1"/>
        </w:rPr>
        <w:t xml:space="preserve">Figure 1. </w:t>
      </w:r>
      <w:r w:rsidR="0033794E" w:rsidRPr="00FA366D">
        <w:rPr>
          <w:b/>
          <w:bCs/>
          <w:color w:val="000000" w:themeColor="text1"/>
        </w:rPr>
        <w:t>Experimental setup of the portable quantitative ultrasound (QUS) imaging system.</w:t>
      </w:r>
      <w:r w:rsidR="0033794E" w:rsidRPr="00FA366D">
        <w:rPr>
          <w:color w:val="000000" w:themeColor="text1"/>
        </w:rPr>
        <w:t xml:space="preserve"> A linear ultrasound probe is connected directly to a laptop using a USB-C cable through a high-speed hardware interface for real-time radiofrequency (RF) data transfer. The location of the </w:t>
      </w:r>
      <w:r w:rsidR="0033794E" w:rsidRPr="00FA366D">
        <w:rPr>
          <w:color w:val="000000" w:themeColor="text1"/>
        </w:rPr>
        <w:lastRenderedPageBreak/>
        <w:t>probe power button is indicated.</w:t>
      </w:r>
    </w:p>
    <w:p w14:paraId="6019699D" w14:textId="77777777" w:rsidR="00836C04" w:rsidRPr="00FA366D" w:rsidRDefault="00836C04" w:rsidP="001A7EF0">
      <w:pPr>
        <w:spacing w:line="0" w:lineRule="atLeast"/>
        <w:rPr>
          <w:color w:val="000000" w:themeColor="text1"/>
        </w:rPr>
      </w:pPr>
    </w:p>
    <w:p w14:paraId="49F5886C" w14:textId="77777777" w:rsidR="00836C04" w:rsidRPr="00FA366D" w:rsidRDefault="002969B5" w:rsidP="001A7EF0">
      <w:pPr>
        <w:spacing w:line="0" w:lineRule="atLeast"/>
        <w:rPr>
          <w:color w:val="000000" w:themeColor="text1"/>
        </w:rPr>
      </w:pPr>
      <w:r w:rsidRPr="00FA366D">
        <w:rPr>
          <w:b/>
          <w:bCs/>
          <w:color w:val="000000" w:themeColor="text1"/>
        </w:rPr>
        <w:t>Figure 2. Main graphical user interface (GUI) of the portable quantitative ultrasound (QUS) imaging software.</w:t>
      </w:r>
      <w:r w:rsidRPr="00FA366D">
        <w:rPr>
          <w:color w:val="000000" w:themeColor="text1"/>
        </w:rPr>
        <w:t xml:space="preserve"> The GUI consists of a control bar, display panel, and control panel. The display panel contains the live B-mode </w:t>
      </w:r>
      <w:proofErr w:type="gramStart"/>
      <w:r w:rsidRPr="00FA366D">
        <w:rPr>
          <w:color w:val="000000" w:themeColor="text1"/>
        </w:rPr>
        <w:t>image</w:t>
      </w:r>
      <w:proofErr w:type="gramEnd"/>
      <w:r w:rsidRPr="00FA366D">
        <w:rPr>
          <w:color w:val="000000" w:themeColor="text1"/>
        </w:rPr>
        <w:t xml:space="preserve"> and the quantitative ultrasound parameter overlay window used for near real-time visualization.</w:t>
      </w:r>
    </w:p>
    <w:p w14:paraId="6B7F6FA6" w14:textId="77777777" w:rsidR="00836C04" w:rsidRPr="00FA366D" w:rsidRDefault="00836C04" w:rsidP="001A7EF0">
      <w:pPr>
        <w:spacing w:line="0" w:lineRule="atLeast"/>
        <w:rPr>
          <w:color w:val="000000" w:themeColor="text1"/>
        </w:rPr>
      </w:pPr>
    </w:p>
    <w:p w14:paraId="12EB1A09" w14:textId="77777777" w:rsidR="00836C04" w:rsidRPr="00FA366D" w:rsidRDefault="002969B5" w:rsidP="001A7EF0">
      <w:pPr>
        <w:spacing w:line="0" w:lineRule="atLeast"/>
        <w:rPr>
          <w:color w:val="000000" w:themeColor="text1"/>
        </w:rPr>
      </w:pPr>
      <w:r w:rsidRPr="00FA366D">
        <w:rPr>
          <w:b/>
          <w:bCs/>
          <w:color w:val="000000" w:themeColor="text1"/>
        </w:rPr>
        <w:t>Figure 3. Annotated graphical user interface (GUI) controls used for quantitative ultrasound (QUS) acquisition and processing.</w:t>
      </w:r>
      <w:r w:rsidRPr="00FA366D">
        <w:rPr>
          <w:color w:val="000000" w:themeColor="text1"/>
        </w:rPr>
        <w:t xml:space="preserve"> (A) Acquisition mode selection. (B) QUS parameter selection window. (C) QUS parameter map selection menu. (D) Color scale adjustment window. (E) Region-of-interest (ROI) selection control. (F) Sample attenuation settings. (G) Scan parameter settings. (H) Processing parameter window for configuring sub-ROI dimensions and processing bandwidth.</w:t>
      </w:r>
    </w:p>
    <w:p w14:paraId="60527FF1" w14:textId="77777777" w:rsidR="00836C04" w:rsidRPr="00FA366D" w:rsidRDefault="00836C04" w:rsidP="001A7EF0">
      <w:pPr>
        <w:spacing w:line="0" w:lineRule="atLeast"/>
        <w:rPr>
          <w:color w:val="000000" w:themeColor="text1"/>
        </w:rPr>
      </w:pPr>
    </w:p>
    <w:p w14:paraId="580334FD" w14:textId="77777777" w:rsidR="00836C04" w:rsidRPr="00FA366D" w:rsidRDefault="002969B5" w:rsidP="001A7EF0">
      <w:pPr>
        <w:spacing w:line="0" w:lineRule="atLeast"/>
        <w:rPr>
          <w:color w:val="000000" w:themeColor="text1"/>
        </w:rPr>
      </w:pPr>
      <w:r w:rsidRPr="00FA366D">
        <w:rPr>
          <w:b/>
          <w:bCs/>
          <w:color w:val="000000" w:themeColor="text1"/>
        </w:rPr>
        <w:t>Figure 4. Offline quantitative ultrasound (QUS) visualization and reprocessing interface.</w:t>
      </w:r>
      <w:r w:rsidRPr="00FA366D">
        <w:rPr>
          <w:color w:val="000000" w:themeColor="text1"/>
        </w:rPr>
        <w:t xml:space="preserve"> Previously saved radiofrequency (RF) datasets are loaded using the </w:t>
      </w:r>
      <w:r w:rsidRPr="00FA366D">
        <w:rPr>
          <w:i/>
          <w:iCs/>
          <w:color w:val="000000" w:themeColor="text1"/>
        </w:rPr>
        <w:t>load_saved_data.m</w:t>
      </w:r>
      <w:r w:rsidRPr="00FA366D">
        <w:rPr>
          <w:color w:val="000000" w:themeColor="text1"/>
        </w:rPr>
        <w:t xml:space="preserve"> script for offline visualization, frame navigation, region-of-interest (ROI) selection, parameter recomputation, and color scale adjustment.</w:t>
      </w:r>
    </w:p>
    <w:p w14:paraId="0E14B218" w14:textId="77777777" w:rsidR="00836C04" w:rsidRPr="00FA366D" w:rsidRDefault="00836C04" w:rsidP="001A7EF0">
      <w:pPr>
        <w:spacing w:line="0" w:lineRule="atLeast"/>
        <w:rPr>
          <w:color w:val="000000" w:themeColor="text1"/>
        </w:rPr>
      </w:pPr>
    </w:p>
    <w:p w14:paraId="4B00F093" w14:textId="77777777" w:rsidR="00836C04" w:rsidRPr="00FA366D" w:rsidRDefault="002969B5" w:rsidP="001A7EF0">
      <w:pPr>
        <w:spacing w:line="0" w:lineRule="atLeast"/>
        <w:rPr>
          <w:color w:val="000000" w:themeColor="text1"/>
        </w:rPr>
      </w:pPr>
      <w:r w:rsidRPr="00FA366D">
        <w:rPr>
          <w:b/>
          <w:bCs/>
          <w:color w:val="000000" w:themeColor="text1"/>
        </w:rPr>
        <w:t>Figure 5. Validation of backscatter coefficient (BSC) estimation using tissue-mimicking phantoms with known scatterer sizes.</w:t>
      </w:r>
      <w:r w:rsidRPr="00FA366D">
        <w:rPr>
          <w:color w:val="000000" w:themeColor="text1"/>
        </w:rPr>
        <w:t xml:space="preserve"> (A–D) Plane-wave (PW) and focused-wave (FW) B-mode images of the reference and sample phantoms showing the processing region of interest (ROI) and sliding sub-regions of interest (sub-ROIs). (</w:t>
      </w:r>
      <w:proofErr w:type="gramStart"/>
      <w:r w:rsidRPr="00FA366D">
        <w:rPr>
          <w:color w:val="000000" w:themeColor="text1"/>
        </w:rPr>
        <w:t>E,F</w:t>
      </w:r>
      <w:proofErr w:type="gramEnd"/>
      <w:r w:rsidRPr="00FA366D">
        <w:rPr>
          <w:color w:val="000000" w:themeColor="text1"/>
        </w:rPr>
        <w:t>) Estimated BSC curves obtained using single-frame averaging and 20-frame averaging compared with theoretical BSC values calculated using Faran scattering theory. Shaded regions represent ±1 standard deviation (SD).</w:t>
      </w:r>
    </w:p>
    <w:p w14:paraId="7E1A1788" w14:textId="77777777" w:rsidR="00836C04" w:rsidRPr="00FA366D" w:rsidRDefault="00836C04" w:rsidP="001A7EF0">
      <w:pPr>
        <w:spacing w:line="0" w:lineRule="atLeast"/>
        <w:rPr>
          <w:color w:val="000000" w:themeColor="text1"/>
        </w:rPr>
      </w:pPr>
    </w:p>
    <w:p w14:paraId="4A05BE55" w14:textId="77777777" w:rsidR="00836C04" w:rsidRPr="00FA366D" w:rsidRDefault="002969B5" w:rsidP="001A7EF0">
      <w:pPr>
        <w:spacing w:line="0" w:lineRule="atLeast"/>
        <w:rPr>
          <w:color w:val="000000" w:themeColor="text1"/>
        </w:rPr>
      </w:pPr>
      <w:r w:rsidRPr="00FA366D">
        <w:rPr>
          <w:b/>
          <w:bCs/>
          <w:color w:val="000000" w:themeColor="text1"/>
        </w:rPr>
        <w:t xml:space="preserve">Figure 6. Envelope statistics parameter maps estimated for the 60 μm tissue-mimicking </w:t>
      </w:r>
      <w:proofErr w:type="gramStart"/>
      <w:r w:rsidRPr="00FA366D">
        <w:rPr>
          <w:b/>
          <w:bCs/>
          <w:color w:val="000000" w:themeColor="text1"/>
        </w:rPr>
        <w:t>phantom</w:t>
      </w:r>
      <w:proofErr w:type="gramEnd"/>
      <w:r w:rsidRPr="00FA366D">
        <w:rPr>
          <w:b/>
          <w:bCs/>
          <w:color w:val="000000" w:themeColor="text1"/>
        </w:rPr>
        <w:t>.</w:t>
      </w:r>
      <w:r w:rsidRPr="00FA366D">
        <w:rPr>
          <w:color w:val="000000" w:themeColor="text1"/>
        </w:rPr>
        <w:t xml:space="preserve"> Quantitative ultrasound parameter maps obtained using (top) plane-wave (PW) acquisition and (bottom) focused-wave (FW) acquisition with a focal depth of 25 mm. Maps include the Homodyned-K structure parameter, Homodyned-K clustering parameter, Nakagami shape parameter, Nakagami scale parameter, and Rayleigh signal-to-noise ratio (SNR).</w:t>
      </w:r>
    </w:p>
    <w:p w14:paraId="59639B85" w14:textId="77777777" w:rsidR="00836C04" w:rsidRPr="00FA366D" w:rsidRDefault="00836C04" w:rsidP="001A7EF0">
      <w:pPr>
        <w:spacing w:line="0" w:lineRule="atLeast"/>
        <w:rPr>
          <w:color w:val="000000" w:themeColor="text1"/>
        </w:rPr>
      </w:pPr>
    </w:p>
    <w:p w14:paraId="5D521295" w14:textId="77777777" w:rsidR="00836C04" w:rsidRPr="00FA366D" w:rsidRDefault="002969B5" w:rsidP="001A7EF0">
      <w:pPr>
        <w:spacing w:line="0" w:lineRule="atLeast"/>
        <w:rPr>
          <w:color w:val="000000" w:themeColor="text1"/>
        </w:rPr>
      </w:pPr>
      <w:r w:rsidRPr="00FA366D">
        <w:rPr>
          <w:b/>
          <w:bCs/>
          <w:color w:val="000000" w:themeColor="text1"/>
        </w:rPr>
        <w:t>Figure 7. Quantitative ultrasound (QUS) parameter mapping of an ATS tissue-mimicking phantom.</w:t>
      </w:r>
      <w:r w:rsidRPr="00FA366D">
        <w:rPr>
          <w:color w:val="000000" w:themeColor="text1"/>
        </w:rPr>
        <w:t xml:space="preserve"> (A) Phantom layout highlighting the contrast targets. (B) Mid-band fit (MBF) parameter map. (C) Effective acoustic concentration (EAC) parameter map demonstrating differentiation of the +3 dB, −3 dB, and −6 dB contrast inclusions.</w:t>
      </w:r>
    </w:p>
    <w:p w14:paraId="309FD318" w14:textId="77777777" w:rsidR="00836C04" w:rsidRPr="00FA366D" w:rsidRDefault="00836C04" w:rsidP="001A7EF0">
      <w:pPr>
        <w:spacing w:line="0" w:lineRule="atLeast"/>
        <w:rPr>
          <w:color w:val="000000" w:themeColor="text1"/>
        </w:rPr>
      </w:pPr>
    </w:p>
    <w:p w14:paraId="106CEA49" w14:textId="7F5E9B72" w:rsidR="00ED02E8" w:rsidRPr="00FA366D" w:rsidRDefault="002969B5" w:rsidP="001A7EF0">
      <w:pPr>
        <w:spacing w:line="0" w:lineRule="atLeast"/>
        <w:rPr>
          <w:color w:val="000000" w:themeColor="text1"/>
        </w:rPr>
      </w:pPr>
      <w:r w:rsidRPr="00FA366D">
        <w:rPr>
          <w:b/>
          <w:bCs/>
          <w:color w:val="000000" w:themeColor="text1"/>
        </w:rPr>
        <w:t>Figure 8. Quantitative ultrasound (QUS) parameter maps estimated from ex vivo chicken breast tissue.</w:t>
      </w:r>
      <w:r w:rsidRPr="00FA366D">
        <w:rPr>
          <w:color w:val="000000" w:themeColor="text1"/>
        </w:rPr>
        <w:t xml:space="preserve"> Envelope statistics-, attenuation-, and backscatter coefficient (BSC)-based parameter maps are displayed as color overlays on the corresponding B-mode images. The displayed parameters include the Homodyned-K structure parameter, Homodyned-K clustering parameter, Nakagami shape parameter, Nakagami scale parameter, Rayleigh signal-to-noise ratio (SNR), spectral slope (SS), spectral intercept (I0), mid-band fit (MBF), effective scatterer diameter (ESD), effective acoustic concentration (EAC), attenuation coefficient (</w:t>
      </w:r>
      <w:proofErr w:type="spellStart"/>
      <w:r w:rsidRPr="00FA366D">
        <w:rPr>
          <w:color w:val="000000" w:themeColor="text1"/>
        </w:rPr>
        <w:t>AttenAlpha</w:t>
      </w:r>
      <w:proofErr w:type="spellEnd"/>
      <w:r w:rsidRPr="00FA366D">
        <w:rPr>
          <w:color w:val="000000" w:themeColor="text1"/>
        </w:rPr>
        <w:t>), attenuation intercept (</w:t>
      </w:r>
      <w:proofErr w:type="spellStart"/>
      <w:r w:rsidRPr="00FA366D">
        <w:rPr>
          <w:color w:val="000000" w:themeColor="text1"/>
        </w:rPr>
        <w:t>Atten</w:t>
      </w:r>
      <w:r w:rsidR="001702B0" w:rsidRPr="00FA366D">
        <w:rPr>
          <w:color w:val="000000" w:themeColor="text1"/>
        </w:rPr>
        <w:t>Intercept</w:t>
      </w:r>
      <w:proofErr w:type="spellEnd"/>
      <w:r w:rsidRPr="00FA366D">
        <w:rPr>
          <w:color w:val="000000" w:themeColor="text1"/>
        </w:rPr>
        <w:t>), and attenuation at the mid-band (</w:t>
      </w:r>
      <w:proofErr w:type="spellStart"/>
      <w:r w:rsidRPr="00FA366D">
        <w:rPr>
          <w:color w:val="000000" w:themeColor="text1"/>
        </w:rPr>
        <w:t>AttenMB</w:t>
      </w:r>
      <w:proofErr w:type="spellEnd"/>
      <w:r w:rsidRPr="00FA366D">
        <w:rPr>
          <w:color w:val="000000" w:themeColor="text1"/>
        </w:rPr>
        <w:t>).</w:t>
      </w:r>
    </w:p>
    <w:p w14:paraId="3D750A11" w14:textId="77777777" w:rsidR="00B52B44" w:rsidRPr="00FA366D" w:rsidRDefault="00B52B44" w:rsidP="001A7EF0">
      <w:pPr>
        <w:spacing w:line="0" w:lineRule="atLeast"/>
        <w:rPr>
          <w:color w:val="000000" w:themeColor="text1"/>
        </w:rPr>
      </w:pPr>
    </w:p>
    <w:p w14:paraId="280EBDE5" w14:textId="26D4B9EF" w:rsidR="00B52B44" w:rsidRPr="00FA366D" w:rsidRDefault="002969B5" w:rsidP="001A7EF0">
      <w:pPr>
        <w:spacing w:line="0" w:lineRule="atLeast"/>
        <w:rPr>
          <w:bCs/>
          <w:color w:val="000000" w:themeColor="text1"/>
          <w:lang w:val="en-IN"/>
        </w:rPr>
      </w:pPr>
      <w:r w:rsidRPr="00FA366D">
        <w:rPr>
          <w:b/>
          <w:bCs/>
          <w:color w:val="000000" w:themeColor="text1"/>
          <w:lang w:val="en-IN"/>
        </w:rPr>
        <w:t>Table 1. Mean ± standard deviation of backscatter coefficient (BSC)-based quantitative ultrasound (QUS) parameters estimated for the 60 μm tissue-mimicking phantom using plane-wave (PW) and focused-wave (FW) acquisition modes.</w:t>
      </w:r>
      <w:r w:rsidRPr="00FA366D">
        <w:rPr>
          <w:bCs/>
          <w:color w:val="000000" w:themeColor="text1"/>
          <w:lang w:val="en-IN"/>
        </w:rPr>
        <w:t xml:space="preserve"> Mean values were calculated over a 30 mm × </w:t>
      </w:r>
      <w:r w:rsidR="00D93770" w:rsidRPr="00FA366D">
        <w:rPr>
          <w:bCs/>
          <w:color w:val="000000" w:themeColor="text1"/>
          <w:lang w:val="en-IN"/>
        </w:rPr>
        <w:t>1</w:t>
      </w:r>
      <w:r w:rsidRPr="00FA366D">
        <w:rPr>
          <w:bCs/>
          <w:color w:val="000000" w:themeColor="text1"/>
          <w:lang w:val="en-IN"/>
        </w:rPr>
        <w:t>5 mm region of interest (ROI) using 5 mm × 3 mm sliding sub-regions of interest (sub-ROIs), as illustrated in Figure 5. Expected values were calculated from the theoretical backscatter coefficient using Faran scattering theory.</w:t>
      </w:r>
    </w:p>
    <w:p w14:paraId="5897C797" w14:textId="0BF73E38" w:rsidR="00B52B44" w:rsidRPr="00FA366D" w:rsidRDefault="00B52B44" w:rsidP="001A7EF0">
      <w:pPr>
        <w:spacing w:line="0" w:lineRule="atLeast"/>
        <w:rPr>
          <w:bCs/>
          <w:color w:val="000000" w:themeColor="text1"/>
          <w:lang w:val="en-IN"/>
        </w:rPr>
      </w:pPr>
    </w:p>
    <w:p w14:paraId="54E3454E" w14:textId="0F23940C" w:rsidR="00B52B44" w:rsidRPr="00FA366D" w:rsidRDefault="00667964" w:rsidP="001A7EF0">
      <w:pPr>
        <w:spacing w:line="0" w:lineRule="atLeast"/>
        <w:rPr>
          <w:color w:val="000000" w:themeColor="text1"/>
          <w:lang w:val="en-IN"/>
        </w:rPr>
      </w:pPr>
      <w:r w:rsidRPr="00FA366D">
        <w:rPr>
          <w:b/>
          <w:bCs/>
          <w:color w:val="000000" w:themeColor="text1"/>
        </w:rPr>
        <w:t>Table 2. Processing frame rate (frames per second [FPS]) for different quantitative ultrasound (QUS) parameter configurations over an imaging depth of 10–40 mm using 5 mm × 3 mm sliding sub-regions of interest (sub-ROIs).</w:t>
      </w:r>
      <w:r w:rsidRPr="00FA366D">
        <w:rPr>
          <w:color w:val="000000" w:themeColor="text1"/>
        </w:rPr>
        <w:t xml:space="preserve"> Processing performance is reported for plane-wave (PW) and focused-wave (FW) acquisition modes using different combinations of envelope statistics-, backscatter coefficient (BSC)-based, and attenuation-based QUS parameters.</w:t>
      </w:r>
      <w:r w:rsidR="007308C4" w:rsidRPr="00FA366D">
        <w:rPr>
          <w:color w:val="000000" w:themeColor="text1"/>
          <w:lang w:val="en-IN"/>
        </w:rPr>
        <w:t xml:space="preserve"> </w:t>
      </w:r>
    </w:p>
    <w:p w14:paraId="01B1C3C1" w14:textId="77777777" w:rsidR="00ED02E8" w:rsidRPr="00FA366D" w:rsidRDefault="00ED02E8" w:rsidP="001A7EF0">
      <w:pPr>
        <w:spacing w:line="0" w:lineRule="atLeast"/>
        <w:rPr>
          <w:bCs/>
          <w:color w:val="000000" w:themeColor="text1"/>
        </w:rPr>
      </w:pPr>
    </w:p>
    <w:p w14:paraId="4DB59DB7" w14:textId="77777777" w:rsidR="00874AEB" w:rsidRPr="00FA366D" w:rsidRDefault="00874AEB" w:rsidP="001A7EF0">
      <w:pPr>
        <w:spacing w:line="0" w:lineRule="atLeast"/>
        <w:rPr>
          <w:b/>
          <w:bCs/>
          <w:color w:val="000000" w:themeColor="text1"/>
        </w:rPr>
      </w:pPr>
      <w:r w:rsidRPr="00FA366D">
        <w:rPr>
          <w:b/>
          <w:bCs/>
          <w:color w:val="000000" w:themeColor="text1"/>
        </w:rPr>
        <w:t>DISCUSSION:</w:t>
      </w:r>
    </w:p>
    <w:p w14:paraId="7C248F54" w14:textId="5D58C777" w:rsidR="00874AEB" w:rsidRPr="00FA366D" w:rsidRDefault="00874AEB" w:rsidP="001A7EF0">
      <w:pPr>
        <w:spacing w:line="0" w:lineRule="atLeast"/>
        <w:rPr>
          <w:color w:val="000000" w:themeColor="text1"/>
        </w:rPr>
      </w:pPr>
      <w:r w:rsidRPr="00FA366D">
        <w:rPr>
          <w:color w:val="000000" w:themeColor="text1"/>
        </w:rPr>
        <w:t>This paper describes a QUS processing pipeline with a user-friendly numerical computing software–based GUI implemented on an ultra-portable USB-C-connected ultrasound system. The pipeline integrates spectral-based BSC and attenuation estimation, model-based parameter extraction, and envelope statistics-based parameter estimation to provide multiple complementary quantitative descriptors of tissue microstructure. The reference phantom method used for BSC and attenuation estimation, together with Gaussian scattering model fitting and envelope statistics analysis, builds upon established quantitative ultrasound methodologies for tissue characterization</w:t>
      </w:r>
      <w:r w:rsidRPr="00FA366D">
        <w:rPr>
          <w:color w:val="000000" w:themeColor="text1"/>
          <w:vertAlign w:val="superscript"/>
        </w:rPr>
        <w:t>4–6,16,17,25,26,29</w:t>
      </w:r>
      <w:r w:rsidRPr="00FA366D">
        <w:rPr>
          <w:color w:val="000000" w:themeColor="text1"/>
        </w:rPr>
        <w:t>. Validation using tissue-mimicking phantoms demonstrated that the estimated BSC curves and derived BSC-based parameters were in close agreement with theoretical predictions for both PW and FW acquisition modes (</w:t>
      </w:r>
      <w:r w:rsidRPr="00FA366D">
        <w:rPr>
          <w:b/>
          <w:bCs/>
          <w:color w:val="000000" w:themeColor="text1"/>
        </w:rPr>
        <w:t>Table 1</w:t>
      </w:r>
      <w:r w:rsidRPr="00FA366D">
        <w:rPr>
          <w:color w:val="000000" w:themeColor="text1"/>
        </w:rPr>
        <w:t>). In particular, the mean mid-band BSC estimates remained within 0.5 dB of the theoretical value obtained using Faran scattering theory, while temporal averaging over 20 frames substantially reduced estimation variability without introducing systematic bias. Similarly, the estimated ESD, EAC, SS, I0, and MBF remained close to their expected theoretical values (</w:t>
      </w:r>
      <w:r w:rsidRPr="00FA366D">
        <w:rPr>
          <w:b/>
          <w:bCs/>
          <w:color w:val="000000" w:themeColor="text1"/>
        </w:rPr>
        <w:t>Table 1</w:t>
      </w:r>
      <w:r w:rsidRPr="00FA366D">
        <w:rPr>
          <w:color w:val="000000" w:themeColor="text1"/>
        </w:rPr>
        <w:t>). The estimated Nakagami shape parameter and Rayleigh SNR were also consistent with the fully developed speckle expected from a dense random scatterer distribution, supporting the validity of the implemented envelope statistics-based processing pipeline</w:t>
      </w:r>
      <w:r w:rsidRPr="00FA366D">
        <w:rPr>
          <w:color w:val="000000" w:themeColor="text1"/>
          <w:vertAlign w:val="superscript"/>
        </w:rPr>
        <w:t>16,18,34,37</w:t>
      </w:r>
      <w:r w:rsidRPr="00FA366D">
        <w:rPr>
          <w:color w:val="000000" w:themeColor="text1"/>
        </w:rPr>
        <w:t>. Furthermore, attenuation estimates obtained from ex vivo chicken breast tissue agreed with previously reported values</w:t>
      </w:r>
      <w:r w:rsidRPr="00FA366D">
        <w:rPr>
          <w:color w:val="000000" w:themeColor="text1"/>
          <w:vertAlign w:val="superscript"/>
        </w:rPr>
        <w:t>3</w:t>
      </w:r>
      <w:r w:rsidR="00BE0311" w:rsidRPr="00FA366D">
        <w:rPr>
          <w:color w:val="000000" w:themeColor="text1"/>
          <w:vertAlign w:val="superscript"/>
        </w:rPr>
        <w:t>9</w:t>
      </w:r>
      <w:r w:rsidRPr="00FA366D">
        <w:rPr>
          <w:color w:val="000000" w:themeColor="text1"/>
        </w:rPr>
        <w:t>, while the ATS phantom experiments demonstrated that MBF and EAC accurately quantified relative differences in acoustic backscatter strength. The H-K distribution parameters further complemented tissue characterization by providing information related to heterogeneous scattering environments, consistent with previous reports demonstrating their utility for biological tissue characterization and classification</w:t>
      </w:r>
      <w:r w:rsidRPr="00FA366D">
        <w:rPr>
          <w:color w:val="000000" w:themeColor="text1"/>
          <w:vertAlign w:val="superscript"/>
        </w:rPr>
        <w:t>17,19,3</w:t>
      </w:r>
      <w:r w:rsidR="00BE0311" w:rsidRPr="00FA366D">
        <w:rPr>
          <w:color w:val="000000" w:themeColor="text1"/>
          <w:vertAlign w:val="superscript"/>
        </w:rPr>
        <w:t>4</w:t>
      </w:r>
      <w:r w:rsidRPr="00FA366D">
        <w:rPr>
          <w:color w:val="000000" w:themeColor="text1"/>
          <w:vertAlign w:val="superscript"/>
        </w:rPr>
        <w:t>,3</w:t>
      </w:r>
      <w:r w:rsidR="00BE0311" w:rsidRPr="00FA366D">
        <w:rPr>
          <w:color w:val="000000" w:themeColor="text1"/>
          <w:vertAlign w:val="superscript"/>
        </w:rPr>
        <w:t>8</w:t>
      </w:r>
      <w:r w:rsidRPr="00FA366D">
        <w:rPr>
          <w:color w:val="000000" w:themeColor="text1"/>
        </w:rPr>
        <w:t>. Collectively, these findings support the proposed pipeline as a validated framework for quantitative point-of-care ultrasound imaging capable of generating complementary quantitative information beyond conventional B-mode imaging.</w:t>
      </w:r>
    </w:p>
    <w:p w14:paraId="219B7FE8" w14:textId="77777777" w:rsidR="00874AEB" w:rsidRPr="00FA366D" w:rsidRDefault="00874AEB" w:rsidP="001A7EF0">
      <w:pPr>
        <w:spacing w:line="0" w:lineRule="atLeast"/>
        <w:rPr>
          <w:color w:val="000000" w:themeColor="text1"/>
        </w:rPr>
      </w:pPr>
    </w:p>
    <w:p w14:paraId="65869A75" w14:textId="77777777" w:rsidR="00874AEB" w:rsidRPr="00FA366D" w:rsidRDefault="00874AEB" w:rsidP="001A7EF0">
      <w:pPr>
        <w:spacing w:line="0" w:lineRule="atLeast"/>
        <w:rPr>
          <w:color w:val="000000" w:themeColor="text1"/>
        </w:rPr>
      </w:pPr>
      <w:r w:rsidRPr="00FA366D">
        <w:rPr>
          <w:color w:val="000000" w:themeColor="text1"/>
        </w:rPr>
        <w:t xml:space="preserve">Several critical steps in the protocol require particular attention to ensure reproducible QUS parameter estimation. Accurate attenuation compensation is essential for unbiased BSC </w:t>
      </w:r>
      <w:r w:rsidRPr="00FA366D">
        <w:rPr>
          <w:color w:val="000000" w:themeColor="text1"/>
        </w:rPr>
        <w:lastRenderedPageBreak/>
        <w:t>estimation because incorrect attenuation values introduce systematic depth-dependent bias into the estimated BSC and derived parameters</w:t>
      </w:r>
      <w:r w:rsidRPr="00FA366D">
        <w:rPr>
          <w:color w:val="000000" w:themeColor="text1"/>
          <w:vertAlign w:val="superscript"/>
        </w:rPr>
        <w:t>25,26,29</w:t>
      </w:r>
      <w:r w:rsidRPr="00FA366D">
        <w:rPr>
          <w:color w:val="000000" w:themeColor="text1"/>
        </w:rPr>
        <w:t>. When the attenuation properties of the imaging medium are not known a priori, an initial estimate can be obtained using the pipeline’s built-in total attenuation estimation functionality and subsequently used to compensate attenuation effects during BSC computation (</w:t>
      </w:r>
      <w:r w:rsidRPr="00FA366D">
        <w:rPr>
          <w:b/>
          <w:bCs/>
          <w:color w:val="000000" w:themeColor="text1"/>
        </w:rPr>
        <w:t>Equation 1</w:t>
      </w:r>
      <w:r w:rsidRPr="00FA366D">
        <w:rPr>
          <w:color w:val="000000" w:themeColor="text1"/>
        </w:rPr>
        <w:t xml:space="preserve">). Because attenuation is estimated relative to the initial sub-ROI, this reference sub-ROI should be positioned close to the probe surface while remaining sufficiently deep to avoid near-field effects. The processing bandwidth should also be carefully selected to match the usable frequency range of both the sample and reference phantom RF power </w:t>
      </w:r>
      <w:proofErr w:type="gramStart"/>
      <w:r w:rsidRPr="00FA366D">
        <w:rPr>
          <w:color w:val="000000" w:themeColor="text1"/>
        </w:rPr>
        <w:t>spectra</w:t>
      </w:r>
      <w:proofErr w:type="gramEnd"/>
      <w:r w:rsidRPr="00FA366D">
        <w:rPr>
          <w:color w:val="000000" w:themeColor="text1"/>
        </w:rPr>
        <w:t>. The recommended approach is to use the common −6 dB bandwidth of the reference phantom power spectrum. For the ultrasound probe used in this study, the recommended processing bandwidth is 3–6.5 MHz. Users should verify that the selected bandwidth corresponds to the overlapping spectral region in which both the sample and reference spectra remain within 6 dB of their peak power, thereby restricting BSC and attenuation estimation to the high-SNR region and minimizing the influence of system noise</w:t>
      </w:r>
      <w:r w:rsidRPr="00FA366D">
        <w:rPr>
          <w:color w:val="000000" w:themeColor="text1"/>
          <w:vertAlign w:val="superscript"/>
        </w:rPr>
        <w:t>6,25,26</w:t>
      </w:r>
      <w:r w:rsidRPr="00FA366D">
        <w:rPr>
          <w:color w:val="000000" w:themeColor="text1"/>
        </w:rPr>
        <w:t>. In addition, accurate BSC estimation using the reference phantom method requires the probe to be maintained approximately perpendicular to the phantom or tissue surface, consistent with the scan geometry used during acquisition of the reference phantom dataset</w:t>
      </w:r>
      <w:r w:rsidRPr="00FA366D">
        <w:rPr>
          <w:color w:val="000000" w:themeColor="text1"/>
          <w:vertAlign w:val="superscript"/>
        </w:rPr>
        <w:t>25</w:t>
      </w:r>
      <w:r w:rsidRPr="00FA366D">
        <w:rPr>
          <w:color w:val="000000" w:themeColor="text1"/>
        </w:rPr>
        <w:t>.</w:t>
      </w:r>
    </w:p>
    <w:p w14:paraId="77E056AA" w14:textId="77777777" w:rsidR="00874AEB" w:rsidRPr="00FA366D" w:rsidRDefault="00874AEB" w:rsidP="001A7EF0">
      <w:pPr>
        <w:spacing w:line="0" w:lineRule="atLeast"/>
        <w:rPr>
          <w:color w:val="000000" w:themeColor="text1"/>
        </w:rPr>
      </w:pPr>
    </w:p>
    <w:p w14:paraId="7469A1A1" w14:textId="77777777" w:rsidR="00874AEB" w:rsidRPr="00FA366D" w:rsidRDefault="00874AEB" w:rsidP="001A7EF0">
      <w:pPr>
        <w:spacing w:line="0" w:lineRule="atLeast"/>
        <w:rPr>
          <w:color w:val="000000" w:themeColor="text1"/>
        </w:rPr>
      </w:pPr>
      <w:r w:rsidRPr="00FA366D">
        <w:rPr>
          <w:color w:val="000000" w:themeColor="text1"/>
        </w:rPr>
        <w:t>The current implementation has several limitations that should be considered when applying the protocol. Under near real-time operating conditions, single-frame BSC-based parameter estimation exhibits relatively high variability because model-based spectral fitting is inherently sensitive to fluctuations in the estimated power spectra arising from measurement noise and speckle variability</w:t>
      </w:r>
      <w:r w:rsidRPr="00FA366D">
        <w:rPr>
          <w:color w:val="000000" w:themeColor="text1"/>
          <w:vertAlign w:val="superscript"/>
        </w:rPr>
        <w:t>4–6</w:t>
      </w:r>
      <w:r w:rsidRPr="00FA366D">
        <w:rPr>
          <w:color w:val="000000" w:themeColor="text1"/>
        </w:rPr>
        <w:t>. The spatial resolution of the QUS parameter maps is also limited by the selected sub-ROI dimensions. Smaller sub-ROIs improve spatial resolution but reduce the number of independent samples available for spectral and statistical fitting, thereby increasing estimation variability, whereas larger sub-ROIs improve estimation stability at the expense of spatial resolution</w:t>
      </w:r>
      <w:r w:rsidRPr="00FA366D">
        <w:rPr>
          <w:color w:val="000000" w:themeColor="text1"/>
          <w:vertAlign w:val="superscript"/>
        </w:rPr>
        <w:t>40–42</w:t>
      </w:r>
      <w:r w:rsidRPr="00FA366D">
        <w:rPr>
          <w:color w:val="000000" w:themeColor="text1"/>
        </w:rPr>
        <w:t xml:space="preserve">. The current implementation is further limited to an imaging depth of approximately 5 cm because the available reference phantom RF dataset extends only over this depth range; imaging deeper structures therefore requires acquisition of additional reference phantom data. Finally, the current implementation exports RF data as </w:t>
      </w:r>
      <w:proofErr w:type="gramStart"/>
      <w:r w:rsidRPr="00FA366D">
        <w:rPr>
          <w:color w:val="000000" w:themeColor="text1"/>
        </w:rPr>
        <w:t>“.mat</w:t>
      </w:r>
      <w:proofErr w:type="gramEnd"/>
      <w:r w:rsidRPr="00FA366D">
        <w:rPr>
          <w:color w:val="000000" w:themeColor="text1"/>
        </w:rPr>
        <w:t>” files, which limits data transfer efficiency between the probe and the laptop. IQ-domain QUS processing has been shown to reduce computational cost and memory usage while maintaining comparable spectral-based QUS performance</w:t>
      </w:r>
      <w:r w:rsidRPr="00FA366D">
        <w:rPr>
          <w:color w:val="000000" w:themeColor="text1"/>
          <w:vertAlign w:val="superscript"/>
        </w:rPr>
        <w:t>43</w:t>
      </w:r>
      <w:r w:rsidRPr="00FA366D">
        <w:rPr>
          <w:color w:val="000000" w:themeColor="text1"/>
        </w:rPr>
        <w:t xml:space="preserve">; however, the current ultrasound platform provides access only to beamformed RF data and does not output beamformed IQ data. As summarized in </w:t>
      </w:r>
      <w:r w:rsidRPr="00FA366D">
        <w:rPr>
          <w:b/>
          <w:bCs/>
          <w:color w:val="000000" w:themeColor="text1"/>
        </w:rPr>
        <w:t>Table 2</w:t>
      </w:r>
      <w:r w:rsidRPr="00FA366D">
        <w:rPr>
          <w:color w:val="000000" w:themeColor="text1"/>
        </w:rPr>
        <w:t>, combining envelope statistics-based parameters excluding H-K fitting with BSC-based parameters provided a practical balance between parameter diversity and computational performance, achieving a processing rate of approximately 0.7 frames/s for near real-time imaging. Because H-K parameter estimation is computationally intensive and relies on iterative optimization without a closed-form solution</w:t>
      </w:r>
      <w:r w:rsidRPr="00FA366D">
        <w:rPr>
          <w:color w:val="000000" w:themeColor="text1"/>
          <w:vertAlign w:val="superscript"/>
        </w:rPr>
        <w:t>17,34</w:t>
      </w:r>
      <w:r w:rsidRPr="00FA366D">
        <w:rPr>
          <w:color w:val="000000" w:themeColor="text1"/>
        </w:rPr>
        <w:t>, it is better suited for offline analysis or applications in which higher temporal resolution is not required.</w:t>
      </w:r>
    </w:p>
    <w:p w14:paraId="136A90A8" w14:textId="77777777" w:rsidR="00874AEB" w:rsidRPr="00FA366D" w:rsidRDefault="00874AEB" w:rsidP="001A7EF0">
      <w:pPr>
        <w:spacing w:line="0" w:lineRule="atLeast"/>
        <w:rPr>
          <w:color w:val="000000" w:themeColor="text1"/>
        </w:rPr>
      </w:pPr>
    </w:p>
    <w:p w14:paraId="7A3C378C" w14:textId="1CDDAEA9" w:rsidR="00874AEB" w:rsidRPr="00FA366D" w:rsidRDefault="00874AEB" w:rsidP="001A7EF0">
      <w:pPr>
        <w:spacing w:line="0" w:lineRule="atLeast"/>
        <w:rPr>
          <w:color w:val="000000" w:themeColor="text1"/>
        </w:rPr>
      </w:pPr>
      <w:r w:rsidRPr="00FA366D">
        <w:rPr>
          <w:color w:val="000000" w:themeColor="text1"/>
        </w:rPr>
        <w:t xml:space="preserve">Several opportunities exist to further extend the capabilities of the current pipeline. To reduce parameter variability under near real-time operating conditions, future updates will incorporate multi-frame averaging of consecutive RF acquisitions before QUS parameter estimation, thereby </w:t>
      </w:r>
      <w:r w:rsidRPr="00FA366D">
        <w:rPr>
          <w:color w:val="000000" w:themeColor="text1"/>
        </w:rPr>
        <w:lastRenderedPageBreak/>
        <w:t>reducing electronic noise and stochastic spectral fluctuations arising from speckle variability while maintaining near real-time operation. Here, the term “near real-time” refers to interactive QUS parameter estimation and visualization during image acquisition rather than conventional offline post-processing. Although the achievable frame rate decreases for more computationally demanding QUS parameters, particularly BSC- and attenuation-based processing and H-K estimation, these parameters characterize tissue properties that are not expected to change rapidly during scanning. Therefore, near real-time operation is primarily intended to provide timely feedback for probe positioning, ROI selection, and processing parameter adjustment rather than to capture dynamic physiological changes. Future work will investigate the integration of regularized QUS estimation methods</w:t>
      </w:r>
      <w:r w:rsidRPr="00FA366D">
        <w:rPr>
          <w:color w:val="000000" w:themeColor="text1"/>
          <w:vertAlign w:val="superscript"/>
        </w:rPr>
        <w:t>40–42</w:t>
      </w:r>
      <w:r w:rsidRPr="00FA366D">
        <w:rPr>
          <w:color w:val="000000" w:themeColor="text1"/>
        </w:rPr>
        <w:t>. These approaches may enable increased sub-ROI overlap during QUS estimation, thereby improving the spatial resolution of QUS parameter maps while maintaining practical near real-time performance. More computationally efficient methods for H-K parameter estimation, including table-search and artificial neural network-based estimators</w:t>
      </w:r>
      <w:r w:rsidRPr="00FA366D">
        <w:rPr>
          <w:color w:val="000000" w:themeColor="text1"/>
          <w:vertAlign w:val="superscript"/>
        </w:rPr>
        <w:t>3</w:t>
      </w:r>
      <w:r w:rsidR="001E296C" w:rsidRPr="00FA366D">
        <w:rPr>
          <w:color w:val="000000" w:themeColor="text1"/>
          <w:vertAlign w:val="superscript"/>
        </w:rPr>
        <w:t>5</w:t>
      </w:r>
      <w:r w:rsidRPr="00FA366D">
        <w:rPr>
          <w:color w:val="000000" w:themeColor="text1"/>
          <w:vertAlign w:val="superscript"/>
        </w:rPr>
        <w:t>,3</w:t>
      </w:r>
      <w:r w:rsidR="001E296C" w:rsidRPr="00FA366D">
        <w:rPr>
          <w:color w:val="000000" w:themeColor="text1"/>
          <w:vertAlign w:val="superscript"/>
        </w:rPr>
        <w:t>6</w:t>
      </w:r>
      <w:r w:rsidRPr="00FA366D">
        <w:rPr>
          <w:color w:val="000000" w:themeColor="text1"/>
        </w:rPr>
        <w:t xml:space="preserve">, will also be investigated to reduce computation time on the ultrasound platform. </w:t>
      </w:r>
      <w:r w:rsidR="00B71CB2" w:rsidRPr="00FA366D">
        <w:rPr>
          <w:color w:val="000000" w:themeColor="text1"/>
        </w:rPr>
        <w:t>In addition, reference-free QUS methods for attenuation estimation</w:t>
      </w:r>
      <w:r w:rsidR="00B71CB2" w:rsidRPr="00FA366D">
        <w:rPr>
          <w:color w:val="000000" w:themeColor="text1"/>
          <w:vertAlign w:val="superscript"/>
        </w:rPr>
        <w:t>44</w:t>
      </w:r>
      <w:r w:rsidR="00B71CB2" w:rsidRPr="00FA366D">
        <w:rPr>
          <w:color w:val="000000" w:themeColor="text1"/>
        </w:rPr>
        <w:t xml:space="preserve"> will be investigated to reduce dependence on reference phantom acquisitions and further simplify the clinical workflow</w:t>
      </w:r>
      <w:r w:rsidRPr="00FA366D">
        <w:rPr>
          <w:color w:val="000000" w:themeColor="text1"/>
        </w:rPr>
        <w:t>. Because QUS parameter estimation is performed independently for each sub-ROI, the computational workload is inherently parallelizable and well suited for GPU implementation. Processing speed optimization was not a primary objective of the present study; therefore, future versions will incorporate GPU-accelerated QUS processing</w:t>
      </w:r>
      <w:r w:rsidRPr="00FA366D">
        <w:rPr>
          <w:color w:val="000000" w:themeColor="text1"/>
          <w:vertAlign w:val="superscript"/>
        </w:rPr>
        <w:t>45</w:t>
      </w:r>
      <w:r w:rsidRPr="00FA366D">
        <w:rPr>
          <w:color w:val="000000" w:themeColor="text1"/>
        </w:rPr>
        <w:t xml:space="preserve"> together with additional code optimization to improve processing speed, facilitate higher frame rates, and enable more efficient multi-frame averaging.</w:t>
      </w:r>
    </w:p>
    <w:p w14:paraId="732BF0BD" w14:textId="77777777" w:rsidR="00874AEB" w:rsidRPr="00FA366D" w:rsidRDefault="00874AEB" w:rsidP="001A7EF0">
      <w:pPr>
        <w:spacing w:line="0" w:lineRule="atLeast"/>
        <w:rPr>
          <w:color w:val="000000" w:themeColor="text1"/>
        </w:rPr>
      </w:pPr>
    </w:p>
    <w:p w14:paraId="77BF7EAA" w14:textId="77777777" w:rsidR="00874AEB" w:rsidRPr="00FA366D" w:rsidRDefault="00874AEB" w:rsidP="001A7EF0">
      <w:pPr>
        <w:spacing w:line="0" w:lineRule="atLeast"/>
        <w:rPr>
          <w:color w:val="000000" w:themeColor="text1"/>
        </w:rPr>
      </w:pPr>
      <w:r w:rsidRPr="00FA366D">
        <w:rPr>
          <w:color w:val="000000" w:themeColor="text1"/>
        </w:rPr>
        <w:t>Although the present pipeline was validated using the ultrasound probe and acquisition configurations described in this protocol, the modular processing framework can be adapted to other ultrasound probes and imaging sequences by updating the acquisition configuration and corresponding reference phantom dataset. Extension to another scanner requires access to suitable RF or IQ data, adaptation of the data acquisition and import interfaces to the platform-specific software development kit or RF data format, and acquisition of appropriate reference phantom data for the intended imaging configurations. The current software depends on a proprietary MEX interface required for data acquisition and processing on the ultrasound platform and therefore cannot currently be released as a standalone public package. Nevertheless, the processing framework is modular, and the individual analysis stages can be separated conceptually from the platform-specific acquisition interface. This design provides a practical path for future adaptation to platforms that expose raw RF, beamformed RF, or IQ data through different software interfaces. Future work will also expand the range of supported QUS parameters to include entropy- and multiple scattering-based metrics, as well as investigate deep learning-based tissue classification using multiparametric QUS maps as imaging biomarkers, building on previous studies demonstrating the feasibility of QUS-based tissue characterization and classification</w:t>
      </w:r>
      <w:r w:rsidRPr="00FA366D">
        <w:rPr>
          <w:color w:val="000000" w:themeColor="text1"/>
          <w:vertAlign w:val="superscript"/>
        </w:rPr>
        <w:t>7,11–14,20,21</w:t>
      </w:r>
      <w:r w:rsidRPr="00FA366D">
        <w:rPr>
          <w:color w:val="000000" w:themeColor="text1"/>
        </w:rPr>
        <w:t>.</w:t>
      </w:r>
    </w:p>
    <w:p w14:paraId="086B3147" w14:textId="77777777" w:rsidR="00874AEB" w:rsidRPr="00FA366D" w:rsidRDefault="00874AEB" w:rsidP="001A7EF0">
      <w:pPr>
        <w:spacing w:line="0" w:lineRule="atLeast"/>
        <w:rPr>
          <w:color w:val="000000" w:themeColor="text1"/>
        </w:rPr>
      </w:pPr>
    </w:p>
    <w:p w14:paraId="4B243F8D" w14:textId="134E2B77" w:rsidR="00AC3CB9" w:rsidRPr="00FA366D" w:rsidRDefault="00874AEB" w:rsidP="001A7EF0">
      <w:pPr>
        <w:spacing w:line="0" w:lineRule="atLeast"/>
        <w:rPr>
          <w:bCs/>
          <w:color w:val="000000" w:themeColor="text1"/>
        </w:rPr>
      </w:pPr>
      <w:r w:rsidRPr="00FA366D">
        <w:rPr>
          <w:color w:val="000000" w:themeColor="text1"/>
        </w:rPr>
        <w:t xml:space="preserve">The significance of this work lies in providing a comprehensive QUS processing pipeline for an ultra-portable ultrasound platform that can be deployed beyond traditional research laboratories and conventional cart-based ultrasound systems. Although handheld ultrasound devices have </w:t>
      </w:r>
      <w:r w:rsidRPr="00FA366D">
        <w:rPr>
          <w:color w:val="000000" w:themeColor="text1"/>
        </w:rPr>
        <w:lastRenderedPageBreak/>
        <w:t>become increasingly available for point-of-care imaging</w:t>
      </w:r>
      <w:r w:rsidRPr="00FA366D">
        <w:rPr>
          <w:color w:val="000000" w:themeColor="text1"/>
          <w:vertAlign w:val="superscript"/>
        </w:rPr>
        <w:t>22,23</w:t>
      </w:r>
      <w:r w:rsidRPr="00FA366D">
        <w:rPr>
          <w:color w:val="000000" w:themeColor="text1"/>
        </w:rPr>
        <w:t>, most quantitative ultrasound implementations continue to rely on research scanners or cart-based systems</w:t>
      </w:r>
      <w:r w:rsidRPr="00FA366D">
        <w:rPr>
          <w:color w:val="000000" w:themeColor="text1"/>
          <w:vertAlign w:val="superscript"/>
        </w:rPr>
        <w:t>8–11,24</w:t>
      </w:r>
      <w:r w:rsidRPr="00FA366D">
        <w:rPr>
          <w:color w:val="000000" w:themeColor="text1"/>
        </w:rPr>
        <w:t>. By integrating spectral-, attenuation-, and envelope statistics-based QUS analysis within a user-friendly numerical computing software–based GUI requiring no specialized programming expertise, the present pipeline lowers the technical barrier to performing quantitative ultrasound tissue characterization on a portable platform. The modular framework further facilitates adaptation to different probes, acquisition schemes, and research applications, supporting translational quantitative ultrasound studies across a broad range of preclinical and clinical imaging applications</w:t>
      </w:r>
      <w:r w:rsidRPr="00FA366D">
        <w:rPr>
          <w:color w:val="000000" w:themeColor="text1"/>
          <w:vertAlign w:val="superscript"/>
        </w:rPr>
        <w:t>7–14,20,21,24</w:t>
      </w:r>
      <w:r w:rsidRPr="00FA366D">
        <w:rPr>
          <w:color w:val="000000" w:themeColor="text1"/>
        </w:rPr>
        <w:t xml:space="preserve">. This balance is important for point-of-care use, where computational efficiency, reproducibility, and ease of operation must be considered together with quantitative accuracy. The present implementation therefore emphasizes an integrated workflow rather than acceleration of a single processing stage, while preserving access to the underlying RF data and allowing users to modify processing parameters according to the intended application. Although additional optimization and broader platform validation are required before routine clinical deployment, the present work establishes a practical implementation pathway for bringing multiparametric QUS analysis closer to point-of-care use while preserving the quantitative information available from spectral and </w:t>
      </w:r>
      <w:proofErr w:type="gramStart"/>
      <w:r w:rsidRPr="00FA366D">
        <w:rPr>
          <w:color w:val="000000" w:themeColor="text1"/>
        </w:rPr>
        <w:t>envelope</w:t>
      </w:r>
      <w:proofErr w:type="gramEnd"/>
      <w:r w:rsidRPr="00FA366D">
        <w:rPr>
          <w:color w:val="000000" w:themeColor="text1"/>
        </w:rPr>
        <w:t xml:space="preserve"> statistics-based methods.</w:t>
      </w:r>
    </w:p>
    <w:p w14:paraId="6075BEAE" w14:textId="77777777" w:rsidR="00874AEB" w:rsidRPr="00FA366D" w:rsidRDefault="00874AEB" w:rsidP="001A7EF0">
      <w:pPr>
        <w:spacing w:line="0" w:lineRule="atLeast"/>
        <w:rPr>
          <w:bCs/>
          <w:color w:val="000000" w:themeColor="text1"/>
        </w:rPr>
      </w:pPr>
    </w:p>
    <w:p w14:paraId="59F37CC4" w14:textId="3CC1E78A" w:rsidR="006E4797" w:rsidRPr="00FA366D" w:rsidRDefault="002969B5" w:rsidP="001A7EF0">
      <w:pPr>
        <w:pBdr>
          <w:top w:val="nil"/>
          <w:left w:val="nil"/>
          <w:bottom w:val="nil"/>
          <w:right w:val="nil"/>
          <w:between w:val="nil"/>
        </w:pBdr>
        <w:spacing w:line="0" w:lineRule="atLeast"/>
        <w:rPr>
          <w:color w:val="000000" w:themeColor="text1"/>
        </w:rPr>
      </w:pPr>
      <w:r w:rsidRPr="00FA366D">
        <w:rPr>
          <w:b/>
          <w:color w:val="000000" w:themeColor="text1"/>
        </w:rPr>
        <w:t xml:space="preserve">ACKNOWLEDGMENTS: </w:t>
      </w:r>
    </w:p>
    <w:p w14:paraId="6D064C88" w14:textId="4DC88B61" w:rsidR="006E4797" w:rsidRPr="00FA366D" w:rsidRDefault="002969B5" w:rsidP="001A7EF0">
      <w:pPr>
        <w:spacing w:line="0" w:lineRule="atLeast"/>
        <w:rPr>
          <w:color w:val="000000" w:themeColor="text1"/>
        </w:rPr>
      </w:pPr>
      <w:r w:rsidRPr="00FA366D">
        <w:rPr>
          <w:color w:val="000000" w:themeColor="text1"/>
        </w:rPr>
        <w:t xml:space="preserve">This work was supported in part by the National Institutes of Health (NIH) under grant </w:t>
      </w:r>
      <w:r w:rsidRPr="00FA366D">
        <w:rPr>
          <w:b/>
          <w:bCs/>
          <w:color w:val="000000" w:themeColor="text1"/>
        </w:rPr>
        <w:t>R01HL175513</w:t>
      </w:r>
      <w:r w:rsidRPr="00FA366D">
        <w:rPr>
          <w:color w:val="000000" w:themeColor="text1"/>
        </w:rPr>
        <w:t xml:space="preserve"> (Multiple Principal Investigators: Mamou and Muller).</w:t>
      </w:r>
    </w:p>
    <w:p w14:paraId="25B2FBBD" w14:textId="77777777" w:rsidR="006E4797" w:rsidRPr="00FA366D" w:rsidRDefault="006E4797" w:rsidP="001A7EF0">
      <w:pPr>
        <w:spacing w:line="0" w:lineRule="atLeast"/>
        <w:rPr>
          <w:b/>
          <w:color w:val="000000" w:themeColor="text1"/>
        </w:rPr>
      </w:pPr>
    </w:p>
    <w:p w14:paraId="5E703EBA" w14:textId="594823E6" w:rsidR="006E4797" w:rsidRPr="00FA366D" w:rsidRDefault="002969B5" w:rsidP="001A7EF0">
      <w:pPr>
        <w:pBdr>
          <w:top w:val="nil"/>
          <w:left w:val="nil"/>
          <w:bottom w:val="nil"/>
          <w:right w:val="nil"/>
          <w:between w:val="nil"/>
        </w:pBdr>
        <w:spacing w:line="0" w:lineRule="atLeast"/>
        <w:rPr>
          <w:color w:val="000000" w:themeColor="text1"/>
        </w:rPr>
      </w:pPr>
      <w:r w:rsidRPr="00FA366D">
        <w:rPr>
          <w:b/>
          <w:color w:val="000000" w:themeColor="text1"/>
        </w:rPr>
        <w:t xml:space="preserve">DISCLOSURES: </w:t>
      </w:r>
    </w:p>
    <w:p w14:paraId="132340D6" w14:textId="0023342B" w:rsidR="006E4797" w:rsidRPr="00FA366D" w:rsidRDefault="002969B5" w:rsidP="001A7EF0">
      <w:pPr>
        <w:spacing w:line="0" w:lineRule="atLeast"/>
        <w:rPr>
          <w:color w:val="000000" w:themeColor="text1"/>
        </w:rPr>
      </w:pPr>
      <w:r w:rsidRPr="00FA366D">
        <w:rPr>
          <w:color w:val="000000" w:themeColor="text1"/>
        </w:rPr>
        <w:t>The authors declare no competing financial interests.</w:t>
      </w:r>
    </w:p>
    <w:p w14:paraId="70D7BD89" w14:textId="77777777" w:rsidR="00351087" w:rsidRPr="00FA366D" w:rsidRDefault="00351087" w:rsidP="001A7EF0">
      <w:pPr>
        <w:pBdr>
          <w:top w:val="nil"/>
          <w:left w:val="nil"/>
          <w:bottom w:val="nil"/>
          <w:right w:val="nil"/>
          <w:between w:val="nil"/>
        </w:pBdr>
        <w:spacing w:line="0" w:lineRule="atLeast"/>
        <w:rPr>
          <w:color w:val="000000" w:themeColor="text1"/>
        </w:rPr>
      </w:pPr>
      <w:bookmarkStart w:id="0" w:name="2s8eyo1" w:colFirst="0" w:colLast="0"/>
      <w:bookmarkEnd w:id="0"/>
    </w:p>
    <w:p w14:paraId="62D6F7FD" w14:textId="1631D820" w:rsidR="00F63B8D" w:rsidRPr="00FA366D" w:rsidRDefault="002969B5" w:rsidP="001A7EF0">
      <w:pPr>
        <w:pBdr>
          <w:top w:val="nil"/>
          <w:left w:val="nil"/>
          <w:bottom w:val="nil"/>
          <w:right w:val="nil"/>
          <w:between w:val="nil"/>
        </w:pBdr>
        <w:spacing w:line="0" w:lineRule="atLeast"/>
        <w:rPr>
          <w:color w:val="000000" w:themeColor="text1"/>
        </w:rPr>
      </w:pPr>
      <w:bookmarkStart w:id="1" w:name="3rdcrjn" w:colFirst="0" w:colLast="0"/>
      <w:bookmarkEnd w:id="1"/>
      <w:proofErr w:type="gramStart"/>
      <w:r w:rsidRPr="00FA366D">
        <w:rPr>
          <w:b/>
          <w:color w:val="000000" w:themeColor="text1"/>
        </w:rPr>
        <w:t>REFERENCES</w:t>
      </w:r>
      <w:proofErr w:type="gramEnd"/>
      <w:r w:rsidRPr="00FA366D">
        <w:rPr>
          <w:b/>
          <w:color w:val="000000" w:themeColor="text1"/>
        </w:rPr>
        <w:t>:</w:t>
      </w:r>
    </w:p>
    <w:p w14:paraId="75A4D329"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Strauss S, Gavish E, Gottlieb P, Katsnelson L. Interobserver and intraobserver variability in the sonographic assessment of fatty liver. </w:t>
      </w:r>
      <w:r w:rsidRPr="00FA366D">
        <w:rPr>
          <w:rFonts w:ascii="Calibri" w:hAnsi="Calibri" w:cs="Calibri"/>
          <w:i/>
          <w:iCs/>
          <w:color w:val="000000" w:themeColor="text1"/>
          <w:sz w:val="24"/>
          <w:szCs w:val="24"/>
        </w:rPr>
        <w:t>AJR Am J Roentgenol.</w:t>
      </w:r>
      <w:r w:rsidRPr="00FA366D">
        <w:rPr>
          <w:rFonts w:ascii="Calibri" w:hAnsi="Calibri" w:cs="Calibri"/>
          <w:color w:val="000000" w:themeColor="text1"/>
          <w:sz w:val="24"/>
          <w:szCs w:val="24"/>
        </w:rPr>
        <w:t xml:space="preserve"> 2007;189(6</w:t>
      </w:r>
      <w:proofErr w:type="gramStart"/>
      <w:r w:rsidRPr="00FA366D">
        <w:rPr>
          <w:rFonts w:ascii="Calibri" w:hAnsi="Calibri" w:cs="Calibri"/>
          <w:color w:val="000000" w:themeColor="text1"/>
          <w:sz w:val="24"/>
          <w:szCs w:val="24"/>
        </w:rPr>
        <w:t>):W</w:t>
      </w:r>
      <w:proofErr w:type="gramEnd"/>
      <w:r w:rsidRPr="00FA366D">
        <w:rPr>
          <w:rFonts w:ascii="Calibri" w:hAnsi="Calibri" w:cs="Calibri"/>
          <w:color w:val="000000" w:themeColor="text1"/>
          <w:sz w:val="24"/>
          <w:szCs w:val="24"/>
        </w:rPr>
        <w:t xml:space="preserve">320-W323. doi:10.2214/AJR.07.2123. </w:t>
      </w:r>
    </w:p>
    <w:p w14:paraId="4F45B6F7"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Lee HJ, et al. Intraobserver and interobserver variability in ultrasound measurements of thyroid nodules. </w:t>
      </w:r>
      <w:r w:rsidRPr="00FA366D">
        <w:rPr>
          <w:rFonts w:ascii="Calibri" w:hAnsi="Calibri" w:cs="Calibri"/>
          <w:i/>
          <w:iCs/>
          <w:color w:val="000000" w:themeColor="text1"/>
          <w:sz w:val="24"/>
          <w:szCs w:val="24"/>
        </w:rPr>
        <w:t>J Ultrasound Med.</w:t>
      </w:r>
      <w:r w:rsidRPr="00FA366D">
        <w:rPr>
          <w:rFonts w:ascii="Calibri" w:hAnsi="Calibri" w:cs="Calibri"/>
          <w:color w:val="000000" w:themeColor="text1"/>
          <w:sz w:val="24"/>
          <w:szCs w:val="24"/>
        </w:rPr>
        <w:t xml:space="preserve"> 2018;37(1):173-178. doi:10.1002/jum.14316. </w:t>
      </w:r>
    </w:p>
    <w:p w14:paraId="4089114D"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Maar M, et al. Inter-transducer variability of ultrasound image quality in obese adults: qualitative and quantitative comparisons. </w:t>
      </w:r>
      <w:r w:rsidRPr="00FA366D">
        <w:rPr>
          <w:rFonts w:ascii="Calibri" w:hAnsi="Calibri" w:cs="Calibri"/>
          <w:i/>
          <w:iCs/>
          <w:color w:val="000000" w:themeColor="text1"/>
          <w:sz w:val="24"/>
          <w:szCs w:val="24"/>
        </w:rPr>
        <w:t>Clin Imaging.</w:t>
      </w:r>
      <w:r w:rsidRPr="00FA366D">
        <w:rPr>
          <w:rFonts w:ascii="Calibri" w:hAnsi="Calibri" w:cs="Calibri"/>
          <w:color w:val="000000" w:themeColor="text1"/>
          <w:sz w:val="24"/>
          <w:szCs w:val="24"/>
        </w:rPr>
        <w:t xml:space="preserve"> </w:t>
      </w:r>
      <w:proofErr w:type="gramStart"/>
      <w:r w:rsidRPr="00FA366D">
        <w:rPr>
          <w:rFonts w:ascii="Calibri" w:hAnsi="Calibri" w:cs="Calibri"/>
          <w:color w:val="000000" w:themeColor="text1"/>
          <w:sz w:val="24"/>
          <w:szCs w:val="24"/>
        </w:rPr>
        <w:t>2022;92:63</w:t>
      </w:r>
      <w:proofErr w:type="gramEnd"/>
      <w:r w:rsidRPr="00FA366D">
        <w:rPr>
          <w:rFonts w:ascii="Calibri" w:hAnsi="Calibri" w:cs="Calibri"/>
          <w:color w:val="000000" w:themeColor="text1"/>
          <w:sz w:val="24"/>
          <w:szCs w:val="24"/>
        </w:rPr>
        <w:t xml:space="preserve">-71. </w:t>
      </w:r>
      <w:proofErr w:type="gramStart"/>
      <w:r w:rsidRPr="00FA366D">
        <w:rPr>
          <w:rFonts w:ascii="Calibri" w:hAnsi="Calibri" w:cs="Calibri"/>
          <w:color w:val="000000" w:themeColor="text1"/>
          <w:sz w:val="24"/>
          <w:szCs w:val="24"/>
        </w:rPr>
        <w:t>doi:10.1016/j.clinimag</w:t>
      </w:r>
      <w:proofErr w:type="gramEnd"/>
      <w:r w:rsidRPr="00FA366D">
        <w:rPr>
          <w:rFonts w:ascii="Calibri" w:hAnsi="Calibri" w:cs="Calibri"/>
          <w:color w:val="000000" w:themeColor="text1"/>
          <w:sz w:val="24"/>
          <w:szCs w:val="24"/>
        </w:rPr>
        <w:t xml:space="preserve">.2022.09.010. </w:t>
      </w:r>
    </w:p>
    <w:p w14:paraId="65697C34"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Insana MF, Wagner RF, Brown DG, Hall TJ. Describing small-scale structure in random media using pulse-echo ultrasound.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1990;87(1):179-192. doi:10.1121/1.399283. </w:t>
      </w:r>
    </w:p>
    <w:p w14:paraId="1ACED0CD"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Oelze ML, Zachary JF, O'Brien WD Jr. Characterization of tissue microstructure using ultrasonic backscatter: theory and technique for optimization using a Gaussian form factor.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2002;112(3 Pt 1):1202-1211. doi:10.1121/1.1501278. </w:t>
      </w:r>
    </w:p>
    <w:p w14:paraId="0B2D1042"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Lizzi FL, et al. Theoretical framework for spectrum analysis in ultrasonic tissue characterization.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1983;73(4):1366-1373. doi:10.1121/1.389241. </w:t>
      </w:r>
    </w:p>
    <w:p w14:paraId="5AD567E7"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proofErr w:type="spellStart"/>
      <w:r w:rsidRPr="00FA366D">
        <w:rPr>
          <w:rFonts w:ascii="Calibri" w:hAnsi="Calibri" w:cs="Calibri"/>
          <w:color w:val="000000" w:themeColor="text1"/>
          <w:sz w:val="24"/>
          <w:szCs w:val="24"/>
        </w:rPr>
        <w:lastRenderedPageBreak/>
        <w:t>Quiaoit</w:t>
      </w:r>
      <w:proofErr w:type="spellEnd"/>
      <w:r w:rsidRPr="00FA366D">
        <w:rPr>
          <w:rFonts w:ascii="Calibri" w:hAnsi="Calibri" w:cs="Calibri"/>
          <w:color w:val="000000" w:themeColor="text1"/>
          <w:sz w:val="24"/>
          <w:szCs w:val="24"/>
        </w:rPr>
        <w:t xml:space="preserve"> K, et al. Quantitative ultrasound radiomics for therapy response monitoring in patients with locally advanced breast cancer: multi-institutional study results. </w:t>
      </w:r>
      <w:proofErr w:type="spellStart"/>
      <w:r w:rsidRPr="00FA366D">
        <w:rPr>
          <w:rFonts w:ascii="Calibri" w:hAnsi="Calibri" w:cs="Calibri"/>
          <w:i/>
          <w:iCs/>
          <w:color w:val="000000" w:themeColor="text1"/>
          <w:sz w:val="24"/>
          <w:szCs w:val="24"/>
        </w:rPr>
        <w:t>PLoS</w:t>
      </w:r>
      <w:proofErr w:type="spellEnd"/>
      <w:r w:rsidRPr="00FA366D">
        <w:rPr>
          <w:rFonts w:ascii="Calibri" w:hAnsi="Calibri" w:cs="Calibri"/>
          <w:i/>
          <w:iCs/>
          <w:color w:val="000000" w:themeColor="text1"/>
          <w:sz w:val="24"/>
          <w:szCs w:val="24"/>
        </w:rPr>
        <w:t xml:space="preserve"> One.</w:t>
      </w:r>
      <w:r w:rsidRPr="00FA366D">
        <w:rPr>
          <w:rFonts w:ascii="Calibri" w:hAnsi="Calibri" w:cs="Calibri"/>
          <w:color w:val="000000" w:themeColor="text1"/>
          <w:sz w:val="24"/>
          <w:szCs w:val="24"/>
        </w:rPr>
        <w:t xml:space="preserve"> 2020;15(7</w:t>
      </w:r>
      <w:proofErr w:type="gramStart"/>
      <w:r w:rsidRPr="00FA366D">
        <w:rPr>
          <w:rFonts w:ascii="Calibri" w:hAnsi="Calibri" w:cs="Calibri"/>
          <w:color w:val="000000" w:themeColor="text1"/>
          <w:sz w:val="24"/>
          <w:szCs w:val="24"/>
        </w:rPr>
        <w:t>):e</w:t>
      </w:r>
      <w:proofErr w:type="gramEnd"/>
      <w:r w:rsidRPr="00FA366D">
        <w:rPr>
          <w:rFonts w:ascii="Calibri" w:hAnsi="Calibri" w:cs="Calibri"/>
          <w:color w:val="000000" w:themeColor="text1"/>
          <w:sz w:val="24"/>
          <w:szCs w:val="24"/>
        </w:rPr>
        <w:t xml:space="preserve">0236182. </w:t>
      </w:r>
      <w:proofErr w:type="gramStart"/>
      <w:r w:rsidRPr="00FA366D">
        <w:rPr>
          <w:rFonts w:ascii="Calibri" w:hAnsi="Calibri" w:cs="Calibri"/>
          <w:color w:val="000000" w:themeColor="text1"/>
          <w:sz w:val="24"/>
          <w:szCs w:val="24"/>
        </w:rPr>
        <w:t>doi:10.1371/journal.pone</w:t>
      </w:r>
      <w:proofErr w:type="gramEnd"/>
      <w:r w:rsidRPr="00FA366D">
        <w:rPr>
          <w:rFonts w:ascii="Calibri" w:hAnsi="Calibri" w:cs="Calibri"/>
          <w:color w:val="000000" w:themeColor="text1"/>
          <w:sz w:val="24"/>
          <w:szCs w:val="24"/>
        </w:rPr>
        <w:t xml:space="preserve">.0236182. </w:t>
      </w:r>
    </w:p>
    <w:p w14:paraId="47FFDE09"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Rohrbach D, et al. High-frequency quantitative ultrasound for imaging prostate cancer using a novel micro-ultrasound scanner. </w:t>
      </w:r>
      <w:r w:rsidRPr="00FA366D">
        <w:rPr>
          <w:rFonts w:ascii="Calibri" w:hAnsi="Calibri" w:cs="Calibri"/>
          <w:i/>
          <w:iCs/>
          <w:color w:val="000000" w:themeColor="text1"/>
          <w:sz w:val="24"/>
          <w:szCs w:val="24"/>
        </w:rPr>
        <w:t>Ultrasound Med Biol.</w:t>
      </w:r>
      <w:r w:rsidRPr="00FA366D">
        <w:rPr>
          <w:rFonts w:ascii="Calibri" w:hAnsi="Calibri" w:cs="Calibri"/>
          <w:color w:val="000000" w:themeColor="text1"/>
          <w:sz w:val="24"/>
          <w:szCs w:val="24"/>
        </w:rPr>
        <w:t xml:space="preserve"> 2018;44(7):1341-1354. </w:t>
      </w:r>
      <w:proofErr w:type="gramStart"/>
      <w:r w:rsidRPr="00FA366D">
        <w:rPr>
          <w:rFonts w:ascii="Calibri" w:hAnsi="Calibri" w:cs="Calibri"/>
          <w:color w:val="000000" w:themeColor="text1"/>
          <w:sz w:val="24"/>
          <w:szCs w:val="24"/>
        </w:rPr>
        <w:t>doi:10.1016/j.ultrasmedbio</w:t>
      </w:r>
      <w:proofErr w:type="gramEnd"/>
      <w:r w:rsidRPr="00FA366D">
        <w:rPr>
          <w:rFonts w:ascii="Calibri" w:hAnsi="Calibri" w:cs="Calibri"/>
          <w:color w:val="000000" w:themeColor="text1"/>
          <w:sz w:val="24"/>
          <w:szCs w:val="24"/>
        </w:rPr>
        <w:t xml:space="preserve">.2018.02.014. </w:t>
      </w:r>
    </w:p>
    <w:p w14:paraId="3DF5E64C"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Lavarello RJ, Ridgway WR, Sarwate SS, Oelze ML. Characterization of thyroid cancer in mouse models using high-frequency quantitative ultrasound techniques. </w:t>
      </w:r>
      <w:r w:rsidRPr="00FA366D">
        <w:rPr>
          <w:rFonts w:ascii="Calibri" w:hAnsi="Calibri" w:cs="Calibri"/>
          <w:i/>
          <w:iCs/>
          <w:color w:val="000000" w:themeColor="text1"/>
          <w:sz w:val="24"/>
          <w:szCs w:val="24"/>
        </w:rPr>
        <w:t>Ultrasound Med Biol.</w:t>
      </w:r>
      <w:r w:rsidRPr="00FA366D">
        <w:rPr>
          <w:rFonts w:ascii="Calibri" w:hAnsi="Calibri" w:cs="Calibri"/>
          <w:color w:val="000000" w:themeColor="text1"/>
          <w:sz w:val="24"/>
          <w:szCs w:val="24"/>
        </w:rPr>
        <w:t xml:space="preserve"> 2013;39(12):2333-2341. </w:t>
      </w:r>
      <w:proofErr w:type="gramStart"/>
      <w:r w:rsidRPr="00FA366D">
        <w:rPr>
          <w:rFonts w:ascii="Calibri" w:hAnsi="Calibri" w:cs="Calibri"/>
          <w:color w:val="000000" w:themeColor="text1"/>
          <w:sz w:val="24"/>
          <w:szCs w:val="24"/>
        </w:rPr>
        <w:t>doi:10.1016/j.ultrasmedbio</w:t>
      </w:r>
      <w:proofErr w:type="gramEnd"/>
      <w:r w:rsidRPr="00FA366D">
        <w:rPr>
          <w:rFonts w:ascii="Calibri" w:hAnsi="Calibri" w:cs="Calibri"/>
          <w:color w:val="000000" w:themeColor="text1"/>
          <w:sz w:val="24"/>
          <w:szCs w:val="24"/>
        </w:rPr>
        <w:t xml:space="preserve">.2013.07.006. </w:t>
      </w:r>
    </w:p>
    <w:p w14:paraId="1D90C216"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Mamou J, et al. Three-dimensional high-frequency backscatter and envelope </w:t>
      </w:r>
      <w:proofErr w:type="gramStart"/>
      <w:r w:rsidRPr="00FA366D">
        <w:rPr>
          <w:rFonts w:ascii="Calibri" w:hAnsi="Calibri" w:cs="Calibri"/>
          <w:color w:val="000000" w:themeColor="text1"/>
          <w:sz w:val="24"/>
          <w:szCs w:val="24"/>
        </w:rPr>
        <w:t>quantification</w:t>
      </w:r>
      <w:proofErr w:type="gramEnd"/>
      <w:r w:rsidRPr="00FA366D">
        <w:rPr>
          <w:rFonts w:ascii="Calibri" w:hAnsi="Calibri" w:cs="Calibri"/>
          <w:color w:val="000000" w:themeColor="text1"/>
          <w:sz w:val="24"/>
          <w:szCs w:val="24"/>
        </w:rPr>
        <w:t xml:space="preserve"> of cancerous human lymph nodes. </w:t>
      </w:r>
      <w:r w:rsidRPr="00FA366D">
        <w:rPr>
          <w:rFonts w:ascii="Calibri" w:hAnsi="Calibri" w:cs="Calibri"/>
          <w:i/>
          <w:iCs/>
          <w:color w:val="000000" w:themeColor="text1"/>
          <w:sz w:val="24"/>
          <w:szCs w:val="24"/>
        </w:rPr>
        <w:t>Ultrasound Med Biol.</w:t>
      </w:r>
      <w:r w:rsidRPr="00FA366D">
        <w:rPr>
          <w:rFonts w:ascii="Calibri" w:hAnsi="Calibri" w:cs="Calibri"/>
          <w:color w:val="000000" w:themeColor="text1"/>
          <w:sz w:val="24"/>
          <w:szCs w:val="24"/>
        </w:rPr>
        <w:t xml:space="preserve"> 2011;37(3):345-357. </w:t>
      </w:r>
      <w:proofErr w:type="gramStart"/>
      <w:r w:rsidRPr="00FA366D">
        <w:rPr>
          <w:rFonts w:ascii="Calibri" w:hAnsi="Calibri" w:cs="Calibri"/>
          <w:color w:val="000000" w:themeColor="text1"/>
          <w:sz w:val="24"/>
          <w:szCs w:val="24"/>
        </w:rPr>
        <w:t>doi:10.1016/j.ultrasmedbio</w:t>
      </w:r>
      <w:proofErr w:type="gramEnd"/>
      <w:r w:rsidRPr="00FA366D">
        <w:rPr>
          <w:rFonts w:ascii="Calibri" w:hAnsi="Calibri" w:cs="Calibri"/>
          <w:color w:val="000000" w:themeColor="text1"/>
          <w:sz w:val="24"/>
          <w:szCs w:val="24"/>
        </w:rPr>
        <w:t xml:space="preserve">.2010.11.020. </w:t>
      </w:r>
    </w:p>
    <w:p w14:paraId="55727C9D"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Hoerig C, Wallace K, Wu M, Mamou J. Classification of metastatic lymph nodes in vivo using quantitative ultrasound at clinical frequencies. </w:t>
      </w:r>
      <w:r w:rsidRPr="00FA366D">
        <w:rPr>
          <w:rFonts w:ascii="Calibri" w:hAnsi="Calibri" w:cs="Calibri"/>
          <w:i/>
          <w:iCs/>
          <w:color w:val="000000" w:themeColor="text1"/>
          <w:sz w:val="24"/>
          <w:szCs w:val="24"/>
        </w:rPr>
        <w:t>Ultrasound Med Biol.</w:t>
      </w:r>
      <w:r w:rsidRPr="00FA366D">
        <w:rPr>
          <w:rFonts w:ascii="Calibri" w:hAnsi="Calibri" w:cs="Calibri"/>
          <w:color w:val="000000" w:themeColor="text1"/>
          <w:sz w:val="24"/>
          <w:szCs w:val="24"/>
        </w:rPr>
        <w:t xml:space="preserve"> 2023;49(3):787-801. </w:t>
      </w:r>
      <w:proofErr w:type="gramStart"/>
      <w:r w:rsidRPr="00FA366D">
        <w:rPr>
          <w:rFonts w:ascii="Calibri" w:hAnsi="Calibri" w:cs="Calibri"/>
          <w:color w:val="000000" w:themeColor="text1"/>
          <w:sz w:val="24"/>
          <w:szCs w:val="24"/>
        </w:rPr>
        <w:t>doi:10.1016/j.ultrasmedbio</w:t>
      </w:r>
      <w:proofErr w:type="gramEnd"/>
      <w:r w:rsidRPr="00FA366D">
        <w:rPr>
          <w:rFonts w:ascii="Calibri" w:hAnsi="Calibri" w:cs="Calibri"/>
          <w:color w:val="000000" w:themeColor="text1"/>
          <w:sz w:val="24"/>
          <w:szCs w:val="24"/>
        </w:rPr>
        <w:t xml:space="preserve">.2022.10.018. </w:t>
      </w:r>
    </w:p>
    <w:p w14:paraId="24237CD6"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Ghahramani E, et al. Random forest-based detection of metastases in clinically scanned lymph nodes using quantitative ultrasound imaging. </w:t>
      </w:r>
      <w:r w:rsidRPr="00FA366D">
        <w:rPr>
          <w:rFonts w:ascii="Calibri" w:hAnsi="Calibri" w:cs="Calibri"/>
          <w:i/>
          <w:iCs/>
          <w:color w:val="000000" w:themeColor="text1"/>
          <w:sz w:val="24"/>
          <w:szCs w:val="24"/>
        </w:rPr>
        <w:t>Ultrasound Med Biol.</w:t>
      </w:r>
      <w:r w:rsidRPr="00FA366D">
        <w:rPr>
          <w:rFonts w:ascii="Calibri" w:hAnsi="Calibri" w:cs="Calibri"/>
          <w:color w:val="000000" w:themeColor="text1"/>
          <w:sz w:val="24"/>
          <w:szCs w:val="24"/>
        </w:rPr>
        <w:t xml:space="preserve"> 2025;51(9):1439-1446. </w:t>
      </w:r>
      <w:proofErr w:type="gramStart"/>
      <w:r w:rsidRPr="00FA366D">
        <w:rPr>
          <w:rFonts w:ascii="Calibri" w:hAnsi="Calibri" w:cs="Calibri"/>
          <w:color w:val="000000" w:themeColor="text1"/>
          <w:sz w:val="24"/>
          <w:szCs w:val="24"/>
        </w:rPr>
        <w:t>doi:10.1016/j.ultrasmedbio</w:t>
      </w:r>
      <w:proofErr w:type="gramEnd"/>
      <w:r w:rsidRPr="00FA366D">
        <w:rPr>
          <w:rFonts w:ascii="Calibri" w:hAnsi="Calibri" w:cs="Calibri"/>
          <w:color w:val="000000" w:themeColor="text1"/>
          <w:sz w:val="24"/>
          <w:szCs w:val="24"/>
        </w:rPr>
        <w:t xml:space="preserve">.2025.05.014. </w:t>
      </w:r>
    </w:p>
    <w:p w14:paraId="0078E381"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Baek J, et al. Multiparametric ultrasound imaging for early-stage steatosis: comparison with magnetic resonance imaging-based proton density fat fraction. </w:t>
      </w:r>
      <w:r w:rsidRPr="00FA366D">
        <w:rPr>
          <w:rFonts w:ascii="Calibri" w:hAnsi="Calibri" w:cs="Calibri"/>
          <w:i/>
          <w:iCs/>
          <w:color w:val="000000" w:themeColor="text1"/>
          <w:sz w:val="24"/>
          <w:szCs w:val="24"/>
        </w:rPr>
        <w:t>Med Phys.</w:t>
      </w:r>
      <w:r w:rsidRPr="00FA366D">
        <w:rPr>
          <w:rFonts w:ascii="Calibri" w:hAnsi="Calibri" w:cs="Calibri"/>
          <w:color w:val="000000" w:themeColor="text1"/>
          <w:sz w:val="24"/>
          <w:szCs w:val="24"/>
        </w:rPr>
        <w:t xml:space="preserve"> 2024;51(2):1313-1325. doi:10.1002/mp.16648. </w:t>
      </w:r>
    </w:p>
    <w:p w14:paraId="38BC8376"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proofErr w:type="spellStart"/>
      <w:r w:rsidRPr="00FA366D">
        <w:rPr>
          <w:rFonts w:ascii="Calibri" w:hAnsi="Calibri" w:cs="Calibri"/>
          <w:color w:val="000000" w:themeColor="text1"/>
          <w:sz w:val="24"/>
          <w:szCs w:val="24"/>
        </w:rPr>
        <w:t>Basavarajappa</w:t>
      </w:r>
      <w:proofErr w:type="spellEnd"/>
      <w:r w:rsidRPr="00FA366D">
        <w:rPr>
          <w:rFonts w:ascii="Calibri" w:hAnsi="Calibri" w:cs="Calibri"/>
          <w:color w:val="000000" w:themeColor="text1"/>
          <w:sz w:val="24"/>
          <w:szCs w:val="24"/>
        </w:rPr>
        <w:t xml:space="preserve"> L, et al. Multiparametric ultrasound imaging for the assessment of normal versus steatotic livers. </w:t>
      </w:r>
      <w:r w:rsidRPr="00FA366D">
        <w:rPr>
          <w:rFonts w:ascii="Calibri" w:hAnsi="Calibri" w:cs="Calibri"/>
          <w:i/>
          <w:iCs/>
          <w:color w:val="000000" w:themeColor="text1"/>
          <w:sz w:val="24"/>
          <w:szCs w:val="24"/>
        </w:rPr>
        <w:t>Sci Rep.</w:t>
      </w:r>
      <w:r w:rsidRPr="00FA366D">
        <w:rPr>
          <w:rFonts w:ascii="Calibri" w:hAnsi="Calibri" w:cs="Calibri"/>
          <w:color w:val="000000" w:themeColor="text1"/>
          <w:sz w:val="24"/>
          <w:szCs w:val="24"/>
        </w:rPr>
        <w:t xml:space="preserve"> 2021;11(1):2655. doi:10.1038/s41598-021-82153-z. </w:t>
      </w:r>
    </w:p>
    <w:p w14:paraId="330C172B"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Dong BW, Wang M, Xie K, Chen MH. In vivo measurements of frequency-dependent attenuation in tumors of the liver. </w:t>
      </w:r>
      <w:r w:rsidRPr="00FA366D">
        <w:rPr>
          <w:rFonts w:ascii="Calibri" w:hAnsi="Calibri" w:cs="Calibri"/>
          <w:i/>
          <w:iCs/>
          <w:color w:val="000000" w:themeColor="text1"/>
          <w:sz w:val="24"/>
          <w:szCs w:val="24"/>
        </w:rPr>
        <w:t>J Clin Ultrasound.</w:t>
      </w:r>
      <w:r w:rsidRPr="00FA366D">
        <w:rPr>
          <w:rFonts w:ascii="Calibri" w:hAnsi="Calibri" w:cs="Calibri"/>
          <w:color w:val="000000" w:themeColor="text1"/>
          <w:sz w:val="24"/>
          <w:szCs w:val="24"/>
        </w:rPr>
        <w:t xml:space="preserve"> 1994;22(3):167-174. doi:10.1002/jcu.1870220304. </w:t>
      </w:r>
    </w:p>
    <w:p w14:paraId="71E18EA1"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Nakagami M. The m-distribution—a general formula of intensity distribution of rapid fading. In: </w:t>
      </w:r>
      <w:r w:rsidRPr="00FA366D">
        <w:rPr>
          <w:rFonts w:ascii="Calibri" w:hAnsi="Calibri" w:cs="Calibri"/>
          <w:i/>
          <w:iCs/>
          <w:color w:val="000000" w:themeColor="text1"/>
          <w:sz w:val="24"/>
          <w:szCs w:val="24"/>
        </w:rPr>
        <w:t>Statistical Methods in Radio Wave Propagation.</w:t>
      </w:r>
      <w:r w:rsidRPr="00FA366D">
        <w:rPr>
          <w:rFonts w:ascii="Calibri" w:hAnsi="Calibri" w:cs="Calibri"/>
          <w:color w:val="000000" w:themeColor="text1"/>
          <w:sz w:val="24"/>
          <w:szCs w:val="24"/>
        </w:rPr>
        <w:t xml:space="preserve"> Pergamon Press; 1960:3-36. doi:10.1016/B978-0-08-009306-2.50005-4. </w:t>
      </w:r>
    </w:p>
    <w:p w14:paraId="7529B7A9"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Dutt V, Greenleaf JF. Ultrasound echo envelope analysis using a Homodyned K distribution signal model. </w:t>
      </w:r>
      <w:proofErr w:type="spellStart"/>
      <w:r w:rsidRPr="00FA366D">
        <w:rPr>
          <w:rFonts w:ascii="Calibri" w:hAnsi="Calibri" w:cs="Calibri"/>
          <w:i/>
          <w:iCs/>
          <w:color w:val="000000" w:themeColor="text1"/>
          <w:sz w:val="24"/>
          <w:szCs w:val="24"/>
        </w:rPr>
        <w:t>Ultrason</w:t>
      </w:r>
      <w:proofErr w:type="spellEnd"/>
      <w:r w:rsidRPr="00FA366D">
        <w:rPr>
          <w:rFonts w:ascii="Calibri" w:hAnsi="Calibri" w:cs="Calibri"/>
          <w:i/>
          <w:iCs/>
          <w:color w:val="000000" w:themeColor="text1"/>
          <w:sz w:val="24"/>
          <w:szCs w:val="24"/>
        </w:rPr>
        <w:t xml:space="preserve"> Imaging.</w:t>
      </w:r>
      <w:r w:rsidRPr="00FA366D">
        <w:rPr>
          <w:rFonts w:ascii="Calibri" w:hAnsi="Calibri" w:cs="Calibri"/>
          <w:color w:val="000000" w:themeColor="text1"/>
          <w:sz w:val="24"/>
          <w:szCs w:val="24"/>
        </w:rPr>
        <w:t xml:space="preserve"> 1994;16(4):265-287. doi:10.1006/uimg.1994.1016. </w:t>
      </w:r>
    </w:p>
    <w:p w14:paraId="5C77D44A"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Shankar PM, et al. Classification of ultrasonic B-mode images of breast masses using Nakagami distribution. </w:t>
      </w:r>
      <w:r w:rsidRPr="00FA366D">
        <w:rPr>
          <w:rFonts w:ascii="Calibri" w:hAnsi="Calibri" w:cs="Calibri"/>
          <w:i/>
          <w:iCs/>
          <w:color w:val="000000" w:themeColor="text1"/>
          <w:sz w:val="24"/>
          <w:szCs w:val="24"/>
        </w:rPr>
        <w:t xml:space="preserve">IEEE Trans </w:t>
      </w:r>
      <w:proofErr w:type="spellStart"/>
      <w:r w:rsidRPr="00FA366D">
        <w:rPr>
          <w:rFonts w:ascii="Calibri" w:hAnsi="Calibri" w:cs="Calibri"/>
          <w:i/>
          <w:iCs/>
          <w:color w:val="000000" w:themeColor="text1"/>
          <w:sz w:val="24"/>
          <w:szCs w:val="24"/>
        </w:rPr>
        <w:t>Ultrason</w:t>
      </w:r>
      <w:proofErr w:type="spellEnd"/>
      <w:r w:rsidRPr="00FA366D">
        <w:rPr>
          <w:rFonts w:ascii="Calibri" w:hAnsi="Calibri" w:cs="Calibri"/>
          <w:i/>
          <w:iCs/>
          <w:color w:val="000000" w:themeColor="text1"/>
          <w:sz w:val="24"/>
          <w:szCs w:val="24"/>
        </w:rPr>
        <w:t xml:space="preserve"> </w:t>
      </w:r>
      <w:proofErr w:type="spellStart"/>
      <w:r w:rsidRPr="00FA366D">
        <w:rPr>
          <w:rFonts w:ascii="Calibri" w:hAnsi="Calibri" w:cs="Calibri"/>
          <w:i/>
          <w:iCs/>
          <w:color w:val="000000" w:themeColor="text1"/>
          <w:sz w:val="24"/>
          <w:szCs w:val="24"/>
        </w:rPr>
        <w:t>Ferroelectr</w:t>
      </w:r>
      <w:proofErr w:type="spellEnd"/>
      <w:r w:rsidRPr="00FA366D">
        <w:rPr>
          <w:rFonts w:ascii="Calibri" w:hAnsi="Calibri" w:cs="Calibri"/>
          <w:i/>
          <w:iCs/>
          <w:color w:val="000000" w:themeColor="text1"/>
          <w:sz w:val="24"/>
          <w:szCs w:val="24"/>
        </w:rPr>
        <w:t xml:space="preserve"> Freq Control.</w:t>
      </w:r>
      <w:r w:rsidRPr="00FA366D">
        <w:rPr>
          <w:rFonts w:ascii="Calibri" w:hAnsi="Calibri" w:cs="Calibri"/>
          <w:color w:val="000000" w:themeColor="text1"/>
          <w:sz w:val="24"/>
          <w:szCs w:val="24"/>
        </w:rPr>
        <w:t xml:space="preserve"> 2001;48(2):569-580. doi:10.1109/58.911740. </w:t>
      </w:r>
    </w:p>
    <w:p w14:paraId="7C180B7F"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Zhou Z, et al. Hepatic steatosis assessment using ultrasound Homodyned-K parametric imaging: the effects of estimators. </w:t>
      </w:r>
      <w:r w:rsidRPr="00FA366D">
        <w:rPr>
          <w:rFonts w:ascii="Calibri" w:hAnsi="Calibri" w:cs="Calibri"/>
          <w:i/>
          <w:iCs/>
          <w:color w:val="000000" w:themeColor="text1"/>
          <w:sz w:val="24"/>
          <w:szCs w:val="24"/>
        </w:rPr>
        <w:t>Quant Imaging Med Surg.</w:t>
      </w:r>
      <w:r w:rsidRPr="00FA366D">
        <w:rPr>
          <w:rFonts w:ascii="Calibri" w:hAnsi="Calibri" w:cs="Calibri"/>
          <w:color w:val="000000" w:themeColor="text1"/>
          <w:sz w:val="24"/>
          <w:szCs w:val="24"/>
        </w:rPr>
        <w:t xml:space="preserve"> 2019;9(12):1932-1947. doi:10.21037/qims.2019.08.03. </w:t>
      </w:r>
    </w:p>
    <w:p w14:paraId="417E0790"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proofErr w:type="spellStart"/>
      <w:r w:rsidRPr="00FA366D">
        <w:rPr>
          <w:rFonts w:ascii="Calibri" w:hAnsi="Calibri" w:cs="Calibri"/>
          <w:color w:val="000000" w:themeColor="text1"/>
          <w:sz w:val="24"/>
          <w:szCs w:val="24"/>
        </w:rPr>
        <w:t>Osapoetra</w:t>
      </w:r>
      <w:proofErr w:type="spellEnd"/>
      <w:r w:rsidRPr="00FA366D">
        <w:rPr>
          <w:rFonts w:ascii="Calibri" w:hAnsi="Calibri" w:cs="Calibri"/>
          <w:color w:val="000000" w:themeColor="text1"/>
          <w:sz w:val="24"/>
          <w:szCs w:val="24"/>
        </w:rPr>
        <w:t xml:space="preserve"> LO, et al. Breast lesion characterization using quantitative ultrasound and derivative texture methods. </w:t>
      </w:r>
      <w:proofErr w:type="spellStart"/>
      <w:r w:rsidRPr="00FA366D">
        <w:rPr>
          <w:rFonts w:ascii="Calibri" w:hAnsi="Calibri" w:cs="Calibri"/>
          <w:i/>
          <w:iCs/>
          <w:color w:val="000000" w:themeColor="text1"/>
          <w:sz w:val="24"/>
          <w:szCs w:val="24"/>
        </w:rPr>
        <w:t>Transl</w:t>
      </w:r>
      <w:proofErr w:type="spellEnd"/>
      <w:r w:rsidRPr="00FA366D">
        <w:rPr>
          <w:rFonts w:ascii="Calibri" w:hAnsi="Calibri" w:cs="Calibri"/>
          <w:i/>
          <w:iCs/>
          <w:color w:val="000000" w:themeColor="text1"/>
          <w:sz w:val="24"/>
          <w:szCs w:val="24"/>
        </w:rPr>
        <w:t xml:space="preserve"> Oncol.</w:t>
      </w:r>
      <w:r w:rsidRPr="00FA366D">
        <w:rPr>
          <w:rFonts w:ascii="Calibri" w:hAnsi="Calibri" w:cs="Calibri"/>
          <w:color w:val="000000" w:themeColor="text1"/>
          <w:sz w:val="24"/>
          <w:szCs w:val="24"/>
        </w:rPr>
        <w:t xml:space="preserve"> 2020;13(10):100827. </w:t>
      </w:r>
      <w:proofErr w:type="gramStart"/>
      <w:r w:rsidRPr="00FA366D">
        <w:rPr>
          <w:rFonts w:ascii="Calibri" w:hAnsi="Calibri" w:cs="Calibri"/>
          <w:color w:val="000000" w:themeColor="text1"/>
          <w:sz w:val="24"/>
          <w:szCs w:val="24"/>
        </w:rPr>
        <w:t>doi:10.1016/j.tranon</w:t>
      </w:r>
      <w:proofErr w:type="gramEnd"/>
      <w:r w:rsidRPr="00FA366D">
        <w:rPr>
          <w:rFonts w:ascii="Calibri" w:hAnsi="Calibri" w:cs="Calibri"/>
          <w:color w:val="000000" w:themeColor="text1"/>
          <w:sz w:val="24"/>
          <w:szCs w:val="24"/>
        </w:rPr>
        <w:t xml:space="preserve">.2020.100827. </w:t>
      </w:r>
    </w:p>
    <w:p w14:paraId="1AF5060B"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proofErr w:type="spellStart"/>
      <w:r w:rsidRPr="00FA366D">
        <w:rPr>
          <w:rFonts w:ascii="Calibri" w:hAnsi="Calibri" w:cs="Calibri"/>
          <w:color w:val="000000" w:themeColor="text1"/>
          <w:sz w:val="24"/>
          <w:szCs w:val="24"/>
        </w:rPr>
        <w:t>Sannachi</w:t>
      </w:r>
      <w:proofErr w:type="spellEnd"/>
      <w:r w:rsidRPr="00FA366D">
        <w:rPr>
          <w:rFonts w:ascii="Calibri" w:hAnsi="Calibri" w:cs="Calibri"/>
          <w:color w:val="000000" w:themeColor="text1"/>
          <w:sz w:val="24"/>
          <w:szCs w:val="24"/>
        </w:rPr>
        <w:t xml:space="preserve"> L, et al. Breast cancer treatment response monitoring using quantitative ultrasound and texture analysis: comparative analysis of analytical models. </w:t>
      </w:r>
      <w:proofErr w:type="spellStart"/>
      <w:r w:rsidRPr="00FA366D">
        <w:rPr>
          <w:rFonts w:ascii="Calibri" w:hAnsi="Calibri" w:cs="Calibri"/>
          <w:i/>
          <w:iCs/>
          <w:color w:val="000000" w:themeColor="text1"/>
          <w:sz w:val="24"/>
          <w:szCs w:val="24"/>
        </w:rPr>
        <w:t>Transl</w:t>
      </w:r>
      <w:proofErr w:type="spellEnd"/>
      <w:r w:rsidRPr="00FA366D">
        <w:rPr>
          <w:rFonts w:ascii="Calibri" w:hAnsi="Calibri" w:cs="Calibri"/>
          <w:i/>
          <w:iCs/>
          <w:color w:val="000000" w:themeColor="text1"/>
          <w:sz w:val="24"/>
          <w:szCs w:val="24"/>
        </w:rPr>
        <w:t xml:space="preserve"> Oncol.</w:t>
      </w:r>
      <w:r w:rsidRPr="00FA366D">
        <w:rPr>
          <w:rFonts w:ascii="Calibri" w:hAnsi="Calibri" w:cs="Calibri"/>
          <w:color w:val="000000" w:themeColor="text1"/>
          <w:sz w:val="24"/>
          <w:szCs w:val="24"/>
        </w:rPr>
        <w:t xml:space="preserve"> 2019;12(10):1271-1281. </w:t>
      </w:r>
      <w:proofErr w:type="gramStart"/>
      <w:r w:rsidRPr="00FA366D">
        <w:rPr>
          <w:rFonts w:ascii="Calibri" w:hAnsi="Calibri" w:cs="Calibri"/>
          <w:color w:val="000000" w:themeColor="text1"/>
          <w:sz w:val="24"/>
          <w:szCs w:val="24"/>
        </w:rPr>
        <w:t>doi:10.1016/j.tranon</w:t>
      </w:r>
      <w:proofErr w:type="gramEnd"/>
      <w:r w:rsidRPr="00FA366D">
        <w:rPr>
          <w:rFonts w:ascii="Calibri" w:hAnsi="Calibri" w:cs="Calibri"/>
          <w:color w:val="000000" w:themeColor="text1"/>
          <w:sz w:val="24"/>
          <w:szCs w:val="24"/>
        </w:rPr>
        <w:t xml:space="preserve">.2019.06.004. </w:t>
      </w:r>
    </w:p>
    <w:p w14:paraId="44F58899"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lastRenderedPageBreak/>
        <w:t xml:space="preserve">Haji-Hassan M, </w:t>
      </w:r>
      <w:proofErr w:type="spellStart"/>
      <w:r w:rsidRPr="00FA366D">
        <w:rPr>
          <w:rFonts w:ascii="Calibri" w:hAnsi="Calibri" w:cs="Calibri"/>
          <w:color w:val="000000" w:themeColor="text1"/>
          <w:sz w:val="24"/>
          <w:szCs w:val="24"/>
        </w:rPr>
        <w:t>Capraș</w:t>
      </w:r>
      <w:proofErr w:type="spellEnd"/>
      <w:r w:rsidRPr="00FA366D">
        <w:rPr>
          <w:rFonts w:ascii="Calibri" w:hAnsi="Calibri" w:cs="Calibri"/>
          <w:color w:val="000000" w:themeColor="text1"/>
          <w:sz w:val="24"/>
          <w:szCs w:val="24"/>
        </w:rPr>
        <w:t xml:space="preserve"> RD, </w:t>
      </w:r>
      <w:proofErr w:type="spellStart"/>
      <w:r w:rsidRPr="00FA366D">
        <w:rPr>
          <w:rFonts w:ascii="Calibri" w:hAnsi="Calibri" w:cs="Calibri"/>
          <w:color w:val="000000" w:themeColor="text1"/>
          <w:sz w:val="24"/>
          <w:szCs w:val="24"/>
        </w:rPr>
        <w:t>Bolboacă</w:t>
      </w:r>
      <w:proofErr w:type="spellEnd"/>
      <w:r w:rsidRPr="00FA366D">
        <w:rPr>
          <w:rFonts w:ascii="Calibri" w:hAnsi="Calibri" w:cs="Calibri"/>
          <w:color w:val="000000" w:themeColor="text1"/>
          <w:sz w:val="24"/>
          <w:szCs w:val="24"/>
        </w:rPr>
        <w:t xml:space="preserve"> SD. Efficacy of handheld ultrasound in medical education: a comprehensive systematic review and narrative analysis. </w:t>
      </w:r>
      <w:r w:rsidRPr="00FA366D">
        <w:rPr>
          <w:rFonts w:ascii="Calibri" w:hAnsi="Calibri" w:cs="Calibri"/>
          <w:i/>
          <w:iCs/>
          <w:color w:val="000000" w:themeColor="text1"/>
          <w:sz w:val="24"/>
          <w:szCs w:val="24"/>
        </w:rPr>
        <w:t>Diagnostics (Basel).</w:t>
      </w:r>
      <w:r w:rsidRPr="00FA366D">
        <w:rPr>
          <w:rFonts w:ascii="Calibri" w:hAnsi="Calibri" w:cs="Calibri"/>
          <w:color w:val="000000" w:themeColor="text1"/>
          <w:sz w:val="24"/>
          <w:szCs w:val="24"/>
        </w:rPr>
        <w:t xml:space="preserve"> 2023;13(24):3665. doi:10.3390/diagnostics13243665. </w:t>
      </w:r>
    </w:p>
    <w:p w14:paraId="1A861CB1"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lang w:val="fr-FR"/>
        </w:rPr>
        <w:t xml:space="preserve">Perez-Sanchez A, et al. </w:t>
      </w:r>
      <w:r w:rsidRPr="00FA366D">
        <w:rPr>
          <w:rFonts w:ascii="Calibri" w:hAnsi="Calibri" w:cs="Calibri"/>
          <w:color w:val="000000" w:themeColor="text1"/>
          <w:sz w:val="24"/>
          <w:szCs w:val="24"/>
        </w:rPr>
        <w:t xml:space="preserve">Comparison of six handheld ultrasound devices by point-of-care ultrasound experts: a cross-sectional study. </w:t>
      </w:r>
      <w:r w:rsidRPr="00FA366D">
        <w:rPr>
          <w:rFonts w:ascii="Calibri" w:hAnsi="Calibri" w:cs="Calibri"/>
          <w:i/>
          <w:iCs/>
          <w:color w:val="000000" w:themeColor="text1"/>
          <w:sz w:val="24"/>
          <w:szCs w:val="24"/>
        </w:rPr>
        <w:t>Ultrasound J.</w:t>
      </w:r>
      <w:r w:rsidRPr="00FA366D">
        <w:rPr>
          <w:rFonts w:ascii="Calibri" w:hAnsi="Calibri" w:cs="Calibri"/>
          <w:color w:val="000000" w:themeColor="text1"/>
          <w:sz w:val="24"/>
          <w:szCs w:val="24"/>
        </w:rPr>
        <w:t xml:space="preserve"> </w:t>
      </w:r>
      <w:proofErr w:type="gramStart"/>
      <w:r w:rsidRPr="00FA366D">
        <w:rPr>
          <w:rFonts w:ascii="Calibri" w:hAnsi="Calibri" w:cs="Calibri"/>
          <w:color w:val="000000" w:themeColor="text1"/>
          <w:sz w:val="24"/>
          <w:szCs w:val="24"/>
        </w:rPr>
        <w:t>2024;16:45</w:t>
      </w:r>
      <w:proofErr w:type="gramEnd"/>
      <w:r w:rsidRPr="00FA366D">
        <w:rPr>
          <w:rFonts w:ascii="Calibri" w:hAnsi="Calibri" w:cs="Calibri"/>
          <w:color w:val="000000" w:themeColor="text1"/>
          <w:sz w:val="24"/>
          <w:szCs w:val="24"/>
        </w:rPr>
        <w:t xml:space="preserve">. doi:10.1186/s13089-024-00392-3. </w:t>
      </w:r>
    </w:p>
    <w:p w14:paraId="2607743D"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Alberico D, et al. Quantitative ultrasound texture analysis of breast tumors: a comparison of a cart-based and a wireless ultrasound scanner. </w:t>
      </w:r>
      <w:r w:rsidRPr="00FA366D">
        <w:rPr>
          <w:rFonts w:ascii="Calibri" w:hAnsi="Calibri" w:cs="Calibri"/>
          <w:i/>
          <w:iCs/>
          <w:color w:val="000000" w:themeColor="text1"/>
          <w:sz w:val="24"/>
          <w:szCs w:val="24"/>
        </w:rPr>
        <w:t>J Imaging.</w:t>
      </w:r>
      <w:r w:rsidRPr="00FA366D">
        <w:rPr>
          <w:rFonts w:ascii="Calibri" w:hAnsi="Calibri" w:cs="Calibri"/>
          <w:color w:val="000000" w:themeColor="text1"/>
          <w:sz w:val="24"/>
          <w:szCs w:val="24"/>
        </w:rPr>
        <w:t xml:space="preserve"> 2025;11(5):146. doi:10.3390/jimaging11050146. </w:t>
      </w:r>
    </w:p>
    <w:p w14:paraId="07031C02"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Yao LX, </w:t>
      </w:r>
      <w:proofErr w:type="spellStart"/>
      <w:r w:rsidRPr="00FA366D">
        <w:rPr>
          <w:rFonts w:ascii="Calibri" w:hAnsi="Calibri" w:cs="Calibri"/>
          <w:color w:val="000000" w:themeColor="text1"/>
          <w:sz w:val="24"/>
          <w:szCs w:val="24"/>
        </w:rPr>
        <w:t>Zagzebski</w:t>
      </w:r>
      <w:proofErr w:type="spellEnd"/>
      <w:r w:rsidRPr="00FA366D">
        <w:rPr>
          <w:rFonts w:ascii="Calibri" w:hAnsi="Calibri" w:cs="Calibri"/>
          <w:color w:val="000000" w:themeColor="text1"/>
          <w:sz w:val="24"/>
          <w:szCs w:val="24"/>
        </w:rPr>
        <w:t xml:space="preserve"> JA, Madsen EL. Backscatter coefficient measurements using a reference phantom to extract depth-dependent instrumentation factors. </w:t>
      </w:r>
      <w:proofErr w:type="spellStart"/>
      <w:r w:rsidRPr="00FA366D">
        <w:rPr>
          <w:rFonts w:ascii="Calibri" w:hAnsi="Calibri" w:cs="Calibri"/>
          <w:i/>
          <w:iCs/>
          <w:color w:val="000000" w:themeColor="text1"/>
          <w:sz w:val="24"/>
          <w:szCs w:val="24"/>
        </w:rPr>
        <w:t>Ultrason</w:t>
      </w:r>
      <w:proofErr w:type="spellEnd"/>
      <w:r w:rsidRPr="00FA366D">
        <w:rPr>
          <w:rFonts w:ascii="Calibri" w:hAnsi="Calibri" w:cs="Calibri"/>
          <w:i/>
          <w:iCs/>
          <w:color w:val="000000" w:themeColor="text1"/>
          <w:sz w:val="24"/>
          <w:szCs w:val="24"/>
        </w:rPr>
        <w:t xml:space="preserve"> Imaging.</w:t>
      </w:r>
      <w:r w:rsidRPr="00FA366D">
        <w:rPr>
          <w:rFonts w:ascii="Calibri" w:hAnsi="Calibri" w:cs="Calibri"/>
          <w:color w:val="000000" w:themeColor="text1"/>
          <w:sz w:val="24"/>
          <w:szCs w:val="24"/>
        </w:rPr>
        <w:t xml:space="preserve"> 1990;12(1):58-70. doi:10.1016/0161-7346(90)90221-I. </w:t>
      </w:r>
    </w:p>
    <w:p w14:paraId="1D563605"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Oelze ML, O'Brien WD Jr. Frequency-dependent attenuation-compensation functions for ultrasonic signals backscattered from random media.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2002;111(5 Pt 1):2308-2319. doi:10.1121/1.1452743. Erratum in: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2003;114(5):2967-2968. </w:t>
      </w:r>
    </w:p>
    <w:p w14:paraId="0F6327A0"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Goss SA, Johnston RL, Dunn F. Compilation of empirical ultrasonic properties of mammalian tissues. II.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1980;68(1):93-108. doi:10.1121/1.384509. </w:t>
      </w:r>
    </w:p>
    <w:p w14:paraId="69F3D560"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Goss SA, Johnston RL, Dunn F. Comprehensive compilation of empirical ultrasonic properties of mammalian tissues.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1978;64(2):423-457. doi:10.1121/1.382016. </w:t>
      </w:r>
    </w:p>
    <w:p w14:paraId="4A4DC32E"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Nam K, et al. Ultrasound attenuation measurements using a reference phantom with a sound speed mismatch. </w:t>
      </w:r>
      <w:proofErr w:type="spellStart"/>
      <w:r w:rsidRPr="00FA366D">
        <w:rPr>
          <w:rFonts w:ascii="Calibri" w:hAnsi="Calibri" w:cs="Calibri"/>
          <w:i/>
          <w:iCs/>
          <w:color w:val="000000" w:themeColor="text1"/>
          <w:sz w:val="24"/>
          <w:szCs w:val="24"/>
        </w:rPr>
        <w:t>Ultrason</w:t>
      </w:r>
      <w:proofErr w:type="spellEnd"/>
      <w:r w:rsidRPr="00FA366D">
        <w:rPr>
          <w:rFonts w:ascii="Calibri" w:hAnsi="Calibri" w:cs="Calibri"/>
          <w:i/>
          <w:iCs/>
          <w:color w:val="000000" w:themeColor="text1"/>
          <w:sz w:val="24"/>
          <w:szCs w:val="24"/>
        </w:rPr>
        <w:t xml:space="preserve"> Imaging.</w:t>
      </w:r>
      <w:r w:rsidRPr="00FA366D">
        <w:rPr>
          <w:rFonts w:ascii="Calibri" w:hAnsi="Calibri" w:cs="Calibri"/>
          <w:color w:val="000000" w:themeColor="text1"/>
          <w:sz w:val="24"/>
          <w:szCs w:val="24"/>
        </w:rPr>
        <w:t xml:space="preserve"> 2011;33(4):251-263. doi:10.1177/016173461103300404. </w:t>
      </w:r>
    </w:p>
    <w:p w14:paraId="2445867E"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Lizzi FL, et al. Comparison of theoretical scattering results and ultrasonic data from clinical liver examinations. </w:t>
      </w:r>
      <w:r w:rsidRPr="00FA366D">
        <w:rPr>
          <w:rFonts w:ascii="Calibri" w:hAnsi="Calibri" w:cs="Calibri"/>
          <w:i/>
          <w:iCs/>
          <w:color w:val="000000" w:themeColor="text1"/>
          <w:sz w:val="24"/>
          <w:szCs w:val="24"/>
        </w:rPr>
        <w:t>Ultrasound Med Biol.</w:t>
      </w:r>
      <w:r w:rsidRPr="00FA366D">
        <w:rPr>
          <w:rFonts w:ascii="Calibri" w:hAnsi="Calibri" w:cs="Calibri"/>
          <w:color w:val="000000" w:themeColor="text1"/>
          <w:sz w:val="24"/>
          <w:szCs w:val="24"/>
        </w:rPr>
        <w:t xml:space="preserve"> 1988;14(5):377-385. doi:10.1016/0301-5629(88)90073-7. </w:t>
      </w:r>
    </w:p>
    <w:p w14:paraId="1A454DE4"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Faran JJ Jr. Sound scattering by solid cylinders and spheres. </w:t>
      </w:r>
      <w:r w:rsidRPr="00FA366D">
        <w:rPr>
          <w:rFonts w:ascii="Calibri" w:hAnsi="Calibri" w:cs="Calibri"/>
          <w:i/>
          <w:iCs/>
          <w:color w:val="000000" w:themeColor="text1"/>
          <w:sz w:val="24"/>
          <w:szCs w:val="24"/>
        </w:rPr>
        <w:t xml:space="preserve">J </w:t>
      </w:r>
      <w:proofErr w:type="spellStart"/>
      <w:r w:rsidRPr="00FA366D">
        <w:rPr>
          <w:rFonts w:ascii="Calibri" w:hAnsi="Calibri" w:cs="Calibri"/>
          <w:i/>
          <w:iCs/>
          <w:color w:val="000000" w:themeColor="text1"/>
          <w:sz w:val="24"/>
          <w:szCs w:val="24"/>
        </w:rPr>
        <w:t>Acoust</w:t>
      </w:r>
      <w:proofErr w:type="spellEnd"/>
      <w:r w:rsidRPr="00FA366D">
        <w:rPr>
          <w:rFonts w:ascii="Calibri" w:hAnsi="Calibri" w:cs="Calibri"/>
          <w:i/>
          <w:iCs/>
          <w:color w:val="000000" w:themeColor="text1"/>
          <w:sz w:val="24"/>
          <w:szCs w:val="24"/>
        </w:rPr>
        <w:t xml:space="preserve"> Soc Am.</w:t>
      </w:r>
      <w:r w:rsidRPr="00FA366D">
        <w:rPr>
          <w:rFonts w:ascii="Calibri" w:hAnsi="Calibri" w:cs="Calibri"/>
          <w:color w:val="000000" w:themeColor="text1"/>
          <w:sz w:val="24"/>
          <w:szCs w:val="24"/>
        </w:rPr>
        <w:t xml:space="preserve"> 1951;23(4):405-418. doi:10.1121/1.1906780. </w:t>
      </w:r>
    </w:p>
    <w:p w14:paraId="6FC9ED8E"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Millett J, Bourne N. The shear strength of a shocked borosilicate glass with an internal interface. </w:t>
      </w:r>
      <w:r w:rsidRPr="00FA366D">
        <w:rPr>
          <w:rFonts w:ascii="Calibri" w:hAnsi="Calibri" w:cs="Calibri"/>
          <w:i/>
          <w:iCs/>
          <w:color w:val="000000" w:themeColor="text1"/>
          <w:sz w:val="24"/>
          <w:szCs w:val="24"/>
        </w:rPr>
        <w:t>Scripta Materialia.</w:t>
      </w:r>
      <w:r w:rsidRPr="00FA366D">
        <w:rPr>
          <w:rFonts w:ascii="Calibri" w:hAnsi="Calibri" w:cs="Calibri"/>
          <w:color w:val="000000" w:themeColor="text1"/>
          <w:sz w:val="24"/>
          <w:szCs w:val="24"/>
        </w:rPr>
        <w:t xml:space="preserve"> 2000;42(7):681-685. doi:10.1016/S1359-6462(99)00420-0. </w:t>
      </w:r>
    </w:p>
    <w:p w14:paraId="30AB5699"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Hruska DP, Oelze ML. Estimation method of the Homodyned K-distribution based on the mean intensity and two log-moments. </w:t>
      </w:r>
      <w:r w:rsidRPr="00FA366D">
        <w:rPr>
          <w:rFonts w:ascii="Calibri" w:hAnsi="Calibri" w:cs="Calibri"/>
          <w:i/>
          <w:iCs/>
          <w:color w:val="000000" w:themeColor="text1"/>
          <w:sz w:val="24"/>
          <w:szCs w:val="24"/>
        </w:rPr>
        <w:t>SIAM J Imaging Sci.</w:t>
      </w:r>
      <w:r w:rsidRPr="00FA366D">
        <w:rPr>
          <w:rFonts w:ascii="Calibri" w:hAnsi="Calibri" w:cs="Calibri"/>
          <w:color w:val="000000" w:themeColor="text1"/>
          <w:sz w:val="24"/>
          <w:szCs w:val="24"/>
        </w:rPr>
        <w:t xml:space="preserve"> 2013;6(1):755-786. doi:10.1137/120875727. </w:t>
      </w:r>
    </w:p>
    <w:p w14:paraId="382608B8"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Cristea A, Collier N, Franceschini E, Mamou J, </w:t>
      </w:r>
      <w:proofErr w:type="spellStart"/>
      <w:r w:rsidRPr="00FA366D">
        <w:rPr>
          <w:rFonts w:ascii="Calibri" w:hAnsi="Calibri" w:cs="Calibri"/>
          <w:color w:val="000000" w:themeColor="text1"/>
          <w:sz w:val="24"/>
          <w:szCs w:val="24"/>
        </w:rPr>
        <w:t>Cachard</w:t>
      </w:r>
      <w:proofErr w:type="spellEnd"/>
      <w:r w:rsidRPr="00FA366D">
        <w:rPr>
          <w:rFonts w:ascii="Calibri" w:hAnsi="Calibri" w:cs="Calibri"/>
          <w:color w:val="000000" w:themeColor="text1"/>
          <w:sz w:val="24"/>
          <w:szCs w:val="24"/>
        </w:rPr>
        <w:t xml:space="preserve"> C, Basset O. Quantitative assessment of media concentration using the Homodyned K distribution. </w:t>
      </w:r>
      <w:r w:rsidRPr="00FA366D">
        <w:rPr>
          <w:rFonts w:ascii="Calibri" w:hAnsi="Calibri" w:cs="Calibri"/>
          <w:i/>
          <w:iCs/>
          <w:color w:val="000000" w:themeColor="text1"/>
          <w:sz w:val="24"/>
          <w:szCs w:val="24"/>
        </w:rPr>
        <w:t>Ultrasonics.</w:t>
      </w:r>
      <w:r w:rsidRPr="00FA366D">
        <w:rPr>
          <w:rFonts w:ascii="Calibri" w:hAnsi="Calibri" w:cs="Calibri"/>
          <w:color w:val="000000" w:themeColor="text1"/>
          <w:sz w:val="24"/>
          <w:szCs w:val="24"/>
        </w:rPr>
        <w:t xml:space="preserve"> </w:t>
      </w:r>
      <w:proofErr w:type="gramStart"/>
      <w:r w:rsidRPr="00FA366D">
        <w:rPr>
          <w:rFonts w:ascii="Calibri" w:hAnsi="Calibri" w:cs="Calibri"/>
          <w:color w:val="000000" w:themeColor="text1"/>
          <w:sz w:val="24"/>
          <w:szCs w:val="24"/>
        </w:rPr>
        <w:t>2020;101:105986</w:t>
      </w:r>
      <w:proofErr w:type="gramEnd"/>
      <w:r w:rsidRPr="00FA366D">
        <w:rPr>
          <w:rFonts w:ascii="Calibri" w:hAnsi="Calibri" w:cs="Calibri"/>
          <w:color w:val="000000" w:themeColor="text1"/>
          <w:sz w:val="24"/>
          <w:szCs w:val="24"/>
        </w:rPr>
        <w:t xml:space="preserve">. </w:t>
      </w:r>
      <w:proofErr w:type="gramStart"/>
      <w:r w:rsidRPr="00FA366D">
        <w:rPr>
          <w:rFonts w:ascii="Calibri" w:hAnsi="Calibri" w:cs="Calibri"/>
          <w:color w:val="000000" w:themeColor="text1"/>
          <w:sz w:val="24"/>
          <w:szCs w:val="24"/>
        </w:rPr>
        <w:t>doi:10.1016/j.ultras</w:t>
      </w:r>
      <w:proofErr w:type="gramEnd"/>
      <w:r w:rsidRPr="00FA366D">
        <w:rPr>
          <w:rFonts w:ascii="Calibri" w:hAnsi="Calibri" w:cs="Calibri"/>
          <w:color w:val="000000" w:themeColor="text1"/>
          <w:sz w:val="24"/>
          <w:szCs w:val="24"/>
        </w:rPr>
        <w:t xml:space="preserve">.2019.105986. </w:t>
      </w:r>
    </w:p>
    <w:p w14:paraId="26294C38"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Liu Y, He B, Zhang Y, Lang X, Yao R, Pan L. A Study on a Parameter Estimator for the Homodyned K Distribution Based on Table Search for Ultrasound Tissue Characterization. </w:t>
      </w:r>
      <w:r w:rsidRPr="00FA366D">
        <w:rPr>
          <w:rFonts w:ascii="Calibri" w:hAnsi="Calibri" w:cs="Calibri"/>
          <w:i/>
          <w:iCs/>
          <w:color w:val="000000" w:themeColor="text1"/>
          <w:sz w:val="24"/>
          <w:szCs w:val="24"/>
        </w:rPr>
        <w:t>Ultrasound in Medicine &amp; Biology.</w:t>
      </w:r>
      <w:r w:rsidRPr="00FA366D">
        <w:rPr>
          <w:rFonts w:ascii="Calibri" w:hAnsi="Calibri" w:cs="Calibri"/>
          <w:color w:val="000000" w:themeColor="text1"/>
          <w:sz w:val="24"/>
          <w:szCs w:val="24"/>
        </w:rPr>
        <w:t xml:space="preserve"> 2023;49(4):970-981. </w:t>
      </w:r>
      <w:proofErr w:type="gramStart"/>
      <w:r w:rsidRPr="00FA366D">
        <w:rPr>
          <w:rFonts w:ascii="Calibri" w:hAnsi="Calibri" w:cs="Calibri"/>
          <w:color w:val="000000" w:themeColor="text1"/>
          <w:sz w:val="24"/>
          <w:szCs w:val="24"/>
        </w:rPr>
        <w:t>doi:10.1016/j.ultrasmedbio</w:t>
      </w:r>
      <w:proofErr w:type="gramEnd"/>
      <w:r w:rsidRPr="00FA366D">
        <w:rPr>
          <w:rFonts w:ascii="Calibri" w:hAnsi="Calibri" w:cs="Calibri"/>
          <w:color w:val="000000" w:themeColor="text1"/>
          <w:sz w:val="24"/>
          <w:szCs w:val="24"/>
        </w:rPr>
        <w:t xml:space="preserve">.2022.11.019. </w:t>
      </w:r>
    </w:p>
    <w:p w14:paraId="195DBDDD"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hAnsi="Calibri" w:cs="Calibri"/>
          <w:color w:val="000000" w:themeColor="text1"/>
          <w:sz w:val="24"/>
          <w:szCs w:val="24"/>
        </w:rPr>
        <w:t xml:space="preserve">Wu X, </w:t>
      </w:r>
      <w:proofErr w:type="spellStart"/>
      <w:r w:rsidRPr="00FA366D">
        <w:rPr>
          <w:rFonts w:ascii="Calibri" w:hAnsi="Calibri" w:cs="Calibri"/>
          <w:color w:val="000000" w:themeColor="text1"/>
          <w:sz w:val="24"/>
          <w:szCs w:val="24"/>
        </w:rPr>
        <w:t>Lv</w:t>
      </w:r>
      <w:proofErr w:type="spellEnd"/>
      <w:r w:rsidRPr="00FA366D">
        <w:rPr>
          <w:rFonts w:ascii="Calibri" w:hAnsi="Calibri" w:cs="Calibri"/>
          <w:color w:val="000000" w:themeColor="text1"/>
          <w:sz w:val="24"/>
          <w:szCs w:val="24"/>
        </w:rPr>
        <w:t xml:space="preserve"> K, Wu S, Tai DI, Tsui PH, Zhou Z. Parallelized ultrasound homodyned-K imaging based on a generalized artificial neural network estimator. </w:t>
      </w:r>
      <w:r w:rsidRPr="00FA366D">
        <w:rPr>
          <w:rFonts w:ascii="Calibri" w:hAnsi="Calibri" w:cs="Calibri"/>
          <w:i/>
          <w:iCs/>
          <w:color w:val="000000" w:themeColor="text1"/>
          <w:sz w:val="24"/>
          <w:szCs w:val="24"/>
        </w:rPr>
        <w:t>Ultrasonics.</w:t>
      </w:r>
      <w:r w:rsidRPr="00FA366D">
        <w:rPr>
          <w:rFonts w:ascii="Calibri" w:hAnsi="Calibri" w:cs="Calibri"/>
          <w:color w:val="000000" w:themeColor="text1"/>
          <w:sz w:val="24"/>
          <w:szCs w:val="24"/>
        </w:rPr>
        <w:t xml:space="preserve"> </w:t>
      </w:r>
      <w:proofErr w:type="gramStart"/>
      <w:r w:rsidRPr="00FA366D">
        <w:rPr>
          <w:rFonts w:ascii="Calibri" w:hAnsi="Calibri" w:cs="Calibri"/>
          <w:color w:val="000000" w:themeColor="text1"/>
          <w:sz w:val="24"/>
          <w:szCs w:val="24"/>
        </w:rPr>
        <w:t>2023;132:106987</w:t>
      </w:r>
      <w:proofErr w:type="gramEnd"/>
      <w:r w:rsidRPr="00FA366D">
        <w:rPr>
          <w:rFonts w:ascii="Calibri" w:hAnsi="Calibri" w:cs="Calibri"/>
          <w:color w:val="000000" w:themeColor="text1"/>
          <w:sz w:val="24"/>
          <w:szCs w:val="24"/>
        </w:rPr>
        <w:t xml:space="preserve">. </w:t>
      </w:r>
      <w:proofErr w:type="gramStart"/>
      <w:r w:rsidRPr="00FA366D">
        <w:rPr>
          <w:rFonts w:ascii="Calibri" w:hAnsi="Calibri" w:cs="Calibri"/>
          <w:color w:val="000000" w:themeColor="text1"/>
          <w:sz w:val="24"/>
          <w:szCs w:val="24"/>
        </w:rPr>
        <w:t>doi:10.1016/j.ultras</w:t>
      </w:r>
      <w:proofErr w:type="gramEnd"/>
      <w:r w:rsidRPr="00FA366D">
        <w:rPr>
          <w:rFonts w:ascii="Calibri" w:hAnsi="Calibri" w:cs="Calibri"/>
          <w:color w:val="000000" w:themeColor="text1"/>
          <w:sz w:val="24"/>
          <w:szCs w:val="24"/>
        </w:rPr>
        <w:t xml:space="preserve">.2023.106987. </w:t>
      </w:r>
    </w:p>
    <w:p w14:paraId="3C497FA2"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t xml:space="preserve">Tuthill TA, Sperry RH, Parker KJ. Deviations from Rayleigh statistics in ultrasonic </w:t>
      </w:r>
      <w:proofErr w:type="gramStart"/>
      <w:r w:rsidRPr="00FA366D">
        <w:rPr>
          <w:rFonts w:ascii="Calibri" w:eastAsia="Times New Roman" w:hAnsi="Calibri" w:cs="Calibri"/>
          <w:color w:val="000000" w:themeColor="text1"/>
          <w:sz w:val="24"/>
          <w:szCs w:val="24"/>
          <w:lang w:eastAsia="en-IN"/>
        </w:rPr>
        <w:t>speckle</w:t>
      </w:r>
      <w:proofErr w:type="gramEnd"/>
      <w:r w:rsidRPr="00FA366D">
        <w:rPr>
          <w:rFonts w:ascii="Calibri" w:eastAsia="Times New Roman" w:hAnsi="Calibri" w:cs="Calibri"/>
          <w:color w:val="000000" w:themeColor="text1"/>
          <w:sz w:val="24"/>
          <w:szCs w:val="24"/>
          <w:lang w:eastAsia="en-IN"/>
        </w:rPr>
        <w:t xml:space="preserve">. </w:t>
      </w:r>
      <w:proofErr w:type="spellStart"/>
      <w:r w:rsidRPr="00FA366D">
        <w:rPr>
          <w:rFonts w:ascii="Calibri" w:eastAsia="Times New Roman" w:hAnsi="Calibri" w:cs="Calibri"/>
          <w:i/>
          <w:iCs/>
          <w:color w:val="000000" w:themeColor="text1"/>
          <w:sz w:val="24"/>
          <w:szCs w:val="24"/>
          <w:lang w:eastAsia="en-IN"/>
        </w:rPr>
        <w:t>Ultrason</w:t>
      </w:r>
      <w:proofErr w:type="spellEnd"/>
      <w:r w:rsidRPr="00FA366D">
        <w:rPr>
          <w:rFonts w:ascii="Calibri" w:eastAsia="Times New Roman" w:hAnsi="Calibri" w:cs="Calibri"/>
          <w:i/>
          <w:iCs/>
          <w:color w:val="000000" w:themeColor="text1"/>
          <w:sz w:val="24"/>
          <w:szCs w:val="24"/>
          <w:lang w:eastAsia="en-IN"/>
        </w:rPr>
        <w:t xml:space="preserve"> Imaging.</w:t>
      </w:r>
      <w:r w:rsidRPr="00FA366D">
        <w:rPr>
          <w:rFonts w:ascii="Calibri" w:eastAsia="Times New Roman" w:hAnsi="Calibri" w:cs="Calibri"/>
          <w:color w:val="000000" w:themeColor="text1"/>
          <w:sz w:val="24"/>
          <w:szCs w:val="24"/>
          <w:lang w:eastAsia="en-IN"/>
        </w:rPr>
        <w:t xml:space="preserve"> 1988;10(2):81-89. doi:10.1177/016173468801000201. </w:t>
      </w:r>
    </w:p>
    <w:p w14:paraId="6AB2341A"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lastRenderedPageBreak/>
        <w:t xml:space="preserve">Hu X, et al. Assessment of Homodyned K distribution modeling ultrasonic speckles from scatterers with varying spatial organizations. </w:t>
      </w:r>
      <w:r w:rsidRPr="00FA366D">
        <w:rPr>
          <w:rFonts w:ascii="Calibri" w:eastAsia="Times New Roman" w:hAnsi="Calibri" w:cs="Calibri"/>
          <w:i/>
          <w:iCs/>
          <w:color w:val="000000" w:themeColor="text1"/>
          <w:sz w:val="24"/>
          <w:szCs w:val="24"/>
          <w:lang w:eastAsia="en-IN"/>
        </w:rPr>
        <w:t xml:space="preserve">J </w:t>
      </w:r>
      <w:proofErr w:type="spellStart"/>
      <w:r w:rsidRPr="00FA366D">
        <w:rPr>
          <w:rFonts w:ascii="Calibri" w:eastAsia="Times New Roman" w:hAnsi="Calibri" w:cs="Calibri"/>
          <w:i/>
          <w:iCs/>
          <w:color w:val="000000" w:themeColor="text1"/>
          <w:sz w:val="24"/>
          <w:szCs w:val="24"/>
          <w:lang w:eastAsia="en-IN"/>
        </w:rPr>
        <w:t>Healthc</w:t>
      </w:r>
      <w:proofErr w:type="spellEnd"/>
      <w:r w:rsidRPr="00FA366D">
        <w:rPr>
          <w:rFonts w:ascii="Calibri" w:eastAsia="Times New Roman" w:hAnsi="Calibri" w:cs="Calibri"/>
          <w:i/>
          <w:iCs/>
          <w:color w:val="000000" w:themeColor="text1"/>
          <w:sz w:val="24"/>
          <w:szCs w:val="24"/>
          <w:lang w:eastAsia="en-IN"/>
        </w:rPr>
        <w:t xml:space="preserve"> Eng.</w:t>
      </w:r>
      <w:r w:rsidRPr="00FA366D">
        <w:rPr>
          <w:rFonts w:ascii="Calibri" w:eastAsia="Times New Roman" w:hAnsi="Calibri" w:cs="Calibri"/>
          <w:color w:val="000000" w:themeColor="text1"/>
          <w:sz w:val="24"/>
          <w:szCs w:val="24"/>
          <w:lang w:eastAsia="en-IN"/>
        </w:rPr>
        <w:t xml:space="preserve"> </w:t>
      </w:r>
      <w:proofErr w:type="gramStart"/>
      <w:r w:rsidRPr="00FA366D">
        <w:rPr>
          <w:rFonts w:ascii="Calibri" w:eastAsia="Times New Roman" w:hAnsi="Calibri" w:cs="Calibri"/>
          <w:color w:val="000000" w:themeColor="text1"/>
          <w:sz w:val="24"/>
          <w:szCs w:val="24"/>
          <w:lang w:eastAsia="en-IN"/>
        </w:rPr>
        <w:t>2017;2017:8154780</w:t>
      </w:r>
      <w:proofErr w:type="gramEnd"/>
      <w:r w:rsidRPr="00FA366D">
        <w:rPr>
          <w:rFonts w:ascii="Calibri" w:eastAsia="Times New Roman" w:hAnsi="Calibri" w:cs="Calibri"/>
          <w:color w:val="000000" w:themeColor="text1"/>
          <w:sz w:val="24"/>
          <w:szCs w:val="24"/>
          <w:lang w:eastAsia="en-IN"/>
        </w:rPr>
        <w:t xml:space="preserve">. doi:10.1155/2017/8154780. </w:t>
      </w:r>
    </w:p>
    <w:p w14:paraId="5185C9DF"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t xml:space="preserve">Coila A, et al. Total attenuation compensation for backscatter coefficient estimation using full angular spatial compounding. </w:t>
      </w:r>
      <w:r w:rsidRPr="00FA366D">
        <w:rPr>
          <w:rFonts w:ascii="Calibri" w:eastAsia="Times New Roman" w:hAnsi="Calibri" w:cs="Calibri"/>
          <w:i/>
          <w:iCs/>
          <w:color w:val="000000" w:themeColor="text1"/>
          <w:sz w:val="24"/>
          <w:szCs w:val="24"/>
          <w:lang w:eastAsia="en-IN"/>
        </w:rPr>
        <w:t>Ultrasonics.</w:t>
      </w:r>
      <w:r w:rsidRPr="00FA366D">
        <w:rPr>
          <w:rFonts w:ascii="Calibri" w:eastAsia="Times New Roman" w:hAnsi="Calibri" w:cs="Calibri"/>
          <w:color w:val="000000" w:themeColor="text1"/>
          <w:sz w:val="24"/>
          <w:szCs w:val="24"/>
          <w:lang w:eastAsia="en-IN"/>
        </w:rPr>
        <w:t xml:space="preserve"> </w:t>
      </w:r>
      <w:proofErr w:type="gramStart"/>
      <w:r w:rsidRPr="00FA366D">
        <w:rPr>
          <w:rFonts w:ascii="Calibri" w:eastAsia="Times New Roman" w:hAnsi="Calibri" w:cs="Calibri"/>
          <w:color w:val="000000" w:themeColor="text1"/>
          <w:sz w:val="24"/>
          <w:szCs w:val="24"/>
          <w:lang w:eastAsia="en-IN"/>
        </w:rPr>
        <w:t>2021;114:106376</w:t>
      </w:r>
      <w:proofErr w:type="gramEnd"/>
      <w:r w:rsidRPr="00FA366D">
        <w:rPr>
          <w:rFonts w:ascii="Calibri" w:eastAsia="Times New Roman" w:hAnsi="Calibri" w:cs="Calibri"/>
          <w:color w:val="000000" w:themeColor="text1"/>
          <w:sz w:val="24"/>
          <w:szCs w:val="24"/>
          <w:lang w:eastAsia="en-IN"/>
        </w:rPr>
        <w:t xml:space="preserve">. </w:t>
      </w:r>
      <w:proofErr w:type="gramStart"/>
      <w:r w:rsidRPr="00FA366D">
        <w:rPr>
          <w:rFonts w:ascii="Calibri" w:eastAsia="Times New Roman" w:hAnsi="Calibri" w:cs="Calibri"/>
          <w:color w:val="000000" w:themeColor="text1"/>
          <w:sz w:val="24"/>
          <w:szCs w:val="24"/>
          <w:lang w:eastAsia="en-IN"/>
        </w:rPr>
        <w:t>doi:10.1016/j.ultras</w:t>
      </w:r>
      <w:proofErr w:type="gramEnd"/>
      <w:r w:rsidRPr="00FA366D">
        <w:rPr>
          <w:rFonts w:ascii="Calibri" w:eastAsia="Times New Roman" w:hAnsi="Calibri" w:cs="Calibri"/>
          <w:color w:val="000000" w:themeColor="text1"/>
          <w:sz w:val="24"/>
          <w:szCs w:val="24"/>
          <w:lang w:eastAsia="en-IN"/>
        </w:rPr>
        <w:t xml:space="preserve">.2021.106376. </w:t>
      </w:r>
    </w:p>
    <w:p w14:paraId="149E5697"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t xml:space="preserve">Coila AL, Lavarello R. Regularized spectral log difference technique for ultrasonic attenuation imaging. </w:t>
      </w:r>
      <w:r w:rsidRPr="00FA366D">
        <w:rPr>
          <w:rFonts w:ascii="Calibri" w:eastAsia="Times New Roman" w:hAnsi="Calibri" w:cs="Calibri"/>
          <w:i/>
          <w:iCs/>
          <w:color w:val="000000" w:themeColor="text1"/>
          <w:sz w:val="24"/>
          <w:szCs w:val="24"/>
          <w:lang w:eastAsia="en-IN"/>
        </w:rPr>
        <w:t xml:space="preserve">IEEE Trans </w:t>
      </w:r>
      <w:proofErr w:type="spellStart"/>
      <w:r w:rsidRPr="00FA366D">
        <w:rPr>
          <w:rFonts w:ascii="Calibri" w:eastAsia="Times New Roman" w:hAnsi="Calibri" w:cs="Calibri"/>
          <w:i/>
          <w:iCs/>
          <w:color w:val="000000" w:themeColor="text1"/>
          <w:sz w:val="24"/>
          <w:szCs w:val="24"/>
          <w:lang w:eastAsia="en-IN"/>
        </w:rPr>
        <w:t>Ultrason</w:t>
      </w:r>
      <w:proofErr w:type="spellEnd"/>
      <w:r w:rsidRPr="00FA366D">
        <w:rPr>
          <w:rFonts w:ascii="Calibri" w:eastAsia="Times New Roman" w:hAnsi="Calibri" w:cs="Calibri"/>
          <w:i/>
          <w:iCs/>
          <w:color w:val="000000" w:themeColor="text1"/>
          <w:sz w:val="24"/>
          <w:szCs w:val="24"/>
          <w:lang w:eastAsia="en-IN"/>
        </w:rPr>
        <w:t xml:space="preserve"> </w:t>
      </w:r>
      <w:proofErr w:type="spellStart"/>
      <w:r w:rsidRPr="00FA366D">
        <w:rPr>
          <w:rFonts w:ascii="Calibri" w:eastAsia="Times New Roman" w:hAnsi="Calibri" w:cs="Calibri"/>
          <w:i/>
          <w:iCs/>
          <w:color w:val="000000" w:themeColor="text1"/>
          <w:sz w:val="24"/>
          <w:szCs w:val="24"/>
          <w:lang w:eastAsia="en-IN"/>
        </w:rPr>
        <w:t>Ferroelectr</w:t>
      </w:r>
      <w:proofErr w:type="spellEnd"/>
      <w:r w:rsidRPr="00FA366D">
        <w:rPr>
          <w:rFonts w:ascii="Calibri" w:eastAsia="Times New Roman" w:hAnsi="Calibri" w:cs="Calibri"/>
          <w:i/>
          <w:iCs/>
          <w:color w:val="000000" w:themeColor="text1"/>
          <w:sz w:val="24"/>
          <w:szCs w:val="24"/>
          <w:lang w:eastAsia="en-IN"/>
        </w:rPr>
        <w:t xml:space="preserve"> Freq Control.</w:t>
      </w:r>
      <w:r w:rsidRPr="00FA366D">
        <w:rPr>
          <w:rFonts w:ascii="Calibri" w:eastAsia="Times New Roman" w:hAnsi="Calibri" w:cs="Calibri"/>
          <w:color w:val="000000" w:themeColor="text1"/>
          <w:sz w:val="24"/>
          <w:szCs w:val="24"/>
          <w:lang w:eastAsia="en-IN"/>
        </w:rPr>
        <w:t xml:space="preserve"> 2018;65(3):378-389. </w:t>
      </w:r>
    </w:p>
    <w:p w14:paraId="196CABE2"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t xml:space="preserve">Liu M, </w:t>
      </w:r>
      <w:proofErr w:type="spellStart"/>
      <w:r w:rsidRPr="00FA366D">
        <w:rPr>
          <w:rFonts w:ascii="Calibri" w:eastAsia="Times New Roman" w:hAnsi="Calibri" w:cs="Calibri"/>
          <w:color w:val="000000" w:themeColor="text1"/>
          <w:sz w:val="24"/>
          <w:szCs w:val="24"/>
          <w:lang w:eastAsia="en-IN"/>
        </w:rPr>
        <w:t>Wiskin</w:t>
      </w:r>
      <w:proofErr w:type="spellEnd"/>
      <w:r w:rsidRPr="00FA366D">
        <w:rPr>
          <w:rFonts w:ascii="Calibri" w:eastAsia="Times New Roman" w:hAnsi="Calibri" w:cs="Calibri"/>
          <w:color w:val="000000" w:themeColor="text1"/>
          <w:sz w:val="24"/>
          <w:szCs w:val="24"/>
          <w:lang w:eastAsia="en-IN"/>
        </w:rPr>
        <w:t xml:space="preserve"> J, Czarnota GJ, Oelze ML. Angular spatial compounding of diffraction corrected images improves ultrasound attenuation measurements. </w:t>
      </w:r>
      <w:r w:rsidRPr="00FA366D">
        <w:rPr>
          <w:rFonts w:ascii="Calibri" w:eastAsia="Times New Roman" w:hAnsi="Calibri" w:cs="Calibri"/>
          <w:i/>
          <w:iCs/>
          <w:color w:val="000000" w:themeColor="text1"/>
          <w:sz w:val="24"/>
          <w:szCs w:val="24"/>
          <w:lang w:eastAsia="en-IN"/>
        </w:rPr>
        <w:t xml:space="preserve">J </w:t>
      </w:r>
      <w:proofErr w:type="spellStart"/>
      <w:r w:rsidRPr="00FA366D">
        <w:rPr>
          <w:rFonts w:ascii="Calibri" w:eastAsia="Times New Roman" w:hAnsi="Calibri" w:cs="Calibri"/>
          <w:i/>
          <w:iCs/>
          <w:color w:val="000000" w:themeColor="text1"/>
          <w:sz w:val="24"/>
          <w:szCs w:val="24"/>
          <w:lang w:eastAsia="en-IN"/>
        </w:rPr>
        <w:t>Acoust</w:t>
      </w:r>
      <w:proofErr w:type="spellEnd"/>
      <w:r w:rsidRPr="00FA366D">
        <w:rPr>
          <w:rFonts w:ascii="Calibri" w:eastAsia="Times New Roman" w:hAnsi="Calibri" w:cs="Calibri"/>
          <w:i/>
          <w:iCs/>
          <w:color w:val="000000" w:themeColor="text1"/>
          <w:sz w:val="24"/>
          <w:szCs w:val="24"/>
          <w:lang w:eastAsia="en-IN"/>
        </w:rPr>
        <w:t xml:space="preserve"> Soc Am.</w:t>
      </w:r>
      <w:r w:rsidRPr="00FA366D">
        <w:rPr>
          <w:rFonts w:ascii="Calibri" w:eastAsia="Times New Roman" w:hAnsi="Calibri" w:cs="Calibri"/>
          <w:color w:val="000000" w:themeColor="text1"/>
          <w:sz w:val="24"/>
          <w:szCs w:val="24"/>
          <w:lang w:eastAsia="en-IN"/>
        </w:rPr>
        <w:t xml:space="preserve"> 2025;157(3):1638-1649. </w:t>
      </w:r>
    </w:p>
    <w:p w14:paraId="790ACC73"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t xml:space="preserve">Liu M, Kou Z, </w:t>
      </w:r>
      <w:proofErr w:type="spellStart"/>
      <w:r w:rsidRPr="00FA366D">
        <w:rPr>
          <w:rFonts w:ascii="Calibri" w:eastAsia="Times New Roman" w:hAnsi="Calibri" w:cs="Calibri"/>
          <w:color w:val="000000" w:themeColor="text1"/>
          <w:sz w:val="24"/>
          <w:szCs w:val="24"/>
          <w:lang w:eastAsia="en-IN"/>
        </w:rPr>
        <w:t>Wiskin</w:t>
      </w:r>
      <w:proofErr w:type="spellEnd"/>
      <w:r w:rsidRPr="00FA366D">
        <w:rPr>
          <w:rFonts w:ascii="Calibri" w:eastAsia="Times New Roman" w:hAnsi="Calibri" w:cs="Calibri"/>
          <w:color w:val="000000" w:themeColor="text1"/>
          <w:sz w:val="24"/>
          <w:szCs w:val="24"/>
          <w:lang w:eastAsia="en-IN"/>
        </w:rPr>
        <w:t xml:space="preserve"> J, Czarnota GJ, Oelze ML. Deep Learning-Driven High Spatial Resolution Attenuation Imaging for Ultrasound Tomography (AI-UT). </w:t>
      </w:r>
      <w:r w:rsidRPr="00FA366D">
        <w:rPr>
          <w:rFonts w:ascii="Calibri" w:eastAsia="Times New Roman" w:hAnsi="Calibri" w:cs="Calibri"/>
          <w:i/>
          <w:iCs/>
          <w:color w:val="000000" w:themeColor="text1"/>
          <w:sz w:val="24"/>
          <w:szCs w:val="24"/>
          <w:lang w:eastAsia="en-IN"/>
        </w:rPr>
        <w:t xml:space="preserve">IEEE Trans </w:t>
      </w:r>
      <w:proofErr w:type="spellStart"/>
      <w:r w:rsidRPr="00FA366D">
        <w:rPr>
          <w:rFonts w:ascii="Calibri" w:eastAsia="Times New Roman" w:hAnsi="Calibri" w:cs="Calibri"/>
          <w:i/>
          <w:iCs/>
          <w:color w:val="000000" w:themeColor="text1"/>
          <w:sz w:val="24"/>
          <w:szCs w:val="24"/>
          <w:lang w:eastAsia="en-IN"/>
        </w:rPr>
        <w:t>Ultrason</w:t>
      </w:r>
      <w:proofErr w:type="spellEnd"/>
      <w:r w:rsidRPr="00FA366D">
        <w:rPr>
          <w:rFonts w:ascii="Calibri" w:eastAsia="Times New Roman" w:hAnsi="Calibri" w:cs="Calibri"/>
          <w:i/>
          <w:iCs/>
          <w:color w:val="000000" w:themeColor="text1"/>
          <w:sz w:val="24"/>
          <w:szCs w:val="24"/>
          <w:lang w:eastAsia="en-IN"/>
        </w:rPr>
        <w:t xml:space="preserve"> </w:t>
      </w:r>
      <w:proofErr w:type="spellStart"/>
      <w:r w:rsidRPr="00FA366D">
        <w:rPr>
          <w:rFonts w:ascii="Calibri" w:eastAsia="Times New Roman" w:hAnsi="Calibri" w:cs="Calibri"/>
          <w:i/>
          <w:iCs/>
          <w:color w:val="000000" w:themeColor="text1"/>
          <w:sz w:val="24"/>
          <w:szCs w:val="24"/>
          <w:lang w:eastAsia="en-IN"/>
        </w:rPr>
        <w:t>Ferroelectr</w:t>
      </w:r>
      <w:proofErr w:type="spellEnd"/>
      <w:r w:rsidRPr="00FA366D">
        <w:rPr>
          <w:rFonts w:ascii="Calibri" w:eastAsia="Times New Roman" w:hAnsi="Calibri" w:cs="Calibri"/>
          <w:i/>
          <w:iCs/>
          <w:color w:val="000000" w:themeColor="text1"/>
          <w:sz w:val="24"/>
          <w:szCs w:val="24"/>
          <w:lang w:eastAsia="en-IN"/>
        </w:rPr>
        <w:t xml:space="preserve"> Freq Control.</w:t>
      </w:r>
      <w:r w:rsidRPr="00FA366D">
        <w:rPr>
          <w:rFonts w:ascii="Calibri" w:eastAsia="Times New Roman" w:hAnsi="Calibri" w:cs="Calibri"/>
          <w:color w:val="000000" w:themeColor="text1"/>
          <w:sz w:val="24"/>
          <w:szCs w:val="24"/>
          <w:lang w:eastAsia="en-IN"/>
        </w:rPr>
        <w:t xml:space="preserve"> 2025. </w:t>
      </w:r>
    </w:p>
    <w:p w14:paraId="2E523F54"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t xml:space="preserve">Liu M, Kou Z, Zhao Y, </w:t>
      </w:r>
      <w:proofErr w:type="spellStart"/>
      <w:r w:rsidRPr="00FA366D">
        <w:rPr>
          <w:rFonts w:ascii="Calibri" w:eastAsia="Times New Roman" w:hAnsi="Calibri" w:cs="Calibri"/>
          <w:color w:val="000000" w:themeColor="text1"/>
          <w:sz w:val="24"/>
          <w:szCs w:val="24"/>
          <w:lang w:eastAsia="en-IN"/>
        </w:rPr>
        <w:t>Wiskin</w:t>
      </w:r>
      <w:proofErr w:type="spellEnd"/>
      <w:r w:rsidRPr="00FA366D">
        <w:rPr>
          <w:rFonts w:ascii="Calibri" w:eastAsia="Times New Roman" w:hAnsi="Calibri" w:cs="Calibri"/>
          <w:color w:val="000000" w:themeColor="text1"/>
          <w:sz w:val="24"/>
          <w:szCs w:val="24"/>
          <w:lang w:eastAsia="en-IN"/>
        </w:rPr>
        <w:t xml:space="preserve"> J, Czarnota GJ, Oelze ML. Spectral-based quantitative ultrasound imaging processing techniques: Comparisons of RF versus IQ approaches. </w:t>
      </w:r>
      <w:proofErr w:type="spellStart"/>
      <w:r w:rsidRPr="00FA366D">
        <w:rPr>
          <w:rFonts w:ascii="Calibri" w:eastAsia="Times New Roman" w:hAnsi="Calibri" w:cs="Calibri"/>
          <w:i/>
          <w:iCs/>
          <w:color w:val="000000" w:themeColor="text1"/>
          <w:sz w:val="24"/>
          <w:szCs w:val="24"/>
          <w:lang w:eastAsia="en-IN"/>
        </w:rPr>
        <w:t>Ultrason</w:t>
      </w:r>
      <w:proofErr w:type="spellEnd"/>
      <w:r w:rsidRPr="00FA366D">
        <w:rPr>
          <w:rFonts w:ascii="Calibri" w:eastAsia="Times New Roman" w:hAnsi="Calibri" w:cs="Calibri"/>
          <w:i/>
          <w:iCs/>
          <w:color w:val="000000" w:themeColor="text1"/>
          <w:sz w:val="24"/>
          <w:szCs w:val="24"/>
          <w:lang w:eastAsia="en-IN"/>
        </w:rPr>
        <w:t xml:space="preserve"> Imaging.</w:t>
      </w:r>
      <w:r w:rsidRPr="00FA366D">
        <w:rPr>
          <w:rFonts w:ascii="Calibri" w:eastAsia="Times New Roman" w:hAnsi="Calibri" w:cs="Calibri"/>
          <w:color w:val="000000" w:themeColor="text1"/>
          <w:sz w:val="24"/>
          <w:szCs w:val="24"/>
          <w:lang w:eastAsia="en-IN"/>
        </w:rPr>
        <w:t xml:space="preserve"> 2024;46(2):75-89. </w:t>
      </w:r>
    </w:p>
    <w:p w14:paraId="2454548E" w14:textId="77777777" w:rsidR="00BE5A8E" w:rsidRPr="00FA366D" w:rsidRDefault="00BE5A8E" w:rsidP="001A7EF0">
      <w:pPr>
        <w:pStyle w:val="ListParagraph"/>
        <w:numPr>
          <w:ilvl w:val="0"/>
          <w:numId w:val="47"/>
        </w:numPr>
        <w:spacing w:after="0" w:line="0" w:lineRule="atLeast"/>
        <w:ind w:left="357" w:hanging="357"/>
        <w:jc w:val="both"/>
        <w:rPr>
          <w:rFonts w:ascii="Calibri" w:eastAsia="Times New Roman" w:hAnsi="Calibri" w:cs="Calibri"/>
          <w:color w:val="000000" w:themeColor="text1"/>
          <w:sz w:val="24"/>
          <w:szCs w:val="24"/>
          <w:lang w:eastAsia="en-IN"/>
        </w:rPr>
      </w:pPr>
      <w:r w:rsidRPr="00FA366D">
        <w:rPr>
          <w:rFonts w:ascii="Calibri" w:eastAsia="Times New Roman" w:hAnsi="Calibri" w:cs="Calibri"/>
          <w:color w:val="000000" w:themeColor="text1"/>
          <w:sz w:val="24"/>
          <w:szCs w:val="24"/>
          <w:lang w:eastAsia="en-IN"/>
        </w:rPr>
        <w:t xml:space="preserve">Rafati I, </w:t>
      </w:r>
      <w:proofErr w:type="spellStart"/>
      <w:r w:rsidRPr="00FA366D">
        <w:rPr>
          <w:rFonts w:ascii="Calibri" w:eastAsia="Times New Roman" w:hAnsi="Calibri" w:cs="Calibri"/>
          <w:color w:val="000000" w:themeColor="text1"/>
          <w:sz w:val="24"/>
          <w:szCs w:val="24"/>
          <w:lang w:eastAsia="en-IN"/>
        </w:rPr>
        <w:t>Destrempes</w:t>
      </w:r>
      <w:proofErr w:type="spellEnd"/>
      <w:r w:rsidRPr="00FA366D">
        <w:rPr>
          <w:rFonts w:ascii="Calibri" w:eastAsia="Times New Roman" w:hAnsi="Calibri" w:cs="Calibri"/>
          <w:color w:val="000000" w:themeColor="text1"/>
          <w:sz w:val="24"/>
          <w:szCs w:val="24"/>
          <w:lang w:eastAsia="en-IN"/>
        </w:rPr>
        <w:t xml:space="preserve"> F, Yazdani L, </w:t>
      </w:r>
      <w:proofErr w:type="spellStart"/>
      <w:r w:rsidRPr="00FA366D">
        <w:rPr>
          <w:rFonts w:ascii="Calibri" w:eastAsia="Times New Roman" w:hAnsi="Calibri" w:cs="Calibri"/>
          <w:color w:val="000000" w:themeColor="text1"/>
          <w:sz w:val="24"/>
          <w:szCs w:val="24"/>
          <w:lang w:eastAsia="en-IN"/>
        </w:rPr>
        <w:t>Gesnik</w:t>
      </w:r>
      <w:proofErr w:type="spellEnd"/>
      <w:r w:rsidRPr="00FA366D">
        <w:rPr>
          <w:rFonts w:ascii="Calibri" w:eastAsia="Times New Roman" w:hAnsi="Calibri" w:cs="Calibri"/>
          <w:color w:val="000000" w:themeColor="text1"/>
          <w:sz w:val="24"/>
          <w:szCs w:val="24"/>
          <w:lang w:eastAsia="en-IN"/>
        </w:rPr>
        <w:t xml:space="preserve"> M, Tang A, Cloutier G. Regularized Ultrasound Phantom-Free Local Attenuation Coefficient Slope (ACS) Imaging in Homogeneous and Heterogeneous Tissues. </w:t>
      </w:r>
      <w:r w:rsidRPr="00FA366D">
        <w:rPr>
          <w:rFonts w:ascii="Calibri" w:eastAsia="Times New Roman" w:hAnsi="Calibri" w:cs="Calibri"/>
          <w:i/>
          <w:iCs/>
          <w:color w:val="000000" w:themeColor="text1"/>
          <w:sz w:val="24"/>
          <w:szCs w:val="24"/>
          <w:lang w:eastAsia="en-IN"/>
        </w:rPr>
        <w:t xml:space="preserve">IEEE Trans </w:t>
      </w:r>
      <w:proofErr w:type="spellStart"/>
      <w:r w:rsidRPr="00FA366D">
        <w:rPr>
          <w:rFonts w:ascii="Calibri" w:eastAsia="Times New Roman" w:hAnsi="Calibri" w:cs="Calibri"/>
          <w:i/>
          <w:iCs/>
          <w:color w:val="000000" w:themeColor="text1"/>
          <w:sz w:val="24"/>
          <w:szCs w:val="24"/>
          <w:lang w:eastAsia="en-IN"/>
        </w:rPr>
        <w:t>Ultrason</w:t>
      </w:r>
      <w:proofErr w:type="spellEnd"/>
      <w:r w:rsidRPr="00FA366D">
        <w:rPr>
          <w:rFonts w:ascii="Calibri" w:eastAsia="Times New Roman" w:hAnsi="Calibri" w:cs="Calibri"/>
          <w:i/>
          <w:iCs/>
          <w:color w:val="000000" w:themeColor="text1"/>
          <w:sz w:val="24"/>
          <w:szCs w:val="24"/>
          <w:lang w:eastAsia="en-IN"/>
        </w:rPr>
        <w:t xml:space="preserve"> </w:t>
      </w:r>
      <w:proofErr w:type="spellStart"/>
      <w:r w:rsidRPr="00FA366D">
        <w:rPr>
          <w:rFonts w:ascii="Calibri" w:eastAsia="Times New Roman" w:hAnsi="Calibri" w:cs="Calibri"/>
          <w:i/>
          <w:iCs/>
          <w:color w:val="000000" w:themeColor="text1"/>
          <w:sz w:val="24"/>
          <w:szCs w:val="24"/>
          <w:lang w:eastAsia="en-IN"/>
        </w:rPr>
        <w:t>Ferroelectr</w:t>
      </w:r>
      <w:proofErr w:type="spellEnd"/>
      <w:r w:rsidRPr="00FA366D">
        <w:rPr>
          <w:rFonts w:ascii="Calibri" w:eastAsia="Times New Roman" w:hAnsi="Calibri" w:cs="Calibri"/>
          <w:i/>
          <w:iCs/>
          <w:color w:val="000000" w:themeColor="text1"/>
          <w:sz w:val="24"/>
          <w:szCs w:val="24"/>
          <w:lang w:eastAsia="en-IN"/>
        </w:rPr>
        <w:t xml:space="preserve"> Freq Control.</w:t>
      </w:r>
      <w:r w:rsidRPr="00FA366D">
        <w:rPr>
          <w:rFonts w:ascii="Calibri" w:eastAsia="Times New Roman" w:hAnsi="Calibri" w:cs="Calibri"/>
          <w:color w:val="000000" w:themeColor="text1"/>
          <w:sz w:val="24"/>
          <w:szCs w:val="24"/>
          <w:lang w:eastAsia="en-IN"/>
        </w:rPr>
        <w:t xml:space="preserve"> 2022;69(12):3338-3352. doi:10.1109/TUFFC.2022.3218920. </w:t>
      </w:r>
    </w:p>
    <w:p w14:paraId="523C99A9" w14:textId="77777777" w:rsidR="00BE5A8E" w:rsidRPr="00FA366D" w:rsidRDefault="00BE5A8E" w:rsidP="001A7EF0">
      <w:pPr>
        <w:pStyle w:val="ListParagraph"/>
        <w:numPr>
          <w:ilvl w:val="0"/>
          <w:numId w:val="47"/>
        </w:numPr>
        <w:spacing w:after="0" w:line="0" w:lineRule="atLeast"/>
        <w:ind w:left="357" w:hanging="357"/>
        <w:jc w:val="both"/>
        <w:rPr>
          <w:rFonts w:ascii="Calibri" w:hAnsi="Calibri" w:cs="Calibri"/>
          <w:color w:val="000000" w:themeColor="text1"/>
          <w:sz w:val="24"/>
          <w:szCs w:val="24"/>
        </w:rPr>
      </w:pPr>
      <w:r w:rsidRPr="00FA366D">
        <w:rPr>
          <w:rFonts w:ascii="Calibri" w:eastAsia="Times New Roman" w:hAnsi="Calibri" w:cs="Calibri"/>
          <w:color w:val="000000" w:themeColor="text1"/>
          <w:sz w:val="24"/>
          <w:szCs w:val="24"/>
          <w:lang w:eastAsia="en-IN"/>
        </w:rPr>
        <w:t xml:space="preserve">Liu M, Oelze ML. An open-source GPU-based real-time quantitative ultrasound toolbox. </w:t>
      </w:r>
      <w:proofErr w:type="spellStart"/>
      <w:r w:rsidRPr="00FA366D">
        <w:rPr>
          <w:rFonts w:ascii="Calibri" w:eastAsia="Times New Roman" w:hAnsi="Calibri" w:cs="Calibri"/>
          <w:i/>
          <w:iCs/>
          <w:color w:val="000000" w:themeColor="text1"/>
          <w:sz w:val="24"/>
          <w:szCs w:val="24"/>
          <w:lang w:eastAsia="en-IN"/>
        </w:rPr>
        <w:t>TechRxiv</w:t>
      </w:r>
      <w:proofErr w:type="spellEnd"/>
      <w:r w:rsidRPr="00FA366D">
        <w:rPr>
          <w:rFonts w:ascii="Calibri" w:eastAsia="Times New Roman" w:hAnsi="Calibri" w:cs="Calibri"/>
          <w:i/>
          <w:iCs/>
          <w:color w:val="000000" w:themeColor="text1"/>
          <w:sz w:val="24"/>
          <w:szCs w:val="24"/>
          <w:lang w:eastAsia="en-IN"/>
        </w:rPr>
        <w:t>.</w:t>
      </w:r>
      <w:r w:rsidRPr="00FA366D">
        <w:rPr>
          <w:rFonts w:ascii="Calibri" w:eastAsia="Times New Roman" w:hAnsi="Calibri" w:cs="Calibri"/>
          <w:color w:val="000000" w:themeColor="text1"/>
          <w:sz w:val="24"/>
          <w:szCs w:val="24"/>
          <w:lang w:eastAsia="en-IN"/>
        </w:rPr>
        <w:t xml:space="preserve"> February 6, 2026.</w:t>
      </w:r>
    </w:p>
    <w:p w14:paraId="62BCBAA0" w14:textId="77777777" w:rsidR="00BE5A8E" w:rsidRPr="00FA366D" w:rsidRDefault="00BE5A8E" w:rsidP="001A7EF0">
      <w:pPr>
        <w:pBdr>
          <w:top w:val="nil"/>
          <w:left w:val="nil"/>
          <w:bottom w:val="nil"/>
          <w:right w:val="nil"/>
          <w:between w:val="nil"/>
        </w:pBdr>
        <w:spacing w:line="0" w:lineRule="atLeast"/>
        <w:rPr>
          <w:color w:val="000000" w:themeColor="text1"/>
        </w:rPr>
      </w:pPr>
    </w:p>
    <w:sectPr w:rsidR="00BE5A8E" w:rsidRPr="00FA366D" w:rsidSect="00AE75C4">
      <w:headerReference w:type="even" r:id="rId12"/>
      <w:footerReference w:type="even" r:id="rId13"/>
      <w:footerReference w:type="default" r:id="rId14"/>
      <w:footerReference w:type="first" r:id="rId15"/>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4E941" w14:textId="77777777" w:rsidR="001F65F3" w:rsidRDefault="001F65F3">
      <w:r>
        <w:separator/>
      </w:r>
    </w:p>
  </w:endnote>
  <w:endnote w:type="continuationSeparator" w:id="0">
    <w:p w14:paraId="6D5BCAFD" w14:textId="77777777" w:rsidR="001F65F3" w:rsidRDefault="001F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Pr="00E01E73"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789548"/>
      <w:docPartObj>
        <w:docPartGallery w:val="Page Numbers (Bottom of Page)"/>
        <w:docPartUnique/>
      </w:docPartObj>
    </w:sdtPr>
    <w:sdtEndPr>
      <w:rPr>
        <w:noProof/>
      </w:rPr>
    </w:sdtEndPr>
    <w:sdtContent>
      <w:p w14:paraId="11F429E6" w14:textId="4F6F1A76" w:rsidR="003C6C60" w:rsidRDefault="00AE75C4" w:rsidP="00AE75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12B8" w14:textId="77777777" w:rsidR="00AE75C4" w:rsidRDefault="00AE75C4" w:rsidP="00AE75C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9DF2D" w14:textId="77777777" w:rsidR="001F65F3" w:rsidRDefault="001F65F3">
      <w:r>
        <w:separator/>
      </w:r>
    </w:p>
  </w:footnote>
  <w:footnote w:type="continuationSeparator" w:id="0">
    <w:p w14:paraId="3AB1B3CC" w14:textId="77777777" w:rsidR="001F65F3" w:rsidRDefault="001F6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Pr="00E01E73" w:rsidRDefault="006E479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2E3C"/>
    <w:multiLevelType w:val="hybridMultilevel"/>
    <w:tmpl w:val="E1203108"/>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C484CBE"/>
    <w:multiLevelType w:val="hybridMultilevel"/>
    <w:tmpl w:val="720477B4"/>
    <w:lvl w:ilvl="0" w:tplc="D5C8DEE4">
      <w:start w:val="1"/>
      <w:numFmt w:val="decimal"/>
      <w:lvlText w:val="%1."/>
      <w:lvlJc w:val="left"/>
      <w:pPr>
        <w:ind w:left="-1422" w:hanging="360"/>
      </w:pPr>
      <w:rPr>
        <w:sz w:val="24"/>
        <w:szCs w:val="24"/>
      </w:rPr>
    </w:lvl>
    <w:lvl w:ilvl="1" w:tplc="7D58028C">
      <w:start w:val="1"/>
      <w:numFmt w:val="lowerLetter"/>
      <w:lvlText w:val="%2."/>
      <w:lvlJc w:val="left"/>
      <w:pPr>
        <w:ind w:left="-702" w:hanging="360"/>
      </w:pPr>
    </w:lvl>
    <w:lvl w:ilvl="2" w:tplc="350A38F6" w:tentative="1">
      <w:start w:val="1"/>
      <w:numFmt w:val="lowerRoman"/>
      <w:lvlText w:val="%3."/>
      <w:lvlJc w:val="right"/>
      <w:pPr>
        <w:ind w:left="18" w:hanging="180"/>
      </w:pPr>
    </w:lvl>
    <w:lvl w:ilvl="3" w:tplc="871E0E84" w:tentative="1">
      <w:start w:val="1"/>
      <w:numFmt w:val="decimal"/>
      <w:lvlText w:val="%4."/>
      <w:lvlJc w:val="left"/>
      <w:pPr>
        <w:ind w:left="738" w:hanging="360"/>
      </w:pPr>
    </w:lvl>
    <w:lvl w:ilvl="4" w:tplc="4C90BEBC" w:tentative="1">
      <w:start w:val="1"/>
      <w:numFmt w:val="lowerLetter"/>
      <w:lvlText w:val="%5."/>
      <w:lvlJc w:val="left"/>
      <w:pPr>
        <w:ind w:left="1458" w:hanging="360"/>
      </w:pPr>
    </w:lvl>
    <w:lvl w:ilvl="5" w:tplc="D206A83A" w:tentative="1">
      <w:start w:val="1"/>
      <w:numFmt w:val="lowerRoman"/>
      <w:lvlText w:val="%6."/>
      <w:lvlJc w:val="right"/>
      <w:pPr>
        <w:ind w:left="2178" w:hanging="180"/>
      </w:pPr>
    </w:lvl>
    <w:lvl w:ilvl="6" w:tplc="52B8DF6C" w:tentative="1">
      <w:start w:val="1"/>
      <w:numFmt w:val="decimal"/>
      <w:lvlText w:val="%7."/>
      <w:lvlJc w:val="left"/>
      <w:pPr>
        <w:ind w:left="2898" w:hanging="360"/>
      </w:pPr>
    </w:lvl>
    <w:lvl w:ilvl="7" w:tplc="E5C43B26" w:tentative="1">
      <w:start w:val="1"/>
      <w:numFmt w:val="lowerLetter"/>
      <w:lvlText w:val="%8."/>
      <w:lvlJc w:val="left"/>
      <w:pPr>
        <w:ind w:left="3618" w:hanging="360"/>
      </w:pPr>
    </w:lvl>
    <w:lvl w:ilvl="8" w:tplc="6A7A5B7A" w:tentative="1">
      <w:start w:val="1"/>
      <w:numFmt w:val="lowerRoman"/>
      <w:lvlText w:val="%9."/>
      <w:lvlJc w:val="right"/>
      <w:pPr>
        <w:ind w:left="4338" w:hanging="180"/>
      </w:pPr>
    </w:lvl>
  </w:abstractNum>
  <w:abstractNum w:abstractNumId="2" w15:restartNumberingAfterBreak="0">
    <w:nsid w:val="0E004B3C"/>
    <w:multiLevelType w:val="hybridMultilevel"/>
    <w:tmpl w:val="3A3C8A4C"/>
    <w:lvl w:ilvl="0" w:tplc="CE96FDA0">
      <w:start w:val="1"/>
      <w:numFmt w:val="decimal"/>
      <w:lvlText w:val="%1."/>
      <w:lvlJc w:val="left"/>
      <w:pPr>
        <w:ind w:left="360" w:hanging="360"/>
      </w:pPr>
      <w:rPr>
        <w:rFonts w:hint="default"/>
        <w:b/>
        <w:bCs/>
        <w:color w:val="943634" w:themeColor="accent2" w:themeShade="BF"/>
      </w:rPr>
    </w:lvl>
    <w:lvl w:ilvl="1" w:tplc="6BCAA138">
      <w:start w:val="1"/>
      <w:numFmt w:val="decimal"/>
      <w:lvlText w:val="%2."/>
      <w:lvlJc w:val="left"/>
      <w:pPr>
        <w:ind w:left="1080" w:hanging="360"/>
      </w:pPr>
      <w:rPr>
        <w:b w:val="0"/>
        <w:bCs w:val="0"/>
        <w:color w:val="auto"/>
      </w:rPr>
    </w:lvl>
    <w:lvl w:ilvl="2" w:tplc="73C27908">
      <w:start w:val="1"/>
      <w:numFmt w:val="lowerRoman"/>
      <w:lvlText w:val="%3."/>
      <w:lvlJc w:val="right"/>
      <w:pPr>
        <w:ind w:left="1800" w:hanging="180"/>
      </w:pPr>
      <w:rPr>
        <w:b w:val="0"/>
        <w:bCs w:val="0"/>
        <w:color w:val="auto"/>
      </w:rPr>
    </w:lvl>
    <w:lvl w:ilvl="3" w:tplc="84BEF058" w:tentative="1">
      <w:start w:val="1"/>
      <w:numFmt w:val="decimal"/>
      <w:lvlText w:val="%4."/>
      <w:lvlJc w:val="left"/>
      <w:pPr>
        <w:ind w:left="2520" w:hanging="360"/>
      </w:pPr>
    </w:lvl>
    <w:lvl w:ilvl="4" w:tplc="1D8CD314" w:tentative="1">
      <w:start w:val="1"/>
      <w:numFmt w:val="lowerLetter"/>
      <w:lvlText w:val="%5."/>
      <w:lvlJc w:val="left"/>
      <w:pPr>
        <w:ind w:left="3240" w:hanging="360"/>
      </w:pPr>
    </w:lvl>
    <w:lvl w:ilvl="5" w:tplc="5DE8F33C" w:tentative="1">
      <w:start w:val="1"/>
      <w:numFmt w:val="lowerRoman"/>
      <w:lvlText w:val="%6."/>
      <w:lvlJc w:val="right"/>
      <w:pPr>
        <w:ind w:left="3960" w:hanging="180"/>
      </w:pPr>
    </w:lvl>
    <w:lvl w:ilvl="6" w:tplc="E8D49CC2" w:tentative="1">
      <w:start w:val="1"/>
      <w:numFmt w:val="decimal"/>
      <w:lvlText w:val="%7."/>
      <w:lvlJc w:val="left"/>
      <w:pPr>
        <w:ind w:left="4680" w:hanging="360"/>
      </w:pPr>
    </w:lvl>
    <w:lvl w:ilvl="7" w:tplc="66FADEEE" w:tentative="1">
      <w:start w:val="1"/>
      <w:numFmt w:val="lowerLetter"/>
      <w:lvlText w:val="%8."/>
      <w:lvlJc w:val="left"/>
      <w:pPr>
        <w:ind w:left="5400" w:hanging="360"/>
      </w:pPr>
    </w:lvl>
    <w:lvl w:ilvl="8" w:tplc="D75ECB90" w:tentative="1">
      <w:start w:val="1"/>
      <w:numFmt w:val="lowerRoman"/>
      <w:lvlText w:val="%9."/>
      <w:lvlJc w:val="right"/>
      <w:pPr>
        <w:ind w:left="6120" w:hanging="180"/>
      </w:pPr>
    </w:lvl>
  </w:abstractNum>
  <w:abstractNum w:abstractNumId="3" w15:restartNumberingAfterBreak="0">
    <w:nsid w:val="0FE15FCA"/>
    <w:multiLevelType w:val="hybridMultilevel"/>
    <w:tmpl w:val="4AAABC5E"/>
    <w:lvl w:ilvl="0" w:tplc="02EECC52">
      <w:start w:val="1"/>
      <w:numFmt w:val="bullet"/>
      <w:lvlText w:val=""/>
      <w:lvlJc w:val="left"/>
      <w:pPr>
        <w:ind w:left="360" w:hanging="360"/>
      </w:pPr>
      <w:rPr>
        <w:rFonts w:ascii="Symbol" w:hAnsi="Symbol" w:hint="default"/>
        <w:sz w:val="28"/>
        <w:szCs w:val="28"/>
      </w:rPr>
    </w:lvl>
    <w:lvl w:ilvl="1" w:tplc="239EC642" w:tentative="1">
      <w:start w:val="1"/>
      <w:numFmt w:val="bullet"/>
      <w:lvlText w:val="o"/>
      <w:lvlJc w:val="left"/>
      <w:pPr>
        <w:ind w:left="1440" w:hanging="360"/>
      </w:pPr>
      <w:rPr>
        <w:rFonts w:ascii="Courier New" w:hAnsi="Courier New" w:cs="Courier New" w:hint="default"/>
      </w:rPr>
    </w:lvl>
    <w:lvl w:ilvl="2" w:tplc="5176AB20" w:tentative="1">
      <w:start w:val="1"/>
      <w:numFmt w:val="bullet"/>
      <w:lvlText w:val=""/>
      <w:lvlJc w:val="left"/>
      <w:pPr>
        <w:ind w:left="2160" w:hanging="360"/>
      </w:pPr>
      <w:rPr>
        <w:rFonts w:ascii="Wingdings" w:hAnsi="Wingdings" w:hint="default"/>
      </w:rPr>
    </w:lvl>
    <w:lvl w:ilvl="3" w:tplc="90966366" w:tentative="1">
      <w:start w:val="1"/>
      <w:numFmt w:val="bullet"/>
      <w:lvlText w:val=""/>
      <w:lvlJc w:val="left"/>
      <w:pPr>
        <w:ind w:left="2880" w:hanging="360"/>
      </w:pPr>
      <w:rPr>
        <w:rFonts w:ascii="Symbol" w:hAnsi="Symbol" w:hint="default"/>
      </w:rPr>
    </w:lvl>
    <w:lvl w:ilvl="4" w:tplc="99C48272" w:tentative="1">
      <w:start w:val="1"/>
      <w:numFmt w:val="bullet"/>
      <w:lvlText w:val="o"/>
      <w:lvlJc w:val="left"/>
      <w:pPr>
        <w:ind w:left="3600" w:hanging="360"/>
      </w:pPr>
      <w:rPr>
        <w:rFonts w:ascii="Courier New" w:hAnsi="Courier New" w:cs="Courier New" w:hint="default"/>
      </w:rPr>
    </w:lvl>
    <w:lvl w:ilvl="5" w:tplc="DF241E1A" w:tentative="1">
      <w:start w:val="1"/>
      <w:numFmt w:val="bullet"/>
      <w:lvlText w:val=""/>
      <w:lvlJc w:val="left"/>
      <w:pPr>
        <w:ind w:left="4320" w:hanging="360"/>
      </w:pPr>
      <w:rPr>
        <w:rFonts w:ascii="Wingdings" w:hAnsi="Wingdings" w:hint="default"/>
      </w:rPr>
    </w:lvl>
    <w:lvl w:ilvl="6" w:tplc="274869EE" w:tentative="1">
      <w:start w:val="1"/>
      <w:numFmt w:val="bullet"/>
      <w:lvlText w:val=""/>
      <w:lvlJc w:val="left"/>
      <w:pPr>
        <w:ind w:left="5040" w:hanging="360"/>
      </w:pPr>
      <w:rPr>
        <w:rFonts w:ascii="Symbol" w:hAnsi="Symbol" w:hint="default"/>
      </w:rPr>
    </w:lvl>
    <w:lvl w:ilvl="7" w:tplc="3716D854" w:tentative="1">
      <w:start w:val="1"/>
      <w:numFmt w:val="bullet"/>
      <w:lvlText w:val="o"/>
      <w:lvlJc w:val="left"/>
      <w:pPr>
        <w:ind w:left="5760" w:hanging="360"/>
      </w:pPr>
      <w:rPr>
        <w:rFonts w:ascii="Courier New" w:hAnsi="Courier New" w:cs="Courier New" w:hint="default"/>
      </w:rPr>
    </w:lvl>
    <w:lvl w:ilvl="8" w:tplc="A2AE58E6"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1904172C">
      <w:start w:val="1"/>
      <w:numFmt w:val="decimal"/>
      <w:lvlText w:val="%1."/>
      <w:lvlJc w:val="left"/>
      <w:pPr>
        <w:ind w:left="720" w:hanging="360"/>
      </w:pPr>
    </w:lvl>
    <w:lvl w:ilvl="1" w:tplc="5B4CC636" w:tentative="1">
      <w:start w:val="1"/>
      <w:numFmt w:val="lowerLetter"/>
      <w:lvlText w:val="%2."/>
      <w:lvlJc w:val="left"/>
      <w:pPr>
        <w:ind w:left="1440" w:hanging="360"/>
      </w:pPr>
    </w:lvl>
    <w:lvl w:ilvl="2" w:tplc="C038D8EE" w:tentative="1">
      <w:start w:val="1"/>
      <w:numFmt w:val="lowerRoman"/>
      <w:lvlText w:val="%3."/>
      <w:lvlJc w:val="right"/>
      <w:pPr>
        <w:ind w:left="2160" w:hanging="180"/>
      </w:pPr>
    </w:lvl>
    <w:lvl w:ilvl="3" w:tplc="C2F4B24E" w:tentative="1">
      <w:start w:val="1"/>
      <w:numFmt w:val="decimal"/>
      <w:lvlText w:val="%4."/>
      <w:lvlJc w:val="left"/>
      <w:pPr>
        <w:ind w:left="2880" w:hanging="360"/>
      </w:pPr>
    </w:lvl>
    <w:lvl w:ilvl="4" w:tplc="C67625CA" w:tentative="1">
      <w:start w:val="1"/>
      <w:numFmt w:val="lowerLetter"/>
      <w:lvlText w:val="%5."/>
      <w:lvlJc w:val="left"/>
      <w:pPr>
        <w:ind w:left="3600" w:hanging="360"/>
      </w:pPr>
    </w:lvl>
    <w:lvl w:ilvl="5" w:tplc="2F02AFE8" w:tentative="1">
      <w:start w:val="1"/>
      <w:numFmt w:val="lowerRoman"/>
      <w:lvlText w:val="%6."/>
      <w:lvlJc w:val="right"/>
      <w:pPr>
        <w:ind w:left="4320" w:hanging="180"/>
      </w:pPr>
    </w:lvl>
    <w:lvl w:ilvl="6" w:tplc="F1305412" w:tentative="1">
      <w:start w:val="1"/>
      <w:numFmt w:val="decimal"/>
      <w:lvlText w:val="%7."/>
      <w:lvlJc w:val="left"/>
      <w:pPr>
        <w:ind w:left="5040" w:hanging="360"/>
      </w:pPr>
    </w:lvl>
    <w:lvl w:ilvl="7" w:tplc="A61277E2" w:tentative="1">
      <w:start w:val="1"/>
      <w:numFmt w:val="lowerLetter"/>
      <w:lvlText w:val="%8."/>
      <w:lvlJc w:val="left"/>
      <w:pPr>
        <w:ind w:left="5760" w:hanging="360"/>
      </w:pPr>
    </w:lvl>
    <w:lvl w:ilvl="8" w:tplc="90AE0AB2" w:tentative="1">
      <w:start w:val="1"/>
      <w:numFmt w:val="lowerRoman"/>
      <w:lvlText w:val="%9."/>
      <w:lvlJc w:val="right"/>
      <w:pPr>
        <w:ind w:left="6480" w:hanging="180"/>
      </w:pPr>
    </w:lvl>
  </w:abstractNum>
  <w:abstractNum w:abstractNumId="5" w15:restartNumberingAfterBreak="0">
    <w:nsid w:val="146940B8"/>
    <w:multiLevelType w:val="multilevel"/>
    <w:tmpl w:val="1680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75B86"/>
    <w:multiLevelType w:val="hybridMultilevel"/>
    <w:tmpl w:val="2214D232"/>
    <w:lvl w:ilvl="0" w:tplc="C44A0516">
      <w:start w:val="4"/>
      <w:numFmt w:val="bullet"/>
      <w:lvlText w:val="-"/>
      <w:lvlJc w:val="left"/>
      <w:pPr>
        <w:ind w:left="410" w:hanging="360"/>
      </w:pPr>
      <w:rPr>
        <w:rFonts w:ascii="Calibri" w:eastAsia="Calibri" w:hAnsi="Calibri" w:cs="Calibri" w:hint="default"/>
      </w:rPr>
    </w:lvl>
    <w:lvl w:ilvl="1" w:tplc="56A46BA8">
      <w:start w:val="1"/>
      <w:numFmt w:val="bullet"/>
      <w:lvlText w:val="o"/>
      <w:lvlJc w:val="left"/>
      <w:pPr>
        <w:ind w:left="1130" w:hanging="360"/>
      </w:pPr>
      <w:rPr>
        <w:rFonts w:ascii="Courier New" w:hAnsi="Courier New" w:cs="Courier New" w:hint="default"/>
      </w:rPr>
    </w:lvl>
    <w:lvl w:ilvl="2" w:tplc="69682160">
      <w:start w:val="1"/>
      <w:numFmt w:val="bullet"/>
      <w:lvlText w:val=""/>
      <w:lvlJc w:val="left"/>
      <w:pPr>
        <w:ind w:left="1850" w:hanging="360"/>
      </w:pPr>
      <w:rPr>
        <w:rFonts w:ascii="Wingdings" w:hAnsi="Wingdings" w:hint="default"/>
      </w:rPr>
    </w:lvl>
    <w:lvl w:ilvl="3" w:tplc="E7F09FC6" w:tentative="1">
      <w:start w:val="1"/>
      <w:numFmt w:val="bullet"/>
      <w:lvlText w:val=""/>
      <w:lvlJc w:val="left"/>
      <w:pPr>
        <w:ind w:left="2570" w:hanging="360"/>
      </w:pPr>
      <w:rPr>
        <w:rFonts w:ascii="Symbol" w:hAnsi="Symbol" w:hint="default"/>
      </w:rPr>
    </w:lvl>
    <w:lvl w:ilvl="4" w:tplc="F384C29E" w:tentative="1">
      <w:start w:val="1"/>
      <w:numFmt w:val="bullet"/>
      <w:lvlText w:val="o"/>
      <w:lvlJc w:val="left"/>
      <w:pPr>
        <w:ind w:left="3290" w:hanging="360"/>
      </w:pPr>
      <w:rPr>
        <w:rFonts w:ascii="Courier New" w:hAnsi="Courier New" w:cs="Courier New" w:hint="default"/>
      </w:rPr>
    </w:lvl>
    <w:lvl w:ilvl="5" w:tplc="A58EB552" w:tentative="1">
      <w:start w:val="1"/>
      <w:numFmt w:val="bullet"/>
      <w:lvlText w:val=""/>
      <w:lvlJc w:val="left"/>
      <w:pPr>
        <w:ind w:left="4010" w:hanging="360"/>
      </w:pPr>
      <w:rPr>
        <w:rFonts w:ascii="Wingdings" w:hAnsi="Wingdings" w:hint="default"/>
      </w:rPr>
    </w:lvl>
    <w:lvl w:ilvl="6" w:tplc="9A927BF6" w:tentative="1">
      <w:start w:val="1"/>
      <w:numFmt w:val="bullet"/>
      <w:lvlText w:val=""/>
      <w:lvlJc w:val="left"/>
      <w:pPr>
        <w:ind w:left="4730" w:hanging="360"/>
      </w:pPr>
      <w:rPr>
        <w:rFonts w:ascii="Symbol" w:hAnsi="Symbol" w:hint="default"/>
      </w:rPr>
    </w:lvl>
    <w:lvl w:ilvl="7" w:tplc="154C47DC" w:tentative="1">
      <w:start w:val="1"/>
      <w:numFmt w:val="bullet"/>
      <w:lvlText w:val="o"/>
      <w:lvlJc w:val="left"/>
      <w:pPr>
        <w:ind w:left="5450" w:hanging="360"/>
      </w:pPr>
      <w:rPr>
        <w:rFonts w:ascii="Courier New" w:hAnsi="Courier New" w:cs="Courier New" w:hint="default"/>
      </w:rPr>
    </w:lvl>
    <w:lvl w:ilvl="8" w:tplc="37866ABC" w:tentative="1">
      <w:start w:val="1"/>
      <w:numFmt w:val="bullet"/>
      <w:lvlText w:val=""/>
      <w:lvlJc w:val="left"/>
      <w:pPr>
        <w:ind w:left="6170" w:hanging="360"/>
      </w:pPr>
      <w:rPr>
        <w:rFonts w:ascii="Wingdings" w:hAnsi="Wingdings" w:hint="default"/>
      </w:rPr>
    </w:lvl>
  </w:abstractNum>
  <w:abstractNum w:abstractNumId="7" w15:restartNumberingAfterBreak="0">
    <w:nsid w:val="1F57075F"/>
    <w:multiLevelType w:val="multilevel"/>
    <w:tmpl w:val="E4CA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628B1"/>
    <w:multiLevelType w:val="multilevel"/>
    <w:tmpl w:val="9D2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A043A"/>
    <w:multiLevelType w:val="hybridMultilevel"/>
    <w:tmpl w:val="97EA5562"/>
    <w:lvl w:ilvl="0" w:tplc="EDD6C5D0">
      <w:start w:val="1"/>
      <w:numFmt w:val="decimal"/>
      <w:lvlText w:val="%1."/>
      <w:lvlJc w:val="left"/>
      <w:pPr>
        <w:ind w:left="720" w:hanging="360"/>
      </w:pPr>
    </w:lvl>
    <w:lvl w:ilvl="1" w:tplc="6A640D24" w:tentative="1">
      <w:start w:val="1"/>
      <w:numFmt w:val="lowerLetter"/>
      <w:lvlText w:val="%2."/>
      <w:lvlJc w:val="left"/>
      <w:pPr>
        <w:ind w:left="1440" w:hanging="360"/>
      </w:pPr>
    </w:lvl>
    <w:lvl w:ilvl="2" w:tplc="66843DCE" w:tentative="1">
      <w:start w:val="1"/>
      <w:numFmt w:val="lowerRoman"/>
      <w:lvlText w:val="%3."/>
      <w:lvlJc w:val="right"/>
      <w:pPr>
        <w:ind w:left="2160" w:hanging="180"/>
      </w:pPr>
    </w:lvl>
    <w:lvl w:ilvl="3" w:tplc="7DD010B0" w:tentative="1">
      <w:start w:val="1"/>
      <w:numFmt w:val="decimal"/>
      <w:lvlText w:val="%4."/>
      <w:lvlJc w:val="left"/>
      <w:pPr>
        <w:ind w:left="2880" w:hanging="360"/>
      </w:pPr>
    </w:lvl>
    <w:lvl w:ilvl="4" w:tplc="7D0C9B58" w:tentative="1">
      <w:start w:val="1"/>
      <w:numFmt w:val="lowerLetter"/>
      <w:lvlText w:val="%5."/>
      <w:lvlJc w:val="left"/>
      <w:pPr>
        <w:ind w:left="3600" w:hanging="360"/>
      </w:pPr>
    </w:lvl>
    <w:lvl w:ilvl="5" w:tplc="13642BE6" w:tentative="1">
      <w:start w:val="1"/>
      <w:numFmt w:val="lowerRoman"/>
      <w:lvlText w:val="%6."/>
      <w:lvlJc w:val="right"/>
      <w:pPr>
        <w:ind w:left="4320" w:hanging="180"/>
      </w:pPr>
    </w:lvl>
    <w:lvl w:ilvl="6" w:tplc="86A4D23C" w:tentative="1">
      <w:start w:val="1"/>
      <w:numFmt w:val="decimal"/>
      <w:lvlText w:val="%7."/>
      <w:lvlJc w:val="left"/>
      <w:pPr>
        <w:ind w:left="5040" w:hanging="360"/>
      </w:pPr>
    </w:lvl>
    <w:lvl w:ilvl="7" w:tplc="F014F7B2" w:tentative="1">
      <w:start w:val="1"/>
      <w:numFmt w:val="lowerLetter"/>
      <w:lvlText w:val="%8."/>
      <w:lvlJc w:val="left"/>
      <w:pPr>
        <w:ind w:left="5760" w:hanging="360"/>
      </w:pPr>
    </w:lvl>
    <w:lvl w:ilvl="8" w:tplc="2F7C3016" w:tentative="1">
      <w:start w:val="1"/>
      <w:numFmt w:val="lowerRoman"/>
      <w:lvlText w:val="%9."/>
      <w:lvlJc w:val="right"/>
      <w:pPr>
        <w:ind w:left="6480" w:hanging="180"/>
      </w:pPr>
    </w:lvl>
  </w:abstractNum>
  <w:abstractNum w:abstractNumId="10" w15:restartNumberingAfterBreak="0">
    <w:nsid w:val="22EB47DF"/>
    <w:multiLevelType w:val="hybridMultilevel"/>
    <w:tmpl w:val="242E6340"/>
    <w:lvl w:ilvl="0" w:tplc="26226782">
      <w:start w:val="1"/>
      <w:numFmt w:val="decimal"/>
      <w:lvlText w:val="%1."/>
      <w:lvlJc w:val="left"/>
      <w:pPr>
        <w:ind w:left="360" w:hanging="360"/>
      </w:pPr>
      <w:rPr>
        <w:rFonts w:hint="default"/>
        <w:b/>
        <w:bCs/>
      </w:rPr>
    </w:lvl>
    <w:lvl w:ilvl="1" w:tplc="8208EAF4">
      <w:start w:val="1"/>
      <w:numFmt w:val="lowerLetter"/>
      <w:lvlText w:val="%2."/>
      <w:lvlJc w:val="left"/>
      <w:pPr>
        <w:ind w:left="1080" w:hanging="360"/>
      </w:pPr>
    </w:lvl>
    <w:lvl w:ilvl="2" w:tplc="579C6818" w:tentative="1">
      <w:start w:val="1"/>
      <w:numFmt w:val="lowerRoman"/>
      <w:lvlText w:val="%3."/>
      <w:lvlJc w:val="right"/>
      <w:pPr>
        <w:ind w:left="1800" w:hanging="180"/>
      </w:pPr>
    </w:lvl>
    <w:lvl w:ilvl="3" w:tplc="CF987C48" w:tentative="1">
      <w:start w:val="1"/>
      <w:numFmt w:val="decimal"/>
      <w:lvlText w:val="%4."/>
      <w:lvlJc w:val="left"/>
      <w:pPr>
        <w:ind w:left="2520" w:hanging="360"/>
      </w:pPr>
    </w:lvl>
    <w:lvl w:ilvl="4" w:tplc="69EE4AD8" w:tentative="1">
      <w:start w:val="1"/>
      <w:numFmt w:val="lowerLetter"/>
      <w:lvlText w:val="%5."/>
      <w:lvlJc w:val="left"/>
      <w:pPr>
        <w:ind w:left="3240" w:hanging="360"/>
      </w:pPr>
    </w:lvl>
    <w:lvl w:ilvl="5" w:tplc="D61C8CDA" w:tentative="1">
      <w:start w:val="1"/>
      <w:numFmt w:val="lowerRoman"/>
      <w:lvlText w:val="%6."/>
      <w:lvlJc w:val="right"/>
      <w:pPr>
        <w:ind w:left="3960" w:hanging="180"/>
      </w:pPr>
    </w:lvl>
    <w:lvl w:ilvl="6" w:tplc="F59053E0" w:tentative="1">
      <w:start w:val="1"/>
      <w:numFmt w:val="decimal"/>
      <w:lvlText w:val="%7."/>
      <w:lvlJc w:val="left"/>
      <w:pPr>
        <w:ind w:left="4680" w:hanging="360"/>
      </w:pPr>
    </w:lvl>
    <w:lvl w:ilvl="7" w:tplc="489A986C" w:tentative="1">
      <w:start w:val="1"/>
      <w:numFmt w:val="lowerLetter"/>
      <w:lvlText w:val="%8."/>
      <w:lvlJc w:val="left"/>
      <w:pPr>
        <w:ind w:left="5400" w:hanging="360"/>
      </w:pPr>
    </w:lvl>
    <w:lvl w:ilvl="8" w:tplc="D08C0D6E" w:tentative="1">
      <w:start w:val="1"/>
      <w:numFmt w:val="lowerRoman"/>
      <w:lvlText w:val="%9."/>
      <w:lvlJc w:val="right"/>
      <w:pPr>
        <w:ind w:left="6120" w:hanging="180"/>
      </w:pPr>
    </w:lvl>
  </w:abstractNum>
  <w:abstractNum w:abstractNumId="11" w15:restartNumberingAfterBreak="0">
    <w:nsid w:val="240A5F44"/>
    <w:multiLevelType w:val="hybridMultilevel"/>
    <w:tmpl w:val="87FAFC60"/>
    <w:lvl w:ilvl="0" w:tplc="B4361770">
      <w:start w:val="1"/>
      <w:numFmt w:val="decimal"/>
      <w:lvlText w:val="%1."/>
      <w:lvlJc w:val="left"/>
      <w:pPr>
        <w:ind w:left="720" w:hanging="360"/>
      </w:pPr>
    </w:lvl>
    <w:lvl w:ilvl="1" w:tplc="847AB136" w:tentative="1">
      <w:start w:val="1"/>
      <w:numFmt w:val="lowerLetter"/>
      <w:lvlText w:val="%2."/>
      <w:lvlJc w:val="left"/>
      <w:pPr>
        <w:ind w:left="1440" w:hanging="360"/>
      </w:pPr>
    </w:lvl>
    <w:lvl w:ilvl="2" w:tplc="F0045F0A" w:tentative="1">
      <w:start w:val="1"/>
      <w:numFmt w:val="lowerRoman"/>
      <w:lvlText w:val="%3."/>
      <w:lvlJc w:val="right"/>
      <w:pPr>
        <w:ind w:left="2160" w:hanging="180"/>
      </w:pPr>
    </w:lvl>
    <w:lvl w:ilvl="3" w:tplc="62C6B00A" w:tentative="1">
      <w:start w:val="1"/>
      <w:numFmt w:val="decimal"/>
      <w:lvlText w:val="%4."/>
      <w:lvlJc w:val="left"/>
      <w:pPr>
        <w:ind w:left="2880" w:hanging="360"/>
      </w:pPr>
    </w:lvl>
    <w:lvl w:ilvl="4" w:tplc="E7DCA310" w:tentative="1">
      <w:start w:val="1"/>
      <w:numFmt w:val="lowerLetter"/>
      <w:lvlText w:val="%5."/>
      <w:lvlJc w:val="left"/>
      <w:pPr>
        <w:ind w:left="3600" w:hanging="360"/>
      </w:pPr>
    </w:lvl>
    <w:lvl w:ilvl="5" w:tplc="40DCB350" w:tentative="1">
      <w:start w:val="1"/>
      <w:numFmt w:val="lowerRoman"/>
      <w:lvlText w:val="%6."/>
      <w:lvlJc w:val="right"/>
      <w:pPr>
        <w:ind w:left="4320" w:hanging="180"/>
      </w:pPr>
    </w:lvl>
    <w:lvl w:ilvl="6" w:tplc="B6986EA6" w:tentative="1">
      <w:start w:val="1"/>
      <w:numFmt w:val="decimal"/>
      <w:lvlText w:val="%7."/>
      <w:lvlJc w:val="left"/>
      <w:pPr>
        <w:ind w:left="5040" w:hanging="360"/>
      </w:pPr>
    </w:lvl>
    <w:lvl w:ilvl="7" w:tplc="5DCA9FDA" w:tentative="1">
      <w:start w:val="1"/>
      <w:numFmt w:val="lowerLetter"/>
      <w:lvlText w:val="%8."/>
      <w:lvlJc w:val="left"/>
      <w:pPr>
        <w:ind w:left="5760" w:hanging="360"/>
      </w:pPr>
    </w:lvl>
    <w:lvl w:ilvl="8" w:tplc="E698E9C4"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5207410"/>
    <w:multiLevelType w:val="hybridMultilevel"/>
    <w:tmpl w:val="A2F636D0"/>
    <w:lvl w:ilvl="0" w:tplc="A7CA5A82">
      <w:start w:val="1"/>
      <w:numFmt w:val="decimal"/>
      <w:lvlText w:val="%1."/>
      <w:lvlJc w:val="left"/>
      <w:pPr>
        <w:ind w:left="720" w:hanging="360"/>
      </w:pPr>
      <w:rPr>
        <w:rFonts w:hint="default"/>
        <w:b w:val="0"/>
      </w:rPr>
    </w:lvl>
    <w:lvl w:ilvl="1" w:tplc="A08E171A" w:tentative="1">
      <w:start w:val="1"/>
      <w:numFmt w:val="lowerLetter"/>
      <w:lvlText w:val="%2."/>
      <w:lvlJc w:val="left"/>
      <w:pPr>
        <w:ind w:left="1440" w:hanging="360"/>
      </w:pPr>
    </w:lvl>
    <w:lvl w:ilvl="2" w:tplc="A6F81440" w:tentative="1">
      <w:start w:val="1"/>
      <w:numFmt w:val="lowerRoman"/>
      <w:lvlText w:val="%3."/>
      <w:lvlJc w:val="right"/>
      <w:pPr>
        <w:ind w:left="2160" w:hanging="180"/>
      </w:pPr>
    </w:lvl>
    <w:lvl w:ilvl="3" w:tplc="48D21E5E" w:tentative="1">
      <w:start w:val="1"/>
      <w:numFmt w:val="decimal"/>
      <w:lvlText w:val="%4."/>
      <w:lvlJc w:val="left"/>
      <w:pPr>
        <w:ind w:left="2880" w:hanging="360"/>
      </w:pPr>
    </w:lvl>
    <w:lvl w:ilvl="4" w:tplc="496AC3BA" w:tentative="1">
      <w:start w:val="1"/>
      <w:numFmt w:val="lowerLetter"/>
      <w:lvlText w:val="%5."/>
      <w:lvlJc w:val="left"/>
      <w:pPr>
        <w:ind w:left="3600" w:hanging="360"/>
      </w:pPr>
    </w:lvl>
    <w:lvl w:ilvl="5" w:tplc="2A5ECEFA" w:tentative="1">
      <w:start w:val="1"/>
      <w:numFmt w:val="lowerRoman"/>
      <w:lvlText w:val="%6."/>
      <w:lvlJc w:val="right"/>
      <w:pPr>
        <w:ind w:left="4320" w:hanging="180"/>
      </w:pPr>
    </w:lvl>
    <w:lvl w:ilvl="6" w:tplc="EA3C7C4A" w:tentative="1">
      <w:start w:val="1"/>
      <w:numFmt w:val="decimal"/>
      <w:lvlText w:val="%7."/>
      <w:lvlJc w:val="left"/>
      <w:pPr>
        <w:ind w:left="5040" w:hanging="360"/>
      </w:pPr>
    </w:lvl>
    <w:lvl w:ilvl="7" w:tplc="866C4324" w:tentative="1">
      <w:start w:val="1"/>
      <w:numFmt w:val="lowerLetter"/>
      <w:lvlText w:val="%8."/>
      <w:lvlJc w:val="left"/>
      <w:pPr>
        <w:ind w:left="5760" w:hanging="360"/>
      </w:pPr>
    </w:lvl>
    <w:lvl w:ilvl="8" w:tplc="371E0238" w:tentative="1">
      <w:start w:val="1"/>
      <w:numFmt w:val="lowerRoman"/>
      <w:lvlText w:val="%9."/>
      <w:lvlJc w:val="right"/>
      <w:pPr>
        <w:ind w:left="6480" w:hanging="180"/>
      </w:pPr>
    </w:lvl>
  </w:abstractNum>
  <w:abstractNum w:abstractNumId="14" w15:restartNumberingAfterBreak="0">
    <w:nsid w:val="2784237C"/>
    <w:multiLevelType w:val="multilevel"/>
    <w:tmpl w:val="060C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D1373D0"/>
    <w:multiLevelType w:val="hybridMultilevel"/>
    <w:tmpl w:val="64823644"/>
    <w:lvl w:ilvl="0" w:tplc="1C52000E">
      <w:start w:val="1"/>
      <w:numFmt w:val="bullet"/>
      <w:lvlText w:val=""/>
      <w:lvlJc w:val="left"/>
      <w:pPr>
        <w:ind w:left="720" w:hanging="360"/>
      </w:pPr>
      <w:rPr>
        <w:rFonts w:ascii="Symbol" w:hAnsi="Symbol" w:hint="default"/>
      </w:rPr>
    </w:lvl>
    <w:lvl w:ilvl="1" w:tplc="676ACA34" w:tentative="1">
      <w:start w:val="1"/>
      <w:numFmt w:val="bullet"/>
      <w:lvlText w:val="o"/>
      <w:lvlJc w:val="left"/>
      <w:pPr>
        <w:ind w:left="1440" w:hanging="360"/>
      </w:pPr>
      <w:rPr>
        <w:rFonts w:ascii="Courier New" w:hAnsi="Courier New" w:cs="Courier New" w:hint="default"/>
      </w:rPr>
    </w:lvl>
    <w:lvl w:ilvl="2" w:tplc="C9A8B5D6" w:tentative="1">
      <w:start w:val="1"/>
      <w:numFmt w:val="bullet"/>
      <w:lvlText w:val=""/>
      <w:lvlJc w:val="left"/>
      <w:pPr>
        <w:ind w:left="2160" w:hanging="360"/>
      </w:pPr>
      <w:rPr>
        <w:rFonts w:ascii="Wingdings" w:hAnsi="Wingdings" w:hint="default"/>
      </w:rPr>
    </w:lvl>
    <w:lvl w:ilvl="3" w:tplc="63C85150" w:tentative="1">
      <w:start w:val="1"/>
      <w:numFmt w:val="bullet"/>
      <w:lvlText w:val=""/>
      <w:lvlJc w:val="left"/>
      <w:pPr>
        <w:ind w:left="2880" w:hanging="360"/>
      </w:pPr>
      <w:rPr>
        <w:rFonts w:ascii="Symbol" w:hAnsi="Symbol" w:hint="default"/>
      </w:rPr>
    </w:lvl>
    <w:lvl w:ilvl="4" w:tplc="C0946D7E" w:tentative="1">
      <w:start w:val="1"/>
      <w:numFmt w:val="bullet"/>
      <w:lvlText w:val="o"/>
      <w:lvlJc w:val="left"/>
      <w:pPr>
        <w:ind w:left="3600" w:hanging="360"/>
      </w:pPr>
      <w:rPr>
        <w:rFonts w:ascii="Courier New" w:hAnsi="Courier New" w:cs="Courier New" w:hint="default"/>
      </w:rPr>
    </w:lvl>
    <w:lvl w:ilvl="5" w:tplc="F7FC2670" w:tentative="1">
      <w:start w:val="1"/>
      <w:numFmt w:val="bullet"/>
      <w:lvlText w:val=""/>
      <w:lvlJc w:val="left"/>
      <w:pPr>
        <w:ind w:left="4320" w:hanging="360"/>
      </w:pPr>
      <w:rPr>
        <w:rFonts w:ascii="Wingdings" w:hAnsi="Wingdings" w:hint="default"/>
      </w:rPr>
    </w:lvl>
    <w:lvl w:ilvl="6" w:tplc="1344934C" w:tentative="1">
      <w:start w:val="1"/>
      <w:numFmt w:val="bullet"/>
      <w:lvlText w:val=""/>
      <w:lvlJc w:val="left"/>
      <w:pPr>
        <w:ind w:left="5040" w:hanging="360"/>
      </w:pPr>
      <w:rPr>
        <w:rFonts w:ascii="Symbol" w:hAnsi="Symbol" w:hint="default"/>
      </w:rPr>
    </w:lvl>
    <w:lvl w:ilvl="7" w:tplc="67F46672" w:tentative="1">
      <w:start w:val="1"/>
      <w:numFmt w:val="bullet"/>
      <w:lvlText w:val="o"/>
      <w:lvlJc w:val="left"/>
      <w:pPr>
        <w:ind w:left="5760" w:hanging="360"/>
      </w:pPr>
      <w:rPr>
        <w:rFonts w:ascii="Courier New" w:hAnsi="Courier New" w:cs="Courier New" w:hint="default"/>
      </w:rPr>
    </w:lvl>
    <w:lvl w:ilvl="8" w:tplc="8B50EFC6" w:tentative="1">
      <w:start w:val="1"/>
      <w:numFmt w:val="bullet"/>
      <w:lvlText w:val=""/>
      <w:lvlJc w:val="left"/>
      <w:pPr>
        <w:ind w:left="6480" w:hanging="360"/>
      </w:pPr>
      <w:rPr>
        <w:rFonts w:ascii="Wingdings" w:hAnsi="Wingdings" w:hint="default"/>
      </w:rPr>
    </w:lvl>
  </w:abstractNum>
  <w:abstractNum w:abstractNumId="1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E07ABC"/>
    <w:multiLevelType w:val="hybridMultilevel"/>
    <w:tmpl w:val="DF8229D0"/>
    <w:lvl w:ilvl="0" w:tplc="9E5CAAE0">
      <w:start w:val="1"/>
      <w:numFmt w:val="decimal"/>
      <w:lvlText w:val="%1."/>
      <w:lvlJc w:val="left"/>
      <w:pPr>
        <w:ind w:left="720" w:hanging="360"/>
      </w:pPr>
    </w:lvl>
    <w:lvl w:ilvl="1" w:tplc="F25EC39E" w:tentative="1">
      <w:start w:val="1"/>
      <w:numFmt w:val="lowerLetter"/>
      <w:lvlText w:val="%2."/>
      <w:lvlJc w:val="left"/>
      <w:pPr>
        <w:ind w:left="1440" w:hanging="360"/>
      </w:pPr>
    </w:lvl>
    <w:lvl w:ilvl="2" w:tplc="0E78880E" w:tentative="1">
      <w:start w:val="1"/>
      <w:numFmt w:val="lowerRoman"/>
      <w:lvlText w:val="%3."/>
      <w:lvlJc w:val="right"/>
      <w:pPr>
        <w:ind w:left="2160" w:hanging="180"/>
      </w:pPr>
    </w:lvl>
    <w:lvl w:ilvl="3" w:tplc="EA6027E4" w:tentative="1">
      <w:start w:val="1"/>
      <w:numFmt w:val="decimal"/>
      <w:lvlText w:val="%4."/>
      <w:lvlJc w:val="left"/>
      <w:pPr>
        <w:ind w:left="2880" w:hanging="360"/>
      </w:pPr>
    </w:lvl>
    <w:lvl w:ilvl="4" w:tplc="D676F242" w:tentative="1">
      <w:start w:val="1"/>
      <w:numFmt w:val="lowerLetter"/>
      <w:lvlText w:val="%5."/>
      <w:lvlJc w:val="left"/>
      <w:pPr>
        <w:ind w:left="3600" w:hanging="360"/>
      </w:pPr>
    </w:lvl>
    <w:lvl w:ilvl="5" w:tplc="90C2E13E" w:tentative="1">
      <w:start w:val="1"/>
      <w:numFmt w:val="lowerRoman"/>
      <w:lvlText w:val="%6."/>
      <w:lvlJc w:val="right"/>
      <w:pPr>
        <w:ind w:left="4320" w:hanging="180"/>
      </w:pPr>
    </w:lvl>
    <w:lvl w:ilvl="6" w:tplc="AF38A644" w:tentative="1">
      <w:start w:val="1"/>
      <w:numFmt w:val="decimal"/>
      <w:lvlText w:val="%7."/>
      <w:lvlJc w:val="left"/>
      <w:pPr>
        <w:ind w:left="5040" w:hanging="360"/>
      </w:pPr>
    </w:lvl>
    <w:lvl w:ilvl="7" w:tplc="2B9A2FD8" w:tentative="1">
      <w:start w:val="1"/>
      <w:numFmt w:val="lowerLetter"/>
      <w:lvlText w:val="%8."/>
      <w:lvlJc w:val="left"/>
      <w:pPr>
        <w:ind w:left="5760" w:hanging="360"/>
      </w:pPr>
    </w:lvl>
    <w:lvl w:ilvl="8" w:tplc="DA3A9FB4"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161CC1"/>
    <w:multiLevelType w:val="hybridMultilevel"/>
    <w:tmpl w:val="9AA4F3FC"/>
    <w:lvl w:ilvl="0" w:tplc="57421A36">
      <w:start w:val="1"/>
      <w:numFmt w:val="bullet"/>
      <w:lvlText w:val=""/>
      <w:lvlJc w:val="left"/>
      <w:pPr>
        <w:ind w:left="720" w:hanging="360"/>
      </w:pPr>
      <w:rPr>
        <w:rFonts w:ascii="Symbol" w:hAnsi="Symbol" w:hint="default"/>
      </w:rPr>
    </w:lvl>
    <w:lvl w:ilvl="1" w:tplc="DCF40856" w:tentative="1">
      <w:start w:val="1"/>
      <w:numFmt w:val="bullet"/>
      <w:lvlText w:val="o"/>
      <w:lvlJc w:val="left"/>
      <w:pPr>
        <w:ind w:left="1440" w:hanging="360"/>
      </w:pPr>
      <w:rPr>
        <w:rFonts w:ascii="Courier New" w:hAnsi="Courier New" w:cs="Courier New" w:hint="default"/>
      </w:rPr>
    </w:lvl>
    <w:lvl w:ilvl="2" w:tplc="2D7C4E8E" w:tentative="1">
      <w:start w:val="1"/>
      <w:numFmt w:val="bullet"/>
      <w:lvlText w:val=""/>
      <w:lvlJc w:val="left"/>
      <w:pPr>
        <w:ind w:left="2160" w:hanging="360"/>
      </w:pPr>
      <w:rPr>
        <w:rFonts w:ascii="Wingdings" w:hAnsi="Wingdings" w:hint="default"/>
      </w:rPr>
    </w:lvl>
    <w:lvl w:ilvl="3" w:tplc="231C6BE0" w:tentative="1">
      <w:start w:val="1"/>
      <w:numFmt w:val="bullet"/>
      <w:lvlText w:val=""/>
      <w:lvlJc w:val="left"/>
      <w:pPr>
        <w:ind w:left="2880" w:hanging="360"/>
      </w:pPr>
      <w:rPr>
        <w:rFonts w:ascii="Symbol" w:hAnsi="Symbol" w:hint="default"/>
      </w:rPr>
    </w:lvl>
    <w:lvl w:ilvl="4" w:tplc="1382B716" w:tentative="1">
      <w:start w:val="1"/>
      <w:numFmt w:val="bullet"/>
      <w:lvlText w:val="o"/>
      <w:lvlJc w:val="left"/>
      <w:pPr>
        <w:ind w:left="3600" w:hanging="360"/>
      </w:pPr>
      <w:rPr>
        <w:rFonts w:ascii="Courier New" w:hAnsi="Courier New" w:cs="Courier New" w:hint="default"/>
      </w:rPr>
    </w:lvl>
    <w:lvl w:ilvl="5" w:tplc="7DFEF02A" w:tentative="1">
      <w:start w:val="1"/>
      <w:numFmt w:val="bullet"/>
      <w:lvlText w:val=""/>
      <w:lvlJc w:val="left"/>
      <w:pPr>
        <w:ind w:left="4320" w:hanging="360"/>
      </w:pPr>
      <w:rPr>
        <w:rFonts w:ascii="Wingdings" w:hAnsi="Wingdings" w:hint="default"/>
      </w:rPr>
    </w:lvl>
    <w:lvl w:ilvl="6" w:tplc="2142409E" w:tentative="1">
      <w:start w:val="1"/>
      <w:numFmt w:val="bullet"/>
      <w:lvlText w:val=""/>
      <w:lvlJc w:val="left"/>
      <w:pPr>
        <w:ind w:left="5040" w:hanging="360"/>
      </w:pPr>
      <w:rPr>
        <w:rFonts w:ascii="Symbol" w:hAnsi="Symbol" w:hint="default"/>
      </w:rPr>
    </w:lvl>
    <w:lvl w:ilvl="7" w:tplc="49B038B4" w:tentative="1">
      <w:start w:val="1"/>
      <w:numFmt w:val="bullet"/>
      <w:lvlText w:val="o"/>
      <w:lvlJc w:val="left"/>
      <w:pPr>
        <w:ind w:left="5760" w:hanging="360"/>
      </w:pPr>
      <w:rPr>
        <w:rFonts w:ascii="Courier New" w:hAnsi="Courier New" w:cs="Courier New" w:hint="default"/>
      </w:rPr>
    </w:lvl>
    <w:lvl w:ilvl="8" w:tplc="B9C433FE" w:tentative="1">
      <w:start w:val="1"/>
      <w:numFmt w:val="bullet"/>
      <w:lvlText w:val=""/>
      <w:lvlJc w:val="left"/>
      <w:pPr>
        <w:ind w:left="6480" w:hanging="360"/>
      </w:pPr>
      <w:rPr>
        <w:rFonts w:ascii="Wingdings" w:hAnsi="Wingdings" w:hint="default"/>
      </w:rPr>
    </w:lvl>
  </w:abstractNum>
  <w:abstractNum w:abstractNumId="21" w15:restartNumberingAfterBreak="0">
    <w:nsid w:val="344D1CD5"/>
    <w:multiLevelType w:val="hybridMultilevel"/>
    <w:tmpl w:val="B57A9060"/>
    <w:lvl w:ilvl="0" w:tplc="FFFFFFFF">
      <w:start w:val="1"/>
      <w:numFmt w:val="decimal"/>
      <w:lvlText w:val="%1."/>
      <w:lvlJc w:val="left"/>
      <w:pPr>
        <w:ind w:left="360" w:hanging="360"/>
      </w:pPr>
    </w:lvl>
    <w:lvl w:ilvl="1" w:tplc="40090019">
      <w:start w:val="1"/>
      <w:numFmt w:val="lowerLetter"/>
      <w:lvlText w:val="%2."/>
      <w:lvlJc w:val="left"/>
      <w:pPr>
        <w:ind w:left="1080" w:hanging="360"/>
      </w:pPr>
    </w:lvl>
    <w:lvl w:ilvl="2" w:tplc="39E8C4C4">
      <w:numFmt w:val="bullet"/>
      <w:lvlText w:val=""/>
      <w:lvlJc w:val="left"/>
      <w:pPr>
        <w:ind w:left="1980" w:hanging="360"/>
      </w:pPr>
      <w:rPr>
        <w:rFonts w:ascii="Symbol" w:eastAsia="Times New Roman" w:hAnsi="Symbol" w:cs="Times New Roman" w:hint="default"/>
      </w:r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BBE328F"/>
    <w:multiLevelType w:val="hybridMultilevel"/>
    <w:tmpl w:val="AB0A504C"/>
    <w:lvl w:ilvl="0" w:tplc="916C6AA6">
      <w:start w:val="1"/>
      <w:numFmt w:val="decimal"/>
      <w:lvlText w:val="%1."/>
      <w:lvlJc w:val="left"/>
      <w:pPr>
        <w:ind w:left="720" w:hanging="360"/>
      </w:pPr>
    </w:lvl>
    <w:lvl w:ilvl="1" w:tplc="C0E4A180">
      <w:start w:val="1"/>
      <w:numFmt w:val="lowerLetter"/>
      <w:lvlText w:val="%2."/>
      <w:lvlJc w:val="left"/>
      <w:pPr>
        <w:ind w:left="1440" w:hanging="360"/>
      </w:pPr>
    </w:lvl>
    <w:lvl w:ilvl="2" w:tplc="4A261156">
      <w:start w:val="1"/>
      <w:numFmt w:val="lowerRoman"/>
      <w:lvlText w:val="%3."/>
      <w:lvlJc w:val="right"/>
      <w:pPr>
        <w:ind w:left="2160" w:hanging="180"/>
      </w:pPr>
    </w:lvl>
    <w:lvl w:ilvl="3" w:tplc="5880871E" w:tentative="1">
      <w:start w:val="1"/>
      <w:numFmt w:val="decimal"/>
      <w:lvlText w:val="%4."/>
      <w:lvlJc w:val="left"/>
      <w:pPr>
        <w:ind w:left="2880" w:hanging="360"/>
      </w:pPr>
    </w:lvl>
    <w:lvl w:ilvl="4" w:tplc="F52E8920" w:tentative="1">
      <w:start w:val="1"/>
      <w:numFmt w:val="lowerLetter"/>
      <w:lvlText w:val="%5."/>
      <w:lvlJc w:val="left"/>
      <w:pPr>
        <w:ind w:left="3600" w:hanging="360"/>
      </w:pPr>
    </w:lvl>
    <w:lvl w:ilvl="5" w:tplc="2ABCE68A" w:tentative="1">
      <w:start w:val="1"/>
      <w:numFmt w:val="lowerRoman"/>
      <w:lvlText w:val="%6."/>
      <w:lvlJc w:val="right"/>
      <w:pPr>
        <w:ind w:left="4320" w:hanging="180"/>
      </w:pPr>
    </w:lvl>
    <w:lvl w:ilvl="6" w:tplc="CB227D94" w:tentative="1">
      <w:start w:val="1"/>
      <w:numFmt w:val="decimal"/>
      <w:lvlText w:val="%7."/>
      <w:lvlJc w:val="left"/>
      <w:pPr>
        <w:ind w:left="5040" w:hanging="360"/>
      </w:pPr>
    </w:lvl>
    <w:lvl w:ilvl="7" w:tplc="2C006AB6" w:tentative="1">
      <w:start w:val="1"/>
      <w:numFmt w:val="lowerLetter"/>
      <w:lvlText w:val="%8."/>
      <w:lvlJc w:val="left"/>
      <w:pPr>
        <w:ind w:left="5760" w:hanging="360"/>
      </w:pPr>
    </w:lvl>
    <w:lvl w:ilvl="8" w:tplc="5F98E8AA" w:tentative="1">
      <w:start w:val="1"/>
      <w:numFmt w:val="lowerRoman"/>
      <w:lvlText w:val="%9."/>
      <w:lvlJc w:val="right"/>
      <w:pPr>
        <w:ind w:left="6480" w:hanging="180"/>
      </w:pPr>
    </w:lvl>
  </w:abstractNum>
  <w:abstractNum w:abstractNumId="2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08F0293"/>
    <w:multiLevelType w:val="hybridMultilevel"/>
    <w:tmpl w:val="FA6EDFA4"/>
    <w:lvl w:ilvl="0" w:tplc="08A4D26A">
      <w:start w:val="1"/>
      <w:numFmt w:val="bullet"/>
      <w:lvlText w:val=""/>
      <w:lvlJc w:val="left"/>
      <w:pPr>
        <w:ind w:left="720" w:hanging="360"/>
      </w:pPr>
      <w:rPr>
        <w:rFonts w:ascii="Symbol" w:hAnsi="Symbol" w:hint="default"/>
      </w:rPr>
    </w:lvl>
    <w:lvl w:ilvl="1" w:tplc="B5841B4C" w:tentative="1">
      <w:start w:val="1"/>
      <w:numFmt w:val="bullet"/>
      <w:lvlText w:val="o"/>
      <w:lvlJc w:val="left"/>
      <w:pPr>
        <w:ind w:left="1440" w:hanging="360"/>
      </w:pPr>
      <w:rPr>
        <w:rFonts w:ascii="Courier New" w:hAnsi="Courier New" w:cs="Courier New" w:hint="default"/>
      </w:rPr>
    </w:lvl>
    <w:lvl w:ilvl="2" w:tplc="A432C0EE" w:tentative="1">
      <w:start w:val="1"/>
      <w:numFmt w:val="bullet"/>
      <w:lvlText w:val=""/>
      <w:lvlJc w:val="left"/>
      <w:pPr>
        <w:ind w:left="2160" w:hanging="360"/>
      </w:pPr>
      <w:rPr>
        <w:rFonts w:ascii="Wingdings" w:hAnsi="Wingdings" w:hint="default"/>
      </w:rPr>
    </w:lvl>
    <w:lvl w:ilvl="3" w:tplc="0D806D5A" w:tentative="1">
      <w:start w:val="1"/>
      <w:numFmt w:val="bullet"/>
      <w:lvlText w:val=""/>
      <w:lvlJc w:val="left"/>
      <w:pPr>
        <w:ind w:left="2880" w:hanging="360"/>
      </w:pPr>
      <w:rPr>
        <w:rFonts w:ascii="Symbol" w:hAnsi="Symbol" w:hint="default"/>
      </w:rPr>
    </w:lvl>
    <w:lvl w:ilvl="4" w:tplc="753ACF66" w:tentative="1">
      <w:start w:val="1"/>
      <w:numFmt w:val="bullet"/>
      <w:lvlText w:val="o"/>
      <w:lvlJc w:val="left"/>
      <w:pPr>
        <w:ind w:left="3600" w:hanging="360"/>
      </w:pPr>
      <w:rPr>
        <w:rFonts w:ascii="Courier New" w:hAnsi="Courier New" w:cs="Courier New" w:hint="default"/>
      </w:rPr>
    </w:lvl>
    <w:lvl w:ilvl="5" w:tplc="0596AAA0" w:tentative="1">
      <w:start w:val="1"/>
      <w:numFmt w:val="bullet"/>
      <w:lvlText w:val=""/>
      <w:lvlJc w:val="left"/>
      <w:pPr>
        <w:ind w:left="4320" w:hanging="360"/>
      </w:pPr>
      <w:rPr>
        <w:rFonts w:ascii="Wingdings" w:hAnsi="Wingdings" w:hint="default"/>
      </w:rPr>
    </w:lvl>
    <w:lvl w:ilvl="6" w:tplc="54DE2C20" w:tentative="1">
      <w:start w:val="1"/>
      <w:numFmt w:val="bullet"/>
      <w:lvlText w:val=""/>
      <w:lvlJc w:val="left"/>
      <w:pPr>
        <w:ind w:left="5040" w:hanging="360"/>
      </w:pPr>
      <w:rPr>
        <w:rFonts w:ascii="Symbol" w:hAnsi="Symbol" w:hint="default"/>
      </w:rPr>
    </w:lvl>
    <w:lvl w:ilvl="7" w:tplc="253E22F6" w:tentative="1">
      <w:start w:val="1"/>
      <w:numFmt w:val="bullet"/>
      <w:lvlText w:val="o"/>
      <w:lvlJc w:val="left"/>
      <w:pPr>
        <w:ind w:left="5760" w:hanging="360"/>
      </w:pPr>
      <w:rPr>
        <w:rFonts w:ascii="Courier New" w:hAnsi="Courier New" w:cs="Courier New" w:hint="default"/>
      </w:rPr>
    </w:lvl>
    <w:lvl w:ilvl="8" w:tplc="972C0A12" w:tentative="1">
      <w:start w:val="1"/>
      <w:numFmt w:val="bullet"/>
      <w:lvlText w:val=""/>
      <w:lvlJc w:val="left"/>
      <w:pPr>
        <w:ind w:left="6480" w:hanging="360"/>
      </w:pPr>
      <w:rPr>
        <w:rFonts w:ascii="Wingdings" w:hAnsi="Wingdings" w:hint="default"/>
      </w:rPr>
    </w:lvl>
  </w:abstractNum>
  <w:abstractNum w:abstractNumId="2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2E62F2F"/>
    <w:multiLevelType w:val="multilevel"/>
    <w:tmpl w:val="9CDA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D93ACA"/>
    <w:multiLevelType w:val="multilevel"/>
    <w:tmpl w:val="3DD6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C26050F"/>
    <w:multiLevelType w:val="hybridMultilevel"/>
    <w:tmpl w:val="709814F4"/>
    <w:lvl w:ilvl="0" w:tplc="725CC540">
      <w:start w:val="1"/>
      <w:numFmt w:val="decimal"/>
      <w:lvlText w:val="%1."/>
      <w:lvlJc w:val="left"/>
      <w:pPr>
        <w:ind w:left="1080" w:hanging="360"/>
      </w:pPr>
    </w:lvl>
    <w:lvl w:ilvl="1" w:tplc="C5B66D3E" w:tentative="1">
      <w:start w:val="1"/>
      <w:numFmt w:val="lowerLetter"/>
      <w:lvlText w:val="%2."/>
      <w:lvlJc w:val="left"/>
      <w:pPr>
        <w:ind w:left="1800" w:hanging="360"/>
      </w:pPr>
    </w:lvl>
    <w:lvl w:ilvl="2" w:tplc="42A41894" w:tentative="1">
      <w:start w:val="1"/>
      <w:numFmt w:val="lowerRoman"/>
      <w:lvlText w:val="%3."/>
      <w:lvlJc w:val="right"/>
      <w:pPr>
        <w:ind w:left="2520" w:hanging="180"/>
      </w:pPr>
    </w:lvl>
    <w:lvl w:ilvl="3" w:tplc="66DC81D0" w:tentative="1">
      <w:start w:val="1"/>
      <w:numFmt w:val="decimal"/>
      <w:lvlText w:val="%4."/>
      <w:lvlJc w:val="left"/>
      <w:pPr>
        <w:ind w:left="3240" w:hanging="360"/>
      </w:pPr>
    </w:lvl>
    <w:lvl w:ilvl="4" w:tplc="756C419E" w:tentative="1">
      <w:start w:val="1"/>
      <w:numFmt w:val="lowerLetter"/>
      <w:lvlText w:val="%5."/>
      <w:lvlJc w:val="left"/>
      <w:pPr>
        <w:ind w:left="3960" w:hanging="360"/>
      </w:pPr>
    </w:lvl>
    <w:lvl w:ilvl="5" w:tplc="982440A2" w:tentative="1">
      <w:start w:val="1"/>
      <w:numFmt w:val="lowerRoman"/>
      <w:lvlText w:val="%6."/>
      <w:lvlJc w:val="right"/>
      <w:pPr>
        <w:ind w:left="4680" w:hanging="180"/>
      </w:pPr>
    </w:lvl>
    <w:lvl w:ilvl="6" w:tplc="D31A3916" w:tentative="1">
      <w:start w:val="1"/>
      <w:numFmt w:val="decimal"/>
      <w:lvlText w:val="%7."/>
      <w:lvlJc w:val="left"/>
      <w:pPr>
        <w:ind w:left="5400" w:hanging="360"/>
      </w:pPr>
    </w:lvl>
    <w:lvl w:ilvl="7" w:tplc="5D6A0F8E" w:tentative="1">
      <w:start w:val="1"/>
      <w:numFmt w:val="lowerLetter"/>
      <w:lvlText w:val="%8."/>
      <w:lvlJc w:val="left"/>
      <w:pPr>
        <w:ind w:left="6120" w:hanging="360"/>
      </w:pPr>
    </w:lvl>
    <w:lvl w:ilvl="8" w:tplc="F63A948C" w:tentative="1">
      <w:start w:val="1"/>
      <w:numFmt w:val="lowerRoman"/>
      <w:lvlText w:val="%9."/>
      <w:lvlJc w:val="right"/>
      <w:pPr>
        <w:ind w:left="6840" w:hanging="180"/>
      </w:pPr>
    </w:lvl>
  </w:abstractNum>
  <w:abstractNum w:abstractNumId="32" w15:restartNumberingAfterBreak="0">
    <w:nsid w:val="4EBF4BE5"/>
    <w:multiLevelType w:val="hybridMultilevel"/>
    <w:tmpl w:val="3E442864"/>
    <w:lvl w:ilvl="0" w:tplc="5C1AEE54">
      <w:start w:val="1"/>
      <w:numFmt w:val="decimal"/>
      <w:lvlText w:val="%1."/>
      <w:lvlJc w:val="left"/>
      <w:pPr>
        <w:ind w:left="720" w:hanging="360"/>
      </w:pPr>
      <w:rPr>
        <w:rFonts w:hint="default"/>
      </w:rPr>
    </w:lvl>
    <w:lvl w:ilvl="1" w:tplc="9378C6B2" w:tentative="1">
      <w:start w:val="1"/>
      <w:numFmt w:val="lowerLetter"/>
      <w:lvlText w:val="%2."/>
      <w:lvlJc w:val="left"/>
      <w:pPr>
        <w:ind w:left="1440" w:hanging="360"/>
      </w:pPr>
    </w:lvl>
    <w:lvl w:ilvl="2" w:tplc="14208D9E" w:tentative="1">
      <w:start w:val="1"/>
      <w:numFmt w:val="lowerRoman"/>
      <w:lvlText w:val="%3."/>
      <w:lvlJc w:val="right"/>
      <w:pPr>
        <w:ind w:left="2160" w:hanging="180"/>
      </w:pPr>
    </w:lvl>
    <w:lvl w:ilvl="3" w:tplc="49AE2D40" w:tentative="1">
      <w:start w:val="1"/>
      <w:numFmt w:val="decimal"/>
      <w:lvlText w:val="%4."/>
      <w:lvlJc w:val="left"/>
      <w:pPr>
        <w:ind w:left="2880" w:hanging="360"/>
      </w:pPr>
    </w:lvl>
    <w:lvl w:ilvl="4" w:tplc="6D06ED1E" w:tentative="1">
      <w:start w:val="1"/>
      <w:numFmt w:val="lowerLetter"/>
      <w:lvlText w:val="%5."/>
      <w:lvlJc w:val="left"/>
      <w:pPr>
        <w:ind w:left="3600" w:hanging="360"/>
      </w:pPr>
    </w:lvl>
    <w:lvl w:ilvl="5" w:tplc="4AE6D1FC" w:tentative="1">
      <w:start w:val="1"/>
      <w:numFmt w:val="lowerRoman"/>
      <w:lvlText w:val="%6."/>
      <w:lvlJc w:val="right"/>
      <w:pPr>
        <w:ind w:left="4320" w:hanging="180"/>
      </w:pPr>
    </w:lvl>
    <w:lvl w:ilvl="6" w:tplc="340633D6" w:tentative="1">
      <w:start w:val="1"/>
      <w:numFmt w:val="decimal"/>
      <w:lvlText w:val="%7."/>
      <w:lvlJc w:val="left"/>
      <w:pPr>
        <w:ind w:left="5040" w:hanging="360"/>
      </w:pPr>
    </w:lvl>
    <w:lvl w:ilvl="7" w:tplc="E76CC0DC" w:tentative="1">
      <w:start w:val="1"/>
      <w:numFmt w:val="lowerLetter"/>
      <w:lvlText w:val="%8."/>
      <w:lvlJc w:val="left"/>
      <w:pPr>
        <w:ind w:left="5760" w:hanging="360"/>
      </w:pPr>
    </w:lvl>
    <w:lvl w:ilvl="8" w:tplc="38D80CC0" w:tentative="1">
      <w:start w:val="1"/>
      <w:numFmt w:val="lowerRoman"/>
      <w:lvlText w:val="%9."/>
      <w:lvlJc w:val="right"/>
      <w:pPr>
        <w:ind w:left="6480" w:hanging="180"/>
      </w:pPr>
    </w:lvl>
  </w:abstractNum>
  <w:abstractNum w:abstractNumId="3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0FC11D4"/>
    <w:multiLevelType w:val="hybridMultilevel"/>
    <w:tmpl w:val="84D43CAC"/>
    <w:lvl w:ilvl="0" w:tplc="8E9427CA">
      <w:start w:val="1"/>
      <w:numFmt w:val="bullet"/>
      <w:lvlText w:val=""/>
      <w:lvlJc w:val="left"/>
      <w:pPr>
        <w:ind w:left="360" w:hanging="360"/>
      </w:pPr>
      <w:rPr>
        <w:rFonts w:ascii="Symbol" w:hAnsi="Symbol" w:hint="default"/>
        <w:sz w:val="28"/>
        <w:szCs w:val="28"/>
      </w:rPr>
    </w:lvl>
    <w:lvl w:ilvl="1" w:tplc="B3FE9310" w:tentative="1">
      <w:start w:val="1"/>
      <w:numFmt w:val="bullet"/>
      <w:lvlText w:val="o"/>
      <w:lvlJc w:val="left"/>
      <w:pPr>
        <w:ind w:left="1080" w:hanging="360"/>
      </w:pPr>
      <w:rPr>
        <w:rFonts w:ascii="Courier New" w:hAnsi="Courier New" w:cs="Courier New" w:hint="default"/>
      </w:rPr>
    </w:lvl>
    <w:lvl w:ilvl="2" w:tplc="702CCCDA" w:tentative="1">
      <w:start w:val="1"/>
      <w:numFmt w:val="bullet"/>
      <w:lvlText w:val=""/>
      <w:lvlJc w:val="left"/>
      <w:pPr>
        <w:ind w:left="1800" w:hanging="360"/>
      </w:pPr>
      <w:rPr>
        <w:rFonts w:ascii="Wingdings" w:hAnsi="Wingdings" w:hint="default"/>
      </w:rPr>
    </w:lvl>
    <w:lvl w:ilvl="3" w:tplc="572A4AE2" w:tentative="1">
      <w:start w:val="1"/>
      <w:numFmt w:val="bullet"/>
      <w:lvlText w:val=""/>
      <w:lvlJc w:val="left"/>
      <w:pPr>
        <w:ind w:left="2520" w:hanging="360"/>
      </w:pPr>
      <w:rPr>
        <w:rFonts w:ascii="Symbol" w:hAnsi="Symbol" w:hint="default"/>
      </w:rPr>
    </w:lvl>
    <w:lvl w:ilvl="4" w:tplc="21B6A5DC" w:tentative="1">
      <w:start w:val="1"/>
      <w:numFmt w:val="bullet"/>
      <w:lvlText w:val="o"/>
      <w:lvlJc w:val="left"/>
      <w:pPr>
        <w:ind w:left="3240" w:hanging="360"/>
      </w:pPr>
      <w:rPr>
        <w:rFonts w:ascii="Courier New" w:hAnsi="Courier New" w:cs="Courier New" w:hint="default"/>
      </w:rPr>
    </w:lvl>
    <w:lvl w:ilvl="5" w:tplc="8BA0EF16" w:tentative="1">
      <w:start w:val="1"/>
      <w:numFmt w:val="bullet"/>
      <w:lvlText w:val=""/>
      <w:lvlJc w:val="left"/>
      <w:pPr>
        <w:ind w:left="3960" w:hanging="360"/>
      </w:pPr>
      <w:rPr>
        <w:rFonts w:ascii="Wingdings" w:hAnsi="Wingdings" w:hint="default"/>
      </w:rPr>
    </w:lvl>
    <w:lvl w:ilvl="6" w:tplc="DA9ACE6A" w:tentative="1">
      <w:start w:val="1"/>
      <w:numFmt w:val="bullet"/>
      <w:lvlText w:val=""/>
      <w:lvlJc w:val="left"/>
      <w:pPr>
        <w:ind w:left="4680" w:hanging="360"/>
      </w:pPr>
      <w:rPr>
        <w:rFonts w:ascii="Symbol" w:hAnsi="Symbol" w:hint="default"/>
      </w:rPr>
    </w:lvl>
    <w:lvl w:ilvl="7" w:tplc="696CE4FE" w:tentative="1">
      <w:start w:val="1"/>
      <w:numFmt w:val="bullet"/>
      <w:lvlText w:val="o"/>
      <w:lvlJc w:val="left"/>
      <w:pPr>
        <w:ind w:left="5400" w:hanging="360"/>
      </w:pPr>
      <w:rPr>
        <w:rFonts w:ascii="Courier New" w:hAnsi="Courier New" w:cs="Courier New" w:hint="default"/>
      </w:rPr>
    </w:lvl>
    <w:lvl w:ilvl="8" w:tplc="617EB008" w:tentative="1">
      <w:start w:val="1"/>
      <w:numFmt w:val="bullet"/>
      <w:lvlText w:val=""/>
      <w:lvlJc w:val="left"/>
      <w:pPr>
        <w:ind w:left="6120" w:hanging="360"/>
      </w:pPr>
      <w:rPr>
        <w:rFonts w:ascii="Wingdings" w:hAnsi="Wingdings" w:hint="default"/>
      </w:rPr>
    </w:lvl>
  </w:abstractNum>
  <w:abstractNum w:abstractNumId="35" w15:restartNumberingAfterBreak="0">
    <w:nsid w:val="55B30B7A"/>
    <w:multiLevelType w:val="hybridMultilevel"/>
    <w:tmpl w:val="D2DCE016"/>
    <w:lvl w:ilvl="0" w:tplc="C8E229B0">
      <w:start w:val="1"/>
      <w:numFmt w:val="decimal"/>
      <w:lvlText w:val="%1."/>
      <w:lvlJc w:val="left"/>
      <w:pPr>
        <w:ind w:left="720" w:hanging="360"/>
      </w:pPr>
      <w:rPr>
        <w:rFonts w:hint="default"/>
        <w:sz w:val="24"/>
        <w:szCs w:val="24"/>
      </w:rPr>
    </w:lvl>
    <w:lvl w:ilvl="1" w:tplc="9454CF90" w:tentative="1">
      <w:start w:val="1"/>
      <w:numFmt w:val="lowerLetter"/>
      <w:lvlText w:val="%2."/>
      <w:lvlJc w:val="left"/>
      <w:pPr>
        <w:ind w:left="1440" w:hanging="360"/>
      </w:pPr>
    </w:lvl>
    <w:lvl w:ilvl="2" w:tplc="55A2A3B0" w:tentative="1">
      <w:start w:val="1"/>
      <w:numFmt w:val="lowerRoman"/>
      <w:lvlText w:val="%3."/>
      <w:lvlJc w:val="right"/>
      <w:pPr>
        <w:ind w:left="2160" w:hanging="180"/>
      </w:pPr>
    </w:lvl>
    <w:lvl w:ilvl="3" w:tplc="0EA2A848" w:tentative="1">
      <w:start w:val="1"/>
      <w:numFmt w:val="decimal"/>
      <w:lvlText w:val="%4."/>
      <w:lvlJc w:val="left"/>
      <w:pPr>
        <w:ind w:left="2880" w:hanging="360"/>
      </w:pPr>
    </w:lvl>
    <w:lvl w:ilvl="4" w:tplc="6280376A" w:tentative="1">
      <w:start w:val="1"/>
      <w:numFmt w:val="lowerLetter"/>
      <w:lvlText w:val="%5."/>
      <w:lvlJc w:val="left"/>
      <w:pPr>
        <w:ind w:left="3600" w:hanging="360"/>
      </w:pPr>
    </w:lvl>
    <w:lvl w:ilvl="5" w:tplc="42A07658" w:tentative="1">
      <w:start w:val="1"/>
      <w:numFmt w:val="lowerRoman"/>
      <w:lvlText w:val="%6."/>
      <w:lvlJc w:val="right"/>
      <w:pPr>
        <w:ind w:left="4320" w:hanging="180"/>
      </w:pPr>
    </w:lvl>
    <w:lvl w:ilvl="6" w:tplc="8618E6B2" w:tentative="1">
      <w:start w:val="1"/>
      <w:numFmt w:val="decimal"/>
      <w:lvlText w:val="%7."/>
      <w:lvlJc w:val="left"/>
      <w:pPr>
        <w:ind w:left="5040" w:hanging="360"/>
      </w:pPr>
    </w:lvl>
    <w:lvl w:ilvl="7" w:tplc="EB18A488" w:tentative="1">
      <w:start w:val="1"/>
      <w:numFmt w:val="lowerLetter"/>
      <w:lvlText w:val="%8."/>
      <w:lvlJc w:val="left"/>
      <w:pPr>
        <w:ind w:left="5760" w:hanging="360"/>
      </w:pPr>
    </w:lvl>
    <w:lvl w:ilvl="8" w:tplc="697E741A" w:tentative="1">
      <w:start w:val="1"/>
      <w:numFmt w:val="lowerRoman"/>
      <w:lvlText w:val="%9."/>
      <w:lvlJc w:val="right"/>
      <w:pPr>
        <w:ind w:left="6480" w:hanging="180"/>
      </w:pPr>
    </w:lvl>
  </w:abstractNum>
  <w:abstractNum w:abstractNumId="36" w15:restartNumberingAfterBreak="0">
    <w:nsid w:val="562D331A"/>
    <w:multiLevelType w:val="multilevel"/>
    <w:tmpl w:val="7320061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56716B78"/>
    <w:multiLevelType w:val="multilevel"/>
    <w:tmpl w:val="4C36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805C74"/>
    <w:multiLevelType w:val="multilevel"/>
    <w:tmpl w:val="5574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614597"/>
    <w:multiLevelType w:val="hybridMultilevel"/>
    <w:tmpl w:val="BC246230"/>
    <w:lvl w:ilvl="0" w:tplc="C9D0C81C">
      <w:start w:val="1"/>
      <w:numFmt w:val="decimal"/>
      <w:lvlText w:val="%1."/>
      <w:lvlJc w:val="left"/>
      <w:pPr>
        <w:ind w:left="720" w:hanging="360"/>
      </w:pPr>
      <w:rPr>
        <w:rFonts w:hint="default"/>
      </w:rPr>
    </w:lvl>
    <w:lvl w:ilvl="1" w:tplc="8BF261D2" w:tentative="1">
      <w:start w:val="1"/>
      <w:numFmt w:val="lowerLetter"/>
      <w:lvlText w:val="%2."/>
      <w:lvlJc w:val="left"/>
      <w:pPr>
        <w:ind w:left="1440" w:hanging="360"/>
      </w:pPr>
    </w:lvl>
    <w:lvl w:ilvl="2" w:tplc="24E01286" w:tentative="1">
      <w:start w:val="1"/>
      <w:numFmt w:val="lowerRoman"/>
      <w:lvlText w:val="%3."/>
      <w:lvlJc w:val="right"/>
      <w:pPr>
        <w:ind w:left="2160" w:hanging="180"/>
      </w:pPr>
    </w:lvl>
    <w:lvl w:ilvl="3" w:tplc="E8080C70" w:tentative="1">
      <w:start w:val="1"/>
      <w:numFmt w:val="decimal"/>
      <w:lvlText w:val="%4."/>
      <w:lvlJc w:val="left"/>
      <w:pPr>
        <w:ind w:left="2880" w:hanging="360"/>
      </w:pPr>
    </w:lvl>
    <w:lvl w:ilvl="4" w:tplc="6A689F7E" w:tentative="1">
      <w:start w:val="1"/>
      <w:numFmt w:val="lowerLetter"/>
      <w:lvlText w:val="%5."/>
      <w:lvlJc w:val="left"/>
      <w:pPr>
        <w:ind w:left="3600" w:hanging="360"/>
      </w:pPr>
    </w:lvl>
    <w:lvl w:ilvl="5" w:tplc="4EE4FA80" w:tentative="1">
      <w:start w:val="1"/>
      <w:numFmt w:val="lowerRoman"/>
      <w:lvlText w:val="%6."/>
      <w:lvlJc w:val="right"/>
      <w:pPr>
        <w:ind w:left="4320" w:hanging="180"/>
      </w:pPr>
    </w:lvl>
    <w:lvl w:ilvl="6" w:tplc="C1A0D1B4" w:tentative="1">
      <w:start w:val="1"/>
      <w:numFmt w:val="decimal"/>
      <w:lvlText w:val="%7."/>
      <w:lvlJc w:val="left"/>
      <w:pPr>
        <w:ind w:left="5040" w:hanging="360"/>
      </w:pPr>
    </w:lvl>
    <w:lvl w:ilvl="7" w:tplc="6CC2D950" w:tentative="1">
      <w:start w:val="1"/>
      <w:numFmt w:val="lowerLetter"/>
      <w:lvlText w:val="%8."/>
      <w:lvlJc w:val="left"/>
      <w:pPr>
        <w:ind w:left="5760" w:hanging="360"/>
      </w:pPr>
    </w:lvl>
    <w:lvl w:ilvl="8" w:tplc="77D805AE" w:tentative="1">
      <w:start w:val="1"/>
      <w:numFmt w:val="lowerRoman"/>
      <w:lvlText w:val="%9."/>
      <w:lvlJc w:val="right"/>
      <w:pPr>
        <w:ind w:left="6480" w:hanging="180"/>
      </w:pPr>
    </w:lvl>
  </w:abstractNum>
  <w:abstractNum w:abstractNumId="40" w15:restartNumberingAfterBreak="0">
    <w:nsid w:val="606301D2"/>
    <w:multiLevelType w:val="multilevel"/>
    <w:tmpl w:val="2974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47B6BC2"/>
    <w:multiLevelType w:val="hybridMultilevel"/>
    <w:tmpl w:val="36F6EDBE"/>
    <w:lvl w:ilvl="0" w:tplc="CF1CF414">
      <w:start w:val="1"/>
      <w:numFmt w:val="bullet"/>
      <w:lvlText w:val=""/>
      <w:lvlJc w:val="left"/>
      <w:pPr>
        <w:ind w:left="720" w:hanging="360"/>
      </w:pPr>
      <w:rPr>
        <w:rFonts w:ascii="Symbol" w:hAnsi="Symbol" w:hint="default"/>
      </w:rPr>
    </w:lvl>
    <w:lvl w:ilvl="1" w:tplc="56FA1314" w:tentative="1">
      <w:start w:val="1"/>
      <w:numFmt w:val="bullet"/>
      <w:lvlText w:val="o"/>
      <w:lvlJc w:val="left"/>
      <w:pPr>
        <w:ind w:left="1440" w:hanging="360"/>
      </w:pPr>
      <w:rPr>
        <w:rFonts w:ascii="Courier New" w:hAnsi="Courier New" w:cs="Courier New" w:hint="default"/>
      </w:rPr>
    </w:lvl>
    <w:lvl w:ilvl="2" w:tplc="3B98BC70" w:tentative="1">
      <w:start w:val="1"/>
      <w:numFmt w:val="bullet"/>
      <w:lvlText w:val=""/>
      <w:lvlJc w:val="left"/>
      <w:pPr>
        <w:ind w:left="2160" w:hanging="360"/>
      </w:pPr>
      <w:rPr>
        <w:rFonts w:ascii="Wingdings" w:hAnsi="Wingdings" w:hint="default"/>
      </w:rPr>
    </w:lvl>
    <w:lvl w:ilvl="3" w:tplc="B4D290A2" w:tentative="1">
      <w:start w:val="1"/>
      <w:numFmt w:val="bullet"/>
      <w:lvlText w:val=""/>
      <w:lvlJc w:val="left"/>
      <w:pPr>
        <w:ind w:left="2880" w:hanging="360"/>
      </w:pPr>
      <w:rPr>
        <w:rFonts w:ascii="Symbol" w:hAnsi="Symbol" w:hint="default"/>
      </w:rPr>
    </w:lvl>
    <w:lvl w:ilvl="4" w:tplc="01DA566C" w:tentative="1">
      <w:start w:val="1"/>
      <w:numFmt w:val="bullet"/>
      <w:lvlText w:val="o"/>
      <w:lvlJc w:val="left"/>
      <w:pPr>
        <w:ind w:left="3600" w:hanging="360"/>
      </w:pPr>
      <w:rPr>
        <w:rFonts w:ascii="Courier New" w:hAnsi="Courier New" w:cs="Courier New" w:hint="default"/>
      </w:rPr>
    </w:lvl>
    <w:lvl w:ilvl="5" w:tplc="01C2D4C6" w:tentative="1">
      <w:start w:val="1"/>
      <w:numFmt w:val="bullet"/>
      <w:lvlText w:val=""/>
      <w:lvlJc w:val="left"/>
      <w:pPr>
        <w:ind w:left="4320" w:hanging="360"/>
      </w:pPr>
      <w:rPr>
        <w:rFonts w:ascii="Wingdings" w:hAnsi="Wingdings" w:hint="default"/>
      </w:rPr>
    </w:lvl>
    <w:lvl w:ilvl="6" w:tplc="269A3D42" w:tentative="1">
      <w:start w:val="1"/>
      <w:numFmt w:val="bullet"/>
      <w:lvlText w:val=""/>
      <w:lvlJc w:val="left"/>
      <w:pPr>
        <w:ind w:left="5040" w:hanging="360"/>
      </w:pPr>
      <w:rPr>
        <w:rFonts w:ascii="Symbol" w:hAnsi="Symbol" w:hint="default"/>
      </w:rPr>
    </w:lvl>
    <w:lvl w:ilvl="7" w:tplc="88A6B87C" w:tentative="1">
      <w:start w:val="1"/>
      <w:numFmt w:val="bullet"/>
      <w:lvlText w:val="o"/>
      <w:lvlJc w:val="left"/>
      <w:pPr>
        <w:ind w:left="5760" w:hanging="360"/>
      </w:pPr>
      <w:rPr>
        <w:rFonts w:ascii="Courier New" w:hAnsi="Courier New" w:cs="Courier New" w:hint="default"/>
      </w:rPr>
    </w:lvl>
    <w:lvl w:ilvl="8" w:tplc="F5148A6A" w:tentative="1">
      <w:start w:val="1"/>
      <w:numFmt w:val="bullet"/>
      <w:lvlText w:val=""/>
      <w:lvlJc w:val="left"/>
      <w:pPr>
        <w:ind w:left="6480" w:hanging="360"/>
      </w:pPr>
      <w:rPr>
        <w:rFonts w:ascii="Wingdings" w:hAnsi="Wingdings" w:hint="default"/>
      </w:rPr>
    </w:lvl>
  </w:abstractNum>
  <w:abstractNum w:abstractNumId="44" w15:restartNumberingAfterBreak="0">
    <w:nsid w:val="7980701F"/>
    <w:multiLevelType w:val="hybridMultilevel"/>
    <w:tmpl w:val="EDCE8ABC"/>
    <w:lvl w:ilvl="0" w:tplc="2F2C3802">
      <w:start w:val="1"/>
      <w:numFmt w:val="decimal"/>
      <w:lvlText w:val="%1."/>
      <w:lvlJc w:val="left"/>
      <w:pPr>
        <w:ind w:left="720" w:hanging="360"/>
      </w:pPr>
    </w:lvl>
    <w:lvl w:ilvl="1" w:tplc="2C9E03DE" w:tentative="1">
      <w:start w:val="1"/>
      <w:numFmt w:val="lowerLetter"/>
      <w:lvlText w:val="%2."/>
      <w:lvlJc w:val="left"/>
      <w:pPr>
        <w:ind w:left="1440" w:hanging="360"/>
      </w:pPr>
    </w:lvl>
    <w:lvl w:ilvl="2" w:tplc="BFC2F40A" w:tentative="1">
      <w:start w:val="1"/>
      <w:numFmt w:val="lowerRoman"/>
      <w:lvlText w:val="%3."/>
      <w:lvlJc w:val="right"/>
      <w:pPr>
        <w:ind w:left="2160" w:hanging="180"/>
      </w:pPr>
    </w:lvl>
    <w:lvl w:ilvl="3" w:tplc="D4320266" w:tentative="1">
      <w:start w:val="1"/>
      <w:numFmt w:val="decimal"/>
      <w:lvlText w:val="%4."/>
      <w:lvlJc w:val="left"/>
      <w:pPr>
        <w:ind w:left="2880" w:hanging="360"/>
      </w:pPr>
    </w:lvl>
    <w:lvl w:ilvl="4" w:tplc="53844F44" w:tentative="1">
      <w:start w:val="1"/>
      <w:numFmt w:val="lowerLetter"/>
      <w:lvlText w:val="%5."/>
      <w:lvlJc w:val="left"/>
      <w:pPr>
        <w:ind w:left="3600" w:hanging="360"/>
      </w:pPr>
    </w:lvl>
    <w:lvl w:ilvl="5" w:tplc="7C009A06" w:tentative="1">
      <w:start w:val="1"/>
      <w:numFmt w:val="lowerRoman"/>
      <w:lvlText w:val="%6."/>
      <w:lvlJc w:val="right"/>
      <w:pPr>
        <w:ind w:left="4320" w:hanging="180"/>
      </w:pPr>
    </w:lvl>
    <w:lvl w:ilvl="6" w:tplc="4AAE7560" w:tentative="1">
      <w:start w:val="1"/>
      <w:numFmt w:val="decimal"/>
      <w:lvlText w:val="%7."/>
      <w:lvlJc w:val="left"/>
      <w:pPr>
        <w:ind w:left="5040" w:hanging="360"/>
      </w:pPr>
    </w:lvl>
    <w:lvl w:ilvl="7" w:tplc="72582B50" w:tentative="1">
      <w:start w:val="1"/>
      <w:numFmt w:val="lowerLetter"/>
      <w:lvlText w:val="%8."/>
      <w:lvlJc w:val="left"/>
      <w:pPr>
        <w:ind w:left="5760" w:hanging="360"/>
      </w:pPr>
    </w:lvl>
    <w:lvl w:ilvl="8" w:tplc="F4DA066C" w:tentative="1">
      <w:start w:val="1"/>
      <w:numFmt w:val="lowerRoman"/>
      <w:lvlText w:val="%9."/>
      <w:lvlJc w:val="right"/>
      <w:pPr>
        <w:ind w:left="6480" w:hanging="180"/>
      </w:pPr>
    </w:lvl>
  </w:abstractNum>
  <w:abstractNum w:abstractNumId="45" w15:restartNumberingAfterBreak="0">
    <w:nsid w:val="79A15F45"/>
    <w:multiLevelType w:val="multilevel"/>
    <w:tmpl w:val="55DC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D26896"/>
    <w:multiLevelType w:val="hybridMultilevel"/>
    <w:tmpl w:val="2670DDB2"/>
    <w:lvl w:ilvl="0" w:tplc="A508B7C6">
      <w:start w:val="1"/>
      <w:numFmt w:val="bullet"/>
      <w:lvlText w:val=""/>
      <w:lvlJc w:val="left"/>
      <w:pPr>
        <w:ind w:left="720" w:hanging="360"/>
      </w:pPr>
      <w:rPr>
        <w:rFonts w:ascii="Symbol" w:hAnsi="Symbol" w:hint="default"/>
      </w:rPr>
    </w:lvl>
    <w:lvl w:ilvl="1" w:tplc="CC36DA2C" w:tentative="1">
      <w:start w:val="1"/>
      <w:numFmt w:val="bullet"/>
      <w:lvlText w:val="o"/>
      <w:lvlJc w:val="left"/>
      <w:pPr>
        <w:ind w:left="1440" w:hanging="360"/>
      </w:pPr>
      <w:rPr>
        <w:rFonts w:ascii="Courier New" w:hAnsi="Courier New" w:cs="Courier New" w:hint="default"/>
      </w:rPr>
    </w:lvl>
    <w:lvl w:ilvl="2" w:tplc="8B9C624E" w:tentative="1">
      <w:start w:val="1"/>
      <w:numFmt w:val="bullet"/>
      <w:lvlText w:val=""/>
      <w:lvlJc w:val="left"/>
      <w:pPr>
        <w:ind w:left="2160" w:hanging="360"/>
      </w:pPr>
      <w:rPr>
        <w:rFonts w:ascii="Wingdings" w:hAnsi="Wingdings" w:hint="default"/>
      </w:rPr>
    </w:lvl>
    <w:lvl w:ilvl="3" w:tplc="A43877EC" w:tentative="1">
      <w:start w:val="1"/>
      <w:numFmt w:val="bullet"/>
      <w:lvlText w:val=""/>
      <w:lvlJc w:val="left"/>
      <w:pPr>
        <w:ind w:left="2880" w:hanging="360"/>
      </w:pPr>
      <w:rPr>
        <w:rFonts w:ascii="Symbol" w:hAnsi="Symbol" w:hint="default"/>
      </w:rPr>
    </w:lvl>
    <w:lvl w:ilvl="4" w:tplc="F7367962" w:tentative="1">
      <w:start w:val="1"/>
      <w:numFmt w:val="bullet"/>
      <w:lvlText w:val="o"/>
      <w:lvlJc w:val="left"/>
      <w:pPr>
        <w:ind w:left="3600" w:hanging="360"/>
      </w:pPr>
      <w:rPr>
        <w:rFonts w:ascii="Courier New" w:hAnsi="Courier New" w:cs="Courier New" w:hint="default"/>
      </w:rPr>
    </w:lvl>
    <w:lvl w:ilvl="5" w:tplc="01CC577A" w:tentative="1">
      <w:start w:val="1"/>
      <w:numFmt w:val="bullet"/>
      <w:lvlText w:val=""/>
      <w:lvlJc w:val="left"/>
      <w:pPr>
        <w:ind w:left="4320" w:hanging="360"/>
      </w:pPr>
      <w:rPr>
        <w:rFonts w:ascii="Wingdings" w:hAnsi="Wingdings" w:hint="default"/>
      </w:rPr>
    </w:lvl>
    <w:lvl w:ilvl="6" w:tplc="4790ED52" w:tentative="1">
      <w:start w:val="1"/>
      <w:numFmt w:val="bullet"/>
      <w:lvlText w:val=""/>
      <w:lvlJc w:val="left"/>
      <w:pPr>
        <w:ind w:left="5040" w:hanging="360"/>
      </w:pPr>
      <w:rPr>
        <w:rFonts w:ascii="Symbol" w:hAnsi="Symbol" w:hint="default"/>
      </w:rPr>
    </w:lvl>
    <w:lvl w:ilvl="7" w:tplc="1B748AD4" w:tentative="1">
      <w:start w:val="1"/>
      <w:numFmt w:val="bullet"/>
      <w:lvlText w:val="o"/>
      <w:lvlJc w:val="left"/>
      <w:pPr>
        <w:ind w:left="5760" w:hanging="360"/>
      </w:pPr>
      <w:rPr>
        <w:rFonts w:ascii="Courier New" w:hAnsi="Courier New" w:cs="Courier New" w:hint="default"/>
      </w:rPr>
    </w:lvl>
    <w:lvl w:ilvl="8" w:tplc="935E1686" w:tentative="1">
      <w:start w:val="1"/>
      <w:numFmt w:val="bullet"/>
      <w:lvlText w:val=""/>
      <w:lvlJc w:val="left"/>
      <w:pPr>
        <w:ind w:left="6480" w:hanging="360"/>
      </w:pPr>
      <w:rPr>
        <w:rFonts w:ascii="Wingdings" w:hAnsi="Wingdings" w:hint="default"/>
      </w:rPr>
    </w:lvl>
  </w:abstractNum>
  <w:num w:numId="1" w16cid:durableId="1752123839">
    <w:abstractNumId w:val="19"/>
  </w:num>
  <w:num w:numId="2" w16cid:durableId="1984042491">
    <w:abstractNumId w:val="27"/>
  </w:num>
  <w:num w:numId="3" w16cid:durableId="118914537">
    <w:abstractNumId w:val="42"/>
  </w:num>
  <w:num w:numId="4" w16cid:durableId="1932934919">
    <w:abstractNumId w:val="12"/>
  </w:num>
  <w:num w:numId="5" w16cid:durableId="584412448">
    <w:abstractNumId w:val="33"/>
  </w:num>
  <w:num w:numId="6" w16cid:durableId="1692337555">
    <w:abstractNumId w:val="41"/>
  </w:num>
  <w:num w:numId="7" w16cid:durableId="1668751632">
    <w:abstractNumId w:val="22"/>
  </w:num>
  <w:num w:numId="8" w16cid:durableId="1699504584">
    <w:abstractNumId w:val="25"/>
  </w:num>
  <w:num w:numId="9" w16cid:durableId="1471939920">
    <w:abstractNumId w:val="15"/>
  </w:num>
  <w:num w:numId="10" w16cid:durableId="1456294289">
    <w:abstractNumId w:val="23"/>
  </w:num>
  <w:num w:numId="11" w16cid:durableId="1090856223">
    <w:abstractNumId w:val="30"/>
  </w:num>
  <w:num w:numId="12" w16cid:durableId="347753210">
    <w:abstractNumId w:val="17"/>
  </w:num>
  <w:num w:numId="13" w16cid:durableId="62803357">
    <w:abstractNumId w:val="44"/>
  </w:num>
  <w:num w:numId="14" w16cid:durableId="571625102">
    <w:abstractNumId w:val="43"/>
  </w:num>
  <w:num w:numId="15" w16cid:durableId="1783526964">
    <w:abstractNumId w:val="18"/>
  </w:num>
  <w:num w:numId="16" w16cid:durableId="985014971">
    <w:abstractNumId w:val="11"/>
  </w:num>
  <w:num w:numId="17" w16cid:durableId="1511211528">
    <w:abstractNumId w:val="9"/>
  </w:num>
  <w:num w:numId="18" w16cid:durableId="1311205117">
    <w:abstractNumId w:val="26"/>
  </w:num>
  <w:num w:numId="19" w16cid:durableId="81266712">
    <w:abstractNumId w:val="16"/>
  </w:num>
  <w:num w:numId="20" w16cid:durableId="1802188761">
    <w:abstractNumId w:val="34"/>
  </w:num>
  <w:num w:numId="21" w16cid:durableId="225191431">
    <w:abstractNumId w:val="3"/>
  </w:num>
  <w:num w:numId="22" w16cid:durableId="475996718">
    <w:abstractNumId w:val="4"/>
  </w:num>
  <w:num w:numId="23" w16cid:durableId="1246651636">
    <w:abstractNumId w:val="6"/>
  </w:num>
  <w:num w:numId="24" w16cid:durableId="1778864262">
    <w:abstractNumId w:val="39"/>
  </w:num>
  <w:num w:numId="25" w16cid:durableId="435029497">
    <w:abstractNumId w:val="31"/>
  </w:num>
  <w:num w:numId="26" w16cid:durableId="1738825221">
    <w:abstractNumId w:val="24"/>
  </w:num>
  <w:num w:numId="27" w16cid:durableId="1751122898">
    <w:abstractNumId w:val="13"/>
  </w:num>
  <w:num w:numId="28" w16cid:durableId="771046667">
    <w:abstractNumId w:val="2"/>
  </w:num>
  <w:num w:numId="29" w16cid:durableId="1955863183">
    <w:abstractNumId w:val="10"/>
  </w:num>
  <w:num w:numId="30" w16cid:durableId="142820757">
    <w:abstractNumId w:val="32"/>
  </w:num>
  <w:num w:numId="31" w16cid:durableId="1297759424">
    <w:abstractNumId w:val="35"/>
  </w:num>
  <w:num w:numId="32" w16cid:durableId="266888756">
    <w:abstractNumId w:val="14"/>
  </w:num>
  <w:num w:numId="33" w16cid:durableId="992874282">
    <w:abstractNumId w:val="29"/>
  </w:num>
  <w:num w:numId="34" w16cid:durableId="1147742218">
    <w:abstractNumId w:val="7"/>
  </w:num>
  <w:num w:numId="35" w16cid:durableId="1603997239">
    <w:abstractNumId w:val="46"/>
  </w:num>
  <w:num w:numId="36" w16cid:durableId="806900879">
    <w:abstractNumId w:val="20"/>
  </w:num>
  <w:num w:numId="37" w16cid:durableId="1617635180">
    <w:abstractNumId w:val="28"/>
  </w:num>
  <w:num w:numId="38" w16cid:durableId="96802737">
    <w:abstractNumId w:val="38"/>
  </w:num>
  <w:num w:numId="39" w16cid:durableId="2121992991">
    <w:abstractNumId w:val="5"/>
  </w:num>
  <w:num w:numId="40" w16cid:durableId="1288316636">
    <w:abstractNumId w:val="37"/>
  </w:num>
  <w:num w:numId="41" w16cid:durableId="462887204">
    <w:abstractNumId w:val="45"/>
  </w:num>
  <w:num w:numId="42" w16cid:durableId="326516596">
    <w:abstractNumId w:val="8"/>
  </w:num>
  <w:num w:numId="43" w16cid:durableId="89863210">
    <w:abstractNumId w:val="40"/>
  </w:num>
  <w:num w:numId="44" w16cid:durableId="1699161563">
    <w:abstractNumId w:val="1"/>
  </w:num>
  <w:num w:numId="45" w16cid:durableId="882519908">
    <w:abstractNumId w:val="36"/>
  </w:num>
  <w:num w:numId="46" w16cid:durableId="520558547">
    <w:abstractNumId w:val="21"/>
  </w:num>
  <w:num w:numId="47" w16cid:durableId="1075858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43A"/>
    <w:rsid w:val="00000739"/>
    <w:rsid w:val="00003F8C"/>
    <w:rsid w:val="00004C15"/>
    <w:rsid w:val="0000515B"/>
    <w:rsid w:val="000065E9"/>
    <w:rsid w:val="0000726E"/>
    <w:rsid w:val="00007DD1"/>
    <w:rsid w:val="00011457"/>
    <w:rsid w:val="00013652"/>
    <w:rsid w:val="00013DBF"/>
    <w:rsid w:val="00013F76"/>
    <w:rsid w:val="0001446A"/>
    <w:rsid w:val="000146A9"/>
    <w:rsid w:val="0002390D"/>
    <w:rsid w:val="000241AF"/>
    <w:rsid w:val="00025229"/>
    <w:rsid w:val="00025DAB"/>
    <w:rsid w:val="00026D50"/>
    <w:rsid w:val="0003121C"/>
    <w:rsid w:val="000320DE"/>
    <w:rsid w:val="000321D8"/>
    <w:rsid w:val="00032C2E"/>
    <w:rsid w:val="000332AE"/>
    <w:rsid w:val="00034DD1"/>
    <w:rsid w:val="000353DB"/>
    <w:rsid w:val="000372AB"/>
    <w:rsid w:val="000375BF"/>
    <w:rsid w:val="0004355D"/>
    <w:rsid w:val="00045497"/>
    <w:rsid w:val="00047F7D"/>
    <w:rsid w:val="00051836"/>
    <w:rsid w:val="00056846"/>
    <w:rsid w:val="00057B67"/>
    <w:rsid w:val="00057F26"/>
    <w:rsid w:val="00061E0E"/>
    <w:rsid w:val="00062F77"/>
    <w:rsid w:val="00063086"/>
    <w:rsid w:val="0006618F"/>
    <w:rsid w:val="00066B11"/>
    <w:rsid w:val="000701E5"/>
    <w:rsid w:val="0007041F"/>
    <w:rsid w:val="000714FD"/>
    <w:rsid w:val="000721CB"/>
    <w:rsid w:val="0007506F"/>
    <w:rsid w:val="00076815"/>
    <w:rsid w:val="000778C9"/>
    <w:rsid w:val="00077D3D"/>
    <w:rsid w:val="00081F44"/>
    <w:rsid w:val="000823A2"/>
    <w:rsid w:val="00082A5F"/>
    <w:rsid w:val="00083E4D"/>
    <w:rsid w:val="00084BB8"/>
    <w:rsid w:val="00087274"/>
    <w:rsid w:val="0008743C"/>
    <w:rsid w:val="00090364"/>
    <w:rsid w:val="00091196"/>
    <w:rsid w:val="00092161"/>
    <w:rsid w:val="00092ADC"/>
    <w:rsid w:val="00094F22"/>
    <w:rsid w:val="000959AE"/>
    <w:rsid w:val="000A4D44"/>
    <w:rsid w:val="000B39C8"/>
    <w:rsid w:val="000B41B6"/>
    <w:rsid w:val="000B468A"/>
    <w:rsid w:val="000B573E"/>
    <w:rsid w:val="000C1991"/>
    <w:rsid w:val="000C1E2B"/>
    <w:rsid w:val="000C2EFC"/>
    <w:rsid w:val="000C327D"/>
    <w:rsid w:val="000C5E3D"/>
    <w:rsid w:val="000D2EF1"/>
    <w:rsid w:val="000D3211"/>
    <w:rsid w:val="000D4267"/>
    <w:rsid w:val="000D56FF"/>
    <w:rsid w:val="000D57A9"/>
    <w:rsid w:val="000D5D26"/>
    <w:rsid w:val="000E1721"/>
    <w:rsid w:val="000E1A08"/>
    <w:rsid w:val="000E2ABF"/>
    <w:rsid w:val="000E3F21"/>
    <w:rsid w:val="000E4C51"/>
    <w:rsid w:val="000E68D3"/>
    <w:rsid w:val="000E7971"/>
    <w:rsid w:val="000F54AD"/>
    <w:rsid w:val="00102331"/>
    <w:rsid w:val="001068AC"/>
    <w:rsid w:val="00113289"/>
    <w:rsid w:val="00115137"/>
    <w:rsid w:val="00117551"/>
    <w:rsid w:val="00121238"/>
    <w:rsid w:val="00121D3D"/>
    <w:rsid w:val="0012285C"/>
    <w:rsid w:val="00122EA7"/>
    <w:rsid w:val="001236F5"/>
    <w:rsid w:val="00123EB8"/>
    <w:rsid w:val="0012543E"/>
    <w:rsid w:val="00126A25"/>
    <w:rsid w:val="00127334"/>
    <w:rsid w:val="00127D4C"/>
    <w:rsid w:val="00130DD5"/>
    <w:rsid w:val="00131F8B"/>
    <w:rsid w:val="0013317D"/>
    <w:rsid w:val="001337AC"/>
    <w:rsid w:val="001357D1"/>
    <w:rsid w:val="001361DF"/>
    <w:rsid w:val="001377A4"/>
    <w:rsid w:val="00137F54"/>
    <w:rsid w:val="001418AE"/>
    <w:rsid w:val="00144357"/>
    <w:rsid w:val="001443A8"/>
    <w:rsid w:val="00147CBA"/>
    <w:rsid w:val="00152136"/>
    <w:rsid w:val="00152442"/>
    <w:rsid w:val="00152ECB"/>
    <w:rsid w:val="0015327B"/>
    <w:rsid w:val="00153CC9"/>
    <w:rsid w:val="00153D4D"/>
    <w:rsid w:val="00156083"/>
    <w:rsid w:val="00160545"/>
    <w:rsid w:val="001624E4"/>
    <w:rsid w:val="00162A60"/>
    <w:rsid w:val="001668EC"/>
    <w:rsid w:val="001702B0"/>
    <w:rsid w:val="00171DF3"/>
    <w:rsid w:val="00172D4C"/>
    <w:rsid w:val="00174387"/>
    <w:rsid w:val="0018005F"/>
    <w:rsid w:val="00181347"/>
    <w:rsid w:val="00181A81"/>
    <w:rsid w:val="00183D5E"/>
    <w:rsid w:val="00183F44"/>
    <w:rsid w:val="0018412F"/>
    <w:rsid w:val="00184788"/>
    <w:rsid w:val="001856C7"/>
    <w:rsid w:val="00185A4D"/>
    <w:rsid w:val="00186E2C"/>
    <w:rsid w:val="001905A6"/>
    <w:rsid w:val="00190D7B"/>
    <w:rsid w:val="00190EA7"/>
    <w:rsid w:val="0019120B"/>
    <w:rsid w:val="00191DD8"/>
    <w:rsid w:val="0019271F"/>
    <w:rsid w:val="001933CB"/>
    <w:rsid w:val="00194C04"/>
    <w:rsid w:val="00194CE8"/>
    <w:rsid w:val="001959A2"/>
    <w:rsid w:val="00196B40"/>
    <w:rsid w:val="001A07D2"/>
    <w:rsid w:val="001A1609"/>
    <w:rsid w:val="001A1CA1"/>
    <w:rsid w:val="001A3D0F"/>
    <w:rsid w:val="001A54C8"/>
    <w:rsid w:val="001A5B3C"/>
    <w:rsid w:val="001A6ADC"/>
    <w:rsid w:val="001A6D80"/>
    <w:rsid w:val="001A7EF0"/>
    <w:rsid w:val="001B5C6B"/>
    <w:rsid w:val="001B7442"/>
    <w:rsid w:val="001C0BE7"/>
    <w:rsid w:val="001C48EB"/>
    <w:rsid w:val="001C6601"/>
    <w:rsid w:val="001C7B21"/>
    <w:rsid w:val="001D06FB"/>
    <w:rsid w:val="001D1578"/>
    <w:rsid w:val="001D228A"/>
    <w:rsid w:val="001D2449"/>
    <w:rsid w:val="001D38D0"/>
    <w:rsid w:val="001D3ED9"/>
    <w:rsid w:val="001D494D"/>
    <w:rsid w:val="001D5ECC"/>
    <w:rsid w:val="001D6AE1"/>
    <w:rsid w:val="001D6DEE"/>
    <w:rsid w:val="001E296C"/>
    <w:rsid w:val="001E2EED"/>
    <w:rsid w:val="001E4AFD"/>
    <w:rsid w:val="001E5458"/>
    <w:rsid w:val="001E6859"/>
    <w:rsid w:val="001F2A0A"/>
    <w:rsid w:val="001F3109"/>
    <w:rsid w:val="001F4FE5"/>
    <w:rsid w:val="001F53CB"/>
    <w:rsid w:val="001F65F3"/>
    <w:rsid w:val="001F6FB7"/>
    <w:rsid w:val="00202392"/>
    <w:rsid w:val="0020290C"/>
    <w:rsid w:val="00210DD6"/>
    <w:rsid w:val="002129A7"/>
    <w:rsid w:val="00214319"/>
    <w:rsid w:val="002147B0"/>
    <w:rsid w:val="0021622A"/>
    <w:rsid w:val="00216774"/>
    <w:rsid w:val="00220479"/>
    <w:rsid w:val="0022474B"/>
    <w:rsid w:val="00225325"/>
    <w:rsid w:val="00231F3E"/>
    <w:rsid w:val="0023296D"/>
    <w:rsid w:val="00232B08"/>
    <w:rsid w:val="00232DDC"/>
    <w:rsid w:val="00234602"/>
    <w:rsid w:val="00234D6C"/>
    <w:rsid w:val="00235021"/>
    <w:rsid w:val="00240B4A"/>
    <w:rsid w:val="00242B08"/>
    <w:rsid w:val="00244B11"/>
    <w:rsid w:val="00246E6F"/>
    <w:rsid w:val="00250A26"/>
    <w:rsid w:val="00252077"/>
    <w:rsid w:val="00253134"/>
    <w:rsid w:val="00254D6E"/>
    <w:rsid w:val="0025573C"/>
    <w:rsid w:val="00257484"/>
    <w:rsid w:val="00261B1D"/>
    <w:rsid w:val="00262AAE"/>
    <w:rsid w:val="00263167"/>
    <w:rsid w:val="00270008"/>
    <w:rsid w:val="002720B1"/>
    <w:rsid w:val="0027253D"/>
    <w:rsid w:val="00273DBC"/>
    <w:rsid w:val="00273EDD"/>
    <w:rsid w:val="00274DEA"/>
    <w:rsid w:val="0027599C"/>
    <w:rsid w:val="00277DC7"/>
    <w:rsid w:val="002808B9"/>
    <w:rsid w:val="00281002"/>
    <w:rsid w:val="00282301"/>
    <w:rsid w:val="002865D8"/>
    <w:rsid w:val="00287B1D"/>
    <w:rsid w:val="00290F27"/>
    <w:rsid w:val="00294723"/>
    <w:rsid w:val="002969B5"/>
    <w:rsid w:val="002A0058"/>
    <w:rsid w:val="002A4262"/>
    <w:rsid w:val="002B1053"/>
    <w:rsid w:val="002B3F16"/>
    <w:rsid w:val="002B4893"/>
    <w:rsid w:val="002B54A8"/>
    <w:rsid w:val="002B7A01"/>
    <w:rsid w:val="002C1A82"/>
    <w:rsid w:val="002C1D30"/>
    <w:rsid w:val="002C2954"/>
    <w:rsid w:val="002C7CAD"/>
    <w:rsid w:val="002D42FA"/>
    <w:rsid w:val="002D467A"/>
    <w:rsid w:val="002D5AF0"/>
    <w:rsid w:val="002D6403"/>
    <w:rsid w:val="002D750A"/>
    <w:rsid w:val="002E3826"/>
    <w:rsid w:val="002E4777"/>
    <w:rsid w:val="002E6F7E"/>
    <w:rsid w:val="002F2B87"/>
    <w:rsid w:val="002F3204"/>
    <w:rsid w:val="002F569C"/>
    <w:rsid w:val="002F5E4F"/>
    <w:rsid w:val="002F6EBB"/>
    <w:rsid w:val="00301030"/>
    <w:rsid w:val="00303F97"/>
    <w:rsid w:val="00304552"/>
    <w:rsid w:val="00307DA3"/>
    <w:rsid w:val="00315B4E"/>
    <w:rsid w:val="00315D5B"/>
    <w:rsid w:val="0031635D"/>
    <w:rsid w:val="0031658E"/>
    <w:rsid w:val="00321124"/>
    <w:rsid w:val="0032209A"/>
    <w:rsid w:val="00322F42"/>
    <w:rsid w:val="0032709A"/>
    <w:rsid w:val="00327D89"/>
    <w:rsid w:val="00327F7D"/>
    <w:rsid w:val="00331529"/>
    <w:rsid w:val="0033226F"/>
    <w:rsid w:val="00333D4B"/>
    <w:rsid w:val="00337040"/>
    <w:rsid w:val="0033794E"/>
    <w:rsid w:val="00341C14"/>
    <w:rsid w:val="00342069"/>
    <w:rsid w:val="00342326"/>
    <w:rsid w:val="00345A90"/>
    <w:rsid w:val="00347A47"/>
    <w:rsid w:val="00347C0D"/>
    <w:rsid w:val="00350662"/>
    <w:rsid w:val="00351087"/>
    <w:rsid w:val="003512BA"/>
    <w:rsid w:val="00352794"/>
    <w:rsid w:val="003548DA"/>
    <w:rsid w:val="00356228"/>
    <w:rsid w:val="00356880"/>
    <w:rsid w:val="00357641"/>
    <w:rsid w:val="00360EEC"/>
    <w:rsid w:val="00364E10"/>
    <w:rsid w:val="003747D0"/>
    <w:rsid w:val="0037504F"/>
    <w:rsid w:val="00376733"/>
    <w:rsid w:val="00377397"/>
    <w:rsid w:val="003814A8"/>
    <w:rsid w:val="00384E10"/>
    <w:rsid w:val="0038556D"/>
    <w:rsid w:val="00386D26"/>
    <w:rsid w:val="00387B4E"/>
    <w:rsid w:val="00387CDA"/>
    <w:rsid w:val="00391DCA"/>
    <w:rsid w:val="003920FA"/>
    <w:rsid w:val="0039267A"/>
    <w:rsid w:val="003959F7"/>
    <w:rsid w:val="003A1501"/>
    <w:rsid w:val="003A1936"/>
    <w:rsid w:val="003A2461"/>
    <w:rsid w:val="003A41B7"/>
    <w:rsid w:val="003A5297"/>
    <w:rsid w:val="003A5959"/>
    <w:rsid w:val="003A5F85"/>
    <w:rsid w:val="003A6349"/>
    <w:rsid w:val="003A6B0B"/>
    <w:rsid w:val="003B24B3"/>
    <w:rsid w:val="003B2597"/>
    <w:rsid w:val="003B25C1"/>
    <w:rsid w:val="003B3EEA"/>
    <w:rsid w:val="003B4303"/>
    <w:rsid w:val="003B64A7"/>
    <w:rsid w:val="003C21C1"/>
    <w:rsid w:val="003C4E18"/>
    <w:rsid w:val="003C6C60"/>
    <w:rsid w:val="003D1558"/>
    <w:rsid w:val="003D3994"/>
    <w:rsid w:val="003D5519"/>
    <w:rsid w:val="003D5696"/>
    <w:rsid w:val="003D57B3"/>
    <w:rsid w:val="003D67E2"/>
    <w:rsid w:val="003D6BBA"/>
    <w:rsid w:val="003D7150"/>
    <w:rsid w:val="003D767E"/>
    <w:rsid w:val="003E4948"/>
    <w:rsid w:val="003E6AD1"/>
    <w:rsid w:val="003F50CE"/>
    <w:rsid w:val="00402513"/>
    <w:rsid w:val="00403C88"/>
    <w:rsid w:val="004051AE"/>
    <w:rsid w:val="0040579A"/>
    <w:rsid w:val="004059CD"/>
    <w:rsid w:val="00405FCC"/>
    <w:rsid w:val="004113E1"/>
    <w:rsid w:val="0041158A"/>
    <w:rsid w:val="004118C2"/>
    <w:rsid w:val="004125F5"/>
    <w:rsid w:val="00413E81"/>
    <w:rsid w:val="00414ADE"/>
    <w:rsid w:val="00421846"/>
    <w:rsid w:val="004218AE"/>
    <w:rsid w:val="00424B2A"/>
    <w:rsid w:val="00425604"/>
    <w:rsid w:val="00427AB1"/>
    <w:rsid w:val="004361C8"/>
    <w:rsid w:val="00436F4D"/>
    <w:rsid w:val="0044006A"/>
    <w:rsid w:val="004444C0"/>
    <w:rsid w:val="00444637"/>
    <w:rsid w:val="00446E55"/>
    <w:rsid w:val="004557E8"/>
    <w:rsid w:val="004579E2"/>
    <w:rsid w:val="004603D6"/>
    <w:rsid w:val="004620C9"/>
    <w:rsid w:val="0046278B"/>
    <w:rsid w:val="0046563C"/>
    <w:rsid w:val="00466E67"/>
    <w:rsid w:val="00472AF5"/>
    <w:rsid w:val="00473B73"/>
    <w:rsid w:val="00473C85"/>
    <w:rsid w:val="00475D51"/>
    <w:rsid w:val="00476FAB"/>
    <w:rsid w:val="00480E04"/>
    <w:rsid w:val="00484854"/>
    <w:rsid w:val="004851CC"/>
    <w:rsid w:val="00485361"/>
    <w:rsid w:val="0048595A"/>
    <w:rsid w:val="004904A6"/>
    <w:rsid w:val="004907F3"/>
    <w:rsid w:val="0049154A"/>
    <w:rsid w:val="004939EE"/>
    <w:rsid w:val="00494775"/>
    <w:rsid w:val="004969D3"/>
    <w:rsid w:val="00497B19"/>
    <w:rsid w:val="004A5FE9"/>
    <w:rsid w:val="004A7F98"/>
    <w:rsid w:val="004B0901"/>
    <w:rsid w:val="004B0DF0"/>
    <w:rsid w:val="004B1DA6"/>
    <w:rsid w:val="004B36FD"/>
    <w:rsid w:val="004B4718"/>
    <w:rsid w:val="004B4A2B"/>
    <w:rsid w:val="004B76A1"/>
    <w:rsid w:val="004C0985"/>
    <w:rsid w:val="004C147D"/>
    <w:rsid w:val="004C2BD2"/>
    <w:rsid w:val="004C643C"/>
    <w:rsid w:val="004D04D2"/>
    <w:rsid w:val="004D12A4"/>
    <w:rsid w:val="004D2D3D"/>
    <w:rsid w:val="004D362E"/>
    <w:rsid w:val="004D38DD"/>
    <w:rsid w:val="004D6EA6"/>
    <w:rsid w:val="004D784E"/>
    <w:rsid w:val="004E259F"/>
    <w:rsid w:val="004E2759"/>
    <w:rsid w:val="004E5977"/>
    <w:rsid w:val="004E6D02"/>
    <w:rsid w:val="004E71F8"/>
    <w:rsid w:val="004E77C7"/>
    <w:rsid w:val="004F1AB7"/>
    <w:rsid w:val="004F3787"/>
    <w:rsid w:val="004F533D"/>
    <w:rsid w:val="004F6AD9"/>
    <w:rsid w:val="0050215A"/>
    <w:rsid w:val="00502E4C"/>
    <w:rsid w:val="00503E29"/>
    <w:rsid w:val="00504904"/>
    <w:rsid w:val="00505072"/>
    <w:rsid w:val="00505A25"/>
    <w:rsid w:val="00510766"/>
    <w:rsid w:val="00510DCB"/>
    <w:rsid w:val="00511D03"/>
    <w:rsid w:val="005125EF"/>
    <w:rsid w:val="00513CCF"/>
    <w:rsid w:val="00514014"/>
    <w:rsid w:val="00516914"/>
    <w:rsid w:val="00516E93"/>
    <w:rsid w:val="00524C33"/>
    <w:rsid w:val="00530780"/>
    <w:rsid w:val="00530D0F"/>
    <w:rsid w:val="005321DB"/>
    <w:rsid w:val="00532569"/>
    <w:rsid w:val="005344BD"/>
    <w:rsid w:val="00534ED9"/>
    <w:rsid w:val="00536685"/>
    <w:rsid w:val="005369A2"/>
    <w:rsid w:val="00537AD8"/>
    <w:rsid w:val="00540558"/>
    <w:rsid w:val="00542539"/>
    <w:rsid w:val="0054258F"/>
    <w:rsid w:val="005443A7"/>
    <w:rsid w:val="00551D82"/>
    <w:rsid w:val="0055344F"/>
    <w:rsid w:val="00555F2D"/>
    <w:rsid w:val="00556A95"/>
    <w:rsid w:val="00557C88"/>
    <w:rsid w:val="00560ACD"/>
    <w:rsid w:val="00562533"/>
    <w:rsid w:val="00563949"/>
    <w:rsid w:val="00564EFB"/>
    <w:rsid w:val="005653C9"/>
    <w:rsid w:val="00566931"/>
    <w:rsid w:val="00566A51"/>
    <w:rsid w:val="00567524"/>
    <w:rsid w:val="005734D7"/>
    <w:rsid w:val="005739BC"/>
    <w:rsid w:val="00574347"/>
    <w:rsid w:val="00575E55"/>
    <w:rsid w:val="00576EDD"/>
    <w:rsid w:val="00580455"/>
    <w:rsid w:val="005813A0"/>
    <w:rsid w:val="00584826"/>
    <w:rsid w:val="00584854"/>
    <w:rsid w:val="005852C1"/>
    <w:rsid w:val="00585BF5"/>
    <w:rsid w:val="00595080"/>
    <w:rsid w:val="00597EFE"/>
    <w:rsid w:val="005A0DEA"/>
    <w:rsid w:val="005A2026"/>
    <w:rsid w:val="005A2C9C"/>
    <w:rsid w:val="005A4FB0"/>
    <w:rsid w:val="005A5377"/>
    <w:rsid w:val="005A637B"/>
    <w:rsid w:val="005A6B5E"/>
    <w:rsid w:val="005B3D7A"/>
    <w:rsid w:val="005B3EBC"/>
    <w:rsid w:val="005B4C21"/>
    <w:rsid w:val="005B7786"/>
    <w:rsid w:val="005C1912"/>
    <w:rsid w:val="005C1DC4"/>
    <w:rsid w:val="005C1F8E"/>
    <w:rsid w:val="005C3861"/>
    <w:rsid w:val="005C3940"/>
    <w:rsid w:val="005C6419"/>
    <w:rsid w:val="005C6777"/>
    <w:rsid w:val="005D0FB5"/>
    <w:rsid w:val="005D49CD"/>
    <w:rsid w:val="005D610A"/>
    <w:rsid w:val="005E03E1"/>
    <w:rsid w:val="005E1EE7"/>
    <w:rsid w:val="005E23CA"/>
    <w:rsid w:val="005E4735"/>
    <w:rsid w:val="005E7175"/>
    <w:rsid w:val="005E78D0"/>
    <w:rsid w:val="005F0327"/>
    <w:rsid w:val="005F101C"/>
    <w:rsid w:val="005F1F62"/>
    <w:rsid w:val="005F45F8"/>
    <w:rsid w:val="005F4EF1"/>
    <w:rsid w:val="005F79C3"/>
    <w:rsid w:val="00600FC7"/>
    <w:rsid w:val="00604100"/>
    <w:rsid w:val="0060415A"/>
    <w:rsid w:val="00605972"/>
    <w:rsid w:val="0061161C"/>
    <w:rsid w:val="00615035"/>
    <w:rsid w:val="006154DA"/>
    <w:rsid w:val="0061632E"/>
    <w:rsid w:val="00620842"/>
    <w:rsid w:val="00622382"/>
    <w:rsid w:val="00622578"/>
    <w:rsid w:val="0062289B"/>
    <w:rsid w:val="00622947"/>
    <w:rsid w:val="006239A1"/>
    <w:rsid w:val="00625B73"/>
    <w:rsid w:val="00626C02"/>
    <w:rsid w:val="00634672"/>
    <w:rsid w:val="0063526B"/>
    <w:rsid w:val="0063648C"/>
    <w:rsid w:val="00636B78"/>
    <w:rsid w:val="0064029B"/>
    <w:rsid w:val="006435DA"/>
    <w:rsid w:val="00643B84"/>
    <w:rsid w:val="00647209"/>
    <w:rsid w:val="00651FC3"/>
    <w:rsid w:val="00652938"/>
    <w:rsid w:val="0065381D"/>
    <w:rsid w:val="006547FB"/>
    <w:rsid w:val="00655442"/>
    <w:rsid w:val="0065757C"/>
    <w:rsid w:val="0066228D"/>
    <w:rsid w:val="00663CFB"/>
    <w:rsid w:val="00665F47"/>
    <w:rsid w:val="00667964"/>
    <w:rsid w:val="006727B2"/>
    <w:rsid w:val="00673523"/>
    <w:rsid w:val="0067524C"/>
    <w:rsid w:val="006755EE"/>
    <w:rsid w:val="006824BF"/>
    <w:rsid w:val="00686EC5"/>
    <w:rsid w:val="00687231"/>
    <w:rsid w:val="00687DD5"/>
    <w:rsid w:val="006903DB"/>
    <w:rsid w:val="00693863"/>
    <w:rsid w:val="00694ACA"/>
    <w:rsid w:val="00696C3E"/>
    <w:rsid w:val="006A2114"/>
    <w:rsid w:val="006A2630"/>
    <w:rsid w:val="006A6821"/>
    <w:rsid w:val="006C0764"/>
    <w:rsid w:val="006C0EE7"/>
    <w:rsid w:val="006C3BCD"/>
    <w:rsid w:val="006C5EA2"/>
    <w:rsid w:val="006C6062"/>
    <w:rsid w:val="006C6170"/>
    <w:rsid w:val="006D0457"/>
    <w:rsid w:val="006D7EC0"/>
    <w:rsid w:val="006E01A1"/>
    <w:rsid w:val="006E0769"/>
    <w:rsid w:val="006E082E"/>
    <w:rsid w:val="006E1FD0"/>
    <w:rsid w:val="006E32C0"/>
    <w:rsid w:val="006E448D"/>
    <w:rsid w:val="006E4797"/>
    <w:rsid w:val="006E495B"/>
    <w:rsid w:val="006E63E9"/>
    <w:rsid w:val="006E690B"/>
    <w:rsid w:val="006E6AF0"/>
    <w:rsid w:val="006E7041"/>
    <w:rsid w:val="006E7C64"/>
    <w:rsid w:val="006F4809"/>
    <w:rsid w:val="006F53DC"/>
    <w:rsid w:val="006F716F"/>
    <w:rsid w:val="00701466"/>
    <w:rsid w:val="00702133"/>
    <w:rsid w:val="00702ADE"/>
    <w:rsid w:val="0070444F"/>
    <w:rsid w:val="007048EC"/>
    <w:rsid w:val="00704DF1"/>
    <w:rsid w:val="00705905"/>
    <w:rsid w:val="00705CD7"/>
    <w:rsid w:val="007100C8"/>
    <w:rsid w:val="00711369"/>
    <w:rsid w:val="00714BE0"/>
    <w:rsid w:val="007208D9"/>
    <w:rsid w:val="00722412"/>
    <w:rsid w:val="007265BB"/>
    <w:rsid w:val="00727904"/>
    <w:rsid w:val="007308C4"/>
    <w:rsid w:val="007333D5"/>
    <w:rsid w:val="00733644"/>
    <w:rsid w:val="00736371"/>
    <w:rsid w:val="00742478"/>
    <w:rsid w:val="00744626"/>
    <w:rsid w:val="007465DE"/>
    <w:rsid w:val="00751D3D"/>
    <w:rsid w:val="007528D6"/>
    <w:rsid w:val="00754833"/>
    <w:rsid w:val="007579D3"/>
    <w:rsid w:val="007608C5"/>
    <w:rsid w:val="00762B85"/>
    <w:rsid w:val="00762D20"/>
    <w:rsid w:val="00763E6E"/>
    <w:rsid w:val="00765782"/>
    <w:rsid w:val="007719AF"/>
    <w:rsid w:val="0077332B"/>
    <w:rsid w:val="007801C6"/>
    <w:rsid w:val="00783B8D"/>
    <w:rsid w:val="007841A5"/>
    <w:rsid w:val="0078669F"/>
    <w:rsid w:val="00786BA4"/>
    <w:rsid w:val="00786D1D"/>
    <w:rsid w:val="007951CD"/>
    <w:rsid w:val="00796A15"/>
    <w:rsid w:val="00796CFE"/>
    <w:rsid w:val="00797E1D"/>
    <w:rsid w:val="007A026E"/>
    <w:rsid w:val="007A03BC"/>
    <w:rsid w:val="007A09C9"/>
    <w:rsid w:val="007A107D"/>
    <w:rsid w:val="007A1EBE"/>
    <w:rsid w:val="007A265E"/>
    <w:rsid w:val="007A3B95"/>
    <w:rsid w:val="007A4BBA"/>
    <w:rsid w:val="007A59B8"/>
    <w:rsid w:val="007A5ACF"/>
    <w:rsid w:val="007A621F"/>
    <w:rsid w:val="007B08D4"/>
    <w:rsid w:val="007B0BA1"/>
    <w:rsid w:val="007B0E03"/>
    <w:rsid w:val="007B34C6"/>
    <w:rsid w:val="007B3C63"/>
    <w:rsid w:val="007B488F"/>
    <w:rsid w:val="007B57CA"/>
    <w:rsid w:val="007B72A4"/>
    <w:rsid w:val="007B7BCE"/>
    <w:rsid w:val="007C0D84"/>
    <w:rsid w:val="007C260E"/>
    <w:rsid w:val="007C7402"/>
    <w:rsid w:val="007D018E"/>
    <w:rsid w:val="007D2C77"/>
    <w:rsid w:val="007D6224"/>
    <w:rsid w:val="007D65A7"/>
    <w:rsid w:val="007D6BE0"/>
    <w:rsid w:val="007D7CDB"/>
    <w:rsid w:val="007E186D"/>
    <w:rsid w:val="007E1A3E"/>
    <w:rsid w:val="007E376E"/>
    <w:rsid w:val="007E3849"/>
    <w:rsid w:val="007E7C10"/>
    <w:rsid w:val="007F13E9"/>
    <w:rsid w:val="007F2030"/>
    <w:rsid w:val="007F20A7"/>
    <w:rsid w:val="007F5EB0"/>
    <w:rsid w:val="00801F31"/>
    <w:rsid w:val="00802B86"/>
    <w:rsid w:val="00803AF6"/>
    <w:rsid w:val="00804733"/>
    <w:rsid w:val="008056A1"/>
    <w:rsid w:val="00807BE9"/>
    <w:rsid w:val="00810685"/>
    <w:rsid w:val="008113F7"/>
    <w:rsid w:val="00812B72"/>
    <w:rsid w:val="00815B20"/>
    <w:rsid w:val="00821EAE"/>
    <w:rsid w:val="00822C08"/>
    <w:rsid w:val="00822E17"/>
    <w:rsid w:val="00824B7C"/>
    <w:rsid w:val="008269E7"/>
    <w:rsid w:val="00832BF2"/>
    <w:rsid w:val="00833B96"/>
    <w:rsid w:val="00835055"/>
    <w:rsid w:val="0083677A"/>
    <w:rsid w:val="00836C04"/>
    <w:rsid w:val="008425A4"/>
    <w:rsid w:val="008439A4"/>
    <w:rsid w:val="00844676"/>
    <w:rsid w:val="00844A9C"/>
    <w:rsid w:val="00845860"/>
    <w:rsid w:val="008461C6"/>
    <w:rsid w:val="00847017"/>
    <w:rsid w:val="0085421A"/>
    <w:rsid w:val="0085548D"/>
    <w:rsid w:val="0085598D"/>
    <w:rsid w:val="008560F6"/>
    <w:rsid w:val="00856A2F"/>
    <w:rsid w:val="0085704C"/>
    <w:rsid w:val="00857168"/>
    <w:rsid w:val="0086441F"/>
    <w:rsid w:val="00864958"/>
    <w:rsid w:val="008668D4"/>
    <w:rsid w:val="008715E5"/>
    <w:rsid w:val="00871FAF"/>
    <w:rsid w:val="00873637"/>
    <w:rsid w:val="008738FE"/>
    <w:rsid w:val="008742E6"/>
    <w:rsid w:val="00874AEB"/>
    <w:rsid w:val="00877319"/>
    <w:rsid w:val="00877763"/>
    <w:rsid w:val="0088336B"/>
    <w:rsid w:val="00884745"/>
    <w:rsid w:val="00885B76"/>
    <w:rsid w:val="00887EED"/>
    <w:rsid w:val="00890CB8"/>
    <w:rsid w:val="00891B05"/>
    <w:rsid w:val="00894485"/>
    <w:rsid w:val="00894795"/>
    <w:rsid w:val="008A4859"/>
    <w:rsid w:val="008A6BE3"/>
    <w:rsid w:val="008A7A39"/>
    <w:rsid w:val="008A7DB3"/>
    <w:rsid w:val="008B1385"/>
    <w:rsid w:val="008B29B2"/>
    <w:rsid w:val="008B2D50"/>
    <w:rsid w:val="008B35D2"/>
    <w:rsid w:val="008B60E8"/>
    <w:rsid w:val="008C11B0"/>
    <w:rsid w:val="008C2BFE"/>
    <w:rsid w:val="008C50EC"/>
    <w:rsid w:val="008C544C"/>
    <w:rsid w:val="008C608A"/>
    <w:rsid w:val="008D158A"/>
    <w:rsid w:val="008D293E"/>
    <w:rsid w:val="008D3094"/>
    <w:rsid w:val="008D312F"/>
    <w:rsid w:val="008D4FE3"/>
    <w:rsid w:val="008D72EB"/>
    <w:rsid w:val="008E16F0"/>
    <w:rsid w:val="008E19AC"/>
    <w:rsid w:val="008E2B21"/>
    <w:rsid w:val="008E3239"/>
    <w:rsid w:val="008E7FC1"/>
    <w:rsid w:val="008F0E08"/>
    <w:rsid w:val="008F11F2"/>
    <w:rsid w:val="008F6EE3"/>
    <w:rsid w:val="00901C81"/>
    <w:rsid w:val="00903B6E"/>
    <w:rsid w:val="00904009"/>
    <w:rsid w:val="00906840"/>
    <w:rsid w:val="00911224"/>
    <w:rsid w:val="009116DD"/>
    <w:rsid w:val="00911EF7"/>
    <w:rsid w:val="00916AA0"/>
    <w:rsid w:val="00922BB6"/>
    <w:rsid w:val="009251BD"/>
    <w:rsid w:val="00926319"/>
    <w:rsid w:val="00933926"/>
    <w:rsid w:val="00936E08"/>
    <w:rsid w:val="009376B8"/>
    <w:rsid w:val="009409EA"/>
    <w:rsid w:val="00942453"/>
    <w:rsid w:val="00947F8E"/>
    <w:rsid w:val="0095169D"/>
    <w:rsid w:val="0095193E"/>
    <w:rsid w:val="009561DC"/>
    <w:rsid w:val="00956764"/>
    <w:rsid w:val="009704C7"/>
    <w:rsid w:val="009724D4"/>
    <w:rsid w:val="00972FC8"/>
    <w:rsid w:val="00975CBE"/>
    <w:rsid w:val="0098409F"/>
    <w:rsid w:val="009840E9"/>
    <w:rsid w:val="0098558E"/>
    <w:rsid w:val="0098759C"/>
    <w:rsid w:val="009879EE"/>
    <w:rsid w:val="009906E9"/>
    <w:rsid w:val="00992238"/>
    <w:rsid w:val="00994F50"/>
    <w:rsid w:val="00995703"/>
    <w:rsid w:val="0099570D"/>
    <w:rsid w:val="009A60CA"/>
    <w:rsid w:val="009A6482"/>
    <w:rsid w:val="009A6D80"/>
    <w:rsid w:val="009B27A4"/>
    <w:rsid w:val="009B3F7C"/>
    <w:rsid w:val="009B435F"/>
    <w:rsid w:val="009B52BD"/>
    <w:rsid w:val="009B5FB5"/>
    <w:rsid w:val="009C0054"/>
    <w:rsid w:val="009C0439"/>
    <w:rsid w:val="009C0E31"/>
    <w:rsid w:val="009C121D"/>
    <w:rsid w:val="009C1ABC"/>
    <w:rsid w:val="009C2A56"/>
    <w:rsid w:val="009C4C2D"/>
    <w:rsid w:val="009C6176"/>
    <w:rsid w:val="009D0EC4"/>
    <w:rsid w:val="009D1B57"/>
    <w:rsid w:val="009D28BB"/>
    <w:rsid w:val="009D3227"/>
    <w:rsid w:val="009D4E41"/>
    <w:rsid w:val="009D5384"/>
    <w:rsid w:val="009D53B3"/>
    <w:rsid w:val="009E0F24"/>
    <w:rsid w:val="009E1647"/>
    <w:rsid w:val="009E4571"/>
    <w:rsid w:val="009E48E8"/>
    <w:rsid w:val="009E65D7"/>
    <w:rsid w:val="009E7596"/>
    <w:rsid w:val="009F2EC3"/>
    <w:rsid w:val="009F4B96"/>
    <w:rsid w:val="009F5AE9"/>
    <w:rsid w:val="009F61EA"/>
    <w:rsid w:val="009F6745"/>
    <w:rsid w:val="00A05FFC"/>
    <w:rsid w:val="00A07081"/>
    <w:rsid w:val="00A075B6"/>
    <w:rsid w:val="00A07D7A"/>
    <w:rsid w:val="00A1684A"/>
    <w:rsid w:val="00A16D84"/>
    <w:rsid w:val="00A17F02"/>
    <w:rsid w:val="00A210FD"/>
    <w:rsid w:val="00A229B3"/>
    <w:rsid w:val="00A347A0"/>
    <w:rsid w:val="00A35853"/>
    <w:rsid w:val="00A3597B"/>
    <w:rsid w:val="00A36F1B"/>
    <w:rsid w:val="00A4741A"/>
    <w:rsid w:val="00A47840"/>
    <w:rsid w:val="00A51F12"/>
    <w:rsid w:val="00A5416A"/>
    <w:rsid w:val="00A55D69"/>
    <w:rsid w:val="00A57B9D"/>
    <w:rsid w:val="00A61636"/>
    <w:rsid w:val="00A618B3"/>
    <w:rsid w:val="00A624BE"/>
    <w:rsid w:val="00A63FDE"/>
    <w:rsid w:val="00A643F5"/>
    <w:rsid w:val="00A647A5"/>
    <w:rsid w:val="00A6601F"/>
    <w:rsid w:val="00A74B59"/>
    <w:rsid w:val="00A75D34"/>
    <w:rsid w:val="00A8244A"/>
    <w:rsid w:val="00A83706"/>
    <w:rsid w:val="00A83948"/>
    <w:rsid w:val="00A84278"/>
    <w:rsid w:val="00A86CA8"/>
    <w:rsid w:val="00A871B4"/>
    <w:rsid w:val="00A9090E"/>
    <w:rsid w:val="00A929BB"/>
    <w:rsid w:val="00A92B2A"/>
    <w:rsid w:val="00A93C0B"/>
    <w:rsid w:val="00A95A89"/>
    <w:rsid w:val="00A97DE9"/>
    <w:rsid w:val="00AA2280"/>
    <w:rsid w:val="00AA43B6"/>
    <w:rsid w:val="00AA4CC3"/>
    <w:rsid w:val="00AA5C6F"/>
    <w:rsid w:val="00AA685C"/>
    <w:rsid w:val="00AA7B09"/>
    <w:rsid w:val="00AA7F54"/>
    <w:rsid w:val="00AB076B"/>
    <w:rsid w:val="00AB1FFE"/>
    <w:rsid w:val="00AB2268"/>
    <w:rsid w:val="00AB4038"/>
    <w:rsid w:val="00AB788B"/>
    <w:rsid w:val="00AC3CB9"/>
    <w:rsid w:val="00AC4D47"/>
    <w:rsid w:val="00AC4E2B"/>
    <w:rsid w:val="00AC7C96"/>
    <w:rsid w:val="00AD2F28"/>
    <w:rsid w:val="00AD66B7"/>
    <w:rsid w:val="00AD6E87"/>
    <w:rsid w:val="00AE2528"/>
    <w:rsid w:val="00AE274D"/>
    <w:rsid w:val="00AE752D"/>
    <w:rsid w:val="00AE75C4"/>
    <w:rsid w:val="00AF1219"/>
    <w:rsid w:val="00AF4CEC"/>
    <w:rsid w:val="00AF5866"/>
    <w:rsid w:val="00AF5A22"/>
    <w:rsid w:val="00B001AB"/>
    <w:rsid w:val="00B00EA8"/>
    <w:rsid w:val="00B053DD"/>
    <w:rsid w:val="00B06530"/>
    <w:rsid w:val="00B07E15"/>
    <w:rsid w:val="00B1022B"/>
    <w:rsid w:val="00B13083"/>
    <w:rsid w:val="00B138B2"/>
    <w:rsid w:val="00B27DC2"/>
    <w:rsid w:val="00B30904"/>
    <w:rsid w:val="00B31EA7"/>
    <w:rsid w:val="00B32350"/>
    <w:rsid w:val="00B33FEE"/>
    <w:rsid w:val="00B34F6C"/>
    <w:rsid w:val="00B40438"/>
    <w:rsid w:val="00B42ACF"/>
    <w:rsid w:val="00B45EB0"/>
    <w:rsid w:val="00B462CB"/>
    <w:rsid w:val="00B50975"/>
    <w:rsid w:val="00B517D4"/>
    <w:rsid w:val="00B52B44"/>
    <w:rsid w:val="00B52ED0"/>
    <w:rsid w:val="00B550A6"/>
    <w:rsid w:val="00B56016"/>
    <w:rsid w:val="00B56BD7"/>
    <w:rsid w:val="00B60168"/>
    <w:rsid w:val="00B61062"/>
    <w:rsid w:val="00B615E1"/>
    <w:rsid w:val="00B66177"/>
    <w:rsid w:val="00B7033F"/>
    <w:rsid w:val="00B71CB2"/>
    <w:rsid w:val="00B7336E"/>
    <w:rsid w:val="00B741F8"/>
    <w:rsid w:val="00B80474"/>
    <w:rsid w:val="00B81064"/>
    <w:rsid w:val="00B829F8"/>
    <w:rsid w:val="00B8303D"/>
    <w:rsid w:val="00B86087"/>
    <w:rsid w:val="00B86510"/>
    <w:rsid w:val="00B87681"/>
    <w:rsid w:val="00B87A0E"/>
    <w:rsid w:val="00B931AF"/>
    <w:rsid w:val="00B9446C"/>
    <w:rsid w:val="00B967C5"/>
    <w:rsid w:val="00BA1054"/>
    <w:rsid w:val="00BA143C"/>
    <w:rsid w:val="00BA6FF5"/>
    <w:rsid w:val="00BB17BD"/>
    <w:rsid w:val="00BB1BCC"/>
    <w:rsid w:val="00BB331A"/>
    <w:rsid w:val="00BB4AC3"/>
    <w:rsid w:val="00BB7535"/>
    <w:rsid w:val="00BC080A"/>
    <w:rsid w:val="00BC25A3"/>
    <w:rsid w:val="00BC3720"/>
    <w:rsid w:val="00BC4C8F"/>
    <w:rsid w:val="00BC5F38"/>
    <w:rsid w:val="00BC6D2E"/>
    <w:rsid w:val="00BD1245"/>
    <w:rsid w:val="00BD245E"/>
    <w:rsid w:val="00BD3767"/>
    <w:rsid w:val="00BD4131"/>
    <w:rsid w:val="00BD41F9"/>
    <w:rsid w:val="00BD42D4"/>
    <w:rsid w:val="00BD77D3"/>
    <w:rsid w:val="00BE0311"/>
    <w:rsid w:val="00BE126A"/>
    <w:rsid w:val="00BE2217"/>
    <w:rsid w:val="00BE22A2"/>
    <w:rsid w:val="00BE2769"/>
    <w:rsid w:val="00BE55B8"/>
    <w:rsid w:val="00BE5A8E"/>
    <w:rsid w:val="00BF26E6"/>
    <w:rsid w:val="00BF3C37"/>
    <w:rsid w:val="00BF498F"/>
    <w:rsid w:val="00BF4D26"/>
    <w:rsid w:val="00BF6066"/>
    <w:rsid w:val="00C0115B"/>
    <w:rsid w:val="00C01411"/>
    <w:rsid w:val="00C01B78"/>
    <w:rsid w:val="00C02283"/>
    <w:rsid w:val="00C05B9F"/>
    <w:rsid w:val="00C10C1D"/>
    <w:rsid w:val="00C11D93"/>
    <w:rsid w:val="00C12906"/>
    <w:rsid w:val="00C12C80"/>
    <w:rsid w:val="00C13346"/>
    <w:rsid w:val="00C1341C"/>
    <w:rsid w:val="00C138DF"/>
    <w:rsid w:val="00C139C3"/>
    <w:rsid w:val="00C150CA"/>
    <w:rsid w:val="00C1608A"/>
    <w:rsid w:val="00C1616D"/>
    <w:rsid w:val="00C171D6"/>
    <w:rsid w:val="00C17A3F"/>
    <w:rsid w:val="00C20507"/>
    <w:rsid w:val="00C2379A"/>
    <w:rsid w:val="00C23F57"/>
    <w:rsid w:val="00C24FA2"/>
    <w:rsid w:val="00C2597E"/>
    <w:rsid w:val="00C26073"/>
    <w:rsid w:val="00C27C71"/>
    <w:rsid w:val="00C32307"/>
    <w:rsid w:val="00C331C5"/>
    <w:rsid w:val="00C332D5"/>
    <w:rsid w:val="00C34684"/>
    <w:rsid w:val="00C35602"/>
    <w:rsid w:val="00C36405"/>
    <w:rsid w:val="00C366E0"/>
    <w:rsid w:val="00C406E2"/>
    <w:rsid w:val="00C41B1B"/>
    <w:rsid w:val="00C42A35"/>
    <w:rsid w:val="00C47650"/>
    <w:rsid w:val="00C50738"/>
    <w:rsid w:val="00C52DBF"/>
    <w:rsid w:val="00C546AD"/>
    <w:rsid w:val="00C54707"/>
    <w:rsid w:val="00C550F3"/>
    <w:rsid w:val="00C606FC"/>
    <w:rsid w:val="00C617BE"/>
    <w:rsid w:val="00C629DA"/>
    <w:rsid w:val="00C64200"/>
    <w:rsid w:val="00C65035"/>
    <w:rsid w:val="00C652D8"/>
    <w:rsid w:val="00C65E7D"/>
    <w:rsid w:val="00C66E70"/>
    <w:rsid w:val="00C709AF"/>
    <w:rsid w:val="00C719FE"/>
    <w:rsid w:val="00C71F26"/>
    <w:rsid w:val="00C7344A"/>
    <w:rsid w:val="00C77F01"/>
    <w:rsid w:val="00C801B1"/>
    <w:rsid w:val="00C83638"/>
    <w:rsid w:val="00C875D1"/>
    <w:rsid w:val="00C920B9"/>
    <w:rsid w:val="00C92716"/>
    <w:rsid w:val="00C9493F"/>
    <w:rsid w:val="00C96003"/>
    <w:rsid w:val="00C976B7"/>
    <w:rsid w:val="00CA508F"/>
    <w:rsid w:val="00CA549F"/>
    <w:rsid w:val="00CA63B5"/>
    <w:rsid w:val="00CB1713"/>
    <w:rsid w:val="00CB1783"/>
    <w:rsid w:val="00CB3CC5"/>
    <w:rsid w:val="00CB52C5"/>
    <w:rsid w:val="00CB5758"/>
    <w:rsid w:val="00CB6098"/>
    <w:rsid w:val="00CB6383"/>
    <w:rsid w:val="00CB73F9"/>
    <w:rsid w:val="00CC452C"/>
    <w:rsid w:val="00CC5462"/>
    <w:rsid w:val="00CC5B58"/>
    <w:rsid w:val="00CC66E5"/>
    <w:rsid w:val="00CC7BBD"/>
    <w:rsid w:val="00CD2DF9"/>
    <w:rsid w:val="00CD3282"/>
    <w:rsid w:val="00CD359C"/>
    <w:rsid w:val="00CD5614"/>
    <w:rsid w:val="00CD6DF5"/>
    <w:rsid w:val="00CD7771"/>
    <w:rsid w:val="00CE041D"/>
    <w:rsid w:val="00CE34C3"/>
    <w:rsid w:val="00CE35C2"/>
    <w:rsid w:val="00CE5383"/>
    <w:rsid w:val="00CE6C5F"/>
    <w:rsid w:val="00CF6751"/>
    <w:rsid w:val="00CF683A"/>
    <w:rsid w:val="00D01C8C"/>
    <w:rsid w:val="00D02AAA"/>
    <w:rsid w:val="00D05F8C"/>
    <w:rsid w:val="00D07253"/>
    <w:rsid w:val="00D0726E"/>
    <w:rsid w:val="00D07A90"/>
    <w:rsid w:val="00D104AB"/>
    <w:rsid w:val="00D11283"/>
    <w:rsid w:val="00D13A91"/>
    <w:rsid w:val="00D13FFC"/>
    <w:rsid w:val="00D1584D"/>
    <w:rsid w:val="00D16E23"/>
    <w:rsid w:val="00D209A8"/>
    <w:rsid w:val="00D22560"/>
    <w:rsid w:val="00D22FA9"/>
    <w:rsid w:val="00D24DB2"/>
    <w:rsid w:val="00D2510B"/>
    <w:rsid w:val="00D26548"/>
    <w:rsid w:val="00D26804"/>
    <w:rsid w:val="00D27951"/>
    <w:rsid w:val="00D30E4A"/>
    <w:rsid w:val="00D31119"/>
    <w:rsid w:val="00D311BB"/>
    <w:rsid w:val="00D3418D"/>
    <w:rsid w:val="00D40BF0"/>
    <w:rsid w:val="00D40C6D"/>
    <w:rsid w:val="00D44DD3"/>
    <w:rsid w:val="00D45058"/>
    <w:rsid w:val="00D505C7"/>
    <w:rsid w:val="00D50E0F"/>
    <w:rsid w:val="00D528B8"/>
    <w:rsid w:val="00D53136"/>
    <w:rsid w:val="00D54BAD"/>
    <w:rsid w:val="00D57F1F"/>
    <w:rsid w:val="00D624E5"/>
    <w:rsid w:val="00D6262C"/>
    <w:rsid w:val="00D62EAC"/>
    <w:rsid w:val="00D63DF0"/>
    <w:rsid w:val="00D64570"/>
    <w:rsid w:val="00D64EB7"/>
    <w:rsid w:val="00D661BB"/>
    <w:rsid w:val="00D701E0"/>
    <w:rsid w:val="00D73E94"/>
    <w:rsid w:val="00D76A03"/>
    <w:rsid w:val="00D7779F"/>
    <w:rsid w:val="00D82E72"/>
    <w:rsid w:val="00D83BA1"/>
    <w:rsid w:val="00D86A26"/>
    <w:rsid w:val="00D86D57"/>
    <w:rsid w:val="00D870F8"/>
    <w:rsid w:val="00D910A7"/>
    <w:rsid w:val="00D915CF"/>
    <w:rsid w:val="00D93770"/>
    <w:rsid w:val="00D959E7"/>
    <w:rsid w:val="00D95D7D"/>
    <w:rsid w:val="00D96B64"/>
    <w:rsid w:val="00DA009C"/>
    <w:rsid w:val="00DA154A"/>
    <w:rsid w:val="00DA2519"/>
    <w:rsid w:val="00DA276E"/>
    <w:rsid w:val="00DA2E75"/>
    <w:rsid w:val="00DA3380"/>
    <w:rsid w:val="00DA3C5C"/>
    <w:rsid w:val="00DA437D"/>
    <w:rsid w:val="00DA65DF"/>
    <w:rsid w:val="00DA706A"/>
    <w:rsid w:val="00DA76A3"/>
    <w:rsid w:val="00DB087C"/>
    <w:rsid w:val="00DB22BE"/>
    <w:rsid w:val="00DB2ED2"/>
    <w:rsid w:val="00DB366F"/>
    <w:rsid w:val="00DB66C8"/>
    <w:rsid w:val="00DC0D09"/>
    <w:rsid w:val="00DC0E61"/>
    <w:rsid w:val="00DC18A7"/>
    <w:rsid w:val="00DC3073"/>
    <w:rsid w:val="00DD0539"/>
    <w:rsid w:val="00DD05FF"/>
    <w:rsid w:val="00DD0B8A"/>
    <w:rsid w:val="00DD0D2A"/>
    <w:rsid w:val="00DD624E"/>
    <w:rsid w:val="00DD6E94"/>
    <w:rsid w:val="00DD7DB4"/>
    <w:rsid w:val="00DE001A"/>
    <w:rsid w:val="00DE0447"/>
    <w:rsid w:val="00DE0C4F"/>
    <w:rsid w:val="00DE4573"/>
    <w:rsid w:val="00DE76BE"/>
    <w:rsid w:val="00DF2EBC"/>
    <w:rsid w:val="00DF5485"/>
    <w:rsid w:val="00DF5F17"/>
    <w:rsid w:val="00E00B11"/>
    <w:rsid w:val="00E01E73"/>
    <w:rsid w:val="00E0289B"/>
    <w:rsid w:val="00E03054"/>
    <w:rsid w:val="00E0367D"/>
    <w:rsid w:val="00E039B4"/>
    <w:rsid w:val="00E03D6D"/>
    <w:rsid w:val="00E0748E"/>
    <w:rsid w:val="00E162A2"/>
    <w:rsid w:val="00E1711B"/>
    <w:rsid w:val="00E17F06"/>
    <w:rsid w:val="00E2174A"/>
    <w:rsid w:val="00E33ECA"/>
    <w:rsid w:val="00E401D5"/>
    <w:rsid w:val="00E419FA"/>
    <w:rsid w:val="00E41FC4"/>
    <w:rsid w:val="00E52086"/>
    <w:rsid w:val="00E561EB"/>
    <w:rsid w:val="00E5631E"/>
    <w:rsid w:val="00E60420"/>
    <w:rsid w:val="00E61736"/>
    <w:rsid w:val="00E617B6"/>
    <w:rsid w:val="00E64A61"/>
    <w:rsid w:val="00E65E1A"/>
    <w:rsid w:val="00E672F6"/>
    <w:rsid w:val="00E71082"/>
    <w:rsid w:val="00E72C93"/>
    <w:rsid w:val="00E74E7C"/>
    <w:rsid w:val="00E80EDF"/>
    <w:rsid w:val="00E81812"/>
    <w:rsid w:val="00E8253E"/>
    <w:rsid w:val="00E8455F"/>
    <w:rsid w:val="00E872BE"/>
    <w:rsid w:val="00E9105F"/>
    <w:rsid w:val="00E917B5"/>
    <w:rsid w:val="00E94A57"/>
    <w:rsid w:val="00E95853"/>
    <w:rsid w:val="00E96FB2"/>
    <w:rsid w:val="00EA0258"/>
    <w:rsid w:val="00EA16B1"/>
    <w:rsid w:val="00EA249B"/>
    <w:rsid w:val="00EA2D83"/>
    <w:rsid w:val="00EA4971"/>
    <w:rsid w:val="00EA6E99"/>
    <w:rsid w:val="00EA75EC"/>
    <w:rsid w:val="00EB1E68"/>
    <w:rsid w:val="00EB3F0D"/>
    <w:rsid w:val="00EB4F1D"/>
    <w:rsid w:val="00EB50A3"/>
    <w:rsid w:val="00EB7E5B"/>
    <w:rsid w:val="00EC0649"/>
    <w:rsid w:val="00EC140F"/>
    <w:rsid w:val="00EC15A5"/>
    <w:rsid w:val="00EC4C9F"/>
    <w:rsid w:val="00EC57F0"/>
    <w:rsid w:val="00ED02E8"/>
    <w:rsid w:val="00ED1ABE"/>
    <w:rsid w:val="00ED1BC4"/>
    <w:rsid w:val="00ED708E"/>
    <w:rsid w:val="00EE3633"/>
    <w:rsid w:val="00EE6BF7"/>
    <w:rsid w:val="00EE7577"/>
    <w:rsid w:val="00EF2808"/>
    <w:rsid w:val="00EF5FD0"/>
    <w:rsid w:val="00F02913"/>
    <w:rsid w:val="00F03CFE"/>
    <w:rsid w:val="00F042A7"/>
    <w:rsid w:val="00F05C85"/>
    <w:rsid w:val="00F06377"/>
    <w:rsid w:val="00F068A8"/>
    <w:rsid w:val="00F14D1D"/>
    <w:rsid w:val="00F15ED2"/>
    <w:rsid w:val="00F15F89"/>
    <w:rsid w:val="00F211D0"/>
    <w:rsid w:val="00F222C3"/>
    <w:rsid w:val="00F22FB1"/>
    <w:rsid w:val="00F248BC"/>
    <w:rsid w:val="00F32630"/>
    <w:rsid w:val="00F32A7F"/>
    <w:rsid w:val="00F354B2"/>
    <w:rsid w:val="00F3618C"/>
    <w:rsid w:val="00F36869"/>
    <w:rsid w:val="00F372CB"/>
    <w:rsid w:val="00F37AB2"/>
    <w:rsid w:val="00F37EBC"/>
    <w:rsid w:val="00F4103C"/>
    <w:rsid w:val="00F41DE1"/>
    <w:rsid w:val="00F46760"/>
    <w:rsid w:val="00F50278"/>
    <w:rsid w:val="00F505B8"/>
    <w:rsid w:val="00F511BF"/>
    <w:rsid w:val="00F51359"/>
    <w:rsid w:val="00F53DDD"/>
    <w:rsid w:val="00F556DC"/>
    <w:rsid w:val="00F563A1"/>
    <w:rsid w:val="00F60D69"/>
    <w:rsid w:val="00F61F55"/>
    <w:rsid w:val="00F629C3"/>
    <w:rsid w:val="00F62D51"/>
    <w:rsid w:val="00F63729"/>
    <w:rsid w:val="00F63B8D"/>
    <w:rsid w:val="00F65017"/>
    <w:rsid w:val="00F65B50"/>
    <w:rsid w:val="00F673D1"/>
    <w:rsid w:val="00F72213"/>
    <w:rsid w:val="00F74920"/>
    <w:rsid w:val="00F7605F"/>
    <w:rsid w:val="00F76C24"/>
    <w:rsid w:val="00F77B72"/>
    <w:rsid w:val="00F77EA1"/>
    <w:rsid w:val="00F82057"/>
    <w:rsid w:val="00F830A8"/>
    <w:rsid w:val="00F835C3"/>
    <w:rsid w:val="00F854D3"/>
    <w:rsid w:val="00F862FC"/>
    <w:rsid w:val="00F87A1A"/>
    <w:rsid w:val="00F97E3F"/>
    <w:rsid w:val="00FA19F9"/>
    <w:rsid w:val="00FA366D"/>
    <w:rsid w:val="00FA3B53"/>
    <w:rsid w:val="00FA4E1E"/>
    <w:rsid w:val="00FA6C9C"/>
    <w:rsid w:val="00FA7116"/>
    <w:rsid w:val="00FB0193"/>
    <w:rsid w:val="00FB276D"/>
    <w:rsid w:val="00FB3226"/>
    <w:rsid w:val="00FB3B55"/>
    <w:rsid w:val="00FB5D49"/>
    <w:rsid w:val="00FB62C0"/>
    <w:rsid w:val="00FC2E5C"/>
    <w:rsid w:val="00FC46CF"/>
    <w:rsid w:val="00FC5D44"/>
    <w:rsid w:val="00FD14CF"/>
    <w:rsid w:val="00FD1D58"/>
    <w:rsid w:val="00FD3BDE"/>
    <w:rsid w:val="00FD59B5"/>
    <w:rsid w:val="00FD6732"/>
    <w:rsid w:val="00FE0DDF"/>
    <w:rsid w:val="00FE6CC8"/>
    <w:rsid w:val="00FE7413"/>
    <w:rsid w:val="00FE7696"/>
    <w:rsid w:val="00FF4595"/>
    <w:rsid w:val="00FF5365"/>
    <w:rsid w:val="00FF67CF"/>
    <w:rsid w:val="00FF70A2"/>
    <w:rsid w:val="3387E005"/>
    <w:rsid w:val="44A89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B1F61064-866D-4748-8588-8C758BF8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link w:val="Heading2Char"/>
    <w:uiPriority w:val="9"/>
    <w:semiHidden/>
    <w:unhideWhenUsed/>
    <w:qFormat/>
    <w:pPr>
      <w:keepNext/>
      <w:outlineLvl w:val="1"/>
    </w:pPr>
    <w:rPr>
      <w:b/>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4579E2"/>
    <w:pPr>
      <w:keepNext/>
      <w:keepLines/>
      <w:widowControl/>
      <w:spacing w:before="40" w:line="278" w:lineRule="auto"/>
      <w:jc w:val="left"/>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4579E2"/>
    <w:pPr>
      <w:keepNext/>
      <w:keepLines/>
      <w:widowControl/>
      <w:spacing w:line="278" w:lineRule="auto"/>
      <w:jc w:val="left"/>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4579E2"/>
    <w:pPr>
      <w:keepNext/>
      <w:keepLines/>
      <w:widowControl/>
      <w:spacing w:line="278" w:lineRule="auto"/>
      <w:jc w:val="left"/>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3E6AD1"/>
    <w:rPr>
      <w:b/>
      <w:bCs/>
    </w:rPr>
  </w:style>
  <w:style w:type="paragraph" w:styleId="Caption">
    <w:name w:val="caption"/>
    <w:basedOn w:val="Normal"/>
    <w:next w:val="Normal"/>
    <w:uiPriority w:val="35"/>
    <w:unhideWhenUsed/>
    <w:qFormat/>
    <w:rsid w:val="008C50EC"/>
    <w:pPr>
      <w:spacing w:after="200"/>
    </w:pPr>
    <w:rPr>
      <w:i/>
      <w:iCs/>
      <w:color w:val="1F497D" w:themeColor="text2"/>
      <w:sz w:val="18"/>
      <w:szCs w:val="18"/>
    </w:rPr>
  </w:style>
  <w:style w:type="table" w:styleId="TableGrid">
    <w:name w:val="Table Grid"/>
    <w:basedOn w:val="TableNormal"/>
    <w:uiPriority w:val="39"/>
    <w:rsid w:val="00803AF6"/>
    <w:pPr>
      <w:widowControl/>
      <w:jc w:val="left"/>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152136"/>
    <w:pPr>
      <w:widowControl/>
      <w:jc w:val="left"/>
    </w:pPr>
    <w:rPr>
      <w:rFonts w:asciiTheme="minorHAnsi" w:eastAsiaTheme="minorHAnsi" w:hAnsiTheme="minorHAnsi" w:cstheme="minorBidi"/>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652938"/>
    <w:rPr>
      <w:rFonts w:ascii="Times New Roman" w:hAnsi="Times New Roman" w:cs="Times New Roman"/>
    </w:rPr>
  </w:style>
  <w:style w:type="paragraph" w:styleId="Header">
    <w:name w:val="header"/>
    <w:basedOn w:val="Normal"/>
    <w:link w:val="HeaderChar"/>
    <w:uiPriority w:val="99"/>
    <w:unhideWhenUsed/>
    <w:rsid w:val="00FA7116"/>
    <w:pPr>
      <w:tabs>
        <w:tab w:val="center" w:pos="4513"/>
        <w:tab w:val="right" w:pos="9026"/>
      </w:tabs>
    </w:pPr>
  </w:style>
  <w:style w:type="character" w:customStyle="1" w:styleId="HeaderChar">
    <w:name w:val="Header Char"/>
    <w:basedOn w:val="DefaultParagraphFont"/>
    <w:link w:val="Header"/>
    <w:uiPriority w:val="99"/>
    <w:rsid w:val="00FA7116"/>
  </w:style>
  <w:style w:type="character" w:customStyle="1" w:styleId="Heading7Char">
    <w:name w:val="Heading 7 Char"/>
    <w:basedOn w:val="DefaultParagraphFont"/>
    <w:link w:val="Heading7"/>
    <w:uiPriority w:val="9"/>
    <w:semiHidden/>
    <w:rsid w:val="004579E2"/>
    <w:rPr>
      <w:rFonts w:asciiTheme="minorHAnsi" w:eastAsiaTheme="majorEastAsia" w:hAnsiTheme="minorHAnsi" w:cstheme="majorBidi"/>
      <w:color w:val="595959" w:themeColor="text1" w:themeTint="A6"/>
      <w:kern w:val="2"/>
      <w:lang w:val="en-IN"/>
      <w14:ligatures w14:val="standardContextual"/>
    </w:rPr>
  </w:style>
  <w:style w:type="character" w:customStyle="1" w:styleId="Heading8Char">
    <w:name w:val="Heading 8 Char"/>
    <w:basedOn w:val="DefaultParagraphFont"/>
    <w:link w:val="Heading8"/>
    <w:uiPriority w:val="9"/>
    <w:semiHidden/>
    <w:rsid w:val="004579E2"/>
    <w:rPr>
      <w:rFonts w:asciiTheme="minorHAnsi" w:eastAsiaTheme="majorEastAsia" w:hAnsiTheme="minorHAnsi" w:cstheme="majorBidi"/>
      <w:i/>
      <w:iCs/>
      <w:color w:val="272727" w:themeColor="text1" w:themeTint="D8"/>
      <w:kern w:val="2"/>
      <w:lang w:val="en-IN"/>
      <w14:ligatures w14:val="standardContextual"/>
    </w:rPr>
  </w:style>
  <w:style w:type="character" w:customStyle="1" w:styleId="Heading9Char">
    <w:name w:val="Heading 9 Char"/>
    <w:basedOn w:val="DefaultParagraphFont"/>
    <w:link w:val="Heading9"/>
    <w:uiPriority w:val="9"/>
    <w:semiHidden/>
    <w:rsid w:val="004579E2"/>
    <w:rPr>
      <w:rFonts w:asciiTheme="minorHAnsi" w:eastAsiaTheme="majorEastAsia" w:hAnsiTheme="minorHAnsi" w:cstheme="majorBidi"/>
      <w:color w:val="272727" w:themeColor="text1" w:themeTint="D8"/>
      <w:kern w:val="2"/>
      <w:lang w:val="en-IN"/>
      <w14:ligatures w14:val="standardContextual"/>
    </w:rPr>
  </w:style>
  <w:style w:type="character" w:customStyle="1" w:styleId="Heading1Char">
    <w:name w:val="Heading 1 Char"/>
    <w:basedOn w:val="DefaultParagraphFont"/>
    <w:link w:val="Heading1"/>
    <w:uiPriority w:val="9"/>
    <w:rsid w:val="004579E2"/>
    <w:rPr>
      <w:b/>
      <w:sz w:val="28"/>
      <w:szCs w:val="28"/>
    </w:rPr>
  </w:style>
  <w:style w:type="character" w:customStyle="1" w:styleId="Heading2Char">
    <w:name w:val="Heading 2 Char"/>
    <w:basedOn w:val="DefaultParagraphFont"/>
    <w:link w:val="Heading2"/>
    <w:uiPriority w:val="9"/>
    <w:semiHidden/>
    <w:rsid w:val="004579E2"/>
    <w:rPr>
      <w:b/>
    </w:rPr>
  </w:style>
  <w:style w:type="character" w:customStyle="1" w:styleId="Heading3Char">
    <w:name w:val="Heading 3 Char"/>
    <w:basedOn w:val="DefaultParagraphFont"/>
    <w:link w:val="Heading3"/>
    <w:uiPriority w:val="9"/>
    <w:semiHidden/>
    <w:rsid w:val="004579E2"/>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4579E2"/>
    <w:rPr>
      <w:b/>
    </w:rPr>
  </w:style>
  <w:style w:type="character" w:customStyle="1" w:styleId="Heading5Char">
    <w:name w:val="Heading 5 Char"/>
    <w:basedOn w:val="DefaultParagraphFont"/>
    <w:link w:val="Heading5"/>
    <w:uiPriority w:val="9"/>
    <w:semiHidden/>
    <w:rsid w:val="004579E2"/>
    <w:rPr>
      <w:b/>
      <w:sz w:val="22"/>
      <w:szCs w:val="22"/>
    </w:rPr>
  </w:style>
  <w:style w:type="character" w:customStyle="1" w:styleId="Heading6Char">
    <w:name w:val="Heading 6 Char"/>
    <w:basedOn w:val="DefaultParagraphFont"/>
    <w:link w:val="Heading6"/>
    <w:uiPriority w:val="9"/>
    <w:semiHidden/>
    <w:rsid w:val="004579E2"/>
    <w:rPr>
      <w:b/>
      <w:sz w:val="20"/>
      <w:szCs w:val="20"/>
    </w:rPr>
  </w:style>
  <w:style w:type="character" w:customStyle="1" w:styleId="TitleChar">
    <w:name w:val="Title Char"/>
    <w:basedOn w:val="DefaultParagraphFont"/>
    <w:link w:val="Title"/>
    <w:uiPriority w:val="10"/>
    <w:rsid w:val="004579E2"/>
    <w:rPr>
      <w:b/>
      <w:sz w:val="72"/>
      <w:szCs w:val="72"/>
    </w:rPr>
  </w:style>
  <w:style w:type="character" w:customStyle="1" w:styleId="SubtitleChar">
    <w:name w:val="Subtitle Char"/>
    <w:basedOn w:val="DefaultParagraphFont"/>
    <w:link w:val="Subtitle"/>
    <w:uiPriority w:val="11"/>
    <w:rsid w:val="004579E2"/>
    <w:rPr>
      <w:rFonts w:ascii="Georgia" w:eastAsia="Georgia" w:hAnsi="Georgia" w:cs="Georgia"/>
      <w:i/>
      <w:color w:val="666666"/>
      <w:sz w:val="48"/>
      <w:szCs w:val="48"/>
    </w:rPr>
  </w:style>
  <w:style w:type="paragraph" w:styleId="Quote">
    <w:name w:val="Quote"/>
    <w:basedOn w:val="Normal"/>
    <w:next w:val="Normal"/>
    <w:link w:val="QuoteChar"/>
    <w:uiPriority w:val="29"/>
    <w:qFormat/>
    <w:rsid w:val="004579E2"/>
    <w:pPr>
      <w:widowControl/>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4579E2"/>
    <w:rPr>
      <w:rFonts w:asciiTheme="minorHAnsi" w:eastAsiaTheme="minorHAnsi" w:hAnsiTheme="minorHAnsi" w:cstheme="minorBidi"/>
      <w:i/>
      <w:iCs/>
      <w:color w:val="404040" w:themeColor="text1" w:themeTint="BF"/>
      <w:kern w:val="2"/>
      <w:lang w:val="en-IN"/>
      <w14:ligatures w14:val="standardContextual"/>
    </w:rPr>
  </w:style>
  <w:style w:type="character" w:styleId="IntenseEmphasis">
    <w:name w:val="Intense Emphasis"/>
    <w:basedOn w:val="DefaultParagraphFont"/>
    <w:uiPriority w:val="21"/>
    <w:qFormat/>
    <w:rsid w:val="004579E2"/>
    <w:rPr>
      <w:i/>
      <w:iCs/>
      <w:color w:val="365F91" w:themeColor="accent1" w:themeShade="BF"/>
    </w:rPr>
  </w:style>
  <w:style w:type="paragraph" w:styleId="IntenseQuote">
    <w:name w:val="Intense Quote"/>
    <w:basedOn w:val="Normal"/>
    <w:next w:val="Normal"/>
    <w:link w:val="IntenseQuoteChar"/>
    <w:uiPriority w:val="30"/>
    <w:qFormat/>
    <w:rsid w:val="004579E2"/>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4579E2"/>
    <w:rPr>
      <w:rFonts w:asciiTheme="minorHAnsi" w:eastAsiaTheme="minorHAnsi" w:hAnsiTheme="minorHAnsi" w:cstheme="minorBidi"/>
      <w:i/>
      <w:iCs/>
      <w:color w:val="365F91" w:themeColor="accent1" w:themeShade="BF"/>
      <w:kern w:val="2"/>
      <w:lang w:val="en-IN"/>
      <w14:ligatures w14:val="standardContextual"/>
    </w:rPr>
  </w:style>
  <w:style w:type="character" w:styleId="IntenseReference">
    <w:name w:val="Intense Reference"/>
    <w:basedOn w:val="DefaultParagraphFont"/>
    <w:uiPriority w:val="32"/>
    <w:qFormat/>
    <w:rsid w:val="004579E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9779">
      <w:bodyDiv w:val="1"/>
      <w:marLeft w:val="0"/>
      <w:marRight w:val="0"/>
      <w:marTop w:val="0"/>
      <w:marBottom w:val="0"/>
      <w:divBdr>
        <w:top w:val="none" w:sz="0" w:space="0" w:color="auto"/>
        <w:left w:val="none" w:sz="0" w:space="0" w:color="auto"/>
        <w:bottom w:val="none" w:sz="0" w:space="0" w:color="auto"/>
        <w:right w:val="none" w:sz="0" w:space="0" w:color="auto"/>
      </w:divBdr>
      <w:divsChild>
        <w:div w:id="56051894">
          <w:marLeft w:val="0"/>
          <w:marRight w:val="0"/>
          <w:marTop w:val="0"/>
          <w:marBottom w:val="0"/>
          <w:divBdr>
            <w:top w:val="none" w:sz="0" w:space="0" w:color="auto"/>
            <w:left w:val="none" w:sz="0" w:space="0" w:color="auto"/>
            <w:bottom w:val="none" w:sz="0" w:space="0" w:color="auto"/>
            <w:right w:val="none" w:sz="0" w:space="0" w:color="auto"/>
          </w:divBdr>
          <w:divsChild>
            <w:div w:id="1727144842">
              <w:marLeft w:val="0"/>
              <w:marRight w:val="0"/>
              <w:marTop w:val="0"/>
              <w:marBottom w:val="0"/>
              <w:divBdr>
                <w:top w:val="none" w:sz="0" w:space="0" w:color="auto"/>
                <w:left w:val="none" w:sz="0" w:space="0" w:color="auto"/>
                <w:bottom w:val="none" w:sz="0" w:space="0" w:color="auto"/>
                <w:right w:val="none" w:sz="0" w:space="0" w:color="auto"/>
              </w:divBdr>
              <w:divsChild>
                <w:div w:id="112272823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7265663">
      <w:bodyDiv w:val="1"/>
      <w:marLeft w:val="0"/>
      <w:marRight w:val="0"/>
      <w:marTop w:val="0"/>
      <w:marBottom w:val="0"/>
      <w:divBdr>
        <w:top w:val="none" w:sz="0" w:space="0" w:color="auto"/>
        <w:left w:val="none" w:sz="0" w:space="0" w:color="auto"/>
        <w:bottom w:val="none" w:sz="0" w:space="0" w:color="auto"/>
        <w:right w:val="none" w:sz="0" w:space="0" w:color="auto"/>
      </w:divBdr>
      <w:divsChild>
        <w:div w:id="2090416662">
          <w:marLeft w:val="0"/>
          <w:marRight w:val="0"/>
          <w:marTop w:val="0"/>
          <w:marBottom w:val="0"/>
          <w:divBdr>
            <w:top w:val="none" w:sz="0" w:space="0" w:color="auto"/>
            <w:left w:val="none" w:sz="0" w:space="0" w:color="auto"/>
            <w:bottom w:val="none" w:sz="0" w:space="0" w:color="auto"/>
            <w:right w:val="none" w:sz="0" w:space="0" w:color="auto"/>
          </w:divBdr>
          <w:divsChild>
            <w:div w:id="2082292900">
              <w:marLeft w:val="0"/>
              <w:marRight w:val="0"/>
              <w:marTop w:val="0"/>
              <w:marBottom w:val="240"/>
              <w:divBdr>
                <w:top w:val="none" w:sz="0" w:space="0" w:color="auto"/>
                <w:left w:val="none" w:sz="0" w:space="0" w:color="auto"/>
                <w:bottom w:val="none" w:sz="0" w:space="0" w:color="auto"/>
                <w:right w:val="none" w:sz="0" w:space="0" w:color="auto"/>
              </w:divBdr>
              <w:divsChild>
                <w:div w:id="972293977">
                  <w:marLeft w:val="360"/>
                  <w:marRight w:val="96"/>
                  <w:marTop w:val="0"/>
                  <w:marBottom w:val="0"/>
                  <w:divBdr>
                    <w:top w:val="none" w:sz="0" w:space="0" w:color="auto"/>
                    <w:left w:val="none" w:sz="0" w:space="0" w:color="auto"/>
                    <w:bottom w:val="none" w:sz="0" w:space="0" w:color="auto"/>
                    <w:right w:val="none" w:sz="0" w:space="0" w:color="auto"/>
                  </w:divBdr>
                </w:div>
              </w:divsChild>
            </w:div>
            <w:div w:id="1957562603">
              <w:marLeft w:val="0"/>
              <w:marRight w:val="0"/>
              <w:marTop w:val="0"/>
              <w:marBottom w:val="240"/>
              <w:divBdr>
                <w:top w:val="none" w:sz="0" w:space="0" w:color="auto"/>
                <w:left w:val="none" w:sz="0" w:space="0" w:color="auto"/>
                <w:bottom w:val="none" w:sz="0" w:space="0" w:color="auto"/>
                <w:right w:val="none" w:sz="0" w:space="0" w:color="auto"/>
              </w:divBdr>
              <w:divsChild>
                <w:div w:id="1495075110">
                  <w:marLeft w:val="360"/>
                  <w:marRight w:val="96"/>
                  <w:marTop w:val="0"/>
                  <w:marBottom w:val="0"/>
                  <w:divBdr>
                    <w:top w:val="none" w:sz="0" w:space="0" w:color="auto"/>
                    <w:left w:val="none" w:sz="0" w:space="0" w:color="auto"/>
                    <w:bottom w:val="none" w:sz="0" w:space="0" w:color="auto"/>
                    <w:right w:val="none" w:sz="0" w:space="0" w:color="auto"/>
                  </w:divBdr>
                </w:div>
              </w:divsChild>
            </w:div>
            <w:div w:id="1772429504">
              <w:marLeft w:val="0"/>
              <w:marRight w:val="0"/>
              <w:marTop w:val="0"/>
              <w:marBottom w:val="0"/>
              <w:divBdr>
                <w:top w:val="none" w:sz="0" w:space="0" w:color="auto"/>
                <w:left w:val="none" w:sz="0" w:space="0" w:color="auto"/>
                <w:bottom w:val="none" w:sz="0" w:space="0" w:color="auto"/>
                <w:right w:val="none" w:sz="0" w:space="0" w:color="auto"/>
              </w:divBdr>
              <w:divsChild>
                <w:div w:id="187973484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8020139">
      <w:bodyDiv w:val="1"/>
      <w:marLeft w:val="0"/>
      <w:marRight w:val="0"/>
      <w:marTop w:val="0"/>
      <w:marBottom w:val="0"/>
      <w:divBdr>
        <w:top w:val="none" w:sz="0" w:space="0" w:color="auto"/>
        <w:left w:val="none" w:sz="0" w:space="0" w:color="auto"/>
        <w:bottom w:val="none" w:sz="0" w:space="0" w:color="auto"/>
        <w:right w:val="none" w:sz="0" w:space="0" w:color="auto"/>
      </w:divBdr>
      <w:divsChild>
        <w:div w:id="325939808">
          <w:marLeft w:val="0"/>
          <w:marRight w:val="0"/>
          <w:marTop w:val="0"/>
          <w:marBottom w:val="0"/>
          <w:divBdr>
            <w:top w:val="none" w:sz="0" w:space="0" w:color="auto"/>
            <w:left w:val="none" w:sz="0" w:space="0" w:color="auto"/>
            <w:bottom w:val="none" w:sz="0" w:space="0" w:color="auto"/>
            <w:right w:val="none" w:sz="0" w:space="0" w:color="auto"/>
          </w:divBdr>
          <w:divsChild>
            <w:div w:id="1692339348">
              <w:marLeft w:val="0"/>
              <w:marRight w:val="0"/>
              <w:marTop w:val="0"/>
              <w:marBottom w:val="240"/>
              <w:divBdr>
                <w:top w:val="none" w:sz="0" w:space="0" w:color="auto"/>
                <w:left w:val="none" w:sz="0" w:space="0" w:color="auto"/>
                <w:bottom w:val="none" w:sz="0" w:space="0" w:color="auto"/>
                <w:right w:val="none" w:sz="0" w:space="0" w:color="auto"/>
              </w:divBdr>
              <w:divsChild>
                <w:div w:id="30613475">
                  <w:marLeft w:val="360"/>
                  <w:marRight w:val="96"/>
                  <w:marTop w:val="0"/>
                  <w:marBottom w:val="0"/>
                  <w:divBdr>
                    <w:top w:val="none" w:sz="0" w:space="0" w:color="auto"/>
                    <w:left w:val="none" w:sz="0" w:space="0" w:color="auto"/>
                    <w:bottom w:val="none" w:sz="0" w:space="0" w:color="auto"/>
                    <w:right w:val="none" w:sz="0" w:space="0" w:color="auto"/>
                  </w:divBdr>
                </w:div>
              </w:divsChild>
            </w:div>
            <w:div w:id="170874059">
              <w:marLeft w:val="0"/>
              <w:marRight w:val="0"/>
              <w:marTop w:val="0"/>
              <w:marBottom w:val="0"/>
              <w:divBdr>
                <w:top w:val="none" w:sz="0" w:space="0" w:color="auto"/>
                <w:left w:val="none" w:sz="0" w:space="0" w:color="auto"/>
                <w:bottom w:val="none" w:sz="0" w:space="0" w:color="auto"/>
                <w:right w:val="none" w:sz="0" w:space="0" w:color="auto"/>
              </w:divBdr>
              <w:divsChild>
                <w:div w:id="626401249">
                  <w:marLeft w:val="360"/>
                  <w:marRight w:val="96"/>
                  <w:marTop w:val="0"/>
                  <w:marBottom w:val="0"/>
                  <w:divBdr>
                    <w:top w:val="none" w:sz="0" w:space="0" w:color="auto"/>
                    <w:left w:val="none" w:sz="0" w:space="0" w:color="auto"/>
                    <w:bottom w:val="none" w:sz="0" w:space="0" w:color="auto"/>
                    <w:right w:val="none" w:sz="0" w:space="0" w:color="auto"/>
                  </w:divBdr>
                </w:div>
              </w:divsChild>
            </w:div>
            <w:div w:id="1973360671">
              <w:marLeft w:val="0"/>
              <w:marRight w:val="0"/>
              <w:marTop w:val="0"/>
              <w:marBottom w:val="240"/>
              <w:divBdr>
                <w:top w:val="none" w:sz="0" w:space="0" w:color="auto"/>
                <w:left w:val="none" w:sz="0" w:space="0" w:color="auto"/>
                <w:bottom w:val="none" w:sz="0" w:space="0" w:color="auto"/>
                <w:right w:val="none" w:sz="0" w:space="0" w:color="auto"/>
              </w:divBdr>
              <w:divsChild>
                <w:div w:id="234635415">
                  <w:marLeft w:val="360"/>
                  <w:marRight w:val="96"/>
                  <w:marTop w:val="0"/>
                  <w:marBottom w:val="0"/>
                  <w:divBdr>
                    <w:top w:val="none" w:sz="0" w:space="0" w:color="auto"/>
                    <w:left w:val="none" w:sz="0" w:space="0" w:color="auto"/>
                    <w:bottom w:val="none" w:sz="0" w:space="0" w:color="auto"/>
                    <w:right w:val="none" w:sz="0" w:space="0" w:color="auto"/>
                  </w:divBdr>
                </w:div>
              </w:divsChild>
            </w:div>
            <w:div w:id="1481117805">
              <w:marLeft w:val="0"/>
              <w:marRight w:val="0"/>
              <w:marTop w:val="0"/>
              <w:marBottom w:val="240"/>
              <w:divBdr>
                <w:top w:val="none" w:sz="0" w:space="0" w:color="auto"/>
                <w:left w:val="none" w:sz="0" w:space="0" w:color="auto"/>
                <w:bottom w:val="none" w:sz="0" w:space="0" w:color="auto"/>
                <w:right w:val="none" w:sz="0" w:space="0" w:color="auto"/>
              </w:divBdr>
              <w:divsChild>
                <w:div w:id="957416554">
                  <w:marLeft w:val="360"/>
                  <w:marRight w:val="96"/>
                  <w:marTop w:val="0"/>
                  <w:marBottom w:val="0"/>
                  <w:divBdr>
                    <w:top w:val="none" w:sz="0" w:space="0" w:color="auto"/>
                    <w:left w:val="none" w:sz="0" w:space="0" w:color="auto"/>
                    <w:bottom w:val="none" w:sz="0" w:space="0" w:color="auto"/>
                    <w:right w:val="none" w:sz="0" w:space="0" w:color="auto"/>
                  </w:divBdr>
                </w:div>
              </w:divsChild>
            </w:div>
            <w:div w:id="2136212700">
              <w:marLeft w:val="0"/>
              <w:marRight w:val="0"/>
              <w:marTop w:val="0"/>
              <w:marBottom w:val="240"/>
              <w:divBdr>
                <w:top w:val="none" w:sz="0" w:space="0" w:color="auto"/>
                <w:left w:val="none" w:sz="0" w:space="0" w:color="auto"/>
                <w:bottom w:val="none" w:sz="0" w:space="0" w:color="auto"/>
                <w:right w:val="none" w:sz="0" w:space="0" w:color="auto"/>
              </w:divBdr>
              <w:divsChild>
                <w:div w:id="1067993363">
                  <w:marLeft w:val="360"/>
                  <w:marRight w:val="96"/>
                  <w:marTop w:val="0"/>
                  <w:marBottom w:val="0"/>
                  <w:divBdr>
                    <w:top w:val="none" w:sz="0" w:space="0" w:color="auto"/>
                    <w:left w:val="none" w:sz="0" w:space="0" w:color="auto"/>
                    <w:bottom w:val="none" w:sz="0" w:space="0" w:color="auto"/>
                    <w:right w:val="none" w:sz="0" w:space="0" w:color="auto"/>
                  </w:divBdr>
                </w:div>
              </w:divsChild>
            </w:div>
            <w:div w:id="2128307218">
              <w:marLeft w:val="0"/>
              <w:marRight w:val="0"/>
              <w:marTop w:val="0"/>
              <w:marBottom w:val="240"/>
              <w:divBdr>
                <w:top w:val="none" w:sz="0" w:space="0" w:color="auto"/>
                <w:left w:val="none" w:sz="0" w:space="0" w:color="auto"/>
                <w:bottom w:val="none" w:sz="0" w:space="0" w:color="auto"/>
                <w:right w:val="none" w:sz="0" w:space="0" w:color="auto"/>
              </w:divBdr>
              <w:divsChild>
                <w:div w:id="156856410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2411397">
      <w:bodyDiv w:val="1"/>
      <w:marLeft w:val="0"/>
      <w:marRight w:val="0"/>
      <w:marTop w:val="0"/>
      <w:marBottom w:val="0"/>
      <w:divBdr>
        <w:top w:val="none" w:sz="0" w:space="0" w:color="auto"/>
        <w:left w:val="none" w:sz="0" w:space="0" w:color="auto"/>
        <w:bottom w:val="none" w:sz="0" w:space="0" w:color="auto"/>
        <w:right w:val="none" w:sz="0" w:space="0" w:color="auto"/>
      </w:divBdr>
      <w:divsChild>
        <w:div w:id="288363711">
          <w:marLeft w:val="0"/>
          <w:marRight w:val="0"/>
          <w:marTop w:val="0"/>
          <w:marBottom w:val="0"/>
          <w:divBdr>
            <w:top w:val="none" w:sz="0" w:space="0" w:color="auto"/>
            <w:left w:val="none" w:sz="0" w:space="0" w:color="auto"/>
            <w:bottom w:val="none" w:sz="0" w:space="0" w:color="auto"/>
            <w:right w:val="none" w:sz="0" w:space="0" w:color="auto"/>
          </w:divBdr>
          <w:divsChild>
            <w:div w:id="1783383195">
              <w:marLeft w:val="0"/>
              <w:marRight w:val="0"/>
              <w:marTop w:val="0"/>
              <w:marBottom w:val="240"/>
              <w:divBdr>
                <w:top w:val="none" w:sz="0" w:space="0" w:color="auto"/>
                <w:left w:val="none" w:sz="0" w:space="0" w:color="auto"/>
                <w:bottom w:val="none" w:sz="0" w:space="0" w:color="auto"/>
                <w:right w:val="none" w:sz="0" w:space="0" w:color="auto"/>
              </w:divBdr>
              <w:divsChild>
                <w:div w:id="352921385">
                  <w:marLeft w:val="360"/>
                  <w:marRight w:val="96"/>
                  <w:marTop w:val="0"/>
                  <w:marBottom w:val="0"/>
                  <w:divBdr>
                    <w:top w:val="none" w:sz="0" w:space="0" w:color="auto"/>
                    <w:left w:val="none" w:sz="0" w:space="0" w:color="auto"/>
                    <w:bottom w:val="none" w:sz="0" w:space="0" w:color="auto"/>
                    <w:right w:val="none" w:sz="0" w:space="0" w:color="auto"/>
                  </w:divBdr>
                </w:div>
              </w:divsChild>
            </w:div>
            <w:div w:id="388766324">
              <w:marLeft w:val="0"/>
              <w:marRight w:val="0"/>
              <w:marTop w:val="0"/>
              <w:marBottom w:val="240"/>
              <w:divBdr>
                <w:top w:val="none" w:sz="0" w:space="0" w:color="auto"/>
                <w:left w:val="none" w:sz="0" w:space="0" w:color="auto"/>
                <w:bottom w:val="none" w:sz="0" w:space="0" w:color="auto"/>
                <w:right w:val="none" w:sz="0" w:space="0" w:color="auto"/>
              </w:divBdr>
              <w:divsChild>
                <w:div w:id="1039545588">
                  <w:marLeft w:val="360"/>
                  <w:marRight w:val="96"/>
                  <w:marTop w:val="0"/>
                  <w:marBottom w:val="0"/>
                  <w:divBdr>
                    <w:top w:val="none" w:sz="0" w:space="0" w:color="auto"/>
                    <w:left w:val="none" w:sz="0" w:space="0" w:color="auto"/>
                    <w:bottom w:val="none" w:sz="0" w:space="0" w:color="auto"/>
                    <w:right w:val="none" w:sz="0" w:space="0" w:color="auto"/>
                  </w:divBdr>
                </w:div>
              </w:divsChild>
            </w:div>
            <w:div w:id="1151798268">
              <w:marLeft w:val="0"/>
              <w:marRight w:val="0"/>
              <w:marTop w:val="0"/>
              <w:marBottom w:val="240"/>
              <w:divBdr>
                <w:top w:val="none" w:sz="0" w:space="0" w:color="auto"/>
                <w:left w:val="none" w:sz="0" w:space="0" w:color="auto"/>
                <w:bottom w:val="none" w:sz="0" w:space="0" w:color="auto"/>
                <w:right w:val="none" w:sz="0" w:space="0" w:color="auto"/>
              </w:divBdr>
              <w:divsChild>
                <w:div w:id="444153242">
                  <w:marLeft w:val="360"/>
                  <w:marRight w:val="96"/>
                  <w:marTop w:val="0"/>
                  <w:marBottom w:val="0"/>
                  <w:divBdr>
                    <w:top w:val="none" w:sz="0" w:space="0" w:color="auto"/>
                    <w:left w:val="none" w:sz="0" w:space="0" w:color="auto"/>
                    <w:bottom w:val="none" w:sz="0" w:space="0" w:color="auto"/>
                    <w:right w:val="none" w:sz="0" w:space="0" w:color="auto"/>
                  </w:divBdr>
                </w:div>
              </w:divsChild>
            </w:div>
            <w:div w:id="575358441">
              <w:marLeft w:val="0"/>
              <w:marRight w:val="0"/>
              <w:marTop w:val="0"/>
              <w:marBottom w:val="240"/>
              <w:divBdr>
                <w:top w:val="none" w:sz="0" w:space="0" w:color="auto"/>
                <w:left w:val="none" w:sz="0" w:space="0" w:color="auto"/>
                <w:bottom w:val="none" w:sz="0" w:space="0" w:color="auto"/>
                <w:right w:val="none" w:sz="0" w:space="0" w:color="auto"/>
              </w:divBdr>
              <w:divsChild>
                <w:div w:id="1420328656">
                  <w:marLeft w:val="360"/>
                  <w:marRight w:val="96"/>
                  <w:marTop w:val="0"/>
                  <w:marBottom w:val="0"/>
                  <w:divBdr>
                    <w:top w:val="none" w:sz="0" w:space="0" w:color="auto"/>
                    <w:left w:val="none" w:sz="0" w:space="0" w:color="auto"/>
                    <w:bottom w:val="none" w:sz="0" w:space="0" w:color="auto"/>
                    <w:right w:val="none" w:sz="0" w:space="0" w:color="auto"/>
                  </w:divBdr>
                </w:div>
              </w:divsChild>
            </w:div>
            <w:div w:id="1338000961">
              <w:marLeft w:val="0"/>
              <w:marRight w:val="0"/>
              <w:marTop w:val="0"/>
              <w:marBottom w:val="240"/>
              <w:divBdr>
                <w:top w:val="none" w:sz="0" w:space="0" w:color="auto"/>
                <w:left w:val="none" w:sz="0" w:space="0" w:color="auto"/>
                <w:bottom w:val="none" w:sz="0" w:space="0" w:color="auto"/>
                <w:right w:val="none" w:sz="0" w:space="0" w:color="auto"/>
              </w:divBdr>
              <w:divsChild>
                <w:div w:id="850723025">
                  <w:marLeft w:val="360"/>
                  <w:marRight w:val="96"/>
                  <w:marTop w:val="0"/>
                  <w:marBottom w:val="0"/>
                  <w:divBdr>
                    <w:top w:val="none" w:sz="0" w:space="0" w:color="auto"/>
                    <w:left w:val="none" w:sz="0" w:space="0" w:color="auto"/>
                    <w:bottom w:val="none" w:sz="0" w:space="0" w:color="auto"/>
                    <w:right w:val="none" w:sz="0" w:space="0" w:color="auto"/>
                  </w:divBdr>
                </w:div>
              </w:divsChild>
            </w:div>
            <w:div w:id="1938365652">
              <w:marLeft w:val="0"/>
              <w:marRight w:val="0"/>
              <w:marTop w:val="0"/>
              <w:marBottom w:val="0"/>
              <w:divBdr>
                <w:top w:val="none" w:sz="0" w:space="0" w:color="auto"/>
                <w:left w:val="none" w:sz="0" w:space="0" w:color="auto"/>
                <w:bottom w:val="none" w:sz="0" w:space="0" w:color="auto"/>
                <w:right w:val="none" w:sz="0" w:space="0" w:color="auto"/>
              </w:divBdr>
              <w:divsChild>
                <w:div w:id="196079136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9790829">
      <w:bodyDiv w:val="1"/>
      <w:marLeft w:val="0"/>
      <w:marRight w:val="0"/>
      <w:marTop w:val="0"/>
      <w:marBottom w:val="0"/>
      <w:divBdr>
        <w:top w:val="none" w:sz="0" w:space="0" w:color="auto"/>
        <w:left w:val="none" w:sz="0" w:space="0" w:color="auto"/>
        <w:bottom w:val="none" w:sz="0" w:space="0" w:color="auto"/>
        <w:right w:val="none" w:sz="0" w:space="0" w:color="auto"/>
      </w:divBdr>
      <w:divsChild>
        <w:div w:id="1438939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668825">
      <w:bodyDiv w:val="1"/>
      <w:marLeft w:val="0"/>
      <w:marRight w:val="0"/>
      <w:marTop w:val="0"/>
      <w:marBottom w:val="0"/>
      <w:divBdr>
        <w:top w:val="none" w:sz="0" w:space="0" w:color="auto"/>
        <w:left w:val="none" w:sz="0" w:space="0" w:color="auto"/>
        <w:bottom w:val="none" w:sz="0" w:space="0" w:color="auto"/>
        <w:right w:val="none" w:sz="0" w:space="0" w:color="auto"/>
      </w:divBdr>
      <w:divsChild>
        <w:div w:id="769736431">
          <w:marLeft w:val="0"/>
          <w:marRight w:val="0"/>
          <w:marTop w:val="0"/>
          <w:marBottom w:val="0"/>
          <w:divBdr>
            <w:top w:val="none" w:sz="0" w:space="0" w:color="auto"/>
            <w:left w:val="none" w:sz="0" w:space="0" w:color="auto"/>
            <w:bottom w:val="none" w:sz="0" w:space="0" w:color="auto"/>
            <w:right w:val="none" w:sz="0" w:space="0" w:color="auto"/>
          </w:divBdr>
          <w:divsChild>
            <w:div w:id="1327514036">
              <w:marLeft w:val="0"/>
              <w:marRight w:val="0"/>
              <w:marTop w:val="0"/>
              <w:marBottom w:val="0"/>
              <w:divBdr>
                <w:top w:val="none" w:sz="0" w:space="0" w:color="auto"/>
                <w:left w:val="none" w:sz="0" w:space="0" w:color="auto"/>
                <w:bottom w:val="none" w:sz="0" w:space="0" w:color="auto"/>
                <w:right w:val="none" w:sz="0" w:space="0" w:color="auto"/>
              </w:divBdr>
              <w:divsChild>
                <w:div w:id="160144981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5903207">
      <w:bodyDiv w:val="1"/>
      <w:marLeft w:val="0"/>
      <w:marRight w:val="0"/>
      <w:marTop w:val="0"/>
      <w:marBottom w:val="0"/>
      <w:divBdr>
        <w:top w:val="none" w:sz="0" w:space="0" w:color="auto"/>
        <w:left w:val="none" w:sz="0" w:space="0" w:color="auto"/>
        <w:bottom w:val="none" w:sz="0" w:space="0" w:color="auto"/>
        <w:right w:val="none" w:sz="0" w:space="0" w:color="auto"/>
      </w:divBdr>
      <w:divsChild>
        <w:div w:id="253247092">
          <w:marLeft w:val="0"/>
          <w:marRight w:val="0"/>
          <w:marTop w:val="0"/>
          <w:marBottom w:val="0"/>
          <w:divBdr>
            <w:top w:val="none" w:sz="0" w:space="0" w:color="auto"/>
            <w:left w:val="none" w:sz="0" w:space="0" w:color="auto"/>
            <w:bottom w:val="none" w:sz="0" w:space="0" w:color="auto"/>
            <w:right w:val="none" w:sz="0" w:space="0" w:color="auto"/>
          </w:divBdr>
          <w:divsChild>
            <w:div w:id="1453475552">
              <w:marLeft w:val="0"/>
              <w:marRight w:val="0"/>
              <w:marTop w:val="0"/>
              <w:marBottom w:val="0"/>
              <w:divBdr>
                <w:top w:val="none" w:sz="0" w:space="0" w:color="auto"/>
                <w:left w:val="none" w:sz="0" w:space="0" w:color="auto"/>
                <w:bottom w:val="none" w:sz="0" w:space="0" w:color="auto"/>
                <w:right w:val="none" w:sz="0" w:space="0" w:color="auto"/>
              </w:divBdr>
              <w:divsChild>
                <w:div w:id="151834438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8860245">
      <w:bodyDiv w:val="1"/>
      <w:marLeft w:val="0"/>
      <w:marRight w:val="0"/>
      <w:marTop w:val="0"/>
      <w:marBottom w:val="0"/>
      <w:divBdr>
        <w:top w:val="none" w:sz="0" w:space="0" w:color="auto"/>
        <w:left w:val="none" w:sz="0" w:space="0" w:color="auto"/>
        <w:bottom w:val="none" w:sz="0" w:space="0" w:color="auto"/>
        <w:right w:val="none" w:sz="0" w:space="0" w:color="auto"/>
      </w:divBdr>
      <w:divsChild>
        <w:div w:id="1278484446">
          <w:marLeft w:val="0"/>
          <w:marRight w:val="0"/>
          <w:marTop w:val="0"/>
          <w:marBottom w:val="0"/>
          <w:divBdr>
            <w:top w:val="none" w:sz="0" w:space="0" w:color="auto"/>
            <w:left w:val="none" w:sz="0" w:space="0" w:color="auto"/>
            <w:bottom w:val="none" w:sz="0" w:space="0" w:color="auto"/>
            <w:right w:val="none" w:sz="0" w:space="0" w:color="auto"/>
          </w:divBdr>
          <w:divsChild>
            <w:div w:id="1446461917">
              <w:marLeft w:val="0"/>
              <w:marRight w:val="0"/>
              <w:marTop w:val="0"/>
              <w:marBottom w:val="0"/>
              <w:divBdr>
                <w:top w:val="none" w:sz="0" w:space="0" w:color="auto"/>
                <w:left w:val="none" w:sz="0" w:space="0" w:color="auto"/>
                <w:bottom w:val="none" w:sz="0" w:space="0" w:color="auto"/>
                <w:right w:val="none" w:sz="0" w:space="0" w:color="auto"/>
              </w:divBdr>
              <w:divsChild>
                <w:div w:id="6869872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9972445">
      <w:bodyDiv w:val="1"/>
      <w:marLeft w:val="0"/>
      <w:marRight w:val="0"/>
      <w:marTop w:val="0"/>
      <w:marBottom w:val="0"/>
      <w:divBdr>
        <w:top w:val="none" w:sz="0" w:space="0" w:color="auto"/>
        <w:left w:val="none" w:sz="0" w:space="0" w:color="auto"/>
        <w:bottom w:val="none" w:sz="0" w:space="0" w:color="auto"/>
        <w:right w:val="none" w:sz="0" w:space="0" w:color="auto"/>
      </w:divBdr>
      <w:divsChild>
        <w:div w:id="2087258673">
          <w:marLeft w:val="0"/>
          <w:marRight w:val="0"/>
          <w:marTop w:val="0"/>
          <w:marBottom w:val="0"/>
          <w:divBdr>
            <w:top w:val="none" w:sz="0" w:space="0" w:color="auto"/>
            <w:left w:val="none" w:sz="0" w:space="0" w:color="auto"/>
            <w:bottom w:val="none" w:sz="0" w:space="0" w:color="auto"/>
            <w:right w:val="none" w:sz="0" w:space="0" w:color="auto"/>
          </w:divBdr>
          <w:divsChild>
            <w:div w:id="1596397646">
              <w:marLeft w:val="0"/>
              <w:marRight w:val="0"/>
              <w:marTop w:val="0"/>
              <w:marBottom w:val="0"/>
              <w:divBdr>
                <w:top w:val="none" w:sz="0" w:space="0" w:color="auto"/>
                <w:left w:val="none" w:sz="0" w:space="0" w:color="auto"/>
                <w:bottom w:val="none" w:sz="0" w:space="0" w:color="auto"/>
                <w:right w:val="none" w:sz="0" w:space="0" w:color="auto"/>
              </w:divBdr>
              <w:divsChild>
                <w:div w:id="20571913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47931290">
      <w:bodyDiv w:val="1"/>
      <w:marLeft w:val="0"/>
      <w:marRight w:val="0"/>
      <w:marTop w:val="0"/>
      <w:marBottom w:val="0"/>
      <w:divBdr>
        <w:top w:val="none" w:sz="0" w:space="0" w:color="auto"/>
        <w:left w:val="none" w:sz="0" w:space="0" w:color="auto"/>
        <w:bottom w:val="none" w:sz="0" w:space="0" w:color="auto"/>
        <w:right w:val="none" w:sz="0" w:space="0" w:color="auto"/>
      </w:divBdr>
      <w:divsChild>
        <w:div w:id="1902709237">
          <w:marLeft w:val="0"/>
          <w:marRight w:val="0"/>
          <w:marTop w:val="0"/>
          <w:marBottom w:val="0"/>
          <w:divBdr>
            <w:top w:val="none" w:sz="0" w:space="0" w:color="auto"/>
            <w:left w:val="none" w:sz="0" w:space="0" w:color="auto"/>
            <w:bottom w:val="none" w:sz="0" w:space="0" w:color="auto"/>
            <w:right w:val="none" w:sz="0" w:space="0" w:color="auto"/>
          </w:divBdr>
          <w:divsChild>
            <w:div w:id="176386079">
              <w:marLeft w:val="0"/>
              <w:marRight w:val="0"/>
              <w:marTop w:val="0"/>
              <w:marBottom w:val="0"/>
              <w:divBdr>
                <w:top w:val="none" w:sz="0" w:space="0" w:color="auto"/>
                <w:left w:val="none" w:sz="0" w:space="0" w:color="auto"/>
                <w:bottom w:val="none" w:sz="0" w:space="0" w:color="auto"/>
                <w:right w:val="none" w:sz="0" w:space="0" w:color="auto"/>
              </w:divBdr>
              <w:divsChild>
                <w:div w:id="111740570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52725292">
      <w:bodyDiv w:val="1"/>
      <w:marLeft w:val="0"/>
      <w:marRight w:val="0"/>
      <w:marTop w:val="0"/>
      <w:marBottom w:val="0"/>
      <w:divBdr>
        <w:top w:val="none" w:sz="0" w:space="0" w:color="auto"/>
        <w:left w:val="none" w:sz="0" w:space="0" w:color="auto"/>
        <w:bottom w:val="none" w:sz="0" w:space="0" w:color="auto"/>
        <w:right w:val="none" w:sz="0" w:space="0" w:color="auto"/>
      </w:divBdr>
      <w:divsChild>
        <w:div w:id="1240939358">
          <w:marLeft w:val="0"/>
          <w:marRight w:val="0"/>
          <w:marTop w:val="0"/>
          <w:marBottom w:val="0"/>
          <w:divBdr>
            <w:top w:val="none" w:sz="0" w:space="0" w:color="auto"/>
            <w:left w:val="none" w:sz="0" w:space="0" w:color="auto"/>
            <w:bottom w:val="none" w:sz="0" w:space="0" w:color="auto"/>
            <w:right w:val="none" w:sz="0" w:space="0" w:color="auto"/>
          </w:divBdr>
          <w:divsChild>
            <w:div w:id="887037446">
              <w:marLeft w:val="0"/>
              <w:marRight w:val="0"/>
              <w:marTop w:val="0"/>
              <w:marBottom w:val="0"/>
              <w:divBdr>
                <w:top w:val="none" w:sz="0" w:space="0" w:color="auto"/>
                <w:left w:val="none" w:sz="0" w:space="0" w:color="auto"/>
                <w:bottom w:val="none" w:sz="0" w:space="0" w:color="auto"/>
                <w:right w:val="none" w:sz="0" w:space="0" w:color="auto"/>
              </w:divBdr>
              <w:divsChild>
                <w:div w:id="37736140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91537960">
      <w:bodyDiv w:val="1"/>
      <w:marLeft w:val="0"/>
      <w:marRight w:val="0"/>
      <w:marTop w:val="0"/>
      <w:marBottom w:val="0"/>
      <w:divBdr>
        <w:top w:val="none" w:sz="0" w:space="0" w:color="auto"/>
        <w:left w:val="none" w:sz="0" w:space="0" w:color="auto"/>
        <w:bottom w:val="none" w:sz="0" w:space="0" w:color="auto"/>
        <w:right w:val="none" w:sz="0" w:space="0" w:color="auto"/>
      </w:divBdr>
      <w:divsChild>
        <w:div w:id="1009521753">
          <w:marLeft w:val="0"/>
          <w:marRight w:val="0"/>
          <w:marTop w:val="0"/>
          <w:marBottom w:val="0"/>
          <w:divBdr>
            <w:top w:val="none" w:sz="0" w:space="0" w:color="auto"/>
            <w:left w:val="none" w:sz="0" w:space="0" w:color="auto"/>
            <w:bottom w:val="none" w:sz="0" w:space="0" w:color="auto"/>
            <w:right w:val="none" w:sz="0" w:space="0" w:color="auto"/>
          </w:divBdr>
          <w:divsChild>
            <w:div w:id="2008895385">
              <w:marLeft w:val="0"/>
              <w:marRight w:val="0"/>
              <w:marTop w:val="0"/>
              <w:marBottom w:val="0"/>
              <w:divBdr>
                <w:top w:val="none" w:sz="0" w:space="0" w:color="auto"/>
                <w:left w:val="none" w:sz="0" w:space="0" w:color="auto"/>
                <w:bottom w:val="none" w:sz="0" w:space="0" w:color="auto"/>
                <w:right w:val="none" w:sz="0" w:space="0" w:color="auto"/>
              </w:divBdr>
              <w:divsChild>
                <w:div w:id="82786439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89634765">
      <w:bodyDiv w:val="1"/>
      <w:marLeft w:val="0"/>
      <w:marRight w:val="0"/>
      <w:marTop w:val="0"/>
      <w:marBottom w:val="0"/>
      <w:divBdr>
        <w:top w:val="none" w:sz="0" w:space="0" w:color="auto"/>
        <w:left w:val="none" w:sz="0" w:space="0" w:color="auto"/>
        <w:bottom w:val="none" w:sz="0" w:space="0" w:color="auto"/>
        <w:right w:val="none" w:sz="0" w:space="0" w:color="auto"/>
      </w:divBdr>
      <w:divsChild>
        <w:div w:id="59447468">
          <w:marLeft w:val="0"/>
          <w:marRight w:val="0"/>
          <w:marTop w:val="0"/>
          <w:marBottom w:val="0"/>
          <w:divBdr>
            <w:top w:val="none" w:sz="0" w:space="0" w:color="auto"/>
            <w:left w:val="none" w:sz="0" w:space="0" w:color="auto"/>
            <w:bottom w:val="none" w:sz="0" w:space="0" w:color="auto"/>
            <w:right w:val="none" w:sz="0" w:space="0" w:color="auto"/>
          </w:divBdr>
          <w:divsChild>
            <w:div w:id="1492329658">
              <w:marLeft w:val="0"/>
              <w:marRight w:val="0"/>
              <w:marTop w:val="0"/>
              <w:marBottom w:val="0"/>
              <w:divBdr>
                <w:top w:val="none" w:sz="0" w:space="0" w:color="auto"/>
                <w:left w:val="none" w:sz="0" w:space="0" w:color="auto"/>
                <w:bottom w:val="none" w:sz="0" w:space="0" w:color="auto"/>
                <w:right w:val="none" w:sz="0" w:space="0" w:color="auto"/>
              </w:divBdr>
              <w:divsChild>
                <w:div w:id="156244525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96268199">
      <w:bodyDiv w:val="1"/>
      <w:marLeft w:val="0"/>
      <w:marRight w:val="0"/>
      <w:marTop w:val="0"/>
      <w:marBottom w:val="0"/>
      <w:divBdr>
        <w:top w:val="none" w:sz="0" w:space="0" w:color="auto"/>
        <w:left w:val="none" w:sz="0" w:space="0" w:color="auto"/>
        <w:bottom w:val="none" w:sz="0" w:space="0" w:color="auto"/>
        <w:right w:val="none" w:sz="0" w:space="0" w:color="auto"/>
      </w:divBdr>
      <w:divsChild>
        <w:div w:id="845170647">
          <w:marLeft w:val="0"/>
          <w:marRight w:val="0"/>
          <w:marTop w:val="0"/>
          <w:marBottom w:val="0"/>
          <w:divBdr>
            <w:top w:val="none" w:sz="0" w:space="0" w:color="auto"/>
            <w:left w:val="none" w:sz="0" w:space="0" w:color="auto"/>
            <w:bottom w:val="none" w:sz="0" w:space="0" w:color="auto"/>
            <w:right w:val="none" w:sz="0" w:space="0" w:color="auto"/>
          </w:divBdr>
          <w:divsChild>
            <w:div w:id="1517037135">
              <w:marLeft w:val="0"/>
              <w:marRight w:val="0"/>
              <w:marTop w:val="0"/>
              <w:marBottom w:val="0"/>
              <w:divBdr>
                <w:top w:val="none" w:sz="0" w:space="0" w:color="auto"/>
                <w:left w:val="none" w:sz="0" w:space="0" w:color="auto"/>
                <w:bottom w:val="none" w:sz="0" w:space="0" w:color="auto"/>
                <w:right w:val="none" w:sz="0" w:space="0" w:color="auto"/>
              </w:divBdr>
              <w:divsChild>
                <w:div w:id="210680613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99590505">
      <w:bodyDiv w:val="1"/>
      <w:marLeft w:val="0"/>
      <w:marRight w:val="0"/>
      <w:marTop w:val="0"/>
      <w:marBottom w:val="0"/>
      <w:divBdr>
        <w:top w:val="none" w:sz="0" w:space="0" w:color="auto"/>
        <w:left w:val="none" w:sz="0" w:space="0" w:color="auto"/>
        <w:bottom w:val="none" w:sz="0" w:space="0" w:color="auto"/>
        <w:right w:val="none" w:sz="0" w:space="0" w:color="auto"/>
      </w:divBdr>
      <w:divsChild>
        <w:div w:id="1488748474">
          <w:marLeft w:val="0"/>
          <w:marRight w:val="0"/>
          <w:marTop w:val="0"/>
          <w:marBottom w:val="0"/>
          <w:divBdr>
            <w:top w:val="none" w:sz="0" w:space="0" w:color="auto"/>
            <w:left w:val="none" w:sz="0" w:space="0" w:color="auto"/>
            <w:bottom w:val="none" w:sz="0" w:space="0" w:color="auto"/>
            <w:right w:val="none" w:sz="0" w:space="0" w:color="auto"/>
          </w:divBdr>
          <w:divsChild>
            <w:div w:id="370302655">
              <w:marLeft w:val="0"/>
              <w:marRight w:val="0"/>
              <w:marTop w:val="0"/>
              <w:marBottom w:val="0"/>
              <w:divBdr>
                <w:top w:val="none" w:sz="0" w:space="0" w:color="auto"/>
                <w:left w:val="none" w:sz="0" w:space="0" w:color="auto"/>
                <w:bottom w:val="none" w:sz="0" w:space="0" w:color="auto"/>
                <w:right w:val="none" w:sz="0" w:space="0" w:color="auto"/>
              </w:divBdr>
              <w:divsChild>
                <w:div w:id="1313752963">
                  <w:marLeft w:val="360"/>
                  <w:marRight w:val="96"/>
                  <w:marTop w:val="0"/>
                  <w:marBottom w:val="0"/>
                  <w:divBdr>
                    <w:top w:val="none" w:sz="0" w:space="0" w:color="auto"/>
                    <w:left w:val="none" w:sz="0" w:space="0" w:color="auto"/>
                    <w:bottom w:val="none" w:sz="0" w:space="0" w:color="auto"/>
                    <w:right w:val="none" w:sz="0" w:space="0" w:color="auto"/>
                  </w:divBdr>
                </w:div>
              </w:divsChild>
            </w:div>
            <w:div w:id="1466044775">
              <w:marLeft w:val="0"/>
              <w:marRight w:val="0"/>
              <w:marTop w:val="0"/>
              <w:marBottom w:val="240"/>
              <w:divBdr>
                <w:top w:val="none" w:sz="0" w:space="0" w:color="auto"/>
                <w:left w:val="none" w:sz="0" w:space="0" w:color="auto"/>
                <w:bottom w:val="none" w:sz="0" w:space="0" w:color="auto"/>
                <w:right w:val="none" w:sz="0" w:space="0" w:color="auto"/>
              </w:divBdr>
              <w:divsChild>
                <w:div w:id="746345954">
                  <w:marLeft w:val="360"/>
                  <w:marRight w:val="96"/>
                  <w:marTop w:val="0"/>
                  <w:marBottom w:val="0"/>
                  <w:divBdr>
                    <w:top w:val="none" w:sz="0" w:space="0" w:color="auto"/>
                    <w:left w:val="none" w:sz="0" w:space="0" w:color="auto"/>
                    <w:bottom w:val="none" w:sz="0" w:space="0" w:color="auto"/>
                    <w:right w:val="none" w:sz="0" w:space="0" w:color="auto"/>
                  </w:divBdr>
                </w:div>
              </w:divsChild>
            </w:div>
            <w:div w:id="1551576673">
              <w:marLeft w:val="0"/>
              <w:marRight w:val="0"/>
              <w:marTop w:val="0"/>
              <w:marBottom w:val="240"/>
              <w:divBdr>
                <w:top w:val="none" w:sz="0" w:space="0" w:color="auto"/>
                <w:left w:val="none" w:sz="0" w:space="0" w:color="auto"/>
                <w:bottom w:val="none" w:sz="0" w:space="0" w:color="auto"/>
                <w:right w:val="none" w:sz="0" w:space="0" w:color="auto"/>
              </w:divBdr>
              <w:divsChild>
                <w:div w:id="85029457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13107888">
      <w:bodyDiv w:val="1"/>
      <w:marLeft w:val="0"/>
      <w:marRight w:val="0"/>
      <w:marTop w:val="0"/>
      <w:marBottom w:val="0"/>
      <w:divBdr>
        <w:top w:val="none" w:sz="0" w:space="0" w:color="auto"/>
        <w:left w:val="none" w:sz="0" w:space="0" w:color="auto"/>
        <w:bottom w:val="none" w:sz="0" w:space="0" w:color="auto"/>
        <w:right w:val="none" w:sz="0" w:space="0" w:color="auto"/>
      </w:divBdr>
      <w:divsChild>
        <w:div w:id="795298929">
          <w:marLeft w:val="0"/>
          <w:marRight w:val="0"/>
          <w:marTop w:val="0"/>
          <w:marBottom w:val="0"/>
          <w:divBdr>
            <w:top w:val="none" w:sz="0" w:space="0" w:color="auto"/>
            <w:left w:val="none" w:sz="0" w:space="0" w:color="auto"/>
            <w:bottom w:val="none" w:sz="0" w:space="0" w:color="auto"/>
            <w:right w:val="none" w:sz="0" w:space="0" w:color="auto"/>
          </w:divBdr>
          <w:divsChild>
            <w:div w:id="2141608447">
              <w:marLeft w:val="0"/>
              <w:marRight w:val="0"/>
              <w:marTop w:val="0"/>
              <w:marBottom w:val="0"/>
              <w:divBdr>
                <w:top w:val="none" w:sz="0" w:space="0" w:color="auto"/>
                <w:left w:val="none" w:sz="0" w:space="0" w:color="auto"/>
                <w:bottom w:val="none" w:sz="0" w:space="0" w:color="auto"/>
                <w:right w:val="none" w:sz="0" w:space="0" w:color="auto"/>
              </w:divBdr>
              <w:divsChild>
                <w:div w:id="1982035202">
                  <w:marLeft w:val="0"/>
                  <w:marRight w:val="0"/>
                  <w:marTop w:val="0"/>
                  <w:marBottom w:val="0"/>
                  <w:divBdr>
                    <w:top w:val="none" w:sz="0" w:space="0" w:color="auto"/>
                    <w:left w:val="none" w:sz="0" w:space="0" w:color="auto"/>
                    <w:bottom w:val="none" w:sz="0" w:space="0" w:color="auto"/>
                    <w:right w:val="none" w:sz="0" w:space="0" w:color="auto"/>
                  </w:divBdr>
                  <w:divsChild>
                    <w:div w:id="703793175">
                      <w:marLeft w:val="0"/>
                      <w:marRight w:val="0"/>
                      <w:marTop w:val="0"/>
                      <w:marBottom w:val="0"/>
                      <w:divBdr>
                        <w:top w:val="none" w:sz="0" w:space="0" w:color="auto"/>
                        <w:left w:val="none" w:sz="0" w:space="0" w:color="auto"/>
                        <w:bottom w:val="none" w:sz="0" w:space="0" w:color="auto"/>
                        <w:right w:val="none" w:sz="0" w:space="0" w:color="auto"/>
                      </w:divBdr>
                      <w:divsChild>
                        <w:div w:id="1836535701">
                          <w:marLeft w:val="0"/>
                          <w:marRight w:val="0"/>
                          <w:marTop w:val="0"/>
                          <w:marBottom w:val="0"/>
                          <w:divBdr>
                            <w:top w:val="none" w:sz="0" w:space="0" w:color="auto"/>
                            <w:left w:val="none" w:sz="0" w:space="0" w:color="auto"/>
                            <w:bottom w:val="none" w:sz="0" w:space="0" w:color="auto"/>
                            <w:right w:val="none" w:sz="0" w:space="0" w:color="auto"/>
                          </w:divBdr>
                          <w:divsChild>
                            <w:div w:id="900748690">
                              <w:marLeft w:val="0"/>
                              <w:marRight w:val="0"/>
                              <w:marTop w:val="0"/>
                              <w:marBottom w:val="0"/>
                              <w:divBdr>
                                <w:top w:val="none" w:sz="0" w:space="0" w:color="auto"/>
                                <w:left w:val="none" w:sz="0" w:space="0" w:color="auto"/>
                                <w:bottom w:val="none" w:sz="0" w:space="0" w:color="auto"/>
                                <w:right w:val="none" w:sz="0" w:space="0" w:color="auto"/>
                              </w:divBdr>
                              <w:divsChild>
                                <w:div w:id="333267117">
                                  <w:marLeft w:val="0"/>
                                  <w:marRight w:val="0"/>
                                  <w:marTop w:val="0"/>
                                  <w:marBottom w:val="0"/>
                                  <w:divBdr>
                                    <w:top w:val="none" w:sz="0" w:space="0" w:color="auto"/>
                                    <w:left w:val="none" w:sz="0" w:space="0" w:color="auto"/>
                                    <w:bottom w:val="none" w:sz="0" w:space="0" w:color="auto"/>
                                    <w:right w:val="none" w:sz="0" w:space="0" w:color="auto"/>
                                  </w:divBdr>
                                  <w:divsChild>
                                    <w:div w:id="627004532">
                                      <w:marLeft w:val="0"/>
                                      <w:marRight w:val="0"/>
                                      <w:marTop w:val="0"/>
                                      <w:marBottom w:val="0"/>
                                      <w:divBdr>
                                        <w:top w:val="none" w:sz="0" w:space="0" w:color="auto"/>
                                        <w:left w:val="none" w:sz="0" w:space="0" w:color="auto"/>
                                        <w:bottom w:val="none" w:sz="0" w:space="0" w:color="auto"/>
                                        <w:right w:val="none" w:sz="0" w:space="0" w:color="auto"/>
                                      </w:divBdr>
                                      <w:divsChild>
                                        <w:div w:id="869877249">
                                          <w:marLeft w:val="0"/>
                                          <w:marRight w:val="0"/>
                                          <w:marTop w:val="0"/>
                                          <w:marBottom w:val="0"/>
                                          <w:divBdr>
                                            <w:top w:val="none" w:sz="0" w:space="0" w:color="auto"/>
                                            <w:left w:val="none" w:sz="0" w:space="0" w:color="auto"/>
                                            <w:bottom w:val="none" w:sz="0" w:space="0" w:color="auto"/>
                                            <w:right w:val="none" w:sz="0" w:space="0" w:color="auto"/>
                                          </w:divBdr>
                                          <w:divsChild>
                                            <w:div w:id="120346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770691">
      <w:bodyDiv w:val="1"/>
      <w:marLeft w:val="0"/>
      <w:marRight w:val="0"/>
      <w:marTop w:val="0"/>
      <w:marBottom w:val="0"/>
      <w:divBdr>
        <w:top w:val="none" w:sz="0" w:space="0" w:color="auto"/>
        <w:left w:val="none" w:sz="0" w:space="0" w:color="auto"/>
        <w:bottom w:val="none" w:sz="0" w:space="0" w:color="auto"/>
        <w:right w:val="none" w:sz="0" w:space="0" w:color="auto"/>
      </w:divBdr>
      <w:divsChild>
        <w:div w:id="608511039">
          <w:marLeft w:val="0"/>
          <w:marRight w:val="0"/>
          <w:marTop w:val="0"/>
          <w:marBottom w:val="0"/>
          <w:divBdr>
            <w:top w:val="none" w:sz="0" w:space="0" w:color="auto"/>
            <w:left w:val="none" w:sz="0" w:space="0" w:color="auto"/>
            <w:bottom w:val="none" w:sz="0" w:space="0" w:color="auto"/>
            <w:right w:val="none" w:sz="0" w:space="0" w:color="auto"/>
          </w:divBdr>
          <w:divsChild>
            <w:div w:id="581720547">
              <w:marLeft w:val="0"/>
              <w:marRight w:val="0"/>
              <w:marTop w:val="0"/>
              <w:marBottom w:val="240"/>
              <w:divBdr>
                <w:top w:val="none" w:sz="0" w:space="0" w:color="auto"/>
                <w:left w:val="none" w:sz="0" w:space="0" w:color="auto"/>
                <w:bottom w:val="none" w:sz="0" w:space="0" w:color="auto"/>
                <w:right w:val="none" w:sz="0" w:space="0" w:color="auto"/>
              </w:divBdr>
              <w:divsChild>
                <w:div w:id="8215219">
                  <w:marLeft w:val="360"/>
                  <w:marRight w:val="96"/>
                  <w:marTop w:val="0"/>
                  <w:marBottom w:val="0"/>
                  <w:divBdr>
                    <w:top w:val="none" w:sz="0" w:space="0" w:color="auto"/>
                    <w:left w:val="none" w:sz="0" w:space="0" w:color="auto"/>
                    <w:bottom w:val="none" w:sz="0" w:space="0" w:color="auto"/>
                    <w:right w:val="none" w:sz="0" w:space="0" w:color="auto"/>
                  </w:divBdr>
                </w:div>
              </w:divsChild>
            </w:div>
            <w:div w:id="1111827162">
              <w:marLeft w:val="0"/>
              <w:marRight w:val="0"/>
              <w:marTop w:val="0"/>
              <w:marBottom w:val="0"/>
              <w:divBdr>
                <w:top w:val="none" w:sz="0" w:space="0" w:color="auto"/>
                <w:left w:val="none" w:sz="0" w:space="0" w:color="auto"/>
                <w:bottom w:val="none" w:sz="0" w:space="0" w:color="auto"/>
                <w:right w:val="none" w:sz="0" w:space="0" w:color="auto"/>
              </w:divBdr>
              <w:divsChild>
                <w:div w:id="1103959603">
                  <w:marLeft w:val="360"/>
                  <w:marRight w:val="96"/>
                  <w:marTop w:val="0"/>
                  <w:marBottom w:val="0"/>
                  <w:divBdr>
                    <w:top w:val="none" w:sz="0" w:space="0" w:color="auto"/>
                    <w:left w:val="none" w:sz="0" w:space="0" w:color="auto"/>
                    <w:bottom w:val="none" w:sz="0" w:space="0" w:color="auto"/>
                    <w:right w:val="none" w:sz="0" w:space="0" w:color="auto"/>
                  </w:divBdr>
                </w:div>
              </w:divsChild>
            </w:div>
            <w:div w:id="1491486867">
              <w:marLeft w:val="0"/>
              <w:marRight w:val="0"/>
              <w:marTop w:val="0"/>
              <w:marBottom w:val="240"/>
              <w:divBdr>
                <w:top w:val="none" w:sz="0" w:space="0" w:color="auto"/>
                <w:left w:val="none" w:sz="0" w:space="0" w:color="auto"/>
                <w:bottom w:val="none" w:sz="0" w:space="0" w:color="auto"/>
                <w:right w:val="none" w:sz="0" w:space="0" w:color="auto"/>
              </w:divBdr>
              <w:divsChild>
                <w:div w:id="186220577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23193609">
      <w:bodyDiv w:val="1"/>
      <w:marLeft w:val="0"/>
      <w:marRight w:val="0"/>
      <w:marTop w:val="0"/>
      <w:marBottom w:val="0"/>
      <w:divBdr>
        <w:top w:val="none" w:sz="0" w:space="0" w:color="auto"/>
        <w:left w:val="none" w:sz="0" w:space="0" w:color="auto"/>
        <w:bottom w:val="none" w:sz="0" w:space="0" w:color="auto"/>
        <w:right w:val="none" w:sz="0" w:space="0" w:color="auto"/>
      </w:divBdr>
    </w:div>
    <w:div w:id="679039552">
      <w:bodyDiv w:val="1"/>
      <w:marLeft w:val="0"/>
      <w:marRight w:val="0"/>
      <w:marTop w:val="0"/>
      <w:marBottom w:val="0"/>
      <w:divBdr>
        <w:top w:val="none" w:sz="0" w:space="0" w:color="auto"/>
        <w:left w:val="none" w:sz="0" w:space="0" w:color="auto"/>
        <w:bottom w:val="none" w:sz="0" w:space="0" w:color="auto"/>
        <w:right w:val="none" w:sz="0" w:space="0" w:color="auto"/>
      </w:divBdr>
      <w:divsChild>
        <w:div w:id="63526776">
          <w:marLeft w:val="0"/>
          <w:marRight w:val="0"/>
          <w:marTop w:val="0"/>
          <w:marBottom w:val="0"/>
          <w:divBdr>
            <w:top w:val="none" w:sz="0" w:space="0" w:color="auto"/>
            <w:left w:val="none" w:sz="0" w:space="0" w:color="auto"/>
            <w:bottom w:val="none" w:sz="0" w:space="0" w:color="auto"/>
            <w:right w:val="none" w:sz="0" w:space="0" w:color="auto"/>
          </w:divBdr>
          <w:divsChild>
            <w:div w:id="103311337">
              <w:marLeft w:val="0"/>
              <w:marRight w:val="0"/>
              <w:marTop w:val="0"/>
              <w:marBottom w:val="0"/>
              <w:divBdr>
                <w:top w:val="none" w:sz="0" w:space="0" w:color="auto"/>
                <w:left w:val="none" w:sz="0" w:space="0" w:color="auto"/>
                <w:bottom w:val="none" w:sz="0" w:space="0" w:color="auto"/>
                <w:right w:val="none" w:sz="0" w:space="0" w:color="auto"/>
              </w:divBdr>
              <w:divsChild>
                <w:div w:id="121931934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38749901">
      <w:bodyDiv w:val="1"/>
      <w:marLeft w:val="0"/>
      <w:marRight w:val="0"/>
      <w:marTop w:val="0"/>
      <w:marBottom w:val="0"/>
      <w:divBdr>
        <w:top w:val="none" w:sz="0" w:space="0" w:color="auto"/>
        <w:left w:val="none" w:sz="0" w:space="0" w:color="auto"/>
        <w:bottom w:val="none" w:sz="0" w:space="0" w:color="auto"/>
        <w:right w:val="none" w:sz="0" w:space="0" w:color="auto"/>
      </w:divBdr>
      <w:divsChild>
        <w:div w:id="725370586">
          <w:marLeft w:val="0"/>
          <w:marRight w:val="0"/>
          <w:marTop w:val="0"/>
          <w:marBottom w:val="0"/>
          <w:divBdr>
            <w:top w:val="none" w:sz="0" w:space="0" w:color="auto"/>
            <w:left w:val="none" w:sz="0" w:space="0" w:color="auto"/>
            <w:bottom w:val="none" w:sz="0" w:space="0" w:color="auto"/>
            <w:right w:val="none" w:sz="0" w:space="0" w:color="auto"/>
          </w:divBdr>
          <w:divsChild>
            <w:div w:id="517619811">
              <w:marLeft w:val="0"/>
              <w:marRight w:val="0"/>
              <w:marTop w:val="0"/>
              <w:marBottom w:val="0"/>
              <w:divBdr>
                <w:top w:val="none" w:sz="0" w:space="0" w:color="auto"/>
                <w:left w:val="none" w:sz="0" w:space="0" w:color="auto"/>
                <w:bottom w:val="none" w:sz="0" w:space="0" w:color="auto"/>
                <w:right w:val="none" w:sz="0" w:space="0" w:color="auto"/>
              </w:divBdr>
              <w:divsChild>
                <w:div w:id="67222579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65230001">
      <w:bodyDiv w:val="1"/>
      <w:marLeft w:val="0"/>
      <w:marRight w:val="0"/>
      <w:marTop w:val="0"/>
      <w:marBottom w:val="0"/>
      <w:divBdr>
        <w:top w:val="none" w:sz="0" w:space="0" w:color="auto"/>
        <w:left w:val="none" w:sz="0" w:space="0" w:color="auto"/>
        <w:bottom w:val="none" w:sz="0" w:space="0" w:color="auto"/>
        <w:right w:val="none" w:sz="0" w:space="0" w:color="auto"/>
      </w:divBdr>
      <w:divsChild>
        <w:div w:id="1053964290">
          <w:marLeft w:val="0"/>
          <w:marRight w:val="0"/>
          <w:marTop w:val="0"/>
          <w:marBottom w:val="0"/>
          <w:divBdr>
            <w:top w:val="none" w:sz="0" w:space="0" w:color="auto"/>
            <w:left w:val="none" w:sz="0" w:space="0" w:color="auto"/>
            <w:bottom w:val="none" w:sz="0" w:space="0" w:color="auto"/>
            <w:right w:val="none" w:sz="0" w:space="0" w:color="auto"/>
          </w:divBdr>
          <w:divsChild>
            <w:div w:id="1199973977">
              <w:marLeft w:val="0"/>
              <w:marRight w:val="0"/>
              <w:marTop w:val="0"/>
              <w:marBottom w:val="0"/>
              <w:divBdr>
                <w:top w:val="none" w:sz="0" w:space="0" w:color="auto"/>
                <w:left w:val="none" w:sz="0" w:space="0" w:color="auto"/>
                <w:bottom w:val="none" w:sz="0" w:space="0" w:color="auto"/>
                <w:right w:val="none" w:sz="0" w:space="0" w:color="auto"/>
              </w:divBdr>
              <w:divsChild>
                <w:div w:id="151291455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70584960">
      <w:bodyDiv w:val="1"/>
      <w:marLeft w:val="0"/>
      <w:marRight w:val="0"/>
      <w:marTop w:val="0"/>
      <w:marBottom w:val="0"/>
      <w:divBdr>
        <w:top w:val="none" w:sz="0" w:space="0" w:color="auto"/>
        <w:left w:val="none" w:sz="0" w:space="0" w:color="auto"/>
        <w:bottom w:val="none" w:sz="0" w:space="0" w:color="auto"/>
        <w:right w:val="none" w:sz="0" w:space="0" w:color="auto"/>
      </w:divBdr>
      <w:divsChild>
        <w:div w:id="895316454">
          <w:marLeft w:val="0"/>
          <w:marRight w:val="0"/>
          <w:marTop w:val="0"/>
          <w:marBottom w:val="0"/>
          <w:divBdr>
            <w:top w:val="none" w:sz="0" w:space="0" w:color="auto"/>
            <w:left w:val="none" w:sz="0" w:space="0" w:color="auto"/>
            <w:bottom w:val="none" w:sz="0" w:space="0" w:color="auto"/>
            <w:right w:val="none" w:sz="0" w:space="0" w:color="auto"/>
          </w:divBdr>
          <w:divsChild>
            <w:div w:id="1837837360">
              <w:marLeft w:val="0"/>
              <w:marRight w:val="0"/>
              <w:marTop w:val="0"/>
              <w:marBottom w:val="0"/>
              <w:divBdr>
                <w:top w:val="none" w:sz="0" w:space="0" w:color="auto"/>
                <w:left w:val="none" w:sz="0" w:space="0" w:color="auto"/>
                <w:bottom w:val="none" w:sz="0" w:space="0" w:color="auto"/>
                <w:right w:val="none" w:sz="0" w:space="0" w:color="auto"/>
              </w:divBdr>
              <w:divsChild>
                <w:div w:id="20703330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51328320">
      <w:bodyDiv w:val="1"/>
      <w:marLeft w:val="0"/>
      <w:marRight w:val="0"/>
      <w:marTop w:val="0"/>
      <w:marBottom w:val="0"/>
      <w:divBdr>
        <w:top w:val="none" w:sz="0" w:space="0" w:color="auto"/>
        <w:left w:val="none" w:sz="0" w:space="0" w:color="auto"/>
        <w:bottom w:val="none" w:sz="0" w:space="0" w:color="auto"/>
        <w:right w:val="none" w:sz="0" w:space="0" w:color="auto"/>
      </w:divBdr>
      <w:divsChild>
        <w:div w:id="1139493975">
          <w:marLeft w:val="0"/>
          <w:marRight w:val="0"/>
          <w:marTop w:val="0"/>
          <w:marBottom w:val="0"/>
          <w:divBdr>
            <w:top w:val="none" w:sz="0" w:space="0" w:color="auto"/>
            <w:left w:val="none" w:sz="0" w:space="0" w:color="auto"/>
            <w:bottom w:val="none" w:sz="0" w:space="0" w:color="auto"/>
            <w:right w:val="none" w:sz="0" w:space="0" w:color="auto"/>
          </w:divBdr>
          <w:divsChild>
            <w:div w:id="1553421033">
              <w:marLeft w:val="0"/>
              <w:marRight w:val="0"/>
              <w:marTop w:val="0"/>
              <w:marBottom w:val="0"/>
              <w:divBdr>
                <w:top w:val="none" w:sz="0" w:space="0" w:color="auto"/>
                <w:left w:val="none" w:sz="0" w:space="0" w:color="auto"/>
                <w:bottom w:val="none" w:sz="0" w:space="0" w:color="auto"/>
                <w:right w:val="none" w:sz="0" w:space="0" w:color="auto"/>
              </w:divBdr>
              <w:divsChild>
                <w:div w:id="178869485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49912844">
      <w:bodyDiv w:val="1"/>
      <w:marLeft w:val="0"/>
      <w:marRight w:val="0"/>
      <w:marTop w:val="0"/>
      <w:marBottom w:val="0"/>
      <w:divBdr>
        <w:top w:val="none" w:sz="0" w:space="0" w:color="auto"/>
        <w:left w:val="none" w:sz="0" w:space="0" w:color="auto"/>
        <w:bottom w:val="none" w:sz="0" w:space="0" w:color="auto"/>
        <w:right w:val="none" w:sz="0" w:space="0" w:color="auto"/>
      </w:divBdr>
      <w:divsChild>
        <w:div w:id="677587038">
          <w:marLeft w:val="0"/>
          <w:marRight w:val="0"/>
          <w:marTop w:val="0"/>
          <w:marBottom w:val="0"/>
          <w:divBdr>
            <w:top w:val="none" w:sz="0" w:space="0" w:color="auto"/>
            <w:left w:val="none" w:sz="0" w:space="0" w:color="auto"/>
            <w:bottom w:val="none" w:sz="0" w:space="0" w:color="auto"/>
            <w:right w:val="none" w:sz="0" w:space="0" w:color="auto"/>
          </w:divBdr>
          <w:divsChild>
            <w:div w:id="2063822083">
              <w:marLeft w:val="0"/>
              <w:marRight w:val="0"/>
              <w:marTop w:val="0"/>
              <w:marBottom w:val="0"/>
              <w:divBdr>
                <w:top w:val="none" w:sz="0" w:space="0" w:color="auto"/>
                <w:left w:val="none" w:sz="0" w:space="0" w:color="auto"/>
                <w:bottom w:val="none" w:sz="0" w:space="0" w:color="auto"/>
                <w:right w:val="none" w:sz="0" w:space="0" w:color="auto"/>
              </w:divBdr>
              <w:divsChild>
                <w:div w:id="212202155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61254047">
      <w:bodyDiv w:val="1"/>
      <w:marLeft w:val="0"/>
      <w:marRight w:val="0"/>
      <w:marTop w:val="0"/>
      <w:marBottom w:val="0"/>
      <w:divBdr>
        <w:top w:val="none" w:sz="0" w:space="0" w:color="auto"/>
        <w:left w:val="none" w:sz="0" w:space="0" w:color="auto"/>
        <w:bottom w:val="none" w:sz="0" w:space="0" w:color="auto"/>
        <w:right w:val="none" w:sz="0" w:space="0" w:color="auto"/>
      </w:divBdr>
      <w:divsChild>
        <w:div w:id="2053072027">
          <w:marLeft w:val="0"/>
          <w:marRight w:val="0"/>
          <w:marTop w:val="0"/>
          <w:marBottom w:val="0"/>
          <w:divBdr>
            <w:top w:val="none" w:sz="0" w:space="0" w:color="auto"/>
            <w:left w:val="none" w:sz="0" w:space="0" w:color="auto"/>
            <w:bottom w:val="none" w:sz="0" w:space="0" w:color="auto"/>
            <w:right w:val="none" w:sz="0" w:space="0" w:color="auto"/>
          </w:divBdr>
          <w:divsChild>
            <w:div w:id="456993643">
              <w:marLeft w:val="0"/>
              <w:marRight w:val="0"/>
              <w:marTop w:val="0"/>
              <w:marBottom w:val="240"/>
              <w:divBdr>
                <w:top w:val="none" w:sz="0" w:space="0" w:color="auto"/>
                <w:left w:val="none" w:sz="0" w:space="0" w:color="auto"/>
                <w:bottom w:val="none" w:sz="0" w:space="0" w:color="auto"/>
                <w:right w:val="none" w:sz="0" w:space="0" w:color="auto"/>
              </w:divBdr>
              <w:divsChild>
                <w:div w:id="1902717165">
                  <w:marLeft w:val="360"/>
                  <w:marRight w:val="96"/>
                  <w:marTop w:val="0"/>
                  <w:marBottom w:val="0"/>
                  <w:divBdr>
                    <w:top w:val="none" w:sz="0" w:space="0" w:color="auto"/>
                    <w:left w:val="none" w:sz="0" w:space="0" w:color="auto"/>
                    <w:bottom w:val="none" w:sz="0" w:space="0" w:color="auto"/>
                    <w:right w:val="none" w:sz="0" w:space="0" w:color="auto"/>
                  </w:divBdr>
                </w:div>
              </w:divsChild>
            </w:div>
            <w:div w:id="817723787">
              <w:marLeft w:val="0"/>
              <w:marRight w:val="0"/>
              <w:marTop w:val="0"/>
              <w:marBottom w:val="0"/>
              <w:divBdr>
                <w:top w:val="none" w:sz="0" w:space="0" w:color="auto"/>
                <w:left w:val="none" w:sz="0" w:space="0" w:color="auto"/>
                <w:bottom w:val="none" w:sz="0" w:space="0" w:color="auto"/>
                <w:right w:val="none" w:sz="0" w:space="0" w:color="auto"/>
              </w:divBdr>
              <w:divsChild>
                <w:div w:id="1297488362">
                  <w:marLeft w:val="360"/>
                  <w:marRight w:val="96"/>
                  <w:marTop w:val="0"/>
                  <w:marBottom w:val="0"/>
                  <w:divBdr>
                    <w:top w:val="none" w:sz="0" w:space="0" w:color="auto"/>
                    <w:left w:val="none" w:sz="0" w:space="0" w:color="auto"/>
                    <w:bottom w:val="none" w:sz="0" w:space="0" w:color="auto"/>
                    <w:right w:val="none" w:sz="0" w:space="0" w:color="auto"/>
                  </w:divBdr>
                </w:div>
              </w:divsChild>
            </w:div>
            <w:div w:id="969673000">
              <w:marLeft w:val="0"/>
              <w:marRight w:val="0"/>
              <w:marTop w:val="0"/>
              <w:marBottom w:val="240"/>
              <w:divBdr>
                <w:top w:val="none" w:sz="0" w:space="0" w:color="auto"/>
                <w:left w:val="none" w:sz="0" w:space="0" w:color="auto"/>
                <w:bottom w:val="none" w:sz="0" w:space="0" w:color="auto"/>
                <w:right w:val="none" w:sz="0" w:space="0" w:color="auto"/>
              </w:divBdr>
              <w:divsChild>
                <w:div w:id="2047949102">
                  <w:marLeft w:val="360"/>
                  <w:marRight w:val="96"/>
                  <w:marTop w:val="0"/>
                  <w:marBottom w:val="0"/>
                  <w:divBdr>
                    <w:top w:val="none" w:sz="0" w:space="0" w:color="auto"/>
                    <w:left w:val="none" w:sz="0" w:space="0" w:color="auto"/>
                    <w:bottom w:val="none" w:sz="0" w:space="0" w:color="auto"/>
                    <w:right w:val="none" w:sz="0" w:space="0" w:color="auto"/>
                  </w:divBdr>
                </w:div>
              </w:divsChild>
            </w:div>
            <w:div w:id="2124227446">
              <w:marLeft w:val="0"/>
              <w:marRight w:val="0"/>
              <w:marTop w:val="0"/>
              <w:marBottom w:val="240"/>
              <w:divBdr>
                <w:top w:val="none" w:sz="0" w:space="0" w:color="auto"/>
                <w:left w:val="none" w:sz="0" w:space="0" w:color="auto"/>
                <w:bottom w:val="none" w:sz="0" w:space="0" w:color="auto"/>
                <w:right w:val="none" w:sz="0" w:space="0" w:color="auto"/>
              </w:divBdr>
              <w:divsChild>
                <w:div w:id="1025903213">
                  <w:marLeft w:val="360"/>
                  <w:marRight w:val="96"/>
                  <w:marTop w:val="0"/>
                  <w:marBottom w:val="0"/>
                  <w:divBdr>
                    <w:top w:val="none" w:sz="0" w:space="0" w:color="auto"/>
                    <w:left w:val="none" w:sz="0" w:space="0" w:color="auto"/>
                    <w:bottom w:val="none" w:sz="0" w:space="0" w:color="auto"/>
                    <w:right w:val="none" w:sz="0" w:space="0" w:color="auto"/>
                  </w:divBdr>
                </w:div>
              </w:divsChild>
            </w:div>
            <w:div w:id="1353796882">
              <w:marLeft w:val="0"/>
              <w:marRight w:val="0"/>
              <w:marTop w:val="0"/>
              <w:marBottom w:val="240"/>
              <w:divBdr>
                <w:top w:val="none" w:sz="0" w:space="0" w:color="auto"/>
                <w:left w:val="none" w:sz="0" w:space="0" w:color="auto"/>
                <w:bottom w:val="none" w:sz="0" w:space="0" w:color="auto"/>
                <w:right w:val="none" w:sz="0" w:space="0" w:color="auto"/>
              </w:divBdr>
              <w:divsChild>
                <w:div w:id="1031689327">
                  <w:marLeft w:val="360"/>
                  <w:marRight w:val="96"/>
                  <w:marTop w:val="0"/>
                  <w:marBottom w:val="0"/>
                  <w:divBdr>
                    <w:top w:val="none" w:sz="0" w:space="0" w:color="auto"/>
                    <w:left w:val="none" w:sz="0" w:space="0" w:color="auto"/>
                    <w:bottom w:val="none" w:sz="0" w:space="0" w:color="auto"/>
                    <w:right w:val="none" w:sz="0" w:space="0" w:color="auto"/>
                  </w:divBdr>
                </w:div>
              </w:divsChild>
            </w:div>
            <w:div w:id="1952391272">
              <w:marLeft w:val="0"/>
              <w:marRight w:val="0"/>
              <w:marTop w:val="0"/>
              <w:marBottom w:val="240"/>
              <w:divBdr>
                <w:top w:val="none" w:sz="0" w:space="0" w:color="auto"/>
                <w:left w:val="none" w:sz="0" w:space="0" w:color="auto"/>
                <w:bottom w:val="none" w:sz="0" w:space="0" w:color="auto"/>
                <w:right w:val="none" w:sz="0" w:space="0" w:color="auto"/>
              </w:divBdr>
              <w:divsChild>
                <w:div w:id="133753260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23041680">
      <w:bodyDiv w:val="1"/>
      <w:marLeft w:val="0"/>
      <w:marRight w:val="0"/>
      <w:marTop w:val="0"/>
      <w:marBottom w:val="0"/>
      <w:divBdr>
        <w:top w:val="none" w:sz="0" w:space="0" w:color="auto"/>
        <w:left w:val="none" w:sz="0" w:space="0" w:color="auto"/>
        <w:bottom w:val="none" w:sz="0" w:space="0" w:color="auto"/>
        <w:right w:val="none" w:sz="0" w:space="0" w:color="auto"/>
      </w:divBdr>
      <w:divsChild>
        <w:div w:id="423378937">
          <w:marLeft w:val="0"/>
          <w:marRight w:val="0"/>
          <w:marTop w:val="0"/>
          <w:marBottom w:val="0"/>
          <w:divBdr>
            <w:top w:val="none" w:sz="0" w:space="0" w:color="auto"/>
            <w:left w:val="none" w:sz="0" w:space="0" w:color="auto"/>
            <w:bottom w:val="none" w:sz="0" w:space="0" w:color="auto"/>
            <w:right w:val="none" w:sz="0" w:space="0" w:color="auto"/>
          </w:divBdr>
          <w:divsChild>
            <w:div w:id="783160609">
              <w:marLeft w:val="0"/>
              <w:marRight w:val="0"/>
              <w:marTop w:val="0"/>
              <w:marBottom w:val="0"/>
              <w:divBdr>
                <w:top w:val="none" w:sz="0" w:space="0" w:color="auto"/>
                <w:left w:val="none" w:sz="0" w:space="0" w:color="auto"/>
                <w:bottom w:val="none" w:sz="0" w:space="0" w:color="auto"/>
                <w:right w:val="none" w:sz="0" w:space="0" w:color="auto"/>
              </w:divBdr>
              <w:divsChild>
                <w:div w:id="192101506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69753742">
      <w:bodyDiv w:val="1"/>
      <w:marLeft w:val="0"/>
      <w:marRight w:val="0"/>
      <w:marTop w:val="0"/>
      <w:marBottom w:val="0"/>
      <w:divBdr>
        <w:top w:val="none" w:sz="0" w:space="0" w:color="auto"/>
        <w:left w:val="none" w:sz="0" w:space="0" w:color="auto"/>
        <w:bottom w:val="none" w:sz="0" w:space="0" w:color="auto"/>
        <w:right w:val="none" w:sz="0" w:space="0" w:color="auto"/>
      </w:divBdr>
      <w:divsChild>
        <w:div w:id="407769441">
          <w:marLeft w:val="0"/>
          <w:marRight w:val="0"/>
          <w:marTop w:val="0"/>
          <w:marBottom w:val="0"/>
          <w:divBdr>
            <w:top w:val="none" w:sz="0" w:space="0" w:color="auto"/>
            <w:left w:val="none" w:sz="0" w:space="0" w:color="auto"/>
            <w:bottom w:val="none" w:sz="0" w:space="0" w:color="auto"/>
            <w:right w:val="none" w:sz="0" w:space="0" w:color="auto"/>
          </w:divBdr>
          <w:divsChild>
            <w:div w:id="4989661">
              <w:marLeft w:val="0"/>
              <w:marRight w:val="0"/>
              <w:marTop w:val="0"/>
              <w:marBottom w:val="0"/>
              <w:divBdr>
                <w:top w:val="none" w:sz="0" w:space="0" w:color="auto"/>
                <w:left w:val="none" w:sz="0" w:space="0" w:color="auto"/>
                <w:bottom w:val="none" w:sz="0" w:space="0" w:color="auto"/>
                <w:right w:val="none" w:sz="0" w:space="0" w:color="auto"/>
              </w:divBdr>
              <w:divsChild>
                <w:div w:id="869533479">
                  <w:marLeft w:val="360"/>
                  <w:marRight w:val="96"/>
                  <w:marTop w:val="0"/>
                  <w:marBottom w:val="0"/>
                  <w:divBdr>
                    <w:top w:val="none" w:sz="0" w:space="0" w:color="auto"/>
                    <w:left w:val="none" w:sz="0" w:space="0" w:color="auto"/>
                    <w:bottom w:val="none" w:sz="0" w:space="0" w:color="auto"/>
                    <w:right w:val="none" w:sz="0" w:space="0" w:color="auto"/>
                  </w:divBdr>
                </w:div>
              </w:divsChild>
            </w:div>
            <w:div w:id="637078104">
              <w:marLeft w:val="0"/>
              <w:marRight w:val="0"/>
              <w:marTop w:val="0"/>
              <w:marBottom w:val="240"/>
              <w:divBdr>
                <w:top w:val="none" w:sz="0" w:space="0" w:color="auto"/>
                <w:left w:val="none" w:sz="0" w:space="0" w:color="auto"/>
                <w:bottom w:val="none" w:sz="0" w:space="0" w:color="auto"/>
                <w:right w:val="none" w:sz="0" w:space="0" w:color="auto"/>
              </w:divBdr>
              <w:divsChild>
                <w:div w:id="1327200435">
                  <w:marLeft w:val="360"/>
                  <w:marRight w:val="96"/>
                  <w:marTop w:val="0"/>
                  <w:marBottom w:val="0"/>
                  <w:divBdr>
                    <w:top w:val="none" w:sz="0" w:space="0" w:color="auto"/>
                    <w:left w:val="none" w:sz="0" w:space="0" w:color="auto"/>
                    <w:bottom w:val="none" w:sz="0" w:space="0" w:color="auto"/>
                    <w:right w:val="none" w:sz="0" w:space="0" w:color="auto"/>
                  </w:divBdr>
                </w:div>
              </w:divsChild>
            </w:div>
            <w:div w:id="1515609883">
              <w:marLeft w:val="0"/>
              <w:marRight w:val="0"/>
              <w:marTop w:val="0"/>
              <w:marBottom w:val="240"/>
              <w:divBdr>
                <w:top w:val="none" w:sz="0" w:space="0" w:color="auto"/>
                <w:left w:val="none" w:sz="0" w:space="0" w:color="auto"/>
                <w:bottom w:val="none" w:sz="0" w:space="0" w:color="auto"/>
                <w:right w:val="none" w:sz="0" w:space="0" w:color="auto"/>
              </w:divBdr>
              <w:divsChild>
                <w:div w:id="129744387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99901746">
      <w:bodyDiv w:val="1"/>
      <w:marLeft w:val="0"/>
      <w:marRight w:val="0"/>
      <w:marTop w:val="0"/>
      <w:marBottom w:val="0"/>
      <w:divBdr>
        <w:top w:val="none" w:sz="0" w:space="0" w:color="auto"/>
        <w:left w:val="none" w:sz="0" w:space="0" w:color="auto"/>
        <w:bottom w:val="none" w:sz="0" w:space="0" w:color="auto"/>
        <w:right w:val="none" w:sz="0" w:space="0" w:color="auto"/>
      </w:divBdr>
      <w:divsChild>
        <w:div w:id="355347377">
          <w:marLeft w:val="0"/>
          <w:marRight w:val="0"/>
          <w:marTop w:val="0"/>
          <w:marBottom w:val="0"/>
          <w:divBdr>
            <w:top w:val="none" w:sz="0" w:space="0" w:color="auto"/>
            <w:left w:val="none" w:sz="0" w:space="0" w:color="auto"/>
            <w:bottom w:val="none" w:sz="0" w:space="0" w:color="auto"/>
            <w:right w:val="none" w:sz="0" w:space="0" w:color="auto"/>
          </w:divBdr>
          <w:divsChild>
            <w:div w:id="1129204702">
              <w:marLeft w:val="0"/>
              <w:marRight w:val="0"/>
              <w:marTop w:val="0"/>
              <w:marBottom w:val="240"/>
              <w:divBdr>
                <w:top w:val="none" w:sz="0" w:space="0" w:color="auto"/>
                <w:left w:val="none" w:sz="0" w:space="0" w:color="auto"/>
                <w:bottom w:val="none" w:sz="0" w:space="0" w:color="auto"/>
                <w:right w:val="none" w:sz="0" w:space="0" w:color="auto"/>
              </w:divBdr>
              <w:divsChild>
                <w:div w:id="202210074">
                  <w:marLeft w:val="360"/>
                  <w:marRight w:val="96"/>
                  <w:marTop w:val="0"/>
                  <w:marBottom w:val="0"/>
                  <w:divBdr>
                    <w:top w:val="none" w:sz="0" w:space="0" w:color="auto"/>
                    <w:left w:val="none" w:sz="0" w:space="0" w:color="auto"/>
                    <w:bottom w:val="none" w:sz="0" w:space="0" w:color="auto"/>
                    <w:right w:val="none" w:sz="0" w:space="0" w:color="auto"/>
                  </w:divBdr>
                </w:div>
              </w:divsChild>
            </w:div>
            <w:div w:id="417361440">
              <w:marLeft w:val="0"/>
              <w:marRight w:val="0"/>
              <w:marTop w:val="0"/>
              <w:marBottom w:val="240"/>
              <w:divBdr>
                <w:top w:val="none" w:sz="0" w:space="0" w:color="auto"/>
                <w:left w:val="none" w:sz="0" w:space="0" w:color="auto"/>
                <w:bottom w:val="none" w:sz="0" w:space="0" w:color="auto"/>
                <w:right w:val="none" w:sz="0" w:space="0" w:color="auto"/>
              </w:divBdr>
              <w:divsChild>
                <w:div w:id="241725005">
                  <w:marLeft w:val="360"/>
                  <w:marRight w:val="96"/>
                  <w:marTop w:val="0"/>
                  <w:marBottom w:val="0"/>
                  <w:divBdr>
                    <w:top w:val="none" w:sz="0" w:space="0" w:color="auto"/>
                    <w:left w:val="none" w:sz="0" w:space="0" w:color="auto"/>
                    <w:bottom w:val="none" w:sz="0" w:space="0" w:color="auto"/>
                    <w:right w:val="none" w:sz="0" w:space="0" w:color="auto"/>
                  </w:divBdr>
                </w:div>
              </w:divsChild>
            </w:div>
            <w:div w:id="328141701">
              <w:marLeft w:val="0"/>
              <w:marRight w:val="0"/>
              <w:marTop w:val="0"/>
              <w:marBottom w:val="240"/>
              <w:divBdr>
                <w:top w:val="none" w:sz="0" w:space="0" w:color="auto"/>
                <w:left w:val="none" w:sz="0" w:space="0" w:color="auto"/>
                <w:bottom w:val="none" w:sz="0" w:space="0" w:color="auto"/>
                <w:right w:val="none" w:sz="0" w:space="0" w:color="auto"/>
              </w:divBdr>
              <w:divsChild>
                <w:div w:id="659650582">
                  <w:marLeft w:val="360"/>
                  <w:marRight w:val="96"/>
                  <w:marTop w:val="0"/>
                  <w:marBottom w:val="0"/>
                  <w:divBdr>
                    <w:top w:val="none" w:sz="0" w:space="0" w:color="auto"/>
                    <w:left w:val="none" w:sz="0" w:space="0" w:color="auto"/>
                    <w:bottom w:val="none" w:sz="0" w:space="0" w:color="auto"/>
                    <w:right w:val="none" w:sz="0" w:space="0" w:color="auto"/>
                  </w:divBdr>
                </w:div>
              </w:divsChild>
            </w:div>
            <w:div w:id="774328202">
              <w:marLeft w:val="0"/>
              <w:marRight w:val="0"/>
              <w:marTop w:val="0"/>
              <w:marBottom w:val="240"/>
              <w:divBdr>
                <w:top w:val="none" w:sz="0" w:space="0" w:color="auto"/>
                <w:left w:val="none" w:sz="0" w:space="0" w:color="auto"/>
                <w:bottom w:val="none" w:sz="0" w:space="0" w:color="auto"/>
                <w:right w:val="none" w:sz="0" w:space="0" w:color="auto"/>
              </w:divBdr>
              <w:divsChild>
                <w:div w:id="962930932">
                  <w:marLeft w:val="360"/>
                  <w:marRight w:val="96"/>
                  <w:marTop w:val="0"/>
                  <w:marBottom w:val="0"/>
                  <w:divBdr>
                    <w:top w:val="none" w:sz="0" w:space="0" w:color="auto"/>
                    <w:left w:val="none" w:sz="0" w:space="0" w:color="auto"/>
                    <w:bottom w:val="none" w:sz="0" w:space="0" w:color="auto"/>
                    <w:right w:val="none" w:sz="0" w:space="0" w:color="auto"/>
                  </w:divBdr>
                </w:div>
              </w:divsChild>
            </w:div>
            <w:div w:id="894895018">
              <w:marLeft w:val="0"/>
              <w:marRight w:val="0"/>
              <w:marTop w:val="0"/>
              <w:marBottom w:val="0"/>
              <w:divBdr>
                <w:top w:val="none" w:sz="0" w:space="0" w:color="auto"/>
                <w:left w:val="none" w:sz="0" w:space="0" w:color="auto"/>
                <w:bottom w:val="none" w:sz="0" w:space="0" w:color="auto"/>
                <w:right w:val="none" w:sz="0" w:space="0" w:color="auto"/>
              </w:divBdr>
              <w:divsChild>
                <w:div w:id="1851750783">
                  <w:marLeft w:val="360"/>
                  <w:marRight w:val="96"/>
                  <w:marTop w:val="0"/>
                  <w:marBottom w:val="0"/>
                  <w:divBdr>
                    <w:top w:val="none" w:sz="0" w:space="0" w:color="auto"/>
                    <w:left w:val="none" w:sz="0" w:space="0" w:color="auto"/>
                    <w:bottom w:val="none" w:sz="0" w:space="0" w:color="auto"/>
                    <w:right w:val="none" w:sz="0" w:space="0" w:color="auto"/>
                  </w:divBdr>
                </w:div>
              </w:divsChild>
            </w:div>
            <w:div w:id="2026705117">
              <w:marLeft w:val="0"/>
              <w:marRight w:val="0"/>
              <w:marTop w:val="0"/>
              <w:marBottom w:val="240"/>
              <w:divBdr>
                <w:top w:val="none" w:sz="0" w:space="0" w:color="auto"/>
                <w:left w:val="none" w:sz="0" w:space="0" w:color="auto"/>
                <w:bottom w:val="none" w:sz="0" w:space="0" w:color="auto"/>
                <w:right w:val="none" w:sz="0" w:space="0" w:color="auto"/>
              </w:divBdr>
              <w:divsChild>
                <w:div w:id="161883139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65591529">
      <w:bodyDiv w:val="1"/>
      <w:marLeft w:val="0"/>
      <w:marRight w:val="0"/>
      <w:marTop w:val="0"/>
      <w:marBottom w:val="0"/>
      <w:divBdr>
        <w:top w:val="none" w:sz="0" w:space="0" w:color="auto"/>
        <w:left w:val="none" w:sz="0" w:space="0" w:color="auto"/>
        <w:bottom w:val="none" w:sz="0" w:space="0" w:color="auto"/>
        <w:right w:val="none" w:sz="0" w:space="0" w:color="auto"/>
      </w:divBdr>
      <w:divsChild>
        <w:div w:id="1716657389">
          <w:marLeft w:val="0"/>
          <w:marRight w:val="0"/>
          <w:marTop w:val="0"/>
          <w:marBottom w:val="0"/>
          <w:divBdr>
            <w:top w:val="none" w:sz="0" w:space="0" w:color="auto"/>
            <w:left w:val="none" w:sz="0" w:space="0" w:color="auto"/>
            <w:bottom w:val="none" w:sz="0" w:space="0" w:color="auto"/>
            <w:right w:val="none" w:sz="0" w:space="0" w:color="auto"/>
          </w:divBdr>
          <w:divsChild>
            <w:div w:id="842011098">
              <w:marLeft w:val="0"/>
              <w:marRight w:val="0"/>
              <w:marTop w:val="0"/>
              <w:marBottom w:val="0"/>
              <w:divBdr>
                <w:top w:val="none" w:sz="0" w:space="0" w:color="auto"/>
                <w:left w:val="none" w:sz="0" w:space="0" w:color="auto"/>
                <w:bottom w:val="none" w:sz="0" w:space="0" w:color="auto"/>
                <w:right w:val="none" w:sz="0" w:space="0" w:color="auto"/>
              </w:divBdr>
              <w:divsChild>
                <w:div w:id="41170786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74036883">
      <w:bodyDiv w:val="1"/>
      <w:marLeft w:val="0"/>
      <w:marRight w:val="0"/>
      <w:marTop w:val="0"/>
      <w:marBottom w:val="0"/>
      <w:divBdr>
        <w:top w:val="none" w:sz="0" w:space="0" w:color="auto"/>
        <w:left w:val="none" w:sz="0" w:space="0" w:color="auto"/>
        <w:bottom w:val="none" w:sz="0" w:space="0" w:color="auto"/>
        <w:right w:val="none" w:sz="0" w:space="0" w:color="auto"/>
      </w:divBdr>
      <w:divsChild>
        <w:div w:id="99105274">
          <w:marLeft w:val="0"/>
          <w:marRight w:val="0"/>
          <w:marTop w:val="0"/>
          <w:marBottom w:val="0"/>
          <w:divBdr>
            <w:top w:val="none" w:sz="0" w:space="0" w:color="auto"/>
            <w:left w:val="none" w:sz="0" w:space="0" w:color="auto"/>
            <w:bottom w:val="none" w:sz="0" w:space="0" w:color="auto"/>
            <w:right w:val="none" w:sz="0" w:space="0" w:color="auto"/>
          </w:divBdr>
          <w:divsChild>
            <w:div w:id="1758986247">
              <w:marLeft w:val="0"/>
              <w:marRight w:val="0"/>
              <w:marTop w:val="0"/>
              <w:marBottom w:val="0"/>
              <w:divBdr>
                <w:top w:val="none" w:sz="0" w:space="0" w:color="auto"/>
                <w:left w:val="none" w:sz="0" w:space="0" w:color="auto"/>
                <w:bottom w:val="none" w:sz="0" w:space="0" w:color="auto"/>
                <w:right w:val="none" w:sz="0" w:space="0" w:color="auto"/>
              </w:divBdr>
              <w:divsChild>
                <w:div w:id="49206199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28326151">
      <w:bodyDiv w:val="1"/>
      <w:marLeft w:val="0"/>
      <w:marRight w:val="0"/>
      <w:marTop w:val="0"/>
      <w:marBottom w:val="0"/>
      <w:divBdr>
        <w:top w:val="none" w:sz="0" w:space="0" w:color="auto"/>
        <w:left w:val="none" w:sz="0" w:space="0" w:color="auto"/>
        <w:bottom w:val="none" w:sz="0" w:space="0" w:color="auto"/>
        <w:right w:val="none" w:sz="0" w:space="0" w:color="auto"/>
      </w:divBdr>
      <w:divsChild>
        <w:div w:id="1951475186">
          <w:marLeft w:val="0"/>
          <w:marRight w:val="0"/>
          <w:marTop w:val="0"/>
          <w:marBottom w:val="0"/>
          <w:divBdr>
            <w:top w:val="none" w:sz="0" w:space="0" w:color="auto"/>
            <w:left w:val="none" w:sz="0" w:space="0" w:color="auto"/>
            <w:bottom w:val="none" w:sz="0" w:space="0" w:color="auto"/>
            <w:right w:val="none" w:sz="0" w:space="0" w:color="auto"/>
          </w:divBdr>
          <w:divsChild>
            <w:div w:id="542788633">
              <w:marLeft w:val="0"/>
              <w:marRight w:val="0"/>
              <w:marTop w:val="0"/>
              <w:marBottom w:val="0"/>
              <w:divBdr>
                <w:top w:val="none" w:sz="0" w:space="0" w:color="auto"/>
                <w:left w:val="none" w:sz="0" w:space="0" w:color="auto"/>
                <w:bottom w:val="none" w:sz="0" w:space="0" w:color="auto"/>
                <w:right w:val="none" w:sz="0" w:space="0" w:color="auto"/>
              </w:divBdr>
              <w:divsChild>
                <w:div w:id="150208818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47203947">
      <w:bodyDiv w:val="1"/>
      <w:marLeft w:val="0"/>
      <w:marRight w:val="0"/>
      <w:marTop w:val="0"/>
      <w:marBottom w:val="0"/>
      <w:divBdr>
        <w:top w:val="none" w:sz="0" w:space="0" w:color="auto"/>
        <w:left w:val="none" w:sz="0" w:space="0" w:color="auto"/>
        <w:bottom w:val="none" w:sz="0" w:space="0" w:color="auto"/>
        <w:right w:val="none" w:sz="0" w:space="0" w:color="auto"/>
      </w:divBdr>
    </w:div>
    <w:div w:id="1664160497">
      <w:bodyDiv w:val="1"/>
      <w:marLeft w:val="0"/>
      <w:marRight w:val="0"/>
      <w:marTop w:val="0"/>
      <w:marBottom w:val="0"/>
      <w:divBdr>
        <w:top w:val="none" w:sz="0" w:space="0" w:color="auto"/>
        <w:left w:val="none" w:sz="0" w:space="0" w:color="auto"/>
        <w:bottom w:val="none" w:sz="0" w:space="0" w:color="auto"/>
        <w:right w:val="none" w:sz="0" w:space="0" w:color="auto"/>
      </w:divBdr>
      <w:divsChild>
        <w:div w:id="1892691206">
          <w:marLeft w:val="0"/>
          <w:marRight w:val="0"/>
          <w:marTop w:val="0"/>
          <w:marBottom w:val="0"/>
          <w:divBdr>
            <w:top w:val="none" w:sz="0" w:space="0" w:color="auto"/>
            <w:left w:val="none" w:sz="0" w:space="0" w:color="auto"/>
            <w:bottom w:val="none" w:sz="0" w:space="0" w:color="auto"/>
            <w:right w:val="none" w:sz="0" w:space="0" w:color="auto"/>
          </w:divBdr>
          <w:divsChild>
            <w:div w:id="462431998">
              <w:marLeft w:val="0"/>
              <w:marRight w:val="0"/>
              <w:marTop w:val="0"/>
              <w:marBottom w:val="0"/>
              <w:divBdr>
                <w:top w:val="none" w:sz="0" w:space="0" w:color="auto"/>
                <w:left w:val="none" w:sz="0" w:space="0" w:color="auto"/>
                <w:bottom w:val="none" w:sz="0" w:space="0" w:color="auto"/>
                <w:right w:val="none" w:sz="0" w:space="0" w:color="auto"/>
              </w:divBdr>
              <w:divsChild>
                <w:div w:id="92951038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72440655">
      <w:bodyDiv w:val="1"/>
      <w:marLeft w:val="0"/>
      <w:marRight w:val="0"/>
      <w:marTop w:val="0"/>
      <w:marBottom w:val="0"/>
      <w:divBdr>
        <w:top w:val="none" w:sz="0" w:space="0" w:color="auto"/>
        <w:left w:val="none" w:sz="0" w:space="0" w:color="auto"/>
        <w:bottom w:val="none" w:sz="0" w:space="0" w:color="auto"/>
        <w:right w:val="none" w:sz="0" w:space="0" w:color="auto"/>
      </w:divBdr>
      <w:divsChild>
        <w:div w:id="310791613">
          <w:marLeft w:val="0"/>
          <w:marRight w:val="0"/>
          <w:marTop w:val="0"/>
          <w:marBottom w:val="0"/>
          <w:divBdr>
            <w:top w:val="none" w:sz="0" w:space="0" w:color="auto"/>
            <w:left w:val="none" w:sz="0" w:space="0" w:color="auto"/>
            <w:bottom w:val="none" w:sz="0" w:space="0" w:color="auto"/>
            <w:right w:val="none" w:sz="0" w:space="0" w:color="auto"/>
          </w:divBdr>
          <w:divsChild>
            <w:div w:id="1712917842">
              <w:marLeft w:val="0"/>
              <w:marRight w:val="0"/>
              <w:marTop w:val="0"/>
              <w:marBottom w:val="0"/>
              <w:divBdr>
                <w:top w:val="none" w:sz="0" w:space="0" w:color="auto"/>
                <w:left w:val="none" w:sz="0" w:space="0" w:color="auto"/>
                <w:bottom w:val="none" w:sz="0" w:space="0" w:color="auto"/>
                <w:right w:val="none" w:sz="0" w:space="0" w:color="auto"/>
              </w:divBdr>
              <w:divsChild>
                <w:div w:id="84864406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16925403">
      <w:bodyDiv w:val="1"/>
      <w:marLeft w:val="0"/>
      <w:marRight w:val="0"/>
      <w:marTop w:val="0"/>
      <w:marBottom w:val="0"/>
      <w:divBdr>
        <w:top w:val="none" w:sz="0" w:space="0" w:color="auto"/>
        <w:left w:val="none" w:sz="0" w:space="0" w:color="auto"/>
        <w:bottom w:val="none" w:sz="0" w:space="0" w:color="auto"/>
        <w:right w:val="none" w:sz="0" w:space="0" w:color="auto"/>
      </w:divBdr>
      <w:divsChild>
        <w:div w:id="1140154571">
          <w:marLeft w:val="0"/>
          <w:marRight w:val="0"/>
          <w:marTop w:val="0"/>
          <w:marBottom w:val="0"/>
          <w:divBdr>
            <w:top w:val="none" w:sz="0" w:space="0" w:color="auto"/>
            <w:left w:val="none" w:sz="0" w:space="0" w:color="auto"/>
            <w:bottom w:val="none" w:sz="0" w:space="0" w:color="auto"/>
            <w:right w:val="none" w:sz="0" w:space="0" w:color="auto"/>
          </w:divBdr>
          <w:divsChild>
            <w:div w:id="1321229083">
              <w:marLeft w:val="0"/>
              <w:marRight w:val="0"/>
              <w:marTop w:val="0"/>
              <w:marBottom w:val="0"/>
              <w:divBdr>
                <w:top w:val="none" w:sz="0" w:space="0" w:color="auto"/>
                <w:left w:val="none" w:sz="0" w:space="0" w:color="auto"/>
                <w:bottom w:val="none" w:sz="0" w:space="0" w:color="auto"/>
                <w:right w:val="none" w:sz="0" w:space="0" w:color="auto"/>
              </w:divBdr>
              <w:divsChild>
                <w:div w:id="205345739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21590558">
      <w:bodyDiv w:val="1"/>
      <w:marLeft w:val="0"/>
      <w:marRight w:val="0"/>
      <w:marTop w:val="0"/>
      <w:marBottom w:val="0"/>
      <w:divBdr>
        <w:top w:val="none" w:sz="0" w:space="0" w:color="auto"/>
        <w:left w:val="none" w:sz="0" w:space="0" w:color="auto"/>
        <w:bottom w:val="none" w:sz="0" w:space="0" w:color="auto"/>
        <w:right w:val="none" w:sz="0" w:space="0" w:color="auto"/>
      </w:divBdr>
      <w:divsChild>
        <w:div w:id="1237209707">
          <w:marLeft w:val="0"/>
          <w:marRight w:val="0"/>
          <w:marTop w:val="0"/>
          <w:marBottom w:val="0"/>
          <w:divBdr>
            <w:top w:val="none" w:sz="0" w:space="0" w:color="auto"/>
            <w:left w:val="none" w:sz="0" w:space="0" w:color="auto"/>
            <w:bottom w:val="none" w:sz="0" w:space="0" w:color="auto"/>
            <w:right w:val="none" w:sz="0" w:space="0" w:color="auto"/>
          </w:divBdr>
          <w:divsChild>
            <w:div w:id="939025931">
              <w:marLeft w:val="0"/>
              <w:marRight w:val="0"/>
              <w:marTop w:val="0"/>
              <w:marBottom w:val="0"/>
              <w:divBdr>
                <w:top w:val="none" w:sz="0" w:space="0" w:color="auto"/>
                <w:left w:val="none" w:sz="0" w:space="0" w:color="auto"/>
                <w:bottom w:val="none" w:sz="0" w:space="0" w:color="auto"/>
                <w:right w:val="none" w:sz="0" w:space="0" w:color="auto"/>
              </w:divBdr>
              <w:divsChild>
                <w:div w:id="143420996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43410613">
      <w:bodyDiv w:val="1"/>
      <w:marLeft w:val="0"/>
      <w:marRight w:val="0"/>
      <w:marTop w:val="0"/>
      <w:marBottom w:val="0"/>
      <w:divBdr>
        <w:top w:val="none" w:sz="0" w:space="0" w:color="auto"/>
        <w:left w:val="none" w:sz="0" w:space="0" w:color="auto"/>
        <w:bottom w:val="none" w:sz="0" w:space="0" w:color="auto"/>
        <w:right w:val="none" w:sz="0" w:space="0" w:color="auto"/>
      </w:divBdr>
      <w:divsChild>
        <w:div w:id="176119470">
          <w:marLeft w:val="0"/>
          <w:marRight w:val="0"/>
          <w:marTop w:val="0"/>
          <w:marBottom w:val="0"/>
          <w:divBdr>
            <w:top w:val="none" w:sz="0" w:space="0" w:color="auto"/>
            <w:left w:val="none" w:sz="0" w:space="0" w:color="auto"/>
            <w:bottom w:val="none" w:sz="0" w:space="0" w:color="auto"/>
            <w:right w:val="none" w:sz="0" w:space="0" w:color="auto"/>
          </w:divBdr>
          <w:divsChild>
            <w:div w:id="1619021139">
              <w:marLeft w:val="0"/>
              <w:marRight w:val="0"/>
              <w:marTop w:val="0"/>
              <w:marBottom w:val="0"/>
              <w:divBdr>
                <w:top w:val="none" w:sz="0" w:space="0" w:color="auto"/>
                <w:left w:val="none" w:sz="0" w:space="0" w:color="auto"/>
                <w:bottom w:val="none" w:sz="0" w:space="0" w:color="auto"/>
                <w:right w:val="none" w:sz="0" w:space="0" w:color="auto"/>
              </w:divBdr>
              <w:divsChild>
                <w:div w:id="32417007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58550646">
      <w:bodyDiv w:val="1"/>
      <w:marLeft w:val="0"/>
      <w:marRight w:val="0"/>
      <w:marTop w:val="0"/>
      <w:marBottom w:val="0"/>
      <w:divBdr>
        <w:top w:val="none" w:sz="0" w:space="0" w:color="auto"/>
        <w:left w:val="none" w:sz="0" w:space="0" w:color="auto"/>
        <w:bottom w:val="none" w:sz="0" w:space="0" w:color="auto"/>
        <w:right w:val="none" w:sz="0" w:space="0" w:color="auto"/>
      </w:divBdr>
      <w:divsChild>
        <w:div w:id="527763019">
          <w:marLeft w:val="0"/>
          <w:marRight w:val="0"/>
          <w:marTop w:val="0"/>
          <w:marBottom w:val="0"/>
          <w:divBdr>
            <w:top w:val="none" w:sz="0" w:space="0" w:color="auto"/>
            <w:left w:val="none" w:sz="0" w:space="0" w:color="auto"/>
            <w:bottom w:val="none" w:sz="0" w:space="0" w:color="auto"/>
            <w:right w:val="none" w:sz="0" w:space="0" w:color="auto"/>
          </w:divBdr>
          <w:divsChild>
            <w:div w:id="420564323">
              <w:marLeft w:val="0"/>
              <w:marRight w:val="0"/>
              <w:marTop w:val="0"/>
              <w:marBottom w:val="240"/>
              <w:divBdr>
                <w:top w:val="none" w:sz="0" w:space="0" w:color="auto"/>
                <w:left w:val="none" w:sz="0" w:space="0" w:color="auto"/>
                <w:bottom w:val="none" w:sz="0" w:space="0" w:color="auto"/>
                <w:right w:val="none" w:sz="0" w:space="0" w:color="auto"/>
              </w:divBdr>
              <w:divsChild>
                <w:div w:id="2116050694">
                  <w:marLeft w:val="360"/>
                  <w:marRight w:val="96"/>
                  <w:marTop w:val="0"/>
                  <w:marBottom w:val="0"/>
                  <w:divBdr>
                    <w:top w:val="none" w:sz="0" w:space="0" w:color="auto"/>
                    <w:left w:val="none" w:sz="0" w:space="0" w:color="auto"/>
                    <w:bottom w:val="none" w:sz="0" w:space="0" w:color="auto"/>
                    <w:right w:val="none" w:sz="0" w:space="0" w:color="auto"/>
                  </w:divBdr>
                </w:div>
              </w:divsChild>
            </w:div>
            <w:div w:id="933830382">
              <w:marLeft w:val="0"/>
              <w:marRight w:val="0"/>
              <w:marTop w:val="0"/>
              <w:marBottom w:val="0"/>
              <w:divBdr>
                <w:top w:val="none" w:sz="0" w:space="0" w:color="auto"/>
                <w:left w:val="none" w:sz="0" w:space="0" w:color="auto"/>
                <w:bottom w:val="none" w:sz="0" w:space="0" w:color="auto"/>
                <w:right w:val="none" w:sz="0" w:space="0" w:color="auto"/>
              </w:divBdr>
              <w:divsChild>
                <w:div w:id="479886586">
                  <w:marLeft w:val="360"/>
                  <w:marRight w:val="96"/>
                  <w:marTop w:val="0"/>
                  <w:marBottom w:val="0"/>
                  <w:divBdr>
                    <w:top w:val="none" w:sz="0" w:space="0" w:color="auto"/>
                    <w:left w:val="none" w:sz="0" w:space="0" w:color="auto"/>
                    <w:bottom w:val="none" w:sz="0" w:space="0" w:color="auto"/>
                    <w:right w:val="none" w:sz="0" w:space="0" w:color="auto"/>
                  </w:divBdr>
                </w:div>
              </w:divsChild>
            </w:div>
            <w:div w:id="2070807062">
              <w:marLeft w:val="0"/>
              <w:marRight w:val="0"/>
              <w:marTop w:val="0"/>
              <w:marBottom w:val="240"/>
              <w:divBdr>
                <w:top w:val="none" w:sz="0" w:space="0" w:color="auto"/>
                <w:left w:val="none" w:sz="0" w:space="0" w:color="auto"/>
                <w:bottom w:val="none" w:sz="0" w:space="0" w:color="auto"/>
                <w:right w:val="none" w:sz="0" w:space="0" w:color="auto"/>
              </w:divBdr>
              <w:divsChild>
                <w:div w:id="803081860">
                  <w:marLeft w:val="360"/>
                  <w:marRight w:val="96"/>
                  <w:marTop w:val="0"/>
                  <w:marBottom w:val="0"/>
                  <w:divBdr>
                    <w:top w:val="none" w:sz="0" w:space="0" w:color="auto"/>
                    <w:left w:val="none" w:sz="0" w:space="0" w:color="auto"/>
                    <w:bottom w:val="none" w:sz="0" w:space="0" w:color="auto"/>
                    <w:right w:val="none" w:sz="0" w:space="0" w:color="auto"/>
                  </w:divBdr>
                </w:div>
              </w:divsChild>
            </w:div>
            <w:div w:id="1032733045">
              <w:marLeft w:val="0"/>
              <w:marRight w:val="0"/>
              <w:marTop w:val="0"/>
              <w:marBottom w:val="240"/>
              <w:divBdr>
                <w:top w:val="none" w:sz="0" w:space="0" w:color="auto"/>
                <w:left w:val="none" w:sz="0" w:space="0" w:color="auto"/>
                <w:bottom w:val="none" w:sz="0" w:space="0" w:color="auto"/>
                <w:right w:val="none" w:sz="0" w:space="0" w:color="auto"/>
              </w:divBdr>
              <w:divsChild>
                <w:div w:id="2024280383">
                  <w:marLeft w:val="360"/>
                  <w:marRight w:val="96"/>
                  <w:marTop w:val="0"/>
                  <w:marBottom w:val="0"/>
                  <w:divBdr>
                    <w:top w:val="none" w:sz="0" w:space="0" w:color="auto"/>
                    <w:left w:val="none" w:sz="0" w:space="0" w:color="auto"/>
                    <w:bottom w:val="none" w:sz="0" w:space="0" w:color="auto"/>
                    <w:right w:val="none" w:sz="0" w:space="0" w:color="auto"/>
                  </w:divBdr>
                </w:div>
              </w:divsChild>
            </w:div>
            <w:div w:id="1253708952">
              <w:marLeft w:val="0"/>
              <w:marRight w:val="0"/>
              <w:marTop w:val="0"/>
              <w:marBottom w:val="240"/>
              <w:divBdr>
                <w:top w:val="none" w:sz="0" w:space="0" w:color="auto"/>
                <w:left w:val="none" w:sz="0" w:space="0" w:color="auto"/>
                <w:bottom w:val="none" w:sz="0" w:space="0" w:color="auto"/>
                <w:right w:val="none" w:sz="0" w:space="0" w:color="auto"/>
              </w:divBdr>
              <w:divsChild>
                <w:div w:id="2129740116">
                  <w:marLeft w:val="360"/>
                  <w:marRight w:val="96"/>
                  <w:marTop w:val="0"/>
                  <w:marBottom w:val="0"/>
                  <w:divBdr>
                    <w:top w:val="none" w:sz="0" w:space="0" w:color="auto"/>
                    <w:left w:val="none" w:sz="0" w:space="0" w:color="auto"/>
                    <w:bottom w:val="none" w:sz="0" w:space="0" w:color="auto"/>
                    <w:right w:val="none" w:sz="0" w:space="0" w:color="auto"/>
                  </w:divBdr>
                </w:div>
              </w:divsChild>
            </w:div>
            <w:div w:id="1583023935">
              <w:marLeft w:val="0"/>
              <w:marRight w:val="0"/>
              <w:marTop w:val="0"/>
              <w:marBottom w:val="240"/>
              <w:divBdr>
                <w:top w:val="none" w:sz="0" w:space="0" w:color="auto"/>
                <w:left w:val="none" w:sz="0" w:space="0" w:color="auto"/>
                <w:bottom w:val="none" w:sz="0" w:space="0" w:color="auto"/>
                <w:right w:val="none" w:sz="0" w:space="0" w:color="auto"/>
              </w:divBdr>
              <w:divsChild>
                <w:div w:id="210137064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07041700">
      <w:bodyDiv w:val="1"/>
      <w:marLeft w:val="0"/>
      <w:marRight w:val="0"/>
      <w:marTop w:val="0"/>
      <w:marBottom w:val="0"/>
      <w:divBdr>
        <w:top w:val="none" w:sz="0" w:space="0" w:color="auto"/>
        <w:left w:val="none" w:sz="0" w:space="0" w:color="auto"/>
        <w:bottom w:val="none" w:sz="0" w:space="0" w:color="auto"/>
        <w:right w:val="none" w:sz="0" w:space="0" w:color="auto"/>
      </w:divBdr>
      <w:divsChild>
        <w:div w:id="162207368">
          <w:marLeft w:val="0"/>
          <w:marRight w:val="0"/>
          <w:marTop w:val="0"/>
          <w:marBottom w:val="0"/>
          <w:divBdr>
            <w:top w:val="none" w:sz="0" w:space="0" w:color="auto"/>
            <w:left w:val="none" w:sz="0" w:space="0" w:color="auto"/>
            <w:bottom w:val="none" w:sz="0" w:space="0" w:color="auto"/>
            <w:right w:val="none" w:sz="0" w:space="0" w:color="auto"/>
          </w:divBdr>
          <w:divsChild>
            <w:div w:id="19861088">
              <w:marLeft w:val="0"/>
              <w:marRight w:val="0"/>
              <w:marTop w:val="0"/>
              <w:marBottom w:val="0"/>
              <w:divBdr>
                <w:top w:val="none" w:sz="0" w:space="0" w:color="auto"/>
                <w:left w:val="none" w:sz="0" w:space="0" w:color="auto"/>
                <w:bottom w:val="none" w:sz="0" w:space="0" w:color="auto"/>
                <w:right w:val="none" w:sz="0" w:space="0" w:color="auto"/>
              </w:divBdr>
              <w:divsChild>
                <w:div w:id="1396317660">
                  <w:marLeft w:val="0"/>
                  <w:marRight w:val="0"/>
                  <w:marTop w:val="0"/>
                  <w:marBottom w:val="0"/>
                  <w:divBdr>
                    <w:top w:val="none" w:sz="0" w:space="0" w:color="auto"/>
                    <w:left w:val="none" w:sz="0" w:space="0" w:color="auto"/>
                    <w:bottom w:val="none" w:sz="0" w:space="0" w:color="auto"/>
                    <w:right w:val="none" w:sz="0" w:space="0" w:color="auto"/>
                  </w:divBdr>
                  <w:divsChild>
                    <w:div w:id="507642415">
                      <w:marLeft w:val="0"/>
                      <w:marRight w:val="0"/>
                      <w:marTop w:val="0"/>
                      <w:marBottom w:val="0"/>
                      <w:divBdr>
                        <w:top w:val="none" w:sz="0" w:space="0" w:color="auto"/>
                        <w:left w:val="none" w:sz="0" w:space="0" w:color="auto"/>
                        <w:bottom w:val="none" w:sz="0" w:space="0" w:color="auto"/>
                        <w:right w:val="none" w:sz="0" w:space="0" w:color="auto"/>
                      </w:divBdr>
                      <w:divsChild>
                        <w:div w:id="848524751">
                          <w:marLeft w:val="0"/>
                          <w:marRight w:val="0"/>
                          <w:marTop w:val="0"/>
                          <w:marBottom w:val="0"/>
                          <w:divBdr>
                            <w:top w:val="none" w:sz="0" w:space="0" w:color="auto"/>
                            <w:left w:val="none" w:sz="0" w:space="0" w:color="auto"/>
                            <w:bottom w:val="none" w:sz="0" w:space="0" w:color="auto"/>
                            <w:right w:val="none" w:sz="0" w:space="0" w:color="auto"/>
                          </w:divBdr>
                          <w:divsChild>
                            <w:div w:id="2040206315">
                              <w:marLeft w:val="0"/>
                              <w:marRight w:val="0"/>
                              <w:marTop w:val="0"/>
                              <w:marBottom w:val="0"/>
                              <w:divBdr>
                                <w:top w:val="none" w:sz="0" w:space="0" w:color="auto"/>
                                <w:left w:val="none" w:sz="0" w:space="0" w:color="auto"/>
                                <w:bottom w:val="none" w:sz="0" w:space="0" w:color="auto"/>
                                <w:right w:val="none" w:sz="0" w:space="0" w:color="auto"/>
                              </w:divBdr>
                              <w:divsChild>
                                <w:div w:id="80957365">
                                  <w:marLeft w:val="0"/>
                                  <w:marRight w:val="0"/>
                                  <w:marTop w:val="0"/>
                                  <w:marBottom w:val="0"/>
                                  <w:divBdr>
                                    <w:top w:val="none" w:sz="0" w:space="0" w:color="auto"/>
                                    <w:left w:val="none" w:sz="0" w:space="0" w:color="auto"/>
                                    <w:bottom w:val="none" w:sz="0" w:space="0" w:color="auto"/>
                                    <w:right w:val="none" w:sz="0" w:space="0" w:color="auto"/>
                                  </w:divBdr>
                                  <w:divsChild>
                                    <w:div w:id="1763523732">
                                      <w:marLeft w:val="0"/>
                                      <w:marRight w:val="0"/>
                                      <w:marTop w:val="0"/>
                                      <w:marBottom w:val="0"/>
                                      <w:divBdr>
                                        <w:top w:val="none" w:sz="0" w:space="0" w:color="auto"/>
                                        <w:left w:val="none" w:sz="0" w:space="0" w:color="auto"/>
                                        <w:bottom w:val="none" w:sz="0" w:space="0" w:color="auto"/>
                                        <w:right w:val="none" w:sz="0" w:space="0" w:color="auto"/>
                                      </w:divBdr>
                                      <w:divsChild>
                                        <w:div w:id="1246113494">
                                          <w:marLeft w:val="0"/>
                                          <w:marRight w:val="0"/>
                                          <w:marTop w:val="0"/>
                                          <w:marBottom w:val="0"/>
                                          <w:divBdr>
                                            <w:top w:val="none" w:sz="0" w:space="0" w:color="auto"/>
                                            <w:left w:val="none" w:sz="0" w:space="0" w:color="auto"/>
                                            <w:bottom w:val="none" w:sz="0" w:space="0" w:color="auto"/>
                                            <w:right w:val="none" w:sz="0" w:space="0" w:color="auto"/>
                                          </w:divBdr>
                                          <w:divsChild>
                                            <w:div w:id="958536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3938">
      <w:bodyDiv w:val="1"/>
      <w:marLeft w:val="0"/>
      <w:marRight w:val="0"/>
      <w:marTop w:val="0"/>
      <w:marBottom w:val="0"/>
      <w:divBdr>
        <w:top w:val="none" w:sz="0" w:space="0" w:color="auto"/>
        <w:left w:val="none" w:sz="0" w:space="0" w:color="auto"/>
        <w:bottom w:val="none" w:sz="0" w:space="0" w:color="auto"/>
        <w:right w:val="none" w:sz="0" w:space="0" w:color="auto"/>
      </w:divBdr>
      <w:divsChild>
        <w:div w:id="2092043938">
          <w:marLeft w:val="0"/>
          <w:marRight w:val="0"/>
          <w:marTop w:val="0"/>
          <w:marBottom w:val="0"/>
          <w:divBdr>
            <w:top w:val="none" w:sz="0" w:space="0" w:color="auto"/>
            <w:left w:val="none" w:sz="0" w:space="0" w:color="auto"/>
            <w:bottom w:val="none" w:sz="0" w:space="0" w:color="auto"/>
            <w:right w:val="none" w:sz="0" w:space="0" w:color="auto"/>
          </w:divBdr>
          <w:divsChild>
            <w:div w:id="438914137">
              <w:marLeft w:val="0"/>
              <w:marRight w:val="0"/>
              <w:marTop w:val="0"/>
              <w:marBottom w:val="240"/>
              <w:divBdr>
                <w:top w:val="none" w:sz="0" w:space="0" w:color="auto"/>
                <w:left w:val="none" w:sz="0" w:space="0" w:color="auto"/>
                <w:bottom w:val="none" w:sz="0" w:space="0" w:color="auto"/>
                <w:right w:val="none" w:sz="0" w:space="0" w:color="auto"/>
              </w:divBdr>
              <w:divsChild>
                <w:div w:id="427892018">
                  <w:marLeft w:val="360"/>
                  <w:marRight w:val="96"/>
                  <w:marTop w:val="0"/>
                  <w:marBottom w:val="0"/>
                  <w:divBdr>
                    <w:top w:val="none" w:sz="0" w:space="0" w:color="auto"/>
                    <w:left w:val="none" w:sz="0" w:space="0" w:color="auto"/>
                    <w:bottom w:val="none" w:sz="0" w:space="0" w:color="auto"/>
                    <w:right w:val="none" w:sz="0" w:space="0" w:color="auto"/>
                  </w:divBdr>
                </w:div>
              </w:divsChild>
            </w:div>
            <w:div w:id="1728607131">
              <w:marLeft w:val="0"/>
              <w:marRight w:val="0"/>
              <w:marTop w:val="0"/>
              <w:marBottom w:val="240"/>
              <w:divBdr>
                <w:top w:val="none" w:sz="0" w:space="0" w:color="auto"/>
                <w:left w:val="none" w:sz="0" w:space="0" w:color="auto"/>
                <w:bottom w:val="none" w:sz="0" w:space="0" w:color="auto"/>
                <w:right w:val="none" w:sz="0" w:space="0" w:color="auto"/>
              </w:divBdr>
              <w:divsChild>
                <w:div w:id="579949193">
                  <w:marLeft w:val="360"/>
                  <w:marRight w:val="96"/>
                  <w:marTop w:val="0"/>
                  <w:marBottom w:val="0"/>
                  <w:divBdr>
                    <w:top w:val="none" w:sz="0" w:space="0" w:color="auto"/>
                    <w:left w:val="none" w:sz="0" w:space="0" w:color="auto"/>
                    <w:bottom w:val="none" w:sz="0" w:space="0" w:color="auto"/>
                    <w:right w:val="none" w:sz="0" w:space="0" w:color="auto"/>
                  </w:divBdr>
                </w:div>
              </w:divsChild>
            </w:div>
            <w:div w:id="1454247507">
              <w:marLeft w:val="0"/>
              <w:marRight w:val="0"/>
              <w:marTop w:val="0"/>
              <w:marBottom w:val="240"/>
              <w:divBdr>
                <w:top w:val="none" w:sz="0" w:space="0" w:color="auto"/>
                <w:left w:val="none" w:sz="0" w:space="0" w:color="auto"/>
                <w:bottom w:val="none" w:sz="0" w:space="0" w:color="auto"/>
                <w:right w:val="none" w:sz="0" w:space="0" w:color="auto"/>
              </w:divBdr>
              <w:divsChild>
                <w:div w:id="813110432">
                  <w:marLeft w:val="360"/>
                  <w:marRight w:val="96"/>
                  <w:marTop w:val="0"/>
                  <w:marBottom w:val="0"/>
                  <w:divBdr>
                    <w:top w:val="none" w:sz="0" w:space="0" w:color="auto"/>
                    <w:left w:val="none" w:sz="0" w:space="0" w:color="auto"/>
                    <w:bottom w:val="none" w:sz="0" w:space="0" w:color="auto"/>
                    <w:right w:val="none" w:sz="0" w:space="0" w:color="auto"/>
                  </w:divBdr>
                </w:div>
              </w:divsChild>
            </w:div>
            <w:div w:id="989947621">
              <w:marLeft w:val="0"/>
              <w:marRight w:val="0"/>
              <w:marTop w:val="0"/>
              <w:marBottom w:val="240"/>
              <w:divBdr>
                <w:top w:val="none" w:sz="0" w:space="0" w:color="auto"/>
                <w:left w:val="none" w:sz="0" w:space="0" w:color="auto"/>
                <w:bottom w:val="none" w:sz="0" w:space="0" w:color="auto"/>
                <w:right w:val="none" w:sz="0" w:space="0" w:color="auto"/>
              </w:divBdr>
              <w:divsChild>
                <w:div w:id="821578408">
                  <w:marLeft w:val="360"/>
                  <w:marRight w:val="96"/>
                  <w:marTop w:val="0"/>
                  <w:marBottom w:val="0"/>
                  <w:divBdr>
                    <w:top w:val="none" w:sz="0" w:space="0" w:color="auto"/>
                    <w:left w:val="none" w:sz="0" w:space="0" w:color="auto"/>
                    <w:bottom w:val="none" w:sz="0" w:space="0" w:color="auto"/>
                    <w:right w:val="none" w:sz="0" w:space="0" w:color="auto"/>
                  </w:divBdr>
                </w:div>
              </w:divsChild>
            </w:div>
            <w:div w:id="1046561943">
              <w:marLeft w:val="0"/>
              <w:marRight w:val="0"/>
              <w:marTop w:val="0"/>
              <w:marBottom w:val="0"/>
              <w:divBdr>
                <w:top w:val="none" w:sz="0" w:space="0" w:color="auto"/>
                <w:left w:val="none" w:sz="0" w:space="0" w:color="auto"/>
                <w:bottom w:val="none" w:sz="0" w:space="0" w:color="auto"/>
                <w:right w:val="none" w:sz="0" w:space="0" w:color="auto"/>
              </w:divBdr>
              <w:divsChild>
                <w:div w:id="1986472404">
                  <w:marLeft w:val="360"/>
                  <w:marRight w:val="96"/>
                  <w:marTop w:val="0"/>
                  <w:marBottom w:val="0"/>
                  <w:divBdr>
                    <w:top w:val="none" w:sz="0" w:space="0" w:color="auto"/>
                    <w:left w:val="none" w:sz="0" w:space="0" w:color="auto"/>
                    <w:bottom w:val="none" w:sz="0" w:space="0" w:color="auto"/>
                    <w:right w:val="none" w:sz="0" w:space="0" w:color="auto"/>
                  </w:divBdr>
                </w:div>
              </w:divsChild>
            </w:div>
            <w:div w:id="1952324988">
              <w:marLeft w:val="0"/>
              <w:marRight w:val="0"/>
              <w:marTop w:val="0"/>
              <w:marBottom w:val="240"/>
              <w:divBdr>
                <w:top w:val="none" w:sz="0" w:space="0" w:color="auto"/>
                <w:left w:val="none" w:sz="0" w:space="0" w:color="auto"/>
                <w:bottom w:val="none" w:sz="0" w:space="0" w:color="auto"/>
                <w:right w:val="none" w:sz="0" w:space="0" w:color="auto"/>
              </w:divBdr>
              <w:divsChild>
                <w:div w:id="213583051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61374066">
      <w:bodyDiv w:val="1"/>
      <w:marLeft w:val="0"/>
      <w:marRight w:val="0"/>
      <w:marTop w:val="0"/>
      <w:marBottom w:val="0"/>
      <w:divBdr>
        <w:top w:val="none" w:sz="0" w:space="0" w:color="auto"/>
        <w:left w:val="none" w:sz="0" w:space="0" w:color="auto"/>
        <w:bottom w:val="none" w:sz="0" w:space="0" w:color="auto"/>
        <w:right w:val="none" w:sz="0" w:space="0" w:color="auto"/>
      </w:divBdr>
      <w:divsChild>
        <w:div w:id="831406384">
          <w:marLeft w:val="0"/>
          <w:marRight w:val="0"/>
          <w:marTop w:val="0"/>
          <w:marBottom w:val="0"/>
          <w:divBdr>
            <w:top w:val="none" w:sz="0" w:space="0" w:color="auto"/>
            <w:left w:val="none" w:sz="0" w:space="0" w:color="auto"/>
            <w:bottom w:val="none" w:sz="0" w:space="0" w:color="auto"/>
            <w:right w:val="none" w:sz="0" w:space="0" w:color="auto"/>
          </w:divBdr>
          <w:divsChild>
            <w:div w:id="1539196591">
              <w:marLeft w:val="0"/>
              <w:marRight w:val="0"/>
              <w:marTop w:val="0"/>
              <w:marBottom w:val="0"/>
              <w:divBdr>
                <w:top w:val="none" w:sz="0" w:space="0" w:color="auto"/>
                <w:left w:val="none" w:sz="0" w:space="0" w:color="auto"/>
                <w:bottom w:val="none" w:sz="0" w:space="0" w:color="auto"/>
                <w:right w:val="none" w:sz="0" w:space="0" w:color="auto"/>
              </w:divBdr>
              <w:divsChild>
                <w:div w:id="40981494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25939927">
      <w:bodyDiv w:val="1"/>
      <w:marLeft w:val="0"/>
      <w:marRight w:val="0"/>
      <w:marTop w:val="0"/>
      <w:marBottom w:val="0"/>
      <w:divBdr>
        <w:top w:val="none" w:sz="0" w:space="0" w:color="auto"/>
        <w:left w:val="none" w:sz="0" w:space="0" w:color="auto"/>
        <w:bottom w:val="none" w:sz="0" w:space="0" w:color="auto"/>
        <w:right w:val="none" w:sz="0" w:space="0" w:color="auto"/>
      </w:divBdr>
      <w:divsChild>
        <w:div w:id="859245121">
          <w:marLeft w:val="0"/>
          <w:marRight w:val="0"/>
          <w:marTop w:val="0"/>
          <w:marBottom w:val="0"/>
          <w:divBdr>
            <w:top w:val="none" w:sz="0" w:space="0" w:color="auto"/>
            <w:left w:val="none" w:sz="0" w:space="0" w:color="auto"/>
            <w:bottom w:val="none" w:sz="0" w:space="0" w:color="auto"/>
            <w:right w:val="none" w:sz="0" w:space="0" w:color="auto"/>
          </w:divBdr>
          <w:divsChild>
            <w:div w:id="1517231958">
              <w:marLeft w:val="0"/>
              <w:marRight w:val="0"/>
              <w:marTop w:val="0"/>
              <w:marBottom w:val="0"/>
              <w:divBdr>
                <w:top w:val="none" w:sz="0" w:space="0" w:color="auto"/>
                <w:left w:val="none" w:sz="0" w:space="0" w:color="auto"/>
                <w:bottom w:val="none" w:sz="0" w:space="0" w:color="auto"/>
                <w:right w:val="none" w:sz="0" w:space="0" w:color="auto"/>
              </w:divBdr>
              <w:divsChild>
                <w:div w:id="120829385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91728199">
      <w:bodyDiv w:val="1"/>
      <w:marLeft w:val="0"/>
      <w:marRight w:val="0"/>
      <w:marTop w:val="0"/>
      <w:marBottom w:val="0"/>
      <w:divBdr>
        <w:top w:val="none" w:sz="0" w:space="0" w:color="auto"/>
        <w:left w:val="none" w:sz="0" w:space="0" w:color="auto"/>
        <w:bottom w:val="none" w:sz="0" w:space="0" w:color="auto"/>
        <w:right w:val="none" w:sz="0" w:space="0" w:color="auto"/>
      </w:divBdr>
      <w:divsChild>
        <w:div w:id="1177383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6583571">
      <w:bodyDiv w:val="1"/>
      <w:marLeft w:val="0"/>
      <w:marRight w:val="0"/>
      <w:marTop w:val="0"/>
      <w:marBottom w:val="0"/>
      <w:divBdr>
        <w:top w:val="none" w:sz="0" w:space="0" w:color="auto"/>
        <w:left w:val="none" w:sz="0" w:space="0" w:color="auto"/>
        <w:bottom w:val="none" w:sz="0" w:space="0" w:color="auto"/>
        <w:right w:val="none" w:sz="0" w:space="0" w:color="auto"/>
      </w:divBdr>
      <w:divsChild>
        <w:div w:id="751701987">
          <w:marLeft w:val="0"/>
          <w:marRight w:val="0"/>
          <w:marTop w:val="0"/>
          <w:marBottom w:val="0"/>
          <w:divBdr>
            <w:top w:val="none" w:sz="0" w:space="0" w:color="auto"/>
            <w:left w:val="none" w:sz="0" w:space="0" w:color="auto"/>
            <w:bottom w:val="none" w:sz="0" w:space="0" w:color="auto"/>
            <w:right w:val="none" w:sz="0" w:space="0" w:color="auto"/>
          </w:divBdr>
          <w:divsChild>
            <w:div w:id="1724451093">
              <w:marLeft w:val="0"/>
              <w:marRight w:val="0"/>
              <w:marTop w:val="0"/>
              <w:marBottom w:val="240"/>
              <w:divBdr>
                <w:top w:val="none" w:sz="0" w:space="0" w:color="auto"/>
                <w:left w:val="none" w:sz="0" w:space="0" w:color="auto"/>
                <w:bottom w:val="none" w:sz="0" w:space="0" w:color="auto"/>
                <w:right w:val="none" w:sz="0" w:space="0" w:color="auto"/>
              </w:divBdr>
              <w:divsChild>
                <w:div w:id="65032714">
                  <w:marLeft w:val="360"/>
                  <w:marRight w:val="96"/>
                  <w:marTop w:val="0"/>
                  <w:marBottom w:val="0"/>
                  <w:divBdr>
                    <w:top w:val="none" w:sz="0" w:space="0" w:color="auto"/>
                    <w:left w:val="none" w:sz="0" w:space="0" w:color="auto"/>
                    <w:bottom w:val="none" w:sz="0" w:space="0" w:color="auto"/>
                    <w:right w:val="none" w:sz="0" w:space="0" w:color="auto"/>
                  </w:divBdr>
                </w:div>
              </w:divsChild>
            </w:div>
            <w:div w:id="569272794">
              <w:marLeft w:val="0"/>
              <w:marRight w:val="0"/>
              <w:marTop w:val="0"/>
              <w:marBottom w:val="240"/>
              <w:divBdr>
                <w:top w:val="none" w:sz="0" w:space="0" w:color="auto"/>
                <w:left w:val="none" w:sz="0" w:space="0" w:color="auto"/>
                <w:bottom w:val="none" w:sz="0" w:space="0" w:color="auto"/>
                <w:right w:val="none" w:sz="0" w:space="0" w:color="auto"/>
              </w:divBdr>
              <w:divsChild>
                <w:div w:id="1121147578">
                  <w:marLeft w:val="360"/>
                  <w:marRight w:val="96"/>
                  <w:marTop w:val="0"/>
                  <w:marBottom w:val="0"/>
                  <w:divBdr>
                    <w:top w:val="none" w:sz="0" w:space="0" w:color="auto"/>
                    <w:left w:val="none" w:sz="0" w:space="0" w:color="auto"/>
                    <w:bottom w:val="none" w:sz="0" w:space="0" w:color="auto"/>
                    <w:right w:val="none" w:sz="0" w:space="0" w:color="auto"/>
                  </w:divBdr>
                </w:div>
              </w:divsChild>
            </w:div>
            <w:div w:id="588201422">
              <w:marLeft w:val="0"/>
              <w:marRight w:val="0"/>
              <w:marTop w:val="0"/>
              <w:marBottom w:val="0"/>
              <w:divBdr>
                <w:top w:val="none" w:sz="0" w:space="0" w:color="auto"/>
                <w:left w:val="none" w:sz="0" w:space="0" w:color="auto"/>
                <w:bottom w:val="none" w:sz="0" w:space="0" w:color="auto"/>
                <w:right w:val="none" w:sz="0" w:space="0" w:color="auto"/>
              </w:divBdr>
              <w:divsChild>
                <w:div w:id="758716315">
                  <w:marLeft w:val="360"/>
                  <w:marRight w:val="96"/>
                  <w:marTop w:val="0"/>
                  <w:marBottom w:val="0"/>
                  <w:divBdr>
                    <w:top w:val="none" w:sz="0" w:space="0" w:color="auto"/>
                    <w:left w:val="none" w:sz="0" w:space="0" w:color="auto"/>
                    <w:bottom w:val="none" w:sz="0" w:space="0" w:color="auto"/>
                    <w:right w:val="none" w:sz="0" w:space="0" w:color="auto"/>
                  </w:divBdr>
                </w:div>
              </w:divsChild>
            </w:div>
            <w:div w:id="1136950695">
              <w:marLeft w:val="0"/>
              <w:marRight w:val="0"/>
              <w:marTop w:val="0"/>
              <w:marBottom w:val="240"/>
              <w:divBdr>
                <w:top w:val="none" w:sz="0" w:space="0" w:color="auto"/>
                <w:left w:val="none" w:sz="0" w:space="0" w:color="auto"/>
                <w:bottom w:val="none" w:sz="0" w:space="0" w:color="auto"/>
                <w:right w:val="none" w:sz="0" w:space="0" w:color="auto"/>
              </w:divBdr>
              <w:divsChild>
                <w:div w:id="1764718439">
                  <w:marLeft w:val="360"/>
                  <w:marRight w:val="96"/>
                  <w:marTop w:val="0"/>
                  <w:marBottom w:val="0"/>
                  <w:divBdr>
                    <w:top w:val="none" w:sz="0" w:space="0" w:color="auto"/>
                    <w:left w:val="none" w:sz="0" w:space="0" w:color="auto"/>
                    <w:bottom w:val="none" w:sz="0" w:space="0" w:color="auto"/>
                    <w:right w:val="none" w:sz="0" w:space="0" w:color="auto"/>
                  </w:divBdr>
                </w:div>
              </w:divsChild>
            </w:div>
            <w:div w:id="1829319111">
              <w:marLeft w:val="0"/>
              <w:marRight w:val="0"/>
              <w:marTop w:val="0"/>
              <w:marBottom w:val="240"/>
              <w:divBdr>
                <w:top w:val="none" w:sz="0" w:space="0" w:color="auto"/>
                <w:left w:val="none" w:sz="0" w:space="0" w:color="auto"/>
                <w:bottom w:val="none" w:sz="0" w:space="0" w:color="auto"/>
                <w:right w:val="none" w:sz="0" w:space="0" w:color="auto"/>
              </w:divBdr>
              <w:divsChild>
                <w:div w:id="1750809624">
                  <w:marLeft w:val="360"/>
                  <w:marRight w:val="96"/>
                  <w:marTop w:val="0"/>
                  <w:marBottom w:val="0"/>
                  <w:divBdr>
                    <w:top w:val="none" w:sz="0" w:space="0" w:color="auto"/>
                    <w:left w:val="none" w:sz="0" w:space="0" w:color="auto"/>
                    <w:bottom w:val="none" w:sz="0" w:space="0" w:color="auto"/>
                    <w:right w:val="none" w:sz="0" w:space="0" w:color="auto"/>
                  </w:divBdr>
                </w:div>
              </w:divsChild>
            </w:div>
            <w:div w:id="2099517297">
              <w:marLeft w:val="0"/>
              <w:marRight w:val="0"/>
              <w:marTop w:val="0"/>
              <w:marBottom w:val="240"/>
              <w:divBdr>
                <w:top w:val="none" w:sz="0" w:space="0" w:color="auto"/>
                <w:left w:val="none" w:sz="0" w:space="0" w:color="auto"/>
                <w:bottom w:val="none" w:sz="0" w:space="0" w:color="auto"/>
                <w:right w:val="none" w:sz="0" w:space="0" w:color="auto"/>
              </w:divBdr>
              <w:divsChild>
                <w:div w:id="182604194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h4016@med.cornell.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b4022@med.cornell.ed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jom4032@med.cornell.edu" TargetMode="External"/><Relationship Id="rId4" Type="http://schemas.openxmlformats.org/officeDocument/2006/relationships/settings" Target="settings.xml"/><Relationship Id="rId9" Type="http://schemas.openxmlformats.org/officeDocument/2006/relationships/hyperlink" Target="mailto:mmuller2@ncsu.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 dockstate="right" visibility="0" width="525"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4E11535-CC23-490E-92BC-5D6F1D048D0B}">
  <we:reference id="1dc730d1-70c2-4725-8cc6-7a003fd4a2db" version="2.3.0.0" store="EXCatalog" storeType="excatalog"/>
  <we:alternateReferences>
    <we:reference id="WA200005983" version="2.3.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2C52240-6651-4175-ADBE-D13873736C8A}">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79243764981"/>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48D5E-E8B4-4200-85D4-7846B0D0361D}">
  <ds:schemaRefs>
    <ds:schemaRef ds:uri="http://schemas.openxmlformats.org/officeDocument/2006/bibliography"/>
  </ds:schemaRefs>
</ds:datastoreItem>
</file>

<file path=docMetadata/LabelInfo.xml><?xml version="1.0" encoding="utf-8"?>
<clbl:labelList xmlns:clbl="http://schemas.microsoft.com/office/2020/mipLabelMetadata">
  <clbl:label id="{f71b58b5-4126-43a9-bcb3-21c9de6f5241}" enabled="0" method="" siteId="{f71b58b5-4126-43a9-bcb3-21c9de6f5241}" removed="1"/>
</clbl:labelList>
</file>

<file path=docProps/app.xml><?xml version="1.0" encoding="utf-8"?>
<Properties xmlns="http://schemas.openxmlformats.org/officeDocument/2006/extended-properties" xmlns:vt="http://schemas.openxmlformats.org/officeDocument/2006/docPropsVTypes">
  <Template>Normal.dotm</Template>
  <TotalTime>1332</TotalTime>
  <Pages>28</Pages>
  <Words>11882</Words>
  <Characters>67733</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Nitin Burman</cp:lastModifiedBy>
  <cp:revision>250</cp:revision>
  <dcterms:created xsi:type="dcterms:W3CDTF">2026-07-27T20:02:00Z</dcterms:created>
  <dcterms:modified xsi:type="dcterms:W3CDTF">2026-08-28T18:31:00Z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