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E4CCC" w14:textId="77777777" w:rsidR="006058CD" w:rsidRPr="00DF323D" w:rsidRDefault="00150DE5" w:rsidP="008134A1">
      <w:pPr>
        <w:pBdr>
          <w:top w:val="nil"/>
          <w:left w:val="nil"/>
          <w:bottom w:val="nil"/>
          <w:right w:val="nil"/>
          <w:between w:val="nil"/>
        </w:pBdr>
        <w:spacing w:line="0" w:lineRule="atLeast"/>
        <w:rPr>
          <w:color w:val="000000" w:themeColor="text1"/>
        </w:rPr>
      </w:pPr>
      <w:r w:rsidRPr="00DF323D">
        <w:rPr>
          <w:b/>
          <w:color w:val="000000" w:themeColor="text1"/>
        </w:rPr>
        <w:t>TITLE:</w:t>
      </w:r>
    </w:p>
    <w:p w14:paraId="18CE4C14" w14:textId="46CB4CFA" w:rsidR="00D5588C" w:rsidRPr="00DF323D" w:rsidRDefault="00150DE5" w:rsidP="008134A1">
      <w:pPr>
        <w:pBdr>
          <w:top w:val="nil"/>
          <w:left w:val="nil"/>
          <w:bottom w:val="nil"/>
          <w:right w:val="nil"/>
          <w:between w:val="nil"/>
        </w:pBdr>
        <w:spacing w:line="0" w:lineRule="atLeast"/>
        <w:rPr>
          <w:color w:val="000000" w:themeColor="text1"/>
        </w:rPr>
      </w:pPr>
      <w:r w:rsidRPr="00DF323D">
        <w:rPr>
          <w:color w:val="000000" w:themeColor="text1"/>
        </w:rPr>
        <w:t>Vesicostomy in the Rat Model for Low-Pressure Urinary Drainage in Neurogenic Bladder Research</w:t>
      </w:r>
    </w:p>
    <w:p w14:paraId="06C0C87E" w14:textId="77777777" w:rsidR="006E4797" w:rsidRPr="00DF323D" w:rsidRDefault="006E4797" w:rsidP="008134A1">
      <w:pPr>
        <w:spacing w:line="0" w:lineRule="atLeast"/>
        <w:rPr>
          <w:b/>
          <w:color w:val="000000" w:themeColor="text1"/>
        </w:rPr>
      </w:pPr>
    </w:p>
    <w:p w14:paraId="05791C75" w14:textId="77777777" w:rsidR="006058CD" w:rsidRPr="00DF323D" w:rsidRDefault="00150DE5" w:rsidP="008134A1">
      <w:pPr>
        <w:spacing w:line="0" w:lineRule="atLeast"/>
        <w:rPr>
          <w:b/>
          <w:color w:val="000000" w:themeColor="text1"/>
        </w:rPr>
      </w:pPr>
      <w:r w:rsidRPr="00DF323D">
        <w:rPr>
          <w:b/>
          <w:color w:val="000000" w:themeColor="text1"/>
        </w:rPr>
        <w:t>AUTHORS AND AFFILIATIONS:</w:t>
      </w:r>
    </w:p>
    <w:p w14:paraId="141ABDE5" w14:textId="40E1C5EF" w:rsidR="006E4797" w:rsidRPr="00DF323D" w:rsidRDefault="00150DE5" w:rsidP="008134A1">
      <w:pPr>
        <w:spacing w:line="0" w:lineRule="atLeast"/>
        <w:rPr>
          <w:bCs/>
          <w:color w:val="000000" w:themeColor="text1"/>
        </w:rPr>
      </w:pPr>
      <w:r w:rsidRPr="00DF323D">
        <w:rPr>
          <w:bCs/>
          <w:color w:val="000000" w:themeColor="text1"/>
        </w:rPr>
        <w:t>Martha Georgina</w:t>
      </w:r>
      <w:r w:rsidRPr="00DF323D">
        <w:rPr>
          <w:b/>
          <w:color w:val="000000" w:themeColor="text1"/>
        </w:rPr>
        <w:t xml:space="preserve"> </w:t>
      </w:r>
      <w:r w:rsidR="00452C74" w:rsidRPr="00DF323D">
        <w:rPr>
          <w:bCs/>
          <w:color w:val="000000" w:themeColor="text1"/>
        </w:rPr>
        <w:t>Brand</w:t>
      </w:r>
      <w:r w:rsidR="00386C78" w:rsidRPr="00DF323D">
        <w:rPr>
          <w:bCs/>
          <w:color w:val="000000" w:themeColor="text1"/>
        </w:rPr>
        <w:t>t</w:t>
      </w:r>
      <w:r w:rsidR="00452C74" w:rsidRPr="00DF323D">
        <w:rPr>
          <w:bCs/>
          <w:color w:val="000000" w:themeColor="text1"/>
        </w:rPr>
        <w:t>ner</w:t>
      </w:r>
      <w:r w:rsidRPr="00DF323D">
        <w:rPr>
          <w:bCs/>
          <w:color w:val="000000" w:themeColor="text1"/>
          <w:vertAlign w:val="superscript"/>
        </w:rPr>
        <w:t>1</w:t>
      </w:r>
      <w:r w:rsidRPr="00DF323D">
        <w:rPr>
          <w:bCs/>
          <w:color w:val="000000" w:themeColor="text1"/>
        </w:rPr>
        <w:t>*</w:t>
      </w:r>
      <w:r w:rsidR="00452C74" w:rsidRPr="00DF323D">
        <w:rPr>
          <w:bCs/>
          <w:color w:val="000000" w:themeColor="text1"/>
        </w:rPr>
        <w:t>,</w:t>
      </w:r>
      <w:r w:rsidR="00A070A3" w:rsidRPr="00DF323D">
        <w:rPr>
          <w:bCs/>
          <w:color w:val="000000" w:themeColor="text1"/>
        </w:rPr>
        <w:t xml:space="preserve"> </w:t>
      </w:r>
      <w:r w:rsidRPr="00DF323D">
        <w:rPr>
          <w:bCs/>
          <w:color w:val="000000" w:themeColor="text1"/>
        </w:rPr>
        <w:t xml:space="preserve">Evelyn </w:t>
      </w:r>
      <w:r w:rsidR="00A070A3" w:rsidRPr="00DF323D">
        <w:rPr>
          <w:bCs/>
          <w:color w:val="000000" w:themeColor="text1"/>
        </w:rPr>
        <w:t>Beyerer</w:t>
      </w:r>
      <w:r w:rsidRPr="00DF323D">
        <w:rPr>
          <w:bCs/>
          <w:color w:val="000000" w:themeColor="text1"/>
          <w:vertAlign w:val="superscript"/>
        </w:rPr>
        <w:t>2</w:t>
      </w:r>
      <w:r w:rsidRPr="00DF323D">
        <w:rPr>
          <w:bCs/>
          <w:color w:val="000000" w:themeColor="text1"/>
        </w:rPr>
        <w:t>*</w:t>
      </w:r>
      <w:r w:rsidR="00A71FEF" w:rsidRPr="00DF323D">
        <w:rPr>
          <w:bCs/>
          <w:color w:val="000000" w:themeColor="text1"/>
        </w:rPr>
        <w:t>, Michael Kleindorfer</w:t>
      </w:r>
      <w:r w:rsidR="00A71FEF" w:rsidRPr="00DF323D">
        <w:rPr>
          <w:bCs/>
          <w:color w:val="000000" w:themeColor="text1"/>
          <w:vertAlign w:val="superscript"/>
        </w:rPr>
        <w:t>2,3</w:t>
      </w:r>
      <w:r w:rsidR="00A71FEF" w:rsidRPr="00DF323D">
        <w:rPr>
          <w:bCs/>
          <w:color w:val="000000" w:themeColor="text1"/>
        </w:rPr>
        <w:t>, Karin Roider</w:t>
      </w:r>
      <w:r w:rsidR="00A71FEF" w:rsidRPr="00DF323D">
        <w:rPr>
          <w:bCs/>
          <w:color w:val="000000" w:themeColor="text1"/>
          <w:vertAlign w:val="superscript"/>
        </w:rPr>
        <w:t>2</w:t>
      </w:r>
      <w:r w:rsidR="00A070A3" w:rsidRPr="00DF323D">
        <w:rPr>
          <w:bCs/>
          <w:color w:val="000000" w:themeColor="text1"/>
        </w:rPr>
        <w:t xml:space="preserve">, </w:t>
      </w:r>
      <w:r w:rsidRPr="00DF323D">
        <w:rPr>
          <w:bCs/>
          <w:color w:val="000000" w:themeColor="text1"/>
        </w:rPr>
        <w:t xml:space="preserve">Sophina </w:t>
      </w:r>
      <w:r w:rsidR="00A070A3" w:rsidRPr="00DF323D">
        <w:rPr>
          <w:bCs/>
          <w:color w:val="000000" w:themeColor="text1"/>
        </w:rPr>
        <w:t>Bauer</w:t>
      </w:r>
      <w:r w:rsidRPr="00DF323D">
        <w:rPr>
          <w:bCs/>
          <w:color w:val="000000" w:themeColor="text1"/>
          <w:vertAlign w:val="superscript"/>
        </w:rPr>
        <w:t>3</w:t>
      </w:r>
      <w:r w:rsidR="00452C74" w:rsidRPr="00DF323D">
        <w:rPr>
          <w:bCs/>
          <w:color w:val="000000" w:themeColor="text1"/>
        </w:rPr>
        <w:t>,</w:t>
      </w:r>
      <w:r w:rsidR="00D30A5E" w:rsidRPr="00DF323D">
        <w:rPr>
          <w:bCs/>
          <w:color w:val="000000" w:themeColor="text1"/>
        </w:rPr>
        <w:t xml:space="preserve"> </w:t>
      </w:r>
      <w:r w:rsidRPr="00DF323D">
        <w:rPr>
          <w:bCs/>
          <w:color w:val="000000" w:themeColor="text1"/>
        </w:rPr>
        <w:t xml:space="preserve">Lukas </w:t>
      </w:r>
      <w:r w:rsidR="00D30A5E" w:rsidRPr="00DF323D">
        <w:rPr>
          <w:bCs/>
          <w:color w:val="000000" w:themeColor="text1"/>
        </w:rPr>
        <w:t>Lusuardi</w:t>
      </w:r>
      <w:r w:rsidR="00592D2C" w:rsidRPr="00DF323D">
        <w:rPr>
          <w:bCs/>
          <w:color w:val="000000" w:themeColor="text1"/>
          <w:vertAlign w:val="superscript"/>
        </w:rPr>
        <w:t>3</w:t>
      </w:r>
      <w:r w:rsidR="00D30A5E" w:rsidRPr="00DF323D">
        <w:rPr>
          <w:bCs/>
          <w:color w:val="000000" w:themeColor="text1"/>
        </w:rPr>
        <w:t xml:space="preserve">, </w:t>
      </w:r>
      <w:r w:rsidRPr="00DF323D">
        <w:rPr>
          <w:bCs/>
          <w:color w:val="000000" w:themeColor="text1"/>
        </w:rPr>
        <w:t xml:space="preserve">Ludwig </w:t>
      </w:r>
      <w:r w:rsidR="00D30A5E" w:rsidRPr="00DF323D">
        <w:rPr>
          <w:bCs/>
          <w:color w:val="000000" w:themeColor="text1"/>
        </w:rPr>
        <w:t>Aigner</w:t>
      </w:r>
      <w:r w:rsidR="00592D2C" w:rsidRPr="00DF323D">
        <w:rPr>
          <w:bCs/>
          <w:color w:val="000000" w:themeColor="text1"/>
          <w:vertAlign w:val="superscript"/>
        </w:rPr>
        <w:t>2</w:t>
      </w:r>
      <w:r w:rsidR="00592D2C" w:rsidRPr="00DF323D">
        <w:rPr>
          <w:bCs/>
          <w:color w:val="000000" w:themeColor="text1"/>
        </w:rPr>
        <w:t>,</w:t>
      </w:r>
      <w:r w:rsidR="00452C74" w:rsidRPr="00DF323D">
        <w:rPr>
          <w:bCs/>
          <w:color w:val="000000" w:themeColor="text1"/>
        </w:rPr>
        <w:t xml:space="preserve"> </w:t>
      </w:r>
      <w:r w:rsidRPr="00DF323D">
        <w:rPr>
          <w:bCs/>
          <w:color w:val="000000" w:themeColor="text1"/>
        </w:rPr>
        <w:t xml:space="preserve">Elena Esra </w:t>
      </w:r>
      <w:r w:rsidR="00452C74" w:rsidRPr="00DF323D">
        <w:rPr>
          <w:bCs/>
          <w:color w:val="000000" w:themeColor="text1"/>
        </w:rPr>
        <w:t>Keller</w:t>
      </w:r>
      <w:r w:rsidR="00592D2C" w:rsidRPr="00DF323D">
        <w:rPr>
          <w:bCs/>
          <w:color w:val="000000" w:themeColor="text1"/>
          <w:vertAlign w:val="superscript"/>
        </w:rPr>
        <w:t>2</w:t>
      </w:r>
      <w:r w:rsidR="00581627" w:rsidRPr="00DF323D">
        <w:rPr>
          <w:bCs/>
          <w:color w:val="000000" w:themeColor="text1"/>
          <w:vertAlign w:val="superscript"/>
        </w:rPr>
        <w:t>,3</w:t>
      </w:r>
      <w:r w:rsidR="006A346A" w:rsidRPr="00DF323D">
        <w:rPr>
          <w:bCs/>
          <w:color w:val="000000" w:themeColor="text1"/>
        </w:rPr>
        <w:t>†</w:t>
      </w:r>
    </w:p>
    <w:p w14:paraId="320BC71E" w14:textId="1C65322B" w:rsidR="00D85BC0" w:rsidRPr="00DF323D" w:rsidRDefault="00D85BC0" w:rsidP="008134A1">
      <w:pPr>
        <w:spacing w:line="0" w:lineRule="atLeast"/>
        <w:rPr>
          <w:bCs/>
          <w:color w:val="000000" w:themeColor="text1"/>
        </w:rPr>
      </w:pPr>
    </w:p>
    <w:p w14:paraId="01DEDF0D" w14:textId="1BC6358B" w:rsidR="00FA3A62" w:rsidRPr="00DF323D" w:rsidRDefault="00150DE5" w:rsidP="008134A1">
      <w:pPr>
        <w:autoSpaceDE w:val="0"/>
        <w:autoSpaceDN w:val="0"/>
        <w:adjustRightInd w:val="0"/>
        <w:spacing w:line="0" w:lineRule="atLeast"/>
        <w:rPr>
          <w:color w:val="000000" w:themeColor="text1"/>
        </w:rPr>
      </w:pPr>
      <w:r w:rsidRPr="00DF323D">
        <w:rPr>
          <w:color w:val="000000" w:themeColor="text1"/>
          <w:vertAlign w:val="superscript"/>
        </w:rPr>
        <w:t>1</w:t>
      </w:r>
      <w:r w:rsidR="00592D2C" w:rsidRPr="00DF323D">
        <w:rPr>
          <w:color w:val="000000" w:themeColor="text1"/>
        </w:rPr>
        <w:t xml:space="preserve">Department of Pediatric and Adolescent Surgery, </w:t>
      </w:r>
      <w:proofErr w:type="spellStart"/>
      <w:r w:rsidR="00A71FEF" w:rsidRPr="00DF323D">
        <w:rPr>
          <w:color w:val="000000" w:themeColor="text1"/>
        </w:rPr>
        <w:t>Landeskrankenhaus</w:t>
      </w:r>
      <w:proofErr w:type="spellEnd"/>
      <w:r w:rsidR="00A71FEF" w:rsidRPr="00DF323D">
        <w:rPr>
          <w:color w:val="000000" w:themeColor="text1"/>
        </w:rPr>
        <w:t xml:space="preserve"> - </w:t>
      </w:r>
      <w:r w:rsidR="00592D2C" w:rsidRPr="00DF323D">
        <w:rPr>
          <w:color w:val="000000" w:themeColor="text1"/>
        </w:rPr>
        <w:t xml:space="preserve">University Clinic, Paracelsus Medical </w:t>
      </w:r>
      <w:r w:rsidR="00A71FEF" w:rsidRPr="00DF323D">
        <w:rPr>
          <w:color w:val="000000" w:themeColor="text1"/>
        </w:rPr>
        <w:t xml:space="preserve">Private </w:t>
      </w:r>
      <w:r w:rsidR="00592D2C" w:rsidRPr="00DF323D">
        <w:rPr>
          <w:color w:val="000000" w:themeColor="text1"/>
        </w:rPr>
        <w:t>University</w:t>
      </w:r>
      <w:r w:rsidR="00A71FEF" w:rsidRPr="00DF323D">
        <w:rPr>
          <w:color w:val="000000" w:themeColor="text1"/>
        </w:rPr>
        <w:t>, 5020 Salzburg, Austria</w:t>
      </w:r>
    </w:p>
    <w:p w14:paraId="25D24855" w14:textId="2372E615" w:rsidR="00FA3A62" w:rsidRPr="00DF323D" w:rsidRDefault="00150DE5" w:rsidP="008134A1">
      <w:pPr>
        <w:autoSpaceDE w:val="0"/>
        <w:autoSpaceDN w:val="0"/>
        <w:adjustRightInd w:val="0"/>
        <w:spacing w:line="0" w:lineRule="atLeast"/>
        <w:rPr>
          <w:color w:val="000000" w:themeColor="text1"/>
        </w:rPr>
      </w:pPr>
      <w:r w:rsidRPr="00DF323D">
        <w:rPr>
          <w:color w:val="000000" w:themeColor="text1"/>
          <w:vertAlign w:val="superscript"/>
        </w:rPr>
        <w:t>2</w:t>
      </w:r>
      <w:r w:rsidR="00592D2C" w:rsidRPr="00DF323D">
        <w:rPr>
          <w:color w:val="000000" w:themeColor="text1"/>
        </w:rPr>
        <w:t xml:space="preserve">Institute of Molecular Regenerative Medicine, Paracelsus Medical </w:t>
      </w:r>
      <w:r w:rsidR="00A71FEF" w:rsidRPr="00DF323D">
        <w:rPr>
          <w:color w:val="000000" w:themeColor="text1"/>
        </w:rPr>
        <w:t xml:space="preserve">Private </w:t>
      </w:r>
      <w:r w:rsidR="00592D2C" w:rsidRPr="00DF323D">
        <w:rPr>
          <w:color w:val="000000" w:themeColor="text1"/>
        </w:rPr>
        <w:t>University</w:t>
      </w:r>
      <w:r w:rsidR="00A71FEF" w:rsidRPr="00DF323D">
        <w:rPr>
          <w:color w:val="000000" w:themeColor="text1"/>
        </w:rPr>
        <w:t>, 5020 Salzburg, Austria</w:t>
      </w:r>
    </w:p>
    <w:p w14:paraId="20EAF8DD" w14:textId="4327FA40" w:rsidR="00A64541" w:rsidRPr="00DF323D" w:rsidRDefault="00150DE5" w:rsidP="008134A1">
      <w:pPr>
        <w:autoSpaceDE w:val="0"/>
        <w:autoSpaceDN w:val="0"/>
        <w:adjustRightInd w:val="0"/>
        <w:spacing w:line="0" w:lineRule="atLeast"/>
        <w:rPr>
          <w:color w:val="000000" w:themeColor="text1"/>
        </w:rPr>
      </w:pPr>
      <w:r w:rsidRPr="00DF323D">
        <w:rPr>
          <w:color w:val="000000" w:themeColor="text1"/>
          <w:vertAlign w:val="superscript"/>
        </w:rPr>
        <w:t>3</w:t>
      </w:r>
      <w:r w:rsidR="00592D2C" w:rsidRPr="00DF323D">
        <w:rPr>
          <w:color w:val="000000" w:themeColor="text1"/>
        </w:rPr>
        <w:t xml:space="preserve">Department of Urology and Andrology, </w:t>
      </w:r>
      <w:proofErr w:type="spellStart"/>
      <w:r w:rsidR="00A71FEF" w:rsidRPr="00DF323D">
        <w:rPr>
          <w:color w:val="000000" w:themeColor="text1"/>
        </w:rPr>
        <w:t>Landeskrankenhaus</w:t>
      </w:r>
      <w:proofErr w:type="spellEnd"/>
      <w:r w:rsidR="00A71FEF" w:rsidRPr="00DF323D">
        <w:rPr>
          <w:color w:val="000000" w:themeColor="text1"/>
        </w:rPr>
        <w:t xml:space="preserve"> - </w:t>
      </w:r>
      <w:r w:rsidR="00592D2C" w:rsidRPr="00DF323D">
        <w:rPr>
          <w:color w:val="000000" w:themeColor="text1"/>
        </w:rPr>
        <w:t xml:space="preserve">University Clinic, Paracelsus Medical </w:t>
      </w:r>
      <w:r w:rsidR="00A71FEF" w:rsidRPr="00DF323D">
        <w:rPr>
          <w:color w:val="000000" w:themeColor="text1"/>
        </w:rPr>
        <w:t xml:space="preserve">Private </w:t>
      </w:r>
      <w:r w:rsidR="00592D2C" w:rsidRPr="00DF323D">
        <w:rPr>
          <w:color w:val="000000" w:themeColor="text1"/>
        </w:rPr>
        <w:t>University</w:t>
      </w:r>
      <w:r w:rsidR="00A71FEF" w:rsidRPr="00DF323D">
        <w:rPr>
          <w:color w:val="000000" w:themeColor="text1"/>
        </w:rPr>
        <w:t>, 5020 Salzburg, Austria</w:t>
      </w:r>
    </w:p>
    <w:p w14:paraId="2A212EEE" w14:textId="77777777" w:rsidR="00CE7EE8" w:rsidRPr="00DF323D" w:rsidRDefault="00CE7EE8" w:rsidP="008134A1">
      <w:pPr>
        <w:spacing w:line="0" w:lineRule="atLeast"/>
        <w:rPr>
          <w:bCs/>
          <w:color w:val="000000" w:themeColor="text1"/>
        </w:rPr>
      </w:pPr>
    </w:p>
    <w:p w14:paraId="27A6477E" w14:textId="06083862" w:rsidR="00592D2C" w:rsidRPr="00DF323D" w:rsidRDefault="00150DE5" w:rsidP="008134A1">
      <w:pPr>
        <w:spacing w:line="0" w:lineRule="atLeast"/>
        <w:rPr>
          <w:bCs/>
          <w:color w:val="000000" w:themeColor="text1"/>
        </w:rPr>
      </w:pPr>
      <w:r w:rsidRPr="00DF323D">
        <w:rPr>
          <w:bCs/>
          <w:color w:val="000000" w:themeColor="text1"/>
        </w:rPr>
        <w:t>*</w:t>
      </w:r>
      <w:r w:rsidR="00CE7EE8" w:rsidRPr="00DF323D">
        <w:rPr>
          <w:bCs/>
          <w:color w:val="000000" w:themeColor="text1"/>
        </w:rPr>
        <w:t>These authors contributed equally to this work.</w:t>
      </w:r>
    </w:p>
    <w:p w14:paraId="7822332E" w14:textId="77777777" w:rsidR="00CE7EE8" w:rsidRPr="00DF323D" w:rsidRDefault="00CE7EE8" w:rsidP="008134A1">
      <w:pPr>
        <w:spacing w:line="0" w:lineRule="atLeast"/>
        <w:rPr>
          <w:bCs/>
          <w:color w:val="000000" w:themeColor="text1"/>
        </w:rPr>
      </w:pPr>
    </w:p>
    <w:p w14:paraId="75969981" w14:textId="04899526" w:rsidR="002F207B" w:rsidRPr="00DF323D" w:rsidRDefault="00150DE5" w:rsidP="008134A1">
      <w:pPr>
        <w:spacing w:line="0" w:lineRule="atLeast"/>
        <w:rPr>
          <w:bCs/>
          <w:color w:val="000000" w:themeColor="text1"/>
        </w:rPr>
      </w:pPr>
      <w:r w:rsidRPr="00DF323D">
        <w:rPr>
          <w:bCs/>
          <w:color w:val="000000" w:themeColor="text1"/>
        </w:rPr>
        <w:t>E-mail addresses of the co-authors:</w:t>
      </w:r>
    </w:p>
    <w:p w14:paraId="4708874A" w14:textId="7414AA90" w:rsidR="006A346A" w:rsidRPr="00DF323D" w:rsidRDefault="00150DE5" w:rsidP="008134A1">
      <w:pPr>
        <w:spacing w:line="0" w:lineRule="atLeast"/>
        <w:rPr>
          <w:bCs/>
          <w:color w:val="000000" w:themeColor="text1"/>
        </w:rPr>
      </w:pPr>
      <w:r w:rsidRPr="00DF323D">
        <w:rPr>
          <w:bCs/>
          <w:color w:val="000000" w:themeColor="text1"/>
        </w:rPr>
        <w:t xml:space="preserve">Martha Georgina Brandtner </w:t>
      </w:r>
      <w:r w:rsidRPr="00DF323D">
        <w:rPr>
          <w:bCs/>
          <w:color w:val="000000" w:themeColor="text1"/>
        </w:rPr>
        <w:tab/>
        <w:t>(</w:t>
      </w:r>
      <w:r w:rsidR="008147C1" w:rsidRPr="00DF323D">
        <w:rPr>
          <w:bCs/>
          <w:color w:val="000000" w:themeColor="text1"/>
        </w:rPr>
        <w:t>g.brandtner@salk.at</w:t>
      </w:r>
      <w:r w:rsidRPr="00DF323D">
        <w:rPr>
          <w:bCs/>
          <w:color w:val="000000" w:themeColor="text1"/>
        </w:rPr>
        <w:t>)</w:t>
      </w:r>
    </w:p>
    <w:p w14:paraId="5418B673" w14:textId="058CDCD5" w:rsidR="006A346A" w:rsidRPr="00DF323D" w:rsidRDefault="00150DE5" w:rsidP="008134A1">
      <w:pPr>
        <w:spacing w:line="0" w:lineRule="atLeast"/>
        <w:rPr>
          <w:bCs/>
          <w:color w:val="000000" w:themeColor="text1"/>
        </w:rPr>
      </w:pPr>
      <w:r w:rsidRPr="00DF323D">
        <w:rPr>
          <w:bCs/>
          <w:color w:val="000000" w:themeColor="text1"/>
        </w:rPr>
        <w:t xml:space="preserve">Evelyn Beyerer </w:t>
      </w:r>
      <w:r w:rsidRPr="00DF323D">
        <w:rPr>
          <w:bCs/>
          <w:color w:val="000000" w:themeColor="text1"/>
        </w:rPr>
        <w:tab/>
      </w:r>
      <w:r w:rsidRPr="00DF323D">
        <w:rPr>
          <w:bCs/>
          <w:color w:val="000000" w:themeColor="text1"/>
        </w:rPr>
        <w:tab/>
        <w:t>(</w:t>
      </w:r>
      <w:r w:rsidR="008147C1" w:rsidRPr="00DF323D">
        <w:rPr>
          <w:bCs/>
          <w:color w:val="000000" w:themeColor="text1"/>
        </w:rPr>
        <w:t>evelyn.beyerer@pmu.ac.at</w:t>
      </w:r>
      <w:r w:rsidRPr="00DF323D">
        <w:rPr>
          <w:bCs/>
          <w:color w:val="000000" w:themeColor="text1"/>
        </w:rPr>
        <w:t>)</w:t>
      </w:r>
    </w:p>
    <w:p w14:paraId="57040D77" w14:textId="2ADC8212" w:rsidR="006A346A" w:rsidRPr="00DF323D" w:rsidRDefault="00150DE5" w:rsidP="008134A1">
      <w:pPr>
        <w:spacing w:line="0" w:lineRule="atLeast"/>
        <w:rPr>
          <w:bCs/>
          <w:color w:val="000000" w:themeColor="text1"/>
          <w:lang w:val="de-AT"/>
        </w:rPr>
      </w:pPr>
      <w:r w:rsidRPr="00DF323D">
        <w:rPr>
          <w:bCs/>
          <w:color w:val="000000" w:themeColor="text1"/>
          <w:lang w:val="de-AT"/>
        </w:rPr>
        <w:t xml:space="preserve">Michael Kleindorfer </w:t>
      </w:r>
      <w:r w:rsidRPr="00DF323D">
        <w:rPr>
          <w:bCs/>
          <w:color w:val="000000" w:themeColor="text1"/>
          <w:lang w:val="de-AT"/>
        </w:rPr>
        <w:tab/>
      </w:r>
      <w:r w:rsidRPr="00DF323D">
        <w:rPr>
          <w:bCs/>
          <w:color w:val="000000" w:themeColor="text1"/>
          <w:lang w:val="de-AT"/>
        </w:rPr>
        <w:tab/>
        <w:t>(</w:t>
      </w:r>
      <w:r w:rsidR="008147C1" w:rsidRPr="00DF323D">
        <w:rPr>
          <w:bCs/>
          <w:color w:val="000000" w:themeColor="text1"/>
          <w:lang w:val="de-AT"/>
        </w:rPr>
        <w:t>michael.kleindorfer@pmu.ac.at</w:t>
      </w:r>
      <w:r w:rsidRPr="00DF323D">
        <w:rPr>
          <w:bCs/>
          <w:color w:val="000000" w:themeColor="text1"/>
          <w:lang w:val="de-AT"/>
        </w:rPr>
        <w:t>)</w:t>
      </w:r>
    </w:p>
    <w:p w14:paraId="7A94C846" w14:textId="225BD982" w:rsidR="006A346A" w:rsidRPr="00DF323D" w:rsidRDefault="00150DE5" w:rsidP="008134A1">
      <w:pPr>
        <w:spacing w:line="0" w:lineRule="atLeast"/>
        <w:rPr>
          <w:bCs/>
          <w:color w:val="000000" w:themeColor="text1"/>
          <w:lang w:val="de-AT"/>
        </w:rPr>
      </w:pPr>
      <w:r w:rsidRPr="00DF323D">
        <w:rPr>
          <w:bCs/>
          <w:color w:val="000000" w:themeColor="text1"/>
          <w:lang w:val="de-AT"/>
        </w:rPr>
        <w:t xml:space="preserve">Karin Roider </w:t>
      </w:r>
      <w:r w:rsidRPr="00DF323D">
        <w:rPr>
          <w:bCs/>
          <w:color w:val="000000" w:themeColor="text1"/>
          <w:lang w:val="de-AT"/>
        </w:rPr>
        <w:tab/>
      </w:r>
      <w:r w:rsidRPr="00DF323D">
        <w:rPr>
          <w:bCs/>
          <w:color w:val="000000" w:themeColor="text1"/>
          <w:lang w:val="de-AT"/>
        </w:rPr>
        <w:tab/>
      </w:r>
      <w:r w:rsidRPr="00DF323D">
        <w:rPr>
          <w:bCs/>
          <w:color w:val="000000" w:themeColor="text1"/>
          <w:lang w:val="de-AT"/>
        </w:rPr>
        <w:tab/>
        <w:t>(</w:t>
      </w:r>
      <w:r w:rsidR="008147C1" w:rsidRPr="00DF323D">
        <w:rPr>
          <w:bCs/>
          <w:color w:val="000000" w:themeColor="text1"/>
          <w:lang w:val="de-AT"/>
        </w:rPr>
        <w:t>karin.roider@pmu.ac.at</w:t>
      </w:r>
      <w:r w:rsidRPr="00DF323D">
        <w:rPr>
          <w:bCs/>
          <w:color w:val="000000" w:themeColor="text1"/>
          <w:lang w:val="de-AT"/>
        </w:rPr>
        <w:t>)</w:t>
      </w:r>
    </w:p>
    <w:p w14:paraId="6B89BBA8" w14:textId="063BAA15" w:rsidR="006A346A" w:rsidRPr="00DF323D" w:rsidRDefault="00150DE5" w:rsidP="008134A1">
      <w:pPr>
        <w:spacing w:line="0" w:lineRule="atLeast"/>
        <w:rPr>
          <w:bCs/>
          <w:color w:val="000000" w:themeColor="text1"/>
          <w:lang w:val="de-AT"/>
        </w:rPr>
      </w:pPr>
      <w:r w:rsidRPr="00DF323D">
        <w:rPr>
          <w:bCs/>
          <w:color w:val="000000" w:themeColor="text1"/>
          <w:lang w:val="de-AT"/>
        </w:rPr>
        <w:t xml:space="preserve">Sophina Bauer </w:t>
      </w:r>
      <w:r w:rsidRPr="00DF323D">
        <w:rPr>
          <w:bCs/>
          <w:color w:val="000000" w:themeColor="text1"/>
          <w:lang w:val="de-AT"/>
        </w:rPr>
        <w:tab/>
      </w:r>
      <w:r w:rsidRPr="00DF323D">
        <w:rPr>
          <w:bCs/>
          <w:color w:val="000000" w:themeColor="text1"/>
          <w:lang w:val="de-AT"/>
        </w:rPr>
        <w:tab/>
        <w:t>(</w:t>
      </w:r>
      <w:r w:rsidR="008147C1" w:rsidRPr="00DF323D">
        <w:rPr>
          <w:bCs/>
          <w:color w:val="000000" w:themeColor="text1"/>
          <w:lang w:val="de-AT"/>
        </w:rPr>
        <w:t>s.bauer@salk.at</w:t>
      </w:r>
      <w:r w:rsidRPr="00DF323D">
        <w:rPr>
          <w:bCs/>
          <w:color w:val="000000" w:themeColor="text1"/>
          <w:lang w:val="de-AT"/>
        </w:rPr>
        <w:t>)</w:t>
      </w:r>
    </w:p>
    <w:p w14:paraId="6C5B0929" w14:textId="12669730" w:rsidR="006A346A" w:rsidRPr="00DF323D" w:rsidRDefault="00150DE5" w:rsidP="008134A1">
      <w:pPr>
        <w:spacing w:line="0" w:lineRule="atLeast"/>
        <w:rPr>
          <w:bCs/>
          <w:color w:val="000000" w:themeColor="text1"/>
        </w:rPr>
      </w:pPr>
      <w:r w:rsidRPr="00DF323D">
        <w:rPr>
          <w:bCs/>
          <w:color w:val="000000" w:themeColor="text1"/>
        </w:rPr>
        <w:t xml:space="preserve">Lukas Lusuardi </w:t>
      </w:r>
      <w:r w:rsidRPr="00DF323D">
        <w:rPr>
          <w:bCs/>
          <w:color w:val="000000" w:themeColor="text1"/>
        </w:rPr>
        <w:tab/>
      </w:r>
      <w:r w:rsidRPr="00DF323D">
        <w:rPr>
          <w:bCs/>
          <w:color w:val="000000" w:themeColor="text1"/>
        </w:rPr>
        <w:tab/>
        <w:t>(</w:t>
      </w:r>
      <w:r w:rsidR="008147C1" w:rsidRPr="00DF323D">
        <w:rPr>
          <w:bCs/>
          <w:color w:val="000000" w:themeColor="text1"/>
        </w:rPr>
        <w:t>l.lusuardi@salk.at</w:t>
      </w:r>
      <w:r w:rsidRPr="00DF323D">
        <w:rPr>
          <w:bCs/>
          <w:color w:val="000000" w:themeColor="text1"/>
        </w:rPr>
        <w:t>)</w:t>
      </w:r>
    </w:p>
    <w:p w14:paraId="6F7FF476" w14:textId="3BF91BAE" w:rsidR="002F207B" w:rsidRPr="00DF323D" w:rsidRDefault="00150DE5" w:rsidP="008134A1">
      <w:pPr>
        <w:spacing w:line="0" w:lineRule="atLeast"/>
        <w:rPr>
          <w:bCs/>
          <w:color w:val="000000" w:themeColor="text1"/>
        </w:rPr>
      </w:pPr>
      <w:r w:rsidRPr="00DF323D">
        <w:rPr>
          <w:bCs/>
          <w:color w:val="000000" w:themeColor="text1"/>
        </w:rPr>
        <w:t>Ludwig Aigner</w:t>
      </w:r>
      <w:r w:rsidR="006A346A" w:rsidRPr="00DF323D">
        <w:rPr>
          <w:bCs/>
          <w:color w:val="000000" w:themeColor="text1"/>
        </w:rPr>
        <w:t xml:space="preserve"> </w:t>
      </w:r>
      <w:r w:rsidR="006A346A" w:rsidRPr="00DF323D">
        <w:rPr>
          <w:bCs/>
          <w:color w:val="000000" w:themeColor="text1"/>
        </w:rPr>
        <w:tab/>
      </w:r>
      <w:r w:rsidR="006A346A" w:rsidRPr="00DF323D">
        <w:rPr>
          <w:bCs/>
          <w:color w:val="000000" w:themeColor="text1"/>
        </w:rPr>
        <w:tab/>
      </w:r>
      <w:r w:rsidR="006A346A" w:rsidRPr="00DF323D">
        <w:rPr>
          <w:bCs/>
          <w:color w:val="000000" w:themeColor="text1"/>
        </w:rPr>
        <w:tab/>
        <w:t>(</w:t>
      </w:r>
      <w:r w:rsidR="008147C1" w:rsidRPr="00DF323D">
        <w:rPr>
          <w:bCs/>
          <w:color w:val="000000" w:themeColor="text1"/>
        </w:rPr>
        <w:t>Ludwig.aigner@pmu.ac.at</w:t>
      </w:r>
      <w:r w:rsidR="006A346A" w:rsidRPr="00DF323D">
        <w:rPr>
          <w:bCs/>
          <w:color w:val="000000" w:themeColor="text1"/>
        </w:rPr>
        <w:t>)</w:t>
      </w:r>
    </w:p>
    <w:p w14:paraId="00E1D307" w14:textId="77777777" w:rsidR="002F207B" w:rsidRPr="00DF323D" w:rsidRDefault="002F207B" w:rsidP="008134A1">
      <w:pPr>
        <w:spacing w:line="0" w:lineRule="atLeast"/>
        <w:rPr>
          <w:bCs/>
          <w:color w:val="000000" w:themeColor="text1"/>
        </w:rPr>
      </w:pPr>
    </w:p>
    <w:p w14:paraId="7FF609F6" w14:textId="2088BD7A" w:rsidR="00CE7EE8" w:rsidRPr="00DF323D" w:rsidRDefault="00150DE5" w:rsidP="008134A1">
      <w:pPr>
        <w:spacing w:line="0" w:lineRule="atLeast"/>
        <w:rPr>
          <w:bCs/>
          <w:color w:val="000000" w:themeColor="text1"/>
        </w:rPr>
      </w:pPr>
      <w:r w:rsidRPr="00DF323D">
        <w:rPr>
          <w:bCs/>
          <w:color w:val="000000" w:themeColor="text1"/>
        </w:rPr>
        <w:t>†</w:t>
      </w:r>
      <w:r w:rsidR="00A64541" w:rsidRPr="00DF323D">
        <w:rPr>
          <w:bCs/>
          <w:color w:val="000000" w:themeColor="text1"/>
        </w:rPr>
        <w:t>Correspond</w:t>
      </w:r>
      <w:r w:rsidR="00A71FEF" w:rsidRPr="00DF323D">
        <w:rPr>
          <w:bCs/>
          <w:color w:val="000000" w:themeColor="text1"/>
        </w:rPr>
        <w:t xml:space="preserve">ing </w:t>
      </w:r>
      <w:r w:rsidRPr="00DF323D">
        <w:rPr>
          <w:bCs/>
          <w:color w:val="000000" w:themeColor="text1"/>
        </w:rPr>
        <w:t>a</w:t>
      </w:r>
      <w:r w:rsidR="00A71FEF" w:rsidRPr="00DF323D">
        <w:rPr>
          <w:bCs/>
          <w:color w:val="000000" w:themeColor="text1"/>
        </w:rPr>
        <w:t>uthor</w:t>
      </w:r>
      <w:r w:rsidR="00A64541" w:rsidRPr="00DF323D">
        <w:rPr>
          <w:bCs/>
          <w:color w:val="000000" w:themeColor="text1"/>
        </w:rPr>
        <w:t xml:space="preserve">: </w:t>
      </w:r>
    </w:p>
    <w:p w14:paraId="20EBB1A5" w14:textId="086E9167" w:rsidR="00A64541" w:rsidRPr="00DF323D" w:rsidRDefault="00150DE5" w:rsidP="008134A1">
      <w:pPr>
        <w:spacing w:line="0" w:lineRule="atLeast"/>
        <w:rPr>
          <w:bCs/>
          <w:color w:val="000000" w:themeColor="text1"/>
          <w:lang w:val="de-AT"/>
        </w:rPr>
      </w:pPr>
      <w:r w:rsidRPr="00DF323D">
        <w:rPr>
          <w:bCs/>
          <w:color w:val="000000" w:themeColor="text1"/>
          <w:lang w:val="de-AT"/>
        </w:rPr>
        <w:t>Elena E</w:t>
      </w:r>
      <w:r w:rsidR="00A71FEF" w:rsidRPr="00DF323D">
        <w:rPr>
          <w:bCs/>
          <w:color w:val="000000" w:themeColor="text1"/>
          <w:lang w:val="de-AT"/>
        </w:rPr>
        <w:t>sra</w:t>
      </w:r>
      <w:r w:rsidRPr="00DF323D">
        <w:rPr>
          <w:bCs/>
          <w:color w:val="000000" w:themeColor="text1"/>
          <w:lang w:val="de-AT"/>
        </w:rPr>
        <w:t xml:space="preserve"> Keller </w:t>
      </w:r>
      <w:r w:rsidR="00CE7EE8" w:rsidRPr="00DF323D">
        <w:rPr>
          <w:bCs/>
          <w:color w:val="000000" w:themeColor="text1"/>
          <w:lang w:val="de-AT"/>
        </w:rPr>
        <w:tab/>
      </w:r>
      <w:r w:rsidR="00CE7EE8" w:rsidRPr="00DF323D">
        <w:rPr>
          <w:bCs/>
          <w:color w:val="000000" w:themeColor="text1"/>
          <w:lang w:val="de-AT"/>
        </w:rPr>
        <w:tab/>
        <w:t>(</w:t>
      </w:r>
      <w:r w:rsidRPr="00DF323D">
        <w:rPr>
          <w:bCs/>
          <w:color w:val="000000" w:themeColor="text1"/>
          <w:lang w:val="de-AT"/>
        </w:rPr>
        <w:t>esra.keller@pmu.ac.at</w:t>
      </w:r>
      <w:r w:rsidR="00CE7EE8" w:rsidRPr="00DF323D">
        <w:rPr>
          <w:bCs/>
          <w:color w:val="000000" w:themeColor="text1"/>
          <w:lang w:val="de-AT"/>
        </w:rPr>
        <w:t>)</w:t>
      </w:r>
    </w:p>
    <w:p w14:paraId="4791C774" w14:textId="77777777" w:rsidR="00452C74" w:rsidRPr="00DF323D" w:rsidRDefault="00452C74" w:rsidP="008134A1">
      <w:pPr>
        <w:spacing w:line="0" w:lineRule="atLeast"/>
        <w:rPr>
          <w:bCs/>
          <w:color w:val="000000" w:themeColor="text1"/>
          <w:lang w:val="de-AT"/>
        </w:rPr>
      </w:pPr>
    </w:p>
    <w:p w14:paraId="1080ED2B" w14:textId="6B2B2CBA" w:rsidR="00FA3A62" w:rsidRPr="00DF323D" w:rsidRDefault="00150DE5" w:rsidP="008134A1">
      <w:pPr>
        <w:spacing w:line="0" w:lineRule="atLeast"/>
        <w:rPr>
          <w:color w:val="000000" w:themeColor="text1"/>
        </w:rPr>
      </w:pPr>
      <w:r w:rsidRPr="00DF323D">
        <w:rPr>
          <w:b/>
          <w:color w:val="000000" w:themeColor="text1"/>
        </w:rPr>
        <w:t>SUMMARY:</w:t>
      </w:r>
    </w:p>
    <w:p w14:paraId="47BB9D71" w14:textId="2F6D04FB" w:rsidR="00866A1D" w:rsidRPr="00DF323D" w:rsidRDefault="00150DE5" w:rsidP="008134A1">
      <w:pPr>
        <w:spacing w:line="0" w:lineRule="atLeast"/>
        <w:rPr>
          <w:color w:val="000000" w:themeColor="text1"/>
        </w:rPr>
      </w:pPr>
      <w:r w:rsidRPr="00DF323D">
        <w:rPr>
          <w:color w:val="000000" w:themeColor="text1"/>
        </w:rPr>
        <w:t>This protocol provides a standardized method for performing cutaneous vesicostomy and postoperative wound management in rats, enabling continuous low-pressure urinary drainage for preclinical spinal cord injury research.</w:t>
      </w:r>
    </w:p>
    <w:p w14:paraId="76F99C86" w14:textId="77777777" w:rsidR="00D30A5E" w:rsidRPr="00DF323D" w:rsidRDefault="00D30A5E" w:rsidP="008134A1">
      <w:pPr>
        <w:spacing w:line="0" w:lineRule="atLeast"/>
        <w:rPr>
          <w:color w:val="000000" w:themeColor="text1"/>
        </w:rPr>
      </w:pPr>
    </w:p>
    <w:p w14:paraId="7EC11B70" w14:textId="5A7E62F1" w:rsidR="00FA3A62" w:rsidRPr="00DF323D" w:rsidRDefault="00150DE5" w:rsidP="008134A1">
      <w:pPr>
        <w:spacing w:line="0" w:lineRule="atLeast"/>
        <w:rPr>
          <w:color w:val="000000" w:themeColor="text1"/>
        </w:rPr>
      </w:pPr>
      <w:r w:rsidRPr="00DF323D">
        <w:rPr>
          <w:b/>
          <w:color w:val="000000" w:themeColor="text1"/>
        </w:rPr>
        <w:t>ABSTRACT:</w:t>
      </w:r>
    </w:p>
    <w:p w14:paraId="3F349F17" w14:textId="1A96C164" w:rsidR="00266BAA" w:rsidRPr="00DF323D" w:rsidRDefault="00150DE5" w:rsidP="008134A1">
      <w:pPr>
        <w:spacing w:line="0" w:lineRule="atLeast"/>
        <w:rPr>
          <w:color w:val="000000" w:themeColor="text1"/>
        </w:rPr>
      </w:pPr>
      <w:r w:rsidRPr="00DF323D">
        <w:rPr>
          <w:color w:val="000000" w:themeColor="text1"/>
        </w:rPr>
        <w:t>The rat is the primary animal model for preclinical research on spinal cord injury (SCI)-induced neurogenic lower urinary tract dysfunction (</w:t>
      </w:r>
      <w:proofErr w:type="spellStart"/>
      <w:r w:rsidRPr="00DF323D">
        <w:rPr>
          <w:color w:val="000000" w:themeColor="text1"/>
        </w:rPr>
        <w:t>nLUTD</w:t>
      </w:r>
      <w:proofErr w:type="spellEnd"/>
      <w:r w:rsidRPr="00DF323D">
        <w:rPr>
          <w:color w:val="000000" w:themeColor="text1"/>
        </w:rPr>
        <w:t xml:space="preserve">). Owing to its anatomical and functional similarity to humans, rats closely recapitulate key pathological consequences of SCI. However, a crucial translational gap </w:t>
      </w:r>
      <w:proofErr w:type="gramStart"/>
      <w:r w:rsidRPr="00DF323D">
        <w:rPr>
          <w:color w:val="000000" w:themeColor="text1"/>
        </w:rPr>
        <w:t>remains:</w:t>
      </w:r>
      <w:proofErr w:type="gramEnd"/>
      <w:r w:rsidRPr="00DF323D">
        <w:rPr>
          <w:color w:val="000000" w:themeColor="text1"/>
        </w:rPr>
        <w:t xml:space="preserve"> whereas standard bladder management in humans typically relies on continuous or intermittent catheterization, comparable approaches are not feasible in rodents. The common practice of manual bladder expression generates exceptionally high intravesical pressures, which may introduce methodological bias by independently promoting pathological bladder remodeling after SCI. This protocol describes cutaneous vesicostomy in rats, together with postoperative wound management, to establish continuous low-pressure urinary drainage for preclinical SCI research. Cutaneous vesicostomy—the surgical creation of a stoma </w:t>
      </w:r>
      <w:r w:rsidRPr="00DF323D">
        <w:rPr>
          <w:color w:val="000000" w:themeColor="text1"/>
        </w:rPr>
        <w:lastRenderedPageBreak/>
        <w:t>between the bladder dome and the lower abdominal wall—enables continuous urinary drainage, thereby maintaining a low-resistance drainage route and bypassing the urethra. In this way, excessive urine retention and high intravesical pressures can be avoided, approximating the concept of continuous low-pressure decompression used clinically during the early post-injury phase with suprapubic or transurethral urinary diversion, while recognizing that normal storage and continence mechanisms are abolished. Therapeutic effects that might otherwise be obscured by repetitive overfilling and high-pressure manual bladder expression may thus be more readily detected. Moreover, vesicostomy offers a conceptual strategy to mitigate sex-related constraints in preclinical SCI research. The considerably greater urethral length in male rodents results in higher outflow resistance, making manual bladder expression substantially more difficult and effectively confining most preclinical studies to female animals, despite the predominance of male patients among clinical SCI cases. As an alternative drainage strategy, vesicostomy has the potential to broaden experimental bladder management paradigms and enhance the translational relevance of future studies, while its feasibility and outcomes in male rats will need to be established in dedicated follow-up work.</w:t>
      </w:r>
    </w:p>
    <w:p w14:paraId="16F666C7" w14:textId="77777777" w:rsidR="00365338" w:rsidRPr="00DF323D" w:rsidRDefault="00365338" w:rsidP="008134A1">
      <w:pPr>
        <w:spacing w:line="0" w:lineRule="atLeast"/>
        <w:rPr>
          <w:bCs/>
          <w:color w:val="000000" w:themeColor="text1"/>
        </w:rPr>
      </w:pPr>
    </w:p>
    <w:p w14:paraId="424A2F61" w14:textId="1B1B0E09" w:rsidR="00266BAA" w:rsidRPr="00DF323D" w:rsidRDefault="00150DE5" w:rsidP="008134A1">
      <w:pPr>
        <w:spacing w:line="0" w:lineRule="atLeast"/>
        <w:rPr>
          <w:b/>
          <w:color w:val="000000" w:themeColor="text1"/>
        </w:rPr>
      </w:pPr>
      <w:r w:rsidRPr="00DF323D">
        <w:rPr>
          <w:b/>
          <w:color w:val="000000" w:themeColor="text1"/>
        </w:rPr>
        <w:t>INTRODUCTION:</w:t>
      </w:r>
    </w:p>
    <w:p w14:paraId="6B30B2C9" w14:textId="77777777" w:rsidR="005B0E6A" w:rsidRPr="00DF323D" w:rsidRDefault="00150DE5" w:rsidP="008134A1">
      <w:pPr>
        <w:spacing w:line="0" w:lineRule="atLeast"/>
        <w:rPr>
          <w:color w:val="000000" w:themeColor="text1"/>
        </w:rPr>
      </w:pPr>
      <w:r w:rsidRPr="00DF323D">
        <w:rPr>
          <w:color w:val="000000" w:themeColor="text1"/>
        </w:rPr>
        <w:t>Healthy bladder function relies on the coordinated function of the bladder muscle and urethral sphincter, achieved through a complex neuronal network involving the brain, central nervous system (CNS), and peripheral nervous system (PNS), which enables conscious control of the lower urinary tract (LUT)</w:t>
      </w:r>
      <w:r w:rsidRPr="00DF323D">
        <w:rPr>
          <w:color w:val="000000" w:themeColor="text1"/>
          <w:vertAlign w:val="superscript"/>
        </w:rPr>
        <w:t>1,2</w:t>
      </w:r>
      <w:r w:rsidRPr="00DF323D">
        <w:rPr>
          <w:color w:val="000000" w:themeColor="text1"/>
        </w:rPr>
        <w:t>. The complexity of these mechanisms and their switch-like circuitry</w:t>
      </w:r>
      <w:r w:rsidRPr="00DF323D">
        <w:rPr>
          <w:color w:val="000000" w:themeColor="text1"/>
          <w:vertAlign w:val="superscript"/>
        </w:rPr>
        <w:t>3</w:t>
      </w:r>
      <w:r w:rsidRPr="00DF323D">
        <w:rPr>
          <w:color w:val="000000" w:themeColor="text1"/>
        </w:rPr>
        <w:t xml:space="preserve"> renders bladder function susceptible to a wide range of injuries and diseases. Accordingly, following spinal cord injury (SCI), almost all patients experience impaired bladder sensation and control</w:t>
      </w:r>
      <w:r w:rsidRPr="00DF323D">
        <w:rPr>
          <w:color w:val="000000" w:themeColor="text1"/>
          <w:vertAlign w:val="superscript"/>
        </w:rPr>
        <w:t>4,5</w:t>
      </w:r>
      <w:r w:rsidRPr="00DF323D">
        <w:rPr>
          <w:color w:val="000000" w:themeColor="text1"/>
        </w:rPr>
        <w:t xml:space="preserve">. The term neurogenic bladder encompasses a broad spectrum of dysfunctions affecting urine storage and/or voiding, depending on the characteristics of the injury. In particular, </w:t>
      </w:r>
      <w:proofErr w:type="spellStart"/>
      <w:r w:rsidRPr="00DF323D">
        <w:rPr>
          <w:color w:val="000000" w:themeColor="text1"/>
        </w:rPr>
        <w:t>suprasacral</w:t>
      </w:r>
      <w:proofErr w:type="spellEnd"/>
      <w:r w:rsidRPr="00DF323D">
        <w:rPr>
          <w:color w:val="000000" w:themeColor="text1"/>
        </w:rPr>
        <w:t xml:space="preserve"> injuries lead to detrusor overactivity in combination with sphincter overactivity, often accompanied by loss of coordination between the two—termed detrusor-sphincter dyssynergia (DSD)—resulting in excessive urine retention and high intravesical pressures</w:t>
      </w:r>
      <w:r w:rsidRPr="00DF323D">
        <w:rPr>
          <w:color w:val="000000" w:themeColor="text1"/>
          <w:vertAlign w:val="superscript"/>
        </w:rPr>
        <w:t>6,7</w:t>
      </w:r>
      <w:r w:rsidRPr="00DF323D">
        <w:rPr>
          <w:color w:val="000000" w:themeColor="text1"/>
        </w:rPr>
        <w:t>. This can severely damage the LUT, threaten the integrity of the upper urinary tract (UUT), and, if left untreated, result in life-threatening complications</w:t>
      </w:r>
      <w:r w:rsidRPr="00DF323D">
        <w:rPr>
          <w:color w:val="000000" w:themeColor="text1"/>
          <w:vertAlign w:val="superscript"/>
        </w:rPr>
        <w:t>8</w:t>
      </w:r>
      <w:r w:rsidRPr="00DF323D">
        <w:rPr>
          <w:color w:val="000000" w:themeColor="text1"/>
        </w:rPr>
        <w:t>. Intermittent or continuous urinary drainage via catheterization represents the current standard of bladder management in humans following SCI, preventing bladder overfilling through a safe, pressure-free procedure</w:t>
      </w:r>
      <w:r w:rsidRPr="00DF323D">
        <w:rPr>
          <w:color w:val="000000" w:themeColor="text1"/>
          <w:vertAlign w:val="superscript"/>
        </w:rPr>
        <w:t>9–12</w:t>
      </w:r>
      <w:r w:rsidRPr="00DF323D">
        <w:rPr>
          <w:color w:val="000000" w:themeColor="text1"/>
        </w:rPr>
        <w:t>.</w:t>
      </w:r>
    </w:p>
    <w:p w14:paraId="4647C6AD" w14:textId="77777777" w:rsidR="005B0E6A" w:rsidRPr="00DF323D" w:rsidRDefault="005B0E6A" w:rsidP="008134A1">
      <w:pPr>
        <w:spacing w:line="0" w:lineRule="atLeast"/>
        <w:rPr>
          <w:color w:val="000000" w:themeColor="text1"/>
        </w:rPr>
      </w:pPr>
    </w:p>
    <w:p w14:paraId="4A9DA5DA" w14:textId="77777777" w:rsidR="005B0E6A" w:rsidRPr="00DF323D" w:rsidRDefault="00150DE5" w:rsidP="008134A1">
      <w:pPr>
        <w:spacing w:line="0" w:lineRule="atLeast"/>
        <w:rPr>
          <w:color w:val="000000" w:themeColor="text1"/>
        </w:rPr>
      </w:pPr>
      <w:r w:rsidRPr="00DF323D">
        <w:rPr>
          <w:color w:val="000000" w:themeColor="text1"/>
        </w:rPr>
        <w:t>With no effective treatment currently available for SCI and predominantly symptomatic management of associated neurogenic LUT dysfunction (</w:t>
      </w:r>
      <w:proofErr w:type="spellStart"/>
      <w:r w:rsidRPr="00DF323D">
        <w:rPr>
          <w:color w:val="000000" w:themeColor="text1"/>
        </w:rPr>
        <w:t>nLUTD</w:t>
      </w:r>
      <w:proofErr w:type="spellEnd"/>
      <w:r w:rsidRPr="00DF323D">
        <w:rPr>
          <w:color w:val="000000" w:themeColor="text1"/>
        </w:rPr>
        <w:t>), the development of novel therapeutic strategies remains a major research priority. Animal models enable investigation of disease mechanisms at a level of complexity comparable to that in humans while providing exceptional intragroup homogeneity under standardized experimental conditions</w:t>
      </w:r>
      <w:r w:rsidRPr="00DF323D">
        <w:rPr>
          <w:color w:val="000000" w:themeColor="text1"/>
          <w:vertAlign w:val="superscript"/>
        </w:rPr>
        <w:t>13</w:t>
      </w:r>
      <w:r w:rsidRPr="00DF323D">
        <w:rPr>
          <w:color w:val="000000" w:themeColor="text1"/>
        </w:rPr>
        <w:t xml:space="preserve">. Among these, the rat is the primary preclinical model, with </w:t>
      </w:r>
      <w:proofErr w:type="gramStart"/>
      <w:r w:rsidRPr="00DF323D">
        <w:rPr>
          <w:color w:val="000000" w:themeColor="text1"/>
        </w:rPr>
        <w:t>the majority of</w:t>
      </w:r>
      <w:proofErr w:type="gramEnd"/>
      <w:r w:rsidRPr="00DF323D">
        <w:rPr>
          <w:color w:val="000000" w:themeColor="text1"/>
        </w:rPr>
        <w:t xml:space="preserve"> SCI studies conducted in this species</w:t>
      </w:r>
      <w:r w:rsidRPr="00DF323D">
        <w:rPr>
          <w:color w:val="000000" w:themeColor="text1"/>
          <w:vertAlign w:val="superscript"/>
        </w:rPr>
        <w:t>14,</w:t>
      </w:r>
      <w:proofErr w:type="gramStart"/>
      <w:r w:rsidRPr="00DF323D">
        <w:rPr>
          <w:color w:val="000000" w:themeColor="text1"/>
          <w:vertAlign w:val="superscript"/>
        </w:rPr>
        <w:t>15</w:t>
      </w:r>
      <w:proofErr w:type="gramEnd"/>
      <w:r w:rsidRPr="00DF323D">
        <w:rPr>
          <w:color w:val="000000" w:themeColor="text1"/>
        </w:rPr>
        <w:t xml:space="preserve">. This preference reflects its anatomical and functional similarity to humans, reproducible pathological response, and widespread availability. Nevertheless, an important </w:t>
      </w:r>
      <w:proofErr w:type="gramStart"/>
      <w:r w:rsidRPr="00DF323D">
        <w:rPr>
          <w:color w:val="000000" w:themeColor="text1"/>
        </w:rPr>
        <w:t>translational</w:t>
      </w:r>
      <w:proofErr w:type="gramEnd"/>
      <w:r w:rsidRPr="00DF323D">
        <w:rPr>
          <w:color w:val="000000" w:themeColor="text1"/>
        </w:rPr>
        <w:t xml:space="preserve"> gap remains that may limit the interpretation and clinical relevance of bladder-related findings derived from rodent models.</w:t>
      </w:r>
    </w:p>
    <w:p w14:paraId="1CF06F38" w14:textId="77777777" w:rsidR="005B0E6A" w:rsidRPr="00DF323D" w:rsidRDefault="005B0E6A" w:rsidP="008134A1">
      <w:pPr>
        <w:spacing w:line="0" w:lineRule="atLeast"/>
        <w:rPr>
          <w:color w:val="000000" w:themeColor="text1"/>
        </w:rPr>
      </w:pPr>
    </w:p>
    <w:p w14:paraId="4EE774B6" w14:textId="77777777" w:rsidR="005B0E6A" w:rsidRPr="00DF323D" w:rsidRDefault="00150DE5" w:rsidP="008134A1">
      <w:pPr>
        <w:spacing w:line="0" w:lineRule="atLeast"/>
        <w:rPr>
          <w:color w:val="000000" w:themeColor="text1"/>
        </w:rPr>
      </w:pPr>
      <w:r w:rsidRPr="00DF323D">
        <w:rPr>
          <w:color w:val="000000" w:themeColor="text1"/>
        </w:rPr>
        <w:lastRenderedPageBreak/>
        <w:t xml:space="preserve">Although rats develop </w:t>
      </w:r>
      <w:proofErr w:type="spellStart"/>
      <w:r w:rsidRPr="00DF323D">
        <w:rPr>
          <w:color w:val="000000" w:themeColor="text1"/>
        </w:rPr>
        <w:t>nLUTD</w:t>
      </w:r>
      <w:proofErr w:type="spellEnd"/>
      <w:r w:rsidRPr="00DF323D">
        <w:rPr>
          <w:color w:val="000000" w:themeColor="text1"/>
        </w:rPr>
        <w:t xml:space="preserve"> following SCI that resembles key features observed in humans, bladder management differs substantially between species. Because intermittent catheterization and other permanent urinary drainage approaches are generally not feasible in rats, urine evacuation is routinely achieved by manual bladder expression</w:t>
      </w:r>
      <w:r w:rsidRPr="00DF323D">
        <w:rPr>
          <w:color w:val="000000" w:themeColor="text1"/>
          <w:vertAlign w:val="superscript"/>
        </w:rPr>
        <w:t>16</w:t>
      </w:r>
      <w:r w:rsidRPr="00DF323D">
        <w:rPr>
          <w:color w:val="000000" w:themeColor="text1"/>
        </w:rPr>
        <w:t xml:space="preserve">. This technique, analogous to the </w:t>
      </w:r>
      <w:proofErr w:type="spellStart"/>
      <w:r w:rsidRPr="00DF323D">
        <w:rPr>
          <w:color w:val="000000" w:themeColor="text1"/>
        </w:rPr>
        <w:t>Credé</w:t>
      </w:r>
      <w:proofErr w:type="spellEnd"/>
      <w:r w:rsidRPr="00DF323D">
        <w:rPr>
          <w:color w:val="000000" w:themeColor="text1"/>
        </w:rPr>
        <w:t xml:space="preserve"> maneuver</w:t>
      </w:r>
      <w:r w:rsidRPr="00DF323D">
        <w:rPr>
          <w:color w:val="000000" w:themeColor="text1"/>
          <w:vertAlign w:val="superscript"/>
        </w:rPr>
        <w:t>17</w:t>
      </w:r>
      <w:r w:rsidRPr="00DF323D">
        <w:rPr>
          <w:color w:val="000000" w:themeColor="text1"/>
        </w:rPr>
        <w:t>, which is generally not recommended in clinical practice, generates markedly elevated intravesical pressures. Consequently, it may introduce methodological bias by independently promoting pathological bladder remodeling after SCI, thereby reducing the translational relevance of experimental findings or obscuring genuine therapeutic effects. An additional limitation arises from sex-related anatomical differences. The considerably greater urethral length in male rodents results in higher outflow resistance, making manual bladder expression substantially more difficult and effectively restricting most preclinical SCI studies to female animals</w:t>
      </w:r>
      <w:r w:rsidRPr="00DF323D">
        <w:rPr>
          <w:color w:val="000000" w:themeColor="text1"/>
          <w:vertAlign w:val="superscript"/>
        </w:rPr>
        <w:t>14</w:t>
      </w:r>
      <w:r w:rsidRPr="00DF323D">
        <w:rPr>
          <w:color w:val="000000" w:themeColor="text1"/>
        </w:rPr>
        <w:t xml:space="preserve">. Given that </w:t>
      </w:r>
      <w:proofErr w:type="gramStart"/>
      <w:r w:rsidRPr="00DF323D">
        <w:rPr>
          <w:color w:val="000000" w:themeColor="text1"/>
        </w:rPr>
        <w:t>the majority of</w:t>
      </w:r>
      <w:proofErr w:type="gramEnd"/>
      <w:r w:rsidRPr="00DF323D">
        <w:rPr>
          <w:color w:val="000000" w:themeColor="text1"/>
        </w:rPr>
        <w:t xml:space="preserve"> clinical SCI cases occur in males</w:t>
      </w:r>
      <w:r w:rsidRPr="00DF323D">
        <w:rPr>
          <w:color w:val="000000" w:themeColor="text1"/>
          <w:vertAlign w:val="superscript"/>
        </w:rPr>
        <w:t>18,19</w:t>
      </w:r>
      <w:r w:rsidRPr="00DF323D">
        <w:rPr>
          <w:color w:val="000000" w:themeColor="text1"/>
        </w:rPr>
        <w:t>, this discrepancy further emphasizes the need for alternative bladder management strategies in preclinical rat SCI models.</w:t>
      </w:r>
    </w:p>
    <w:p w14:paraId="20753AE4" w14:textId="77777777" w:rsidR="005B0E6A" w:rsidRPr="00DF323D" w:rsidRDefault="005B0E6A" w:rsidP="008134A1">
      <w:pPr>
        <w:spacing w:line="0" w:lineRule="atLeast"/>
        <w:rPr>
          <w:color w:val="000000" w:themeColor="text1"/>
        </w:rPr>
      </w:pPr>
    </w:p>
    <w:p w14:paraId="4C610F53" w14:textId="77777777" w:rsidR="005B0E6A" w:rsidRPr="00DF323D" w:rsidRDefault="00150DE5" w:rsidP="008134A1">
      <w:pPr>
        <w:spacing w:line="0" w:lineRule="atLeast"/>
        <w:rPr>
          <w:color w:val="000000" w:themeColor="text1"/>
        </w:rPr>
      </w:pPr>
      <w:r w:rsidRPr="00DF323D">
        <w:rPr>
          <w:color w:val="000000" w:themeColor="text1"/>
        </w:rPr>
        <w:t>Cutaneous vesicostomy involves the surgical creation of a stoma between the bladder and the lower abdominal wall by advancing the bladder dome to the skin and securing it with sutures. This enables continuous urinary drainage while maintaining a low-pressure drainage route and bypassing the urethra. Primarily used in children with complex medical conditions or when conventional drainage options are unsuitable, cutaneous vesicostomy provides reliable urinary diversion with minimal maintenance requirements and a low complication rate</w:t>
      </w:r>
      <w:r w:rsidRPr="00DF323D">
        <w:rPr>
          <w:color w:val="000000" w:themeColor="text1"/>
          <w:vertAlign w:val="superscript"/>
        </w:rPr>
        <w:t>20–22</w:t>
      </w:r>
      <w:r w:rsidRPr="00DF323D">
        <w:rPr>
          <w:color w:val="000000" w:themeColor="text1"/>
        </w:rPr>
        <w:t>. Beyond its clinical application, vesicostomy has also been successfully performed in rodent models</w:t>
      </w:r>
      <w:r w:rsidRPr="00DF323D">
        <w:rPr>
          <w:color w:val="000000" w:themeColor="text1"/>
          <w:vertAlign w:val="superscript"/>
        </w:rPr>
        <w:t>23–26</w:t>
      </w:r>
      <w:r w:rsidRPr="00DF323D">
        <w:rPr>
          <w:color w:val="000000" w:themeColor="text1"/>
        </w:rPr>
        <w:t>, although not in the context of SCI.</w:t>
      </w:r>
    </w:p>
    <w:p w14:paraId="4295BC78" w14:textId="77777777" w:rsidR="005B0E6A" w:rsidRPr="00DF323D" w:rsidRDefault="005B0E6A" w:rsidP="008134A1">
      <w:pPr>
        <w:spacing w:line="0" w:lineRule="atLeast"/>
        <w:rPr>
          <w:color w:val="000000" w:themeColor="text1"/>
        </w:rPr>
      </w:pPr>
    </w:p>
    <w:p w14:paraId="056C0EDB" w14:textId="77777777" w:rsidR="005B0E6A" w:rsidRPr="00DF323D" w:rsidRDefault="00150DE5" w:rsidP="008134A1">
      <w:pPr>
        <w:spacing w:line="0" w:lineRule="atLeast"/>
        <w:rPr>
          <w:color w:val="000000" w:themeColor="text1"/>
        </w:rPr>
      </w:pPr>
      <w:r w:rsidRPr="00DF323D">
        <w:rPr>
          <w:color w:val="000000" w:themeColor="text1"/>
        </w:rPr>
        <w:t>In a recent study</w:t>
      </w:r>
      <w:r w:rsidRPr="00DF323D">
        <w:rPr>
          <w:color w:val="000000" w:themeColor="text1"/>
          <w:vertAlign w:val="superscript"/>
        </w:rPr>
        <w:t>16</w:t>
      </w:r>
      <w:r w:rsidRPr="00DF323D">
        <w:rPr>
          <w:color w:val="000000" w:themeColor="text1"/>
        </w:rPr>
        <w:t>, we addressed the translational limitations associated with manual bladder expression in preclinical SCI models and introduced vesicostomy in rats together with a postoperative wound management regimen that enabled extended follow-up. Direct comparison of the two bladder management approaches demonstrated greater structural bladder alterations following manual bladder expression, whereas vesicostomy animals exhibited values closer to those of healthy controls across several parameters. Most notably, bladder wall thickness increased from a mean of 768.26 µm (SD 28.05) in healthy rats to 1181.94 µm (SD 289.56) two months after SCI with manual bladder expression, with some animals reaching values of up to 1485 µm. In contrast, rats managed by vesicostomy showed a mean bladder wall thickness of 963.08 µm (SD 68.82), and only one animal exceeded 1000 µm.</w:t>
      </w:r>
    </w:p>
    <w:p w14:paraId="1D829112" w14:textId="77777777" w:rsidR="005B0E6A" w:rsidRPr="00DF323D" w:rsidRDefault="005B0E6A" w:rsidP="008134A1">
      <w:pPr>
        <w:spacing w:line="0" w:lineRule="atLeast"/>
        <w:rPr>
          <w:color w:val="000000" w:themeColor="text1"/>
        </w:rPr>
      </w:pPr>
    </w:p>
    <w:p w14:paraId="1E1F5359" w14:textId="35042B25" w:rsidR="006C47D0" w:rsidRPr="00DF323D" w:rsidRDefault="00150DE5" w:rsidP="008134A1">
      <w:pPr>
        <w:spacing w:line="0" w:lineRule="atLeast"/>
        <w:rPr>
          <w:bCs/>
          <w:color w:val="000000" w:themeColor="text1"/>
        </w:rPr>
      </w:pPr>
      <w:r w:rsidRPr="00DF323D">
        <w:rPr>
          <w:color w:val="000000" w:themeColor="text1"/>
        </w:rPr>
        <w:t xml:space="preserve">This study provides a standardized protocol for performing vesicostomy in rats, including perioperative care and postoperative wound management, to enable reproducible continuous low-pressure urinary drainage in preclinical SCI research. The protocol is intended to facilitate reproduction of the technique and assist investigators in determining its suitability for studies in which high-pressure manual bladder expression may introduce methodological bias or in which the inclusion of male animals is desirable. The aim of this project was to establish a standardized vesicostomy protocol for rats with SCI and to evaluate its feasibility and safety over a two-month follow-up period. In addition, a standardized postoperative wound management regimen was applied to minimize skin-related complications and maintain stomal patency through regular </w:t>
      </w:r>
      <w:r w:rsidRPr="00DF323D">
        <w:rPr>
          <w:color w:val="000000" w:themeColor="text1"/>
        </w:rPr>
        <w:lastRenderedPageBreak/>
        <w:t>calibration.</w:t>
      </w:r>
    </w:p>
    <w:p w14:paraId="4677D7CA" w14:textId="77777777" w:rsidR="006C47D0" w:rsidRPr="00DF323D" w:rsidRDefault="006C47D0" w:rsidP="008134A1">
      <w:pPr>
        <w:spacing w:line="0" w:lineRule="atLeast"/>
        <w:rPr>
          <w:bCs/>
          <w:color w:val="000000" w:themeColor="text1"/>
        </w:rPr>
      </w:pPr>
    </w:p>
    <w:p w14:paraId="7389B446" w14:textId="77777777" w:rsidR="00346ED5" w:rsidRPr="00DF323D" w:rsidRDefault="00150DE5" w:rsidP="008134A1">
      <w:pPr>
        <w:spacing w:line="0" w:lineRule="atLeast"/>
        <w:rPr>
          <w:b/>
          <w:bCs/>
          <w:color w:val="000000" w:themeColor="text1"/>
        </w:rPr>
      </w:pPr>
      <w:r w:rsidRPr="00DF323D">
        <w:rPr>
          <w:b/>
          <w:bCs/>
          <w:color w:val="000000" w:themeColor="text1"/>
        </w:rPr>
        <w:t>PROTOCOL:</w:t>
      </w:r>
    </w:p>
    <w:p w14:paraId="04D5D739" w14:textId="77777777" w:rsidR="00346ED5" w:rsidRPr="00DF323D" w:rsidRDefault="00150DE5" w:rsidP="008134A1">
      <w:pPr>
        <w:spacing w:line="0" w:lineRule="atLeast"/>
        <w:rPr>
          <w:color w:val="000000" w:themeColor="text1"/>
        </w:rPr>
      </w:pPr>
      <w:r w:rsidRPr="00DF323D">
        <w:rPr>
          <w:color w:val="000000" w:themeColor="text1"/>
        </w:rPr>
        <w:t xml:space="preserve">Three-month-old female Lewis rats were used for this study. Although this protocol was primarily developed to avoid manual bladder </w:t>
      </w:r>
      <w:proofErr w:type="gramStart"/>
      <w:r w:rsidRPr="00DF323D">
        <w:rPr>
          <w:color w:val="000000" w:themeColor="text1"/>
        </w:rPr>
        <w:t>expression</w:t>
      </w:r>
      <w:proofErr w:type="gramEnd"/>
      <w:r w:rsidRPr="00DF323D">
        <w:rPr>
          <w:color w:val="000000" w:themeColor="text1"/>
        </w:rPr>
        <w:t xml:space="preserve"> following SCI, details of the contusion SCI procedure are not provided here but have been described previously. All procedures were approved by the Austrian Governmental Legal Entity on Animal Research (BMWFW-2022-0.062.928 and BMWFW-2023-0.848.340) and were conducted in accordance with local guidelines for animal use and the ARRIVE guidelines. Overall, the vesicostomy procedure requires approximately 15 min.</w:t>
      </w:r>
    </w:p>
    <w:p w14:paraId="1AAE4781" w14:textId="77777777" w:rsidR="00346ED5" w:rsidRPr="00DF323D" w:rsidRDefault="00346ED5" w:rsidP="008134A1">
      <w:pPr>
        <w:spacing w:line="0" w:lineRule="atLeast"/>
        <w:rPr>
          <w:b/>
          <w:bCs/>
          <w:color w:val="000000" w:themeColor="text1"/>
        </w:rPr>
      </w:pPr>
    </w:p>
    <w:p w14:paraId="2AF9D045" w14:textId="77777777" w:rsidR="00346ED5" w:rsidRPr="00DF323D" w:rsidRDefault="00150DE5" w:rsidP="008134A1">
      <w:pPr>
        <w:spacing w:line="0" w:lineRule="atLeast"/>
        <w:rPr>
          <w:b/>
          <w:bCs/>
          <w:color w:val="000000" w:themeColor="text1"/>
        </w:rPr>
      </w:pPr>
      <w:r w:rsidRPr="00DF323D">
        <w:rPr>
          <w:b/>
          <w:bCs/>
          <w:color w:val="000000" w:themeColor="text1"/>
        </w:rPr>
        <w:t>1. Preoperative Preparation</w:t>
      </w:r>
    </w:p>
    <w:p w14:paraId="4CB7A794" w14:textId="77777777" w:rsidR="00346ED5" w:rsidRPr="00DF323D" w:rsidRDefault="00346ED5" w:rsidP="008134A1">
      <w:pPr>
        <w:spacing w:line="0" w:lineRule="atLeast"/>
        <w:rPr>
          <w:color w:val="000000" w:themeColor="text1"/>
        </w:rPr>
      </w:pPr>
    </w:p>
    <w:p w14:paraId="3CA4C1AA" w14:textId="77777777" w:rsidR="00346ED5" w:rsidRPr="00DF323D" w:rsidRDefault="00150DE5" w:rsidP="008134A1">
      <w:pPr>
        <w:spacing w:line="0" w:lineRule="atLeast"/>
        <w:rPr>
          <w:color w:val="000000" w:themeColor="text1"/>
        </w:rPr>
      </w:pPr>
      <w:r w:rsidRPr="00DF323D">
        <w:rPr>
          <w:color w:val="000000" w:themeColor="text1"/>
        </w:rPr>
        <w:t>1.1. Prepare a sterile working area, including a microscope or magnification glasses (2.5–3.5× magnification), all required surgical instruments, and a heating pad.</w:t>
      </w:r>
    </w:p>
    <w:p w14:paraId="17A67BFD" w14:textId="77777777" w:rsidR="00346ED5" w:rsidRPr="00DF323D" w:rsidRDefault="00346ED5" w:rsidP="008134A1">
      <w:pPr>
        <w:spacing w:line="0" w:lineRule="atLeast"/>
        <w:rPr>
          <w:color w:val="000000" w:themeColor="text1"/>
        </w:rPr>
      </w:pPr>
    </w:p>
    <w:p w14:paraId="68EF5B98" w14:textId="33EF8318" w:rsidR="00346ED5" w:rsidRPr="00DF323D" w:rsidRDefault="00150DE5" w:rsidP="008134A1">
      <w:pPr>
        <w:spacing w:line="0" w:lineRule="atLeast"/>
        <w:rPr>
          <w:color w:val="000000" w:themeColor="text1"/>
        </w:rPr>
      </w:pPr>
      <w:r w:rsidRPr="00DF323D">
        <w:rPr>
          <w:color w:val="000000" w:themeColor="text1"/>
        </w:rPr>
        <w:t>1.2.</w:t>
      </w:r>
      <w:r w:rsidR="004F50C7" w:rsidRPr="00DF323D">
        <w:rPr>
          <w:color w:val="000000" w:themeColor="text1"/>
        </w:rPr>
        <w:t xml:space="preserve"> </w:t>
      </w:r>
      <w:r w:rsidR="00C11BA9" w:rsidRPr="0010021F">
        <w:rPr>
          <w:color w:val="000000" w:themeColor="text1"/>
        </w:rPr>
        <w:t>Prewarm the heating pad to 30°C–35°C (hand-warm) and maintain this temperature throughout the surgery. Replace the heating pad if its temperature drops below 30°C during prolonged surgical procedures.</w:t>
      </w:r>
    </w:p>
    <w:p w14:paraId="4199C962" w14:textId="77777777" w:rsidR="00346ED5" w:rsidRPr="00DF323D" w:rsidRDefault="00346ED5" w:rsidP="008134A1">
      <w:pPr>
        <w:spacing w:line="0" w:lineRule="atLeast"/>
        <w:rPr>
          <w:color w:val="000000" w:themeColor="text1"/>
        </w:rPr>
      </w:pPr>
    </w:p>
    <w:p w14:paraId="43CF9569" w14:textId="77777777" w:rsidR="00346ED5" w:rsidRPr="00DF323D" w:rsidRDefault="00150DE5" w:rsidP="008134A1">
      <w:pPr>
        <w:spacing w:line="0" w:lineRule="atLeast"/>
        <w:rPr>
          <w:b/>
          <w:bCs/>
          <w:color w:val="000000" w:themeColor="text1"/>
        </w:rPr>
      </w:pPr>
      <w:r w:rsidRPr="00DF323D">
        <w:rPr>
          <w:b/>
          <w:bCs/>
          <w:color w:val="000000" w:themeColor="text1"/>
        </w:rPr>
        <w:t>2. Animal Preparation</w:t>
      </w:r>
    </w:p>
    <w:p w14:paraId="0DA3AAB3" w14:textId="77777777" w:rsidR="00346ED5" w:rsidRPr="00DF323D" w:rsidRDefault="00346ED5" w:rsidP="008134A1">
      <w:pPr>
        <w:spacing w:line="0" w:lineRule="atLeast"/>
        <w:rPr>
          <w:color w:val="000000" w:themeColor="text1"/>
        </w:rPr>
      </w:pPr>
    </w:p>
    <w:p w14:paraId="5AD8486D" w14:textId="77777777" w:rsidR="00346ED5" w:rsidRPr="00DF323D" w:rsidRDefault="00150DE5" w:rsidP="008134A1">
      <w:pPr>
        <w:spacing w:line="0" w:lineRule="atLeast"/>
        <w:rPr>
          <w:color w:val="000000" w:themeColor="text1"/>
        </w:rPr>
      </w:pPr>
      <w:r w:rsidRPr="00DF323D">
        <w:rPr>
          <w:color w:val="000000" w:themeColor="text1"/>
        </w:rPr>
        <w:t>2.1. Anesthesia</w:t>
      </w:r>
    </w:p>
    <w:p w14:paraId="365F6EAA" w14:textId="77777777" w:rsidR="00346ED5" w:rsidRPr="00DF323D" w:rsidRDefault="00346ED5" w:rsidP="008134A1">
      <w:pPr>
        <w:spacing w:line="0" w:lineRule="atLeast"/>
        <w:rPr>
          <w:color w:val="000000" w:themeColor="text1"/>
        </w:rPr>
      </w:pPr>
    </w:p>
    <w:p w14:paraId="06254D46" w14:textId="77777777" w:rsidR="00346ED5" w:rsidRPr="00DF323D" w:rsidRDefault="00150DE5" w:rsidP="008134A1">
      <w:pPr>
        <w:spacing w:line="0" w:lineRule="atLeast"/>
        <w:rPr>
          <w:color w:val="000000" w:themeColor="text1"/>
        </w:rPr>
      </w:pPr>
      <w:r w:rsidRPr="00DF323D">
        <w:rPr>
          <w:color w:val="000000" w:themeColor="text1"/>
        </w:rPr>
        <w:t>2.1.1. Use a general anesthetic regimen appropriate for the surgical procedure.</w:t>
      </w:r>
    </w:p>
    <w:p w14:paraId="60121DEA" w14:textId="77777777" w:rsidR="00346ED5" w:rsidRPr="00DF323D" w:rsidRDefault="00346ED5" w:rsidP="008134A1">
      <w:pPr>
        <w:spacing w:line="0" w:lineRule="atLeast"/>
        <w:rPr>
          <w:color w:val="000000" w:themeColor="text1"/>
        </w:rPr>
      </w:pPr>
    </w:p>
    <w:p w14:paraId="32128FA5" w14:textId="109539D5" w:rsidR="00346ED5" w:rsidRPr="00DF323D" w:rsidRDefault="00150DE5" w:rsidP="008134A1">
      <w:pPr>
        <w:spacing w:line="0" w:lineRule="atLeast"/>
        <w:rPr>
          <w:color w:val="000000" w:themeColor="text1"/>
        </w:rPr>
      </w:pPr>
      <w:r w:rsidRPr="00DF323D">
        <w:rPr>
          <w:color w:val="000000" w:themeColor="text1"/>
        </w:rPr>
        <w:t xml:space="preserve">2.1.2. </w:t>
      </w:r>
      <w:r w:rsidR="00C11BA9" w:rsidRPr="00DF323D">
        <w:rPr>
          <w:color w:val="000000" w:themeColor="text1"/>
        </w:rPr>
        <w:t>Prepare a fresh anesthetic mixture containing medetomidine (0.15 mg/kg), midazolam (2 mg/kg), and fentanyl (0.005 mg/kg) according to the provided calculation table (</w:t>
      </w:r>
      <w:r w:rsidR="00C11BA9" w:rsidRPr="00DF323D">
        <w:rPr>
          <w:b/>
          <w:bCs/>
          <w:color w:val="000000" w:themeColor="text1"/>
        </w:rPr>
        <w:t>Table 1</w:t>
      </w:r>
      <w:r w:rsidR="00C11BA9" w:rsidRPr="00DF323D">
        <w:rPr>
          <w:color w:val="000000" w:themeColor="text1"/>
        </w:rPr>
        <w:t>). Select the anesthetic dose and corresponding final injection volume based on the body weight closest to the animal</w:t>
      </w:r>
      <w:r w:rsidR="00A21DAC">
        <w:rPr>
          <w:color w:val="000000" w:themeColor="text1"/>
        </w:rPr>
        <w:t>’</w:t>
      </w:r>
      <w:r w:rsidR="00C11BA9" w:rsidRPr="00DF323D">
        <w:rPr>
          <w:color w:val="000000" w:themeColor="text1"/>
        </w:rPr>
        <w:t xml:space="preserve">s exact </w:t>
      </w:r>
      <w:proofErr w:type="gramStart"/>
      <w:r w:rsidR="00C11BA9" w:rsidRPr="00DF323D">
        <w:rPr>
          <w:color w:val="000000" w:themeColor="text1"/>
        </w:rPr>
        <w:t>weight, and</w:t>
      </w:r>
      <w:proofErr w:type="gramEnd"/>
      <w:r w:rsidR="00C11BA9" w:rsidRPr="00DF323D">
        <w:rPr>
          <w:color w:val="000000" w:themeColor="text1"/>
        </w:rPr>
        <w:t xml:space="preserve"> administer the mixture intramuscularly using a 1 mL syringe fitted with a 27G needle.</w:t>
      </w:r>
    </w:p>
    <w:p w14:paraId="0D1D8D87" w14:textId="77777777" w:rsidR="00346ED5" w:rsidRPr="00DF323D" w:rsidRDefault="00346ED5" w:rsidP="008134A1">
      <w:pPr>
        <w:spacing w:line="0" w:lineRule="atLeast"/>
        <w:rPr>
          <w:color w:val="000000" w:themeColor="text1"/>
        </w:rPr>
      </w:pPr>
    </w:p>
    <w:p w14:paraId="560ADEE2" w14:textId="7D0676E0" w:rsidR="00C33A20" w:rsidRPr="00DF323D" w:rsidRDefault="00150DE5" w:rsidP="008134A1">
      <w:pPr>
        <w:spacing w:line="0" w:lineRule="atLeast"/>
        <w:rPr>
          <w:color w:val="000000" w:themeColor="text1"/>
        </w:rPr>
      </w:pPr>
      <w:r w:rsidRPr="00DF323D">
        <w:rPr>
          <w:color w:val="000000" w:themeColor="text1"/>
        </w:rPr>
        <w:t xml:space="preserve">[Place </w:t>
      </w:r>
      <w:r w:rsidRPr="00DF323D">
        <w:rPr>
          <w:b/>
          <w:bCs/>
          <w:color w:val="000000" w:themeColor="text1"/>
        </w:rPr>
        <w:t>Table 1</w:t>
      </w:r>
      <w:r w:rsidRPr="00DF323D">
        <w:rPr>
          <w:color w:val="000000" w:themeColor="text1"/>
        </w:rPr>
        <w:t xml:space="preserve"> here.]</w:t>
      </w:r>
    </w:p>
    <w:p w14:paraId="113FCE98" w14:textId="77777777" w:rsidR="00C11BA9" w:rsidRPr="00DF323D" w:rsidRDefault="00C11BA9" w:rsidP="008134A1">
      <w:pPr>
        <w:spacing w:line="0" w:lineRule="atLeast"/>
        <w:rPr>
          <w:strike/>
          <w:color w:val="000000" w:themeColor="text1"/>
        </w:rPr>
      </w:pPr>
    </w:p>
    <w:p w14:paraId="089021BF" w14:textId="30F0642D" w:rsidR="00346ED5" w:rsidRPr="00695E96" w:rsidRDefault="00150DE5" w:rsidP="008134A1">
      <w:pPr>
        <w:spacing w:line="0" w:lineRule="atLeast"/>
        <w:rPr>
          <w:color w:val="000000" w:themeColor="text1"/>
          <w:highlight w:val="yellow"/>
        </w:rPr>
      </w:pPr>
      <w:r w:rsidRPr="00695E96">
        <w:rPr>
          <w:color w:val="000000" w:themeColor="text1"/>
          <w:highlight w:val="yellow"/>
        </w:rPr>
        <w:t>2.2. Surgical Preparation</w:t>
      </w:r>
    </w:p>
    <w:p w14:paraId="1C6B3FAE" w14:textId="77777777" w:rsidR="00346ED5" w:rsidRPr="00695E96" w:rsidRDefault="00346ED5" w:rsidP="008134A1">
      <w:pPr>
        <w:spacing w:line="0" w:lineRule="atLeast"/>
        <w:rPr>
          <w:color w:val="000000" w:themeColor="text1"/>
          <w:highlight w:val="yellow"/>
        </w:rPr>
      </w:pPr>
    </w:p>
    <w:p w14:paraId="5976BEE4"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2.2.1. Once the rat is anesthetized, shave the lower abdomen to the vaginal region.</w:t>
      </w:r>
    </w:p>
    <w:p w14:paraId="3B861203" w14:textId="77777777" w:rsidR="00346ED5" w:rsidRPr="00695E96" w:rsidRDefault="00346ED5" w:rsidP="008134A1">
      <w:pPr>
        <w:spacing w:line="0" w:lineRule="atLeast"/>
        <w:rPr>
          <w:color w:val="000000" w:themeColor="text1"/>
          <w:highlight w:val="yellow"/>
        </w:rPr>
      </w:pPr>
    </w:p>
    <w:p w14:paraId="216DC71F"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2.2.2. Wash the surgical field twice with warm soapy water.</w:t>
      </w:r>
    </w:p>
    <w:p w14:paraId="0B7CB56D" w14:textId="77777777" w:rsidR="00346ED5" w:rsidRPr="00695E96" w:rsidRDefault="00346ED5" w:rsidP="008134A1">
      <w:pPr>
        <w:spacing w:line="0" w:lineRule="atLeast"/>
        <w:rPr>
          <w:color w:val="000000" w:themeColor="text1"/>
          <w:highlight w:val="yellow"/>
        </w:rPr>
      </w:pPr>
    </w:p>
    <w:p w14:paraId="4A48BCD0"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2.2.3. Wash the surgical field twice with warm clean water.</w:t>
      </w:r>
    </w:p>
    <w:p w14:paraId="63804377" w14:textId="77777777" w:rsidR="00346ED5" w:rsidRPr="00695E96" w:rsidRDefault="00346ED5" w:rsidP="008134A1">
      <w:pPr>
        <w:spacing w:line="0" w:lineRule="atLeast"/>
        <w:rPr>
          <w:color w:val="000000" w:themeColor="text1"/>
          <w:highlight w:val="yellow"/>
        </w:rPr>
      </w:pPr>
    </w:p>
    <w:p w14:paraId="4AA90625"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2.2.4. Disinfect the surgical field twice with a mixture of 7.5% povidone-iodine and 70% alcohol, including the vaginal region.</w:t>
      </w:r>
    </w:p>
    <w:p w14:paraId="515D9215" w14:textId="77777777" w:rsidR="00346ED5" w:rsidRPr="00695E96" w:rsidRDefault="00346ED5" w:rsidP="008134A1">
      <w:pPr>
        <w:spacing w:line="0" w:lineRule="atLeast"/>
        <w:rPr>
          <w:color w:val="000000" w:themeColor="text1"/>
          <w:highlight w:val="yellow"/>
        </w:rPr>
      </w:pPr>
    </w:p>
    <w:p w14:paraId="0DBA04E7"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2.2.5. Administer 1.5 mg enrofloxacin and 0.2 mg long-acting meloxicam, dissolved in 0.2 mL pre-warmed 0.9% sodium chloride (NaCl), subcutaneously.</w:t>
      </w:r>
    </w:p>
    <w:p w14:paraId="345ABA28" w14:textId="77777777" w:rsidR="00346ED5" w:rsidRPr="00695E96" w:rsidRDefault="00346ED5" w:rsidP="008134A1">
      <w:pPr>
        <w:spacing w:line="0" w:lineRule="atLeast"/>
        <w:rPr>
          <w:color w:val="000000" w:themeColor="text1"/>
          <w:highlight w:val="yellow"/>
        </w:rPr>
      </w:pPr>
    </w:p>
    <w:p w14:paraId="17A458C4"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2.2.6. Administer 3 mL pre-warmed 0.9% NaCl subcutaneously to compensate for fluid loss.</w:t>
      </w:r>
    </w:p>
    <w:p w14:paraId="16EE0E94" w14:textId="77777777" w:rsidR="00346ED5" w:rsidRPr="00695E96" w:rsidRDefault="00346ED5" w:rsidP="008134A1">
      <w:pPr>
        <w:spacing w:line="0" w:lineRule="atLeast"/>
        <w:rPr>
          <w:color w:val="000000" w:themeColor="text1"/>
          <w:highlight w:val="yellow"/>
        </w:rPr>
      </w:pPr>
    </w:p>
    <w:p w14:paraId="45B20028"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 xml:space="preserve">2.2.7. Apply 2% </w:t>
      </w:r>
      <w:proofErr w:type="spellStart"/>
      <w:r w:rsidRPr="00695E96">
        <w:rPr>
          <w:color w:val="000000" w:themeColor="text1"/>
          <w:highlight w:val="yellow"/>
        </w:rPr>
        <w:t>dexpanthenol</w:t>
      </w:r>
      <w:proofErr w:type="spellEnd"/>
      <w:r w:rsidRPr="00695E96">
        <w:rPr>
          <w:color w:val="000000" w:themeColor="text1"/>
          <w:highlight w:val="yellow"/>
        </w:rPr>
        <w:t xml:space="preserve"> ophthalmic ointment to both eyes to prevent corneal desiccation.</w:t>
      </w:r>
    </w:p>
    <w:p w14:paraId="58BCE7CE" w14:textId="77777777" w:rsidR="00346ED5" w:rsidRPr="00695E96" w:rsidRDefault="00346ED5" w:rsidP="008134A1">
      <w:pPr>
        <w:spacing w:line="0" w:lineRule="atLeast"/>
        <w:rPr>
          <w:color w:val="000000" w:themeColor="text1"/>
          <w:highlight w:val="yellow"/>
        </w:rPr>
      </w:pPr>
    </w:p>
    <w:p w14:paraId="6215AB8A"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2.2.8. Position the animal supine on the pre-warmed heating pad and adjust the microscope or magnification glasses.</w:t>
      </w:r>
    </w:p>
    <w:p w14:paraId="7462C7F0" w14:textId="77777777" w:rsidR="00346ED5" w:rsidRPr="00695E96" w:rsidRDefault="00346ED5" w:rsidP="008134A1">
      <w:pPr>
        <w:spacing w:line="0" w:lineRule="atLeast"/>
        <w:rPr>
          <w:color w:val="000000" w:themeColor="text1"/>
          <w:highlight w:val="yellow"/>
        </w:rPr>
      </w:pPr>
    </w:p>
    <w:p w14:paraId="0C9D373B"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 xml:space="preserve">2.2.9. Confirm an adequate surgical </w:t>
      </w:r>
      <w:proofErr w:type="gramStart"/>
      <w:r w:rsidRPr="00695E96">
        <w:rPr>
          <w:color w:val="000000" w:themeColor="text1"/>
          <w:highlight w:val="yellow"/>
        </w:rPr>
        <w:t>plane</w:t>
      </w:r>
      <w:proofErr w:type="gramEnd"/>
      <w:r w:rsidRPr="00695E96">
        <w:rPr>
          <w:color w:val="000000" w:themeColor="text1"/>
          <w:highlight w:val="yellow"/>
        </w:rPr>
        <w:t xml:space="preserve"> of anesthesia by performing a nociceptive withdrawal test on both hindlimbs before beginning surgery.</w:t>
      </w:r>
    </w:p>
    <w:p w14:paraId="065C7B6C" w14:textId="77777777" w:rsidR="00346ED5" w:rsidRPr="00695E96" w:rsidRDefault="00346ED5" w:rsidP="008134A1">
      <w:pPr>
        <w:spacing w:line="0" w:lineRule="atLeast"/>
        <w:rPr>
          <w:b/>
          <w:bCs/>
          <w:color w:val="000000" w:themeColor="text1"/>
          <w:highlight w:val="yellow"/>
        </w:rPr>
      </w:pPr>
    </w:p>
    <w:p w14:paraId="24F79F6D" w14:textId="008DAF8F" w:rsidR="00346ED5" w:rsidRPr="00695E96" w:rsidRDefault="00150DE5" w:rsidP="008134A1">
      <w:pPr>
        <w:spacing w:line="0" w:lineRule="atLeast"/>
        <w:rPr>
          <w:strike/>
          <w:color w:val="000000" w:themeColor="text1"/>
          <w:highlight w:val="yellow"/>
        </w:rPr>
      </w:pPr>
      <w:r w:rsidRPr="00695E96">
        <w:rPr>
          <w:color w:val="000000" w:themeColor="text1"/>
          <w:highlight w:val="yellow"/>
        </w:rPr>
        <w:t xml:space="preserve">2.2.10. </w:t>
      </w:r>
      <w:r w:rsidR="00C8495E" w:rsidRPr="00695E96">
        <w:rPr>
          <w:color w:val="000000" w:themeColor="text1"/>
          <w:highlight w:val="yellow"/>
        </w:rPr>
        <w:t>If the withdrawal reflex is still present, wait 2 min and repeat the nociceptive withdrawal test. Continue this procedure at 2-min intervals until the reflex is absent.</w:t>
      </w:r>
    </w:p>
    <w:p w14:paraId="4AABCD1F" w14:textId="77777777" w:rsidR="00346ED5" w:rsidRPr="00695E96" w:rsidRDefault="00346ED5" w:rsidP="008134A1">
      <w:pPr>
        <w:spacing w:line="0" w:lineRule="atLeast"/>
        <w:rPr>
          <w:color w:val="000000" w:themeColor="text1"/>
          <w:highlight w:val="yellow"/>
        </w:rPr>
      </w:pPr>
    </w:p>
    <w:p w14:paraId="3BE904C4" w14:textId="77777777" w:rsidR="00346ED5" w:rsidRPr="00695E96" w:rsidRDefault="00150DE5" w:rsidP="008134A1">
      <w:pPr>
        <w:spacing w:line="0" w:lineRule="atLeast"/>
        <w:rPr>
          <w:b/>
          <w:bCs/>
          <w:color w:val="000000" w:themeColor="text1"/>
          <w:highlight w:val="yellow"/>
        </w:rPr>
      </w:pPr>
      <w:r w:rsidRPr="00695E96">
        <w:rPr>
          <w:b/>
          <w:bCs/>
          <w:color w:val="000000" w:themeColor="text1"/>
          <w:highlight w:val="yellow"/>
        </w:rPr>
        <w:t>3. Bladder Preparation</w:t>
      </w:r>
    </w:p>
    <w:p w14:paraId="75689942" w14:textId="77777777" w:rsidR="00346ED5" w:rsidRPr="00695E96" w:rsidRDefault="00346ED5" w:rsidP="008134A1">
      <w:pPr>
        <w:spacing w:line="0" w:lineRule="atLeast"/>
        <w:rPr>
          <w:color w:val="000000" w:themeColor="text1"/>
          <w:highlight w:val="yellow"/>
        </w:rPr>
      </w:pPr>
    </w:p>
    <w:p w14:paraId="4C8D7845" w14:textId="77777777" w:rsidR="00C8495E" w:rsidRPr="00695E96" w:rsidRDefault="00C8495E" w:rsidP="008134A1">
      <w:pPr>
        <w:spacing w:line="0" w:lineRule="atLeast"/>
        <w:rPr>
          <w:color w:val="000000" w:themeColor="text1"/>
          <w:highlight w:val="yellow"/>
          <w:lang w:val="en-IN"/>
        </w:rPr>
      </w:pPr>
      <w:r w:rsidRPr="00695E96">
        <w:rPr>
          <w:color w:val="000000" w:themeColor="text1"/>
          <w:highlight w:val="yellow"/>
          <w:lang w:val="en-IN"/>
        </w:rPr>
        <w:t>3.1. To allow a tension-free vesicostomy, make a 3 mm longitudinal midline skin incision using a No. 11 scalpel blade while stabilizing the skin with hooked (Adson) forceps, approximately two-thirds of the distance between the second and third teat pairs (counted from caudal to cranial). This incision corresponds to the level of the bladder dome.</w:t>
      </w:r>
    </w:p>
    <w:p w14:paraId="71335A5F" w14:textId="77777777" w:rsidR="00C8495E" w:rsidRPr="00695E96" w:rsidRDefault="00C8495E" w:rsidP="008134A1">
      <w:pPr>
        <w:spacing w:line="0" w:lineRule="atLeast"/>
        <w:rPr>
          <w:color w:val="000000" w:themeColor="text1"/>
          <w:highlight w:val="yellow"/>
          <w:lang w:val="en-IN"/>
        </w:rPr>
      </w:pPr>
    </w:p>
    <w:p w14:paraId="6A4BC4C8" w14:textId="219877A9" w:rsidR="00C8495E" w:rsidRPr="00695E96" w:rsidRDefault="00C8495E" w:rsidP="008134A1">
      <w:pPr>
        <w:spacing w:line="0" w:lineRule="atLeast"/>
        <w:rPr>
          <w:color w:val="000000" w:themeColor="text1"/>
          <w:highlight w:val="yellow"/>
          <w:lang w:val="en-IN"/>
        </w:rPr>
      </w:pPr>
      <w:r w:rsidRPr="00695E96">
        <w:rPr>
          <w:color w:val="000000" w:themeColor="text1"/>
          <w:highlight w:val="yellow"/>
          <w:lang w:val="en-IN"/>
        </w:rPr>
        <w:t xml:space="preserve">3.2. Identify the subcutaneous abdominal muscles and the </w:t>
      </w:r>
      <w:proofErr w:type="spellStart"/>
      <w:r w:rsidRPr="00695E96">
        <w:rPr>
          <w:color w:val="000000" w:themeColor="text1"/>
          <w:highlight w:val="yellow"/>
          <w:lang w:val="en-IN"/>
        </w:rPr>
        <w:t>linea</w:t>
      </w:r>
      <w:proofErr w:type="spellEnd"/>
      <w:r w:rsidRPr="00695E96">
        <w:rPr>
          <w:color w:val="000000" w:themeColor="text1"/>
          <w:highlight w:val="yellow"/>
          <w:lang w:val="en-IN"/>
        </w:rPr>
        <w:t xml:space="preserve"> alba. Incise the outer fascia with the scalpel, bluntly dissect the abdominal muscle layers using micro scissors, then carefully incise the peritoneum and open the abdominal cavity using hooked micro forceps.</w:t>
      </w:r>
    </w:p>
    <w:p w14:paraId="42A6D71F" w14:textId="77777777" w:rsidR="00C8495E" w:rsidRPr="00695E96" w:rsidRDefault="00C8495E" w:rsidP="008134A1">
      <w:pPr>
        <w:spacing w:line="0" w:lineRule="atLeast"/>
        <w:rPr>
          <w:color w:val="000000" w:themeColor="text1"/>
          <w:highlight w:val="yellow"/>
          <w:lang w:val="en-IN"/>
        </w:rPr>
      </w:pPr>
    </w:p>
    <w:p w14:paraId="11E4ACF2" w14:textId="12F91A8E" w:rsidR="00811F37" w:rsidRPr="00695E96" w:rsidRDefault="00C8495E" w:rsidP="008134A1">
      <w:pPr>
        <w:spacing w:line="0" w:lineRule="atLeast"/>
        <w:rPr>
          <w:color w:val="000000" w:themeColor="text1"/>
          <w:highlight w:val="yellow"/>
          <w:lang w:val="en-IN"/>
        </w:rPr>
      </w:pPr>
      <w:r w:rsidRPr="00695E96">
        <w:rPr>
          <w:color w:val="000000" w:themeColor="text1"/>
          <w:highlight w:val="yellow"/>
          <w:lang w:val="en-IN"/>
        </w:rPr>
        <w:t>3.3. To identify the bladder within the abdominal cavity, gently elevate both sides of the abdominal muscle layers at the incision to improve visualization and locate the bladder beneath the fatty tissue. If the bladder cannot be identified, perform transurethral catheterization and repeat the localization.</w:t>
      </w:r>
    </w:p>
    <w:p w14:paraId="3E7820B5" w14:textId="77777777" w:rsidR="00EA1B1E" w:rsidRPr="00695E96" w:rsidRDefault="00EA1B1E" w:rsidP="008134A1">
      <w:pPr>
        <w:spacing w:line="0" w:lineRule="atLeast"/>
        <w:rPr>
          <w:color w:val="000000" w:themeColor="text1"/>
          <w:highlight w:val="yellow"/>
        </w:rPr>
      </w:pPr>
    </w:p>
    <w:p w14:paraId="3A0EF66C" w14:textId="77777777" w:rsidR="00346ED5" w:rsidRPr="00695E96" w:rsidRDefault="00150DE5" w:rsidP="008134A1">
      <w:pPr>
        <w:spacing w:line="0" w:lineRule="atLeast"/>
        <w:rPr>
          <w:b/>
          <w:bCs/>
          <w:color w:val="000000" w:themeColor="text1"/>
          <w:highlight w:val="yellow"/>
        </w:rPr>
      </w:pPr>
      <w:r w:rsidRPr="00695E96">
        <w:rPr>
          <w:b/>
          <w:bCs/>
          <w:color w:val="000000" w:themeColor="text1"/>
          <w:highlight w:val="yellow"/>
        </w:rPr>
        <w:t>4. Transurethral Catheter Placement</w:t>
      </w:r>
    </w:p>
    <w:p w14:paraId="6B10662C" w14:textId="77777777" w:rsidR="00346ED5" w:rsidRPr="00695E96" w:rsidRDefault="00346ED5" w:rsidP="008134A1">
      <w:pPr>
        <w:spacing w:line="0" w:lineRule="atLeast"/>
        <w:rPr>
          <w:b/>
          <w:bCs/>
          <w:color w:val="000000" w:themeColor="text1"/>
          <w:highlight w:val="yellow"/>
        </w:rPr>
      </w:pPr>
    </w:p>
    <w:p w14:paraId="6F2C9720"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4.1. Fill the bladder through a transurethral catheter to facilitate bladder identification.</w:t>
      </w:r>
    </w:p>
    <w:p w14:paraId="1CAE8B42" w14:textId="77777777" w:rsidR="00346ED5" w:rsidRPr="00695E96" w:rsidRDefault="00346ED5" w:rsidP="008134A1">
      <w:pPr>
        <w:spacing w:line="0" w:lineRule="atLeast"/>
        <w:rPr>
          <w:color w:val="000000" w:themeColor="text1"/>
          <w:highlight w:val="yellow"/>
        </w:rPr>
      </w:pPr>
    </w:p>
    <w:p w14:paraId="6F21145A"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 xml:space="preserve">4.2. Apply lubricating gel to a 24G peripheral venous catheter (without stylet) and to the urethral meatus. Lift the periurethral skin with </w:t>
      </w:r>
      <w:proofErr w:type="gramStart"/>
      <w:r w:rsidRPr="00695E96">
        <w:rPr>
          <w:color w:val="000000" w:themeColor="text1"/>
          <w:highlight w:val="yellow"/>
        </w:rPr>
        <w:t>small serrated</w:t>
      </w:r>
      <w:proofErr w:type="gramEnd"/>
      <w:r w:rsidRPr="00695E96">
        <w:rPr>
          <w:color w:val="000000" w:themeColor="text1"/>
          <w:highlight w:val="yellow"/>
        </w:rPr>
        <w:t xml:space="preserve"> forceps and insert the catheter at approximately 110° to facilitate atraumatic placement.</w:t>
      </w:r>
    </w:p>
    <w:p w14:paraId="6316B56F" w14:textId="77777777" w:rsidR="00346ED5" w:rsidRPr="00695E96" w:rsidRDefault="00346ED5" w:rsidP="008134A1">
      <w:pPr>
        <w:spacing w:line="0" w:lineRule="atLeast"/>
        <w:rPr>
          <w:color w:val="000000" w:themeColor="text1"/>
          <w:highlight w:val="yellow"/>
        </w:rPr>
      </w:pPr>
    </w:p>
    <w:p w14:paraId="7F0EC91B" w14:textId="05B0486F" w:rsidR="00C8495E" w:rsidRPr="00695E96" w:rsidRDefault="00C8495E" w:rsidP="008134A1">
      <w:pPr>
        <w:spacing w:line="0" w:lineRule="atLeast"/>
        <w:rPr>
          <w:color w:val="000000" w:themeColor="text1"/>
          <w:highlight w:val="yellow"/>
          <w:lang w:val="en-IN"/>
        </w:rPr>
      </w:pPr>
      <w:r w:rsidRPr="00695E96">
        <w:rPr>
          <w:color w:val="000000" w:themeColor="text1"/>
          <w:highlight w:val="yellow"/>
          <w:lang w:val="en-IN"/>
        </w:rPr>
        <w:t xml:space="preserve">4.3. Advance the catheter </w:t>
      </w:r>
      <w:proofErr w:type="spellStart"/>
      <w:r w:rsidRPr="00695E96">
        <w:rPr>
          <w:color w:val="000000" w:themeColor="text1"/>
          <w:highlight w:val="yellow"/>
          <w:lang w:val="en-IN"/>
        </w:rPr>
        <w:t>atraumatically</w:t>
      </w:r>
      <w:proofErr w:type="spellEnd"/>
      <w:r w:rsidRPr="00695E96">
        <w:rPr>
          <w:color w:val="000000" w:themeColor="text1"/>
          <w:highlight w:val="yellow"/>
          <w:lang w:val="en-IN"/>
        </w:rPr>
        <w:t xml:space="preserve"> through the urethra to the level of the pubic bone. Lower the catheter until it is parallel to the animal</w:t>
      </w:r>
      <w:r w:rsidR="00A21DAC" w:rsidRPr="00695E96">
        <w:rPr>
          <w:color w:val="000000" w:themeColor="text1"/>
          <w:highlight w:val="yellow"/>
          <w:lang w:val="en-IN"/>
        </w:rPr>
        <w:t>’</w:t>
      </w:r>
      <w:r w:rsidRPr="00695E96">
        <w:rPr>
          <w:color w:val="000000" w:themeColor="text1"/>
          <w:highlight w:val="yellow"/>
          <w:lang w:val="en-IN"/>
        </w:rPr>
        <w:t xml:space="preserve">s body and continue advancing it gently into the bladder. If resistance is encountered approximately 1 cm into the urethra, withdraw the </w:t>
      </w:r>
      <w:r w:rsidRPr="00695E96">
        <w:rPr>
          <w:color w:val="000000" w:themeColor="text1"/>
          <w:highlight w:val="yellow"/>
          <w:lang w:val="en-IN"/>
        </w:rPr>
        <w:lastRenderedPageBreak/>
        <w:t>catheter completely and repeat the insertion. If the catheter advances smoothly for at least 2 cm, proceed with bladder filling.</w:t>
      </w:r>
    </w:p>
    <w:p w14:paraId="38FBCBF3" w14:textId="77777777" w:rsidR="00C8495E" w:rsidRPr="00695E96" w:rsidRDefault="00C8495E" w:rsidP="008134A1">
      <w:pPr>
        <w:spacing w:line="0" w:lineRule="atLeast"/>
        <w:rPr>
          <w:color w:val="000000" w:themeColor="text1"/>
          <w:highlight w:val="yellow"/>
          <w:lang w:val="en-IN"/>
        </w:rPr>
      </w:pPr>
    </w:p>
    <w:p w14:paraId="35D59500" w14:textId="69FB57AA" w:rsidR="00346ED5" w:rsidRPr="00695E96" w:rsidRDefault="00C8495E" w:rsidP="008134A1">
      <w:pPr>
        <w:spacing w:line="0" w:lineRule="atLeast"/>
        <w:rPr>
          <w:color w:val="000000" w:themeColor="text1"/>
          <w:highlight w:val="yellow"/>
          <w:lang w:val="en-IN"/>
        </w:rPr>
      </w:pPr>
      <w:r w:rsidRPr="00695E96">
        <w:rPr>
          <w:color w:val="000000" w:themeColor="text1"/>
          <w:highlight w:val="yellow"/>
          <w:lang w:val="en-IN"/>
        </w:rPr>
        <w:t>4.4. Confirm successful catheter placement by slowly infusing sodium chloride into the bladder without resistance. If catheter placement is unsuccessful, the syringe becomes blocked, and slight withdrawal of the catheter results in leakage of sodium chloride from the urethra.</w:t>
      </w:r>
    </w:p>
    <w:p w14:paraId="5DC1FD3C" w14:textId="77777777" w:rsidR="00346ED5" w:rsidRPr="00695E96" w:rsidRDefault="00346ED5" w:rsidP="008134A1">
      <w:pPr>
        <w:spacing w:line="0" w:lineRule="atLeast"/>
        <w:rPr>
          <w:color w:val="000000" w:themeColor="text1"/>
          <w:highlight w:val="yellow"/>
        </w:rPr>
      </w:pPr>
    </w:p>
    <w:p w14:paraId="761CD7A3" w14:textId="77777777" w:rsidR="00346ED5" w:rsidRPr="00695E96" w:rsidRDefault="00150DE5" w:rsidP="008134A1">
      <w:pPr>
        <w:spacing w:line="0" w:lineRule="atLeast"/>
        <w:rPr>
          <w:b/>
          <w:bCs/>
          <w:color w:val="000000" w:themeColor="text1"/>
          <w:highlight w:val="yellow"/>
        </w:rPr>
      </w:pPr>
      <w:r w:rsidRPr="00695E96">
        <w:rPr>
          <w:b/>
          <w:bCs/>
          <w:color w:val="000000" w:themeColor="text1"/>
          <w:highlight w:val="yellow"/>
        </w:rPr>
        <w:t>5. Bladder Positioning</w:t>
      </w:r>
    </w:p>
    <w:p w14:paraId="4B89772F" w14:textId="77777777" w:rsidR="00346ED5" w:rsidRPr="00695E96" w:rsidRDefault="00346ED5" w:rsidP="008134A1">
      <w:pPr>
        <w:spacing w:line="0" w:lineRule="atLeast"/>
        <w:rPr>
          <w:color w:val="000000" w:themeColor="text1"/>
          <w:highlight w:val="yellow"/>
        </w:rPr>
      </w:pPr>
    </w:p>
    <w:p w14:paraId="73AE205C" w14:textId="24A8ABA5" w:rsidR="00346ED5" w:rsidRPr="00695E96" w:rsidRDefault="00C8495E" w:rsidP="008134A1">
      <w:pPr>
        <w:spacing w:line="0" w:lineRule="atLeast"/>
        <w:rPr>
          <w:color w:val="000000" w:themeColor="text1"/>
          <w:highlight w:val="yellow"/>
        </w:rPr>
      </w:pPr>
      <w:r w:rsidRPr="00695E96">
        <w:rPr>
          <w:color w:val="000000" w:themeColor="text1"/>
          <w:highlight w:val="yellow"/>
        </w:rPr>
        <w:t>5.1. Fill the bladder with a maximum of 400 µL of prewarmed 0.9% NaCl. Ensure that filling proceeds smoothly without increased infusion pressure. Visually monitor bladder filling and confirm that the bladder remains centered within the abdominal cavity. Note that the physiological bladder volume depends on the animal</w:t>
      </w:r>
      <w:r w:rsidR="00A21DAC" w:rsidRPr="00695E96">
        <w:rPr>
          <w:color w:val="000000" w:themeColor="text1"/>
          <w:highlight w:val="yellow"/>
        </w:rPr>
        <w:t>’</w:t>
      </w:r>
      <w:r w:rsidRPr="00695E96">
        <w:rPr>
          <w:color w:val="000000" w:themeColor="text1"/>
          <w:highlight w:val="yellow"/>
        </w:rPr>
        <w:t>s age, body weight, and strain and may vary. For 12-week-old Lewis rats (LEW/</w:t>
      </w:r>
      <w:proofErr w:type="spellStart"/>
      <w:r w:rsidRPr="00695E96">
        <w:rPr>
          <w:color w:val="000000" w:themeColor="text1"/>
          <w:highlight w:val="yellow"/>
        </w:rPr>
        <w:t>Crl</w:t>
      </w:r>
      <w:proofErr w:type="spellEnd"/>
      <w:r w:rsidRPr="00695E96">
        <w:rPr>
          <w:color w:val="000000" w:themeColor="text1"/>
          <w:highlight w:val="yellow"/>
        </w:rPr>
        <w:t>) weighing 200–230 g, the maximum physiological bladder volume is approximately 500 µL. Leave the transurethral catheter in place and refill the bladder if necessary.</w:t>
      </w:r>
      <w:r w:rsidR="00842EAB" w:rsidRPr="00695E96">
        <w:rPr>
          <w:color w:val="000000" w:themeColor="text1"/>
          <w:highlight w:val="yellow"/>
        </w:rPr>
        <w:t xml:space="preserve"> </w:t>
      </w:r>
    </w:p>
    <w:p w14:paraId="2796BD08" w14:textId="77777777" w:rsidR="00C8495E" w:rsidRPr="00695E96" w:rsidRDefault="00C8495E" w:rsidP="008134A1">
      <w:pPr>
        <w:spacing w:line="0" w:lineRule="atLeast"/>
        <w:rPr>
          <w:strike/>
          <w:color w:val="000000" w:themeColor="text1"/>
          <w:highlight w:val="yellow"/>
        </w:rPr>
      </w:pPr>
    </w:p>
    <w:p w14:paraId="2A5B6ED3" w14:textId="39C9919A" w:rsidR="00346ED5" w:rsidRPr="00695E96" w:rsidRDefault="00150DE5" w:rsidP="008134A1">
      <w:pPr>
        <w:spacing w:line="0" w:lineRule="atLeast"/>
        <w:rPr>
          <w:color w:val="000000" w:themeColor="text1"/>
          <w:highlight w:val="yellow"/>
        </w:rPr>
      </w:pPr>
      <w:r w:rsidRPr="00695E96">
        <w:rPr>
          <w:color w:val="000000" w:themeColor="text1"/>
          <w:highlight w:val="yellow"/>
        </w:rPr>
        <w:t>5.</w:t>
      </w:r>
      <w:r w:rsidR="00C8495E" w:rsidRPr="00695E96">
        <w:rPr>
          <w:color w:val="000000" w:themeColor="text1"/>
          <w:highlight w:val="yellow"/>
        </w:rPr>
        <w:t>2</w:t>
      </w:r>
      <w:r w:rsidRPr="00695E96">
        <w:rPr>
          <w:color w:val="000000" w:themeColor="text1"/>
          <w:highlight w:val="yellow"/>
        </w:rPr>
        <w:t>. Inspect the bladder and identify the planned vesicostomy site below the bladder dome on the ventral bladder wall.</w:t>
      </w:r>
    </w:p>
    <w:p w14:paraId="10B7541F" w14:textId="77777777" w:rsidR="00346ED5" w:rsidRPr="00695E96" w:rsidRDefault="00346ED5" w:rsidP="008134A1">
      <w:pPr>
        <w:spacing w:line="0" w:lineRule="atLeast"/>
        <w:rPr>
          <w:color w:val="000000" w:themeColor="text1"/>
          <w:highlight w:val="yellow"/>
        </w:rPr>
      </w:pPr>
    </w:p>
    <w:p w14:paraId="6422D6F7" w14:textId="6DEC045D" w:rsidR="00346ED5" w:rsidRPr="00695E96" w:rsidRDefault="00150DE5" w:rsidP="008134A1">
      <w:pPr>
        <w:spacing w:line="0" w:lineRule="atLeast"/>
        <w:rPr>
          <w:color w:val="000000" w:themeColor="text1"/>
          <w:highlight w:val="yellow"/>
        </w:rPr>
      </w:pPr>
      <w:r w:rsidRPr="00695E96">
        <w:rPr>
          <w:color w:val="000000" w:themeColor="text1"/>
          <w:highlight w:val="yellow"/>
        </w:rPr>
        <w:t>5.</w:t>
      </w:r>
      <w:r w:rsidR="00C8495E" w:rsidRPr="00695E96">
        <w:rPr>
          <w:color w:val="000000" w:themeColor="text1"/>
          <w:highlight w:val="yellow"/>
        </w:rPr>
        <w:t>3</w:t>
      </w:r>
      <w:r w:rsidRPr="00695E96">
        <w:rPr>
          <w:color w:val="000000" w:themeColor="text1"/>
          <w:highlight w:val="yellow"/>
        </w:rPr>
        <w:t xml:space="preserve">. Place two superficial stay sutures using 6-0 coated </w:t>
      </w:r>
      <w:proofErr w:type="spellStart"/>
      <w:r w:rsidRPr="00695E96">
        <w:rPr>
          <w:color w:val="000000" w:themeColor="text1"/>
          <w:highlight w:val="yellow"/>
        </w:rPr>
        <w:t>Vicryl</w:t>
      </w:r>
      <w:proofErr w:type="spellEnd"/>
      <w:r w:rsidRPr="00695E96">
        <w:rPr>
          <w:color w:val="000000" w:themeColor="text1"/>
          <w:highlight w:val="yellow"/>
        </w:rPr>
        <w:t xml:space="preserve"> at the 3 and 9 o</w:t>
      </w:r>
      <w:r w:rsidR="00A21DAC" w:rsidRPr="00695E96">
        <w:rPr>
          <w:color w:val="000000" w:themeColor="text1"/>
          <w:highlight w:val="yellow"/>
        </w:rPr>
        <w:t>’</w:t>
      </w:r>
      <w:r w:rsidRPr="00695E96">
        <w:rPr>
          <w:color w:val="000000" w:themeColor="text1"/>
          <w:highlight w:val="yellow"/>
        </w:rPr>
        <w:t>clock positions on either side of the planned incision site. Secure the suture ends with clamps to maintain bladder position.</w:t>
      </w:r>
    </w:p>
    <w:p w14:paraId="279DBA4B" w14:textId="77777777" w:rsidR="00346ED5" w:rsidRPr="00695E96" w:rsidRDefault="00346ED5" w:rsidP="008134A1">
      <w:pPr>
        <w:spacing w:line="0" w:lineRule="atLeast"/>
        <w:rPr>
          <w:color w:val="000000" w:themeColor="text1"/>
          <w:highlight w:val="yellow"/>
        </w:rPr>
      </w:pPr>
    </w:p>
    <w:p w14:paraId="69008CAF" w14:textId="77777777" w:rsidR="00346ED5" w:rsidRPr="00695E96" w:rsidRDefault="00150DE5" w:rsidP="008134A1">
      <w:pPr>
        <w:spacing w:line="0" w:lineRule="atLeast"/>
        <w:rPr>
          <w:b/>
          <w:bCs/>
          <w:color w:val="000000" w:themeColor="text1"/>
          <w:highlight w:val="yellow"/>
        </w:rPr>
      </w:pPr>
      <w:r w:rsidRPr="00695E96">
        <w:rPr>
          <w:b/>
          <w:bCs/>
          <w:color w:val="000000" w:themeColor="text1"/>
          <w:highlight w:val="yellow"/>
        </w:rPr>
        <w:t>6. Bladder Vesicostomy</w:t>
      </w:r>
    </w:p>
    <w:p w14:paraId="552213AD" w14:textId="77777777" w:rsidR="00346ED5" w:rsidRPr="00695E96" w:rsidRDefault="00346ED5" w:rsidP="008134A1">
      <w:pPr>
        <w:spacing w:line="0" w:lineRule="atLeast"/>
        <w:rPr>
          <w:color w:val="000000" w:themeColor="text1"/>
          <w:highlight w:val="yellow"/>
        </w:rPr>
      </w:pPr>
    </w:p>
    <w:p w14:paraId="1759C897"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6.1. Carefully grasp the bladder dome with hooked micro forceps and make a 3 mm longitudinal incision using a No. 11 scalpel blade. Ensure that the incision transects all layers of the bladder wall to allow immediate urine drainage.</w:t>
      </w:r>
    </w:p>
    <w:p w14:paraId="6A70FC2E" w14:textId="77777777" w:rsidR="00346ED5" w:rsidRPr="00695E96" w:rsidRDefault="00346ED5" w:rsidP="008134A1">
      <w:pPr>
        <w:spacing w:line="0" w:lineRule="atLeast"/>
        <w:rPr>
          <w:color w:val="000000" w:themeColor="text1"/>
          <w:highlight w:val="yellow"/>
        </w:rPr>
      </w:pPr>
    </w:p>
    <w:p w14:paraId="0B875AD0"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6.2. Inspect the incision and, if necessary, enlarge it with micro scissors to approximately 3 mm.</w:t>
      </w:r>
    </w:p>
    <w:p w14:paraId="62B398D4" w14:textId="77777777" w:rsidR="00346ED5" w:rsidRPr="00695E96" w:rsidRDefault="00346ED5" w:rsidP="008134A1">
      <w:pPr>
        <w:spacing w:line="0" w:lineRule="atLeast"/>
        <w:rPr>
          <w:color w:val="000000" w:themeColor="text1"/>
          <w:highlight w:val="yellow"/>
        </w:rPr>
      </w:pPr>
    </w:p>
    <w:p w14:paraId="1EFAF0DB"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6.3. Use the stay sutures to position the bladder for suturing. Remove the transurethral catheter.</w:t>
      </w:r>
    </w:p>
    <w:p w14:paraId="1BF6D45B" w14:textId="77777777" w:rsidR="00346ED5" w:rsidRPr="00695E96" w:rsidRDefault="00346ED5" w:rsidP="008134A1">
      <w:pPr>
        <w:spacing w:line="0" w:lineRule="atLeast"/>
        <w:rPr>
          <w:color w:val="000000" w:themeColor="text1"/>
          <w:highlight w:val="yellow"/>
        </w:rPr>
      </w:pPr>
    </w:p>
    <w:p w14:paraId="673D75E2" w14:textId="2B5BFA36" w:rsidR="00346ED5" w:rsidRPr="00695E96" w:rsidRDefault="00150DE5" w:rsidP="008134A1">
      <w:pPr>
        <w:spacing w:line="0" w:lineRule="atLeast"/>
        <w:rPr>
          <w:color w:val="000000" w:themeColor="text1"/>
          <w:highlight w:val="yellow"/>
        </w:rPr>
      </w:pPr>
      <w:r w:rsidRPr="00695E96">
        <w:rPr>
          <w:color w:val="000000" w:themeColor="text1"/>
          <w:highlight w:val="yellow"/>
        </w:rPr>
        <w:t xml:space="preserve">6.4. Begin suturing with 6-0 coated </w:t>
      </w:r>
      <w:proofErr w:type="spellStart"/>
      <w:r w:rsidRPr="00695E96">
        <w:rPr>
          <w:color w:val="000000" w:themeColor="text1"/>
          <w:highlight w:val="yellow"/>
        </w:rPr>
        <w:t>Vicryl</w:t>
      </w:r>
      <w:proofErr w:type="spellEnd"/>
      <w:r w:rsidRPr="00695E96">
        <w:rPr>
          <w:color w:val="000000" w:themeColor="text1"/>
          <w:highlight w:val="yellow"/>
        </w:rPr>
        <w:t xml:space="preserve"> at the 12 o</w:t>
      </w:r>
      <w:r w:rsidR="00A21DAC" w:rsidRPr="00695E96">
        <w:rPr>
          <w:color w:val="000000" w:themeColor="text1"/>
          <w:highlight w:val="yellow"/>
        </w:rPr>
        <w:t>’</w:t>
      </w:r>
      <w:r w:rsidRPr="00695E96">
        <w:rPr>
          <w:color w:val="000000" w:themeColor="text1"/>
          <w:highlight w:val="yellow"/>
        </w:rPr>
        <w:t>clock position, passing the suture from the luminal side of the bladder wall through the skin while excluding the muscle layer. Place subsequent sutures at the 6, 8, 10, 2, and 4 o</w:t>
      </w:r>
      <w:r w:rsidR="00A21DAC" w:rsidRPr="00695E96">
        <w:rPr>
          <w:color w:val="000000" w:themeColor="text1"/>
          <w:highlight w:val="yellow"/>
        </w:rPr>
        <w:t>’</w:t>
      </w:r>
      <w:r w:rsidRPr="00695E96">
        <w:rPr>
          <w:color w:val="000000" w:themeColor="text1"/>
          <w:highlight w:val="yellow"/>
        </w:rPr>
        <w:t>clock positions until the bladder opening is completely approximated to the skin. Remove the stay sutures once the bladder is securely fixed.</w:t>
      </w:r>
    </w:p>
    <w:p w14:paraId="3BE03C3D" w14:textId="77777777" w:rsidR="00346ED5" w:rsidRPr="00695E96" w:rsidRDefault="00346ED5" w:rsidP="008134A1">
      <w:pPr>
        <w:spacing w:line="0" w:lineRule="atLeast"/>
        <w:rPr>
          <w:color w:val="000000" w:themeColor="text1"/>
          <w:highlight w:val="yellow"/>
        </w:rPr>
      </w:pPr>
    </w:p>
    <w:p w14:paraId="5AF05699" w14:textId="0EECA501" w:rsidR="00C311E9" w:rsidRPr="00695E96" w:rsidRDefault="00F3062A" w:rsidP="008134A1">
      <w:pPr>
        <w:spacing w:line="0" w:lineRule="atLeast"/>
        <w:rPr>
          <w:color w:val="000000" w:themeColor="text1"/>
          <w:highlight w:val="yellow"/>
        </w:rPr>
      </w:pPr>
      <w:r w:rsidRPr="00695E96">
        <w:rPr>
          <w:color w:val="000000" w:themeColor="text1"/>
          <w:highlight w:val="yellow"/>
        </w:rPr>
        <w:t xml:space="preserve">6.5. Consider the vesicostomy complete once the bladder mucosa is fully </w:t>
      </w:r>
      <w:proofErr w:type="spellStart"/>
      <w:r w:rsidRPr="00695E96">
        <w:rPr>
          <w:color w:val="000000" w:themeColor="text1"/>
          <w:highlight w:val="yellow"/>
        </w:rPr>
        <w:t>apposed</w:t>
      </w:r>
      <w:proofErr w:type="spellEnd"/>
      <w:r w:rsidRPr="00695E96">
        <w:rPr>
          <w:color w:val="000000" w:themeColor="text1"/>
          <w:highlight w:val="yellow"/>
        </w:rPr>
        <w:t xml:space="preserve"> to the abdominal skin without visible gaps and the </w:t>
      </w:r>
      <w:r w:rsidRPr="00695E96">
        <w:rPr>
          <w:b/>
          <w:bCs/>
          <w:color w:val="000000" w:themeColor="text1"/>
          <w:highlight w:val="yellow"/>
        </w:rPr>
        <w:t>3–5 mm</w:t>
      </w:r>
      <w:r w:rsidRPr="00695E96">
        <w:rPr>
          <w:color w:val="000000" w:themeColor="text1"/>
          <w:highlight w:val="yellow"/>
        </w:rPr>
        <w:t xml:space="preserve"> vesicostomy opening can be readily intubated with a calibration stick.</w:t>
      </w:r>
    </w:p>
    <w:p w14:paraId="07D4624A" w14:textId="77777777" w:rsidR="00346ED5" w:rsidRPr="00695E96" w:rsidRDefault="00346ED5" w:rsidP="008134A1">
      <w:pPr>
        <w:spacing w:line="0" w:lineRule="atLeast"/>
        <w:rPr>
          <w:color w:val="000000" w:themeColor="text1"/>
          <w:highlight w:val="yellow"/>
        </w:rPr>
      </w:pPr>
    </w:p>
    <w:p w14:paraId="79CB693A"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 xml:space="preserve">6.6. Place four stainless-steel wire sutures approximately 4–5 mm from the stomal edge to </w:t>
      </w:r>
      <w:r w:rsidRPr="00695E96">
        <w:rPr>
          <w:color w:val="000000" w:themeColor="text1"/>
          <w:highlight w:val="yellow"/>
        </w:rPr>
        <w:lastRenderedPageBreak/>
        <w:t>discourage the animal from licking or chewing the surgical site. Pass each wire through the skin using a 20G needle, secure it with two simple overhand knots, and trim the wire ends to approximately 2 mm.</w:t>
      </w:r>
    </w:p>
    <w:p w14:paraId="0B90C6B1" w14:textId="77777777" w:rsidR="00346ED5" w:rsidRPr="00695E96" w:rsidRDefault="00346ED5" w:rsidP="008134A1">
      <w:pPr>
        <w:spacing w:line="0" w:lineRule="atLeast"/>
        <w:rPr>
          <w:color w:val="000000" w:themeColor="text1"/>
          <w:highlight w:val="yellow"/>
        </w:rPr>
      </w:pPr>
    </w:p>
    <w:p w14:paraId="4C232813" w14:textId="77777777" w:rsidR="00346ED5" w:rsidRPr="00695E96" w:rsidRDefault="00150DE5" w:rsidP="008134A1">
      <w:pPr>
        <w:spacing w:line="0" w:lineRule="atLeast"/>
        <w:rPr>
          <w:b/>
          <w:bCs/>
          <w:color w:val="000000" w:themeColor="text1"/>
          <w:highlight w:val="yellow"/>
        </w:rPr>
      </w:pPr>
      <w:r w:rsidRPr="00695E96">
        <w:rPr>
          <w:b/>
          <w:bCs/>
          <w:color w:val="000000" w:themeColor="text1"/>
          <w:highlight w:val="yellow"/>
        </w:rPr>
        <w:t>7. Calibration and Wound Dressing</w:t>
      </w:r>
    </w:p>
    <w:p w14:paraId="7BC54E72" w14:textId="77777777" w:rsidR="00346ED5" w:rsidRPr="00695E96" w:rsidRDefault="00346ED5" w:rsidP="008134A1">
      <w:pPr>
        <w:spacing w:line="0" w:lineRule="atLeast"/>
        <w:rPr>
          <w:color w:val="000000" w:themeColor="text1"/>
          <w:highlight w:val="yellow"/>
        </w:rPr>
      </w:pPr>
    </w:p>
    <w:p w14:paraId="5B5F5AAE"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7.1. Clean the surrounding skin with clean water, followed by incubation for 10 min with a mucosa-compatible antiseptic agent, such as 0.2% sodium hypochlorite solution.</w:t>
      </w:r>
    </w:p>
    <w:p w14:paraId="7426BB5F" w14:textId="77777777" w:rsidR="00346ED5" w:rsidRPr="00695E96" w:rsidRDefault="00346ED5" w:rsidP="008134A1">
      <w:pPr>
        <w:spacing w:line="0" w:lineRule="atLeast"/>
        <w:rPr>
          <w:color w:val="000000" w:themeColor="text1"/>
          <w:highlight w:val="yellow"/>
        </w:rPr>
      </w:pPr>
    </w:p>
    <w:p w14:paraId="573CF30E" w14:textId="77777777" w:rsidR="00A64278" w:rsidRPr="00695E96" w:rsidRDefault="00150DE5" w:rsidP="008134A1">
      <w:pPr>
        <w:spacing w:line="0" w:lineRule="atLeast"/>
        <w:rPr>
          <w:color w:val="000000" w:themeColor="text1"/>
          <w:highlight w:val="yellow"/>
        </w:rPr>
      </w:pPr>
      <w:r w:rsidRPr="00695E96">
        <w:rPr>
          <w:color w:val="000000" w:themeColor="text1"/>
          <w:highlight w:val="yellow"/>
        </w:rPr>
        <w:t xml:space="preserve">7.2. Insert a sterile calibration stick of approximately 6–11 </w:t>
      </w:r>
      <w:proofErr w:type="spellStart"/>
      <w:r w:rsidRPr="00695E96">
        <w:rPr>
          <w:color w:val="000000" w:themeColor="text1"/>
          <w:highlight w:val="yellow"/>
        </w:rPr>
        <w:t>Charrière</w:t>
      </w:r>
      <w:proofErr w:type="spellEnd"/>
      <w:r w:rsidRPr="00695E96">
        <w:rPr>
          <w:color w:val="000000" w:themeColor="text1"/>
          <w:highlight w:val="yellow"/>
        </w:rPr>
        <w:t xml:space="preserve"> (1 </w:t>
      </w:r>
      <w:proofErr w:type="spellStart"/>
      <w:r w:rsidRPr="00695E96">
        <w:rPr>
          <w:color w:val="000000" w:themeColor="text1"/>
          <w:highlight w:val="yellow"/>
        </w:rPr>
        <w:t>Charrière</w:t>
      </w:r>
      <w:proofErr w:type="spellEnd"/>
      <w:r w:rsidRPr="00695E96">
        <w:rPr>
          <w:color w:val="000000" w:themeColor="text1"/>
          <w:highlight w:val="yellow"/>
        </w:rPr>
        <w:t xml:space="preserve"> = approximately 0.33 mm diameter) into the vesicostomy to assess stomal diameter. </w:t>
      </w:r>
    </w:p>
    <w:p w14:paraId="0B522D66" w14:textId="77777777" w:rsidR="00A64278" w:rsidRPr="00695E96" w:rsidRDefault="00A64278" w:rsidP="008134A1">
      <w:pPr>
        <w:spacing w:line="0" w:lineRule="atLeast"/>
        <w:rPr>
          <w:color w:val="000000" w:themeColor="text1"/>
          <w:highlight w:val="yellow"/>
        </w:rPr>
      </w:pPr>
    </w:p>
    <w:p w14:paraId="0CEF1683" w14:textId="69F0C140" w:rsidR="00346ED5" w:rsidRPr="00695E96" w:rsidRDefault="00A64278" w:rsidP="008134A1">
      <w:pPr>
        <w:spacing w:line="0" w:lineRule="atLeast"/>
        <w:rPr>
          <w:strike/>
          <w:color w:val="000000" w:themeColor="text1"/>
          <w:highlight w:val="yellow"/>
        </w:rPr>
      </w:pPr>
      <w:r w:rsidRPr="00695E96">
        <w:rPr>
          <w:color w:val="000000" w:themeColor="text1"/>
          <w:highlight w:val="yellow"/>
        </w:rPr>
        <w:t xml:space="preserve">7.3. </w:t>
      </w:r>
      <w:r w:rsidR="00F3062A" w:rsidRPr="00695E96">
        <w:rPr>
          <w:color w:val="000000" w:themeColor="text1"/>
          <w:highlight w:val="yellow"/>
        </w:rPr>
        <w:t>Use a calibration stick that passes smoothly while filling the stomal lumen without causing inward invagination of the wound edges.</w:t>
      </w:r>
    </w:p>
    <w:p w14:paraId="677864CA" w14:textId="77777777" w:rsidR="00346ED5" w:rsidRPr="00695E96" w:rsidRDefault="00346ED5" w:rsidP="008134A1">
      <w:pPr>
        <w:spacing w:line="0" w:lineRule="atLeast"/>
        <w:rPr>
          <w:color w:val="000000" w:themeColor="text1"/>
          <w:highlight w:val="yellow"/>
        </w:rPr>
      </w:pPr>
    </w:p>
    <w:p w14:paraId="10BF8AAD" w14:textId="77777777" w:rsidR="00346ED5" w:rsidRPr="00695E96" w:rsidRDefault="00150DE5" w:rsidP="008134A1">
      <w:pPr>
        <w:spacing w:line="0" w:lineRule="atLeast"/>
        <w:rPr>
          <w:color w:val="000000" w:themeColor="text1"/>
          <w:highlight w:val="yellow"/>
        </w:rPr>
      </w:pPr>
      <w:r w:rsidRPr="00695E96">
        <w:rPr>
          <w:color w:val="000000" w:themeColor="text1"/>
          <w:highlight w:val="yellow"/>
        </w:rPr>
        <w:t>7.4. Apply topical skin adhesive generously to the shaved abdominal skin, the tissue surrounding the vesicostomy, and the stomal opening.</w:t>
      </w:r>
    </w:p>
    <w:p w14:paraId="1F37DAE7" w14:textId="77777777" w:rsidR="00346ED5" w:rsidRPr="00695E96" w:rsidRDefault="00346ED5" w:rsidP="008134A1">
      <w:pPr>
        <w:spacing w:line="0" w:lineRule="atLeast"/>
        <w:rPr>
          <w:color w:val="000000" w:themeColor="text1"/>
          <w:highlight w:val="yellow"/>
        </w:rPr>
      </w:pPr>
    </w:p>
    <w:p w14:paraId="3CD59168" w14:textId="6C765864" w:rsidR="00346ED5" w:rsidRPr="00DF323D" w:rsidRDefault="00150DE5" w:rsidP="008134A1">
      <w:pPr>
        <w:spacing w:line="0" w:lineRule="atLeast"/>
        <w:rPr>
          <w:color w:val="000000" w:themeColor="text1"/>
        </w:rPr>
      </w:pPr>
      <w:r w:rsidRPr="00695E96">
        <w:rPr>
          <w:color w:val="000000" w:themeColor="text1"/>
          <w:highlight w:val="yellow"/>
        </w:rPr>
        <w:t>7.5. Continuously rotate the calibration stick within the vesicostomy until the adhesive has dried (approximately 10 s), preferably with assistance from a second person, to prevent closure of the vesicostomy.</w:t>
      </w:r>
      <w:r w:rsidR="0094465E" w:rsidRPr="00695E96">
        <w:rPr>
          <w:color w:val="000000" w:themeColor="text1"/>
          <w:highlight w:val="yellow"/>
        </w:rPr>
        <w:t xml:space="preserve"> </w:t>
      </w:r>
      <w:r w:rsidR="009F4B2F" w:rsidRPr="00695E96">
        <w:rPr>
          <w:color w:val="000000" w:themeColor="text1"/>
          <w:highlight w:val="yellow"/>
        </w:rPr>
        <w:t xml:space="preserve">Representative images of the vesicostomy immediately after surgery and after healing are shown in </w:t>
      </w:r>
      <w:r w:rsidR="009F4B2F" w:rsidRPr="00695E96">
        <w:rPr>
          <w:b/>
          <w:bCs/>
          <w:color w:val="000000" w:themeColor="text1"/>
          <w:highlight w:val="yellow"/>
        </w:rPr>
        <w:t>Figure 1</w:t>
      </w:r>
      <w:r w:rsidR="009F4B2F" w:rsidRPr="00695E96">
        <w:rPr>
          <w:color w:val="000000" w:themeColor="text1"/>
          <w:highlight w:val="yellow"/>
        </w:rPr>
        <w:t>.</w:t>
      </w:r>
    </w:p>
    <w:p w14:paraId="45FD4A7D" w14:textId="77777777" w:rsidR="00346ED5" w:rsidRPr="00DF323D" w:rsidRDefault="00346ED5" w:rsidP="008134A1">
      <w:pPr>
        <w:spacing w:line="0" w:lineRule="atLeast"/>
        <w:rPr>
          <w:color w:val="000000" w:themeColor="text1"/>
        </w:rPr>
      </w:pPr>
    </w:p>
    <w:p w14:paraId="4435CA6F" w14:textId="1B2A638F" w:rsidR="0094465E" w:rsidRPr="00DF323D" w:rsidRDefault="00150DE5" w:rsidP="008134A1">
      <w:pPr>
        <w:spacing w:line="0" w:lineRule="atLeast"/>
        <w:rPr>
          <w:color w:val="000000" w:themeColor="text1"/>
        </w:rPr>
      </w:pPr>
      <w:r w:rsidRPr="00DF323D">
        <w:rPr>
          <w:color w:val="000000" w:themeColor="text1"/>
        </w:rPr>
        <w:t xml:space="preserve">[Place </w:t>
      </w:r>
      <w:r w:rsidRPr="00DF323D">
        <w:rPr>
          <w:b/>
          <w:bCs/>
          <w:color w:val="000000" w:themeColor="text1"/>
        </w:rPr>
        <w:t>Figure 1</w:t>
      </w:r>
      <w:r w:rsidRPr="00DF323D">
        <w:rPr>
          <w:color w:val="000000" w:themeColor="text1"/>
        </w:rPr>
        <w:t xml:space="preserve"> here.]</w:t>
      </w:r>
    </w:p>
    <w:p w14:paraId="4D61D55D" w14:textId="77777777" w:rsidR="0094465E" w:rsidRPr="00DF323D" w:rsidRDefault="0094465E" w:rsidP="008134A1">
      <w:pPr>
        <w:spacing w:line="0" w:lineRule="atLeast"/>
        <w:rPr>
          <w:color w:val="000000" w:themeColor="text1"/>
        </w:rPr>
      </w:pPr>
    </w:p>
    <w:p w14:paraId="211F8929" w14:textId="77777777" w:rsidR="00346ED5" w:rsidRPr="00DF323D" w:rsidRDefault="00150DE5" w:rsidP="008134A1">
      <w:pPr>
        <w:spacing w:line="0" w:lineRule="atLeast"/>
        <w:rPr>
          <w:b/>
          <w:bCs/>
          <w:color w:val="000000" w:themeColor="text1"/>
        </w:rPr>
      </w:pPr>
      <w:r w:rsidRPr="00DF323D">
        <w:rPr>
          <w:b/>
          <w:bCs/>
          <w:color w:val="000000" w:themeColor="text1"/>
        </w:rPr>
        <w:t>8. Antagonism</w:t>
      </w:r>
    </w:p>
    <w:p w14:paraId="51DDA503" w14:textId="77777777" w:rsidR="00346ED5" w:rsidRPr="00DF323D" w:rsidRDefault="00346ED5" w:rsidP="008134A1">
      <w:pPr>
        <w:spacing w:line="0" w:lineRule="atLeast"/>
        <w:rPr>
          <w:color w:val="000000" w:themeColor="text1"/>
        </w:rPr>
      </w:pPr>
    </w:p>
    <w:p w14:paraId="46CF5031" w14:textId="77777777" w:rsidR="00C22428" w:rsidRPr="00DF323D" w:rsidRDefault="00C22428" w:rsidP="008134A1">
      <w:pPr>
        <w:spacing w:line="0" w:lineRule="atLeast"/>
        <w:rPr>
          <w:color w:val="000000" w:themeColor="text1"/>
          <w:lang w:val="en-IN"/>
        </w:rPr>
      </w:pPr>
      <w:r w:rsidRPr="00DF323D">
        <w:rPr>
          <w:color w:val="000000" w:themeColor="text1"/>
          <w:lang w:val="en-IN"/>
        </w:rPr>
        <w:t xml:space="preserve">8.1. Antagonize general </w:t>
      </w:r>
      <w:proofErr w:type="spellStart"/>
      <w:r w:rsidRPr="00DF323D">
        <w:rPr>
          <w:color w:val="000000" w:themeColor="text1"/>
          <w:lang w:val="en-IN"/>
        </w:rPr>
        <w:t>anesthesia</w:t>
      </w:r>
      <w:proofErr w:type="spellEnd"/>
      <w:r w:rsidRPr="00DF323D">
        <w:rPr>
          <w:color w:val="000000" w:themeColor="text1"/>
          <w:lang w:val="en-IN"/>
        </w:rPr>
        <w:t xml:space="preserve"> (no earlier than 1 h after </w:t>
      </w:r>
      <w:proofErr w:type="spellStart"/>
      <w:r w:rsidRPr="00DF323D">
        <w:rPr>
          <w:color w:val="000000" w:themeColor="text1"/>
          <w:lang w:val="en-IN"/>
        </w:rPr>
        <w:t>anesthetic</w:t>
      </w:r>
      <w:proofErr w:type="spellEnd"/>
      <w:r w:rsidRPr="00DF323D">
        <w:rPr>
          <w:color w:val="000000" w:themeColor="text1"/>
          <w:lang w:val="en-IN"/>
        </w:rPr>
        <w:t xml:space="preserve"> administration) by administering a mixture of atipamezole (0.76 mg/kg) and flumazenil (0.2 mg/kg) subcutaneously using a 1 mL syringe fitted with a 27G needle according to </w:t>
      </w:r>
      <w:r w:rsidRPr="00DF323D">
        <w:rPr>
          <w:b/>
          <w:bCs/>
          <w:color w:val="000000" w:themeColor="text1"/>
          <w:lang w:val="en-IN"/>
        </w:rPr>
        <w:t>Table 2</w:t>
      </w:r>
      <w:r w:rsidRPr="00DF323D">
        <w:rPr>
          <w:color w:val="000000" w:themeColor="text1"/>
          <w:lang w:val="en-IN"/>
        </w:rPr>
        <w:t>.</w:t>
      </w:r>
    </w:p>
    <w:p w14:paraId="07EE4907" w14:textId="77777777" w:rsidR="00C22428" w:rsidRPr="00DF323D" w:rsidRDefault="00C22428" w:rsidP="008134A1">
      <w:pPr>
        <w:spacing w:line="0" w:lineRule="atLeast"/>
        <w:rPr>
          <w:color w:val="000000" w:themeColor="text1"/>
          <w:lang w:val="en-IN"/>
        </w:rPr>
      </w:pPr>
    </w:p>
    <w:p w14:paraId="1A44325B" w14:textId="56DA1897" w:rsidR="00C22428" w:rsidRPr="00DF323D" w:rsidRDefault="00C22428" w:rsidP="008134A1">
      <w:pPr>
        <w:spacing w:line="0" w:lineRule="atLeast"/>
        <w:rPr>
          <w:color w:val="000000" w:themeColor="text1"/>
          <w:lang w:val="en-IN"/>
        </w:rPr>
      </w:pPr>
      <w:r w:rsidRPr="00DF323D">
        <w:rPr>
          <w:color w:val="000000" w:themeColor="text1"/>
          <w:lang w:val="en-IN"/>
        </w:rPr>
        <w:t xml:space="preserve">[Place </w:t>
      </w:r>
      <w:r w:rsidRPr="00DF323D">
        <w:rPr>
          <w:b/>
          <w:bCs/>
          <w:color w:val="000000" w:themeColor="text1"/>
          <w:lang w:val="en-IN"/>
        </w:rPr>
        <w:t>Table 2</w:t>
      </w:r>
      <w:r w:rsidRPr="00DF323D">
        <w:rPr>
          <w:color w:val="000000" w:themeColor="text1"/>
          <w:lang w:val="en-IN"/>
        </w:rPr>
        <w:t xml:space="preserve"> here.]</w:t>
      </w:r>
    </w:p>
    <w:p w14:paraId="3ED935C0" w14:textId="77777777" w:rsidR="00C22428" w:rsidRPr="00DF323D" w:rsidRDefault="00C22428" w:rsidP="008134A1">
      <w:pPr>
        <w:spacing w:line="0" w:lineRule="atLeast"/>
        <w:rPr>
          <w:color w:val="000000" w:themeColor="text1"/>
          <w:lang w:val="en-IN"/>
        </w:rPr>
      </w:pPr>
    </w:p>
    <w:p w14:paraId="556ED227" w14:textId="23895E80" w:rsidR="00346ED5" w:rsidRPr="00DF323D" w:rsidRDefault="00C22428" w:rsidP="008134A1">
      <w:pPr>
        <w:spacing w:line="0" w:lineRule="atLeast"/>
        <w:rPr>
          <w:color w:val="000000" w:themeColor="text1"/>
          <w:lang w:val="en-IN"/>
        </w:rPr>
      </w:pPr>
      <w:r w:rsidRPr="00DF323D">
        <w:rPr>
          <w:color w:val="000000" w:themeColor="text1"/>
          <w:lang w:val="en-IN"/>
        </w:rPr>
        <w:t>8.2. To allow stress-free recovery, place the animal in its home cage before administering the antagonistic drug mixture. Monitor the animal continuously until full consciousness is regained. Keep the home cage under a heating lamp in a separate recovery room for 3 h.</w:t>
      </w:r>
    </w:p>
    <w:p w14:paraId="1780FA10" w14:textId="77777777" w:rsidR="00346ED5" w:rsidRPr="00DF323D" w:rsidRDefault="00346ED5" w:rsidP="008134A1">
      <w:pPr>
        <w:spacing w:line="0" w:lineRule="atLeast"/>
        <w:rPr>
          <w:color w:val="000000" w:themeColor="text1"/>
        </w:rPr>
      </w:pPr>
    </w:p>
    <w:p w14:paraId="4A05EDC3" w14:textId="77777777" w:rsidR="00346ED5" w:rsidRPr="00DF323D" w:rsidRDefault="00150DE5" w:rsidP="008134A1">
      <w:pPr>
        <w:spacing w:line="0" w:lineRule="atLeast"/>
        <w:rPr>
          <w:b/>
          <w:bCs/>
          <w:color w:val="000000" w:themeColor="text1"/>
        </w:rPr>
      </w:pPr>
      <w:r w:rsidRPr="00DF323D">
        <w:rPr>
          <w:b/>
          <w:bCs/>
          <w:color w:val="000000" w:themeColor="text1"/>
        </w:rPr>
        <w:t>9. Waste Disposal</w:t>
      </w:r>
    </w:p>
    <w:p w14:paraId="607F2349" w14:textId="77777777" w:rsidR="00346ED5" w:rsidRPr="00DF323D" w:rsidRDefault="00346ED5" w:rsidP="008134A1">
      <w:pPr>
        <w:spacing w:line="0" w:lineRule="atLeast"/>
        <w:rPr>
          <w:color w:val="000000" w:themeColor="text1"/>
        </w:rPr>
      </w:pPr>
    </w:p>
    <w:p w14:paraId="0879925F" w14:textId="77777777" w:rsidR="00346ED5" w:rsidRPr="00DF323D" w:rsidRDefault="00150DE5" w:rsidP="008134A1">
      <w:pPr>
        <w:spacing w:line="0" w:lineRule="atLeast"/>
        <w:rPr>
          <w:color w:val="000000" w:themeColor="text1"/>
        </w:rPr>
      </w:pPr>
      <w:r w:rsidRPr="00DF323D">
        <w:rPr>
          <w:color w:val="000000" w:themeColor="text1"/>
        </w:rPr>
        <w:t>9.1. Dispose of sharps (e.g., syringe needles and stainless-steel wire remnants) in an approved sharps container. Dispose of all biological and surgical waste according to institutional biosafety regulations.</w:t>
      </w:r>
    </w:p>
    <w:p w14:paraId="3AF0FABD" w14:textId="77777777" w:rsidR="00346ED5" w:rsidRPr="00DF323D" w:rsidRDefault="00346ED5" w:rsidP="008134A1">
      <w:pPr>
        <w:spacing w:line="0" w:lineRule="atLeast"/>
        <w:rPr>
          <w:color w:val="000000" w:themeColor="text1"/>
        </w:rPr>
      </w:pPr>
    </w:p>
    <w:p w14:paraId="49CFEF4A" w14:textId="77777777" w:rsidR="00346ED5" w:rsidRPr="00DF323D" w:rsidRDefault="00150DE5" w:rsidP="008134A1">
      <w:pPr>
        <w:spacing w:line="0" w:lineRule="atLeast"/>
        <w:rPr>
          <w:b/>
          <w:bCs/>
          <w:color w:val="000000" w:themeColor="text1"/>
        </w:rPr>
      </w:pPr>
      <w:r w:rsidRPr="00DF323D">
        <w:rPr>
          <w:b/>
          <w:bCs/>
          <w:color w:val="000000" w:themeColor="text1"/>
        </w:rPr>
        <w:t>10. Postoperative Management</w:t>
      </w:r>
    </w:p>
    <w:p w14:paraId="491BC06D" w14:textId="77777777" w:rsidR="00346ED5" w:rsidRPr="00DF323D" w:rsidRDefault="00346ED5" w:rsidP="008134A1">
      <w:pPr>
        <w:spacing w:line="0" w:lineRule="atLeast"/>
        <w:rPr>
          <w:b/>
          <w:bCs/>
          <w:color w:val="000000" w:themeColor="text1"/>
        </w:rPr>
      </w:pPr>
    </w:p>
    <w:p w14:paraId="48B1E792" w14:textId="77777777" w:rsidR="00346ED5" w:rsidRPr="00DF323D" w:rsidRDefault="00150DE5" w:rsidP="008134A1">
      <w:pPr>
        <w:spacing w:line="0" w:lineRule="atLeast"/>
        <w:rPr>
          <w:color w:val="000000" w:themeColor="text1"/>
        </w:rPr>
      </w:pPr>
      <w:r w:rsidRPr="00DF323D">
        <w:rPr>
          <w:color w:val="000000" w:themeColor="text1"/>
        </w:rPr>
        <w:t>10.1 Postoperative Care</w:t>
      </w:r>
    </w:p>
    <w:p w14:paraId="6C0D9AF0" w14:textId="77777777" w:rsidR="00346ED5" w:rsidRPr="00DF323D" w:rsidRDefault="00346ED5" w:rsidP="008134A1">
      <w:pPr>
        <w:spacing w:line="0" w:lineRule="atLeast"/>
        <w:rPr>
          <w:color w:val="000000" w:themeColor="text1"/>
        </w:rPr>
      </w:pPr>
    </w:p>
    <w:p w14:paraId="60FDCD4A" w14:textId="77777777" w:rsidR="00346ED5" w:rsidRPr="00DF323D" w:rsidRDefault="00150DE5" w:rsidP="008134A1">
      <w:pPr>
        <w:spacing w:line="0" w:lineRule="atLeast"/>
        <w:rPr>
          <w:color w:val="000000" w:themeColor="text1"/>
        </w:rPr>
      </w:pPr>
      <w:r w:rsidRPr="00DF323D">
        <w:rPr>
          <w:color w:val="000000" w:themeColor="text1"/>
        </w:rPr>
        <w:t>10.1.1. Administer enrofloxacin (1.5 mg, once daily, subcutaneously) and long-acting meloxicam (0.2 mg, twice daily, subcutaneously) for the first 5 days after surgery. Supplement pre-warmed 0.9% NaCl subcutaneously as required to compensate for fluid loss.</w:t>
      </w:r>
    </w:p>
    <w:p w14:paraId="03B98380" w14:textId="77777777" w:rsidR="00346ED5" w:rsidRPr="00DF323D" w:rsidRDefault="00346ED5" w:rsidP="008134A1">
      <w:pPr>
        <w:spacing w:line="0" w:lineRule="atLeast"/>
        <w:rPr>
          <w:color w:val="000000" w:themeColor="text1"/>
        </w:rPr>
      </w:pPr>
    </w:p>
    <w:p w14:paraId="7EF68363" w14:textId="77777777" w:rsidR="00346ED5" w:rsidRPr="00DF323D" w:rsidRDefault="00150DE5" w:rsidP="008134A1">
      <w:pPr>
        <w:spacing w:line="0" w:lineRule="atLeast"/>
        <w:rPr>
          <w:color w:val="000000" w:themeColor="text1"/>
        </w:rPr>
      </w:pPr>
      <w:r w:rsidRPr="00DF323D">
        <w:rPr>
          <w:color w:val="000000" w:themeColor="text1"/>
        </w:rPr>
        <w:t xml:space="preserve">10.1.2. Continue </w:t>
      </w:r>
      <w:proofErr w:type="gramStart"/>
      <w:r w:rsidRPr="00DF323D">
        <w:rPr>
          <w:color w:val="000000" w:themeColor="text1"/>
        </w:rPr>
        <w:t>low-dose</w:t>
      </w:r>
      <w:proofErr w:type="gramEnd"/>
      <w:r w:rsidRPr="00DF323D">
        <w:rPr>
          <w:color w:val="000000" w:themeColor="text1"/>
        </w:rPr>
        <w:t xml:space="preserve"> enrofloxacin (0.5 mg/kg, once daily, subcutaneously) throughout the follow-up period.</w:t>
      </w:r>
    </w:p>
    <w:p w14:paraId="521B6E84" w14:textId="77777777" w:rsidR="00346ED5" w:rsidRPr="00DF323D" w:rsidRDefault="00346ED5" w:rsidP="008134A1">
      <w:pPr>
        <w:spacing w:line="0" w:lineRule="atLeast"/>
        <w:rPr>
          <w:color w:val="000000" w:themeColor="text1"/>
        </w:rPr>
      </w:pPr>
    </w:p>
    <w:p w14:paraId="016B9A0B" w14:textId="77777777" w:rsidR="00346ED5" w:rsidRPr="00DF323D" w:rsidRDefault="00150DE5" w:rsidP="008134A1">
      <w:pPr>
        <w:spacing w:line="0" w:lineRule="atLeast"/>
        <w:rPr>
          <w:color w:val="000000" w:themeColor="text1"/>
        </w:rPr>
      </w:pPr>
      <w:r w:rsidRPr="00DF323D">
        <w:rPr>
          <w:color w:val="000000" w:themeColor="text1"/>
        </w:rPr>
        <w:t xml:space="preserve">10.1.3. Resume or intensify </w:t>
      </w:r>
      <w:proofErr w:type="gramStart"/>
      <w:r w:rsidRPr="00DF323D">
        <w:rPr>
          <w:color w:val="000000" w:themeColor="text1"/>
        </w:rPr>
        <w:t>antibiotic</w:t>
      </w:r>
      <w:proofErr w:type="gramEnd"/>
      <w:r w:rsidRPr="00DF323D">
        <w:rPr>
          <w:color w:val="000000" w:themeColor="text1"/>
        </w:rPr>
        <w:t xml:space="preserve"> and/or analgesic treatment if signs of pain or infection are observed during daily examinations. In such cases, administer the same antibiotic and analgesic doses used during the initial 5-day postoperative period.</w:t>
      </w:r>
    </w:p>
    <w:p w14:paraId="1801548A" w14:textId="77777777" w:rsidR="00346ED5" w:rsidRPr="00DF323D" w:rsidRDefault="00346ED5" w:rsidP="008134A1">
      <w:pPr>
        <w:spacing w:line="0" w:lineRule="atLeast"/>
        <w:rPr>
          <w:color w:val="000000" w:themeColor="text1"/>
        </w:rPr>
      </w:pPr>
    </w:p>
    <w:p w14:paraId="001E30BA" w14:textId="620DE7B9" w:rsidR="0060637E" w:rsidRPr="00DF323D" w:rsidRDefault="00150DE5" w:rsidP="008134A1">
      <w:pPr>
        <w:pStyle w:val="StandardWeb"/>
        <w:spacing w:before="0" w:beforeAutospacing="0" w:after="0" w:afterAutospacing="0" w:line="0" w:lineRule="atLeast"/>
        <w:jc w:val="both"/>
        <w:rPr>
          <w:rFonts w:ascii="Calibri" w:eastAsia="Calibri" w:hAnsi="Calibri" w:cs="Calibri"/>
          <w:color w:val="000000" w:themeColor="text1"/>
          <w:lang w:val="en-US" w:eastAsia="en-US"/>
        </w:rPr>
      </w:pPr>
      <w:r w:rsidRPr="00DF323D">
        <w:rPr>
          <w:rFonts w:ascii="Calibri" w:eastAsia="Calibri" w:hAnsi="Calibri" w:cs="Calibri"/>
          <w:color w:val="000000" w:themeColor="text1"/>
          <w:lang w:val="en-US" w:eastAsia="en-US"/>
        </w:rPr>
        <w:t xml:space="preserve">10.1.4. </w:t>
      </w:r>
      <w:r w:rsidR="00C22428" w:rsidRPr="00DF323D">
        <w:rPr>
          <w:rFonts w:ascii="Calibri" w:eastAsia="Calibri" w:hAnsi="Calibri" w:cs="Calibri"/>
          <w:color w:val="000000" w:themeColor="text1"/>
          <w:lang w:val="en-US" w:eastAsia="en-US"/>
        </w:rPr>
        <w:t xml:space="preserve">Initiate a 5-day course of antibiotics at the standard dose if urine characteristics change (e.g., hematuria or cloudy urine persisting for 3 days) and/or if the condition of the skin surrounding the vesicostomy changes (e.g., reddened skin persisting for 2 days without improvement). Resume analgesic treatment during periods of hematuria and/or upon the onset of skin plaque </w:t>
      </w:r>
      <w:proofErr w:type="gramStart"/>
      <w:r w:rsidR="00C22428" w:rsidRPr="00DF323D">
        <w:rPr>
          <w:rFonts w:ascii="Calibri" w:eastAsia="Calibri" w:hAnsi="Calibri" w:cs="Calibri"/>
          <w:color w:val="000000" w:themeColor="text1"/>
          <w:lang w:val="en-US" w:eastAsia="en-US"/>
        </w:rPr>
        <w:t>formation, and</w:t>
      </w:r>
      <w:proofErr w:type="gramEnd"/>
      <w:r w:rsidR="00C22428" w:rsidRPr="00DF323D">
        <w:rPr>
          <w:rFonts w:ascii="Calibri" w:eastAsia="Calibri" w:hAnsi="Calibri" w:cs="Calibri"/>
          <w:color w:val="000000" w:themeColor="text1"/>
          <w:lang w:val="en-US" w:eastAsia="en-US"/>
        </w:rPr>
        <w:t xml:space="preserve"> continue treatment until the symptoms resolve.</w:t>
      </w:r>
    </w:p>
    <w:p w14:paraId="6F203C26" w14:textId="77777777" w:rsidR="00346ED5" w:rsidRPr="00DF323D" w:rsidRDefault="00346ED5" w:rsidP="008134A1">
      <w:pPr>
        <w:spacing w:line="0" w:lineRule="atLeast"/>
        <w:rPr>
          <w:color w:val="000000" w:themeColor="text1"/>
        </w:rPr>
      </w:pPr>
    </w:p>
    <w:p w14:paraId="42B061A6" w14:textId="77777777" w:rsidR="00346ED5" w:rsidRPr="00DF323D" w:rsidRDefault="00150DE5" w:rsidP="008134A1">
      <w:pPr>
        <w:spacing w:line="0" w:lineRule="atLeast"/>
        <w:rPr>
          <w:color w:val="000000" w:themeColor="text1"/>
        </w:rPr>
      </w:pPr>
      <w:r w:rsidRPr="00DF323D">
        <w:rPr>
          <w:color w:val="000000" w:themeColor="text1"/>
        </w:rPr>
        <w:t>10.1.5. Perform vesicostomy calibration daily. Begin with a calibration stick at least one size smaller than the previously documented stomal diameter and apply lubricating gel before insertion. If the calibration stick passes smoothly, repeat the procedure with the next larger size and record the largest size that passes smoothly.</w:t>
      </w:r>
    </w:p>
    <w:p w14:paraId="039EE577" w14:textId="77777777" w:rsidR="00346ED5" w:rsidRPr="00DF323D" w:rsidRDefault="00346ED5" w:rsidP="008134A1">
      <w:pPr>
        <w:spacing w:line="0" w:lineRule="atLeast"/>
        <w:rPr>
          <w:color w:val="000000" w:themeColor="text1"/>
        </w:rPr>
      </w:pPr>
    </w:p>
    <w:p w14:paraId="7E820778" w14:textId="15681518" w:rsidR="00346ED5" w:rsidRPr="00DF323D" w:rsidRDefault="00150DE5" w:rsidP="008134A1">
      <w:pPr>
        <w:spacing w:line="0" w:lineRule="atLeast"/>
        <w:rPr>
          <w:color w:val="000000" w:themeColor="text1"/>
        </w:rPr>
      </w:pPr>
      <w:r w:rsidRPr="00DF323D">
        <w:rPr>
          <w:color w:val="000000" w:themeColor="text1"/>
        </w:rPr>
        <w:t xml:space="preserve">10.1.6. </w:t>
      </w:r>
      <w:r w:rsidR="00D26A49" w:rsidRPr="00DF323D">
        <w:rPr>
          <w:color w:val="000000" w:themeColor="text1"/>
        </w:rPr>
        <w:t>Reduce the calibration frequency to every second day no earlier than 3 weeks after surgery and only if the calibration size has remained stable for at least 3 consecutive days.</w:t>
      </w:r>
    </w:p>
    <w:p w14:paraId="5D6582E6" w14:textId="77777777" w:rsidR="00346ED5" w:rsidRPr="00DF323D" w:rsidRDefault="00346ED5" w:rsidP="008134A1">
      <w:pPr>
        <w:spacing w:line="0" w:lineRule="atLeast"/>
        <w:rPr>
          <w:color w:val="000000" w:themeColor="text1"/>
        </w:rPr>
      </w:pPr>
    </w:p>
    <w:p w14:paraId="1A5B9895" w14:textId="1B93582C" w:rsidR="00346ED5" w:rsidRPr="00DF323D" w:rsidRDefault="00150DE5" w:rsidP="008134A1">
      <w:pPr>
        <w:spacing w:line="0" w:lineRule="atLeast"/>
        <w:rPr>
          <w:color w:val="000000" w:themeColor="text1"/>
        </w:rPr>
      </w:pPr>
      <w:r w:rsidRPr="00DF323D">
        <w:rPr>
          <w:color w:val="000000" w:themeColor="text1"/>
        </w:rPr>
        <w:t>10.1.</w:t>
      </w:r>
      <w:r w:rsidR="009F4B2F" w:rsidRPr="00DF323D">
        <w:rPr>
          <w:color w:val="000000" w:themeColor="text1"/>
        </w:rPr>
        <w:t>7</w:t>
      </w:r>
      <w:r w:rsidRPr="00DF323D">
        <w:rPr>
          <w:color w:val="000000" w:themeColor="text1"/>
        </w:rPr>
        <w:t>. Once the skin adhesive begins to detach (typically 3–5 days after surgery), clean the surrounding skin daily with a mucosa-compatible antiseptic agent, such as 0.04% sodium hypochlorite solution, followed by application of an oil-based moisturizing protective film.</w:t>
      </w:r>
      <w:r w:rsidR="00BB609D" w:rsidRPr="00DF323D">
        <w:rPr>
          <w:color w:val="000000" w:themeColor="text1"/>
        </w:rPr>
        <w:t xml:space="preserve"> Assess wound healing according to the wound scoring system and representative wound appearances shown in </w:t>
      </w:r>
      <w:r w:rsidR="00BB609D" w:rsidRPr="00DF323D">
        <w:rPr>
          <w:b/>
          <w:bCs/>
          <w:color w:val="000000" w:themeColor="text1"/>
        </w:rPr>
        <w:t>Figure 2</w:t>
      </w:r>
      <w:proofErr w:type="gramStart"/>
      <w:r w:rsidR="00BB609D" w:rsidRPr="00DF323D">
        <w:rPr>
          <w:b/>
          <w:bCs/>
          <w:color w:val="000000" w:themeColor="text1"/>
        </w:rPr>
        <w:t>A,B</w:t>
      </w:r>
      <w:r w:rsidR="00BB609D" w:rsidRPr="00DF323D">
        <w:rPr>
          <w:color w:val="000000" w:themeColor="text1"/>
        </w:rPr>
        <w:t>.</w:t>
      </w:r>
      <w:proofErr w:type="gramEnd"/>
    </w:p>
    <w:p w14:paraId="46F95C9A" w14:textId="77777777" w:rsidR="00346ED5" w:rsidRPr="00DF323D" w:rsidRDefault="00346ED5" w:rsidP="008134A1">
      <w:pPr>
        <w:spacing w:line="0" w:lineRule="atLeast"/>
        <w:rPr>
          <w:color w:val="000000" w:themeColor="text1"/>
        </w:rPr>
      </w:pPr>
    </w:p>
    <w:p w14:paraId="5FAB1FDC" w14:textId="0C4299FF" w:rsidR="00BB609D" w:rsidRPr="00DF323D" w:rsidRDefault="00150DE5" w:rsidP="008134A1">
      <w:pPr>
        <w:spacing w:line="0" w:lineRule="atLeast"/>
        <w:rPr>
          <w:color w:val="000000" w:themeColor="text1"/>
        </w:rPr>
      </w:pPr>
      <w:r w:rsidRPr="00DF323D">
        <w:rPr>
          <w:color w:val="000000" w:themeColor="text1"/>
        </w:rPr>
        <w:t xml:space="preserve">[Place </w:t>
      </w:r>
      <w:r w:rsidRPr="00DF323D">
        <w:rPr>
          <w:b/>
          <w:bCs/>
          <w:color w:val="000000" w:themeColor="text1"/>
        </w:rPr>
        <w:t>Figure 2</w:t>
      </w:r>
      <w:r w:rsidRPr="00DF323D">
        <w:rPr>
          <w:color w:val="000000" w:themeColor="text1"/>
        </w:rPr>
        <w:t xml:space="preserve"> here.]</w:t>
      </w:r>
    </w:p>
    <w:p w14:paraId="39A8640F" w14:textId="77777777" w:rsidR="00BB609D" w:rsidRPr="00DF323D" w:rsidRDefault="00BB609D" w:rsidP="008134A1">
      <w:pPr>
        <w:spacing w:line="0" w:lineRule="atLeast"/>
        <w:rPr>
          <w:color w:val="000000" w:themeColor="text1"/>
        </w:rPr>
      </w:pPr>
    </w:p>
    <w:p w14:paraId="67625CEE" w14:textId="362F4D25" w:rsidR="00346ED5" w:rsidRPr="00DF323D" w:rsidRDefault="00150DE5" w:rsidP="008134A1">
      <w:pPr>
        <w:spacing w:line="0" w:lineRule="atLeast"/>
        <w:rPr>
          <w:color w:val="000000" w:themeColor="text1"/>
        </w:rPr>
      </w:pPr>
      <w:r w:rsidRPr="00DF323D">
        <w:rPr>
          <w:color w:val="000000" w:themeColor="text1"/>
        </w:rPr>
        <w:t>10.1.</w:t>
      </w:r>
      <w:r w:rsidR="009F4B2F" w:rsidRPr="00DF323D">
        <w:rPr>
          <w:color w:val="000000" w:themeColor="text1"/>
        </w:rPr>
        <w:t>8</w:t>
      </w:r>
      <w:r w:rsidRPr="00DF323D">
        <w:rPr>
          <w:color w:val="000000" w:themeColor="text1"/>
        </w:rPr>
        <w:t>. Remove the stainless-steel wires 7 days after surgery.</w:t>
      </w:r>
    </w:p>
    <w:p w14:paraId="43940043" w14:textId="77777777" w:rsidR="00346ED5" w:rsidRPr="00DF323D" w:rsidRDefault="00346ED5" w:rsidP="008134A1">
      <w:pPr>
        <w:spacing w:line="0" w:lineRule="atLeast"/>
        <w:rPr>
          <w:color w:val="000000" w:themeColor="text1"/>
        </w:rPr>
      </w:pPr>
    </w:p>
    <w:p w14:paraId="1FDAD01A" w14:textId="77777777" w:rsidR="00346ED5" w:rsidRPr="00DF323D" w:rsidRDefault="00150DE5" w:rsidP="008134A1">
      <w:pPr>
        <w:spacing w:line="0" w:lineRule="atLeast"/>
        <w:rPr>
          <w:color w:val="000000" w:themeColor="text1"/>
        </w:rPr>
      </w:pPr>
      <w:r w:rsidRPr="00DF323D">
        <w:rPr>
          <w:color w:val="000000" w:themeColor="text1"/>
        </w:rPr>
        <w:t>10.2. Postoperative Monitoring</w:t>
      </w:r>
    </w:p>
    <w:p w14:paraId="286E2D0B" w14:textId="77777777" w:rsidR="00346ED5" w:rsidRPr="00DF323D" w:rsidRDefault="00346ED5" w:rsidP="008134A1">
      <w:pPr>
        <w:spacing w:line="0" w:lineRule="atLeast"/>
        <w:rPr>
          <w:color w:val="000000" w:themeColor="text1"/>
        </w:rPr>
      </w:pPr>
    </w:p>
    <w:p w14:paraId="25C2D04C" w14:textId="77777777" w:rsidR="00346ED5" w:rsidRPr="00DF323D" w:rsidRDefault="00150DE5" w:rsidP="008134A1">
      <w:pPr>
        <w:spacing w:line="0" w:lineRule="atLeast"/>
        <w:rPr>
          <w:color w:val="000000" w:themeColor="text1"/>
        </w:rPr>
      </w:pPr>
      <w:r w:rsidRPr="00DF323D">
        <w:rPr>
          <w:color w:val="000000" w:themeColor="text1"/>
        </w:rPr>
        <w:t>10.2.1. Monitor all animals closely throughout the postoperative period.</w:t>
      </w:r>
    </w:p>
    <w:p w14:paraId="3DBDAA28" w14:textId="77777777" w:rsidR="00346ED5" w:rsidRPr="00DF323D" w:rsidRDefault="00346ED5" w:rsidP="008134A1">
      <w:pPr>
        <w:spacing w:line="0" w:lineRule="atLeast"/>
        <w:rPr>
          <w:color w:val="000000" w:themeColor="text1"/>
        </w:rPr>
      </w:pPr>
    </w:p>
    <w:p w14:paraId="3035A35D" w14:textId="07F7BD25" w:rsidR="00346ED5" w:rsidRPr="00DF323D" w:rsidRDefault="00150DE5" w:rsidP="008134A1">
      <w:pPr>
        <w:spacing w:line="0" w:lineRule="atLeast"/>
        <w:rPr>
          <w:color w:val="000000" w:themeColor="text1"/>
        </w:rPr>
      </w:pPr>
      <w:r w:rsidRPr="00DF323D">
        <w:rPr>
          <w:color w:val="000000" w:themeColor="text1"/>
        </w:rPr>
        <w:t>10.2.2. Examine each animal at least twice daily for signs of pain or discomfort according to the Rat Grimace Scale</w:t>
      </w:r>
      <w:r w:rsidRPr="00DF323D">
        <w:rPr>
          <w:color w:val="000000" w:themeColor="text1"/>
          <w:vertAlign w:val="superscript"/>
        </w:rPr>
        <w:t>27</w:t>
      </w:r>
      <w:r w:rsidRPr="00DF323D">
        <w:rPr>
          <w:color w:val="000000" w:themeColor="text1"/>
        </w:rPr>
        <w:t xml:space="preserve">, abnormal swelling, bleeding, other changes at the surgical site, and </w:t>
      </w:r>
      <w:r w:rsidRPr="00DF323D">
        <w:rPr>
          <w:color w:val="000000" w:themeColor="text1"/>
        </w:rPr>
        <w:lastRenderedPageBreak/>
        <w:t>excessive porphyrin discharge.</w:t>
      </w:r>
      <w:r w:rsidR="00D72A1D" w:rsidRPr="00DF323D">
        <w:rPr>
          <w:color w:val="000000" w:themeColor="text1"/>
        </w:rPr>
        <w:t xml:space="preserve"> Assess the vesicostomy using the wound scoring system shown in </w:t>
      </w:r>
      <w:r w:rsidR="00D72A1D" w:rsidRPr="00DF323D">
        <w:rPr>
          <w:b/>
          <w:bCs/>
          <w:color w:val="000000" w:themeColor="text1"/>
        </w:rPr>
        <w:t>Figure 2</w:t>
      </w:r>
      <w:proofErr w:type="gramStart"/>
      <w:r w:rsidR="00D72A1D" w:rsidRPr="00DF323D">
        <w:rPr>
          <w:b/>
          <w:bCs/>
          <w:color w:val="000000" w:themeColor="text1"/>
        </w:rPr>
        <w:t>A,B</w:t>
      </w:r>
      <w:proofErr w:type="gramEnd"/>
      <w:r w:rsidR="00D72A1D" w:rsidRPr="00DF323D">
        <w:rPr>
          <w:color w:val="000000" w:themeColor="text1"/>
        </w:rPr>
        <w:t xml:space="preserve"> and record the calibration size as shown in </w:t>
      </w:r>
      <w:r w:rsidR="00D72A1D" w:rsidRPr="00DF323D">
        <w:rPr>
          <w:b/>
          <w:bCs/>
          <w:color w:val="000000" w:themeColor="text1"/>
        </w:rPr>
        <w:t>Figure 2C</w:t>
      </w:r>
      <w:r w:rsidR="00D72A1D" w:rsidRPr="00DF323D">
        <w:rPr>
          <w:color w:val="000000" w:themeColor="text1"/>
        </w:rPr>
        <w:t>.</w:t>
      </w:r>
    </w:p>
    <w:p w14:paraId="14C8F0AB" w14:textId="77777777" w:rsidR="00346ED5" w:rsidRPr="00DF323D" w:rsidRDefault="00346ED5" w:rsidP="008134A1">
      <w:pPr>
        <w:spacing w:line="0" w:lineRule="atLeast"/>
        <w:rPr>
          <w:color w:val="000000" w:themeColor="text1"/>
        </w:rPr>
      </w:pPr>
    </w:p>
    <w:p w14:paraId="7BC58757" w14:textId="77777777" w:rsidR="00346ED5" w:rsidRPr="00DF323D" w:rsidRDefault="00150DE5" w:rsidP="008134A1">
      <w:pPr>
        <w:spacing w:line="0" w:lineRule="atLeast"/>
        <w:rPr>
          <w:color w:val="000000" w:themeColor="text1"/>
        </w:rPr>
      </w:pPr>
      <w:r w:rsidRPr="00DF323D">
        <w:rPr>
          <w:color w:val="000000" w:themeColor="text1"/>
        </w:rPr>
        <w:t>10.2.3. Maintain detailed records for each animal and regularly document the following parameters:</w:t>
      </w:r>
    </w:p>
    <w:p w14:paraId="63E60FC9" w14:textId="77777777" w:rsidR="00346ED5" w:rsidRPr="00DF323D" w:rsidRDefault="00346ED5" w:rsidP="008134A1">
      <w:pPr>
        <w:spacing w:line="0" w:lineRule="atLeast"/>
        <w:rPr>
          <w:color w:val="000000" w:themeColor="text1"/>
        </w:rPr>
      </w:pPr>
    </w:p>
    <w:p w14:paraId="0BF8838A" w14:textId="77777777" w:rsidR="00346ED5" w:rsidRPr="00DF323D" w:rsidRDefault="00150DE5" w:rsidP="008134A1">
      <w:pPr>
        <w:spacing w:line="0" w:lineRule="atLeast"/>
        <w:rPr>
          <w:color w:val="000000" w:themeColor="text1"/>
        </w:rPr>
      </w:pPr>
      <w:r w:rsidRPr="00DF323D">
        <w:rPr>
          <w:color w:val="000000" w:themeColor="text1"/>
        </w:rPr>
        <w:t>10.2.3.1. Body weight (relative to the preoperative value)</w:t>
      </w:r>
    </w:p>
    <w:p w14:paraId="57DAFFBA" w14:textId="77777777" w:rsidR="00346ED5" w:rsidRPr="00DF323D" w:rsidRDefault="00346ED5" w:rsidP="008134A1">
      <w:pPr>
        <w:spacing w:line="0" w:lineRule="atLeast"/>
        <w:rPr>
          <w:color w:val="000000" w:themeColor="text1"/>
        </w:rPr>
      </w:pPr>
    </w:p>
    <w:p w14:paraId="07915E10" w14:textId="77777777" w:rsidR="00346ED5" w:rsidRPr="00DF323D" w:rsidRDefault="00150DE5" w:rsidP="008134A1">
      <w:pPr>
        <w:spacing w:line="0" w:lineRule="atLeast"/>
        <w:rPr>
          <w:color w:val="000000" w:themeColor="text1"/>
        </w:rPr>
      </w:pPr>
      <w:r w:rsidRPr="00DF323D">
        <w:rPr>
          <w:color w:val="000000" w:themeColor="text1"/>
        </w:rPr>
        <w:t>10.2.3.2. General condition (fur, eyes, whiskers, ears, and respiration)</w:t>
      </w:r>
    </w:p>
    <w:p w14:paraId="6ED236F8" w14:textId="77777777" w:rsidR="00346ED5" w:rsidRPr="00DF323D" w:rsidRDefault="00346ED5" w:rsidP="008134A1">
      <w:pPr>
        <w:spacing w:line="0" w:lineRule="atLeast"/>
        <w:rPr>
          <w:color w:val="000000" w:themeColor="text1"/>
        </w:rPr>
      </w:pPr>
    </w:p>
    <w:p w14:paraId="1193B9EA" w14:textId="77777777" w:rsidR="00346ED5" w:rsidRPr="00DF323D" w:rsidRDefault="00150DE5" w:rsidP="008134A1">
      <w:pPr>
        <w:spacing w:line="0" w:lineRule="atLeast"/>
        <w:rPr>
          <w:color w:val="000000" w:themeColor="text1"/>
        </w:rPr>
      </w:pPr>
      <w:r w:rsidRPr="00DF323D">
        <w:rPr>
          <w:color w:val="000000" w:themeColor="text1"/>
        </w:rPr>
        <w:t>10.2.3.3. Walking behavior (e.g., stilted or unsteady gait)</w:t>
      </w:r>
    </w:p>
    <w:p w14:paraId="6B4FF62F" w14:textId="77777777" w:rsidR="00346ED5" w:rsidRPr="00DF323D" w:rsidRDefault="00346ED5" w:rsidP="008134A1">
      <w:pPr>
        <w:spacing w:line="0" w:lineRule="atLeast"/>
        <w:rPr>
          <w:color w:val="000000" w:themeColor="text1"/>
        </w:rPr>
      </w:pPr>
    </w:p>
    <w:p w14:paraId="75A46168" w14:textId="77777777" w:rsidR="00346ED5" w:rsidRPr="00DF323D" w:rsidRDefault="00150DE5" w:rsidP="008134A1">
      <w:pPr>
        <w:spacing w:line="0" w:lineRule="atLeast"/>
        <w:rPr>
          <w:color w:val="000000" w:themeColor="text1"/>
        </w:rPr>
      </w:pPr>
      <w:r w:rsidRPr="00DF323D">
        <w:rPr>
          <w:color w:val="000000" w:themeColor="text1"/>
        </w:rPr>
        <w:t>10.2.3.4. Urine characteristics (e.g., discoloration or strong odor)</w:t>
      </w:r>
    </w:p>
    <w:p w14:paraId="3E39C832" w14:textId="77777777" w:rsidR="00346ED5" w:rsidRPr="00DF323D" w:rsidRDefault="00346ED5" w:rsidP="008134A1">
      <w:pPr>
        <w:spacing w:line="0" w:lineRule="atLeast"/>
        <w:rPr>
          <w:color w:val="000000" w:themeColor="text1"/>
        </w:rPr>
      </w:pPr>
    </w:p>
    <w:p w14:paraId="49C1F1EB" w14:textId="77777777" w:rsidR="00346ED5" w:rsidRPr="00DF323D" w:rsidRDefault="00150DE5" w:rsidP="008134A1">
      <w:pPr>
        <w:spacing w:line="0" w:lineRule="atLeast"/>
        <w:rPr>
          <w:color w:val="000000" w:themeColor="text1"/>
        </w:rPr>
      </w:pPr>
      <w:r w:rsidRPr="00DF323D">
        <w:rPr>
          <w:color w:val="000000" w:themeColor="text1"/>
        </w:rPr>
        <w:t>10.2.3.5. Vesicostomy calibration size</w:t>
      </w:r>
    </w:p>
    <w:p w14:paraId="306A905A" w14:textId="77777777" w:rsidR="00346ED5" w:rsidRPr="00DF323D" w:rsidRDefault="00346ED5" w:rsidP="008134A1">
      <w:pPr>
        <w:spacing w:line="0" w:lineRule="atLeast"/>
        <w:rPr>
          <w:color w:val="000000" w:themeColor="text1"/>
        </w:rPr>
      </w:pPr>
    </w:p>
    <w:p w14:paraId="67C55001" w14:textId="03308738" w:rsidR="00510820" w:rsidRPr="00DF323D" w:rsidRDefault="00150DE5" w:rsidP="008134A1">
      <w:pPr>
        <w:pStyle w:val="StandardWeb"/>
        <w:spacing w:before="0" w:beforeAutospacing="0" w:after="0" w:afterAutospacing="0" w:line="0" w:lineRule="atLeast"/>
        <w:jc w:val="both"/>
        <w:rPr>
          <w:rFonts w:ascii="Calibri" w:hAnsi="Calibri" w:cs="Calibri"/>
          <w:bCs/>
          <w:color w:val="000000" w:themeColor="text1"/>
          <w:lang w:val="en-US"/>
        </w:rPr>
      </w:pPr>
      <w:r w:rsidRPr="00DF323D">
        <w:rPr>
          <w:rFonts w:ascii="Calibri" w:hAnsi="Calibri" w:cs="Calibri"/>
          <w:color w:val="000000" w:themeColor="text1"/>
          <w:lang w:val="en-AU"/>
        </w:rPr>
        <w:t>10.2.3.6. Condition of the skin surrounding the vesicostomy</w:t>
      </w:r>
    </w:p>
    <w:p w14:paraId="6E5DFF2D" w14:textId="77777777" w:rsidR="00346ED5" w:rsidRPr="00DF323D" w:rsidRDefault="00346ED5" w:rsidP="008134A1">
      <w:pPr>
        <w:pStyle w:val="StandardWeb"/>
        <w:spacing w:before="0" w:beforeAutospacing="0" w:after="0" w:afterAutospacing="0" w:line="0" w:lineRule="atLeast"/>
        <w:jc w:val="both"/>
        <w:rPr>
          <w:rFonts w:ascii="Calibri" w:hAnsi="Calibri" w:cs="Calibri"/>
          <w:bCs/>
          <w:color w:val="000000" w:themeColor="text1"/>
          <w:lang w:val="en-US"/>
        </w:rPr>
      </w:pPr>
    </w:p>
    <w:p w14:paraId="68A37CDF" w14:textId="77777777" w:rsidR="00F8017F" w:rsidRPr="00DF323D" w:rsidRDefault="00150DE5" w:rsidP="008134A1">
      <w:pPr>
        <w:spacing w:line="0" w:lineRule="atLeast"/>
        <w:rPr>
          <w:b/>
          <w:bCs/>
          <w:color w:val="000000" w:themeColor="text1"/>
        </w:rPr>
      </w:pPr>
      <w:r w:rsidRPr="00DF323D">
        <w:rPr>
          <w:b/>
          <w:bCs/>
          <w:color w:val="000000" w:themeColor="text1"/>
        </w:rPr>
        <w:t>REPRESENTATIVE RESULTS:</w:t>
      </w:r>
    </w:p>
    <w:p w14:paraId="62FA5B7D" w14:textId="77777777" w:rsidR="00F8017F" w:rsidRPr="00DF323D" w:rsidRDefault="00150DE5" w:rsidP="008134A1">
      <w:pPr>
        <w:spacing w:line="0" w:lineRule="atLeast"/>
        <w:rPr>
          <w:color w:val="000000" w:themeColor="text1"/>
        </w:rPr>
      </w:pPr>
      <w:r w:rsidRPr="00DF323D">
        <w:rPr>
          <w:color w:val="000000" w:themeColor="text1"/>
        </w:rPr>
        <w:t>A total of 18 rats underwent vesicostomy. To establish the technique, the procedure was first performed in six animals without SCI to verify its basic safety and feasibility and to evaluate postoperative management in healthy animals. Subsequently, vesicostomy was performed in combination with a thoracic contusion SCI at the T8/T9 vertebral level in 12 animals. Of these, six animals were used to further refine the postoperative wound management protocol for SCI animals. The resulting regimen was then applied to a second cohort of six animals as proof of concept. General condition was compared with animals receiving thoracic contusion SCI alone (</w:t>
      </w:r>
      <w:r w:rsidRPr="00DF323D">
        <w:rPr>
          <w:b/>
          <w:bCs/>
          <w:color w:val="000000" w:themeColor="text1"/>
        </w:rPr>
        <w:t>Table 3</w:t>
      </w:r>
      <w:r w:rsidRPr="00DF323D">
        <w:rPr>
          <w:color w:val="000000" w:themeColor="text1"/>
        </w:rPr>
        <w:t>).</w:t>
      </w:r>
    </w:p>
    <w:p w14:paraId="3994BA81" w14:textId="77777777" w:rsidR="00F8017F" w:rsidRPr="00DF323D" w:rsidRDefault="00F8017F" w:rsidP="008134A1">
      <w:pPr>
        <w:spacing w:line="0" w:lineRule="atLeast"/>
        <w:rPr>
          <w:color w:val="000000" w:themeColor="text1"/>
        </w:rPr>
      </w:pPr>
    </w:p>
    <w:p w14:paraId="19C3B684" w14:textId="77777777" w:rsidR="00F8017F" w:rsidRPr="00DF323D" w:rsidRDefault="00150DE5" w:rsidP="008134A1">
      <w:pPr>
        <w:spacing w:line="0" w:lineRule="atLeast"/>
        <w:rPr>
          <w:color w:val="000000" w:themeColor="text1"/>
        </w:rPr>
      </w:pPr>
      <w:r w:rsidRPr="00DF323D">
        <w:rPr>
          <w:color w:val="000000" w:themeColor="text1"/>
        </w:rPr>
        <w:t xml:space="preserve">[Place </w:t>
      </w:r>
      <w:r w:rsidRPr="00DF323D">
        <w:rPr>
          <w:b/>
          <w:bCs/>
          <w:color w:val="000000" w:themeColor="text1"/>
        </w:rPr>
        <w:t>Table 3</w:t>
      </w:r>
      <w:r w:rsidRPr="00DF323D">
        <w:rPr>
          <w:color w:val="000000" w:themeColor="text1"/>
        </w:rPr>
        <w:t xml:space="preserve"> here.]</w:t>
      </w:r>
    </w:p>
    <w:p w14:paraId="043D9CA8" w14:textId="77777777" w:rsidR="00F8017F" w:rsidRPr="00DF323D" w:rsidRDefault="00F8017F" w:rsidP="008134A1">
      <w:pPr>
        <w:spacing w:line="0" w:lineRule="atLeast"/>
        <w:rPr>
          <w:color w:val="000000" w:themeColor="text1"/>
        </w:rPr>
      </w:pPr>
    </w:p>
    <w:p w14:paraId="4AAF7D12" w14:textId="77777777" w:rsidR="00F8017F" w:rsidRPr="00DF323D" w:rsidRDefault="00150DE5" w:rsidP="008134A1">
      <w:pPr>
        <w:spacing w:line="0" w:lineRule="atLeast"/>
        <w:rPr>
          <w:color w:val="000000" w:themeColor="text1"/>
        </w:rPr>
      </w:pPr>
      <w:r w:rsidRPr="00DF323D">
        <w:rPr>
          <w:color w:val="000000" w:themeColor="text1"/>
        </w:rPr>
        <w:t>The vesicostomy procedure was technically straightforward, with no intraoperative complications, bleeding, or injury to surrounding organs (</w:t>
      </w:r>
      <w:r w:rsidRPr="00DF323D">
        <w:rPr>
          <w:b/>
          <w:bCs/>
          <w:color w:val="000000" w:themeColor="text1"/>
        </w:rPr>
        <w:t>Figure 1</w:t>
      </w:r>
      <w:r w:rsidRPr="00DF323D">
        <w:rPr>
          <w:color w:val="000000" w:themeColor="text1"/>
        </w:rPr>
        <w:t>). During the initial series of experiments, the postoperative wound management protocol required revision in consultation with a wound care specialist because of skin irritation caused by the combination of restricted mobility following SCI and continuous urine exposure. After implementation of the revised postoperative wound management protocol described above, no higher-grade skin deterioration was observed. With regular calibration to maintain vesicostomy patency, all six animals in the proof-of-concept cohort completed the 2-month follow-up period, resulting in a procedural success rate of 100%. Reservoir function of the bladder, indicated by urine outflow from the vesicostomy following gentle abdominal compression, was observed in 91.84% of assessments throughout the study.</w:t>
      </w:r>
    </w:p>
    <w:p w14:paraId="495E038A" w14:textId="77777777" w:rsidR="00F8017F" w:rsidRPr="00DF323D" w:rsidRDefault="00F8017F" w:rsidP="008134A1">
      <w:pPr>
        <w:spacing w:line="0" w:lineRule="atLeast"/>
        <w:rPr>
          <w:color w:val="000000" w:themeColor="text1"/>
        </w:rPr>
      </w:pPr>
    </w:p>
    <w:p w14:paraId="36BAA378" w14:textId="77777777" w:rsidR="00F8017F" w:rsidRPr="00DF323D" w:rsidRDefault="00150DE5" w:rsidP="008134A1">
      <w:pPr>
        <w:spacing w:line="0" w:lineRule="atLeast"/>
        <w:rPr>
          <w:color w:val="000000" w:themeColor="text1"/>
        </w:rPr>
      </w:pPr>
      <w:r w:rsidRPr="00DF323D">
        <w:rPr>
          <w:color w:val="000000" w:themeColor="text1"/>
        </w:rPr>
        <w:t>The vesicostomy was evaluated regularly using a four-point wound scoring system to assess postoperative wound healing (</w:t>
      </w:r>
      <w:r w:rsidRPr="00DF323D">
        <w:rPr>
          <w:b/>
          <w:bCs/>
          <w:color w:val="000000" w:themeColor="text1"/>
        </w:rPr>
        <w:t>Figure 2A</w:t>
      </w:r>
      <w:r w:rsidRPr="00DF323D">
        <w:rPr>
          <w:color w:val="000000" w:themeColor="text1"/>
        </w:rPr>
        <w:t xml:space="preserve">). A score of 1 represented normal skin, a score of 2 </w:t>
      </w:r>
      <w:r w:rsidRPr="00DF323D">
        <w:rPr>
          <w:color w:val="000000" w:themeColor="text1"/>
        </w:rPr>
        <w:lastRenderedPageBreak/>
        <w:t>indicated skin redness, a score of 3 indicated signs of inflammation, and a score of 4 indicated ulcer formation (</w:t>
      </w:r>
      <w:r w:rsidRPr="00DF323D">
        <w:rPr>
          <w:b/>
          <w:bCs/>
          <w:color w:val="000000" w:themeColor="text1"/>
        </w:rPr>
        <w:t>Figure 2B</w:t>
      </w:r>
      <w:r w:rsidRPr="00DF323D">
        <w:rPr>
          <w:color w:val="000000" w:themeColor="text1"/>
        </w:rPr>
        <w:t>). Animals with open skin lesions would have been excluded from the study. After an initial decline in wound condition during the first 2 weeks after surgery, with a mean wound score of 1.88 (SD 0.32), wound healing remained stable, with mean scores ranging from 2.00 to 2.33 throughout the 2-month follow-up period (</w:t>
      </w:r>
      <w:r w:rsidRPr="00DF323D">
        <w:rPr>
          <w:b/>
          <w:bCs/>
          <w:color w:val="000000" w:themeColor="text1"/>
        </w:rPr>
        <w:t>Figure 2A</w:t>
      </w:r>
      <w:r w:rsidRPr="00DF323D">
        <w:rPr>
          <w:color w:val="000000" w:themeColor="text1"/>
        </w:rPr>
        <w:t xml:space="preserve">). No animals </w:t>
      </w:r>
      <w:proofErr w:type="gramStart"/>
      <w:r w:rsidRPr="00DF323D">
        <w:rPr>
          <w:color w:val="000000" w:themeColor="text1"/>
        </w:rPr>
        <w:t>required</w:t>
      </w:r>
      <w:proofErr w:type="gramEnd"/>
      <w:r w:rsidRPr="00DF323D">
        <w:rPr>
          <w:color w:val="000000" w:themeColor="text1"/>
        </w:rPr>
        <w:t xml:space="preserve"> exclusion. In a total of 10 instances, the low-dose enrofloxacin regimen was temporarily increased from 0.5 mg to 1 mg (once daily, subcutaneously) for 2–5 days because of deterioration in wound score, body weight loss, or a noticeable change in urine odor that could indicate an acute urinary tract infection. Enrofloxacin did not require replacement with an alternative antibiotic in any animal.</w:t>
      </w:r>
    </w:p>
    <w:p w14:paraId="311E005F" w14:textId="77777777" w:rsidR="00F8017F" w:rsidRPr="00DF323D" w:rsidRDefault="00F8017F" w:rsidP="008134A1">
      <w:pPr>
        <w:spacing w:line="0" w:lineRule="atLeast"/>
        <w:rPr>
          <w:color w:val="000000" w:themeColor="text1"/>
        </w:rPr>
      </w:pPr>
    </w:p>
    <w:p w14:paraId="670104D1" w14:textId="77777777" w:rsidR="00F8017F" w:rsidRPr="00DF323D" w:rsidRDefault="00150DE5" w:rsidP="008134A1">
      <w:pPr>
        <w:spacing w:line="0" w:lineRule="atLeast"/>
        <w:rPr>
          <w:color w:val="000000" w:themeColor="text1"/>
        </w:rPr>
      </w:pPr>
      <w:r w:rsidRPr="00DF323D">
        <w:rPr>
          <w:color w:val="000000" w:themeColor="text1"/>
        </w:rPr>
        <w:t xml:space="preserve">Starting from a mean vesicostomy diameter of 10.33 </w:t>
      </w:r>
      <w:proofErr w:type="spellStart"/>
      <w:r w:rsidRPr="00DF323D">
        <w:rPr>
          <w:color w:val="000000" w:themeColor="text1"/>
        </w:rPr>
        <w:t>Charrière</w:t>
      </w:r>
      <w:proofErr w:type="spellEnd"/>
      <w:r w:rsidRPr="00DF323D">
        <w:rPr>
          <w:color w:val="000000" w:themeColor="text1"/>
        </w:rPr>
        <w:t xml:space="preserve"> (SD 0.94) on the day of surgery, calibration size decreased rapidly during the first 3 weeks to a mean of 6.70 </w:t>
      </w:r>
      <w:proofErr w:type="spellStart"/>
      <w:r w:rsidRPr="00DF323D">
        <w:rPr>
          <w:color w:val="000000" w:themeColor="text1"/>
        </w:rPr>
        <w:t>Charrière</w:t>
      </w:r>
      <w:proofErr w:type="spellEnd"/>
      <w:r w:rsidRPr="00DF323D">
        <w:rPr>
          <w:color w:val="000000" w:themeColor="text1"/>
        </w:rPr>
        <w:t xml:space="preserve"> (SD 1.09). Thereafter, the reduction slowed, reaching a mean calibration size of 5.33 </w:t>
      </w:r>
      <w:proofErr w:type="spellStart"/>
      <w:r w:rsidRPr="00DF323D">
        <w:rPr>
          <w:color w:val="000000" w:themeColor="text1"/>
        </w:rPr>
        <w:t>Charrière</w:t>
      </w:r>
      <w:proofErr w:type="spellEnd"/>
      <w:r w:rsidRPr="00DF323D">
        <w:rPr>
          <w:color w:val="000000" w:themeColor="text1"/>
        </w:rPr>
        <w:t xml:space="preserve"> (SD 0.94) at the end of the 2-month follow-up period (</w:t>
      </w:r>
      <w:r w:rsidRPr="00DF323D">
        <w:rPr>
          <w:b/>
          <w:bCs/>
          <w:color w:val="000000" w:themeColor="text1"/>
        </w:rPr>
        <w:t>Figure 2C</w:t>
      </w:r>
      <w:r w:rsidRPr="00DF323D">
        <w:rPr>
          <w:color w:val="000000" w:themeColor="text1"/>
        </w:rPr>
        <w:t>). A tendency toward spontaneous stomal narrowing was observed. In seven instances, temporarily closed vesicostomies were carefully reopened by gradually increasing the calibration stick size, beginning at least two sizes below the last documented diameter. Five of these events occurred within the first 7 postoperative days.</w:t>
      </w:r>
    </w:p>
    <w:p w14:paraId="2D22AAA2" w14:textId="77777777" w:rsidR="00F8017F" w:rsidRPr="00DF323D" w:rsidRDefault="00F8017F" w:rsidP="008134A1">
      <w:pPr>
        <w:spacing w:line="0" w:lineRule="atLeast"/>
        <w:rPr>
          <w:b/>
          <w:bCs/>
          <w:color w:val="000000" w:themeColor="text1"/>
        </w:rPr>
      </w:pPr>
    </w:p>
    <w:p w14:paraId="25F8C120" w14:textId="77777777" w:rsidR="00F8017F" w:rsidRPr="00DF323D" w:rsidRDefault="00150DE5" w:rsidP="008134A1">
      <w:pPr>
        <w:spacing w:line="0" w:lineRule="atLeast"/>
        <w:rPr>
          <w:color w:val="000000" w:themeColor="text1"/>
        </w:rPr>
      </w:pPr>
      <w:r w:rsidRPr="00DF323D">
        <w:rPr>
          <w:color w:val="000000" w:themeColor="text1"/>
        </w:rPr>
        <w:t xml:space="preserve">Following the initial healing phase, no signs of pain or discomfort were observed. Animals exhibited minimal behavioral restrictions attributable to </w:t>
      </w:r>
      <w:proofErr w:type="gramStart"/>
      <w:r w:rsidRPr="00DF323D">
        <w:rPr>
          <w:color w:val="000000" w:themeColor="text1"/>
        </w:rPr>
        <w:t>the vesicostomy</w:t>
      </w:r>
      <w:proofErr w:type="gramEnd"/>
      <w:r w:rsidRPr="00DF323D">
        <w:rPr>
          <w:color w:val="000000" w:themeColor="text1"/>
        </w:rPr>
        <w:t>. General condition, including body weight, was comparable between animals managed with vesicostomy and those receiving SCI alone (</w:t>
      </w:r>
      <w:r w:rsidRPr="00DF323D">
        <w:rPr>
          <w:b/>
          <w:bCs/>
          <w:color w:val="000000" w:themeColor="text1"/>
        </w:rPr>
        <w:t>Figure 3</w:t>
      </w:r>
      <w:r w:rsidRPr="00DF323D">
        <w:rPr>
          <w:color w:val="000000" w:themeColor="text1"/>
        </w:rPr>
        <w:t>).</w:t>
      </w:r>
    </w:p>
    <w:p w14:paraId="5315ABE9" w14:textId="77777777" w:rsidR="00F8017F" w:rsidRPr="00DF323D" w:rsidRDefault="00F8017F" w:rsidP="008134A1">
      <w:pPr>
        <w:spacing w:line="0" w:lineRule="atLeast"/>
        <w:rPr>
          <w:color w:val="000000" w:themeColor="text1"/>
        </w:rPr>
      </w:pPr>
    </w:p>
    <w:p w14:paraId="3304B5E1" w14:textId="0170E7D5" w:rsidR="00AB4AD8" w:rsidRPr="00DF323D" w:rsidRDefault="00150DE5" w:rsidP="008134A1">
      <w:pPr>
        <w:autoSpaceDE w:val="0"/>
        <w:autoSpaceDN w:val="0"/>
        <w:adjustRightInd w:val="0"/>
        <w:spacing w:line="0" w:lineRule="atLeast"/>
        <w:rPr>
          <w:bCs/>
          <w:color w:val="000000" w:themeColor="text1"/>
        </w:rPr>
      </w:pPr>
      <w:r w:rsidRPr="00DF323D">
        <w:rPr>
          <w:color w:val="000000" w:themeColor="text1"/>
        </w:rPr>
        <w:t xml:space="preserve">[Place </w:t>
      </w:r>
      <w:r w:rsidRPr="00DF323D">
        <w:rPr>
          <w:b/>
          <w:bCs/>
          <w:color w:val="000000" w:themeColor="text1"/>
        </w:rPr>
        <w:t>Figure 3</w:t>
      </w:r>
      <w:r w:rsidRPr="00DF323D">
        <w:rPr>
          <w:color w:val="000000" w:themeColor="text1"/>
        </w:rPr>
        <w:t xml:space="preserve"> here.]</w:t>
      </w:r>
    </w:p>
    <w:p w14:paraId="6A5177D7" w14:textId="77777777" w:rsidR="00F8017F" w:rsidRPr="00DF323D" w:rsidRDefault="00F8017F" w:rsidP="008134A1">
      <w:pPr>
        <w:autoSpaceDE w:val="0"/>
        <w:autoSpaceDN w:val="0"/>
        <w:adjustRightInd w:val="0"/>
        <w:spacing w:line="0" w:lineRule="atLeast"/>
        <w:rPr>
          <w:bCs/>
          <w:color w:val="000000" w:themeColor="text1"/>
        </w:rPr>
      </w:pPr>
    </w:p>
    <w:p w14:paraId="35A71E82" w14:textId="77777777" w:rsidR="000444B2" w:rsidRPr="00DF323D" w:rsidRDefault="00150DE5" w:rsidP="008134A1">
      <w:pPr>
        <w:spacing w:line="0" w:lineRule="atLeast"/>
        <w:rPr>
          <w:b/>
          <w:bCs/>
          <w:color w:val="000000" w:themeColor="text1"/>
        </w:rPr>
      </w:pPr>
      <w:r w:rsidRPr="00DF323D">
        <w:rPr>
          <w:b/>
          <w:bCs/>
          <w:color w:val="000000" w:themeColor="text1"/>
        </w:rPr>
        <w:t>FIGURE AND TABLE LEGENDS:</w:t>
      </w:r>
    </w:p>
    <w:p w14:paraId="674A203D" w14:textId="1DC4585D" w:rsidR="000444B2" w:rsidRPr="00DF323D" w:rsidRDefault="00936663" w:rsidP="008134A1">
      <w:pPr>
        <w:spacing w:line="0" w:lineRule="atLeast"/>
        <w:rPr>
          <w:color w:val="000000" w:themeColor="text1"/>
        </w:rPr>
      </w:pPr>
      <w:r w:rsidRPr="00DF323D">
        <w:rPr>
          <w:b/>
          <w:bCs/>
          <w:color w:val="000000" w:themeColor="text1"/>
        </w:rPr>
        <w:t xml:space="preserve">Figure 1. Representative appearance of the vesicostomy immediately after surgery and following healing. </w:t>
      </w:r>
      <w:r w:rsidRPr="00DF323D">
        <w:rPr>
          <w:color w:val="000000" w:themeColor="text1"/>
        </w:rPr>
        <w:t xml:space="preserve">Representative images of the vesicostomy site immediately after surgery and wound dressing at day post-injury (DPI) 0 (left) and after healing at DPI 53, shortly before completion of the 56-day (2-month) follow-up period (right). The </w:t>
      </w:r>
      <w:proofErr w:type="gramStart"/>
      <w:r w:rsidRPr="00DF323D">
        <w:rPr>
          <w:color w:val="000000" w:themeColor="text1"/>
        </w:rPr>
        <w:t>inset</w:t>
      </w:r>
      <w:proofErr w:type="gramEnd"/>
      <w:r w:rsidRPr="00DF323D">
        <w:rPr>
          <w:color w:val="000000" w:themeColor="text1"/>
        </w:rPr>
        <w:t xml:space="preserve"> shows a higher-magnification view of the vesicostomy immediately after surgery. Scale bars = 1 cm (overview images) and 2 mm (inset).</w:t>
      </w:r>
    </w:p>
    <w:p w14:paraId="21C3BB26" w14:textId="77777777" w:rsidR="000444B2" w:rsidRPr="00DF323D" w:rsidRDefault="000444B2" w:rsidP="008134A1">
      <w:pPr>
        <w:spacing w:line="0" w:lineRule="atLeast"/>
        <w:rPr>
          <w:color w:val="000000" w:themeColor="text1"/>
        </w:rPr>
      </w:pPr>
    </w:p>
    <w:p w14:paraId="6CEF655D" w14:textId="4007C784" w:rsidR="000444B2" w:rsidRPr="00DF323D" w:rsidRDefault="00150DE5" w:rsidP="008134A1">
      <w:pPr>
        <w:spacing w:line="0" w:lineRule="atLeast"/>
        <w:rPr>
          <w:b/>
          <w:bCs/>
          <w:color w:val="000000" w:themeColor="text1"/>
        </w:rPr>
      </w:pPr>
      <w:r w:rsidRPr="00DF323D">
        <w:rPr>
          <w:b/>
          <w:bCs/>
          <w:color w:val="000000" w:themeColor="text1"/>
        </w:rPr>
        <w:t>Figure 2. Postoperative wound healing and vesicostomy calibration during follow-up. (A)</w:t>
      </w:r>
      <w:r w:rsidRPr="00DF323D">
        <w:rPr>
          <w:color w:val="000000" w:themeColor="text1"/>
        </w:rPr>
        <w:t xml:space="preserve"> Wound score of the vesicostomy site during the 7-week follow-up period. </w:t>
      </w:r>
      <w:r w:rsidRPr="00DF323D">
        <w:rPr>
          <w:b/>
          <w:bCs/>
          <w:color w:val="000000" w:themeColor="text1"/>
        </w:rPr>
        <w:t>(B)</w:t>
      </w:r>
      <w:r w:rsidRPr="00DF323D">
        <w:rPr>
          <w:color w:val="000000" w:themeColor="text1"/>
        </w:rPr>
        <w:t xml:space="preserve"> Representative images of wound scores 1–4, illustrating the progression from normal wound appearance to ulcer formation. Animals with open skin lesions were excluded according to the predefined study criteria. Scale bars = 5 mm. </w:t>
      </w:r>
      <w:r w:rsidRPr="00DF323D">
        <w:rPr>
          <w:b/>
          <w:bCs/>
          <w:color w:val="000000" w:themeColor="text1"/>
        </w:rPr>
        <w:t>(C)</w:t>
      </w:r>
      <w:r w:rsidRPr="00DF323D">
        <w:rPr>
          <w:color w:val="000000" w:themeColor="text1"/>
        </w:rPr>
        <w:t xml:space="preserve"> Vesicostomy calibration size measured in </w:t>
      </w:r>
      <w:proofErr w:type="spellStart"/>
      <w:r w:rsidRPr="00DF323D">
        <w:rPr>
          <w:color w:val="000000" w:themeColor="text1"/>
        </w:rPr>
        <w:t>Charrière</w:t>
      </w:r>
      <w:proofErr w:type="spellEnd"/>
      <w:r w:rsidRPr="00DF323D">
        <w:rPr>
          <w:color w:val="000000" w:themeColor="text1"/>
        </w:rPr>
        <w:t xml:space="preserve"> during the follow-up period. </w:t>
      </w:r>
      <w:r w:rsidR="00627F93" w:rsidRPr="00DF323D">
        <w:rPr>
          <w:color w:val="000000" w:themeColor="text1"/>
        </w:rPr>
        <w:t>Data in panels A and C are presented as mean ± standard deviation (SD).</w:t>
      </w:r>
    </w:p>
    <w:p w14:paraId="37108258" w14:textId="77777777" w:rsidR="000444B2" w:rsidRPr="00DF323D" w:rsidRDefault="000444B2" w:rsidP="008134A1">
      <w:pPr>
        <w:spacing w:line="0" w:lineRule="atLeast"/>
        <w:rPr>
          <w:color w:val="000000" w:themeColor="text1"/>
        </w:rPr>
      </w:pPr>
    </w:p>
    <w:p w14:paraId="0F6530A1" w14:textId="77777777" w:rsidR="000444B2" w:rsidRPr="00DF323D" w:rsidRDefault="00150DE5" w:rsidP="008134A1">
      <w:pPr>
        <w:spacing w:line="0" w:lineRule="atLeast"/>
        <w:rPr>
          <w:color w:val="000000" w:themeColor="text1"/>
        </w:rPr>
      </w:pPr>
      <w:r w:rsidRPr="00DF323D">
        <w:rPr>
          <w:b/>
          <w:bCs/>
          <w:color w:val="000000" w:themeColor="text1"/>
        </w:rPr>
        <w:t xml:space="preserve">Figure 3. Body weight </w:t>
      </w:r>
      <w:proofErr w:type="gramStart"/>
      <w:r w:rsidRPr="00DF323D">
        <w:rPr>
          <w:b/>
          <w:bCs/>
          <w:color w:val="000000" w:themeColor="text1"/>
        </w:rPr>
        <w:t>change</w:t>
      </w:r>
      <w:proofErr w:type="gramEnd"/>
      <w:r w:rsidRPr="00DF323D">
        <w:rPr>
          <w:b/>
          <w:bCs/>
          <w:color w:val="000000" w:themeColor="text1"/>
        </w:rPr>
        <w:t xml:space="preserve"> following spinal cord injury.</w:t>
      </w:r>
      <w:r w:rsidRPr="00DF323D">
        <w:rPr>
          <w:color w:val="000000" w:themeColor="text1"/>
        </w:rPr>
        <w:t xml:space="preserve"> Percentage change in body weight relative to the preoperative value in rats with spinal cord injury (SCI) managed by manual bladder expression (SCI) or vesicostomy (Vesicostomy + SCI) during the 7-week follow-up period. Data are </w:t>
      </w:r>
      <w:r w:rsidRPr="00DF323D">
        <w:rPr>
          <w:color w:val="000000" w:themeColor="text1"/>
        </w:rPr>
        <w:lastRenderedPageBreak/>
        <w:t>presented as mean ± standard deviation (SD).</w:t>
      </w:r>
    </w:p>
    <w:p w14:paraId="38074EFB" w14:textId="77777777" w:rsidR="000444B2" w:rsidRPr="00DF323D" w:rsidRDefault="000444B2" w:rsidP="008134A1">
      <w:pPr>
        <w:spacing w:line="0" w:lineRule="atLeast"/>
        <w:rPr>
          <w:color w:val="000000" w:themeColor="text1"/>
        </w:rPr>
      </w:pPr>
    </w:p>
    <w:p w14:paraId="0B6DB965" w14:textId="77777777" w:rsidR="000444B2" w:rsidRPr="00DF323D" w:rsidRDefault="00150DE5" w:rsidP="008134A1">
      <w:pPr>
        <w:spacing w:line="0" w:lineRule="atLeast"/>
        <w:rPr>
          <w:color w:val="000000" w:themeColor="text1"/>
        </w:rPr>
      </w:pPr>
      <w:r w:rsidRPr="00DF323D">
        <w:rPr>
          <w:b/>
          <w:bCs/>
          <w:color w:val="000000" w:themeColor="text1"/>
        </w:rPr>
        <w:t xml:space="preserve">Table 1. Intramuscular anesthesia dosing for rats. </w:t>
      </w:r>
      <w:r w:rsidRPr="00DF323D">
        <w:rPr>
          <w:color w:val="000000" w:themeColor="text1"/>
        </w:rPr>
        <w:t>Volumes of medetomidine (1 mg/mL), midazolam (5 mg/mL), and fentanyl (0.05 mg/mL) required to prepare the intramuscular anesthetic mixture for rats weighing 100–600 g. The total injection volume represents the sum of the individual drug volumes.</w:t>
      </w:r>
    </w:p>
    <w:p w14:paraId="0B6E12BD" w14:textId="77777777" w:rsidR="000444B2" w:rsidRPr="00DF323D" w:rsidRDefault="000444B2" w:rsidP="008134A1">
      <w:pPr>
        <w:spacing w:line="0" w:lineRule="atLeast"/>
        <w:rPr>
          <w:b/>
          <w:bCs/>
          <w:color w:val="000000" w:themeColor="text1"/>
        </w:rPr>
      </w:pPr>
    </w:p>
    <w:p w14:paraId="18D1953C" w14:textId="77777777" w:rsidR="000444B2" w:rsidRPr="00DF323D" w:rsidRDefault="00150DE5" w:rsidP="008134A1">
      <w:pPr>
        <w:spacing w:line="0" w:lineRule="atLeast"/>
        <w:rPr>
          <w:b/>
          <w:bCs/>
          <w:color w:val="000000" w:themeColor="text1"/>
        </w:rPr>
      </w:pPr>
      <w:r w:rsidRPr="00DF323D">
        <w:rPr>
          <w:b/>
          <w:bCs/>
          <w:color w:val="000000" w:themeColor="text1"/>
        </w:rPr>
        <w:t xml:space="preserve">Table 2. Subcutaneous anesthetic antagonism dosing for rats. </w:t>
      </w:r>
      <w:r w:rsidRPr="00DF323D">
        <w:rPr>
          <w:color w:val="000000" w:themeColor="text1"/>
        </w:rPr>
        <w:t>Volumes of atipamezole (5 mg/mL) and flumazenil (0.1 mg/mL) required to prepare the subcutaneous anesthetic antagonist mixture for rats weighing 100–600 g. The total injection volume represents the sum of the individual drug volumes.</w:t>
      </w:r>
    </w:p>
    <w:p w14:paraId="3B56D798" w14:textId="77777777" w:rsidR="000444B2" w:rsidRPr="00DF323D" w:rsidRDefault="000444B2" w:rsidP="008134A1">
      <w:pPr>
        <w:spacing w:line="0" w:lineRule="atLeast"/>
        <w:rPr>
          <w:color w:val="000000" w:themeColor="text1"/>
        </w:rPr>
      </w:pPr>
    </w:p>
    <w:p w14:paraId="079B5679" w14:textId="0D99AFEC" w:rsidR="006E4797" w:rsidRPr="00DF323D" w:rsidRDefault="00150DE5" w:rsidP="008134A1">
      <w:pPr>
        <w:spacing w:line="0" w:lineRule="atLeast"/>
        <w:rPr>
          <w:color w:val="000000" w:themeColor="text1"/>
        </w:rPr>
      </w:pPr>
      <w:r w:rsidRPr="00DF323D">
        <w:rPr>
          <w:b/>
          <w:bCs/>
          <w:color w:val="000000" w:themeColor="text1"/>
        </w:rPr>
        <w:t xml:space="preserve">Table 3. Experimental groups. </w:t>
      </w:r>
      <w:r w:rsidRPr="00DF323D">
        <w:rPr>
          <w:color w:val="000000" w:themeColor="text1"/>
        </w:rPr>
        <w:t>Overview of the experimental groups included in the study, including animal number, vesicostomy status, spinal cord injury (SCI), injury characteristics, maximum Basso, Beattie, and Bresnahan (BBB) locomotor score, and follow-up period. BBB scores are presented as mean (standard deviation, SD).</w:t>
      </w:r>
    </w:p>
    <w:p w14:paraId="60CAA9A4" w14:textId="77777777" w:rsidR="00A05ACF" w:rsidRPr="00DF323D" w:rsidRDefault="00A05ACF" w:rsidP="008134A1">
      <w:pPr>
        <w:spacing w:line="0" w:lineRule="atLeast"/>
        <w:rPr>
          <w:color w:val="000000" w:themeColor="text1"/>
        </w:rPr>
      </w:pPr>
    </w:p>
    <w:p w14:paraId="6706BF91" w14:textId="77777777" w:rsidR="009A3C9A" w:rsidRPr="00DF323D" w:rsidRDefault="00150DE5" w:rsidP="008134A1">
      <w:pPr>
        <w:spacing w:line="0" w:lineRule="atLeast"/>
        <w:rPr>
          <w:b/>
          <w:bCs/>
          <w:color w:val="000000" w:themeColor="text1"/>
        </w:rPr>
      </w:pPr>
      <w:r w:rsidRPr="00DF323D">
        <w:rPr>
          <w:b/>
          <w:bCs/>
          <w:color w:val="000000" w:themeColor="text1"/>
        </w:rPr>
        <w:t>DISCUSSION:</w:t>
      </w:r>
    </w:p>
    <w:p w14:paraId="08EFFBF0" w14:textId="77777777" w:rsidR="009A3C9A" w:rsidRPr="00DF323D" w:rsidRDefault="00150DE5" w:rsidP="008134A1">
      <w:pPr>
        <w:spacing w:line="0" w:lineRule="atLeast"/>
        <w:rPr>
          <w:color w:val="000000" w:themeColor="text1"/>
        </w:rPr>
      </w:pPr>
      <w:r w:rsidRPr="00DF323D">
        <w:rPr>
          <w:color w:val="000000" w:themeColor="text1"/>
        </w:rPr>
        <w:t>This protocol provides the first detailed description of vesicostomy in rodents as a method for continuous, low-pressure urinary drainage following SCI. Beyond describing the operative technique, we provide a comprehensive postoperative wound management protocol, which proved critical for achieving prolonged and successful follow-up. Because the rat is a small animal model and the objective is to create a minimal bladder opening to limit confounding influences and promote wound healing, magnifying glasses (2.5–3.5× magnification) or an operating microscope proved exceptionally helpful. A direct comparison of vesicostomy sizes (3 mm vs. 5 mm) corroborated the superiority of the smaller incision in our hands. If this minimally invasive approach is not technically feasible, increasing the abdominal incision size may facilitate access. Before suturing the bladder, however, the abdominal incision should again be reduced to 3 mm to create optimal vesicostomy dimensions. Furthermore, our approach was designed to create a high vesicostomy, enabling partial bladder reservoir function (observed in 91.84% of cases throughout the follow-up period) and a controlled degree of bladder distension with ureteral involvement. Although the surgical procedure itself is technically straightforward and carries a low risk of intraoperative complications, the subsequent intensive wound care—particularly during the initial postoperative phase—may represent the primary drawback of this method. Preventing spontaneous vesicostomy closure is essential for maintaining continuous urinary drainage and requires regular calibration. Performing this procedure safely and reproducibly requires two operators, placing considerable demands on personnel, particularly because calibration must be performed at least daily during the first 3 postoperative weeks, followed by every other day thereafter.</w:t>
      </w:r>
    </w:p>
    <w:p w14:paraId="79A0ECFE" w14:textId="77777777" w:rsidR="009A3C9A" w:rsidRPr="00DF323D" w:rsidRDefault="009A3C9A" w:rsidP="008134A1">
      <w:pPr>
        <w:spacing w:line="0" w:lineRule="atLeast"/>
        <w:rPr>
          <w:color w:val="000000" w:themeColor="text1"/>
        </w:rPr>
      </w:pPr>
    </w:p>
    <w:p w14:paraId="2DB0BF11" w14:textId="77777777" w:rsidR="009A3C9A" w:rsidRPr="00DF323D" w:rsidRDefault="00150DE5" w:rsidP="008134A1">
      <w:pPr>
        <w:spacing w:line="0" w:lineRule="atLeast"/>
        <w:rPr>
          <w:color w:val="000000" w:themeColor="text1"/>
        </w:rPr>
      </w:pPr>
      <w:r w:rsidRPr="00DF323D">
        <w:rPr>
          <w:color w:val="000000" w:themeColor="text1"/>
        </w:rPr>
        <w:t xml:space="preserve">Equally important is a rigorous wound management and skin protection regimen. The vesicostomy inherently represents a potential entry point for pathogens, and the surrounding skin is continuously exposed to urine, rendering the site susceptible to maceration and infection. Working in collaboration with a wound care specialist, we systematically developed and refined </w:t>
      </w:r>
      <w:r w:rsidRPr="00DF323D">
        <w:rPr>
          <w:color w:val="000000" w:themeColor="text1"/>
        </w:rPr>
        <w:lastRenderedPageBreak/>
        <w:t>the pre- and postoperative wound management protocols described herein. Key elements include preparation of a clean surgical field with generous hair removal, application of a skin adhesive to seal the fresh wound edges during the initial healing phase, and subsequent regular cleansing with a dilute mild soap solution and a mucosa-compatible antiseptic agent. Skin lubrication emerged as a particularly important determinant of wound recovery, facilitating rapid skin regeneration and hair regrowth. Daily liberal application of an oil-based moisturizing protective film proved highly effective in preserving skin hydration and providing a barrier against direct urine contact. Once hair regrowth was established, skin integrity was generally restored, and the intensity of wound care measures could be reduced.</w:t>
      </w:r>
    </w:p>
    <w:p w14:paraId="709EAD24" w14:textId="77777777" w:rsidR="009A3C9A" w:rsidRPr="00DF323D" w:rsidRDefault="009A3C9A" w:rsidP="008134A1">
      <w:pPr>
        <w:spacing w:line="0" w:lineRule="atLeast"/>
        <w:rPr>
          <w:color w:val="000000" w:themeColor="text1"/>
        </w:rPr>
      </w:pPr>
    </w:p>
    <w:p w14:paraId="1265203D" w14:textId="77777777" w:rsidR="009A3C9A" w:rsidRPr="00DF323D" w:rsidRDefault="00150DE5" w:rsidP="008134A1">
      <w:pPr>
        <w:spacing w:line="0" w:lineRule="atLeast"/>
        <w:rPr>
          <w:color w:val="000000" w:themeColor="text1"/>
        </w:rPr>
      </w:pPr>
      <w:r w:rsidRPr="00DF323D">
        <w:rPr>
          <w:color w:val="000000" w:themeColor="text1"/>
        </w:rPr>
        <w:t>While catheterization is the standard bladder management strategy in patients following SCI</w:t>
      </w:r>
      <w:r w:rsidRPr="00DF323D">
        <w:rPr>
          <w:color w:val="000000" w:themeColor="text1"/>
          <w:vertAlign w:val="superscript"/>
        </w:rPr>
        <w:t>9–12</w:t>
      </w:r>
      <w:r w:rsidRPr="00DF323D">
        <w:rPr>
          <w:color w:val="000000" w:themeColor="text1"/>
        </w:rPr>
        <w:t>, preclinical animal studies—primarily performed in rats</w:t>
      </w:r>
      <w:r w:rsidRPr="00DF323D">
        <w:rPr>
          <w:color w:val="000000" w:themeColor="text1"/>
          <w:vertAlign w:val="superscript"/>
        </w:rPr>
        <w:t>14,15</w:t>
      </w:r>
      <w:r w:rsidRPr="00DF323D">
        <w:rPr>
          <w:color w:val="000000" w:themeColor="text1"/>
        </w:rPr>
        <w:t>—are substantially limited in this regard. The common practice of manual bladder expression introduces methodological bias into studies investigating the LUT by generating non-physiological intravesical pressures and excessive tissue strain. In addition, its practical restriction largely to female animals constitutes a relevant limitation for preclinical SCI research in rats. Transurethral catheterization is feasible in female rats but typically requires sedation (e.g., isoflurane), which represents a major limitation. Moreover, rats void approximately every 8–10 min</w:t>
      </w:r>
      <w:r w:rsidRPr="00DF323D">
        <w:rPr>
          <w:color w:val="000000" w:themeColor="text1"/>
          <w:vertAlign w:val="superscript"/>
        </w:rPr>
        <w:t>27</w:t>
      </w:r>
      <w:r w:rsidRPr="00DF323D">
        <w:rPr>
          <w:color w:val="000000" w:themeColor="text1"/>
        </w:rPr>
        <w:t>; therefore, catheterization would need to be performed multiple times per day to prevent bladder overdistension, further limiting its practicality as a routine drainage strategy. Vesicostomy provides a feasible approach for continuous, low-pressure urinary drainage in awake rats following SCI</w:t>
      </w:r>
      <w:r w:rsidRPr="00DF323D">
        <w:rPr>
          <w:color w:val="000000" w:themeColor="text1"/>
          <w:vertAlign w:val="superscript"/>
        </w:rPr>
        <w:t>16</w:t>
      </w:r>
      <w:r w:rsidRPr="00DF323D">
        <w:rPr>
          <w:color w:val="000000" w:themeColor="text1"/>
        </w:rPr>
        <w:t xml:space="preserve"> and may reduce the confounding effects associated with repeated manual bladder expression. However, its translational relevance requires careful qualification. In contrast to clinical bladder management strategies, such as intermittent catheterization, indwelling catheters, or reflex voiding, vesicostomy establishes a state of continuous urinary diversion without physiological filling and voiding cycles. As such, it does not directly replicate common clinical conditions but rather models a persistently decompressed bladder.</w:t>
      </w:r>
    </w:p>
    <w:p w14:paraId="4C9275D6" w14:textId="77777777" w:rsidR="009A3C9A" w:rsidRPr="00DF323D" w:rsidRDefault="009A3C9A" w:rsidP="008134A1">
      <w:pPr>
        <w:spacing w:line="0" w:lineRule="atLeast"/>
        <w:rPr>
          <w:color w:val="000000" w:themeColor="text1"/>
        </w:rPr>
      </w:pPr>
    </w:p>
    <w:p w14:paraId="29BF7CFE" w14:textId="77777777" w:rsidR="009A3C9A" w:rsidRPr="00DF323D" w:rsidRDefault="00150DE5" w:rsidP="008134A1">
      <w:pPr>
        <w:spacing w:line="0" w:lineRule="atLeast"/>
        <w:rPr>
          <w:color w:val="000000" w:themeColor="text1"/>
        </w:rPr>
      </w:pPr>
      <w:r w:rsidRPr="00DF323D">
        <w:rPr>
          <w:color w:val="000000" w:themeColor="text1"/>
        </w:rPr>
        <w:t>In the present study, vesicostomy was deliberately created as a high stoma at the bladder dome, allowing partial reservoir function, a controlled degree of bladder distension, and ureteral involvement. This configuration maintains low outlet resistance while avoiding complete bladder collapse, thereby more closely approximating the concept of continuous low-pressure drainage used clinically to protect the upper urinary tract in children with outlet obstruction or neurogenic bladder</w:t>
      </w:r>
      <w:r w:rsidRPr="00DF323D">
        <w:rPr>
          <w:color w:val="000000" w:themeColor="text1"/>
          <w:vertAlign w:val="superscript"/>
        </w:rPr>
        <w:t>28</w:t>
      </w:r>
      <w:r w:rsidRPr="00DF323D">
        <w:rPr>
          <w:color w:val="000000" w:themeColor="text1"/>
        </w:rPr>
        <w:t>. Although normal storage and continence mechanisms remain abolished, the high-vesicostomy configuration may mitigate extreme bladder wall stress and promote a more physiologically distributed filling of the bladder and ureteral inflow than simple suprapubic venting or repeated manual bladder expression. Recent work using a murine model of cutaneous vesicostomy demonstrated that disruption of the normal storage–voiding cycle under conditions of temporary urinary diversion induces pronounced bladder remodeling, including a marked increase in lamina propria thickness, a reduced detrusor smooth muscle proportion, impaired contractile responses, upregulation of Mrgprb2, and enhanced sensitivity to Substance P. These findings support the concept that continuous low-pressure drainage per se represents a distinct pathophysiological state rather than a neutral approximation of standard clinical bladder management</w:t>
      </w:r>
      <w:r w:rsidRPr="00DF323D">
        <w:rPr>
          <w:color w:val="000000" w:themeColor="text1"/>
          <w:vertAlign w:val="superscript"/>
        </w:rPr>
        <w:t>26</w:t>
      </w:r>
      <w:r w:rsidRPr="00DF323D">
        <w:rPr>
          <w:color w:val="000000" w:themeColor="text1"/>
        </w:rPr>
        <w:t xml:space="preserve">. In line with these findings, vesicostomy in rats after SCI should therefore be </w:t>
      </w:r>
      <w:r w:rsidRPr="00DF323D">
        <w:rPr>
          <w:color w:val="000000" w:themeColor="text1"/>
        </w:rPr>
        <w:lastRenderedPageBreak/>
        <w:t>regarded primarily as a model of sustained bladder decompression and disrupted bladder cycling rather than a direct surrogate for intermittent catheterization or reflex voiding.</w:t>
      </w:r>
    </w:p>
    <w:p w14:paraId="322AE57B" w14:textId="77777777" w:rsidR="009A3C9A" w:rsidRPr="00DF323D" w:rsidRDefault="009A3C9A" w:rsidP="008134A1">
      <w:pPr>
        <w:spacing w:line="0" w:lineRule="atLeast"/>
        <w:rPr>
          <w:color w:val="000000" w:themeColor="text1"/>
        </w:rPr>
      </w:pPr>
    </w:p>
    <w:p w14:paraId="32B264EB" w14:textId="77777777" w:rsidR="009A3C9A" w:rsidRPr="00DF323D" w:rsidRDefault="00150DE5" w:rsidP="008134A1">
      <w:pPr>
        <w:spacing w:line="0" w:lineRule="atLeast"/>
        <w:rPr>
          <w:color w:val="000000" w:themeColor="text1"/>
        </w:rPr>
      </w:pPr>
      <w:r w:rsidRPr="00DF323D">
        <w:rPr>
          <w:color w:val="000000" w:themeColor="text1"/>
        </w:rPr>
        <w:t>This feature may be advantageous for studying bladder-intrinsic responses to denervation under conditions of minimal outlet resistance. At the same time, complete bypass of the urethra eliminates clinically relevant components of lower urinary tract dysfunction, including urethral resistance, external sphincter activity, and DSD. Consequently, the model is less suitable for investigations focusing on outlet obstruction or bladder–sphincter interactions.</w:t>
      </w:r>
    </w:p>
    <w:p w14:paraId="00D65EEC" w14:textId="77777777" w:rsidR="009A3C9A" w:rsidRPr="00DF323D" w:rsidRDefault="00150DE5" w:rsidP="008134A1">
      <w:pPr>
        <w:spacing w:line="0" w:lineRule="atLeast"/>
        <w:rPr>
          <w:color w:val="000000" w:themeColor="text1"/>
        </w:rPr>
      </w:pPr>
      <w:r w:rsidRPr="00DF323D">
        <w:rPr>
          <w:color w:val="000000" w:themeColor="text1"/>
        </w:rPr>
        <w:t>Furthermore, continuous urinary drainage effectively abolishes normal storage and continence mechanisms, which may independently influence bladder physiology, compliance, and tissue remodeling. Findings from the murine vesicostomy model</w:t>
      </w:r>
      <w:r w:rsidRPr="00DF323D">
        <w:rPr>
          <w:color w:val="000000" w:themeColor="text1"/>
          <w:vertAlign w:val="superscript"/>
        </w:rPr>
        <w:t>26</w:t>
      </w:r>
      <w:r w:rsidRPr="00DF323D">
        <w:rPr>
          <w:color w:val="000000" w:themeColor="text1"/>
        </w:rPr>
        <w:t xml:space="preserve"> suggest that disruption of the normal storage–voiding cycle can reduce cholinergic sensitivity despite unchanged muscarinic receptor expression, indicating alterations in downstream signaling pathways. These factors should be considered when interpreting the translational applicability of findings obtained with this model. Moreover, vesicostomy offers the conceptual possibility of modeling different phases of bladder management after SCI within the same animal. During the acute phase after injury, continuous low-pressure drainage via a high vesicostomy may mimic clinical strategies such as indwelling urethral or suprapubic catheters and other forms of urinary diversion that aim to protect the bladder and UUT by avoiding high intravesical pressures and urinary retention. During a later chronic phase, surgical closure of the vesicostomy could allow a transition to a high-pressure storage and voiding condition, more closely resembling patients managed with clean intermittent catheterization, in whom bladder filling, incomplete emptying, and elevated storage pressures contribute to long-term remodeling and dysfunction.</w:t>
      </w:r>
    </w:p>
    <w:p w14:paraId="3B042527" w14:textId="77777777" w:rsidR="009A3C9A" w:rsidRPr="00DF323D" w:rsidRDefault="009A3C9A" w:rsidP="008134A1">
      <w:pPr>
        <w:spacing w:line="0" w:lineRule="atLeast"/>
        <w:rPr>
          <w:color w:val="000000" w:themeColor="text1"/>
        </w:rPr>
      </w:pPr>
    </w:p>
    <w:p w14:paraId="29122376" w14:textId="77777777" w:rsidR="009A3C9A" w:rsidRPr="00DF323D" w:rsidRDefault="00150DE5" w:rsidP="008134A1">
      <w:pPr>
        <w:spacing w:line="0" w:lineRule="atLeast"/>
        <w:rPr>
          <w:color w:val="000000" w:themeColor="text1"/>
        </w:rPr>
      </w:pPr>
      <w:r w:rsidRPr="00DF323D">
        <w:rPr>
          <w:color w:val="000000" w:themeColor="text1"/>
        </w:rPr>
        <w:t xml:space="preserve">Such a staged approach could facilitate longitudinal studies comparing structural, functional, and molecular bladder adaptations under continuous decompression versus restored storage conditions within the same SCI model. It may thereby help disentangle injury- and drainage-related components of </w:t>
      </w:r>
      <w:proofErr w:type="spellStart"/>
      <w:r w:rsidRPr="00DF323D">
        <w:rPr>
          <w:color w:val="000000" w:themeColor="text1"/>
        </w:rPr>
        <w:t>nLUTD</w:t>
      </w:r>
      <w:proofErr w:type="spellEnd"/>
      <w:r w:rsidRPr="00DF323D">
        <w:rPr>
          <w:color w:val="000000" w:themeColor="text1"/>
        </w:rPr>
        <w:t xml:space="preserve"> and bridge the gap between preclinical experimental paradigms and the temporal evolution of bladder management in clinical practice. At present, this concept remains hypothetical and requires dedicated future studies to establish </w:t>
      </w:r>
      <w:proofErr w:type="gramStart"/>
      <w:r w:rsidRPr="00DF323D">
        <w:rPr>
          <w:color w:val="000000" w:themeColor="text1"/>
        </w:rPr>
        <w:t>the feasibility</w:t>
      </w:r>
      <w:proofErr w:type="gramEnd"/>
      <w:r w:rsidRPr="00DF323D">
        <w:rPr>
          <w:color w:val="000000" w:themeColor="text1"/>
        </w:rPr>
        <w:t>, safety, reproducibility, and resulting urodynamic profiles following vesicostomy closure. Finally, although vesicostomy may theoretically facilitate bladder management in both sexes by circumventing challenges associated with urethral catheterization, the present study was conducted exclusively in female rats. Existing vesicostomy models in rodents, including the murine study described above, have likewise been established predominantly in female animals, underscoring that robust evidence supporting sex-independent applicability remains limited. Therefore, the current data demonstrate feasibility only in female rats, and further studies are required to determine whether comparable outcomes can be achieved in males and to assess potential sex-specific differences.</w:t>
      </w:r>
    </w:p>
    <w:p w14:paraId="37E72016" w14:textId="77777777" w:rsidR="009A3C9A" w:rsidRPr="00DF323D" w:rsidRDefault="009A3C9A" w:rsidP="008134A1">
      <w:pPr>
        <w:spacing w:line="0" w:lineRule="atLeast"/>
        <w:rPr>
          <w:color w:val="000000" w:themeColor="text1"/>
        </w:rPr>
      </w:pPr>
    </w:p>
    <w:p w14:paraId="4C4D393A" w14:textId="38C6CB01" w:rsidR="009A3C9A" w:rsidRPr="00DF323D" w:rsidRDefault="00150DE5" w:rsidP="008134A1">
      <w:pPr>
        <w:spacing w:line="0" w:lineRule="atLeast"/>
        <w:rPr>
          <w:color w:val="000000" w:themeColor="text1"/>
        </w:rPr>
      </w:pPr>
      <w:r w:rsidRPr="00DF323D">
        <w:rPr>
          <w:color w:val="000000" w:themeColor="text1"/>
        </w:rPr>
        <w:t xml:space="preserve">Vesicostomy in rats with SCI provides a straightforward and reproducible method for continuous, low-pressure urinary drainage, particularly when performed as a high vesicostomy that permits partial reservoir function. Although the model does not replicate intermittent catheterization and bypasses urethral resistance and sphincter dynamics, it provides a controlled setting for </w:t>
      </w:r>
      <w:r w:rsidRPr="00DF323D">
        <w:rPr>
          <w:color w:val="000000" w:themeColor="text1"/>
        </w:rPr>
        <w:lastRenderedPageBreak/>
        <w:t>investigating bladder-intrinsic responses to denervation and disruption of the storage–voiding cycle under conditions of minimal outlet resistance. Its translational application is therefore primarily limited to investigations of bladder remodeling, decompression, and general bladder maintenance, and the current data are limited to female animals. Future studies should extend the model to males and evaluate staged closure of the vesicostomy to re-establish high-pressure storage conditions, thereby better reflecting chronic clinical bladder management.</w:t>
      </w:r>
    </w:p>
    <w:p w14:paraId="405D727E" w14:textId="77777777" w:rsidR="009A3C9A" w:rsidRPr="00DF323D" w:rsidRDefault="009A3C9A" w:rsidP="008134A1">
      <w:pPr>
        <w:spacing w:line="0" w:lineRule="atLeast"/>
        <w:rPr>
          <w:color w:val="000000" w:themeColor="text1"/>
        </w:rPr>
      </w:pPr>
    </w:p>
    <w:p w14:paraId="59F37CC4" w14:textId="6A4165F9" w:rsidR="006E4797" w:rsidRPr="00DF323D" w:rsidRDefault="00150DE5" w:rsidP="008134A1">
      <w:pPr>
        <w:pBdr>
          <w:top w:val="nil"/>
          <w:left w:val="nil"/>
          <w:bottom w:val="nil"/>
          <w:right w:val="nil"/>
          <w:between w:val="nil"/>
        </w:pBdr>
        <w:spacing w:line="0" w:lineRule="atLeast"/>
        <w:rPr>
          <w:color w:val="000000" w:themeColor="text1"/>
        </w:rPr>
      </w:pPr>
      <w:r w:rsidRPr="00DF323D">
        <w:rPr>
          <w:b/>
          <w:color w:val="000000" w:themeColor="text1"/>
        </w:rPr>
        <w:t>ACKNOWLEDGMENTS</w:t>
      </w:r>
      <w:r w:rsidR="008E11E6" w:rsidRPr="00DF323D">
        <w:rPr>
          <w:b/>
          <w:color w:val="000000" w:themeColor="text1"/>
        </w:rPr>
        <w:t>:</w:t>
      </w:r>
    </w:p>
    <w:p w14:paraId="649D130B" w14:textId="18FC4311" w:rsidR="00CE7C9E" w:rsidRPr="00DF323D" w:rsidRDefault="00150DE5" w:rsidP="008134A1">
      <w:pPr>
        <w:spacing w:line="0" w:lineRule="atLeast"/>
        <w:rPr>
          <w:color w:val="000000" w:themeColor="text1"/>
        </w:rPr>
      </w:pPr>
      <w:r w:rsidRPr="00DF323D">
        <w:rPr>
          <w:color w:val="000000" w:themeColor="text1"/>
        </w:rPr>
        <w:t>The authors thank wound care specialist Gerlinde Wiesinger for her invaluable contribution to the optimization of the wound management protocol.</w:t>
      </w:r>
    </w:p>
    <w:p w14:paraId="25B2FBBD" w14:textId="77777777" w:rsidR="006E4797" w:rsidRPr="00DF323D" w:rsidRDefault="006E4797" w:rsidP="008134A1">
      <w:pPr>
        <w:spacing w:line="0" w:lineRule="atLeast"/>
        <w:rPr>
          <w:b/>
          <w:color w:val="000000" w:themeColor="text1"/>
        </w:rPr>
      </w:pPr>
    </w:p>
    <w:p w14:paraId="5E703EBA" w14:textId="39F3B411" w:rsidR="006E4797" w:rsidRPr="00DF323D" w:rsidRDefault="00150DE5" w:rsidP="008134A1">
      <w:pPr>
        <w:pBdr>
          <w:top w:val="nil"/>
          <w:left w:val="nil"/>
          <w:bottom w:val="nil"/>
          <w:right w:val="nil"/>
          <w:between w:val="nil"/>
        </w:pBdr>
        <w:spacing w:line="0" w:lineRule="atLeast"/>
        <w:rPr>
          <w:color w:val="000000" w:themeColor="text1"/>
        </w:rPr>
      </w:pPr>
      <w:r w:rsidRPr="00DF323D">
        <w:rPr>
          <w:b/>
          <w:color w:val="000000" w:themeColor="text1"/>
        </w:rPr>
        <w:t>DISCLOSURES:</w:t>
      </w:r>
    </w:p>
    <w:p w14:paraId="132340D6" w14:textId="76C32C32" w:rsidR="006E4797" w:rsidRPr="00DF323D" w:rsidRDefault="00150DE5" w:rsidP="008134A1">
      <w:pPr>
        <w:spacing w:line="0" w:lineRule="atLeast"/>
        <w:rPr>
          <w:color w:val="000000" w:themeColor="text1"/>
        </w:rPr>
      </w:pPr>
      <w:r w:rsidRPr="00DF323D">
        <w:rPr>
          <w:color w:val="000000" w:themeColor="text1"/>
        </w:rPr>
        <w:t>The authors declare no conflicts of interest.</w:t>
      </w:r>
    </w:p>
    <w:p w14:paraId="4A7B0E5C" w14:textId="77777777" w:rsidR="006E4797" w:rsidRPr="00DF323D" w:rsidRDefault="006E4797" w:rsidP="008134A1">
      <w:pPr>
        <w:spacing w:line="0" w:lineRule="atLeast"/>
        <w:rPr>
          <w:color w:val="000000" w:themeColor="text1"/>
        </w:rPr>
      </w:pPr>
    </w:p>
    <w:p w14:paraId="6DE2B73C" w14:textId="580D91DF" w:rsidR="006E4797" w:rsidRPr="00DF323D" w:rsidRDefault="00150DE5" w:rsidP="008134A1">
      <w:pPr>
        <w:spacing w:line="0" w:lineRule="atLeast"/>
        <w:rPr>
          <w:b/>
          <w:color w:val="000000" w:themeColor="text1"/>
        </w:rPr>
      </w:pPr>
      <w:proofErr w:type="gramStart"/>
      <w:r w:rsidRPr="00DF323D">
        <w:rPr>
          <w:b/>
          <w:color w:val="000000" w:themeColor="text1"/>
        </w:rPr>
        <w:t>REFERENCES</w:t>
      </w:r>
      <w:proofErr w:type="gramEnd"/>
      <w:r w:rsidRPr="00DF323D">
        <w:rPr>
          <w:b/>
          <w:color w:val="000000" w:themeColor="text1"/>
        </w:rPr>
        <w:t>:</w:t>
      </w:r>
    </w:p>
    <w:p w14:paraId="0108B0B7"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Fowler CJ, Griffiths D, de Groat WC. The neural control of micturition. Nat Rev </w:t>
      </w:r>
      <w:proofErr w:type="spellStart"/>
      <w:r w:rsidRPr="00DF323D">
        <w:rPr>
          <w:rFonts w:ascii="Calibri" w:hAnsi="Calibri" w:cs="Calibri"/>
          <w:color w:val="000000" w:themeColor="text1"/>
          <w:sz w:val="24"/>
          <w:szCs w:val="24"/>
        </w:rPr>
        <w:t>Neurosci</w:t>
      </w:r>
      <w:proofErr w:type="spellEnd"/>
      <w:r w:rsidRPr="00DF323D">
        <w:rPr>
          <w:rFonts w:ascii="Calibri" w:hAnsi="Calibri" w:cs="Calibri"/>
          <w:color w:val="000000" w:themeColor="text1"/>
          <w:sz w:val="24"/>
          <w:szCs w:val="24"/>
        </w:rPr>
        <w:t xml:space="preserve">. 2008;9(6):453-66. </w:t>
      </w:r>
    </w:p>
    <w:p w14:paraId="4570022B"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de Groat WC, Yoshimura N. Anatomy and physiology of the lower urinary tract. </w:t>
      </w:r>
      <w:proofErr w:type="spellStart"/>
      <w:r w:rsidRPr="00DF323D">
        <w:rPr>
          <w:rFonts w:ascii="Calibri" w:hAnsi="Calibri" w:cs="Calibri"/>
          <w:color w:val="000000" w:themeColor="text1"/>
          <w:sz w:val="24"/>
          <w:szCs w:val="24"/>
        </w:rPr>
        <w:t>Handb</w:t>
      </w:r>
      <w:proofErr w:type="spellEnd"/>
      <w:r w:rsidRPr="00DF323D">
        <w:rPr>
          <w:rFonts w:ascii="Calibri" w:hAnsi="Calibri" w:cs="Calibri"/>
          <w:color w:val="000000" w:themeColor="text1"/>
          <w:sz w:val="24"/>
          <w:szCs w:val="24"/>
        </w:rPr>
        <w:t xml:space="preserve"> Clin Neurol. </w:t>
      </w:r>
      <w:proofErr w:type="gramStart"/>
      <w:r w:rsidRPr="00DF323D">
        <w:rPr>
          <w:rFonts w:ascii="Calibri" w:hAnsi="Calibri" w:cs="Calibri"/>
          <w:color w:val="000000" w:themeColor="text1"/>
          <w:sz w:val="24"/>
          <w:szCs w:val="24"/>
        </w:rPr>
        <w:t>2015;130:61</w:t>
      </w:r>
      <w:proofErr w:type="gramEnd"/>
      <w:r w:rsidRPr="00DF323D">
        <w:rPr>
          <w:rFonts w:ascii="Calibri" w:hAnsi="Calibri" w:cs="Calibri"/>
          <w:color w:val="000000" w:themeColor="text1"/>
          <w:sz w:val="24"/>
          <w:szCs w:val="24"/>
        </w:rPr>
        <w:t xml:space="preserve">-108. </w:t>
      </w:r>
    </w:p>
    <w:p w14:paraId="75101378"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de Groat WC, Wickens C. Organization of the neural switching circuitry underlying reflex micturition. Acta Physiol. 2013;207(1):66-84. </w:t>
      </w:r>
    </w:p>
    <w:p w14:paraId="04C7E4D3"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Taweel WA, Seyam R. Neurogenic bladder in spinal cord injury patients. Res Rep Urol. </w:t>
      </w:r>
      <w:proofErr w:type="gramStart"/>
      <w:r w:rsidRPr="00DF323D">
        <w:rPr>
          <w:rFonts w:ascii="Calibri" w:hAnsi="Calibri" w:cs="Calibri"/>
          <w:color w:val="000000" w:themeColor="text1"/>
          <w:sz w:val="24"/>
          <w:szCs w:val="24"/>
        </w:rPr>
        <w:t>2015;7:85</w:t>
      </w:r>
      <w:proofErr w:type="gramEnd"/>
      <w:r w:rsidRPr="00DF323D">
        <w:rPr>
          <w:rFonts w:ascii="Calibri" w:hAnsi="Calibri" w:cs="Calibri"/>
          <w:color w:val="000000" w:themeColor="text1"/>
          <w:sz w:val="24"/>
          <w:szCs w:val="24"/>
        </w:rPr>
        <w:t xml:space="preserve">-99. </w:t>
      </w:r>
    </w:p>
    <w:p w14:paraId="03A21A71"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Weld KJ, Dmochowski RR. Effect of bladder management on urological complications in spinal cord injured patients. J Urol. 2000;163(3):768-72. </w:t>
      </w:r>
    </w:p>
    <w:p w14:paraId="7CDD25D5"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Panicker JN, Fowler CJ, Kessler TM. Lower urinary tract dysfunction in the neurological patient: clinical assessment and management. Lancet Neurol. 2015;14(7):720-32. </w:t>
      </w:r>
    </w:p>
    <w:p w14:paraId="4B0152D7"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Panicker JN. Neurogenic bladder: epidemiology, diagnosis, and management. Semin Neurol. 2020;40(5):569-79. </w:t>
      </w:r>
    </w:p>
    <w:p w14:paraId="0CD3E2B1"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Savic G, et al. Long-term survival after traumatic spinal cord injury: a 70-year British study. Spinal Cord. 2017;55(7):651-8. </w:t>
      </w:r>
    </w:p>
    <w:p w14:paraId="37AC58F3"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Kinnear N, et al. The impact of catheter-based bladder drainage method on urinary tract infection risk in spinal cord injury and neurogenic bladder: a systematic review. </w:t>
      </w:r>
      <w:proofErr w:type="spellStart"/>
      <w:r w:rsidRPr="00DF323D">
        <w:rPr>
          <w:rFonts w:ascii="Calibri" w:hAnsi="Calibri" w:cs="Calibri"/>
          <w:color w:val="000000" w:themeColor="text1"/>
          <w:sz w:val="24"/>
          <w:szCs w:val="24"/>
        </w:rPr>
        <w:t>Neurourol</w:t>
      </w:r>
      <w:proofErr w:type="spellEnd"/>
      <w:r w:rsidRPr="00DF323D">
        <w:rPr>
          <w:rFonts w:ascii="Calibri" w:hAnsi="Calibri" w:cs="Calibri"/>
          <w:color w:val="000000" w:themeColor="text1"/>
          <w:sz w:val="24"/>
          <w:szCs w:val="24"/>
        </w:rPr>
        <w:t xml:space="preserve"> </w:t>
      </w:r>
      <w:proofErr w:type="spellStart"/>
      <w:r w:rsidRPr="00DF323D">
        <w:rPr>
          <w:rFonts w:ascii="Calibri" w:hAnsi="Calibri" w:cs="Calibri"/>
          <w:color w:val="000000" w:themeColor="text1"/>
          <w:sz w:val="24"/>
          <w:szCs w:val="24"/>
        </w:rPr>
        <w:t>Urodyn</w:t>
      </w:r>
      <w:proofErr w:type="spellEnd"/>
      <w:r w:rsidRPr="00DF323D">
        <w:rPr>
          <w:rFonts w:ascii="Calibri" w:hAnsi="Calibri" w:cs="Calibri"/>
          <w:color w:val="000000" w:themeColor="text1"/>
          <w:sz w:val="24"/>
          <w:szCs w:val="24"/>
        </w:rPr>
        <w:t xml:space="preserve">. 2020;39(2):854-62. </w:t>
      </w:r>
    </w:p>
    <w:p w14:paraId="69DD220A"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Sartori AM, et al. Summary of the 2024 update of the European Association of Urology Guidelines on </w:t>
      </w:r>
      <w:proofErr w:type="spellStart"/>
      <w:r w:rsidRPr="00DF323D">
        <w:rPr>
          <w:rFonts w:ascii="Calibri" w:hAnsi="Calibri" w:cs="Calibri"/>
          <w:color w:val="000000" w:themeColor="text1"/>
          <w:sz w:val="24"/>
          <w:szCs w:val="24"/>
        </w:rPr>
        <w:t>neurourology</w:t>
      </w:r>
      <w:proofErr w:type="spellEnd"/>
      <w:r w:rsidRPr="00DF323D">
        <w:rPr>
          <w:rFonts w:ascii="Calibri" w:hAnsi="Calibri" w:cs="Calibri"/>
          <w:color w:val="000000" w:themeColor="text1"/>
          <w:sz w:val="24"/>
          <w:szCs w:val="24"/>
        </w:rPr>
        <w:t xml:space="preserve">. </w:t>
      </w:r>
      <w:proofErr w:type="spellStart"/>
      <w:r w:rsidRPr="00DF323D">
        <w:rPr>
          <w:rFonts w:ascii="Calibri" w:hAnsi="Calibri" w:cs="Calibri"/>
          <w:color w:val="000000" w:themeColor="text1"/>
          <w:sz w:val="24"/>
          <w:szCs w:val="24"/>
        </w:rPr>
        <w:t>Eur</w:t>
      </w:r>
      <w:proofErr w:type="spellEnd"/>
      <w:r w:rsidRPr="00DF323D">
        <w:rPr>
          <w:rFonts w:ascii="Calibri" w:hAnsi="Calibri" w:cs="Calibri"/>
          <w:color w:val="000000" w:themeColor="text1"/>
          <w:sz w:val="24"/>
          <w:szCs w:val="24"/>
        </w:rPr>
        <w:t xml:space="preserve"> Urol. 2024;85(6):543-55. </w:t>
      </w:r>
    </w:p>
    <w:p w14:paraId="636FC993"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Ong HL, et al. Conservative bladder management and medical treatment in chronic spinal cord injury patients. J Clin Med. 2023;12(5):2021 </w:t>
      </w:r>
    </w:p>
    <w:p w14:paraId="5294F47A"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Abrams P, et al. A proposed guideline for the urological management of patients with spinal cord injury. BJU Int. 2008;101(8):989-94. </w:t>
      </w:r>
    </w:p>
    <w:p w14:paraId="3773D1A0"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Barre-</w:t>
      </w:r>
      <w:proofErr w:type="spellStart"/>
      <w:r w:rsidRPr="00DF323D">
        <w:rPr>
          <w:rFonts w:ascii="Calibri" w:hAnsi="Calibri" w:cs="Calibri"/>
          <w:color w:val="000000" w:themeColor="text1"/>
          <w:sz w:val="24"/>
          <w:szCs w:val="24"/>
        </w:rPr>
        <w:t>Sinoussi</w:t>
      </w:r>
      <w:proofErr w:type="spellEnd"/>
      <w:r w:rsidRPr="00DF323D">
        <w:rPr>
          <w:rFonts w:ascii="Calibri" w:hAnsi="Calibri" w:cs="Calibri"/>
          <w:color w:val="000000" w:themeColor="text1"/>
          <w:sz w:val="24"/>
          <w:szCs w:val="24"/>
        </w:rPr>
        <w:t xml:space="preserve"> F, </w:t>
      </w:r>
      <w:proofErr w:type="spellStart"/>
      <w:r w:rsidRPr="00DF323D">
        <w:rPr>
          <w:rFonts w:ascii="Calibri" w:hAnsi="Calibri" w:cs="Calibri"/>
          <w:color w:val="000000" w:themeColor="text1"/>
          <w:sz w:val="24"/>
          <w:szCs w:val="24"/>
        </w:rPr>
        <w:t>Montagutelli</w:t>
      </w:r>
      <w:proofErr w:type="spellEnd"/>
      <w:r w:rsidRPr="00DF323D">
        <w:rPr>
          <w:rFonts w:ascii="Calibri" w:hAnsi="Calibri" w:cs="Calibri"/>
          <w:color w:val="000000" w:themeColor="text1"/>
          <w:sz w:val="24"/>
          <w:szCs w:val="24"/>
        </w:rPr>
        <w:t xml:space="preserve"> X. Animal models are essential to biological research: issues and perspectives. Future Sci OA. 2015;1(4</w:t>
      </w:r>
      <w:proofErr w:type="gramStart"/>
      <w:r w:rsidRPr="00DF323D">
        <w:rPr>
          <w:rFonts w:ascii="Calibri" w:hAnsi="Calibri" w:cs="Calibri"/>
          <w:color w:val="000000" w:themeColor="text1"/>
          <w:sz w:val="24"/>
          <w:szCs w:val="24"/>
        </w:rPr>
        <w:t>):FSO</w:t>
      </w:r>
      <w:proofErr w:type="gramEnd"/>
      <w:r w:rsidRPr="00DF323D">
        <w:rPr>
          <w:rFonts w:ascii="Calibri" w:hAnsi="Calibri" w:cs="Calibri"/>
          <w:color w:val="000000" w:themeColor="text1"/>
          <w:sz w:val="24"/>
          <w:szCs w:val="24"/>
        </w:rPr>
        <w:t xml:space="preserve">63. </w:t>
      </w:r>
    </w:p>
    <w:p w14:paraId="713DB0C7"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lang w:val="es-ES"/>
        </w:rPr>
        <w:lastRenderedPageBreak/>
        <w:t xml:space="preserve">Ferreira A, Nascimento D, Cruz CD. </w:t>
      </w:r>
      <w:r w:rsidRPr="00DF323D">
        <w:rPr>
          <w:rFonts w:ascii="Calibri" w:hAnsi="Calibri" w:cs="Calibri"/>
          <w:color w:val="000000" w:themeColor="text1"/>
          <w:sz w:val="24"/>
          <w:szCs w:val="24"/>
        </w:rPr>
        <w:t xml:space="preserve">Molecular mechanisms operating in animal models of neurogenic detrusor overactivity: a systematic review focusing on bladder dysfunction of neurogenic origin. Int J Mol Sci. 2023;24(4):3273. </w:t>
      </w:r>
    </w:p>
    <w:p w14:paraId="66B3B156"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proofErr w:type="spellStart"/>
      <w:r w:rsidRPr="00DF323D">
        <w:rPr>
          <w:rFonts w:ascii="Calibri" w:hAnsi="Calibri" w:cs="Calibri"/>
          <w:color w:val="000000" w:themeColor="text1"/>
          <w:sz w:val="24"/>
          <w:szCs w:val="24"/>
        </w:rPr>
        <w:t>Doelman</w:t>
      </w:r>
      <w:proofErr w:type="spellEnd"/>
      <w:r w:rsidRPr="00DF323D">
        <w:rPr>
          <w:rFonts w:ascii="Calibri" w:hAnsi="Calibri" w:cs="Calibri"/>
          <w:color w:val="000000" w:themeColor="text1"/>
          <w:sz w:val="24"/>
          <w:szCs w:val="24"/>
        </w:rPr>
        <w:t xml:space="preserve"> AW, et al. Assessing neurogenic lower urinary tract dysfunction after spinal cord injury: animal models in preclinical neuro-urology research. Biomedicines. 2023;11(6):1539. </w:t>
      </w:r>
    </w:p>
    <w:p w14:paraId="16A71194"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Bauer S, et al. Translational pitfalls in SCI bladder research: the hidden role of urinary drainage techniques in the rat model. Biology (Basel). 2025;14(8):928. </w:t>
      </w:r>
    </w:p>
    <w:p w14:paraId="225A0C5F"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Chang SM, et al. Urologic status of 74 spinal cord injury patients from the 1976 Tangshan </w:t>
      </w:r>
      <w:proofErr w:type="gramStart"/>
      <w:r w:rsidRPr="00DF323D">
        <w:rPr>
          <w:rFonts w:ascii="Calibri" w:hAnsi="Calibri" w:cs="Calibri"/>
          <w:color w:val="000000" w:themeColor="text1"/>
          <w:sz w:val="24"/>
          <w:szCs w:val="24"/>
        </w:rPr>
        <w:t>earthquake, and</w:t>
      </w:r>
      <w:proofErr w:type="gramEnd"/>
      <w:r w:rsidRPr="00DF323D">
        <w:rPr>
          <w:rFonts w:ascii="Calibri" w:hAnsi="Calibri" w:cs="Calibri"/>
          <w:color w:val="000000" w:themeColor="text1"/>
          <w:sz w:val="24"/>
          <w:szCs w:val="24"/>
        </w:rPr>
        <w:t xml:space="preserve"> managed for over 20 years using the Crede maneuver. Spinal Cord. 2000;38(9):552-4. </w:t>
      </w:r>
    </w:p>
    <w:p w14:paraId="7399556D"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GBD SCI Collaborators. Global, regional, and national burden of spinal cord injury, 1990-2019: a systematic analysis for the Global Burden of Disease Study 2019. Lancet Neurol. 2023;22(11):1026-47. </w:t>
      </w:r>
    </w:p>
    <w:p w14:paraId="5C6F2A49"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Ding W, et al. Spinal cord injury: the global incidence, prevalence, and disability from the Global Burden of Disease Study 2019. Spine (Phila Pa 1976). 2022;47(21):1532-40. </w:t>
      </w:r>
    </w:p>
    <w:p w14:paraId="2FB61DBE"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Di Benedetto V, et al. Vesicostomy in childhood: indications and results. </w:t>
      </w:r>
      <w:proofErr w:type="spellStart"/>
      <w:r w:rsidRPr="00DF323D">
        <w:rPr>
          <w:rFonts w:ascii="Calibri" w:hAnsi="Calibri" w:cs="Calibri"/>
          <w:color w:val="000000" w:themeColor="text1"/>
          <w:sz w:val="24"/>
          <w:szCs w:val="24"/>
        </w:rPr>
        <w:t>Pediatr</w:t>
      </w:r>
      <w:proofErr w:type="spellEnd"/>
      <w:r w:rsidRPr="00DF323D">
        <w:rPr>
          <w:rFonts w:ascii="Calibri" w:hAnsi="Calibri" w:cs="Calibri"/>
          <w:color w:val="000000" w:themeColor="text1"/>
          <w:sz w:val="24"/>
          <w:szCs w:val="24"/>
        </w:rPr>
        <w:t xml:space="preserve"> Surg Int. 1996;11(5-6):348-50. </w:t>
      </w:r>
    </w:p>
    <w:p w14:paraId="789FD916"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proofErr w:type="spellStart"/>
      <w:r w:rsidRPr="00DF323D">
        <w:rPr>
          <w:rFonts w:ascii="Calibri" w:hAnsi="Calibri" w:cs="Calibri"/>
          <w:color w:val="000000" w:themeColor="text1"/>
          <w:sz w:val="24"/>
          <w:szCs w:val="24"/>
        </w:rPr>
        <w:t>Vallasciani</w:t>
      </w:r>
      <w:proofErr w:type="spellEnd"/>
      <w:r w:rsidRPr="00DF323D">
        <w:rPr>
          <w:rFonts w:ascii="Calibri" w:hAnsi="Calibri" w:cs="Calibri"/>
          <w:color w:val="000000" w:themeColor="text1"/>
          <w:sz w:val="24"/>
          <w:szCs w:val="24"/>
        </w:rPr>
        <w:t xml:space="preserve"> S, et al. Permanent cutaneous vesicostomy: a pragmatic approach to safely manage lower urinary tract dysfunction in pediatric patients with chronic and life-limiting conditions and neuropathic bladders. Front </w:t>
      </w:r>
      <w:proofErr w:type="spellStart"/>
      <w:r w:rsidRPr="00DF323D">
        <w:rPr>
          <w:rFonts w:ascii="Calibri" w:hAnsi="Calibri" w:cs="Calibri"/>
          <w:color w:val="000000" w:themeColor="text1"/>
          <w:sz w:val="24"/>
          <w:szCs w:val="24"/>
        </w:rPr>
        <w:t>Pediatr</w:t>
      </w:r>
      <w:proofErr w:type="spellEnd"/>
      <w:r w:rsidRPr="00DF323D">
        <w:rPr>
          <w:rFonts w:ascii="Calibri" w:hAnsi="Calibri" w:cs="Calibri"/>
          <w:color w:val="000000" w:themeColor="text1"/>
          <w:sz w:val="24"/>
          <w:szCs w:val="24"/>
        </w:rPr>
        <w:t xml:space="preserve">. </w:t>
      </w:r>
      <w:proofErr w:type="gramStart"/>
      <w:r w:rsidRPr="00DF323D">
        <w:rPr>
          <w:rFonts w:ascii="Calibri" w:hAnsi="Calibri" w:cs="Calibri"/>
          <w:color w:val="000000" w:themeColor="text1"/>
          <w:sz w:val="24"/>
          <w:szCs w:val="24"/>
        </w:rPr>
        <w:t>2024;12:1409608</w:t>
      </w:r>
      <w:proofErr w:type="gramEnd"/>
      <w:r w:rsidRPr="00DF323D">
        <w:rPr>
          <w:rFonts w:ascii="Calibri" w:hAnsi="Calibri" w:cs="Calibri"/>
          <w:color w:val="000000" w:themeColor="text1"/>
          <w:sz w:val="24"/>
          <w:szCs w:val="24"/>
        </w:rPr>
        <w:t xml:space="preserve">. </w:t>
      </w:r>
    </w:p>
    <w:p w14:paraId="275823BE"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proofErr w:type="spellStart"/>
      <w:r w:rsidRPr="00DF323D">
        <w:rPr>
          <w:rFonts w:ascii="Calibri" w:hAnsi="Calibri" w:cs="Calibri"/>
          <w:color w:val="000000" w:themeColor="text1"/>
          <w:sz w:val="24"/>
          <w:szCs w:val="24"/>
        </w:rPr>
        <w:t>Donmez</w:t>
      </w:r>
      <w:proofErr w:type="spellEnd"/>
      <w:r w:rsidRPr="00DF323D">
        <w:rPr>
          <w:rFonts w:ascii="Calibri" w:hAnsi="Calibri" w:cs="Calibri"/>
          <w:color w:val="000000" w:themeColor="text1"/>
          <w:sz w:val="24"/>
          <w:szCs w:val="24"/>
        </w:rPr>
        <w:t xml:space="preserve"> MI, et al. Long-term outcomes of cutaneous vesicostomy in patients with neuropathic bladder caused by spina bifida. J Pediatr Urol. 2017;13(6</w:t>
      </w:r>
      <w:proofErr w:type="gramStart"/>
      <w:r w:rsidRPr="00DF323D">
        <w:rPr>
          <w:rFonts w:ascii="Calibri" w:hAnsi="Calibri" w:cs="Calibri"/>
          <w:color w:val="000000" w:themeColor="text1"/>
          <w:sz w:val="24"/>
          <w:szCs w:val="24"/>
        </w:rPr>
        <w:t>):622.e</w:t>
      </w:r>
      <w:proofErr w:type="gramEnd"/>
      <w:r w:rsidRPr="00DF323D">
        <w:rPr>
          <w:rFonts w:ascii="Calibri" w:hAnsi="Calibri" w:cs="Calibri"/>
          <w:color w:val="000000" w:themeColor="text1"/>
          <w:sz w:val="24"/>
          <w:szCs w:val="24"/>
        </w:rPr>
        <w:t xml:space="preserve">1-622.e4. </w:t>
      </w:r>
    </w:p>
    <w:p w14:paraId="7B600883"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Carpenter AR, Becknell B, </w:t>
      </w:r>
      <w:proofErr w:type="spellStart"/>
      <w:r w:rsidRPr="00DF323D">
        <w:rPr>
          <w:rFonts w:ascii="Calibri" w:hAnsi="Calibri" w:cs="Calibri"/>
          <w:color w:val="000000" w:themeColor="text1"/>
          <w:sz w:val="24"/>
          <w:szCs w:val="24"/>
        </w:rPr>
        <w:t>Hirselj</w:t>
      </w:r>
      <w:proofErr w:type="spellEnd"/>
      <w:r w:rsidRPr="00DF323D">
        <w:rPr>
          <w:rFonts w:ascii="Calibri" w:hAnsi="Calibri" w:cs="Calibri"/>
          <w:color w:val="000000" w:themeColor="text1"/>
          <w:sz w:val="24"/>
          <w:szCs w:val="24"/>
        </w:rPr>
        <w:t xml:space="preserve"> DA, McHugh KM. Urinary diversion via cutaneous vesicostomy in the megabladder mouse. Methods Mol Biol. </w:t>
      </w:r>
      <w:proofErr w:type="gramStart"/>
      <w:r w:rsidRPr="00DF323D">
        <w:rPr>
          <w:rFonts w:ascii="Calibri" w:hAnsi="Calibri" w:cs="Calibri"/>
          <w:color w:val="000000" w:themeColor="text1"/>
          <w:sz w:val="24"/>
          <w:szCs w:val="24"/>
        </w:rPr>
        <w:t>2012;886:393</w:t>
      </w:r>
      <w:proofErr w:type="gramEnd"/>
      <w:r w:rsidRPr="00DF323D">
        <w:rPr>
          <w:rFonts w:ascii="Calibri" w:hAnsi="Calibri" w:cs="Calibri"/>
          <w:color w:val="000000" w:themeColor="text1"/>
          <w:sz w:val="24"/>
          <w:szCs w:val="24"/>
        </w:rPr>
        <w:t xml:space="preserve">-402. </w:t>
      </w:r>
    </w:p>
    <w:p w14:paraId="2E337749"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Seyam RM, et al. Penile </w:t>
      </w:r>
      <w:proofErr w:type="spellStart"/>
      <w:r w:rsidRPr="00DF323D">
        <w:rPr>
          <w:rFonts w:ascii="Calibri" w:hAnsi="Calibri" w:cs="Calibri"/>
          <w:color w:val="000000" w:themeColor="text1"/>
          <w:sz w:val="24"/>
          <w:szCs w:val="24"/>
        </w:rPr>
        <w:t>autotransplantation</w:t>
      </w:r>
      <w:proofErr w:type="spellEnd"/>
      <w:r w:rsidRPr="00DF323D">
        <w:rPr>
          <w:rFonts w:ascii="Calibri" w:hAnsi="Calibri" w:cs="Calibri"/>
          <w:color w:val="000000" w:themeColor="text1"/>
          <w:sz w:val="24"/>
          <w:szCs w:val="24"/>
        </w:rPr>
        <w:t xml:space="preserve"> in rats: an animal model. </w:t>
      </w:r>
      <w:proofErr w:type="spellStart"/>
      <w:r w:rsidRPr="00DF323D">
        <w:rPr>
          <w:rFonts w:ascii="Calibri" w:hAnsi="Calibri" w:cs="Calibri"/>
          <w:color w:val="000000" w:themeColor="text1"/>
          <w:sz w:val="24"/>
          <w:szCs w:val="24"/>
        </w:rPr>
        <w:t>Urol</w:t>
      </w:r>
      <w:proofErr w:type="spellEnd"/>
      <w:r w:rsidRPr="00DF323D">
        <w:rPr>
          <w:rFonts w:ascii="Calibri" w:hAnsi="Calibri" w:cs="Calibri"/>
          <w:color w:val="000000" w:themeColor="text1"/>
          <w:sz w:val="24"/>
          <w:szCs w:val="24"/>
        </w:rPr>
        <w:t xml:space="preserve"> Ann. 2013;5(4):255-8. </w:t>
      </w:r>
    </w:p>
    <w:p w14:paraId="0774025D"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Becknell B, et al. Struvite urolithiasis and chronic urinary tract infection in a murine model of urinary diversion. Urology. 2013;81(5):943-8. </w:t>
      </w:r>
    </w:p>
    <w:p w14:paraId="088B7145"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Teimouri A, Wilcox DT, </w:t>
      </w:r>
      <w:proofErr w:type="spellStart"/>
      <w:r w:rsidRPr="00DF323D">
        <w:rPr>
          <w:rFonts w:ascii="Calibri" w:hAnsi="Calibri" w:cs="Calibri"/>
          <w:color w:val="000000" w:themeColor="text1"/>
          <w:sz w:val="24"/>
          <w:szCs w:val="24"/>
        </w:rPr>
        <w:t>Malykhina</w:t>
      </w:r>
      <w:proofErr w:type="spellEnd"/>
      <w:r w:rsidRPr="00DF323D">
        <w:rPr>
          <w:rFonts w:ascii="Calibri" w:hAnsi="Calibri" w:cs="Calibri"/>
          <w:color w:val="000000" w:themeColor="text1"/>
          <w:sz w:val="24"/>
          <w:szCs w:val="24"/>
        </w:rPr>
        <w:t xml:space="preserve"> AP, Wood D. Structural and functional bladder changes associated with disrupted voiding cycle in a murine model of cutaneous vesicostomy. J Pediatr Urol. 2026;22(1):105675.</w:t>
      </w:r>
    </w:p>
    <w:p w14:paraId="318D4A5D" w14:textId="77777777"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 xml:space="preserve">Herrera GM, Meredith AL. Diurnal variation in urodynamics of rat. </w:t>
      </w:r>
      <w:proofErr w:type="spellStart"/>
      <w:r w:rsidRPr="00DF323D">
        <w:rPr>
          <w:rFonts w:ascii="Calibri" w:hAnsi="Calibri" w:cs="Calibri"/>
          <w:color w:val="000000" w:themeColor="text1"/>
          <w:sz w:val="24"/>
          <w:szCs w:val="24"/>
        </w:rPr>
        <w:t>PLoS</w:t>
      </w:r>
      <w:proofErr w:type="spellEnd"/>
      <w:r w:rsidRPr="00DF323D">
        <w:rPr>
          <w:rFonts w:ascii="Calibri" w:hAnsi="Calibri" w:cs="Calibri"/>
          <w:color w:val="000000" w:themeColor="text1"/>
          <w:sz w:val="24"/>
          <w:szCs w:val="24"/>
        </w:rPr>
        <w:t xml:space="preserve"> One. 2010;5(8</w:t>
      </w:r>
      <w:proofErr w:type="gramStart"/>
      <w:r w:rsidRPr="00DF323D">
        <w:rPr>
          <w:rFonts w:ascii="Calibri" w:hAnsi="Calibri" w:cs="Calibri"/>
          <w:color w:val="000000" w:themeColor="text1"/>
          <w:sz w:val="24"/>
          <w:szCs w:val="24"/>
        </w:rPr>
        <w:t>):e</w:t>
      </w:r>
      <w:proofErr w:type="gramEnd"/>
      <w:r w:rsidRPr="00DF323D">
        <w:rPr>
          <w:rFonts w:ascii="Calibri" w:hAnsi="Calibri" w:cs="Calibri"/>
          <w:color w:val="000000" w:themeColor="text1"/>
          <w:sz w:val="24"/>
          <w:szCs w:val="24"/>
        </w:rPr>
        <w:t xml:space="preserve">12298. </w:t>
      </w:r>
    </w:p>
    <w:p w14:paraId="656247D6" w14:textId="5C688A44" w:rsidR="00E05F75" w:rsidRPr="00DF323D" w:rsidRDefault="00150DE5" w:rsidP="008134A1">
      <w:pPr>
        <w:pStyle w:val="Listenabsatz"/>
        <w:numPr>
          <w:ilvl w:val="0"/>
          <w:numId w:val="40"/>
        </w:numPr>
        <w:spacing w:after="0" w:line="0" w:lineRule="atLeast"/>
        <w:jc w:val="both"/>
        <w:rPr>
          <w:rFonts w:ascii="Calibri" w:hAnsi="Calibri" w:cs="Calibri"/>
          <w:color w:val="000000" w:themeColor="text1"/>
          <w:sz w:val="24"/>
          <w:szCs w:val="24"/>
        </w:rPr>
      </w:pPr>
      <w:r w:rsidRPr="00DF323D">
        <w:rPr>
          <w:rFonts w:ascii="Calibri" w:hAnsi="Calibri" w:cs="Calibri"/>
          <w:color w:val="000000" w:themeColor="text1"/>
          <w:sz w:val="24"/>
          <w:szCs w:val="24"/>
        </w:rPr>
        <w:t>Salih EM, et al. Temporary vesicostomy in pediatrics: what are the potential predictors of functional and morphological improvement of the upper urinary tract? J Pediatr Urol. 2021;17(6</w:t>
      </w:r>
      <w:proofErr w:type="gramStart"/>
      <w:r w:rsidRPr="00DF323D">
        <w:rPr>
          <w:rFonts w:ascii="Calibri" w:hAnsi="Calibri" w:cs="Calibri"/>
          <w:color w:val="000000" w:themeColor="text1"/>
          <w:sz w:val="24"/>
          <w:szCs w:val="24"/>
        </w:rPr>
        <w:t>):834.e</w:t>
      </w:r>
      <w:proofErr w:type="gramEnd"/>
      <w:r w:rsidRPr="00DF323D">
        <w:rPr>
          <w:rFonts w:ascii="Calibri" w:hAnsi="Calibri" w:cs="Calibri"/>
          <w:color w:val="000000" w:themeColor="text1"/>
          <w:sz w:val="24"/>
          <w:szCs w:val="24"/>
        </w:rPr>
        <w:t>1-834.e9.</w:t>
      </w:r>
    </w:p>
    <w:p w14:paraId="4487167E" w14:textId="650C1A01" w:rsidR="004361C0" w:rsidRPr="008134A1" w:rsidRDefault="004361C0" w:rsidP="00E64245">
      <w:pPr>
        <w:pStyle w:val="Literaturverzeichnis"/>
        <w:spacing w:line="0" w:lineRule="atLeast"/>
        <w:ind w:left="0" w:firstLine="0"/>
        <w:rPr>
          <w:bCs/>
          <w:color w:val="000000" w:themeColor="text1"/>
          <w:shd w:val="clear" w:color="auto" w:fill="FFFFFF"/>
        </w:rPr>
      </w:pPr>
    </w:p>
    <w:sectPr w:rsidR="004361C0" w:rsidRPr="008134A1" w:rsidSect="008134A1">
      <w:headerReference w:type="even" r:id="rId11"/>
      <w:footerReference w:type="even" r:id="rId12"/>
      <w:footerReference w:type="default" r:id="rId13"/>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A4197" w14:textId="77777777" w:rsidR="00F75016" w:rsidRDefault="00F75016">
      <w:r>
        <w:separator/>
      </w:r>
    </w:p>
  </w:endnote>
  <w:endnote w:type="continuationSeparator" w:id="0">
    <w:p w14:paraId="13B4DD7A" w14:textId="77777777" w:rsidR="00F75016" w:rsidRDefault="00F75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807513"/>
      <w:docPartObj>
        <w:docPartGallery w:val="Page Numbers (Bottom of Page)"/>
        <w:docPartUnique/>
      </w:docPartObj>
    </w:sdtPr>
    <w:sdtEndPr>
      <w:rPr>
        <w:noProof/>
      </w:rPr>
    </w:sdtEndPr>
    <w:sdtContent>
      <w:p w14:paraId="4FFF6EFB" w14:textId="523D58AA" w:rsidR="008134A1" w:rsidRDefault="008134A1" w:rsidP="008134A1">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71F67" w14:textId="77777777" w:rsidR="00F75016" w:rsidRDefault="00F75016">
      <w:r>
        <w:separator/>
      </w:r>
    </w:p>
  </w:footnote>
  <w:footnote w:type="continuationSeparator" w:id="0">
    <w:p w14:paraId="6346164D" w14:textId="77777777" w:rsidR="00F75016" w:rsidRDefault="00F75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EC8"/>
    <w:multiLevelType w:val="hybridMultilevel"/>
    <w:tmpl w:val="CF5CA32C"/>
    <w:lvl w:ilvl="0" w:tplc="DFCA09C8">
      <w:start w:val="9"/>
      <w:numFmt w:val="decimal"/>
      <w:lvlText w:val="%1."/>
      <w:lvlJc w:val="left"/>
      <w:pPr>
        <w:ind w:left="720" w:hanging="360"/>
      </w:pPr>
      <w:rPr>
        <w:rFonts w:hint="default"/>
      </w:rPr>
    </w:lvl>
    <w:lvl w:ilvl="1" w:tplc="80E099AC">
      <w:start w:val="1"/>
      <w:numFmt w:val="lowerLetter"/>
      <w:lvlText w:val="%2."/>
      <w:lvlJc w:val="left"/>
      <w:pPr>
        <w:ind w:left="1440" w:hanging="360"/>
      </w:pPr>
    </w:lvl>
    <w:lvl w:ilvl="2" w:tplc="09DA2CDE" w:tentative="1">
      <w:start w:val="1"/>
      <w:numFmt w:val="lowerRoman"/>
      <w:lvlText w:val="%3."/>
      <w:lvlJc w:val="right"/>
      <w:pPr>
        <w:ind w:left="2160" w:hanging="180"/>
      </w:pPr>
    </w:lvl>
    <w:lvl w:ilvl="3" w:tplc="C2EECAB8" w:tentative="1">
      <w:start w:val="1"/>
      <w:numFmt w:val="decimal"/>
      <w:lvlText w:val="%4."/>
      <w:lvlJc w:val="left"/>
      <w:pPr>
        <w:ind w:left="2880" w:hanging="360"/>
      </w:pPr>
    </w:lvl>
    <w:lvl w:ilvl="4" w:tplc="83E44C2C" w:tentative="1">
      <w:start w:val="1"/>
      <w:numFmt w:val="lowerLetter"/>
      <w:lvlText w:val="%5."/>
      <w:lvlJc w:val="left"/>
      <w:pPr>
        <w:ind w:left="3600" w:hanging="360"/>
      </w:pPr>
    </w:lvl>
    <w:lvl w:ilvl="5" w:tplc="CAD28F4A" w:tentative="1">
      <w:start w:val="1"/>
      <w:numFmt w:val="lowerRoman"/>
      <w:lvlText w:val="%6."/>
      <w:lvlJc w:val="right"/>
      <w:pPr>
        <w:ind w:left="4320" w:hanging="180"/>
      </w:pPr>
    </w:lvl>
    <w:lvl w:ilvl="6" w:tplc="9EA83D72" w:tentative="1">
      <w:start w:val="1"/>
      <w:numFmt w:val="decimal"/>
      <w:lvlText w:val="%7."/>
      <w:lvlJc w:val="left"/>
      <w:pPr>
        <w:ind w:left="5040" w:hanging="360"/>
      </w:pPr>
    </w:lvl>
    <w:lvl w:ilvl="7" w:tplc="B8681E0A" w:tentative="1">
      <w:start w:val="1"/>
      <w:numFmt w:val="lowerLetter"/>
      <w:lvlText w:val="%8."/>
      <w:lvlJc w:val="left"/>
      <w:pPr>
        <w:ind w:left="5760" w:hanging="360"/>
      </w:pPr>
    </w:lvl>
    <w:lvl w:ilvl="8" w:tplc="AC445248" w:tentative="1">
      <w:start w:val="1"/>
      <w:numFmt w:val="lowerRoman"/>
      <w:lvlText w:val="%9."/>
      <w:lvlJc w:val="right"/>
      <w:pPr>
        <w:ind w:left="6480" w:hanging="180"/>
      </w:pPr>
    </w:lvl>
  </w:abstractNum>
  <w:abstractNum w:abstractNumId="1" w15:restartNumberingAfterBreak="0">
    <w:nsid w:val="086115C0"/>
    <w:multiLevelType w:val="multilevel"/>
    <w:tmpl w:val="1160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A6AAD"/>
    <w:multiLevelType w:val="hybridMultilevel"/>
    <w:tmpl w:val="CDEA0604"/>
    <w:lvl w:ilvl="0" w:tplc="318A08B0">
      <w:start w:val="1"/>
      <w:numFmt w:val="decimal"/>
      <w:lvlText w:val="%1."/>
      <w:lvlJc w:val="left"/>
      <w:pPr>
        <w:ind w:left="720" w:hanging="360"/>
      </w:pPr>
      <w:rPr>
        <w:rFonts w:hint="default"/>
      </w:rPr>
    </w:lvl>
    <w:lvl w:ilvl="1" w:tplc="CBA63B14" w:tentative="1">
      <w:start w:val="1"/>
      <w:numFmt w:val="lowerLetter"/>
      <w:lvlText w:val="%2."/>
      <w:lvlJc w:val="left"/>
      <w:pPr>
        <w:ind w:left="1440" w:hanging="360"/>
      </w:pPr>
    </w:lvl>
    <w:lvl w:ilvl="2" w:tplc="FD985996" w:tentative="1">
      <w:start w:val="1"/>
      <w:numFmt w:val="lowerRoman"/>
      <w:lvlText w:val="%3."/>
      <w:lvlJc w:val="right"/>
      <w:pPr>
        <w:ind w:left="2160" w:hanging="180"/>
      </w:pPr>
    </w:lvl>
    <w:lvl w:ilvl="3" w:tplc="56521AE2" w:tentative="1">
      <w:start w:val="1"/>
      <w:numFmt w:val="decimal"/>
      <w:lvlText w:val="%4."/>
      <w:lvlJc w:val="left"/>
      <w:pPr>
        <w:ind w:left="2880" w:hanging="360"/>
      </w:pPr>
    </w:lvl>
    <w:lvl w:ilvl="4" w:tplc="D79E5580" w:tentative="1">
      <w:start w:val="1"/>
      <w:numFmt w:val="lowerLetter"/>
      <w:lvlText w:val="%5."/>
      <w:lvlJc w:val="left"/>
      <w:pPr>
        <w:ind w:left="3600" w:hanging="360"/>
      </w:pPr>
    </w:lvl>
    <w:lvl w:ilvl="5" w:tplc="96CECABA" w:tentative="1">
      <w:start w:val="1"/>
      <w:numFmt w:val="lowerRoman"/>
      <w:lvlText w:val="%6."/>
      <w:lvlJc w:val="right"/>
      <w:pPr>
        <w:ind w:left="4320" w:hanging="180"/>
      </w:pPr>
    </w:lvl>
    <w:lvl w:ilvl="6" w:tplc="CD0280F8" w:tentative="1">
      <w:start w:val="1"/>
      <w:numFmt w:val="decimal"/>
      <w:lvlText w:val="%7."/>
      <w:lvlJc w:val="left"/>
      <w:pPr>
        <w:ind w:left="5040" w:hanging="360"/>
      </w:pPr>
    </w:lvl>
    <w:lvl w:ilvl="7" w:tplc="325A016E" w:tentative="1">
      <w:start w:val="1"/>
      <w:numFmt w:val="lowerLetter"/>
      <w:lvlText w:val="%8."/>
      <w:lvlJc w:val="left"/>
      <w:pPr>
        <w:ind w:left="5760" w:hanging="360"/>
      </w:pPr>
    </w:lvl>
    <w:lvl w:ilvl="8" w:tplc="33465F72" w:tentative="1">
      <w:start w:val="1"/>
      <w:numFmt w:val="lowerRoman"/>
      <w:lvlText w:val="%9."/>
      <w:lvlJc w:val="right"/>
      <w:pPr>
        <w:ind w:left="6480" w:hanging="180"/>
      </w:pPr>
    </w:lvl>
  </w:abstractNum>
  <w:abstractNum w:abstractNumId="3" w15:restartNumberingAfterBreak="0">
    <w:nsid w:val="0E7020E0"/>
    <w:multiLevelType w:val="multilevel"/>
    <w:tmpl w:val="C52A55CC"/>
    <w:lvl w:ilvl="0">
      <w:start w:val="1"/>
      <w:numFmt w:val="decimal"/>
      <w:lvlText w:val="%1."/>
      <w:lvlJc w:val="left"/>
      <w:pPr>
        <w:tabs>
          <w:tab w:val="num" w:pos="720"/>
        </w:tabs>
        <w:ind w:left="720" w:hanging="360"/>
      </w:pPr>
      <w:rPr>
        <w:rFonts w:asciiTheme="majorHAnsi" w:eastAsia="Times New Roman" w:hAnsiTheme="majorHAnsi" w:cstheme="maj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374164"/>
    <w:multiLevelType w:val="multilevel"/>
    <w:tmpl w:val="84DEA89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val="0"/>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B853FD"/>
    <w:multiLevelType w:val="multilevel"/>
    <w:tmpl w:val="439892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FA1BA2"/>
    <w:multiLevelType w:val="multilevel"/>
    <w:tmpl w:val="3256895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B55763"/>
    <w:multiLevelType w:val="hybridMultilevel"/>
    <w:tmpl w:val="6EB6D496"/>
    <w:lvl w:ilvl="0" w:tplc="CC4400EC">
      <w:start w:val="2"/>
      <w:numFmt w:val="decimal"/>
      <w:lvlText w:val="%1."/>
      <w:lvlJc w:val="left"/>
      <w:pPr>
        <w:ind w:left="720" w:hanging="360"/>
      </w:pPr>
      <w:rPr>
        <w:rFonts w:hint="default"/>
      </w:rPr>
    </w:lvl>
    <w:lvl w:ilvl="1" w:tplc="B636E63C" w:tentative="1">
      <w:start w:val="1"/>
      <w:numFmt w:val="lowerLetter"/>
      <w:lvlText w:val="%2."/>
      <w:lvlJc w:val="left"/>
      <w:pPr>
        <w:ind w:left="1440" w:hanging="360"/>
      </w:pPr>
    </w:lvl>
    <w:lvl w:ilvl="2" w:tplc="3CD2CD88" w:tentative="1">
      <w:start w:val="1"/>
      <w:numFmt w:val="lowerRoman"/>
      <w:lvlText w:val="%3."/>
      <w:lvlJc w:val="right"/>
      <w:pPr>
        <w:ind w:left="2160" w:hanging="180"/>
      </w:pPr>
    </w:lvl>
    <w:lvl w:ilvl="3" w:tplc="9194573A" w:tentative="1">
      <w:start w:val="1"/>
      <w:numFmt w:val="decimal"/>
      <w:lvlText w:val="%4."/>
      <w:lvlJc w:val="left"/>
      <w:pPr>
        <w:ind w:left="2880" w:hanging="360"/>
      </w:pPr>
    </w:lvl>
    <w:lvl w:ilvl="4" w:tplc="BAAA90BC" w:tentative="1">
      <w:start w:val="1"/>
      <w:numFmt w:val="lowerLetter"/>
      <w:lvlText w:val="%5."/>
      <w:lvlJc w:val="left"/>
      <w:pPr>
        <w:ind w:left="3600" w:hanging="360"/>
      </w:pPr>
    </w:lvl>
    <w:lvl w:ilvl="5" w:tplc="EF1A5600" w:tentative="1">
      <w:start w:val="1"/>
      <w:numFmt w:val="lowerRoman"/>
      <w:lvlText w:val="%6."/>
      <w:lvlJc w:val="right"/>
      <w:pPr>
        <w:ind w:left="4320" w:hanging="180"/>
      </w:pPr>
    </w:lvl>
    <w:lvl w:ilvl="6" w:tplc="A808D5E0" w:tentative="1">
      <w:start w:val="1"/>
      <w:numFmt w:val="decimal"/>
      <w:lvlText w:val="%7."/>
      <w:lvlJc w:val="left"/>
      <w:pPr>
        <w:ind w:left="5040" w:hanging="360"/>
      </w:pPr>
    </w:lvl>
    <w:lvl w:ilvl="7" w:tplc="A746AFD6" w:tentative="1">
      <w:start w:val="1"/>
      <w:numFmt w:val="lowerLetter"/>
      <w:lvlText w:val="%8."/>
      <w:lvlJc w:val="left"/>
      <w:pPr>
        <w:ind w:left="5760" w:hanging="360"/>
      </w:pPr>
    </w:lvl>
    <w:lvl w:ilvl="8" w:tplc="57E677F0" w:tentative="1">
      <w:start w:val="1"/>
      <w:numFmt w:val="lowerRoman"/>
      <w:lvlText w:val="%9."/>
      <w:lvlJc w:val="right"/>
      <w:pPr>
        <w:ind w:left="6480" w:hanging="180"/>
      </w:pPr>
    </w:lvl>
  </w:abstractNum>
  <w:abstractNum w:abstractNumId="8" w15:restartNumberingAfterBreak="0">
    <w:nsid w:val="21FA3CBB"/>
    <w:multiLevelType w:val="hybridMultilevel"/>
    <w:tmpl w:val="B5FC3D44"/>
    <w:lvl w:ilvl="0" w:tplc="9E0A79BE">
      <w:start w:val="1"/>
      <w:numFmt w:val="decimal"/>
      <w:lvlText w:val="%1)"/>
      <w:lvlJc w:val="left"/>
      <w:pPr>
        <w:ind w:left="720" w:hanging="360"/>
      </w:pPr>
      <w:rPr>
        <w:rFonts w:hint="default"/>
      </w:rPr>
    </w:lvl>
    <w:lvl w:ilvl="1" w:tplc="0634727E" w:tentative="1">
      <w:start w:val="1"/>
      <w:numFmt w:val="lowerLetter"/>
      <w:lvlText w:val="%2."/>
      <w:lvlJc w:val="left"/>
      <w:pPr>
        <w:ind w:left="1440" w:hanging="360"/>
      </w:pPr>
    </w:lvl>
    <w:lvl w:ilvl="2" w:tplc="A454C932" w:tentative="1">
      <w:start w:val="1"/>
      <w:numFmt w:val="lowerRoman"/>
      <w:lvlText w:val="%3."/>
      <w:lvlJc w:val="right"/>
      <w:pPr>
        <w:ind w:left="2160" w:hanging="180"/>
      </w:pPr>
    </w:lvl>
    <w:lvl w:ilvl="3" w:tplc="02FA7C82" w:tentative="1">
      <w:start w:val="1"/>
      <w:numFmt w:val="decimal"/>
      <w:lvlText w:val="%4."/>
      <w:lvlJc w:val="left"/>
      <w:pPr>
        <w:ind w:left="2880" w:hanging="360"/>
      </w:pPr>
    </w:lvl>
    <w:lvl w:ilvl="4" w:tplc="E2A437F2" w:tentative="1">
      <w:start w:val="1"/>
      <w:numFmt w:val="lowerLetter"/>
      <w:lvlText w:val="%5."/>
      <w:lvlJc w:val="left"/>
      <w:pPr>
        <w:ind w:left="3600" w:hanging="360"/>
      </w:pPr>
    </w:lvl>
    <w:lvl w:ilvl="5" w:tplc="8AC08A46" w:tentative="1">
      <w:start w:val="1"/>
      <w:numFmt w:val="lowerRoman"/>
      <w:lvlText w:val="%6."/>
      <w:lvlJc w:val="right"/>
      <w:pPr>
        <w:ind w:left="4320" w:hanging="180"/>
      </w:pPr>
    </w:lvl>
    <w:lvl w:ilvl="6" w:tplc="4524C81C" w:tentative="1">
      <w:start w:val="1"/>
      <w:numFmt w:val="decimal"/>
      <w:lvlText w:val="%7."/>
      <w:lvlJc w:val="left"/>
      <w:pPr>
        <w:ind w:left="5040" w:hanging="360"/>
      </w:pPr>
    </w:lvl>
    <w:lvl w:ilvl="7" w:tplc="69AE97FE" w:tentative="1">
      <w:start w:val="1"/>
      <w:numFmt w:val="lowerLetter"/>
      <w:lvlText w:val="%8."/>
      <w:lvlJc w:val="left"/>
      <w:pPr>
        <w:ind w:left="5760" w:hanging="360"/>
      </w:pPr>
    </w:lvl>
    <w:lvl w:ilvl="8" w:tplc="6540CD0C"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A7E54E3"/>
    <w:multiLevelType w:val="multilevel"/>
    <w:tmpl w:val="98BE3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94CF9"/>
    <w:multiLevelType w:val="multilevel"/>
    <w:tmpl w:val="84DEA89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val="0"/>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FA4001"/>
    <w:multiLevelType w:val="hybridMultilevel"/>
    <w:tmpl w:val="8C146A22"/>
    <w:lvl w:ilvl="0" w:tplc="67F2102A">
      <w:start w:val="1"/>
      <w:numFmt w:val="decimal"/>
      <w:lvlText w:val="%1)"/>
      <w:lvlJc w:val="left"/>
      <w:pPr>
        <w:ind w:left="720" w:hanging="360"/>
      </w:pPr>
      <w:rPr>
        <w:rFonts w:hint="default"/>
        <w:b/>
      </w:rPr>
    </w:lvl>
    <w:lvl w:ilvl="1" w:tplc="5FF83880" w:tentative="1">
      <w:start w:val="1"/>
      <w:numFmt w:val="lowerLetter"/>
      <w:lvlText w:val="%2."/>
      <w:lvlJc w:val="left"/>
      <w:pPr>
        <w:ind w:left="1440" w:hanging="360"/>
      </w:pPr>
    </w:lvl>
    <w:lvl w:ilvl="2" w:tplc="193EC668" w:tentative="1">
      <w:start w:val="1"/>
      <w:numFmt w:val="lowerRoman"/>
      <w:lvlText w:val="%3."/>
      <w:lvlJc w:val="right"/>
      <w:pPr>
        <w:ind w:left="2160" w:hanging="180"/>
      </w:pPr>
    </w:lvl>
    <w:lvl w:ilvl="3" w:tplc="2FDECE7C" w:tentative="1">
      <w:start w:val="1"/>
      <w:numFmt w:val="decimal"/>
      <w:lvlText w:val="%4."/>
      <w:lvlJc w:val="left"/>
      <w:pPr>
        <w:ind w:left="2880" w:hanging="360"/>
      </w:pPr>
    </w:lvl>
    <w:lvl w:ilvl="4" w:tplc="2B42EB9C" w:tentative="1">
      <w:start w:val="1"/>
      <w:numFmt w:val="lowerLetter"/>
      <w:lvlText w:val="%5."/>
      <w:lvlJc w:val="left"/>
      <w:pPr>
        <w:ind w:left="3600" w:hanging="360"/>
      </w:pPr>
    </w:lvl>
    <w:lvl w:ilvl="5" w:tplc="78A282C2" w:tentative="1">
      <w:start w:val="1"/>
      <w:numFmt w:val="lowerRoman"/>
      <w:lvlText w:val="%6."/>
      <w:lvlJc w:val="right"/>
      <w:pPr>
        <w:ind w:left="4320" w:hanging="180"/>
      </w:pPr>
    </w:lvl>
    <w:lvl w:ilvl="6" w:tplc="C37C182E" w:tentative="1">
      <w:start w:val="1"/>
      <w:numFmt w:val="decimal"/>
      <w:lvlText w:val="%7."/>
      <w:lvlJc w:val="left"/>
      <w:pPr>
        <w:ind w:left="5040" w:hanging="360"/>
      </w:pPr>
    </w:lvl>
    <w:lvl w:ilvl="7" w:tplc="E70692F8" w:tentative="1">
      <w:start w:val="1"/>
      <w:numFmt w:val="lowerLetter"/>
      <w:lvlText w:val="%8."/>
      <w:lvlJc w:val="left"/>
      <w:pPr>
        <w:ind w:left="5760" w:hanging="360"/>
      </w:pPr>
    </w:lvl>
    <w:lvl w:ilvl="8" w:tplc="B2BC5422" w:tentative="1">
      <w:start w:val="1"/>
      <w:numFmt w:val="lowerRoman"/>
      <w:lvlText w:val="%9."/>
      <w:lvlJc w:val="right"/>
      <w:pPr>
        <w:ind w:left="6480" w:hanging="180"/>
      </w:pPr>
    </w:lvl>
  </w:abstractNum>
  <w:abstractNum w:abstractNumId="1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F99434B"/>
    <w:multiLevelType w:val="multilevel"/>
    <w:tmpl w:val="428E8EA0"/>
    <w:lvl w:ilvl="0">
      <w:start w:val="1"/>
      <w:numFmt w:val="decimal"/>
      <w:lvlText w:val="%1."/>
      <w:lvlJc w:val="left"/>
      <w:pPr>
        <w:tabs>
          <w:tab w:val="num" w:pos="720"/>
        </w:tabs>
        <w:ind w:left="720" w:hanging="360"/>
      </w:pPr>
      <w:rPr>
        <w:rFonts w:asciiTheme="majorHAnsi" w:eastAsia="Times New Roman" w:hAnsiTheme="majorHAnsi" w:cstheme="maj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4C0DA8"/>
    <w:multiLevelType w:val="hybridMultilevel"/>
    <w:tmpl w:val="19A4EF24"/>
    <w:lvl w:ilvl="0" w:tplc="236ADD5A">
      <w:start w:val="1"/>
      <w:numFmt w:val="decimal"/>
      <w:lvlText w:val="%1."/>
      <w:lvlJc w:val="left"/>
      <w:pPr>
        <w:ind w:left="360" w:hanging="360"/>
      </w:pPr>
    </w:lvl>
    <w:lvl w:ilvl="1" w:tplc="708E9424" w:tentative="1">
      <w:start w:val="1"/>
      <w:numFmt w:val="lowerLetter"/>
      <w:lvlText w:val="%2."/>
      <w:lvlJc w:val="left"/>
      <w:pPr>
        <w:ind w:left="1080" w:hanging="360"/>
      </w:pPr>
    </w:lvl>
    <w:lvl w:ilvl="2" w:tplc="9D30E4C8" w:tentative="1">
      <w:start w:val="1"/>
      <w:numFmt w:val="lowerRoman"/>
      <w:lvlText w:val="%3."/>
      <w:lvlJc w:val="right"/>
      <w:pPr>
        <w:ind w:left="1800" w:hanging="180"/>
      </w:pPr>
    </w:lvl>
    <w:lvl w:ilvl="3" w:tplc="6E02BB40" w:tentative="1">
      <w:start w:val="1"/>
      <w:numFmt w:val="decimal"/>
      <w:lvlText w:val="%4."/>
      <w:lvlJc w:val="left"/>
      <w:pPr>
        <w:ind w:left="2520" w:hanging="360"/>
      </w:pPr>
    </w:lvl>
    <w:lvl w:ilvl="4" w:tplc="0B5C455A" w:tentative="1">
      <w:start w:val="1"/>
      <w:numFmt w:val="lowerLetter"/>
      <w:lvlText w:val="%5."/>
      <w:lvlJc w:val="left"/>
      <w:pPr>
        <w:ind w:left="3240" w:hanging="360"/>
      </w:pPr>
    </w:lvl>
    <w:lvl w:ilvl="5" w:tplc="1C50ABBA" w:tentative="1">
      <w:start w:val="1"/>
      <w:numFmt w:val="lowerRoman"/>
      <w:lvlText w:val="%6."/>
      <w:lvlJc w:val="right"/>
      <w:pPr>
        <w:ind w:left="3960" w:hanging="180"/>
      </w:pPr>
    </w:lvl>
    <w:lvl w:ilvl="6" w:tplc="93B03460" w:tentative="1">
      <w:start w:val="1"/>
      <w:numFmt w:val="decimal"/>
      <w:lvlText w:val="%7."/>
      <w:lvlJc w:val="left"/>
      <w:pPr>
        <w:ind w:left="4680" w:hanging="360"/>
      </w:pPr>
    </w:lvl>
    <w:lvl w:ilvl="7" w:tplc="9E92E72C" w:tentative="1">
      <w:start w:val="1"/>
      <w:numFmt w:val="lowerLetter"/>
      <w:lvlText w:val="%8."/>
      <w:lvlJc w:val="left"/>
      <w:pPr>
        <w:ind w:left="5400" w:hanging="360"/>
      </w:pPr>
    </w:lvl>
    <w:lvl w:ilvl="8" w:tplc="44EA3554" w:tentative="1">
      <w:start w:val="1"/>
      <w:numFmt w:val="lowerRoman"/>
      <w:lvlText w:val="%9."/>
      <w:lvlJc w:val="right"/>
      <w:pPr>
        <w:ind w:left="6120" w:hanging="180"/>
      </w:p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8DE5C4B"/>
    <w:multiLevelType w:val="hybridMultilevel"/>
    <w:tmpl w:val="131C9626"/>
    <w:lvl w:ilvl="0" w:tplc="41E8D336">
      <w:start w:val="1"/>
      <w:numFmt w:val="decimal"/>
      <w:lvlText w:val="%1."/>
      <w:lvlJc w:val="left"/>
      <w:pPr>
        <w:ind w:left="1790" w:hanging="360"/>
      </w:pPr>
      <w:rPr>
        <w:rFonts w:hint="default"/>
        <w:b w:val="0"/>
        <w:bCs w:val="0"/>
      </w:rPr>
    </w:lvl>
    <w:lvl w:ilvl="1" w:tplc="6A2480D8" w:tentative="1">
      <w:start w:val="1"/>
      <w:numFmt w:val="lowerLetter"/>
      <w:lvlText w:val="%2."/>
      <w:lvlJc w:val="left"/>
      <w:pPr>
        <w:ind w:left="2160" w:hanging="360"/>
      </w:pPr>
    </w:lvl>
    <w:lvl w:ilvl="2" w:tplc="773EEB40" w:tentative="1">
      <w:start w:val="1"/>
      <w:numFmt w:val="lowerRoman"/>
      <w:lvlText w:val="%3."/>
      <w:lvlJc w:val="right"/>
      <w:pPr>
        <w:ind w:left="2880" w:hanging="180"/>
      </w:pPr>
    </w:lvl>
    <w:lvl w:ilvl="3" w:tplc="A6C2CBA4">
      <w:start w:val="1"/>
      <w:numFmt w:val="decimal"/>
      <w:lvlText w:val="%4."/>
      <w:lvlJc w:val="left"/>
      <w:pPr>
        <w:ind w:left="3600" w:hanging="360"/>
      </w:pPr>
    </w:lvl>
    <w:lvl w:ilvl="4" w:tplc="073A7676" w:tentative="1">
      <w:start w:val="1"/>
      <w:numFmt w:val="lowerLetter"/>
      <w:lvlText w:val="%5."/>
      <w:lvlJc w:val="left"/>
      <w:pPr>
        <w:ind w:left="4320" w:hanging="360"/>
      </w:pPr>
    </w:lvl>
    <w:lvl w:ilvl="5" w:tplc="FA22AA92" w:tentative="1">
      <w:start w:val="1"/>
      <w:numFmt w:val="lowerRoman"/>
      <w:lvlText w:val="%6."/>
      <w:lvlJc w:val="right"/>
      <w:pPr>
        <w:ind w:left="5040" w:hanging="180"/>
      </w:pPr>
    </w:lvl>
    <w:lvl w:ilvl="6" w:tplc="1C7C4218" w:tentative="1">
      <w:start w:val="1"/>
      <w:numFmt w:val="decimal"/>
      <w:lvlText w:val="%7."/>
      <w:lvlJc w:val="left"/>
      <w:pPr>
        <w:ind w:left="5760" w:hanging="360"/>
      </w:pPr>
    </w:lvl>
    <w:lvl w:ilvl="7" w:tplc="1D00C864" w:tentative="1">
      <w:start w:val="1"/>
      <w:numFmt w:val="lowerLetter"/>
      <w:lvlText w:val="%8."/>
      <w:lvlJc w:val="left"/>
      <w:pPr>
        <w:ind w:left="6480" w:hanging="360"/>
      </w:pPr>
    </w:lvl>
    <w:lvl w:ilvl="8" w:tplc="182237A8" w:tentative="1">
      <w:start w:val="1"/>
      <w:numFmt w:val="lowerRoman"/>
      <w:lvlText w:val="%9."/>
      <w:lvlJc w:val="right"/>
      <w:pPr>
        <w:ind w:left="7200" w:hanging="180"/>
      </w:pPr>
    </w:lvl>
  </w:abstractNum>
  <w:abstractNum w:abstractNumId="21" w15:restartNumberingAfterBreak="0">
    <w:nsid w:val="391D46C0"/>
    <w:multiLevelType w:val="multilevel"/>
    <w:tmpl w:val="CAF468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196A5A"/>
    <w:multiLevelType w:val="multilevel"/>
    <w:tmpl w:val="792CF6C0"/>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3F311F3"/>
    <w:multiLevelType w:val="hybridMultilevel"/>
    <w:tmpl w:val="3BE64334"/>
    <w:lvl w:ilvl="0" w:tplc="E0F2515A">
      <w:start w:val="1"/>
      <w:numFmt w:val="decimal"/>
      <w:lvlText w:val="%1."/>
      <w:lvlJc w:val="left"/>
      <w:pPr>
        <w:ind w:left="720" w:hanging="360"/>
      </w:pPr>
      <w:rPr>
        <w:rFonts w:eastAsiaTheme="minorHAnsi" w:hint="default"/>
      </w:rPr>
    </w:lvl>
    <w:lvl w:ilvl="1" w:tplc="529EFB72" w:tentative="1">
      <w:start w:val="1"/>
      <w:numFmt w:val="lowerLetter"/>
      <w:lvlText w:val="%2."/>
      <w:lvlJc w:val="left"/>
      <w:pPr>
        <w:ind w:left="1440" w:hanging="360"/>
      </w:pPr>
    </w:lvl>
    <w:lvl w:ilvl="2" w:tplc="EE560C2A" w:tentative="1">
      <w:start w:val="1"/>
      <w:numFmt w:val="lowerRoman"/>
      <w:lvlText w:val="%3."/>
      <w:lvlJc w:val="right"/>
      <w:pPr>
        <w:ind w:left="2160" w:hanging="180"/>
      </w:pPr>
    </w:lvl>
    <w:lvl w:ilvl="3" w:tplc="244CC3F8" w:tentative="1">
      <w:start w:val="1"/>
      <w:numFmt w:val="decimal"/>
      <w:lvlText w:val="%4."/>
      <w:lvlJc w:val="left"/>
      <w:pPr>
        <w:ind w:left="2880" w:hanging="360"/>
      </w:pPr>
    </w:lvl>
    <w:lvl w:ilvl="4" w:tplc="89A29068" w:tentative="1">
      <w:start w:val="1"/>
      <w:numFmt w:val="lowerLetter"/>
      <w:lvlText w:val="%5."/>
      <w:lvlJc w:val="left"/>
      <w:pPr>
        <w:ind w:left="3600" w:hanging="360"/>
      </w:pPr>
    </w:lvl>
    <w:lvl w:ilvl="5" w:tplc="609243AE" w:tentative="1">
      <w:start w:val="1"/>
      <w:numFmt w:val="lowerRoman"/>
      <w:lvlText w:val="%6."/>
      <w:lvlJc w:val="right"/>
      <w:pPr>
        <w:ind w:left="4320" w:hanging="180"/>
      </w:pPr>
    </w:lvl>
    <w:lvl w:ilvl="6" w:tplc="C2141AEE" w:tentative="1">
      <w:start w:val="1"/>
      <w:numFmt w:val="decimal"/>
      <w:lvlText w:val="%7."/>
      <w:lvlJc w:val="left"/>
      <w:pPr>
        <w:ind w:left="5040" w:hanging="360"/>
      </w:pPr>
    </w:lvl>
    <w:lvl w:ilvl="7" w:tplc="879A91BC" w:tentative="1">
      <w:start w:val="1"/>
      <w:numFmt w:val="lowerLetter"/>
      <w:lvlText w:val="%8."/>
      <w:lvlJc w:val="left"/>
      <w:pPr>
        <w:ind w:left="5760" w:hanging="360"/>
      </w:pPr>
    </w:lvl>
    <w:lvl w:ilvl="8" w:tplc="7FD0DEFC" w:tentative="1">
      <w:start w:val="1"/>
      <w:numFmt w:val="lowerRoman"/>
      <w:lvlText w:val="%9."/>
      <w:lvlJc w:val="right"/>
      <w:pPr>
        <w:ind w:left="6480" w:hanging="180"/>
      </w:p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D3E0B43"/>
    <w:multiLevelType w:val="hybridMultilevel"/>
    <w:tmpl w:val="78946956"/>
    <w:lvl w:ilvl="0" w:tplc="7018BB10">
      <w:start w:val="1"/>
      <w:numFmt w:val="decimal"/>
      <w:lvlText w:val="%1."/>
      <w:lvlJc w:val="left"/>
      <w:pPr>
        <w:ind w:left="720" w:hanging="360"/>
      </w:pPr>
      <w:rPr>
        <w:rFonts w:hint="default"/>
      </w:rPr>
    </w:lvl>
    <w:lvl w:ilvl="1" w:tplc="02CC8D08" w:tentative="1">
      <w:start w:val="1"/>
      <w:numFmt w:val="lowerLetter"/>
      <w:lvlText w:val="%2."/>
      <w:lvlJc w:val="left"/>
      <w:pPr>
        <w:ind w:left="1440" w:hanging="360"/>
      </w:pPr>
    </w:lvl>
    <w:lvl w:ilvl="2" w:tplc="12E086D0" w:tentative="1">
      <w:start w:val="1"/>
      <w:numFmt w:val="lowerRoman"/>
      <w:lvlText w:val="%3."/>
      <w:lvlJc w:val="right"/>
      <w:pPr>
        <w:ind w:left="2160" w:hanging="180"/>
      </w:pPr>
    </w:lvl>
    <w:lvl w:ilvl="3" w:tplc="6FD2410A" w:tentative="1">
      <w:start w:val="1"/>
      <w:numFmt w:val="decimal"/>
      <w:lvlText w:val="%4."/>
      <w:lvlJc w:val="left"/>
      <w:pPr>
        <w:ind w:left="2880" w:hanging="360"/>
      </w:pPr>
    </w:lvl>
    <w:lvl w:ilvl="4" w:tplc="9FE20C68" w:tentative="1">
      <w:start w:val="1"/>
      <w:numFmt w:val="lowerLetter"/>
      <w:lvlText w:val="%5."/>
      <w:lvlJc w:val="left"/>
      <w:pPr>
        <w:ind w:left="3600" w:hanging="360"/>
      </w:pPr>
    </w:lvl>
    <w:lvl w:ilvl="5" w:tplc="41C0F8F4" w:tentative="1">
      <w:start w:val="1"/>
      <w:numFmt w:val="lowerRoman"/>
      <w:lvlText w:val="%6."/>
      <w:lvlJc w:val="right"/>
      <w:pPr>
        <w:ind w:left="4320" w:hanging="180"/>
      </w:pPr>
    </w:lvl>
    <w:lvl w:ilvl="6" w:tplc="561249F0" w:tentative="1">
      <w:start w:val="1"/>
      <w:numFmt w:val="decimal"/>
      <w:lvlText w:val="%7."/>
      <w:lvlJc w:val="left"/>
      <w:pPr>
        <w:ind w:left="5040" w:hanging="360"/>
      </w:pPr>
    </w:lvl>
    <w:lvl w:ilvl="7" w:tplc="DFA67CCC" w:tentative="1">
      <w:start w:val="1"/>
      <w:numFmt w:val="lowerLetter"/>
      <w:lvlText w:val="%8."/>
      <w:lvlJc w:val="left"/>
      <w:pPr>
        <w:ind w:left="5760" w:hanging="360"/>
      </w:pPr>
    </w:lvl>
    <w:lvl w:ilvl="8" w:tplc="04048A8A" w:tentative="1">
      <w:start w:val="1"/>
      <w:numFmt w:val="lowerRoman"/>
      <w:lvlText w:val="%9."/>
      <w:lvlJc w:val="right"/>
      <w:pPr>
        <w:ind w:left="6480" w:hanging="180"/>
      </w:pPr>
    </w:lvl>
  </w:abstractNum>
  <w:abstractNum w:abstractNumId="28" w15:restartNumberingAfterBreak="0">
    <w:nsid w:val="4EAB435D"/>
    <w:multiLevelType w:val="hybridMultilevel"/>
    <w:tmpl w:val="1DF0FAD2"/>
    <w:lvl w:ilvl="0" w:tplc="024427A2">
      <w:start w:val="1"/>
      <w:numFmt w:val="decimal"/>
      <w:lvlText w:val="%1"/>
      <w:lvlJc w:val="left"/>
      <w:pPr>
        <w:ind w:left="720" w:hanging="360"/>
      </w:pPr>
      <w:rPr>
        <w:rFonts w:hint="default"/>
        <w:vertAlign w:val="superscript"/>
      </w:rPr>
    </w:lvl>
    <w:lvl w:ilvl="1" w:tplc="F7925C5E" w:tentative="1">
      <w:start w:val="1"/>
      <w:numFmt w:val="lowerLetter"/>
      <w:lvlText w:val="%2."/>
      <w:lvlJc w:val="left"/>
      <w:pPr>
        <w:ind w:left="1440" w:hanging="360"/>
      </w:pPr>
    </w:lvl>
    <w:lvl w:ilvl="2" w:tplc="0930C508" w:tentative="1">
      <w:start w:val="1"/>
      <w:numFmt w:val="lowerRoman"/>
      <w:lvlText w:val="%3."/>
      <w:lvlJc w:val="right"/>
      <w:pPr>
        <w:ind w:left="2160" w:hanging="180"/>
      </w:pPr>
    </w:lvl>
    <w:lvl w:ilvl="3" w:tplc="59EE626A" w:tentative="1">
      <w:start w:val="1"/>
      <w:numFmt w:val="decimal"/>
      <w:lvlText w:val="%4."/>
      <w:lvlJc w:val="left"/>
      <w:pPr>
        <w:ind w:left="2880" w:hanging="360"/>
      </w:pPr>
    </w:lvl>
    <w:lvl w:ilvl="4" w:tplc="05B8CE0A" w:tentative="1">
      <w:start w:val="1"/>
      <w:numFmt w:val="lowerLetter"/>
      <w:lvlText w:val="%5."/>
      <w:lvlJc w:val="left"/>
      <w:pPr>
        <w:ind w:left="3600" w:hanging="360"/>
      </w:pPr>
    </w:lvl>
    <w:lvl w:ilvl="5" w:tplc="EFAC205C" w:tentative="1">
      <w:start w:val="1"/>
      <w:numFmt w:val="lowerRoman"/>
      <w:lvlText w:val="%6."/>
      <w:lvlJc w:val="right"/>
      <w:pPr>
        <w:ind w:left="4320" w:hanging="180"/>
      </w:pPr>
    </w:lvl>
    <w:lvl w:ilvl="6" w:tplc="D57EDF2A" w:tentative="1">
      <w:start w:val="1"/>
      <w:numFmt w:val="decimal"/>
      <w:lvlText w:val="%7."/>
      <w:lvlJc w:val="left"/>
      <w:pPr>
        <w:ind w:left="5040" w:hanging="360"/>
      </w:pPr>
    </w:lvl>
    <w:lvl w:ilvl="7" w:tplc="01E04794" w:tentative="1">
      <w:start w:val="1"/>
      <w:numFmt w:val="lowerLetter"/>
      <w:lvlText w:val="%8."/>
      <w:lvlJc w:val="left"/>
      <w:pPr>
        <w:ind w:left="5760" w:hanging="360"/>
      </w:pPr>
    </w:lvl>
    <w:lvl w:ilvl="8" w:tplc="8D6E51C0" w:tentative="1">
      <w:start w:val="1"/>
      <w:numFmt w:val="lowerRoman"/>
      <w:lvlText w:val="%9."/>
      <w:lvlJc w:val="right"/>
      <w:pPr>
        <w:ind w:left="6480" w:hanging="180"/>
      </w:p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3D015AC"/>
    <w:multiLevelType w:val="multilevel"/>
    <w:tmpl w:val="84DEA89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val="0"/>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DF51A7"/>
    <w:multiLevelType w:val="hybridMultilevel"/>
    <w:tmpl w:val="7E76E5CC"/>
    <w:lvl w:ilvl="0" w:tplc="38B01CDE">
      <w:start w:val="1"/>
      <w:numFmt w:val="decimal"/>
      <w:lvlText w:val="%1."/>
      <w:lvlJc w:val="left"/>
      <w:pPr>
        <w:ind w:left="720" w:hanging="360"/>
      </w:pPr>
    </w:lvl>
    <w:lvl w:ilvl="1" w:tplc="C378538E" w:tentative="1">
      <w:start w:val="1"/>
      <w:numFmt w:val="lowerLetter"/>
      <w:lvlText w:val="%2."/>
      <w:lvlJc w:val="left"/>
      <w:pPr>
        <w:ind w:left="1440" w:hanging="360"/>
      </w:pPr>
    </w:lvl>
    <w:lvl w:ilvl="2" w:tplc="EB420BD8" w:tentative="1">
      <w:start w:val="1"/>
      <w:numFmt w:val="lowerRoman"/>
      <w:lvlText w:val="%3."/>
      <w:lvlJc w:val="right"/>
      <w:pPr>
        <w:ind w:left="2160" w:hanging="180"/>
      </w:pPr>
    </w:lvl>
    <w:lvl w:ilvl="3" w:tplc="D8445CF4" w:tentative="1">
      <w:start w:val="1"/>
      <w:numFmt w:val="decimal"/>
      <w:lvlText w:val="%4."/>
      <w:lvlJc w:val="left"/>
      <w:pPr>
        <w:ind w:left="2880" w:hanging="360"/>
      </w:pPr>
    </w:lvl>
    <w:lvl w:ilvl="4" w:tplc="9A2AE792" w:tentative="1">
      <w:start w:val="1"/>
      <w:numFmt w:val="lowerLetter"/>
      <w:lvlText w:val="%5."/>
      <w:lvlJc w:val="left"/>
      <w:pPr>
        <w:ind w:left="3600" w:hanging="360"/>
      </w:pPr>
    </w:lvl>
    <w:lvl w:ilvl="5" w:tplc="63C4CE62" w:tentative="1">
      <w:start w:val="1"/>
      <w:numFmt w:val="lowerRoman"/>
      <w:lvlText w:val="%6."/>
      <w:lvlJc w:val="right"/>
      <w:pPr>
        <w:ind w:left="4320" w:hanging="180"/>
      </w:pPr>
    </w:lvl>
    <w:lvl w:ilvl="6" w:tplc="FC1209F6" w:tentative="1">
      <w:start w:val="1"/>
      <w:numFmt w:val="decimal"/>
      <w:lvlText w:val="%7."/>
      <w:lvlJc w:val="left"/>
      <w:pPr>
        <w:ind w:left="5040" w:hanging="360"/>
      </w:pPr>
    </w:lvl>
    <w:lvl w:ilvl="7" w:tplc="8A964884" w:tentative="1">
      <w:start w:val="1"/>
      <w:numFmt w:val="lowerLetter"/>
      <w:lvlText w:val="%8."/>
      <w:lvlJc w:val="left"/>
      <w:pPr>
        <w:ind w:left="5760" w:hanging="360"/>
      </w:pPr>
    </w:lvl>
    <w:lvl w:ilvl="8" w:tplc="821E6192" w:tentative="1">
      <w:start w:val="1"/>
      <w:numFmt w:val="lowerRoman"/>
      <w:lvlText w:val="%9."/>
      <w:lvlJc w:val="right"/>
      <w:pPr>
        <w:ind w:left="6480" w:hanging="180"/>
      </w:pPr>
    </w:lvl>
  </w:abstractNum>
  <w:abstractNum w:abstractNumId="32" w15:restartNumberingAfterBreak="0">
    <w:nsid w:val="66186C89"/>
    <w:multiLevelType w:val="hybridMultilevel"/>
    <w:tmpl w:val="9EA232C2"/>
    <w:lvl w:ilvl="0" w:tplc="72D03778">
      <w:start w:val="1"/>
      <w:numFmt w:val="decimal"/>
      <w:lvlText w:val="%1."/>
      <w:lvlJc w:val="left"/>
      <w:pPr>
        <w:ind w:left="720" w:hanging="360"/>
      </w:pPr>
      <w:rPr>
        <w:rFonts w:hint="default"/>
        <w:b/>
      </w:rPr>
    </w:lvl>
    <w:lvl w:ilvl="1" w:tplc="6E0672DA" w:tentative="1">
      <w:start w:val="1"/>
      <w:numFmt w:val="lowerLetter"/>
      <w:lvlText w:val="%2."/>
      <w:lvlJc w:val="left"/>
      <w:pPr>
        <w:ind w:left="1440" w:hanging="360"/>
      </w:pPr>
    </w:lvl>
    <w:lvl w:ilvl="2" w:tplc="91B08642" w:tentative="1">
      <w:start w:val="1"/>
      <w:numFmt w:val="lowerRoman"/>
      <w:lvlText w:val="%3."/>
      <w:lvlJc w:val="right"/>
      <w:pPr>
        <w:ind w:left="2160" w:hanging="180"/>
      </w:pPr>
    </w:lvl>
    <w:lvl w:ilvl="3" w:tplc="0BD073E0" w:tentative="1">
      <w:start w:val="1"/>
      <w:numFmt w:val="decimal"/>
      <w:lvlText w:val="%4."/>
      <w:lvlJc w:val="left"/>
      <w:pPr>
        <w:ind w:left="2880" w:hanging="360"/>
      </w:pPr>
    </w:lvl>
    <w:lvl w:ilvl="4" w:tplc="B8C4ABC0" w:tentative="1">
      <w:start w:val="1"/>
      <w:numFmt w:val="lowerLetter"/>
      <w:lvlText w:val="%5."/>
      <w:lvlJc w:val="left"/>
      <w:pPr>
        <w:ind w:left="3600" w:hanging="360"/>
      </w:pPr>
    </w:lvl>
    <w:lvl w:ilvl="5" w:tplc="5F8ACBE2" w:tentative="1">
      <w:start w:val="1"/>
      <w:numFmt w:val="lowerRoman"/>
      <w:lvlText w:val="%6."/>
      <w:lvlJc w:val="right"/>
      <w:pPr>
        <w:ind w:left="4320" w:hanging="180"/>
      </w:pPr>
    </w:lvl>
    <w:lvl w:ilvl="6" w:tplc="519E8216" w:tentative="1">
      <w:start w:val="1"/>
      <w:numFmt w:val="decimal"/>
      <w:lvlText w:val="%7."/>
      <w:lvlJc w:val="left"/>
      <w:pPr>
        <w:ind w:left="5040" w:hanging="360"/>
      </w:pPr>
    </w:lvl>
    <w:lvl w:ilvl="7" w:tplc="15A2375E" w:tentative="1">
      <w:start w:val="1"/>
      <w:numFmt w:val="lowerLetter"/>
      <w:lvlText w:val="%8."/>
      <w:lvlJc w:val="left"/>
      <w:pPr>
        <w:ind w:left="5760" w:hanging="360"/>
      </w:pPr>
    </w:lvl>
    <w:lvl w:ilvl="8" w:tplc="A02420DC" w:tentative="1">
      <w:start w:val="1"/>
      <w:numFmt w:val="lowerRoman"/>
      <w:lvlText w:val="%9."/>
      <w:lvlJc w:val="right"/>
      <w:pPr>
        <w:ind w:left="6480" w:hanging="180"/>
      </w:pPr>
    </w:lvl>
  </w:abstractNum>
  <w:abstractNum w:abstractNumId="33" w15:restartNumberingAfterBreak="0">
    <w:nsid w:val="66E93D6F"/>
    <w:multiLevelType w:val="multilevel"/>
    <w:tmpl w:val="07B869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AFA34DB"/>
    <w:multiLevelType w:val="multilevel"/>
    <w:tmpl w:val="C27A4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980701F"/>
    <w:multiLevelType w:val="hybridMultilevel"/>
    <w:tmpl w:val="EDCE8ABC"/>
    <w:lvl w:ilvl="0" w:tplc="E356EDC8">
      <w:start w:val="1"/>
      <w:numFmt w:val="decimal"/>
      <w:lvlText w:val="%1."/>
      <w:lvlJc w:val="left"/>
      <w:pPr>
        <w:ind w:left="720" w:hanging="360"/>
      </w:pPr>
    </w:lvl>
    <w:lvl w:ilvl="1" w:tplc="BAB2CAF4" w:tentative="1">
      <w:start w:val="1"/>
      <w:numFmt w:val="lowerLetter"/>
      <w:lvlText w:val="%2."/>
      <w:lvlJc w:val="left"/>
      <w:pPr>
        <w:ind w:left="1440" w:hanging="360"/>
      </w:pPr>
    </w:lvl>
    <w:lvl w:ilvl="2" w:tplc="8EDC1B1E" w:tentative="1">
      <w:start w:val="1"/>
      <w:numFmt w:val="lowerRoman"/>
      <w:lvlText w:val="%3."/>
      <w:lvlJc w:val="right"/>
      <w:pPr>
        <w:ind w:left="2160" w:hanging="180"/>
      </w:pPr>
    </w:lvl>
    <w:lvl w:ilvl="3" w:tplc="C0E49B76" w:tentative="1">
      <w:start w:val="1"/>
      <w:numFmt w:val="decimal"/>
      <w:lvlText w:val="%4."/>
      <w:lvlJc w:val="left"/>
      <w:pPr>
        <w:ind w:left="2880" w:hanging="360"/>
      </w:pPr>
    </w:lvl>
    <w:lvl w:ilvl="4" w:tplc="732CEFA4" w:tentative="1">
      <w:start w:val="1"/>
      <w:numFmt w:val="lowerLetter"/>
      <w:lvlText w:val="%5."/>
      <w:lvlJc w:val="left"/>
      <w:pPr>
        <w:ind w:left="3600" w:hanging="360"/>
      </w:pPr>
    </w:lvl>
    <w:lvl w:ilvl="5" w:tplc="07FA597A" w:tentative="1">
      <w:start w:val="1"/>
      <w:numFmt w:val="lowerRoman"/>
      <w:lvlText w:val="%6."/>
      <w:lvlJc w:val="right"/>
      <w:pPr>
        <w:ind w:left="4320" w:hanging="180"/>
      </w:pPr>
    </w:lvl>
    <w:lvl w:ilvl="6" w:tplc="197C242E" w:tentative="1">
      <w:start w:val="1"/>
      <w:numFmt w:val="decimal"/>
      <w:lvlText w:val="%7."/>
      <w:lvlJc w:val="left"/>
      <w:pPr>
        <w:ind w:left="5040" w:hanging="360"/>
      </w:pPr>
    </w:lvl>
    <w:lvl w:ilvl="7" w:tplc="7A1AA364" w:tentative="1">
      <w:start w:val="1"/>
      <w:numFmt w:val="lowerLetter"/>
      <w:lvlText w:val="%8."/>
      <w:lvlJc w:val="left"/>
      <w:pPr>
        <w:ind w:left="5760" w:hanging="360"/>
      </w:pPr>
    </w:lvl>
    <w:lvl w:ilvl="8" w:tplc="D1BCABF8" w:tentative="1">
      <w:start w:val="1"/>
      <w:numFmt w:val="lowerRoman"/>
      <w:lvlText w:val="%9."/>
      <w:lvlJc w:val="right"/>
      <w:pPr>
        <w:ind w:left="6480" w:hanging="180"/>
      </w:pPr>
    </w:lvl>
  </w:abstractNum>
  <w:abstractNum w:abstractNumId="38" w15:restartNumberingAfterBreak="0">
    <w:nsid w:val="7A2C3D2B"/>
    <w:multiLevelType w:val="hybridMultilevel"/>
    <w:tmpl w:val="92680A2E"/>
    <w:lvl w:ilvl="0" w:tplc="B6D6A166">
      <w:start w:val="1"/>
      <w:numFmt w:val="decimal"/>
      <w:lvlText w:val="%1."/>
      <w:lvlJc w:val="left"/>
      <w:pPr>
        <w:ind w:left="360" w:hanging="360"/>
      </w:pPr>
    </w:lvl>
    <w:lvl w:ilvl="1" w:tplc="54DCF39E" w:tentative="1">
      <w:start w:val="1"/>
      <w:numFmt w:val="lowerLetter"/>
      <w:lvlText w:val="%2."/>
      <w:lvlJc w:val="left"/>
      <w:pPr>
        <w:ind w:left="1080" w:hanging="360"/>
      </w:pPr>
    </w:lvl>
    <w:lvl w:ilvl="2" w:tplc="8F1A663C" w:tentative="1">
      <w:start w:val="1"/>
      <w:numFmt w:val="lowerRoman"/>
      <w:lvlText w:val="%3."/>
      <w:lvlJc w:val="right"/>
      <w:pPr>
        <w:ind w:left="1800" w:hanging="180"/>
      </w:pPr>
    </w:lvl>
    <w:lvl w:ilvl="3" w:tplc="84EA6410" w:tentative="1">
      <w:start w:val="1"/>
      <w:numFmt w:val="decimal"/>
      <w:lvlText w:val="%4."/>
      <w:lvlJc w:val="left"/>
      <w:pPr>
        <w:ind w:left="2520" w:hanging="360"/>
      </w:pPr>
    </w:lvl>
    <w:lvl w:ilvl="4" w:tplc="27D2FAF8" w:tentative="1">
      <w:start w:val="1"/>
      <w:numFmt w:val="lowerLetter"/>
      <w:lvlText w:val="%5."/>
      <w:lvlJc w:val="left"/>
      <w:pPr>
        <w:ind w:left="3240" w:hanging="360"/>
      </w:pPr>
    </w:lvl>
    <w:lvl w:ilvl="5" w:tplc="7FAC6F86" w:tentative="1">
      <w:start w:val="1"/>
      <w:numFmt w:val="lowerRoman"/>
      <w:lvlText w:val="%6."/>
      <w:lvlJc w:val="right"/>
      <w:pPr>
        <w:ind w:left="3960" w:hanging="180"/>
      </w:pPr>
    </w:lvl>
    <w:lvl w:ilvl="6" w:tplc="FD369CE6" w:tentative="1">
      <w:start w:val="1"/>
      <w:numFmt w:val="decimal"/>
      <w:lvlText w:val="%7."/>
      <w:lvlJc w:val="left"/>
      <w:pPr>
        <w:ind w:left="4680" w:hanging="360"/>
      </w:pPr>
    </w:lvl>
    <w:lvl w:ilvl="7" w:tplc="B25E5BE0" w:tentative="1">
      <w:start w:val="1"/>
      <w:numFmt w:val="lowerLetter"/>
      <w:lvlText w:val="%8."/>
      <w:lvlJc w:val="left"/>
      <w:pPr>
        <w:ind w:left="5400" w:hanging="360"/>
      </w:pPr>
    </w:lvl>
    <w:lvl w:ilvl="8" w:tplc="2EB0993E" w:tentative="1">
      <w:start w:val="1"/>
      <w:numFmt w:val="lowerRoman"/>
      <w:lvlText w:val="%9."/>
      <w:lvlJc w:val="right"/>
      <w:pPr>
        <w:ind w:left="6120" w:hanging="180"/>
      </w:pPr>
    </w:lvl>
  </w:abstractNum>
  <w:abstractNum w:abstractNumId="39" w15:restartNumberingAfterBreak="0">
    <w:nsid w:val="7DA91E9D"/>
    <w:multiLevelType w:val="multilevel"/>
    <w:tmpl w:val="7C460448"/>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5429447">
    <w:abstractNumId w:val="16"/>
  </w:num>
  <w:num w:numId="2" w16cid:durableId="1558012307">
    <w:abstractNumId w:val="24"/>
  </w:num>
  <w:num w:numId="3" w16cid:durableId="1538199024">
    <w:abstractNumId w:val="36"/>
  </w:num>
  <w:num w:numId="4" w16cid:durableId="2081638361">
    <w:abstractNumId w:val="9"/>
  </w:num>
  <w:num w:numId="5" w16cid:durableId="1376271308">
    <w:abstractNumId w:val="29"/>
  </w:num>
  <w:num w:numId="6" w16cid:durableId="364254518">
    <w:abstractNumId w:val="34"/>
  </w:num>
  <w:num w:numId="7" w16cid:durableId="1488475488">
    <w:abstractNumId w:val="17"/>
  </w:num>
  <w:num w:numId="8" w16cid:durableId="150997248">
    <w:abstractNumId w:val="23"/>
  </w:num>
  <w:num w:numId="9" w16cid:durableId="864514721">
    <w:abstractNumId w:val="10"/>
  </w:num>
  <w:num w:numId="10" w16cid:durableId="391777334">
    <w:abstractNumId w:val="19"/>
  </w:num>
  <w:num w:numId="11" w16cid:durableId="2001233305">
    <w:abstractNumId w:val="26"/>
  </w:num>
  <w:num w:numId="12" w16cid:durableId="780104460">
    <w:abstractNumId w:val="14"/>
  </w:num>
  <w:num w:numId="13" w16cid:durableId="727336677">
    <w:abstractNumId w:val="37"/>
  </w:num>
  <w:num w:numId="14" w16cid:durableId="387266784">
    <w:abstractNumId w:val="1"/>
  </w:num>
  <w:num w:numId="15" w16cid:durableId="1328048532">
    <w:abstractNumId w:val="22"/>
  </w:num>
  <w:num w:numId="16" w16cid:durableId="881868687">
    <w:abstractNumId w:val="11"/>
  </w:num>
  <w:num w:numId="17" w16cid:durableId="1308510417">
    <w:abstractNumId w:val="15"/>
  </w:num>
  <w:num w:numId="18" w16cid:durableId="327952549">
    <w:abstractNumId w:val="6"/>
  </w:num>
  <w:num w:numId="19" w16cid:durableId="1415007114">
    <w:abstractNumId w:val="33"/>
  </w:num>
  <w:num w:numId="20" w16cid:durableId="1392381791">
    <w:abstractNumId w:val="35"/>
  </w:num>
  <w:num w:numId="21" w16cid:durableId="945504508">
    <w:abstractNumId w:val="4"/>
  </w:num>
  <w:num w:numId="22" w16cid:durableId="646933887">
    <w:abstractNumId w:val="21"/>
  </w:num>
  <w:num w:numId="23" w16cid:durableId="1855608082">
    <w:abstractNumId w:val="32"/>
  </w:num>
  <w:num w:numId="24" w16cid:durableId="1281182304">
    <w:abstractNumId w:val="5"/>
  </w:num>
  <w:num w:numId="25" w16cid:durableId="301692981">
    <w:abstractNumId w:val="27"/>
  </w:num>
  <w:num w:numId="26" w16cid:durableId="899287755">
    <w:abstractNumId w:val="8"/>
  </w:num>
  <w:num w:numId="27" w16cid:durableId="896163261">
    <w:abstractNumId w:val="13"/>
  </w:num>
  <w:num w:numId="28" w16cid:durableId="1836921734">
    <w:abstractNumId w:val="2"/>
  </w:num>
  <w:num w:numId="29" w16cid:durableId="1317026870">
    <w:abstractNumId w:val="3"/>
  </w:num>
  <w:num w:numId="30" w16cid:durableId="1840579697">
    <w:abstractNumId w:val="7"/>
  </w:num>
  <w:num w:numId="31" w16cid:durableId="1445920835">
    <w:abstractNumId w:val="20"/>
  </w:num>
  <w:num w:numId="32" w16cid:durableId="2073310962">
    <w:abstractNumId w:val="31"/>
  </w:num>
  <w:num w:numId="33" w16cid:durableId="1796210902">
    <w:abstractNumId w:val="25"/>
  </w:num>
  <w:num w:numId="34" w16cid:durableId="605424241">
    <w:abstractNumId w:val="0"/>
  </w:num>
  <w:num w:numId="35" w16cid:durableId="1658025462">
    <w:abstractNumId w:val="18"/>
  </w:num>
  <w:num w:numId="36" w16cid:durableId="952783621">
    <w:abstractNumId w:val="12"/>
  </w:num>
  <w:num w:numId="37" w16cid:durableId="1198927045">
    <w:abstractNumId w:val="28"/>
  </w:num>
  <w:num w:numId="38" w16cid:durableId="712389039">
    <w:abstractNumId w:val="30"/>
  </w:num>
  <w:num w:numId="39" w16cid:durableId="839584352">
    <w:abstractNumId w:val="39"/>
  </w:num>
  <w:num w:numId="40" w16cid:durableId="119396225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wd9zd0pr2rzthe20rnxe004srf50d9at29t&quot;&gt;My EndNote Library-Converted&lt;record-ids&gt;&lt;item&gt;1443&lt;/item&gt;&lt;item&gt;2311&lt;/item&gt;&lt;item&gt;2897&lt;/item&gt;&lt;item&gt;3419&lt;/item&gt;&lt;item&gt;3425&lt;/item&gt;&lt;item&gt;3426&lt;/item&gt;&lt;item&gt;3434&lt;/item&gt;&lt;item&gt;3463&lt;/item&gt;&lt;item&gt;3478&lt;/item&gt;&lt;item&gt;3479&lt;/item&gt;&lt;item&gt;3481&lt;/item&gt;&lt;item&gt;3484&lt;/item&gt;&lt;item&gt;3504&lt;/item&gt;&lt;item&gt;3505&lt;/item&gt;&lt;item&gt;3506&lt;/item&gt;&lt;item&gt;3507&lt;/item&gt;&lt;item&gt;3508&lt;/item&gt;&lt;item&gt;3509&lt;/item&gt;&lt;item&gt;3510&lt;/item&gt;&lt;item&gt;3511&lt;/item&gt;&lt;item&gt;3512&lt;/item&gt;&lt;item&gt;3513&lt;/item&gt;&lt;item&gt;3514&lt;/item&gt;&lt;item&gt;3516&lt;/item&gt;&lt;item&gt;3517&lt;/item&gt;&lt;item&gt;3518&lt;/item&gt;&lt;item&gt;3519&lt;/item&gt;&lt;item&gt;3520&lt;/item&gt;&lt;/record-ids&gt;&lt;/item&gt;&lt;/Libraries&gt;"/>
  </w:docVars>
  <w:rsids>
    <w:rsidRoot w:val="006E4797"/>
    <w:rsid w:val="0000173D"/>
    <w:rsid w:val="00004C0E"/>
    <w:rsid w:val="0000610A"/>
    <w:rsid w:val="00012789"/>
    <w:rsid w:val="00020E48"/>
    <w:rsid w:val="0002622E"/>
    <w:rsid w:val="00030DA8"/>
    <w:rsid w:val="00032D51"/>
    <w:rsid w:val="000336BD"/>
    <w:rsid w:val="00036273"/>
    <w:rsid w:val="00036350"/>
    <w:rsid w:val="00041B4F"/>
    <w:rsid w:val="00042259"/>
    <w:rsid w:val="0004355D"/>
    <w:rsid w:val="000444B2"/>
    <w:rsid w:val="00047578"/>
    <w:rsid w:val="00053057"/>
    <w:rsid w:val="00061E0E"/>
    <w:rsid w:val="00063FDF"/>
    <w:rsid w:val="00064106"/>
    <w:rsid w:val="000723CE"/>
    <w:rsid w:val="00072713"/>
    <w:rsid w:val="0007506F"/>
    <w:rsid w:val="000756A8"/>
    <w:rsid w:val="00075C84"/>
    <w:rsid w:val="00076815"/>
    <w:rsid w:val="00077C0E"/>
    <w:rsid w:val="000820FD"/>
    <w:rsid w:val="00082A5F"/>
    <w:rsid w:val="0008397E"/>
    <w:rsid w:val="00090490"/>
    <w:rsid w:val="000A3B65"/>
    <w:rsid w:val="000A7A34"/>
    <w:rsid w:val="000B00E1"/>
    <w:rsid w:val="000B0D71"/>
    <w:rsid w:val="000B2465"/>
    <w:rsid w:val="000B2EC3"/>
    <w:rsid w:val="000B2FCB"/>
    <w:rsid w:val="000B3F32"/>
    <w:rsid w:val="000B41B6"/>
    <w:rsid w:val="000B4253"/>
    <w:rsid w:val="000B42FB"/>
    <w:rsid w:val="000C073C"/>
    <w:rsid w:val="000C07A9"/>
    <w:rsid w:val="000C4DF8"/>
    <w:rsid w:val="000C50D6"/>
    <w:rsid w:val="000C6619"/>
    <w:rsid w:val="000D50C9"/>
    <w:rsid w:val="000D51B3"/>
    <w:rsid w:val="000E0842"/>
    <w:rsid w:val="000E2ABF"/>
    <w:rsid w:val="000E2E6E"/>
    <w:rsid w:val="000E3447"/>
    <w:rsid w:val="000E3F21"/>
    <w:rsid w:val="000E4697"/>
    <w:rsid w:val="000E4C51"/>
    <w:rsid w:val="000E6A19"/>
    <w:rsid w:val="000F580D"/>
    <w:rsid w:val="0010021F"/>
    <w:rsid w:val="00106DCA"/>
    <w:rsid w:val="00110C12"/>
    <w:rsid w:val="00114FD3"/>
    <w:rsid w:val="00117685"/>
    <w:rsid w:val="00117733"/>
    <w:rsid w:val="001179FA"/>
    <w:rsid w:val="00133765"/>
    <w:rsid w:val="001346FE"/>
    <w:rsid w:val="00135DCE"/>
    <w:rsid w:val="0013774A"/>
    <w:rsid w:val="00142180"/>
    <w:rsid w:val="00147CBA"/>
    <w:rsid w:val="00150DE5"/>
    <w:rsid w:val="00164635"/>
    <w:rsid w:val="00172C4E"/>
    <w:rsid w:val="00182591"/>
    <w:rsid w:val="001866C6"/>
    <w:rsid w:val="001919C8"/>
    <w:rsid w:val="00192B11"/>
    <w:rsid w:val="00194C04"/>
    <w:rsid w:val="00194CEA"/>
    <w:rsid w:val="001959A2"/>
    <w:rsid w:val="00196FEC"/>
    <w:rsid w:val="001A17B6"/>
    <w:rsid w:val="001A2096"/>
    <w:rsid w:val="001A4CD3"/>
    <w:rsid w:val="001B6F8F"/>
    <w:rsid w:val="001C33F5"/>
    <w:rsid w:val="001E1757"/>
    <w:rsid w:val="001E6182"/>
    <w:rsid w:val="001E67DD"/>
    <w:rsid w:val="001E76DE"/>
    <w:rsid w:val="001F1BAC"/>
    <w:rsid w:val="001F45AE"/>
    <w:rsid w:val="001F77D4"/>
    <w:rsid w:val="002031E8"/>
    <w:rsid w:val="00206500"/>
    <w:rsid w:val="002076CE"/>
    <w:rsid w:val="00210DD6"/>
    <w:rsid w:val="00220137"/>
    <w:rsid w:val="00221803"/>
    <w:rsid w:val="0023296D"/>
    <w:rsid w:val="00240C95"/>
    <w:rsid w:val="00243B2B"/>
    <w:rsid w:val="00244ADB"/>
    <w:rsid w:val="00252077"/>
    <w:rsid w:val="002534A9"/>
    <w:rsid w:val="00262E35"/>
    <w:rsid w:val="00263021"/>
    <w:rsid w:val="00266BAA"/>
    <w:rsid w:val="00275AAD"/>
    <w:rsid w:val="00275BE1"/>
    <w:rsid w:val="0029308F"/>
    <w:rsid w:val="0029399E"/>
    <w:rsid w:val="00294519"/>
    <w:rsid w:val="002961EA"/>
    <w:rsid w:val="002A6974"/>
    <w:rsid w:val="002A7AB9"/>
    <w:rsid w:val="002C31A7"/>
    <w:rsid w:val="002C44CF"/>
    <w:rsid w:val="002C7158"/>
    <w:rsid w:val="002D3173"/>
    <w:rsid w:val="002D446E"/>
    <w:rsid w:val="002D7920"/>
    <w:rsid w:val="002E552B"/>
    <w:rsid w:val="002F207B"/>
    <w:rsid w:val="002F3706"/>
    <w:rsid w:val="002F4254"/>
    <w:rsid w:val="002F4394"/>
    <w:rsid w:val="002F502D"/>
    <w:rsid w:val="00301EC1"/>
    <w:rsid w:val="00306F3E"/>
    <w:rsid w:val="003072FA"/>
    <w:rsid w:val="003106C0"/>
    <w:rsid w:val="00313B61"/>
    <w:rsid w:val="0031658E"/>
    <w:rsid w:val="00317105"/>
    <w:rsid w:val="00324C66"/>
    <w:rsid w:val="0033352E"/>
    <w:rsid w:val="00333663"/>
    <w:rsid w:val="00334834"/>
    <w:rsid w:val="0034387D"/>
    <w:rsid w:val="00345F88"/>
    <w:rsid w:val="00346575"/>
    <w:rsid w:val="00346ED5"/>
    <w:rsid w:val="00346FF8"/>
    <w:rsid w:val="00350503"/>
    <w:rsid w:val="00351087"/>
    <w:rsid w:val="003517DF"/>
    <w:rsid w:val="003521C7"/>
    <w:rsid w:val="00353388"/>
    <w:rsid w:val="003554C8"/>
    <w:rsid w:val="00355982"/>
    <w:rsid w:val="003564BD"/>
    <w:rsid w:val="00361F68"/>
    <w:rsid w:val="00362499"/>
    <w:rsid w:val="00362D9C"/>
    <w:rsid w:val="00364071"/>
    <w:rsid w:val="00365338"/>
    <w:rsid w:val="00371BD2"/>
    <w:rsid w:val="00386C78"/>
    <w:rsid w:val="00387413"/>
    <w:rsid w:val="00392787"/>
    <w:rsid w:val="003A1528"/>
    <w:rsid w:val="003A4023"/>
    <w:rsid w:val="003D2357"/>
    <w:rsid w:val="003D6078"/>
    <w:rsid w:val="003D7630"/>
    <w:rsid w:val="003E39A1"/>
    <w:rsid w:val="003F2E36"/>
    <w:rsid w:val="00402B1D"/>
    <w:rsid w:val="0040377C"/>
    <w:rsid w:val="0040579A"/>
    <w:rsid w:val="004103F3"/>
    <w:rsid w:val="00414B88"/>
    <w:rsid w:val="00417EB0"/>
    <w:rsid w:val="00420D2E"/>
    <w:rsid w:val="004312D8"/>
    <w:rsid w:val="0043595E"/>
    <w:rsid w:val="004361C0"/>
    <w:rsid w:val="00436C1F"/>
    <w:rsid w:val="00437C95"/>
    <w:rsid w:val="00450B3F"/>
    <w:rsid w:val="004520D1"/>
    <w:rsid w:val="00452C74"/>
    <w:rsid w:val="00464AD5"/>
    <w:rsid w:val="00486A47"/>
    <w:rsid w:val="004A2452"/>
    <w:rsid w:val="004B3782"/>
    <w:rsid w:val="004C0985"/>
    <w:rsid w:val="004C5430"/>
    <w:rsid w:val="004C553A"/>
    <w:rsid w:val="004C5A7E"/>
    <w:rsid w:val="004C764E"/>
    <w:rsid w:val="004C79A9"/>
    <w:rsid w:val="004D11EA"/>
    <w:rsid w:val="004D362E"/>
    <w:rsid w:val="004D56A1"/>
    <w:rsid w:val="004E449B"/>
    <w:rsid w:val="004E709A"/>
    <w:rsid w:val="004E7A99"/>
    <w:rsid w:val="004F2279"/>
    <w:rsid w:val="004F50C7"/>
    <w:rsid w:val="004F5ADB"/>
    <w:rsid w:val="005045AC"/>
    <w:rsid w:val="00504D02"/>
    <w:rsid w:val="00510820"/>
    <w:rsid w:val="00513CCF"/>
    <w:rsid w:val="00516FCB"/>
    <w:rsid w:val="00531CA8"/>
    <w:rsid w:val="005323EC"/>
    <w:rsid w:val="00534B1C"/>
    <w:rsid w:val="0054461E"/>
    <w:rsid w:val="00551D82"/>
    <w:rsid w:val="0055347C"/>
    <w:rsid w:val="00555FC6"/>
    <w:rsid w:val="005565D4"/>
    <w:rsid w:val="005574BE"/>
    <w:rsid w:val="005665F5"/>
    <w:rsid w:val="00567022"/>
    <w:rsid w:val="00570EC2"/>
    <w:rsid w:val="00571764"/>
    <w:rsid w:val="00575E55"/>
    <w:rsid w:val="00580838"/>
    <w:rsid w:val="00581627"/>
    <w:rsid w:val="00581E1E"/>
    <w:rsid w:val="005860AE"/>
    <w:rsid w:val="005862CF"/>
    <w:rsid w:val="0058769E"/>
    <w:rsid w:val="00592D2C"/>
    <w:rsid w:val="005A278F"/>
    <w:rsid w:val="005B0E6A"/>
    <w:rsid w:val="005B1105"/>
    <w:rsid w:val="005B2653"/>
    <w:rsid w:val="005B46DC"/>
    <w:rsid w:val="005B6FF2"/>
    <w:rsid w:val="005C47C2"/>
    <w:rsid w:val="005D1CE4"/>
    <w:rsid w:val="005E14B7"/>
    <w:rsid w:val="005E22B9"/>
    <w:rsid w:val="005E3C93"/>
    <w:rsid w:val="005E78E1"/>
    <w:rsid w:val="005F2BE4"/>
    <w:rsid w:val="006024F8"/>
    <w:rsid w:val="006056A4"/>
    <w:rsid w:val="006058CD"/>
    <w:rsid w:val="0060637E"/>
    <w:rsid w:val="00606391"/>
    <w:rsid w:val="0061135E"/>
    <w:rsid w:val="006136F8"/>
    <w:rsid w:val="00614154"/>
    <w:rsid w:val="00615035"/>
    <w:rsid w:val="00615750"/>
    <w:rsid w:val="00621A57"/>
    <w:rsid w:val="00622578"/>
    <w:rsid w:val="00623139"/>
    <w:rsid w:val="006237AC"/>
    <w:rsid w:val="00624F9C"/>
    <w:rsid w:val="00627F93"/>
    <w:rsid w:val="00631B9B"/>
    <w:rsid w:val="00632F87"/>
    <w:rsid w:val="00634672"/>
    <w:rsid w:val="0063793C"/>
    <w:rsid w:val="00637B13"/>
    <w:rsid w:val="00643791"/>
    <w:rsid w:val="00644918"/>
    <w:rsid w:val="00644D4A"/>
    <w:rsid w:val="006461AA"/>
    <w:rsid w:val="006461CA"/>
    <w:rsid w:val="00651DC7"/>
    <w:rsid w:val="00670896"/>
    <w:rsid w:val="006755EE"/>
    <w:rsid w:val="006824BF"/>
    <w:rsid w:val="00683F7D"/>
    <w:rsid w:val="00695E96"/>
    <w:rsid w:val="006A346A"/>
    <w:rsid w:val="006A41E4"/>
    <w:rsid w:val="006A4D0D"/>
    <w:rsid w:val="006B0482"/>
    <w:rsid w:val="006B5DF5"/>
    <w:rsid w:val="006B7B6D"/>
    <w:rsid w:val="006C11D0"/>
    <w:rsid w:val="006C2789"/>
    <w:rsid w:val="006C47D0"/>
    <w:rsid w:val="006C5659"/>
    <w:rsid w:val="006D3058"/>
    <w:rsid w:val="006E30BE"/>
    <w:rsid w:val="006E34DE"/>
    <w:rsid w:val="006E45BB"/>
    <w:rsid w:val="006E4797"/>
    <w:rsid w:val="006E6093"/>
    <w:rsid w:val="006E7911"/>
    <w:rsid w:val="006F053A"/>
    <w:rsid w:val="006F6B42"/>
    <w:rsid w:val="0070444F"/>
    <w:rsid w:val="007057E1"/>
    <w:rsid w:val="00711CD8"/>
    <w:rsid w:val="007139EB"/>
    <w:rsid w:val="00713CF7"/>
    <w:rsid w:val="00714BE0"/>
    <w:rsid w:val="007161D8"/>
    <w:rsid w:val="00716B58"/>
    <w:rsid w:val="00720FD4"/>
    <w:rsid w:val="00736371"/>
    <w:rsid w:val="00736CE8"/>
    <w:rsid w:val="0074238D"/>
    <w:rsid w:val="007455F2"/>
    <w:rsid w:val="00752998"/>
    <w:rsid w:val="007613A4"/>
    <w:rsid w:val="007676E3"/>
    <w:rsid w:val="00772C14"/>
    <w:rsid w:val="007821DC"/>
    <w:rsid w:val="00786AAD"/>
    <w:rsid w:val="007A38D2"/>
    <w:rsid w:val="007B5192"/>
    <w:rsid w:val="007B6AEF"/>
    <w:rsid w:val="007B6F04"/>
    <w:rsid w:val="007C08A9"/>
    <w:rsid w:val="007C174B"/>
    <w:rsid w:val="007D6BE0"/>
    <w:rsid w:val="007D7320"/>
    <w:rsid w:val="007E20C0"/>
    <w:rsid w:val="007E36E0"/>
    <w:rsid w:val="007F2030"/>
    <w:rsid w:val="007F3979"/>
    <w:rsid w:val="00806C82"/>
    <w:rsid w:val="00811F37"/>
    <w:rsid w:val="008134A1"/>
    <w:rsid w:val="00814481"/>
    <w:rsid w:val="008147C1"/>
    <w:rsid w:val="00820DC8"/>
    <w:rsid w:val="008217A2"/>
    <w:rsid w:val="008224F0"/>
    <w:rsid w:val="00824A5A"/>
    <w:rsid w:val="00827E0F"/>
    <w:rsid w:val="00832013"/>
    <w:rsid w:val="00832960"/>
    <w:rsid w:val="00835398"/>
    <w:rsid w:val="00835AD3"/>
    <w:rsid w:val="00836B96"/>
    <w:rsid w:val="00842EAB"/>
    <w:rsid w:val="00843389"/>
    <w:rsid w:val="008461C6"/>
    <w:rsid w:val="0085165F"/>
    <w:rsid w:val="00857ABA"/>
    <w:rsid w:val="0086396E"/>
    <w:rsid w:val="00864120"/>
    <w:rsid w:val="008657F2"/>
    <w:rsid w:val="00865B07"/>
    <w:rsid w:val="00866A1D"/>
    <w:rsid w:val="008679B5"/>
    <w:rsid w:val="00874ACC"/>
    <w:rsid w:val="00876FED"/>
    <w:rsid w:val="00882687"/>
    <w:rsid w:val="00884588"/>
    <w:rsid w:val="00884C4D"/>
    <w:rsid w:val="00891AB0"/>
    <w:rsid w:val="008942D8"/>
    <w:rsid w:val="008A4859"/>
    <w:rsid w:val="008A6DDE"/>
    <w:rsid w:val="008B2D50"/>
    <w:rsid w:val="008B35D2"/>
    <w:rsid w:val="008C2F3A"/>
    <w:rsid w:val="008C3DCD"/>
    <w:rsid w:val="008C6BC0"/>
    <w:rsid w:val="008C754A"/>
    <w:rsid w:val="008C779B"/>
    <w:rsid w:val="008D2F36"/>
    <w:rsid w:val="008D3E87"/>
    <w:rsid w:val="008D6706"/>
    <w:rsid w:val="008E11E6"/>
    <w:rsid w:val="008E3254"/>
    <w:rsid w:val="008E5601"/>
    <w:rsid w:val="008E7311"/>
    <w:rsid w:val="008E7F54"/>
    <w:rsid w:val="008F1799"/>
    <w:rsid w:val="008F1912"/>
    <w:rsid w:val="008F51D4"/>
    <w:rsid w:val="009021A0"/>
    <w:rsid w:val="00925F5B"/>
    <w:rsid w:val="00931F77"/>
    <w:rsid w:val="0093383B"/>
    <w:rsid w:val="00936663"/>
    <w:rsid w:val="00937CA3"/>
    <w:rsid w:val="0094465E"/>
    <w:rsid w:val="009454C9"/>
    <w:rsid w:val="009564A6"/>
    <w:rsid w:val="00957DF0"/>
    <w:rsid w:val="00957F2A"/>
    <w:rsid w:val="00963AAB"/>
    <w:rsid w:val="00971B30"/>
    <w:rsid w:val="00981387"/>
    <w:rsid w:val="00986A44"/>
    <w:rsid w:val="00994F50"/>
    <w:rsid w:val="009A280A"/>
    <w:rsid w:val="009A3C9A"/>
    <w:rsid w:val="009A72CC"/>
    <w:rsid w:val="009B25E7"/>
    <w:rsid w:val="009C019C"/>
    <w:rsid w:val="009C0D0B"/>
    <w:rsid w:val="009C554B"/>
    <w:rsid w:val="009C57CC"/>
    <w:rsid w:val="009C6E6D"/>
    <w:rsid w:val="009D698C"/>
    <w:rsid w:val="009D6CF6"/>
    <w:rsid w:val="009E282C"/>
    <w:rsid w:val="009E6C08"/>
    <w:rsid w:val="009F14CC"/>
    <w:rsid w:val="009F4421"/>
    <w:rsid w:val="009F4B2F"/>
    <w:rsid w:val="009F7494"/>
    <w:rsid w:val="00A03D7D"/>
    <w:rsid w:val="00A04033"/>
    <w:rsid w:val="00A04B16"/>
    <w:rsid w:val="00A05ACF"/>
    <w:rsid w:val="00A070A3"/>
    <w:rsid w:val="00A0754B"/>
    <w:rsid w:val="00A13774"/>
    <w:rsid w:val="00A14368"/>
    <w:rsid w:val="00A1684A"/>
    <w:rsid w:val="00A169D6"/>
    <w:rsid w:val="00A210F8"/>
    <w:rsid w:val="00A21DAC"/>
    <w:rsid w:val="00A32B35"/>
    <w:rsid w:val="00A34748"/>
    <w:rsid w:val="00A34A62"/>
    <w:rsid w:val="00A36BCF"/>
    <w:rsid w:val="00A37F15"/>
    <w:rsid w:val="00A43798"/>
    <w:rsid w:val="00A453D3"/>
    <w:rsid w:val="00A50D1E"/>
    <w:rsid w:val="00A5458A"/>
    <w:rsid w:val="00A552A9"/>
    <w:rsid w:val="00A60ACC"/>
    <w:rsid w:val="00A64278"/>
    <w:rsid w:val="00A64541"/>
    <w:rsid w:val="00A71FEF"/>
    <w:rsid w:val="00A7475B"/>
    <w:rsid w:val="00A7598E"/>
    <w:rsid w:val="00A82F8E"/>
    <w:rsid w:val="00A868A1"/>
    <w:rsid w:val="00A92C3D"/>
    <w:rsid w:val="00A9751C"/>
    <w:rsid w:val="00AA25AF"/>
    <w:rsid w:val="00AA4FE4"/>
    <w:rsid w:val="00AA55F4"/>
    <w:rsid w:val="00AA7404"/>
    <w:rsid w:val="00AB0577"/>
    <w:rsid w:val="00AB199F"/>
    <w:rsid w:val="00AB1EF5"/>
    <w:rsid w:val="00AB25B4"/>
    <w:rsid w:val="00AB40AB"/>
    <w:rsid w:val="00AB4AD8"/>
    <w:rsid w:val="00AB7923"/>
    <w:rsid w:val="00AC2B56"/>
    <w:rsid w:val="00AC2D71"/>
    <w:rsid w:val="00AD34FD"/>
    <w:rsid w:val="00AD479B"/>
    <w:rsid w:val="00AD5D4C"/>
    <w:rsid w:val="00AE0039"/>
    <w:rsid w:val="00AE63A9"/>
    <w:rsid w:val="00AF001B"/>
    <w:rsid w:val="00AF4AB5"/>
    <w:rsid w:val="00AF73A4"/>
    <w:rsid w:val="00B02F8C"/>
    <w:rsid w:val="00B04F28"/>
    <w:rsid w:val="00B1280D"/>
    <w:rsid w:val="00B13028"/>
    <w:rsid w:val="00B24E1F"/>
    <w:rsid w:val="00B33FEC"/>
    <w:rsid w:val="00B365DE"/>
    <w:rsid w:val="00B42EA4"/>
    <w:rsid w:val="00B4433B"/>
    <w:rsid w:val="00B53FAE"/>
    <w:rsid w:val="00B54336"/>
    <w:rsid w:val="00B57A19"/>
    <w:rsid w:val="00B62AAE"/>
    <w:rsid w:val="00B6393B"/>
    <w:rsid w:val="00B64A21"/>
    <w:rsid w:val="00B655E3"/>
    <w:rsid w:val="00B66960"/>
    <w:rsid w:val="00B66979"/>
    <w:rsid w:val="00B71097"/>
    <w:rsid w:val="00B73F52"/>
    <w:rsid w:val="00B775C4"/>
    <w:rsid w:val="00B850F4"/>
    <w:rsid w:val="00BA011F"/>
    <w:rsid w:val="00BA12AE"/>
    <w:rsid w:val="00BA4187"/>
    <w:rsid w:val="00BA5F47"/>
    <w:rsid w:val="00BA6334"/>
    <w:rsid w:val="00BA6B33"/>
    <w:rsid w:val="00BB00B2"/>
    <w:rsid w:val="00BB609D"/>
    <w:rsid w:val="00BC0CB3"/>
    <w:rsid w:val="00BC1095"/>
    <w:rsid w:val="00BC45E4"/>
    <w:rsid w:val="00BD1521"/>
    <w:rsid w:val="00BD17A6"/>
    <w:rsid w:val="00BD58A5"/>
    <w:rsid w:val="00BD64BC"/>
    <w:rsid w:val="00BD665E"/>
    <w:rsid w:val="00BD7D8C"/>
    <w:rsid w:val="00BE1AC8"/>
    <w:rsid w:val="00BE22A2"/>
    <w:rsid w:val="00BE4D10"/>
    <w:rsid w:val="00BE7EA5"/>
    <w:rsid w:val="00BF1695"/>
    <w:rsid w:val="00BF425B"/>
    <w:rsid w:val="00C007B8"/>
    <w:rsid w:val="00C06D63"/>
    <w:rsid w:val="00C07269"/>
    <w:rsid w:val="00C11BA9"/>
    <w:rsid w:val="00C11D93"/>
    <w:rsid w:val="00C12754"/>
    <w:rsid w:val="00C161BB"/>
    <w:rsid w:val="00C17631"/>
    <w:rsid w:val="00C217B0"/>
    <w:rsid w:val="00C22428"/>
    <w:rsid w:val="00C27C71"/>
    <w:rsid w:val="00C311E9"/>
    <w:rsid w:val="00C33A20"/>
    <w:rsid w:val="00C35C71"/>
    <w:rsid w:val="00C35CDF"/>
    <w:rsid w:val="00C4066D"/>
    <w:rsid w:val="00C45AFF"/>
    <w:rsid w:val="00C51510"/>
    <w:rsid w:val="00C550F3"/>
    <w:rsid w:val="00C64E7F"/>
    <w:rsid w:val="00C652D8"/>
    <w:rsid w:val="00C71BA3"/>
    <w:rsid w:val="00C74A8C"/>
    <w:rsid w:val="00C773A0"/>
    <w:rsid w:val="00C8495E"/>
    <w:rsid w:val="00C91D00"/>
    <w:rsid w:val="00C9384C"/>
    <w:rsid w:val="00C95593"/>
    <w:rsid w:val="00C96870"/>
    <w:rsid w:val="00C97E55"/>
    <w:rsid w:val="00CB0125"/>
    <w:rsid w:val="00CB1713"/>
    <w:rsid w:val="00CC107C"/>
    <w:rsid w:val="00CC2D81"/>
    <w:rsid w:val="00CD1386"/>
    <w:rsid w:val="00CD7380"/>
    <w:rsid w:val="00CD7E6C"/>
    <w:rsid w:val="00CE0DEA"/>
    <w:rsid w:val="00CE1085"/>
    <w:rsid w:val="00CE5128"/>
    <w:rsid w:val="00CE7C9E"/>
    <w:rsid w:val="00CE7EE8"/>
    <w:rsid w:val="00CF3B29"/>
    <w:rsid w:val="00D0247C"/>
    <w:rsid w:val="00D07A90"/>
    <w:rsid w:val="00D13D6D"/>
    <w:rsid w:val="00D221DE"/>
    <w:rsid w:val="00D25E0F"/>
    <w:rsid w:val="00D25E8C"/>
    <w:rsid w:val="00D263DD"/>
    <w:rsid w:val="00D26A49"/>
    <w:rsid w:val="00D30A5E"/>
    <w:rsid w:val="00D36BE9"/>
    <w:rsid w:val="00D4269D"/>
    <w:rsid w:val="00D43621"/>
    <w:rsid w:val="00D44B0A"/>
    <w:rsid w:val="00D44F8A"/>
    <w:rsid w:val="00D47862"/>
    <w:rsid w:val="00D47E6C"/>
    <w:rsid w:val="00D5284E"/>
    <w:rsid w:val="00D54567"/>
    <w:rsid w:val="00D54A43"/>
    <w:rsid w:val="00D5588C"/>
    <w:rsid w:val="00D55A81"/>
    <w:rsid w:val="00D562A4"/>
    <w:rsid w:val="00D67A2C"/>
    <w:rsid w:val="00D72A1D"/>
    <w:rsid w:val="00D73C9F"/>
    <w:rsid w:val="00D745E5"/>
    <w:rsid w:val="00D76C21"/>
    <w:rsid w:val="00D77720"/>
    <w:rsid w:val="00D859B0"/>
    <w:rsid w:val="00D85BC0"/>
    <w:rsid w:val="00D87CAE"/>
    <w:rsid w:val="00D936C7"/>
    <w:rsid w:val="00D94196"/>
    <w:rsid w:val="00D959E7"/>
    <w:rsid w:val="00DA24A9"/>
    <w:rsid w:val="00DA2577"/>
    <w:rsid w:val="00DA2D36"/>
    <w:rsid w:val="00DA3FF0"/>
    <w:rsid w:val="00DA43C9"/>
    <w:rsid w:val="00DB577B"/>
    <w:rsid w:val="00DC4988"/>
    <w:rsid w:val="00DC4EEF"/>
    <w:rsid w:val="00DC7280"/>
    <w:rsid w:val="00DD0D2A"/>
    <w:rsid w:val="00DD317D"/>
    <w:rsid w:val="00DD5232"/>
    <w:rsid w:val="00DE0C0C"/>
    <w:rsid w:val="00DE2621"/>
    <w:rsid w:val="00DE2E03"/>
    <w:rsid w:val="00DE3B7F"/>
    <w:rsid w:val="00DE68CD"/>
    <w:rsid w:val="00DF323D"/>
    <w:rsid w:val="00E030C3"/>
    <w:rsid w:val="00E049B2"/>
    <w:rsid w:val="00E05F75"/>
    <w:rsid w:val="00E10132"/>
    <w:rsid w:val="00E10C27"/>
    <w:rsid w:val="00E156A7"/>
    <w:rsid w:val="00E2296C"/>
    <w:rsid w:val="00E236B3"/>
    <w:rsid w:val="00E2523F"/>
    <w:rsid w:val="00E26B36"/>
    <w:rsid w:val="00E312BB"/>
    <w:rsid w:val="00E3726D"/>
    <w:rsid w:val="00E379A5"/>
    <w:rsid w:val="00E401D5"/>
    <w:rsid w:val="00E4094B"/>
    <w:rsid w:val="00E64245"/>
    <w:rsid w:val="00E66272"/>
    <w:rsid w:val="00E71316"/>
    <w:rsid w:val="00E72527"/>
    <w:rsid w:val="00E737A4"/>
    <w:rsid w:val="00E7524D"/>
    <w:rsid w:val="00E76004"/>
    <w:rsid w:val="00E77713"/>
    <w:rsid w:val="00E83665"/>
    <w:rsid w:val="00E85EF1"/>
    <w:rsid w:val="00E86D76"/>
    <w:rsid w:val="00E87246"/>
    <w:rsid w:val="00E91985"/>
    <w:rsid w:val="00E93D36"/>
    <w:rsid w:val="00E9484C"/>
    <w:rsid w:val="00EA14B0"/>
    <w:rsid w:val="00EA1B1E"/>
    <w:rsid w:val="00EA2C70"/>
    <w:rsid w:val="00EA7883"/>
    <w:rsid w:val="00EB1E68"/>
    <w:rsid w:val="00EB6A06"/>
    <w:rsid w:val="00EB7017"/>
    <w:rsid w:val="00EC0649"/>
    <w:rsid w:val="00EC396A"/>
    <w:rsid w:val="00EC5006"/>
    <w:rsid w:val="00ED3767"/>
    <w:rsid w:val="00EF7134"/>
    <w:rsid w:val="00EF7AE4"/>
    <w:rsid w:val="00F0017A"/>
    <w:rsid w:val="00F00AD2"/>
    <w:rsid w:val="00F03F23"/>
    <w:rsid w:val="00F11211"/>
    <w:rsid w:val="00F13A03"/>
    <w:rsid w:val="00F15648"/>
    <w:rsid w:val="00F16031"/>
    <w:rsid w:val="00F1619E"/>
    <w:rsid w:val="00F21611"/>
    <w:rsid w:val="00F26F13"/>
    <w:rsid w:val="00F3062A"/>
    <w:rsid w:val="00F308FD"/>
    <w:rsid w:val="00F422F5"/>
    <w:rsid w:val="00F42880"/>
    <w:rsid w:val="00F44F6B"/>
    <w:rsid w:val="00F465EE"/>
    <w:rsid w:val="00F5775B"/>
    <w:rsid w:val="00F61F57"/>
    <w:rsid w:val="00F62DA1"/>
    <w:rsid w:val="00F62E3C"/>
    <w:rsid w:val="00F73205"/>
    <w:rsid w:val="00F7472D"/>
    <w:rsid w:val="00F75016"/>
    <w:rsid w:val="00F8017F"/>
    <w:rsid w:val="00F843E8"/>
    <w:rsid w:val="00F86911"/>
    <w:rsid w:val="00F87560"/>
    <w:rsid w:val="00F92302"/>
    <w:rsid w:val="00F930A5"/>
    <w:rsid w:val="00F94940"/>
    <w:rsid w:val="00F957F8"/>
    <w:rsid w:val="00F96067"/>
    <w:rsid w:val="00FA1C89"/>
    <w:rsid w:val="00FA3A62"/>
    <w:rsid w:val="00FA6C9C"/>
    <w:rsid w:val="00FB025C"/>
    <w:rsid w:val="00FB61F5"/>
    <w:rsid w:val="00FB67FD"/>
    <w:rsid w:val="00FB733C"/>
    <w:rsid w:val="00FC2076"/>
    <w:rsid w:val="00FC364C"/>
    <w:rsid w:val="00FC5123"/>
    <w:rsid w:val="00FD2B40"/>
    <w:rsid w:val="00FD45CD"/>
    <w:rsid w:val="00FD6310"/>
    <w:rsid w:val="00FE235E"/>
    <w:rsid w:val="00FE693E"/>
    <w:rsid w:val="00FE75A7"/>
    <w:rsid w:val="00FF0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A72CC"/>
  </w:style>
  <w:style w:type="paragraph" w:styleId="berschrift1">
    <w:name w:val="heading 1"/>
    <w:basedOn w:val="Standard"/>
    <w:next w:val="Standard"/>
    <w:uiPriority w:val="9"/>
    <w:qFormat/>
    <w:pPr>
      <w:keepNext/>
      <w:spacing w:before="240" w:after="60"/>
      <w:outlineLvl w:val="0"/>
    </w:pPr>
    <w:rPr>
      <w:b/>
      <w:sz w:val="28"/>
      <w:szCs w:val="28"/>
    </w:rPr>
  </w:style>
  <w:style w:type="paragraph" w:styleId="berschrift2">
    <w:name w:val="heading 2"/>
    <w:basedOn w:val="Standard"/>
    <w:next w:val="Standard"/>
    <w:uiPriority w:val="9"/>
    <w:semiHidden/>
    <w:unhideWhenUsed/>
    <w:qFormat/>
    <w:pPr>
      <w:keepNext/>
      <w:outlineLvl w:val="1"/>
    </w:pPr>
    <w:rPr>
      <w:b/>
    </w:rPr>
  </w:style>
  <w:style w:type="paragraph" w:styleId="berschrift3">
    <w:name w:val="heading 3"/>
    <w:basedOn w:val="Standard"/>
    <w:next w:val="Standard"/>
    <w:uiPriority w:val="9"/>
    <w:semiHidden/>
    <w:unhideWhenUsed/>
    <w:qFormat/>
    <w:pPr>
      <w:keepNext/>
      <w:keepLines/>
      <w:spacing w:before="200"/>
      <w:outlineLvl w:val="2"/>
    </w:pPr>
    <w:rPr>
      <w:rFonts w:ascii="Cambria" w:eastAsia="Cambria" w:hAnsi="Cambria" w:cs="Cambria"/>
      <w:b/>
      <w:color w:val="4F81BD"/>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bsatz-Standardschriftart"/>
    <w:uiPriority w:val="99"/>
    <w:unhideWhenUsed/>
    <w:rsid w:val="00EB1E68"/>
    <w:rPr>
      <w:color w:val="0000FF" w:themeColor="hyperlink"/>
      <w:u w:val="single"/>
    </w:rPr>
  </w:style>
  <w:style w:type="character" w:customStyle="1" w:styleId="NichtaufgelsteErwhnung1">
    <w:name w:val="Nicht aufgelöste Erwähnung1"/>
    <w:basedOn w:val="Absatz-Standardschriftart"/>
    <w:uiPriority w:val="99"/>
    <w:semiHidden/>
    <w:unhideWhenUsed/>
    <w:rsid w:val="00EB1E68"/>
    <w:rPr>
      <w:color w:val="605E5C"/>
      <w:shd w:val="clear" w:color="auto" w:fill="E1DFDD"/>
    </w:rPr>
  </w:style>
  <w:style w:type="paragraph" w:styleId="Fuzeile">
    <w:name w:val="footer"/>
    <w:basedOn w:val="Standard"/>
    <w:link w:val="FuzeileZchn"/>
    <w:uiPriority w:val="99"/>
    <w:unhideWhenUsed/>
    <w:rsid w:val="00C11D93"/>
    <w:pPr>
      <w:tabs>
        <w:tab w:val="center" w:pos="4680"/>
        <w:tab w:val="right" w:pos="9360"/>
      </w:tabs>
    </w:pPr>
  </w:style>
  <w:style w:type="character" w:customStyle="1" w:styleId="FuzeileZchn">
    <w:name w:val="Fußzeile Zchn"/>
    <w:basedOn w:val="Absatz-Standardschriftart"/>
    <w:link w:val="Fuzeile"/>
    <w:uiPriority w:val="99"/>
    <w:rsid w:val="00C11D93"/>
  </w:style>
  <w:style w:type="paragraph" w:styleId="berarbeitung">
    <w:name w:val="Revision"/>
    <w:hidden/>
    <w:uiPriority w:val="99"/>
    <w:semiHidden/>
    <w:rsid w:val="000B41B6"/>
    <w:pPr>
      <w:widowControl/>
      <w:jc w:val="left"/>
    </w:pPr>
  </w:style>
  <w:style w:type="paragraph" w:styleId="Listenabsatz">
    <w:name w:val="List Paragraph"/>
    <w:basedOn w:val="Standard"/>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BesuchterLink">
    <w:name w:val="FollowedHyperlink"/>
    <w:basedOn w:val="Absatz-Standardschriftart"/>
    <w:uiPriority w:val="99"/>
    <w:semiHidden/>
    <w:unhideWhenUsed/>
    <w:rsid w:val="006755EE"/>
    <w:rPr>
      <w:color w:val="800080" w:themeColor="followedHyperlink"/>
      <w:u w:val="single"/>
    </w:rPr>
  </w:style>
  <w:style w:type="character" w:styleId="Zeilennummer">
    <w:name w:val="line number"/>
    <w:basedOn w:val="Absatz-Standardschriftart"/>
    <w:uiPriority w:val="99"/>
    <w:semiHidden/>
    <w:unhideWhenUsed/>
    <w:rsid w:val="00147CBA"/>
  </w:style>
  <w:style w:type="character" w:styleId="Kommentarzeichen">
    <w:name w:val="annotation reference"/>
    <w:basedOn w:val="Absatz-Standardschriftart"/>
    <w:uiPriority w:val="99"/>
    <w:semiHidden/>
    <w:unhideWhenUsed/>
    <w:rsid w:val="008B2D50"/>
    <w:rPr>
      <w:sz w:val="16"/>
      <w:szCs w:val="16"/>
    </w:rPr>
  </w:style>
  <w:style w:type="paragraph" w:styleId="Kommentartext">
    <w:name w:val="annotation text"/>
    <w:basedOn w:val="Standard"/>
    <w:link w:val="KommentartextZchn"/>
    <w:uiPriority w:val="99"/>
    <w:unhideWhenUsed/>
    <w:rsid w:val="008B2D50"/>
    <w:rPr>
      <w:sz w:val="20"/>
      <w:szCs w:val="20"/>
    </w:rPr>
  </w:style>
  <w:style w:type="character" w:customStyle="1" w:styleId="KommentartextZchn">
    <w:name w:val="Kommentartext Zchn"/>
    <w:basedOn w:val="Absatz-Standardschriftart"/>
    <w:link w:val="Kommentartext"/>
    <w:uiPriority w:val="99"/>
    <w:rsid w:val="008B2D50"/>
    <w:rPr>
      <w:sz w:val="20"/>
      <w:szCs w:val="20"/>
    </w:rPr>
  </w:style>
  <w:style w:type="paragraph" w:styleId="Kommentarthema">
    <w:name w:val="annotation subject"/>
    <w:basedOn w:val="Kommentartext"/>
    <w:next w:val="Kommentartext"/>
    <w:link w:val="KommentarthemaZchn"/>
    <w:uiPriority w:val="99"/>
    <w:semiHidden/>
    <w:unhideWhenUsed/>
    <w:rsid w:val="008B2D50"/>
    <w:rPr>
      <w:b/>
      <w:bCs/>
    </w:rPr>
  </w:style>
  <w:style w:type="character" w:customStyle="1" w:styleId="KommentarthemaZchn">
    <w:name w:val="Kommentarthema Zchn"/>
    <w:basedOn w:val="KommentartextZchn"/>
    <w:link w:val="Kommentarthema"/>
    <w:uiPriority w:val="99"/>
    <w:semiHidden/>
    <w:rsid w:val="008B2D50"/>
    <w:rPr>
      <w:b/>
      <w:bCs/>
      <w:sz w:val="20"/>
      <w:szCs w:val="20"/>
    </w:rPr>
  </w:style>
  <w:style w:type="paragraph" w:styleId="StandardWeb">
    <w:name w:val="Normal (Web)"/>
    <w:basedOn w:val="Standard"/>
    <w:link w:val="StandardWebZchn"/>
    <w:uiPriority w:val="99"/>
    <w:unhideWhenUsed/>
    <w:rsid w:val="00D67A2C"/>
    <w:pPr>
      <w:widowControl/>
      <w:spacing w:before="100" w:beforeAutospacing="1" w:after="100" w:afterAutospacing="1"/>
      <w:jc w:val="left"/>
    </w:pPr>
    <w:rPr>
      <w:rFonts w:ascii="Times New Roman" w:eastAsia="Times New Roman" w:hAnsi="Times New Roman" w:cs="Times New Roman"/>
      <w:lang w:val="de-AT" w:eastAsia="de-DE"/>
    </w:rPr>
  </w:style>
  <w:style w:type="character" w:styleId="Fett">
    <w:name w:val="Strong"/>
    <w:basedOn w:val="Absatz-Standardschriftart"/>
    <w:uiPriority w:val="22"/>
    <w:qFormat/>
    <w:rsid w:val="00D67A2C"/>
    <w:rPr>
      <w:b/>
      <w:bCs/>
    </w:rPr>
  </w:style>
  <w:style w:type="character" w:customStyle="1" w:styleId="apple-converted-space">
    <w:name w:val="apple-converted-space"/>
    <w:basedOn w:val="Absatz-Standardschriftart"/>
    <w:rsid w:val="00D30A5E"/>
  </w:style>
  <w:style w:type="character" w:styleId="NichtaufgelsteErwhnung">
    <w:name w:val="Unresolved Mention"/>
    <w:basedOn w:val="Absatz-Standardschriftart"/>
    <w:uiPriority w:val="99"/>
    <w:semiHidden/>
    <w:unhideWhenUsed/>
    <w:rsid w:val="000C07A9"/>
    <w:rPr>
      <w:color w:val="605E5C"/>
      <w:shd w:val="clear" w:color="auto" w:fill="E1DFDD"/>
    </w:rPr>
  </w:style>
  <w:style w:type="paragraph" w:styleId="Literaturverzeichnis">
    <w:name w:val="Bibliography"/>
    <w:basedOn w:val="Standard"/>
    <w:next w:val="Standard"/>
    <w:uiPriority w:val="37"/>
    <w:unhideWhenUsed/>
    <w:rsid w:val="004361C0"/>
    <w:pPr>
      <w:tabs>
        <w:tab w:val="left" w:pos="380"/>
        <w:tab w:val="left" w:pos="500"/>
      </w:tabs>
      <w:ind w:left="504" w:hanging="504"/>
    </w:pPr>
  </w:style>
  <w:style w:type="paragraph" w:customStyle="1" w:styleId="EndNoteBibliographyTitle">
    <w:name w:val="EndNote Bibliography Title"/>
    <w:basedOn w:val="Standard"/>
    <w:link w:val="EndNoteBibliographyTitleZchn"/>
    <w:rsid w:val="00EF7AE4"/>
    <w:pPr>
      <w:jc w:val="center"/>
    </w:pPr>
    <w:rPr>
      <w:noProof/>
    </w:rPr>
  </w:style>
  <w:style w:type="character" w:customStyle="1" w:styleId="StandardWebZchn">
    <w:name w:val="Standard (Web) Zchn"/>
    <w:basedOn w:val="Absatz-Standardschriftart"/>
    <w:link w:val="StandardWeb"/>
    <w:uiPriority w:val="99"/>
    <w:rsid w:val="00EF7AE4"/>
    <w:rPr>
      <w:rFonts w:ascii="Times New Roman" w:eastAsia="Times New Roman" w:hAnsi="Times New Roman" w:cs="Times New Roman"/>
      <w:lang w:val="de-AT" w:eastAsia="de-DE"/>
    </w:rPr>
  </w:style>
  <w:style w:type="character" w:customStyle="1" w:styleId="EndNoteBibliographyTitleZchn">
    <w:name w:val="EndNote Bibliography Title Zchn"/>
    <w:basedOn w:val="StandardWebZchn"/>
    <w:link w:val="EndNoteBibliographyTitle"/>
    <w:rsid w:val="00EF7AE4"/>
    <w:rPr>
      <w:rFonts w:ascii="Times New Roman" w:eastAsia="Times New Roman" w:hAnsi="Times New Roman" w:cs="Times New Roman"/>
      <w:noProof/>
      <w:lang w:val="de-AT" w:eastAsia="de-DE"/>
    </w:rPr>
  </w:style>
  <w:style w:type="paragraph" w:customStyle="1" w:styleId="EndNoteBibliography">
    <w:name w:val="EndNote Bibliography"/>
    <w:basedOn w:val="Standard"/>
    <w:link w:val="EndNoteBibliographyZchn"/>
    <w:rsid w:val="00EF7AE4"/>
    <w:rPr>
      <w:noProof/>
    </w:rPr>
  </w:style>
  <w:style w:type="character" w:customStyle="1" w:styleId="EndNoteBibliographyZchn">
    <w:name w:val="EndNote Bibliography Zchn"/>
    <w:basedOn w:val="StandardWebZchn"/>
    <w:link w:val="EndNoteBibliography"/>
    <w:rsid w:val="00EF7AE4"/>
    <w:rPr>
      <w:rFonts w:ascii="Times New Roman" w:eastAsia="Times New Roman" w:hAnsi="Times New Roman" w:cs="Times New Roman"/>
      <w:noProof/>
      <w:lang w:val="de-AT" w:eastAsia="de-DE"/>
    </w:rPr>
  </w:style>
  <w:style w:type="paragraph" w:styleId="Kopfzeile">
    <w:name w:val="header"/>
    <w:basedOn w:val="Standard"/>
    <w:link w:val="KopfzeileZchn"/>
    <w:uiPriority w:val="99"/>
    <w:unhideWhenUsed/>
    <w:rsid w:val="001F45AE"/>
    <w:pPr>
      <w:tabs>
        <w:tab w:val="center" w:pos="4513"/>
        <w:tab w:val="right" w:pos="9026"/>
      </w:tabs>
    </w:pPr>
  </w:style>
  <w:style w:type="character" w:customStyle="1" w:styleId="KopfzeileZchn">
    <w:name w:val="Kopfzeile Zchn"/>
    <w:basedOn w:val="Absatz-Standardschriftart"/>
    <w:link w:val="Kopfzeile"/>
    <w:uiPriority w:val="99"/>
    <w:rsid w:val="001F4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0fa7db-8fc9-492f-b81f-90b5d74d7403" xsi:nil="true"/>
    <lcf76f155ced4ddcb4097134ff3c332f xmlns="43abcf5d-fe93-4017-9941-4126c6e3a28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4DE6D93EA1FFD48B86A059DA6981803" ma:contentTypeVersion="11" ma:contentTypeDescription="Ein neues Dokument erstellen." ma:contentTypeScope="" ma:versionID="e23de9ea3f64f8adbed358a40903a223">
  <xsd:schema xmlns:xsd="http://www.w3.org/2001/XMLSchema" xmlns:xs="http://www.w3.org/2001/XMLSchema" xmlns:p="http://schemas.microsoft.com/office/2006/metadata/properties" xmlns:ns2="43abcf5d-fe93-4017-9941-4126c6e3a28d" xmlns:ns3="0f0fa7db-8fc9-492f-b81f-90b5d74d7403" targetNamespace="http://schemas.microsoft.com/office/2006/metadata/properties" ma:root="true" ma:fieldsID="755bec3a149afb5de85315595394075d" ns2:_="" ns3:_="">
    <xsd:import namespace="43abcf5d-fe93-4017-9941-4126c6e3a28d"/>
    <xsd:import namespace="0f0fa7db-8fc9-492f-b81f-90b5d74d74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bcf5d-fe93-4017-9941-4126c6e3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44d4688-6d17-4fc0-a6e6-9517682432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fa7db-8fc9-492f-b81f-90b5d74d74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c6da79d-e3f7-4791-bd89-663a8e28f108}" ma:internalName="TaxCatchAll" ma:showField="CatchAllData" ma:web="0f0fa7db-8fc9-492f-b81f-90b5d74d74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575D4B-EBAC-8B49-8E34-15900961B5E7}">
  <ds:schemaRefs>
    <ds:schemaRef ds:uri="http://schemas.openxmlformats.org/officeDocument/2006/bibliography"/>
  </ds:schemaRefs>
</ds:datastoreItem>
</file>

<file path=customXml/itemProps2.xml><?xml version="1.0" encoding="utf-8"?>
<ds:datastoreItem xmlns:ds="http://schemas.openxmlformats.org/officeDocument/2006/customXml" ds:itemID="{B5729826-7385-4632-AA5E-D1A0B2D67024}">
  <ds:schemaRefs>
    <ds:schemaRef ds:uri="http://schemas.microsoft.com/sharepoint/v3/contenttype/forms"/>
  </ds:schemaRefs>
</ds:datastoreItem>
</file>

<file path=customXml/itemProps3.xml><?xml version="1.0" encoding="utf-8"?>
<ds:datastoreItem xmlns:ds="http://schemas.openxmlformats.org/officeDocument/2006/customXml" ds:itemID="{9D8B8708-EB07-4C8A-BB53-925A397682DE}">
  <ds:schemaRefs>
    <ds:schemaRef ds:uri="http://schemas.microsoft.com/office/2006/metadata/properties"/>
    <ds:schemaRef ds:uri="http://schemas.microsoft.com/office/infopath/2007/PartnerControls"/>
    <ds:schemaRef ds:uri="0f0fa7db-8fc9-492f-b81f-90b5d74d7403"/>
    <ds:schemaRef ds:uri="43abcf5d-fe93-4017-9941-4126c6e3a28d"/>
  </ds:schemaRefs>
</ds:datastoreItem>
</file>

<file path=customXml/itemProps4.xml><?xml version="1.0" encoding="utf-8"?>
<ds:datastoreItem xmlns:ds="http://schemas.openxmlformats.org/officeDocument/2006/customXml" ds:itemID="{C6F507E4-7811-4A37-97A9-D9415DCC3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bcf5d-fe93-4017-9941-4126c6e3a28d"/>
    <ds:schemaRef ds:uri="0f0fa7db-8fc9-492f-b81f-90b5d74d7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5809</Words>
  <Characters>36597</Characters>
  <Application>Microsoft Office Word</Application>
  <DocSecurity>0</DocSecurity>
  <Lines>304</Lines>
  <Paragraphs>84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2026-07-22T08:54:00Z</dcterms:created>
  <dcterms:modified xsi:type="dcterms:W3CDTF">2026-07-22T08:54:00Z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26b6390e-6e73-46df-9630-8076fbe56ef8</vt:lpwstr>
  </property>
</Properties>
</file>