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9241B" w14:textId="5CA0C430" w:rsidR="006E4797" w:rsidRPr="00C82009" w:rsidRDefault="008F595A" w:rsidP="00444965">
      <w:pPr>
        <w:pBdr>
          <w:top w:val="nil"/>
          <w:left w:val="nil"/>
          <w:bottom w:val="nil"/>
          <w:right w:val="nil"/>
          <w:between w:val="nil"/>
        </w:pBdr>
        <w:rPr>
          <w:color w:val="000000"/>
        </w:rPr>
      </w:pPr>
      <w:r w:rsidRPr="00C82009">
        <w:rPr>
          <w:b/>
          <w:color w:val="000000"/>
        </w:rPr>
        <w:t>TITLE:</w:t>
      </w:r>
      <w:r w:rsidRPr="00C82009">
        <w:rPr>
          <w:color w:val="000000"/>
        </w:rPr>
        <w:t xml:space="preserve"> </w:t>
      </w:r>
    </w:p>
    <w:p w14:paraId="075BFB4E" w14:textId="7BA7299F" w:rsidR="008337A1" w:rsidRPr="00C82009" w:rsidRDefault="008F595A" w:rsidP="00444965">
      <w:r w:rsidRPr="00C82009">
        <w:t>Whole</w:t>
      </w:r>
      <w:r w:rsidR="006439A8" w:rsidRPr="00C82009">
        <w:t xml:space="preserve">-Mount Dissection </w:t>
      </w:r>
      <w:r w:rsidR="00B502EF">
        <w:t>o</w:t>
      </w:r>
      <w:r w:rsidR="006439A8" w:rsidRPr="00C82009">
        <w:t xml:space="preserve">f </w:t>
      </w:r>
      <w:r w:rsidR="00B502EF">
        <w:t>t</w:t>
      </w:r>
      <w:r w:rsidR="006439A8" w:rsidRPr="00C82009">
        <w:t xml:space="preserve">he Vestibular Complex </w:t>
      </w:r>
      <w:r w:rsidR="00B502EF">
        <w:t>and</w:t>
      </w:r>
      <w:r w:rsidR="006439A8" w:rsidRPr="00C82009">
        <w:t xml:space="preserve"> Qua</w:t>
      </w:r>
      <w:r w:rsidR="00A8590D">
        <w:t>nti</w:t>
      </w:r>
      <w:r w:rsidR="006439A8" w:rsidRPr="00C82009">
        <w:t xml:space="preserve">fication </w:t>
      </w:r>
      <w:r w:rsidR="00B502EF">
        <w:t>o</w:t>
      </w:r>
      <w:r w:rsidR="006439A8" w:rsidRPr="00C82009">
        <w:t xml:space="preserve">f Vestibular Ganglion Neurons </w:t>
      </w:r>
      <w:r w:rsidR="00B502EF">
        <w:t>i</w:t>
      </w:r>
      <w:r w:rsidR="006439A8" w:rsidRPr="00C82009">
        <w:t>n Mice</w:t>
      </w:r>
    </w:p>
    <w:p w14:paraId="06C0C87E" w14:textId="77777777" w:rsidR="006E4797" w:rsidRPr="00C82009" w:rsidRDefault="006E4797" w:rsidP="00444965">
      <w:pPr>
        <w:rPr>
          <w:b/>
        </w:rPr>
      </w:pPr>
    </w:p>
    <w:p w14:paraId="2CD8481E" w14:textId="0BC3B034" w:rsidR="006E4797" w:rsidRPr="00C82009" w:rsidRDefault="008F595A" w:rsidP="00444965">
      <w:pPr>
        <w:rPr>
          <w:color w:val="808080"/>
        </w:rPr>
      </w:pPr>
      <w:r w:rsidRPr="00C82009">
        <w:rPr>
          <w:b/>
        </w:rPr>
        <w:t>AUTHORS AND AFFILIATIONS:</w:t>
      </w:r>
    </w:p>
    <w:p w14:paraId="1578CFBB" w14:textId="0B94D931" w:rsidR="008337A1" w:rsidRPr="00C82009" w:rsidRDefault="008F595A" w:rsidP="00444965">
      <w:pPr>
        <w:rPr>
          <w:vertAlign w:val="superscript"/>
        </w:rPr>
      </w:pPr>
      <w:r w:rsidRPr="00C82009">
        <w:t>Deborah O’Bryan</w:t>
      </w:r>
      <w:r w:rsidRPr="00C82009">
        <w:rPr>
          <w:vertAlign w:val="superscript"/>
        </w:rPr>
        <w:t>1</w:t>
      </w:r>
      <w:r w:rsidRPr="00C82009">
        <w:t xml:space="preserve"> and Brandon C. Cox</w:t>
      </w:r>
      <w:r w:rsidRPr="00C82009">
        <w:rPr>
          <w:vertAlign w:val="superscript"/>
        </w:rPr>
        <w:t>2*</w:t>
      </w:r>
    </w:p>
    <w:p w14:paraId="69B68EE9" w14:textId="77777777" w:rsidR="006439A8" w:rsidRPr="00C82009" w:rsidRDefault="006439A8" w:rsidP="00444965">
      <w:pPr>
        <w:rPr>
          <w:vertAlign w:val="superscript"/>
        </w:rPr>
      </w:pPr>
    </w:p>
    <w:p w14:paraId="4C839D83" w14:textId="36A89600" w:rsidR="006439A8" w:rsidRPr="00C82009" w:rsidRDefault="008F595A" w:rsidP="00444965">
      <w:pPr>
        <w:rPr>
          <w:color w:val="000000"/>
        </w:rPr>
      </w:pPr>
      <w:r w:rsidRPr="00C82009">
        <w:rPr>
          <w:color w:val="000000"/>
          <w:vertAlign w:val="superscript"/>
        </w:rPr>
        <w:t>1</w:t>
      </w:r>
      <w:r w:rsidRPr="00C82009">
        <w:rPr>
          <w:color w:val="000000"/>
        </w:rPr>
        <w:t>Department of Pharmacology, Southern Illinois University School of Medicine, Springfield, IL 627</w:t>
      </w:r>
      <w:r w:rsidR="00B502EF">
        <w:rPr>
          <w:color w:val="000000"/>
        </w:rPr>
        <w:t>94</w:t>
      </w:r>
      <w:r w:rsidRPr="00C82009">
        <w:rPr>
          <w:color w:val="000000"/>
        </w:rPr>
        <w:t>.</w:t>
      </w:r>
    </w:p>
    <w:p w14:paraId="490C635A" w14:textId="284F6C93" w:rsidR="006439A8" w:rsidRPr="00C82009" w:rsidRDefault="008F595A" w:rsidP="00444965">
      <w:pPr>
        <w:rPr>
          <w:color w:val="000000"/>
        </w:rPr>
      </w:pPr>
      <w:r w:rsidRPr="00C82009">
        <w:rPr>
          <w:color w:val="000000"/>
          <w:vertAlign w:val="superscript"/>
        </w:rPr>
        <w:t>2</w:t>
      </w:r>
      <w:r w:rsidRPr="00C82009">
        <w:rPr>
          <w:color w:val="000000"/>
        </w:rPr>
        <w:t>Departments of Pharmacology and Otolaryngology, Southern Illinois University School of Medicine, Springfield, IL 62711.</w:t>
      </w:r>
    </w:p>
    <w:p w14:paraId="7C066F83" w14:textId="77777777" w:rsidR="006439A8" w:rsidRPr="00C82009" w:rsidRDefault="006439A8" w:rsidP="00444965"/>
    <w:p w14:paraId="41B51A5C" w14:textId="749C3480" w:rsidR="006439A8" w:rsidRPr="00C82009" w:rsidRDefault="008F595A" w:rsidP="00444965">
      <w:pPr>
        <w:rPr>
          <w:b/>
          <w:bCs/>
        </w:rPr>
      </w:pPr>
      <w:r w:rsidRPr="00C82009">
        <w:rPr>
          <w:b/>
          <w:bCs/>
        </w:rPr>
        <w:t>Email address of the co-author:</w:t>
      </w:r>
    </w:p>
    <w:p w14:paraId="06A45B9F" w14:textId="13F97CFA" w:rsidR="006439A8" w:rsidRPr="00C82009" w:rsidRDefault="008F595A" w:rsidP="00444965">
      <w:pPr>
        <w:rPr>
          <w:color w:val="000000"/>
        </w:rPr>
      </w:pPr>
      <w:r w:rsidRPr="00C82009">
        <w:t>Deborah O’Bryan</w:t>
      </w:r>
      <w:r w:rsidRPr="00C82009">
        <w:tab/>
      </w:r>
      <w:r w:rsidRPr="00C82009">
        <w:tab/>
        <w:t>(</w:t>
      </w:r>
      <w:hyperlink r:id="rId8" w:history="1">
        <w:r w:rsidRPr="00C82009">
          <w:rPr>
            <w:rStyle w:val="Hyperlink"/>
          </w:rPr>
          <w:t>dobryan95@siumed.edu</w:t>
        </w:r>
      </w:hyperlink>
      <w:r w:rsidRPr="00C82009">
        <w:t>)</w:t>
      </w:r>
    </w:p>
    <w:p w14:paraId="6AFBF0E5" w14:textId="2FDB65B7" w:rsidR="006439A8" w:rsidRPr="00C82009" w:rsidRDefault="006439A8" w:rsidP="00444965">
      <w:pPr>
        <w:rPr>
          <w:color w:val="000000"/>
        </w:rPr>
      </w:pPr>
    </w:p>
    <w:p w14:paraId="5109877E" w14:textId="064D5FDC" w:rsidR="008337A1" w:rsidRPr="00C82009" w:rsidRDefault="008F595A" w:rsidP="00444965">
      <w:pPr>
        <w:rPr>
          <w:b/>
          <w:bCs/>
        </w:rPr>
      </w:pPr>
      <w:r w:rsidRPr="00C82009">
        <w:rPr>
          <w:b/>
          <w:bCs/>
        </w:rPr>
        <w:t>*</w:t>
      </w:r>
      <w:r w:rsidR="006439A8" w:rsidRPr="00C82009">
        <w:rPr>
          <w:b/>
          <w:bCs/>
        </w:rPr>
        <w:t>CORRESPONDING AUTHOR:</w:t>
      </w:r>
    </w:p>
    <w:p w14:paraId="7D9A821F" w14:textId="2D953B41" w:rsidR="006439A8" w:rsidRPr="00C82009" w:rsidRDefault="008F595A" w:rsidP="00444965">
      <w:r w:rsidRPr="00C82009">
        <w:t>Brandon C. Cox</w:t>
      </w:r>
      <w:r w:rsidRPr="00C82009">
        <w:tab/>
      </w:r>
      <w:r w:rsidRPr="00C82009">
        <w:tab/>
        <w:t>(</w:t>
      </w:r>
      <w:hyperlink r:id="rId9" w:history="1">
        <w:r w:rsidRPr="00C82009">
          <w:rPr>
            <w:rStyle w:val="Hyperlink"/>
          </w:rPr>
          <w:t>bcox@siumed.edu</w:t>
        </w:r>
      </w:hyperlink>
      <w:r w:rsidRPr="00C82009">
        <w:t>)</w:t>
      </w:r>
    </w:p>
    <w:p w14:paraId="141ABDE5" w14:textId="77777777" w:rsidR="006E4797" w:rsidRPr="00C82009" w:rsidRDefault="006E4797" w:rsidP="00444965">
      <w:pPr>
        <w:pBdr>
          <w:top w:val="nil"/>
          <w:left w:val="nil"/>
          <w:bottom w:val="nil"/>
          <w:right w:val="nil"/>
          <w:between w:val="nil"/>
        </w:pBdr>
        <w:rPr>
          <w:color w:val="000000"/>
        </w:rPr>
      </w:pPr>
    </w:p>
    <w:p w14:paraId="60F3B8D4" w14:textId="41CA44D2" w:rsidR="006E4797" w:rsidRPr="00C82009" w:rsidRDefault="008F595A" w:rsidP="00444965">
      <w:r w:rsidRPr="00C82009">
        <w:rPr>
          <w:b/>
        </w:rPr>
        <w:t>SUMMARY:</w:t>
      </w:r>
      <w:r w:rsidRPr="00C82009">
        <w:t xml:space="preserve"> </w:t>
      </w:r>
    </w:p>
    <w:p w14:paraId="01069787" w14:textId="486132B6" w:rsidR="006E4797" w:rsidRPr="00C82009" w:rsidRDefault="008F595A" w:rsidP="00444965">
      <w:r w:rsidRPr="00C82009">
        <w:t>We present a new dissection method to extract the vestibular ganglion and all</w:t>
      </w:r>
      <w:r w:rsidR="0004730F" w:rsidRPr="00C82009">
        <w:t xml:space="preserve"> five</w:t>
      </w:r>
      <w:r w:rsidRPr="00C82009">
        <w:t xml:space="preserve"> vestibular organs (utricle, saccule</w:t>
      </w:r>
      <w:r w:rsidR="00A8590D">
        <w:t>, and three cristae: lateral/horizontal, anterior,</w:t>
      </w:r>
      <w:r w:rsidRPr="00C82009">
        <w:t xml:space="preserve"> and posterior) as one </w:t>
      </w:r>
      <w:r w:rsidR="0004730F" w:rsidRPr="00C82009">
        <w:t xml:space="preserve">whole-mount vestibular </w:t>
      </w:r>
      <w:r w:rsidRPr="00C82009">
        <w:t xml:space="preserve">complex. Confocal imaging allows visualization of vestibular neuron cell bodies for quantification, as well as neuronal projections to the sensory epithelia. </w:t>
      </w:r>
    </w:p>
    <w:p w14:paraId="74EFC8D7" w14:textId="77777777" w:rsidR="006E4797" w:rsidRPr="00C82009" w:rsidRDefault="006E4797" w:rsidP="00444965"/>
    <w:p w14:paraId="2DF8E628" w14:textId="1CF7102A" w:rsidR="006E4797" w:rsidRPr="00C82009" w:rsidRDefault="008F595A" w:rsidP="00444965">
      <w:pPr>
        <w:rPr>
          <w:color w:val="808080"/>
        </w:rPr>
      </w:pPr>
      <w:r w:rsidRPr="00C82009">
        <w:rPr>
          <w:b/>
        </w:rPr>
        <w:t>ABSTRACT:</w:t>
      </w:r>
    </w:p>
    <w:p w14:paraId="0840AF88" w14:textId="799463CC" w:rsidR="008337A1" w:rsidRPr="00C82009" w:rsidRDefault="008F595A" w:rsidP="00444965">
      <w:r w:rsidRPr="00C82009">
        <w:t xml:space="preserve">The vestibular system is crucial for our sense of balance, </w:t>
      </w:r>
      <w:r w:rsidR="007D18DE">
        <w:t xml:space="preserve">for detecting head movements, and for </w:t>
      </w:r>
      <w:r w:rsidRPr="00C82009">
        <w:t>regulating gaze and posture. There are five vestibular organs located inside the temporal bone, including two otolith organs (utricle and saccule)</w:t>
      </w:r>
      <w:r w:rsidR="00A8590D">
        <w:t>, which detect linear movement, and three cristae (lateral/horizontal, anterior, and posterior),</w:t>
      </w:r>
      <w:r w:rsidRPr="00C82009">
        <w:t xml:space="preserve"> which detect rotational movement. Each organ contains a sensory epithelium with hair cells that detect head movements and supporting cells that </w:t>
      </w:r>
      <w:r w:rsidR="00A25106" w:rsidRPr="00C82009">
        <w:t>provide</w:t>
      </w:r>
      <w:r w:rsidR="00A01792" w:rsidRPr="00C82009">
        <w:t xml:space="preserve"> structural support, release growth factors and cytokines</w:t>
      </w:r>
      <w:r w:rsidR="00A8590D">
        <w:t>,</w:t>
      </w:r>
      <w:r w:rsidR="00A01792" w:rsidRPr="00C82009">
        <w:t xml:space="preserve"> and phagocytose dying hair cells</w:t>
      </w:r>
      <w:r w:rsidRPr="00C82009">
        <w:t>. The neurons that make synapses with hair cells project from the vestibular ganglion (also called Scarpa’s ganglion)</w:t>
      </w:r>
      <w:r w:rsidR="00A8590D">
        <w:t>,</w:t>
      </w:r>
      <w:r w:rsidRPr="00C82009">
        <w:t xml:space="preserve"> which is located on the surface of the temporal bone. </w:t>
      </w:r>
      <w:r w:rsidR="00110C6D" w:rsidRPr="00C82009">
        <w:t>Most previous studies of</w:t>
      </w:r>
      <w:r w:rsidRPr="00C82009">
        <w:t xml:space="preserve"> the vestibular ganglion </w:t>
      </w:r>
      <w:r w:rsidR="00110C6D" w:rsidRPr="00C82009">
        <w:t>have</w:t>
      </w:r>
      <w:r w:rsidRPr="00C82009">
        <w:t xml:space="preserve"> used sectioning methods to visualize these cells, which </w:t>
      </w:r>
      <w:r w:rsidR="00A8590D">
        <w:t>have</w:t>
      </w:r>
      <w:r w:rsidRPr="00C82009">
        <w:t xml:space="preserve"> several limitations. Here</w:t>
      </w:r>
      <w:r w:rsidR="00A8590D">
        <w:t>,</w:t>
      </w:r>
      <w:r w:rsidRPr="00C82009">
        <w:t xml:space="preserve"> we describe a method to dissect the </w:t>
      </w:r>
      <w:r w:rsidR="00153009">
        <w:t xml:space="preserve">mouse vestibular ganglion and its connecting organs (saccule, utricle, and three cristae) </w:t>
      </w:r>
      <w:r w:rsidRPr="00C82009">
        <w:t xml:space="preserve">as a </w:t>
      </w:r>
      <w:r w:rsidR="00153009">
        <w:t>whole mount, enabling</w:t>
      </w:r>
      <w:r w:rsidRPr="00C82009">
        <w:t xml:space="preserve"> more detailed analysis of neuronal cell bodies and their </w:t>
      </w:r>
      <w:r w:rsidR="00A25106" w:rsidRPr="00C82009">
        <w:t xml:space="preserve">dendritic </w:t>
      </w:r>
      <w:r w:rsidRPr="00C82009">
        <w:t>projections to the sensory epithelia.</w:t>
      </w:r>
      <w:r w:rsidR="00153009">
        <w:t xml:space="preserve"> These</w:t>
      </w:r>
      <w:r w:rsidR="00110C6D" w:rsidRPr="00C82009">
        <w:t xml:space="preserve"> methods include fixation, decalcification, dissection, immunofluorescent staining, confocal imag</w:t>
      </w:r>
      <w:r w:rsidR="000B5552" w:rsidRPr="00C82009">
        <w:t>ing</w:t>
      </w:r>
      <w:r w:rsidR="00A8590D">
        <w:t>, and three-dimensional quantification of vestibular neurons</w:t>
      </w:r>
      <w:r w:rsidRPr="00C82009">
        <w:t xml:space="preserve">. </w:t>
      </w:r>
    </w:p>
    <w:p w14:paraId="2CF9CD54" w14:textId="77777777" w:rsidR="006E4797" w:rsidRPr="00C82009" w:rsidRDefault="006E4797" w:rsidP="00444965"/>
    <w:p w14:paraId="0646E204" w14:textId="03E31DE4" w:rsidR="006E4797" w:rsidRPr="00C82009" w:rsidRDefault="008F595A" w:rsidP="00444965">
      <w:pPr>
        <w:rPr>
          <w:color w:val="808080"/>
        </w:rPr>
      </w:pPr>
      <w:r w:rsidRPr="00C82009">
        <w:rPr>
          <w:b/>
        </w:rPr>
        <w:t>INTRODUCTION:</w:t>
      </w:r>
      <w:r w:rsidRPr="00C82009">
        <w:t xml:space="preserve"> </w:t>
      </w:r>
    </w:p>
    <w:p w14:paraId="0356D57B" w14:textId="763BA918" w:rsidR="008337A1" w:rsidRPr="00C82009" w:rsidRDefault="008F595A" w:rsidP="00444965">
      <w:r w:rsidRPr="00C82009">
        <w:t>The temporal bone houses the cochlea, as well as the five vestibular organs (utricle, saccule</w:t>
      </w:r>
      <w:r w:rsidR="00A8590D">
        <w:t>, and three cristae: lateral/horizontal, anterior,</w:t>
      </w:r>
      <w:r w:rsidRPr="00C82009">
        <w:t xml:space="preserve"> and posterior). Each of these organs </w:t>
      </w:r>
      <w:r w:rsidR="00A8590D">
        <w:t>contains mechanosensory hair cells that detect sound waves or head movements,</w:t>
      </w:r>
      <w:r w:rsidRPr="00C82009">
        <w:t xml:space="preserve"> resulting in synaptic </w:t>
      </w:r>
      <w:r w:rsidRPr="00C82009">
        <w:lastRenderedPageBreak/>
        <w:t xml:space="preserve">transmission to their innervating neurons. The sensory epithelium, also called </w:t>
      </w:r>
      <w:r w:rsidR="00E150BC" w:rsidRPr="00C82009">
        <w:t xml:space="preserve">the </w:t>
      </w:r>
      <w:r w:rsidRPr="00C82009">
        <w:t xml:space="preserve">macula, of both the utricle and saccule </w:t>
      </w:r>
      <w:r w:rsidR="00A8590D">
        <w:t>is</w:t>
      </w:r>
      <w:r w:rsidRPr="00C82009">
        <w:t xml:space="preserve"> covered by </w:t>
      </w:r>
      <w:r w:rsidR="00AA2ADE" w:rsidRPr="00C82009">
        <w:t>otoconia</w:t>
      </w:r>
      <w:r w:rsidR="003C64F1" w:rsidRPr="00C82009">
        <w:t>,</w:t>
      </w:r>
      <w:r w:rsidR="00AA2ADE" w:rsidRPr="00C82009">
        <w:t xml:space="preserve"> which are </w:t>
      </w:r>
      <w:r w:rsidRPr="00C82009">
        <w:t>small calcium carbonate crystals</w:t>
      </w:r>
      <w:r w:rsidR="00AA2ADE" w:rsidRPr="00C82009">
        <w:t xml:space="preserve"> embedded in a gelatinous layer</w:t>
      </w:r>
      <w:r w:rsidR="003C64F1" w:rsidRPr="00C82009">
        <w:t>. They</w:t>
      </w:r>
      <w:r w:rsidRPr="00C82009">
        <w:t xml:space="preserve"> allow hair cells to detect gravitational forces and linear movements. In contrast, the three cristae detect angular acceleration using the movement of the endolymph within the semicircular canals. When acceleration occurs, the endolymphatic fluid moves</w:t>
      </w:r>
      <w:r w:rsidR="00E1755A" w:rsidRPr="00C82009">
        <w:t xml:space="preserve">, displacing the cupula, a gelatinous </w:t>
      </w:r>
      <w:r w:rsidR="00790AEE" w:rsidRPr="00C82009">
        <w:t>structure that encases</w:t>
      </w:r>
      <w:r w:rsidR="00E1755A" w:rsidRPr="00C82009">
        <w:t xml:space="preserve"> the cristae, which then in turn</w:t>
      </w:r>
      <w:r w:rsidRPr="00C82009">
        <w:t xml:space="preserve"> deflects the stereocilia bundles located on the apical surface of hair cells. The anterior crista detects up and down movement (nodding), while the posterior and lateral/horizontal crista</w:t>
      </w:r>
      <w:r w:rsidR="003C64F1" w:rsidRPr="00C82009">
        <w:t>e</w:t>
      </w:r>
      <w:r w:rsidRPr="00C82009">
        <w:t xml:space="preserve"> detect </w:t>
      </w:r>
      <w:r w:rsidR="00A8590D">
        <w:t>side-to-side tilting (shaking one’s</w:t>
      </w:r>
      <w:r w:rsidRPr="00C82009">
        <w:t xml:space="preserve"> head no). The lateral/horizontal crista also detects rotational movements in the horizontal plane (turning of the head to look)</w:t>
      </w:r>
      <w:r w:rsidR="00E1755A" w:rsidRPr="00C82009">
        <w:fldChar w:fldCharType="begin" w:fldLock="1"/>
      </w:r>
      <w:r w:rsidR="00FA6DA6" w:rsidRPr="00C82009">
        <w:instrText>ADDIN CSL_CITATION {"citationItems":[{"id":"ITEM-1","itemData":{"DOI":"10.1016/j.semcdb.2016.11.001","ISSN":"10849521","PMID":"27864084","abstract":"Vestibular sensation is essential for gaze stabilization, balance, and perception of gravity. The vestibular receptors in mammals, Type I and Type II hair cells, are located in five small organs in the inner ear. Damage to hair cells and their innervating neurons can cause crippling symptoms such as vertigo, visual field oscillation, and imbalance. In adult rodents, some Type II hair cells are regenerated and become re-innervated after damage, presenting opportunities for restoring vestibular function after hair cell damage. This article reviews features of vestibular sensory cells in mammals, including their basic properties, how they develop, and how they are replaced after damage. We discuss molecules that control vestibular hair cell regeneration and highlight areas in which our understanding of development and regeneration needs to be deepened.","author":[{"dropping-particle":"","family":"Burns","given":"Joseph C.","non-dropping-particle":"","parse-names":false,"suffix":""},{"dropping-particle":"","family":"Stone","given":"Jennifer S.","non-dropping-particle":"","parse-names":false,"suffix":""}],"container-title":"Seminars in Cell &amp; Developmental Biology","id":"ITEM-1","issued":{"date-parts":[["2017","5"]]},"page":"96-105","title":"Development and regeneration of vestibular hair cells in mammals","type":"article-journal","volume":"65"},"uris":["http://www.mendeley.com/documents/?uuid=2b125050-c136-3e1a-959b-6fb45b86a7f2"]},{"id":"ITEM-2","itemData":{"DOI":"10.1146/annurev-neuro-061010-113710","ISBN":"0610101137","ISSN":"0147-006X","PMID":"21469959","abstract":"Vestibular epithelia of the inner ear detect head motions over a wide range of amplitudes and frequencies. In mammals, afferent nerve fibers from central and peripheral zones of vestibular epithelia form distinct populations with different response dynamics and spike timing. Central-zone afferents are large, fast conduits for phasic signals encoded in irregular spike trains. The finer afferents from peripheral zones conduct more slowly and encode more tonic, linear signals in highly regular spike trains. The hair cells are also of two types, I and II, but the two types do not correspond directly to the two afferent populations. Zonal differences in afferent response dynamics may arise at multiple stages, including mechanoelectrical transduction, voltage-gated channels in hair cells and afferents, afferent transmission at calyceal and bouton synapses, and spike generation in regular and irregular afferents. In contrast, zonal differences in spike timing may depend more simply on the selective expression of low-voltage-activated ion channels by irregular afferents.","author":[{"dropping-particle":"","family":"Eatock","given":"Ruth Anne","non-dropping-particle":"","parse-names":false,"suffix":""},{"dropping-particle":"","family":"Songer","given":"Jocelyn E.","non-dropping-particle":"","parse-names":false,"suffix":""}],"container-title":"Annual Review of Neuroscience","id":"ITEM-2","issue":"1","issued":{"date-parts":[["2011"]]},"page":"501-534","title":"Vestibular Hair Cells and Afferents: Two Channels for Head Motion Signals","type":"article-journal","volume":"34"},"uris":["http://www.mendeley.com/documents/?uuid=3288252b-7849-4d4d-a970-f49d29fa47a6"]},{"id":"ITEM-3","itemData":{"DOI":"10.1016/B978-0-323-39632-5.00022-0","ISBN":"9780323396325","abstract":"The peripheral sensory components of the vestibular system include the hair cells and structures that enclose those cells, the semicircular canals and the otolithic organs, the saccule and utricle. The central components residing within the brainstem are four vestibular nuclei (medial, lateral, superior, and inferior) that are responsible for integrating incoming sensory signals with specific output circuits that form the vestibuloocular network, the vestibulospinal network, and the vestibulothalamic network. These networks are responsible for controlling reflex and voluntary eye movements as well as limb and trunk movements in response to vestibular sensory stimulation (head movement). Vestibular hair cells exhibit cilia that respond to head movements by depolarization if movement of the stereocilia is toward the kinocilium or by hyperpolarization if the stereocilia bend away from the kinocilium. Increased depolarization of hair cells is the result of inward movement of potassium ions through mechanically gated cilia membrane channels. Hair cell afferent fibers provide input centrally to the vestibular nuclei, which then project to (1) horizontal and vertical gaze centers to influence eye movements or to (2) reticular formation cells, which connect with spinal motor neurons that control head, trunk, and limb movements. Nystagmus is a pathological condition resulting from an interruption of central vestibular circuits. Afflicted patients present with involuntary, alternating eye movements that are slow in one direction and fast in the opposite direction. Dizziness and vertigo are additional common symptoms of vestibular system damage. Cerebral cortical representation for the vestibular system is diffuse and involves prefrontal, parietal, and insular regions.","author":[{"dropping-particle":"","family":"Dickman","given":"J. David","non-dropping-particle":"","parse-names":false,"suffix":""}],"container-title":"Fundamental Neuroscience for Basic and Clinical Applications: Fifth Edition","id":"ITEM-3","issued":{"date-parts":[["2018"]]},"page":"320-333.e1","publisher":"Elsevier Inc.","title":"The Vestibular System","type":"article-journal"},"uris":["http://www.mendeley.com/documents/?uuid=8c654300-646a-3db7-80ce-5de42821f309"]}],"mendeley":{"formattedCitation":"(1–3)","plainTextFormattedCitation":"(1–3)","previouslyFormattedCitation":"(1,2)"},"properties":{"noteIndex":0},"schema":"https://github.com/citation-style-language/schema/raw/master/csl-citation.json"}</w:instrText>
      </w:r>
      <w:r w:rsidR="00E1755A" w:rsidRPr="00C82009">
        <w:fldChar w:fldCharType="separate"/>
      </w:r>
      <w:r w:rsidR="00FA6DA6" w:rsidRPr="00C82009">
        <w:rPr>
          <w:noProof/>
          <w:vertAlign w:val="superscript"/>
        </w:rPr>
        <w:t>1–3</w:t>
      </w:r>
      <w:r w:rsidR="00E1755A" w:rsidRPr="00C82009">
        <w:fldChar w:fldCharType="end"/>
      </w:r>
      <w:r w:rsidRPr="00C82009">
        <w:t xml:space="preserve">. </w:t>
      </w:r>
    </w:p>
    <w:p w14:paraId="121BFED6" w14:textId="77777777" w:rsidR="008337A1" w:rsidRPr="00C82009" w:rsidRDefault="008337A1" w:rsidP="00444965"/>
    <w:p w14:paraId="3548875B" w14:textId="1A30FA58" w:rsidR="008337A1" w:rsidRPr="00C82009" w:rsidRDefault="008F595A" w:rsidP="00444965">
      <w:r w:rsidRPr="00C82009">
        <w:t>The neurons that innervate vestibular hair cells are called vestibular ganglion</w:t>
      </w:r>
      <w:r w:rsidR="00A01792" w:rsidRPr="00C82009">
        <w:t xml:space="preserve"> cells</w:t>
      </w:r>
      <w:r w:rsidR="00A8590D">
        <w:t>,</w:t>
      </w:r>
      <w:r w:rsidR="00A01792" w:rsidRPr="00C82009">
        <w:t xml:space="preserve"> which merge to form</w:t>
      </w:r>
      <w:r w:rsidRPr="00C82009">
        <w:t xml:space="preserve"> Scarpa’s ganglion</w:t>
      </w:r>
      <w:r w:rsidR="003C64F1" w:rsidRPr="00C82009">
        <w:t>. T</w:t>
      </w:r>
      <w:r w:rsidRPr="00C82009">
        <w:t xml:space="preserve">heir axons project to the vestibular </w:t>
      </w:r>
      <w:r w:rsidR="00FF0C57" w:rsidRPr="00C82009">
        <w:t>nuclei</w:t>
      </w:r>
      <w:r w:rsidRPr="00C82009">
        <w:t xml:space="preserve"> in the brainstem as well as to the cerebellum</w:t>
      </w:r>
      <w:r w:rsidR="003B6F78" w:rsidRPr="00C82009">
        <w:fldChar w:fldCharType="begin" w:fldLock="1"/>
      </w:r>
      <w:r w:rsidR="00FA6DA6" w:rsidRPr="00C82009">
        <w:instrText>ADDIN CSL_CITATION {"citationItems":[{"id":"ITEM-1","itemData":{"DOI":"10.1111/J.1749-6632.1992.TB25222.X","ISSN":"17496632","PMID":"1599156","author":[{"dropping-particle":"","family":"BÜTTNER‐ENNEVER","given":"J. A.","non-dropping-particle":"","parse-names":false,"suffix":""}],"container-title":"Annals of the New York Academy of Sciences","id":"ITEM-1","issue":"1","issued":{"date-parts":[["1992"]]},"page":"363-378","title":"Patterns of Connectivity in the Vestibular Nuclei","type":"article-journal","volume":"656"},"uris":["http://www.mendeley.com/documents/?uuid=06040c47-fe2e-3207-a5a8-68ad32c697cc"]},{"id":"ITEM-2","itemData":{"DOI":"10.1016/S0361-9230(03)00054-6","ISSN":"03619230","PMID":"12787869","abstract":"In contrast to most other sensory systems, hardly anything is known about the neuroanatomical development of central projections of primary vestibular neurons and how their second order target neurons develop. Recent data suggest that afferent projections may develop not unlike other sensory systems, forming first the overall projection by molecular means followed by an as yet unspecified phase of activity mediated refinement. The latter aspect has not been tested critically and most molecules that guide the initial projection are unknown. The molecular and topological origin of the vestibular and cochlear nucleus neurons is also only partially understood. Auditory and vestibular nuclei form from several rhombomeres and a given rhombomere can contribute to two or more auditory or vestibular nuclei. Rhombomere compartments develop as functional subdivisions from a single column that extends from the hindbrain to the spinal cord. Suggestions are provided for the molecular origin of these columns but data on specific mutants testing these proposals are not yet available. Overall, the functional significance of both overlapping and segregated projections are not yet fully experimentally explored in mammals. Such lack of details of the adult organization compromises future developmental analysis. © 2003 Published by Elsevier Science Inc.","author":[{"dropping-particle":"","family":"Maklad","given":"Adel","non-dropping-particle":"","parse-names":false,"suffix":""},{"dropping-particle":"","family":"Fritzsch","given":"Bernd","non-dropping-particle":"","parse-names":false,"suffix":""}],"container-title":"Brain Research Bulletin","id":"ITEM-2","issue":"5-6","issued":{"date-parts":[["2003","6","15"]]},"page":"497-510","publisher":"Elsevier Inc.","title":"Development of vestibular afferent projections into the hindbrain and their central targets","type":"article-journal","volume":"60"},"uris":["http://www.mendeley.com/documents/?uuid=cb87062e-9fff-3f00-a21a-fb70c9174f7b"]}],"mendeley":{"formattedCitation":"(4,5)","plainTextFormattedCitation":"(4,5)","previouslyFormattedCitation":"(3,4)"},"properties":{"noteIndex":0},"schema":"https://github.com/citation-style-language/schema/raw/master/csl-citation.json"}</w:instrText>
      </w:r>
      <w:r w:rsidR="003B6F78" w:rsidRPr="00C82009">
        <w:fldChar w:fldCharType="separate"/>
      </w:r>
      <w:r w:rsidR="00FA6DA6" w:rsidRPr="00C82009">
        <w:rPr>
          <w:noProof/>
          <w:vertAlign w:val="superscript"/>
        </w:rPr>
        <w:t>4,5</w:t>
      </w:r>
      <w:r w:rsidR="003B6F78" w:rsidRPr="00C82009">
        <w:fldChar w:fldCharType="end"/>
      </w:r>
      <w:r w:rsidRPr="00C82009">
        <w:t xml:space="preserve">. The ganglion is a </w:t>
      </w:r>
      <w:r w:rsidR="00A8590D">
        <w:t>dumbbell-shaped</w:t>
      </w:r>
      <w:r w:rsidRPr="00C82009">
        <w:t xml:space="preserve"> structure with a superior and inferior division. The neurons in the superior region innervate the lateral/horizontal crista, anterior crista</w:t>
      </w:r>
      <w:r w:rsidR="00A8590D">
        <w:t>,</w:t>
      </w:r>
      <w:r w:rsidRPr="00C82009">
        <w:t xml:space="preserve"> and utricle, while neurons in the inferior region innervate the posterior crista and the saccule</w:t>
      </w:r>
      <w:r w:rsidR="00E150BC" w:rsidRPr="00C82009">
        <w:fldChar w:fldCharType="begin" w:fldLock="1"/>
      </w:r>
      <w:r w:rsidR="00FA6DA6" w:rsidRPr="00C82009">
        <w:instrText>ADDIN CSL_CITATION {"citationItems":[{"id":"ITEM-1","itemData":{"DOI":"10.3233/NRE-130866","ISSN":"1878-6448","PMID":"23648598","abstract":"INTRODUCTION: A sense of proper sensory processing of head motion and the coordination of visual and postural movements to maintain equilibrium is critical to everyday function. The vestibular system is an intricate organization that involves multiple levels of sensory processing to achieve this goal. PURPOSE: This chapter provides an overview of the anatomical structures and pathways of the vestibular system. SUMMARY: The five major vestibular structures are located in the inner ear and include: the utricle, the saccule, and the lateral, superior, and posterior semicircular canals. Hair cells on the neuroepithelium of the peripheral vestibular organs carry sensory impulses to primary processing centers in the brainstem and the cerebellum. These areas send input via ascending and descending projections to coordinate vital reflexes, such as the vestibuloocular reflex and the vestibulospinal reflex, which allow for the proper orientation of the eyes and body in response to head motion. Specific connections regarding higher level cortical vestibular structures are poorly understood. CONCLUSION: Vestibular centers in the brainstem, cerebellum, and cerebral cortex function to integrate sensory information from the peripheral vestibular organs, visual system, and proprioceptive system to allow for proper balance and orientation of the body in its environment. © 2013-IOS Press and the authors. All rights reserved.","author":[{"dropping-particle":"","family":"Khan","given":"Sarah","non-dropping-particle":"","parse-names":false,"suffix":""},{"dropping-particle":"","family":"Chang","given":"Richard","non-dropping-particle":"","parse-names":false,"suffix":""}],"container-title":"NeuroRehabilitation","id":"ITEM-1","issue":"3","issued":{"date-parts":[["2013"]]},"page":"437-443","publisher":"NeuroRehabilitation","title":"Anatomy of the vestibular system: a review","type":"article-journal","volume":"32"},"uris":["http://www.mendeley.com/documents/?uuid=96584231-5a9d-3a2a-bee9-107eb352e728"]}],"mendeley":{"formattedCitation":"(6)","plainTextFormattedCitation":"(6)","previouslyFormattedCitation":"(5)"},"properties":{"noteIndex":0},"schema":"https://github.com/citation-style-language/schema/raw/master/csl-citation.json"}</w:instrText>
      </w:r>
      <w:r w:rsidR="00E150BC" w:rsidRPr="00C82009">
        <w:fldChar w:fldCharType="separate"/>
      </w:r>
      <w:r w:rsidR="00FA6DA6" w:rsidRPr="00C82009">
        <w:rPr>
          <w:noProof/>
          <w:vertAlign w:val="superscript"/>
        </w:rPr>
        <w:t>6</w:t>
      </w:r>
      <w:r w:rsidR="00E150BC" w:rsidRPr="00C82009">
        <w:fldChar w:fldCharType="end"/>
      </w:r>
      <w:r w:rsidRPr="00C82009">
        <w:t xml:space="preserve">. While much research has been conducted on vestibular hair cells, the vestibular ganglion has received far less attention. Many previous studies have investigated </w:t>
      </w:r>
      <w:r w:rsidR="00E1755A" w:rsidRPr="00C82009">
        <w:t>the vestibular ganglion</w:t>
      </w:r>
      <w:r w:rsidRPr="00C82009">
        <w:t xml:space="preserve"> using cross-sections, which limit the sampling size for quantification of neuron numbers and </w:t>
      </w:r>
      <w:r w:rsidR="00EE5B0B">
        <w:t>impede</w:t>
      </w:r>
      <w:r w:rsidRPr="00C82009">
        <w:t xml:space="preserve"> the view of neuronal connectivity to vestibular organs</w:t>
      </w:r>
      <w:r w:rsidR="00E150BC" w:rsidRPr="00C82009">
        <w:fldChar w:fldCharType="begin" w:fldLock="1"/>
      </w:r>
      <w:r w:rsidR="00FA6DA6" w:rsidRPr="00C82009">
        <w:instrText>ADDIN CSL_CITATION {"citationItems":[{"id":"ITEM-1","itemData":{"DOI":"10.3109/00016488009131716","ISSN":"00016489","PMID":"6258381","abstract":"Methods for counting vestibular ganglion cells and determining the densities of hair cells and intra-epithelial basophilic inclusions (IBI) in samples of cross-sectioned vestibular sensory epithelia are described. Data obtained by means of these methods in vestibular sensory epithelia and Scarpa's ganglia in individual temporal bones from subjects at different ages are presented. Both vestibular hair cells and nerve cells in Scarpa's ganglia are found numerically reduced in ears of aged individuals. Changes in the vestibular sensory epithelia appear to precede those seen in Scarpa's ganglion. The incidence of intraepithelial basophilic inclusions correlates with degeneration in the respective vestibular sensory epithelia. There are no striking differences in hair cell densities of the different vestibular sense organs of the same ear and from subjects at about the same age. © 1980 Informa UK Ltd All rights reserved: reproduction in whole or part not permitted.","author":[{"dropping-particle":"","family":"Richter","given":"Ernst","non-dropping-particle":"","parse-names":false,"suffix":""}],"container-title":"Acta Oto-Laryngologica","id":"ITEM-1","issue":"1-6","issued":{"date-parts":[["1980"]]},"page":"199-208","publisher":"Taylor &amp; Francis","title":"Quantitative Study of Human Scarpa's Ganglion and Vestibular Sensory Epithelia","type":"article-journal","volume":"90"},"uris":["http://www.mendeley.com/documents/?uuid=7c88373a-4904-3ff0-9676-bc9fa0ad1ded"]},{"id":"ITEM-2","itemData":{"DOI":"10.1016/S0304-3940(98)00241-9","ISSN":"03043940","PMID":"9627187","abstract":"Vestibular sensory information from the labyrinth and otolith organs is conducted to the central nervous system exclusively via primary vestibular afferents (PVA) originating from neurons located in the vestibular ganglion (VG). In the present study, the total number of VG neurons was determined in two different wild-type mouse strains using the principles of unbiased stereological counting methods by means of the physical disector. 3316 (±225 SD) neurons were present in the VG of the B6CBA-strain and 3551 (±239 SD) in C57BL/6J-mice. Since no statistical difference was detected between the two strains, the pooled mean number was 3433 (±232 SD) neurons. This is the first unbiased estimate of VG neurons aimed at providing a numerical basis for comparative studies and for the impact of experimental, pharmacological and pathological conditions as well as ageing on the survival and maintenance of VG neurons.","author":[{"dropping-particle":"","family":"Bäurle","given":"Jörg","non-dropping-particle":"","parse-names":false,"suffix":""},{"dropping-particle":"","family":"Guldin","given":"Wolfgang","non-dropping-particle":"","parse-names":false,"suffix":""}],"container-title":"Neuroscience Letters","id":"ITEM-2","issue":"2","issued":{"date-parts":[["1998","4","24"]]},"page":"89-92","publisher":"Elsevier Ireland Ltd","title":"Unbiased number of vestibular ganglion neurons in the mouse","type":"article-journal","volume":"246"},"uris":["http://www.mendeley.com/documents/?uuid=564702fc-fcff-3b79-a9d6-9f7410d79224"]},{"id":"ITEM-3","itemData":{"DOI":"10.1097/00001756-200003200-00039","ISSN":"0959-4965","PMID":"10757533","abstract":"Vestibular ganglion (VG) neurons are bipolar neurons that relay peripheral vestibular information to the CNS. Neuron counts in normal humans provide a basis for quantitative studies on the effects of aging or pathological conditions in the audiovestibular systems. No prior study has employed unbiased stereological technique to count human VG neurons. This study used unbiased stereology in the form of the optical fractionator to estimate the total number of human VG neurons in archival temporal bone specimens. An average (± s.d.) of 27 330 ± 2593 neurons was found in specimens from five patients with no history of vestibular pathology. This result, a significant departure from results of past studies, provides the first unbiased baseline value to compare with future stereologically based studies on the human VG. (C) 2000 Lippincott Williams and Wilkins.","author":[{"dropping-particle":"","family":"Park","given":"John J.","non-dropping-particle":"","parse-names":false,"suffix":""},{"dropping-particle":"","family":"Tang","given":"Yong","non-dropping-particle":"","parse-names":false,"suffix":""},{"dropping-particle":"","family":"Lopez","given":"Ivan","non-dropping-particle":"","parse-names":false,"suffix":""},{"dropping-particle":"","family":"Ishiyama","given":"Akira","non-dropping-particle":"","parse-names":false,"suffix":""}],"container-title":"Neuroreport","id":"ITEM-3","issue":"4","issued":{"date-parts":[["2000","3","20"]]},"page":"853-857","publisher":"Neuroreport","title":"Unbiased stereological quantification of neurons in the human vestibular ganglion","type":"article-journal","volume":"11"},"uris":["http://www.mendeley.com/documents/?uuid=dca95873-2e07-344b-9acd-2741d579e79c"]}],"mendeley":{"formattedCitation":"(7–9)","plainTextFormattedCitation":"(7–9)","previouslyFormattedCitation":"(6–8)"},"properties":{"noteIndex":0},"schema":"https://github.com/citation-style-language/schema/raw/master/csl-citation.json"}</w:instrText>
      </w:r>
      <w:r w:rsidR="00E150BC" w:rsidRPr="00C82009">
        <w:fldChar w:fldCharType="separate"/>
      </w:r>
      <w:r w:rsidR="00FA6DA6" w:rsidRPr="00C82009">
        <w:rPr>
          <w:noProof/>
          <w:vertAlign w:val="superscript"/>
        </w:rPr>
        <w:t>7–9</w:t>
      </w:r>
      <w:r w:rsidR="00E150BC" w:rsidRPr="00C82009">
        <w:fldChar w:fldCharType="end"/>
      </w:r>
      <w:r w:rsidRPr="00C82009">
        <w:t xml:space="preserve">. </w:t>
      </w:r>
      <w:r w:rsidR="00E1755A" w:rsidRPr="00C82009">
        <w:t>Whole</w:t>
      </w:r>
      <w:r w:rsidR="00C55C21" w:rsidRPr="00C82009">
        <w:t>-</w:t>
      </w:r>
      <w:r w:rsidR="00E1755A" w:rsidRPr="00C82009">
        <w:t>mount dissection of the utricle, saccule</w:t>
      </w:r>
      <w:r w:rsidR="00A8590D">
        <w:t>,</w:t>
      </w:r>
      <w:r w:rsidR="00E1755A" w:rsidRPr="00C82009">
        <w:t xml:space="preserve"> and cristae only allows visualization of the dendritic terminals that make contact with hair cells</w:t>
      </w:r>
      <w:r w:rsidR="00184E9D" w:rsidRPr="00C82009">
        <w:t xml:space="preserve"> within the sensory epithelia;</w:t>
      </w:r>
      <w:r w:rsidR="00E1755A" w:rsidRPr="00C82009">
        <w:t xml:space="preserve"> the vestibular neuron cell bodies are not present</w:t>
      </w:r>
      <w:r w:rsidR="0006699E" w:rsidRPr="00C82009">
        <w:fldChar w:fldCharType="begin" w:fldLock="1"/>
      </w:r>
      <w:r w:rsidR="00FA6DA6" w:rsidRPr="00C82009">
        <w:instrText xml:space="preserve">ADDIN CSL_CITATION {"citationItems":[{"id":"ITEM-1","itemData":{"DOI":"10.21769/BIOPROTOC.4416","ISSN":"2331-8325","PMID":"35813023","abstract":"The vestibular sensory apparatus contained in the inner ear is a marvelous evolutionary adaptation for sensing movement in 3 dimensions and is essential for an animal’s sense of orientation in space, head movement, and balance. Damage to these systems through injury or disease can lead to vertigo, Meniere’s disease, and other disorders that are profoundly debilitating. One challenge in studying vestibular organs is their location within the boney inner ear and their small size, especially in mice, which have become an advantageous mammalian model. This protocol describes the dissection procedure of the five vestibular organs from the inner ear of adult mice, followed by immunohistochemical labeling of a whole mount preparation using antibodies to label endogenous proteins such as calretinin to label Type I hair cells or to amplify genetically expressed fluorescent proteins for confocal microscopic imaging. Using typical lab equipment and reagents, a patient technician, student, or postdoc can learn to dissect and immunolabel mouse vestibular organs to investigate their structure in health and disease.","author":[{"dropping-particle":"","family":"Balmer","given":"Timothy S.","non-dropping-particle":"","parse-names":false,"suffix":""},{"dropping-particle":"","family":"Trussell","given":"Laurence O.","non-dropping-particle":"","parse-names":false,"suffix":""}],"container-title":"Bio-protocol","id":"ITEM-1","issue":"10","issued":{"date-parts":[["2022","5","20"]]},"publisher":"Bio Protoc","title":"Vestibular Organ Dissection and Whole-Mount Immunolabeling in Mouse","type":"article-journal","volume":"12"},"uris":["http://www.mendeley.com/documents/?uuid=39dbaa2e-aebf-3fbd-b9ab-213d225bb4e6"]},{"id":"ITEM-2","itemData":{"DOI":"10.1152/jn.00831.2007","ISSN":"00223077","abstract":"Hair bundles are critical to mechanotransduction by vestibular hair cells, but quantitative data are lacking on vestibular bundles in mice or other mammals. Here we quantify bundle heights and their variation with macular locus and hair cell type in adult mouse utricular macula. We also determined that macular organization differs from previous reports. The utricle has </w:instrText>
      </w:r>
      <w:r w:rsidR="00FA6DA6" w:rsidRPr="00C82009">
        <w:rPr>
          <w:rFonts w:ascii="Cambria Math" w:hAnsi="Cambria Math" w:cs="Cambria Math"/>
        </w:rPr>
        <w:instrText>∼</w:instrText>
      </w:r>
      <w:r w:rsidR="00FA6DA6" w:rsidRPr="00C82009">
        <w:instrText xml:space="preserve">3,600 hair cells, half on each side of the line of polarity reversal (LPR). A band of low hair cell density corresponds to a band of calretinin-positive calyces, i.e., the striola. The relation between the LPR and the striola differs from previous reports in two ways. First, the LPR lies lateral to the striola instead of bisecting it. Second, the LPR follows the striolar trajectory anteriorly, but posteriorly it veers from the edge of the striola to reach the posterior margin of the macula. Consequently, more utricular bundles are oriented mediolaterally than previously supposed. Three hair cell classes are distinguished in calretinin-stained material: type II hair cells, type I D hair cells contacting calretinin-negative (dimorphic) afferents, and type IC hair cells contacting calretinin-positive (calyceal) afferents. They differ significantly on most bundle measures. Type II bundles have short stereocilia. Type IC bundles have kinocilia and stereocilia of similar heights, i.e., KS ratios (ratio of kinocilium to stereocilia heights) </w:instrText>
      </w:r>
      <w:r w:rsidR="00FA6DA6" w:rsidRPr="00C82009">
        <w:rPr>
          <w:rFonts w:ascii="Cambria Math" w:hAnsi="Cambria Math" w:cs="Cambria Math"/>
        </w:rPr>
        <w:instrText>∼</w:instrText>
      </w:r>
      <w:r w:rsidR="00FA6DA6" w:rsidRPr="00C82009">
        <w:instrText>1, unlike other receptor classes. In contrast to these classspecific differences, bundles show little regional variation except that KS ratios are lowest in the striola. These low KS ratios suggest that bundle stiffness is greater in the striola than in the extrastriola. Copyright © 2008 The American Physiological Society.","author":[{"dropping-particle":"","family":"Li","given":"A.","non-dropping-particle":"","parse-names":false,"suffix":""},{"dropping-particle":"","family":"Xue","given":"J.","non-dropping-particle":"","parse-names":false,"suffix":""},{"dropping-particle":"","family":"Peterson","given":"E. H.","non-dropping-particle":"","parse-names":false,"suffix":""}],"container-title":"Journal of Neurophysiology","id":"ITEM-2","issue":"2","issued":{"date-parts":[["2008","2"]]},"page":"718-733","publisher":"J Neurophysiol","title":"Architecture of the mouse utricle: Macular organization and hair bundle heights","type":"article-journal","volume":"99"},"uris":["http://www.mendeley.com/documents/?uuid=3593e4a0-308d-3783-82f6-8723dec040cd"]},{"id":"ITEM-3","itemData":{"DOI":"10.1523/JNEUROSCI.0521-11.2011","ISSN":"1529-2401","PMID":"21734302","abstract":"Many primary vestibular afferents form large cup-shaped postsynaptic terminals (calyces) that envelope the basolateral surfaces of type I hair cells. The calyceal terminals both respond to glutamate released from ribbon synapses in the type I cells and initiate spikes that propagate to the afferent's central terminals in the brainstem. The combination of synaptic and spike initiation functions in these unique sensory endings distinguishes them from the axonal nodes of central neurons and peripheral nerves, such as the sciatic nerve, which have provided most of our information about nodal specializations.Weshow that rat vestibular calyces express an unusual mix of voltage-gatedNa and K channels and scaffolding, cell adhesion, and extracellular matrix proteins, which may hold the ion channels in place. Protein expression patterns form several microdomains within the calyx membrane: a synaptic domain facing the hair cell, the heminode abutting the first myelinated internode, and one or two intermediate domains. Differences in the expression and localization of proteins between afferent types and zones may contribute to known variations in afferent physiology. © 2011 the authors.","author":[{"dropping-particle":"","family":"Lysakowski","given":"Anna","non-dropping-particle":"","parse-names":false,"suffix":""},{"dropping-particle":"","family":"Gaboyard-Niay","given":"Sophie","non-dropping-particle":"","parse-names":false,"suffix":""},{"dropping-particle":"","family":"Calin-Jageman","given":"Irina","non-dropping-particle":"","parse-names":false,"suffix":""},{"dropping-particle":"","family":"Chatlani","given":"Shilpa","non-dropping-particle":"","parse-names":false,"suffix":""},{"dropping-particle":"","family":"Price","given":"Steven D.","non-dropping-particle":"","parse-names":false,"suffix":""},{"dropping-particle":"","family":"Eatock","given":"Ruth Anne","non-dropping-particle":"","parse-names":false,"suffix":""}],"container-title":"The Journal of neuroscience : the official journal of the Society for Neuroscience","id":"ITEM-3","issue":"27","issued":{"date-parts":[["2011","7","6"]]},"page":"10101-10114","publisher":"J Neurosci","title":"Molecular microdomains in a sensory terminal, the vestibular calyx ending","type":"article-journal","volume":"31"},"uris":["http://www.mendeley.com/documents/?uuid=1c880f8c-0136-333d-b516-ef1ec12fecb9"]},{"id":"ITEM-4","itemData":{"author":[{"dropping-particle":"","family":"Golub","given":"JS","non-dropping-particle":"","parse-names":false,"suffix":""},{"dropping-particle":"","family":"Tong","given":"L","non-dropping-particle":"","parse-names":false,"suffix":""},{"dropping-particle":"","family":"Ngyuen","given":"TB","non-dropping-particle":"","parse-names":false,"suffix":""},{"dropping-particle":"","family":"Hume","given":"CR","non-dropping-particle":"","parse-names":false,"suffix":""},{"dropping-particle":"","family":"Palmiter","given":"Richard D","non-dropping-particle":"","parse-names":false,"suffix":""},{"dropping-particle":"","family":"Rubel","given":"Edwin W.","non-dropping-particle":"","parse-names":false,"suffix":""},{"dropping-particle":"","family":"Stone","given":"Jennifer Susan","non-dropping-particle":"","parse-names":false,"suffix":""}],"container-title":"Journal of Neuroscience","id":"ITEM-4","issue":"43","issued":{"date-parts":[["2012"]]},"page":"15093-15105","title":"Hair cell replacement in adult mouse utricles after targeted ablation of hair cells with diphtheria toxin","type":"article-journal","volume":"32"},"uris":["http://www.mendeley.com/documents/?uuid=e85abe3b-9d54-44a4-be30-5ff5b3309a45"]},{"id":"ITEM-5","itemData":{"DOI":"10.1007/s10162-017-0652-6","ISSN":"14387573","abstract":"Oncomodulin (OCM, aka β-parvalbumin) is an EF-hand calcium binding protein that is expressed in a restricted set of hair cells in the peristriolar region of the mammalian utricle. In the present study, we determined the topologic distribution of OCM among hair cell phenotypes to advance our understanding of the cellular organization of the striola and the relationship of these phenotypes with characteristics of tissue polarity. The distributions of OCM-positive (OCM+) hair cells were quantified in utricles of mature C57Bl/6 mice. Immunohistochemistry was conducted using antibodies to OCM, calretinin, and β3-tubulin. Fluorophore-conjugated phalloidin was used to label hair cell stereocilia, which provided the basis for determining hair cell counts and morphologic polarizations. We found OCM expression in striolar types I and II hair cells, though the distributions were dissimilar to the native striolar type I and II distributions, favoring type I hair cells. The distribution of OCM immunoreactivity among striolar type I hair cells also reflected nonrandom distribution among type I c and I d phenotypes (i.e., those receiving calretinin-positive and calretinin-negative calyces, respectively). However, many OCM+ hair cells were found lateral to the striola, and within the epithelial region encompassing OCM+ hair cells, the distributions of OCM+ types I c and I d hair cells were similar to the native distributions of I c and I d in this region. Summarily, these data provide a quantitative perspective supporting the existence of different underlying factors driving the topologic expression of OCM in hair cells than those responsible for tissue polarity characteristics associated within the utricular striola, including calretinin expression in afferent calyces.","author":[{"dropping-particle":"","family":"Hoffman","given":"Larry F.","non-dropping-particle":"","parse-names":false,"suffix":""},{"dropping-particle":"","family":"Choy","given":"Kristel R.","non-dropping-particle":"","parse-names":false,"suffix":""},{"dropping-particle":"","family":"Sultemeier","given":"David R.","non-dropping-particle":"","parse-names":false,"suffix":""},{"dropping-particle":"","family":"Simmons","given":"Dwayne D.","non-dropping-particle":"","parse-names":false,"suffix":""}],"container-title":"Journal of the Association for Research in Otolaryngology","id":"ITEM-5","issue":"1","issued":{"date-parts":[["2018","2","1"]]},"page":"33-51","title":"Oncomodulin Expression Reveals New Insights into the Cellular Organization of the Murine Utricle Striola","type":"article-journal","volume":"19"},"uris":["http://www.mendeley.com/documents/?uuid=4443bafc-9e37-31ff-88be-2726cf757495"]}],"mendeley":{"formattedCitation":"(10–14)","plainTextFormattedCitation":"(10–14)","previouslyFormattedCitation":"(9–13)"},"properties":{"noteIndex":0},"schema":"https://github.com/citation-style-language/schema/raw/master/csl-citation.json"}</w:instrText>
      </w:r>
      <w:r w:rsidR="0006699E" w:rsidRPr="00C82009">
        <w:fldChar w:fldCharType="separate"/>
      </w:r>
      <w:r w:rsidR="00FA6DA6" w:rsidRPr="00C82009">
        <w:rPr>
          <w:noProof/>
          <w:vertAlign w:val="superscript"/>
        </w:rPr>
        <w:t>10–14</w:t>
      </w:r>
      <w:r w:rsidR="0006699E" w:rsidRPr="00C82009">
        <w:fldChar w:fldCharType="end"/>
      </w:r>
      <w:r w:rsidR="00E1755A" w:rsidRPr="00C82009">
        <w:t xml:space="preserve">. </w:t>
      </w:r>
      <w:r w:rsidRPr="00C82009">
        <w:t>We have developed a method to excise the entire vestibular complex from m</w:t>
      </w:r>
      <w:r w:rsidR="00E1755A" w:rsidRPr="00C82009">
        <w:t xml:space="preserve">ice (aged 2 weeks or older) </w:t>
      </w:r>
      <w:r w:rsidR="00A8590D">
        <w:t>via whole-mount dissection, in which the vestibular ganglion and the vestibular organs it innervates</w:t>
      </w:r>
      <w:r w:rsidRPr="00C82009">
        <w:t xml:space="preserve"> remain intact as a single structure. </w:t>
      </w:r>
      <w:bookmarkStart w:id="0" w:name="_Hlk236043204"/>
      <w:bookmarkStart w:id="1" w:name="_Hlk236041992"/>
      <w:r w:rsidR="00E1755A" w:rsidRPr="00C82009">
        <w:t xml:space="preserve">However, axonal projections from the vestibular ganglion to the vestibular nucleus </w:t>
      </w:r>
      <w:r w:rsidR="00184E9D" w:rsidRPr="00C82009">
        <w:t xml:space="preserve">or cerebellum </w:t>
      </w:r>
      <w:r w:rsidR="00E1755A" w:rsidRPr="00C82009">
        <w:t>are not preserved</w:t>
      </w:r>
      <w:r w:rsidR="00542734">
        <w:t>. The</w:t>
      </w:r>
      <w:r w:rsidR="0033553B">
        <w:t>se</w:t>
      </w:r>
      <w:r w:rsidR="00542734">
        <w:t xml:space="preserve"> axons are severed close to the vestibular ganglion when the </w:t>
      </w:r>
      <w:r w:rsidR="00D52C5A">
        <w:t>temporal bone</w:t>
      </w:r>
      <w:r w:rsidR="00542734">
        <w:t xml:space="preserve"> is removed from the skull</w:t>
      </w:r>
      <w:r w:rsidR="00E1755A" w:rsidRPr="00C82009">
        <w:t>.</w:t>
      </w:r>
      <w:bookmarkEnd w:id="0"/>
      <w:r w:rsidR="00E1755A" w:rsidRPr="00C82009">
        <w:t xml:space="preserve"> </w:t>
      </w:r>
      <w:bookmarkEnd w:id="1"/>
      <w:r w:rsidRPr="00C82009">
        <w:t xml:space="preserve">After immunofluorescent staining </w:t>
      </w:r>
      <w:r w:rsidR="00A8590D">
        <w:t>with an antibody that labels neurons, the whole-mounted vestibular complex can be imaged with confocal microscopy to visualize dendritic projections to vestibular organs, measure ganglion size, and quantify neuronal cell bodies within</w:t>
      </w:r>
      <w:r w:rsidRPr="00C82009">
        <w:t xml:space="preserve"> a </w:t>
      </w:r>
      <w:r w:rsidR="003C64F1" w:rsidRPr="00C82009">
        <w:t>three</w:t>
      </w:r>
      <w:r w:rsidRPr="00C82009">
        <w:t xml:space="preserve">-dimensional cube. These additional metrics will provide valuable information to increase our understanding of </w:t>
      </w:r>
      <w:r w:rsidR="00A8590D">
        <w:t xml:space="preserve">the </w:t>
      </w:r>
      <w:r w:rsidRPr="00C82009">
        <w:t>development, damage</w:t>
      </w:r>
      <w:r w:rsidR="00A8590D">
        <w:t>,</w:t>
      </w:r>
      <w:r w:rsidRPr="00C82009">
        <w:t xml:space="preserve"> and aging</w:t>
      </w:r>
      <w:r w:rsidR="00E150BC" w:rsidRPr="00C82009">
        <w:t xml:space="preserve"> of the vestibular system</w:t>
      </w:r>
      <w:r w:rsidRPr="00C82009">
        <w:t xml:space="preserve">.  </w:t>
      </w:r>
    </w:p>
    <w:p w14:paraId="48BA6B0A" w14:textId="77777777" w:rsidR="006E4797" w:rsidRPr="00C82009" w:rsidRDefault="006E4797" w:rsidP="00444965">
      <w:pPr>
        <w:rPr>
          <w:b/>
        </w:rPr>
      </w:pPr>
    </w:p>
    <w:p w14:paraId="32A92E82" w14:textId="77AD8366" w:rsidR="006E4797" w:rsidRPr="00C82009" w:rsidRDefault="008F595A" w:rsidP="00444965">
      <w:pPr>
        <w:rPr>
          <w:b/>
          <w:color w:val="808080"/>
        </w:rPr>
      </w:pPr>
      <w:r w:rsidRPr="00C82009">
        <w:rPr>
          <w:b/>
        </w:rPr>
        <w:t xml:space="preserve">PROTOCOL: </w:t>
      </w:r>
    </w:p>
    <w:p w14:paraId="7E99DD48" w14:textId="1FA5D70D" w:rsidR="008337A1" w:rsidRPr="00C82009" w:rsidRDefault="008F595A" w:rsidP="00444965">
      <w:pPr>
        <w:rPr>
          <w:bCs/>
        </w:rPr>
      </w:pPr>
      <w:r w:rsidRPr="00C82009">
        <w:rPr>
          <w:bCs/>
        </w:rPr>
        <w:t>Procedures involving animal subjects have been approved by the Institutional Animal Care and Use Committee at Southern Illinois University School of Medicine.</w:t>
      </w:r>
    </w:p>
    <w:p w14:paraId="7D2F14EA" w14:textId="77777777" w:rsidR="006439A8" w:rsidRPr="00C82009" w:rsidRDefault="006439A8" w:rsidP="00444965">
      <w:pPr>
        <w:rPr>
          <w:b/>
          <w:bCs/>
        </w:rPr>
      </w:pPr>
    </w:p>
    <w:p w14:paraId="206CCF0B" w14:textId="77777777" w:rsidR="00321A6D" w:rsidRPr="00A8590D" w:rsidRDefault="008F595A" w:rsidP="00444965">
      <w:pPr>
        <w:pStyle w:val="ListParagraph"/>
        <w:numPr>
          <w:ilvl w:val="0"/>
          <w:numId w:val="13"/>
        </w:numPr>
        <w:spacing w:after="0" w:line="240" w:lineRule="auto"/>
        <w:ind w:left="0" w:firstLine="0"/>
        <w:jc w:val="both"/>
        <w:rPr>
          <w:rFonts w:ascii="Calibri" w:hAnsi="Calibri" w:cs="Calibri"/>
          <w:b/>
          <w:bCs/>
          <w:sz w:val="24"/>
          <w:szCs w:val="24"/>
        </w:rPr>
      </w:pPr>
      <w:r w:rsidRPr="00A8590D">
        <w:rPr>
          <w:rFonts w:ascii="Calibri" w:hAnsi="Calibri" w:cs="Calibri"/>
          <w:b/>
          <w:bCs/>
          <w:sz w:val="24"/>
          <w:szCs w:val="24"/>
        </w:rPr>
        <w:t>Extraction of Temporal Bones</w:t>
      </w:r>
    </w:p>
    <w:p w14:paraId="7C6C52C9"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15C58477" w14:textId="0C979BBF" w:rsidR="006439A8" w:rsidRPr="00C82009" w:rsidRDefault="00134120" w:rsidP="00444965">
      <w:pPr>
        <w:pStyle w:val="ListParagraph"/>
        <w:numPr>
          <w:ilvl w:val="1"/>
          <w:numId w:val="29"/>
        </w:numPr>
        <w:spacing w:after="0" w:line="240" w:lineRule="auto"/>
        <w:ind w:left="0" w:firstLine="0"/>
        <w:jc w:val="both"/>
        <w:rPr>
          <w:rFonts w:ascii="Calibri" w:hAnsi="Calibri" w:cs="Calibri"/>
          <w:sz w:val="24"/>
          <w:szCs w:val="24"/>
        </w:rPr>
      </w:pPr>
      <w:r w:rsidRPr="00C82009">
        <w:rPr>
          <w:rFonts w:ascii="Calibri" w:hAnsi="Calibri" w:cs="Calibri"/>
          <w:sz w:val="24"/>
          <w:szCs w:val="24"/>
        </w:rPr>
        <w:t xml:space="preserve">After using </w:t>
      </w:r>
      <w:r w:rsidR="008F1C58" w:rsidRPr="00C82009">
        <w:rPr>
          <w:rFonts w:ascii="Calibri" w:hAnsi="Calibri" w:cs="Calibri"/>
          <w:sz w:val="24"/>
          <w:szCs w:val="24"/>
        </w:rPr>
        <w:t>an</w:t>
      </w:r>
      <w:r w:rsidRPr="00C82009">
        <w:rPr>
          <w:rFonts w:ascii="Calibri" w:hAnsi="Calibri" w:cs="Calibri"/>
          <w:sz w:val="24"/>
          <w:szCs w:val="24"/>
        </w:rPr>
        <w:t xml:space="preserve"> IACUC accepted euthanasia method,</w:t>
      </w:r>
      <w:r w:rsidR="008F1C58" w:rsidRPr="00C82009">
        <w:rPr>
          <w:rFonts w:ascii="Calibri" w:hAnsi="Calibri" w:cs="Calibri"/>
          <w:sz w:val="24"/>
          <w:szCs w:val="24"/>
        </w:rPr>
        <w:t xml:space="preserve"> decapitate the mouse</w:t>
      </w:r>
      <w:r w:rsidRPr="00C82009">
        <w:rPr>
          <w:rFonts w:ascii="Calibri" w:hAnsi="Calibri" w:cs="Calibri"/>
          <w:sz w:val="24"/>
          <w:szCs w:val="24"/>
        </w:rPr>
        <w:t xml:space="preserve"> </w:t>
      </w:r>
      <w:r w:rsidR="008F1C58" w:rsidRPr="00C82009">
        <w:rPr>
          <w:rFonts w:ascii="Calibri" w:hAnsi="Calibri" w:cs="Calibri"/>
          <w:sz w:val="24"/>
          <w:szCs w:val="24"/>
        </w:rPr>
        <w:t xml:space="preserve">and </w:t>
      </w:r>
      <w:r w:rsidRPr="00C82009">
        <w:rPr>
          <w:rFonts w:ascii="Calibri" w:hAnsi="Calibri" w:cs="Calibri"/>
          <w:sz w:val="24"/>
          <w:szCs w:val="24"/>
        </w:rPr>
        <w:t xml:space="preserve">use standard surgical scissors </w:t>
      </w:r>
      <w:r w:rsidR="008F1C58" w:rsidRPr="00C82009">
        <w:rPr>
          <w:rFonts w:ascii="Calibri" w:hAnsi="Calibri" w:cs="Calibri"/>
          <w:sz w:val="24"/>
          <w:szCs w:val="24"/>
        </w:rPr>
        <w:t xml:space="preserve">to cut the </w:t>
      </w:r>
      <w:r w:rsidR="00E623D0" w:rsidRPr="00C82009">
        <w:rPr>
          <w:rFonts w:ascii="Calibri" w:hAnsi="Calibri" w:cs="Calibri"/>
          <w:sz w:val="24"/>
          <w:szCs w:val="24"/>
        </w:rPr>
        <w:t xml:space="preserve">skin and </w:t>
      </w:r>
      <w:r w:rsidR="008F1C58" w:rsidRPr="00C82009">
        <w:rPr>
          <w:rFonts w:ascii="Calibri" w:hAnsi="Calibri" w:cs="Calibri"/>
          <w:sz w:val="24"/>
          <w:szCs w:val="24"/>
        </w:rPr>
        <w:t>skull through the midline</w:t>
      </w:r>
      <w:r w:rsidR="00E623D0" w:rsidRPr="00C82009">
        <w:rPr>
          <w:rFonts w:ascii="Calibri" w:hAnsi="Calibri" w:cs="Calibri"/>
          <w:sz w:val="24"/>
          <w:szCs w:val="24"/>
        </w:rPr>
        <w:t>, from the brainstem to the eyes</w:t>
      </w:r>
      <w:r w:rsidR="008F1C58" w:rsidRPr="00C82009">
        <w:rPr>
          <w:rFonts w:ascii="Calibri" w:hAnsi="Calibri" w:cs="Calibri"/>
          <w:sz w:val="24"/>
          <w:szCs w:val="24"/>
        </w:rPr>
        <w:t xml:space="preserve">. </w:t>
      </w:r>
      <w:r w:rsidR="00E623D0" w:rsidRPr="00C82009">
        <w:rPr>
          <w:rFonts w:ascii="Calibri" w:hAnsi="Calibri" w:cs="Calibri"/>
          <w:sz w:val="24"/>
          <w:szCs w:val="24"/>
        </w:rPr>
        <w:t xml:space="preserve">Make a second cut perpendicular to the midline behind the eyes. </w:t>
      </w:r>
    </w:p>
    <w:p w14:paraId="2C9CDD80"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61328A54" w14:textId="546CD385" w:rsidR="00134120" w:rsidRPr="00C82009" w:rsidRDefault="008F595A" w:rsidP="00444965">
      <w:pPr>
        <w:pStyle w:val="ListParagraph"/>
        <w:spacing w:after="0" w:line="240" w:lineRule="auto"/>
        <w:ind w:left="0"/>
        <w:jc w:val="both"/>
        <w:rPr>
          <w:rFonts w:ascii="Calibri" w:hAnsi="Calibri" w:cs="Calibri"/>
          <w:sz w:val="24"/>
          <w:szCs w:val="24"/>
        </w:rPr>
      </w:pPr>
      <w:r w:rsidRPr="00C82009">
        <w:rPr>
          <w:rFonts w:ascii="Calibri" w:hAnsi="Calibri" w:cs="Calibri"/>
          <w:sz w:val="24"/>
          <w:szCs w:val="24"/>
        </w:rPr>
        <w:t xml:space="preserve">NOTE: </w:t>
      </w:r>
      <w:r w:rsidR="008F1C58" w:rsidRPr="00C82009">
        <w:rPr>
          <w:rFonts w:ascii="Calibri" w:hAnsi="Calibri" w:cs="Calibri"/>
          <w:sz w:val="24"/>
          <w:szCs w:val="24"/>
        </w:rPr>
        <w:t xml:space="preserve">Cardiac perfusion </w:t>
      </w:r>
      <w:r w:rsidRPr="00C82009">
        <w:rPr>
          <w:rFonts w:ascii="Calibri" w:hAnsi="Calibri" w:cs="Calibri"/>
          <w:sz w:val="24"/>
          <w:szCs w:val="24"/>
        </w:rPr>
        <w:t xml:space="preserve">could be </w:t>
      </w:r>
      <w:r w:rsidR="00C82009" w:rsidRPr="00C82009">
        <w:rPr>
          <w:rFonts w:ascii="Calibri" w:hAnsi="Calibri" w:cs="Calibri"/>
          <w:sz w:val="24"/>
          <w:szCs w:val="24"/>
        </w:rPr>
        <w:t>done</w:t>
      </w:r>
      <w:r w:rsidR="008D678D">
        <w:rPr>
          <w:rFonts w:ascii="Calibri" w:hAnsi="Calibri" w:cs="Calibri"/>
          <w:sz w:val="24"/>
          <w:szCs w:val="24"/>
        </w:rPr>
        <w:t>,</w:t>
      </w:r>
      <w:r w:rsidR="00C82009" w:rsidRPr="00C82009">
        <w:rPr>
          <w:rFonts w:ascii="Calibri" w:hAnsi="Calibri" w:cs="Calibri"/>
          <w:sz w:val="24"/>
          <w:szCs w:val="24"/>
        </w:rPr>
        <w:t xml:space="preserve"> but</w:t>
      </w:r>
      <w:r w:rsidRPr="00C82009">
        <w:rPr>
          <w:rFonts w:ascii="Calibri" w:hAnsi="Calibri" w:cs="Calibri"/>
          <w:sz w:val="24"/>
          <w:szCs w:val="24"/>
        </w:rPr>
        <w:t xml:space="preserve"> </w:t>
      </w:r>
      <w:r w:rsidR="008F1C58" w:rsidRPr="00C82009">
        <w:rPr>
          <w:rFonts w:ascii="Calibri" w:hAnsi="Calibri" w:cs="Calibri"/>
          <w:sz w:val="24"/>
          <w:szCs w:val="24"/>
        </w:rPr>
        <w:t xml:space="preserve">is not </w:t>
      </w:r>
      <w:r w:rsidRPr="00C82009">
        <w:rPr>
          <w:rFonts w:ascii="Calibri" w:hAnsi="Calibri" w:cs="Calibri"/>
          <w:sz w:val="24"/>
          <w:szCs w:val="24"/>
        </w:rPr>
        <w:t>required</w:t>
      </w:r>
      <w:r w:rsidR="008F1C58" w:rsidRPr="00C82009">
        <w:rPr>
          <w:rFonts w:ascii="Calibri" w:hAnsi="Calibri" w:cs="Calibri"/>
          <w:sz w:val="24"/>
          <w:szCs w:val="24"/>
        </w:rPr>
        <w:t>.</w:t>
      </w:r>
    </w:p>
    <w:p w14:paraId="77684073"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61029692" w14:textId="77777777" w:rsidR="0077478A" w:rsidRDefault="008F595A" w:rsidP="00444965">
      <w:pPr>
        <w:pStyle w:val="ListParagraph"/>
        <w:numPr>
          <w:ilvl w:val="1"/>
          <w:numId w:val="29"/>
        </w:numPr>
        <w:spacing w:after="0" w:line="240" w:lineRule="auto"/>
        <w:ind w:left="0" w:firstLine="0"/>
        <w:jc w:val="both"/>
        <w:rPr>
          <w:rFonts w:ascii="Calibri" w:hAnsi="Calibri" w:cs="Calibri"/>
          <w:sz w:val="24"/>
          <w:szCs w:val="24"/>
        </w:rPr>
      </w:pPr>
      <w:r w:rsidRPr="00C82009">
        <w:rPr>
          <w:rFonts w:ascii="Calibri" w:hAnsi="Calibri" w:cs="Calibri"/>
          <w:sz w:val="24"/>
          <w:szCs w:val="24"/>
        </w:rPr>
        <w:t>Gently remove the brain using a spatula</w:t>
      </w:r>
      <w:r w:rsidR="00B54B86" w:rsidRPr="00C82009">
        <w:rPr>
          <w:rFonts w:ascii="Calibri" w:hAnsi="Calibri" w:cs="Calibri"/>
          <w:sz w:val="24"/>
          <w:szCs w:val="24"/>
        </w:rPr>
        <w:t>.</w:t>
      </w:r>
      <w:r w:rsidRPr="00C82009">
        <w:rPr>
          <w:rFonts w:ascii="Calibri" w:hAnsi="Calibri" w:cs="Calibri"/>
          <w:sz w:val="24"/>
          <w:szCs w:val="24"/>
        </w:rPr>
        <w:t xml:space="preserve"> </w:t>
      </w:r>
    </w:p>
    <w:p w14:paraId="4AF41672" w14:textId="77777777" w:rsidR="0077478A" w:rsidRDefault="0077478A" w:rsidP="00444965">
      <w:pPr>
        <w:pStyle w:val="ListParagraph"/>
        <w:spacing w:after="0" w:line="240" w:lineRule="auto"/>
        <w:ind w:left="0"/>
        <w:jc w:val="both"/>
        <w:rPr>
          <w:rFonts w:ascii="Calibri" w:hAnsi="Calibri" w:cs="Calibri"/>
          <w:sz w:val="24"/>
          <w:szCs w:val="24"/>
        </w:rPr>
      </w:pPr>
    </w:p>
    <w:p w14:paraId="5A56DD53" w14:textId="29C6CB35" w:rsidR="008337A1" w:rsidRPr="00C82009" w:rsidRDefault="008F595A" w:rsidP="00444965">
      <w:pPr>
        <w:pStyle w:val="ListParagraph"/>
        <w:spacing w:after="0" w:line="240" w:lineRule="auto"/>
        <w:ind w:left="0"/>
        <w:jc w:val="both"/>
        <w:rPr>
          <w:rFonts w:ascii="Calibri" w:hAnsi="Calibri" w:cs="Calibri"/>
          <w:sz w:val="24"/>
          <w:szCs w:val="24"/>
        </w:rPr>
      </w:pPr>
      <w:r w:rsidRPr="00C82009">
        <w:rPr>
          <w:rFonts w:ascii="Calibri" w:hAnsi="Calibri" w:cs="Calibri"/>
          <w:sz w:val="24"/>
          <w:szCs w:val="24"/>
        </w:rPr>
        <w:t xml:space="preserve">NOTE: </w:t>
      </w:r>
      <w:r w:rsidR="00005F96">
        <w:rPr>
          <w:rFonts w:ascii="Calibri" w:hAnsi="Calibri" w:cs="Calibri"/>
          <w:sz w:val="24"/>
          <w:szCs w:val="24"/>
        </w:rPr>
        <w:t>Exercise caution</w:t>
      </w:r>
      <w:r w:rsidR="008D678D">
        <w:rPr>
          <w:rFonts w:ascii="Calibri" w:hAnsi="Calibri" w:cs="Calibri"/>
          <w:sz w:val="24"/>
          <w:szCs w:val="24"/>
        </w:rPr>
        <w:t xml:space="preserve"> when removing the brain, as this step can damage </w:t>
      </w:r>
      <w:r w:rsidRPr="00C82009">
        <w:rPr>
          <w:rFonts w:ascii="Calibri" w:hAnsi="Calibri" w:cs="Calibri"/>
          <w:sz w:val="24"/>
          <w:szCs w:val="24"/>
        </w:rPr>
        <w:t xml:space="preserve">the vestibular ganglion. </w:t>
      </w:r>
    </w:p>
    <w:p w14:paraId="075C3BE9"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5175AF04" w14:textId="02BFE62E" w:rsidR="008337A1" w:rsidRPr="0015666B" w:rsidRDefault="008F595A" w:rsidP="00444965">
      <w:pPr>
        <w:pStyle w:val="ListParagraph"/>
        <w:numPr>
          <w:ilvl w:val="1"/>
          <w:numId w:val="29"/>
        </w:numPr>
        <w:spacing w:after="0" w:line="240" w:lineRule="auto"/>
        <w:ind w:left="0" w:firstLine="0"/>
        <w:jc w:val="both"/>
        <w:rPr>
          <w:rFonts w:ascii="Calibri" w:hAnsi="Calibri" w:cs="Calibri"/>
          <w:sz w:val="24"/>
          <w:szCs w:val="24"/>
          <w:highlight w:val="yellow"/>
        </w:rPr>
      </w:pPr>
      <w:r w:rsidRPr="0015666B">
        <w:rPr>
          <w:rFonts w:ascii="Calibri" w:hAnsi="Calibri" w:cs="Calibri"/>
          <w:sz w:val="24"/>
          <w:szCs w:val="24"/>
          <w:highlight w:val="yellow"/>
        </w:rPr>
        <w:t xml:space="preserve">Locate the temporal bones in the base of the mouse skull. Place one thumb at the tip of the </w:t>
      </w:r>
      <w:proofErr w:type="spellStart"/>
      <w:r w:rsidRPr="0015666B">
        <w:rPr>
          <w:rFonts w:ascii="Calibri" w:hAnsi="Calibri" w:cs="Calibri"/>
          <w:sz w:val="24"/>
          <w:szCs w:val="24"/>
          <w:highlight w:val="yellow"/>
        </w:rPr>
        <w:t>otic</w:t>
      </w:r>
      <w:proofErr w:type="spellEnd"/>
      <w:r w:rsidRPr="0015666B">
        <w:rPr>
          <w:rFonts w:ascii="Calibri" w:hAnsi="Calibri" w:cs="Calibri"/>
          <w:sz w:val="24"/>
          <w:szCs w:val="24"/>
          <w:highlight w:val="yellow"/>
        </w:rPr>
        <w:t xml:space="preserve"> capsule and </w:t>
      </w:r>
      <w:r w:rsidR="00AA2ADE" w:rsidRPr="0015666B">
        <w:rPr>
          <w:rFonts w:ascii="Calibri" w:hAnsi="Calibri" w:cs="Calibri"/>
          <w:sz w:val="24"/>
          <w:szCs w:val="24"/>
          <w:highlight w:val="yellow"/>
        </w:rPr>
        <w:t xml:space="preserve">press down on the posterior semicircular canal </w:t>
      </w:r>
      <w:r w:rsidRPr="0015666B">
        <w:rPr>
          <w:rFonts w:ascii="Calibri" w:hAnsi="Calibri" w:cs="Calibri"/>
          <w:sz w:val="24"/>
          <w:szCs w:val="24"/>
          <w:highlight w:val="yellow"/>
        </w:rPr>
        <w:t xml:space="preserve">with the thumb </w:t>
      </w:r>
      <w:r w:rsidR="00AA2ADE" w:rsidRPr="0015666B">
        <w:rPr>
          <w:rFonts w:ascii="Calibri" w:hAnsi="Calibri" w:cs="Calibri"/>
          <w:sz w:val="24"/>
          <w:szCs w:val="24"/>
          <w:highlight w:val="yellow"/>
        </w:rPr>
        <w:t xml:space="preserve">from </w:t>
      </w:r>
      <w:r w:rsidRPr="0015666B">
        <w:rPr>
          <w:rFonts w:ascii="Calibri" w:hAnsi="Calibri" w:cs="Calibri"/>
          <w:sz w:val="24"/>
          <w:szCs w:val="24"/>
          <w:highlight w:val="yellow"/>
        </w:rPr>
        <w:t xml:space="preserve">the </w:t>
      </w:r>
      <w:r w:rsidR="00AA2ADE" w:rsidRPr="0015666B">
        <w:rPr>
          <w:rFonts w:ascii="Calibri" w:hAnsi="Calibri" w:cs="Calibri"/>
          <w:sz w:val="24"/>
          <w:szCs w:val="24"/>
          <w:highlight w:val="yellow"/>
        </w:rPr>
        <w:t>other</w:t>
      </w:r>
      <w:r w:rsidRPr="0015666B">
        <w:rPr>
          <w:rFonts w:ascii="Calibri" w:hAnsi="Calibri" w:cs="Calibri"/>
          <w:sz w:val="24"/>
          <w:szCs w:val="24"/>
          <w:highlight w:val="yellow"/>
        </w:rPr>
        <w:t xml:space="preserve"> hand to </w:t>
      </w:r>
      <w:r w:rsidR="00AA2ADE" w:rsidRPr="0015666B">
        <w:rPr>
          <w:rFonts w:ascii="Calibri" w:hAnsi="Calibri" w:cs="Calibri"/>
          <w:sz w:val="24"/>
          <w:szCs w:val="24"/>
          <w:highlight w:val="yellow"/>
        </w:rPr>
        <w:t>separate</w:t>
      </w:r>
      <w:r w:rsidRPr="0015666B">
        <w:rPr>
          <w:rFonts w:ascii="Calibri" w:hAnsi="Calibri" w:cs="Calibri"/>
          <w:sz w:val="24"/>
          <w:szCs w:val="24"/>
          <w:highlight w:val="yellow"/>
        </w:rPr>
        <w:t xml:space="preserve"> the encapsulated temporal bone from the base of the skull.</w:t>
      </w:r>
    </w:p>
    <w:p w14:paraId="38729136"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2AC7FB94" w14:textId="23B1C2B6" w:rsidR="008337A1" w:rsidRPr="0015666B" w:rsidRDefault="008F595A" w:rsidP="00444965">
      <w:pPr>
        <w:pStyle w:val="ListParagraph"/>
        <w:numPr>
          <w:ilvl w:val="1"/>
          <w:numId w:val="37"/>
        </w:numPr>
        <w:spacing w:after="0" w:line="240" w:lineRule="auto"/>
        <w:ind w:left="0" w:firstLine="0"/>
        <w:jc w:val="both"/>
        <w:rPr>
          <w:rFonts w:ascii="Calibri" w:hAnsi="Calibri" w:cs="Calibri"/>
          <w:sz w:val="24"/>
          <w:szCs w:val="24"/>
          <w:highlight w:val="yellow"/>
        </w:rPr>
      </w:pPr>
      <w:r w:rsidRPr="0015666B">
        <w:rPr>
          <w:rFonts w:ascii="Calibri" w:hAnsi="Calibri" w:cs="Calibri"/>
          <w:sz w:val="24"/>
          <w:szCs w:val="24"/>
          <w:highlight w:val="yellow"/>
        </w:rPr>
        <w:t>Free the bottom half of the temporal bone from the skull manually with the thumb and index finger or by using 10.5 cm fine scissors.</w:t>
      </w:r>
    </w:p>
    <w:p w14:paraId="2F8297A8" w14:textId="1A14D9CB" w:rsidR="00542734" w:rsidRDefault="00542734" w:rsidP="00444965"/>
    <w:p w14:paraId="5DC6C4E1" w14:textId="0AAE84F3" w:rsidR="00542734" w:rsidRPr="00542734" w:rsidRDefault="00542734" w:rsidP="00444965">
      <w:r>
        <w:t>NOTE: Steps 1.3-1.4</w:t>
      </w:r>
      <w:r w:rsidR="00FF0C57">
        <w:t>.</w:t>
      </w:r>
      <w:r>
        <w:t xml:space="preserve"> will sever the axons of the vestibular nerve that project to the brainstem, leaving the vestibular ganglion attached to the temporal bone.</w:t>
      </w:r>
    </w:p>
    <w:p w14:paraId="2CF3F92B" w14:textId="77777777" w:rsidR="00542734" w:rsidRPr="00542734" w:rsidRDefault="00542734" w:rsidP="00444965"/>
    <w:p w14:paraId="50960181"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550B2F69" w14:textId="704EB4BA" w:rsidR="008337A1" w:rsidRPr="00A8590D" w:rsidRDefault="008F595A" w:rsidP="00444965">
      <w:pPr>
        <w:pStyle w:val="ListParagraph"/>
        <w:numPr>
          <w:ilvl w:val="0"/>
          <w:numId w:val="16"/>
        </w:numPr>
        <w:spacing w:after="0" w:line="240" w:lineRule="auto"/>
        <w:ind w:left="0" w:firstLine="0"/>
        <w:jc w:val="both"/>
        <w:rPr>
          <w:rFonts w:ascii="Calibri" w:hAnsi="Calibri" w:cs="Calibri"/>
          <w:b/>
          <w:bCs/>
          <w:sz w:val="24"/>
          <w:szCs w:val="24"/>
        </w:rPr>
      </w:pPr>
      <w:r w:rsidRPr="00A8590D">
        <w:rPr>
          <w:rFonts w:ascii="Calibri" w:hAnsi="Calibri" w:cs="Calibri"/>
          <w:b/>
          <w:bCs/>
          <w:sz w:val="24"/>
          <w:szCs w:val="24"/>
        </w:rPr>
        <w:t>Fixation of Temporal Bones</w:t>
      </w:r>
    </w:p>
    <w:p w14:paraId="6ED193EE"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2926B666" w14:textId="0735683B" w:rsidR="008337A1" w:rsidRDefault="008F595A" w:rsidP="00444965">
      <w:pPr>
        <w:pStyle w:val="ListParagraph"/>
        <w:numPr>
          <w:ilvl w:val="1"/>
          <w:numId w:val="38"/>
        </w:numPr>
        <w:spacing w:after="0" w:line="240" w:lineRule="auto"/>
        <w:ind w:left="0" w:firstLine="0"/>
        <w:jc w:val="both"/>
        <w:rPr>
          <w:rFonts w:ascii="Calibri" w:hAnsi="Calibri" w:cs="Calibri"/>
          <w:sz w:val="24"/>
          <w:szCs w:val="24"/>
        </w:rPr>
      </w:pPr>
      <w:r w:rsidRPr="0015666B">
        <w:rPr>
          <w:rFonts w:ascii="Calibri" w:hAnsi="Calibri" w:cs="Calibri"/>
          <w:sz w:val="24"/>
          <w:szCs w:val="24"/>
          <w:highlight w:val="yellow"/>
        </w:rPr>
        <w:t>Place both temporal bones from one mouse into a 2 m</w:t>
      </w:r>
      <w:r w:rsidR="0077478A" w:rsidRPr="0015666B">
        <w:rPr>
          <w:rFonts w:ascii="Calibri" w:hAnsi="Calibri" w:cs="Calibri"/>
          <w:sz w:val="24"/>
          <w:szCs w:val="24"/>
          <w:highlight w:val="yellow"/>
        </w:rPr>
        <w:t>L</w:t>
      </w:r>
      <w:r w:rsidRPr="0015666B">
        <w:rPr>
          <w:rFonts w:ascii="Calibri" w:hAnsi="Calibri" w:cs="Calibri"/>
          <w:sz w:val="24"/>
          <w:szCs w:val="24"/>
          <w:highlight w:val="yellow"/>
        </w:rPr>
        <w:t xml:space="preserve"> microcentrifuge tube containing 1 m</w:t>
      </w:r>
      <w:r w:rsidR="0077478A" w:rsidRPr="0015666B">
        <w:rPr>
          <w:rFonts w:ascii="Calibri" w:hAnsi="Calibri" w:cs="Calibri"/>
          <w:sz w:val="24"/>
          <w:szCs w:val="24"/>
          <w:highlight w:val="yellow"/>
        </w:rPr>
        <w:t>L</w:t>
      </w:r>
      <w:r w:rsidRPr="0015666B">
        <w:rPr>
          <w:rFonts w:ascii="Calibri" w:hAnsi="Calibri" w:cs="Calibri"/>
          <w:sz w:val="24"/>
          <w:szCs w:val="24"/>
          <w:highlight w:val="yellow"/>
        </w:rPr>
        <w:t xml:space="preserve"> 4% paraformaldehyde (PFA) diluted in 10 mM </w:t>
      </w:r>
      <w:r w:rsidR="008D678D" w:rsidRPr="0015666B">
        <w:rPr>
          <w:rFonts w:ascii="Calibri" w:hAnsi="Calibri" w:cs="Calibri"/>
          <w:sz w:val="24"/>
          <w:szCs w:val="24"/>
          <w:highlight w:val="yellow"/>
        </w:rPr>
        <w:t>phosphate-buffered saline (PBS), pH 7.4,</w:t>
      </w:r>
      <w:r w:rsidRPr="0015666B">
        <w:rPr>
          <w:rFonts w:ascii="Calibri" w:hAnsi="Calibri" w:cs="Calibri"/>
          <w:sz w:val="24"/>
          <w:szCs w:val="24"/>
          <w:highlight w:val="yellow"/>
        </w:rPr>
        <w:t xml:space="preserve"> and incubate at room temperature for 20</w:t>
      </w:r>
      <w:r w:rsidR="0077478A" w:rsidRPr="0015666B">
        <w:rPr>
          <w:rFonts w:ascii="Calibri" w:hAnsi="Calibri" w:cs="Calibri"/>
          <w:sz w:val="24"/>
          <w:szCs w:val="24"/>
          <w:highlight w:val="yellow"/>
        </w:rPr>
        <w:t>–</w:t>
      </w:r>
      <w:r w:rsidRPr="0015666B">
        <w:rPr>
          <w:rFonts w:ascii="Calibri" w:hAnsi="Calibri" w:cs="Calibri"/>
          <w:sz w:val="24"/>
          <w:szCs w:val="24"/>
          <w:highlight w:val="yellow"/>
        </w:rPr>
        <w:t>24 h.</w:t>
      </w:r>
      <w:r w:rsidR="00C37DF1" w:rsidRPr="00C82009">
        <w:rPr>
          <w:rFonts w:ascii="Calibri" w:hAnsi="Calibri" w:cs="Calibri"/>
          <w:sz w:val="24"/>
          <w:szCs w:val="24"/>
        </w:rPr>
        <w:t xml:space="preserve"> For some antibodies, a shorter fixation and/or fixation at </w:t>
      </w:r>
      <w:r w:rsidR="00005F96" w:rsidRPr="00C104EB">
        <w:rPr>
          <w:rFonts w:ascii="Calibri" w:eastAsia="Calibri" w:hAnsi="Calibri" w:cs="Calibri"/>
          <w:color w:val="000000"/>
          <w:sz w:val="24"/>
          <w:szCs w:val="24"/>
        </w:rPr>
        <w:t>4 °C</w:t>
      </w:r>
      <w:r w:rsidR="00005F96">
        <w:rPr>
          <w:rFonts w:ascii="Calibri" w:eastAsia="Calibri" w:hAnsi="Calibri" w:cs="Calibri"/>
          <w:color w:val="000000"/>
          <w:sz w:val="24"/>
          <w:szCs w:val="24"/>
        </w:rPr>
        <w:t xml:space="preserve"> </w:t>
      </w:r>
      <w:r w:rsidR="00C37DF1" w:rsidRPr="00C82009">
        <w:rPr>
          <w:rFonts w:ascii="Calibri" w:hAnsi="Calibri" w:cs="Calibri"/>
          <w:sz w:val="24"/>
          <w:szCs w:val="24"/>
        </w:rPr>
        <w:t>is needed.</w:t>
      </w:r>
    </w:p>
    <w:p w14:paraId="28FB1B0A" w14:textId="7351E210" w:rsidR="005D25E1" w:rsidRDefault="005D25E1" w:rsidP="00444965"/>
    <w:p w14:paraId="74319768" w14:textId="571CB1D7" w:rsidR="00361CED" w:rsidRPr="00C82009" w:rsidRDefault="005D25E1" w:rsidP="00444965">
      <w:pPr>
        <w:autoSpaceDE w:val="0"/>
        <w:autoSpaceDN w:val="0"/>
        <w:adjustRightInd w:val="0"/>
        <w:rPr>
          <w:rFonts w:eastAsiaTheme="minorHAnsi"/>
        </w:rPr>
      </w:pPr>
      <w:r w:rsidRPr="00C82009">
        <w:t>NOTE:</w:t>
      </w:r>
      <w:r>
        <w:t xml:space="preserve"> Using these fixation conditions, the </w:t>
      </w:r>
      <w:r w:rsidR="007A6EDC">
        <w:t xml:space="preserve">temporal </w:t>
      </w:r>
      <w:r>
        <w:t>bone does not need to be opened to obtain good fixation</w:t>
      </w:r>
      <w:r w:rsidRPr="00361CED">
        <w:t>.</w:t>
      </w:r>
      <w:bookmarkStart w:id="2" w:name="_Hlk235799707"/>
      <w:r w:rsidR="00361CED" w:rsidRPr="00361CED">
        <w:t xml:space="preserve"> </w:t>
      </w:r>
      <w:r w:rsidR="00361CED" w:rsidRPr="00361CED">
        <w:rPr>
          <w:color w:val="000000"/>
        </w:rPr>
        <w:t>CAUTION: Paraformaldehyde is toxic and a suspected carcinogen. Handle in a fume hood, wearing gloves and a lab coat</w:t>
      </w:r>
      <w:r w:rsidR="00361CED" w:rsidRPr="00361CED">
        <w:rPr>
          <w:rFonts w:eastAsia="ArialMT"/>
        </w:rPr>
        <w:t xml:space="preserve">. </w:t>
      </w:r>
      <w:r w:rsidR="00361CED">
        <w:rPr>
          <w:rFonts w:eastAsia="ArialMT"/>
        </w:rPr>
        <w:t>P</w:t>
      </w:r>
      <w:r w:rsidR="00361CED" w:rsidRPr="00C82009">
        <w:rPr>
          <w:rFonts w:eastAsia="ArialMT"/>
        </w:rPr>
        <w:t>FA waste should be collected and sent to the University Environmental Health and Safety office for disposal.</w:t>
      </w:r>
    </w:p>
    <w:bookmarkEnd w:id="2"/>
    <w:p w14:paraId="07A76EDC"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4D302612" w14:textId="77777777" w:rsidR="008337A1" w:rsidRPr="00A8590D" w:rsidRDefault="008F595A" w:rsidP="00444965">
      <w:pPr>
        <w:pStyle w:val="ListParagraph"/>
        <w:numPr>
          <w:ilvl w:val="0"/>
          <w:numId w:val="16"/>
        </w:numPr>
        <w:spacing w:after="0" w:line="240" w:lineRule="auto"/>
        <w:ind w:left="0" w:firstLine="0"/>
        <w:jc w:val="both"/>
        <w:rPr>
          <w:rFonts w:ascii="Calibri" w:hAnsi="Calibri" w:cs="Calibri"/>
          <w:b/>
          <w:bCs/>
          <w:sz w:val="24"/>
          <w:szCs w:val="24"/>
        </w:rPr>
      </w:pPr>
      <w:r w:rsidRPr="00A8590D">
        <w:rPr>
          <w:rFonts w:ascii="Calibri" w:hAnsi="Calibri" w:cs="Calibri"/>
          <w:b/>
          <w:bCs/>
          <w:sz w:val="24"/>
          <w:szCs w:val="24"/>
        </w:rPr>
        <w:t>Decalcify Temporal Bones</w:t>
      </w:r>
    </w:p>
    <w:p w14:paraId="191E3368"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4B315129" w14:textId="195A9D3A" w:rsidR="008337A1" w:rsidRPr="0015666B" w:rsidRDefault="008F595A" w:rsidP="00444965">
      <w:pPr>
        <w:pStyle w:val="ListParagraph"/>
        <w:numPr>
          <w:ilvl w:val="1"/>
          <w:numId w:val="36"/>
        </w:numPr>
        <w:spacing w:after="0" w:line="240" w:lineRule="auto"/>
        <w:ind w:left="0" w:firstLine="0"/>
        <w:jc w:val="both"/>
        <w:rPr>
          <w:rFonts w:ascii="Calibri" w:hAnsi="Calibri" w:cs="Calibri"/>
          <w:sz w:val="24"/>
          <w:szCs w:val="24"/>
          <w:highlight w:val="yellow"/>
        </w:rPr>
      </w:pPr>
      <w:r w:rsidRPr="0015666B">
        <w:rPr>
          <w:rFonts w:ascii="Calibri" w:hAnsi="Calibri" w:cs="Calibri"/>
          <w:sz w:val="24"/>
          <w:szCs w:val="24"/>
          <w:highlight w:val="yellow"/>
        </w:rPr>
        <w:t xml:space="preserve">After fixation, </w:t>
      </w:r>
      <w:r w:rsidR="008874B6" w:rsidRPr="0015666B">
        <w:rPr>
          <w:rFonts w:ascii="Calibri" w:hAnsi="Calibri" w:cs="Calibri"/>
          <w:sz w:val="24"/>
          <w:szCs w:val="24"/>
          <w:highlight w:val="yellow"/>
        </w:rPr>
        <w:t xml:space="preserve">use a pipette to </w:t>
      </w:r>
      <w:r w:rsidRPr="0015666B">
        <w:rPr>
          <w:rFonts w:ascii="Calibri" w:hAnsi="Calibri" w:cs="Calibri"/>
          <w:sz w:val="24"/>
          <w:szCs w:val="24"/>
          <w:highlight w:val="yellow"/>
        </w:rPr>
        <w:t xml:space="preserve">remove </w:t>
      </w:r>
      <w:r w:rsidR="008874B6" w:rsidRPr="0015666B">
        <w:rPr>
          <w:rFonts w:ascii="Calibri" w:hAnsi="Calibri" w:cs="Calibri"/>
          <w:sz w:val="24"/>
          <w:szCs w:val="24"/>
          <w:highlight w:val="yellow"/>
        </w:rPr>
        <w:t xml:space="preserve">the </w:t>
      </w:r>
      <w:r w:rsidRPr="0015666B">
        <w:rPr>
          <w:rFonts w:ascii="Calibri" w:hAnsi="Calibri" w:cs="Calibri"/>
          <w:sz w:val="24"/>
          <w:szCs w:val="24"/>
          <w:highlight w:val="yellow"/>
        </w:rPr>
        <w:t xml:space="preserve">PFA and replace </w:t>
      </w:r>
      <w:r w:rsidR="008874B6" w:rsidRPr="0015666B">
        <w:rPr>
          <w:rFonts w:ascii="Calibri" w:hAnsi="Calibri" w:cs="Calibri"/>
          <w:sz w:val="24"/>
          <w:szCs w:val="24"/>
          <w:highlight w:val="yellow"/>
        </w:rPr>
        <w:t xml:space="preserve">it </w:t>
      </w:r>
      <w:r w:rsidRPr="0015666B">
        <w:rPr>
          <w:rFonts w:ascii="Calibri" w:hAnsi="Calibri" w:cs="Calibri"/>
          <w:sz w:val="24"/>
          <w:szCs w:val="24"/>
          <w:highlight w:val="yellow"/>
        </w:rPr>
        <w:t>with 120 mM ethylenediaminetetraacetic acid (EDTA)</w:t>
      </w:r>
      <w:r w:rsidR="008874B6" w:rsidRPr="0015666B">
        <w:rPr>
          <w:rFonts w:ascii="Calibri" w:hAnsi="Calibri" w:cs="Calibri"/>
          <w:sz w:val="24"/>
          <w:szCs w:val="24"/>
          <w:highlight w:val="yellow"/>
        </w:rPr>
        <w:t xml:space="preserve">. It is important </w:t>
      </w:r>
      <w:r w:rsidRPr="0015666B">
        <w:rPr>
          <w:rFonts w:ascii="Calibri" w:hAnsi="Calibri" w:cs="Calibri"/>
          <w:sz w:val="24"/>
          <w:szCs w:val="24"/>
          <w:highlight w:val="yellow"/>
        </w:rPr>
        <w:t xml:space="preserve">to fill the entire tube </w:t>
      </w:r>
      <w:r w:rsidR="008874B6" w:rsidRPr="0015666B">
        <w:rPr>
          <w:rFonts w:ascii="Calibri" w:hAnsi="Calibri" w:cs="Calibri"/>
          <w:sz w:val="24"/>
          <w:szCs w:val="24"/>
          <w:highlight w:val="yellow"/>
        </w:rPr>
        <w:t xml:space="preserve">with EDTA </w:t>
      </w:r>
      <w:r w:rsidR="00E255EA" w:rsidRPr="0015666B">
        <w:rPr>
          <w:rFonts w:ascii="Calibri" w:hAnsi="Calibri" w:cs="Calibri"/>
          <w:sz w:val="24"/>
          <w:szCs w:val="24"/>
          <w:highlight w:val="yellow"/>
        </w:rPr>
        <w:t>(</w:t>
      </w:r>
      <w:r w:rsidR="008874B6" w:rsidRPr="0015666B">
        <w:rPr>
          <w:rFonts w:ascii="Calibri" w:hAnsi="Calibri" w:cs="Calibri"/>
          <w:sz w:val="24"/>
          <w:szCs w:val="24"/>
          <w:highlight w:val="yellow"/>
        </w:rPr>
        <w:t>slightly more than 2 m</w:t>
      </w:r>
      <w:r w:rsidR="00FF0C57" w:rsidRPr="0015666B">
        <w:rPr>
          <w:rFonts w:ascii="Calibri" w:hAnsi="Calibri" w:cs="Calibri"/>
          <w:sz w:val="24"/>
          <w:szCs w:val="24"/>
          <w:highlight w:val="yellow"/>
        </w:rPr>
        <w:t>L</w:t>
      </w:r>
      <w:r w:rsidR="00E255EA" w:rsidRPr="0015666B">
        <w:rPr>
          <w:rFonts w:ascii="Calibri" w:hAnsi="Calibri" w:cs="Calibri"/>
          <w:sz w:val="24"/>
          <w:szCs w:val="24"/>
          <w:highlight w:val="yellow"/>
        </w:rPr>
        <w:t>)</w:t>
      </w:r>
      <w:r w:rsidR="008874B6" w:rsidRPr="0015666B">
        <w:rPr>
          <w:rFonts w:ascii="Calibri" w:hAnsi="Calibri" w:cs="Calibri"/>
          <w:sz w:val="24"/>
          <w:szCs w:val="24"/>
          <w:highlight w:val="yellow"/>
        </w:rPr>
        <w:t xml:space="preserve"> </w:t>
      </w:r>
      <w:r w:rsidRPr="0015666B">
        <w:rPr>
          <w:rFonts w:ascii="Calibri" w:hAnsi="Calibri" w:cs="Calibri"/>
          <w:sz w:val="24"/>
          <w:szCs w:val="24"/>
          <w:highlight w:val="yellow"/>
        </w:rPr>
        <w:t>to prevent air bubbles when the tube is closed.</w:t>
      </w:r>
    </w:p>
    <w:p w14:paraId="39F7D18D"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46818558" w14:textId="54E3A1B1" w:rsidR="00B54B86" w:rsidRPr="00C82009" w:rsidRDefault="008F595A" w:rsidP="00444965">
      <w:r w:rsidRPr="00C82009">
        <w:t xml:space="preserve">3.2. </w:t>
      </w:r>
      <w:r w:rsidR="008337A1" w:rsidRPr="00C82009">
        <w:t>If not decalcifying immediately, replace PFA with 10 mM PBS</w:t>
      </w:r>
      <w:r w:rsidR="008D678D">
        <w:t>,</w:t>
      </w:r>
      <w:r w:rsidR="008337A1" w:rsidRPr="00C82009">
        <w:t xml:space="preserve"> pH 7.4</w:t>
      </w:r>
      <w:r w:rsidR="008D678D">
        <w:t>,</w:t>
      </w:r>
      <w:r w:rsidR="008337A1" w:rsidRPr="00C82009">
        <w:t xml:space="preserve"> and store samples at </w:t>
      </w:r>
      <w:r w:rsidRPr="00C82009">
        <w:t xml:space="preserve">  </w:t>
      </w:r>
    </w:p>
    <w:p w14:paraId="4BD1F1E1" w14:textId="2C18EE08" w:rsidR="00C82009" w:rsidRPr="00C82009" w:rsidRDefault="008F595A" w:rsidP="00444965">
      <w:r w:rsidRPr="00C82009">
        <w:t xml:space="preserve">       </w:t>
      </w:r>
      <w:r w:rsidR="00005F96" w:rsidRPr="00C104EB">
        <w:rPr>
          <w:color w:val="000000"/>
        </w:rPr>
        <w:t>4 °C</w:t>
      </w:r>
      <w:r w:rsidR="00005F96">
        <w:t>.</w:t>
      </w:r>
    </w:p>
    <w:p w14:paraId="2F083222" w14:textId="77777777" w:rsidR="00C82009" w:rsidRPr="00C82009" w:rsidRDefault="00C82009" w:rsidP="00444965"/>
    <w:p w14:paraId="00F9FC8A" w14:textId="1C56B911" w:rsidR="006439A8" w:rsidRPr="00C82009" w:rsidRDefault="008F595A" w:rsidP="00444965">
      <w:r w:rsidRPr="00C82009">
        <w:t>NOTE: After fixation, temporal bones can be stored</w:t>
      </w:r>
      <w:r w:rsidR="00E255EA" w:rsidRPr="00C82009">
        <w:t xml:space="preserve"> at </w:t>
      </w:r>
      <w:r w:rsidR="00005F96" w:rsidRPr="00C104EB">
        <w:rPr>
          <w:color w:val="000000"/>
        </w:rPr>
        <w:t>4 °C</w:t>
      </w:r>
      <w:r w:rsidR="00005F96">
        <w:rPr>
          <w:color w:val="000000"/>
        </w:rPr>
        <w:t xml:space="preserve"> </w:t>
      </w:r>
      <w:r w:rsidR="00E255EA" w:rsidRPr="00C82009">
        <w:t>before decalcification. However</w:t>
      </w:r>
      <w:r w:rsidR="008D678D">
        <w:t>,</w:t>
      </w:r>
      <w:r w:rsidR="00E255EA" w:rsidRPr="00C82009">
        <w:t xml:space="preserve"> the </w:t>
      </w:r>
      <w:r w:rsidR="008D678D">
        <w:t>storage duration</w:t>
      </w:r>
      <w:r w:rsidRPr="00C82009">
        <w:t xml:space="preserve"> depend</w:t>
      </w:r>
      <w:r w:rsidR="00E255EA" w:rsidRPr="00C82009">
        <w:t>s</w:t>
      </w:r>
      <w:r w:rsidRPr="00C82009">
        <w:t xml:space="preserve"> on the</w:t>
      </w:r>
      <w:r w:rsidR="00E255EA" w:rsidRPr="00C82009">
        <w:t xml:space="preserve"> antibodies planned for immunostaining</w:t>
      </w:r>
      <w:r w:rsidRPr="00C82009">
        <w:t>.</w:t>
      </w:r>
    </w:p>
    <w:p w14:paraId="0972BA7B" w14:textId="77777777" w:rsidR="006439A8" w:rsidRPr="00C82009" w:rsidRDefault="006439A8" w:rsidP="00444965"/>
    <w:p w14:paraId="51083E8E" w14:textId="62E660AB" w:rsidR="008337A1" w:rsidRPr="0015666B" w:rsidRDefault="008F595A" w:rsidP="00444965">
      <w:pPr>
        <w:pStyle w:val="ListParagraph"/>
        <w:numPr>
          <w:ilvl w:val="1"/>
          <w:numId w:val="35"/>
        </w:numPr>
        <w:spacing w:after="0" w:line="240" w:lineRule="auto"/>
        <w:ind w:left="0" w:firstLine="0"/>
        <w:jc w:val="both"/>
        <w:rPr>
          <w:rFonts w:ascii="Calibri" w:hAnsi="Calibri" w:cs="Calibri"/>
          <w:sz w:val="24"/>
          <w:szCs w:val="24"/>
          <w:highlight w:val="yellow"/>
        </w:rPr>
      </w:pPr>
      <w:r w:rsidRPr="0015666B">
        <w:rPr>
          <w:rFonts w:ascii="Calibri" w:hAnsi="Calibri" w:cs="Calibri"/>
          <w:sz w:val="24"/>
          <w:szCs w:val="24"/>
          <w:highlight w:val="yellow"/>
        </w:rPr>
        <w:t xml:space="preserve">Place tubes on an </w:t>
      </w:r>
      <w:r w:rsidR="008D678D" w:rsidRPr="0015666B">
        <w:rPr>
          <w:rFonts w:ascii="Calibri" w:hAnsi="Calibri" w:cs="Calibri"/>
          <w:sz w:val="24"/>
          <w:szCs w:val="24"/>
          <w:highlight w:val="yellow"/>
        </w:rPr>
        <w:t>end-over-end</w:t>
      </w:r>
      <w:r w:rsidRPr="0015666B">
        <w:rPr>
          <w:rFonts w:ascii="Calibri" w:hAnsi="Calibri" w:cs="Calibri"/>
          <w:sz w:val="24"/>
          <w:szCs w:val="24"/>
          <w:highlight w:val="yellow"/>
        </w:rPr>
        <w:t xml:space="preserve"> </w:t>
      </w:r>
      <w:r w:rsidR="00C82009" w:rsidRPr="0015666B">
        <w:rPr>
          <w:rFonts w:ascii="Calibri" w:hAnsi="Calibri" w:cs="Calibri"/>
          <w:sz w:val="24"/>
          <w:szCs w:val="24"/>
          <w:highlight w:val="yellow"/>
        </w:rPr>
        <w:t>rotator and</w:t>
      </w:r>
      <w:r w:rsidRPr="0015666B">
        <w:rPr>
          <w:rFonts w:ascii="Calibri" w:hAnsi="Calibri" w:cs="Calibri"/>
          <w:sz w:val="24"/>
          <w:szCs w:val="24"/>
          <w:highlight w:val="yellow"/>
        </w:rPr>
        <w:t xml:space="preserve"> rotate at 4 </w:t>
      </w:r>
      <w:r w:rsidR="0004730F" w:rsidRPr="0015666B">
        <w:rPr>
          <w:rFonts w:ascii="Calibri" w:hAnsi="Calibri" w:cs="Calibri"/>
          <w:sz w:val="24"/>
          <w:szCs w:val="24"/>
          <w:highlight w:val="yellow"/>
        </w:rPr>
        <w:t>rpm</w:t>
      </w:r>
      <w:r w:rsidRPr="0015666B">
        <w:rPr>
          <w:rFonts w:ascii="Calibri" w:hAnsi="Calibri" w:cs="Calibri"/>
          <w:sz w:val="24"/>
          <w:szCs w:val="24"/>
          <w:highlight w:val="yellow"/>
        </w:rPr>
        <w:t xml:space="preserve"> at </w:t>
      </w:r>
      <w:r w:rsidR="00965CCC" w:rsidRPr="0015666B">
        <w:rPr>
          <w:rFonts w:ascii="Calibri" w:hAnsi="Calibri" w:cs="Calibri"/>
          <w:sz w:val="24"/>
          <w:szCs w:val="24"/>
          <w:highlight w:val="yellow"/>
        </w:rPr>
        <w:t>room temperature</w:t>
      </w:r>
      <w:r w:rsidRPr="0015666B">
        <w:rPr>
          <w:rFonts w:ascii="Calibri" w:hAnsi="Calibri" w:cs="Calibri"/>
          <w:sz w:val="24"/>
          <w:szCs w:val="24"/>
          <w:highlight w:val="yellow"/>
        </w:rPr>
        <w:t>.</w:t>
      </w:r>
    </w:p>
    <w:p w14:paraId="3613E788"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6A3D7FD1" w14:textId="458C4550" w:rsidR="006439A8" w:rsidRPr="00C82009" w:rsidRDefault="008F595A" w:rsidP="00444965">
      <w:pPr>
        <w:pStyle w:val="ListParagraph"/>
        <w:numPr>
          <w:ilvl w:val="1"/>
          <w:numId w:val="35"/>
        </w:numPr>
        <w:spacing w:after="0" w:line="240" w:lineRule="auto"/>
        <w:ind w:left="0" w:firstLine="0"/>
        <w:jc w:val="both"/>
        <w:rPr>
          <w:rFonts w:ascii="Calibri" w:hAnsi="Calibri" w:cs="Calibri"/>
          <w:sz w:val="24"/>
          <w:szCs w:val="24"/>
        </w:rPr>
      </w:pPr>
      <w:r w:rsidRPr="00C82009">
        <w:rPr>
          <w:rFonts w:ascii="Calibri" w:hAnsi="Calibri" w:cs="Calibri"/>
          <w:sz w:val="24"/>
          <w:szCs w:val="24"/>
        </w:rPr>
        <w:t>Change the EDTA solution once a day, about 24</w:t>
      </w:r>
      <w:r w:rsidR="00965CCC" w:rsidRPr="00C82009">
        <w:rPr>
          <w:rFonts w:ascii="Calibri" w:hAnsi="Calibri" w:cs="Calibri"/>
          <w:sz w:val="24"/>
          <w:szCs w:val="24"/>
        </w:rPr>
        <w:t xml:space="preserve"> </w:t>
      </w:r>
      <w:r w:rsidRPr="00C82009">
        <w:rPr>
          <w:rFonts w:ascii="Calibri" w:hAnsi="Calibri" w:cs="Calibri"/>
          <w:sz w:val="24"/>
          <w:szCs w:val="24"/>
        </w:rPr>
        <w:t xml:space="preserve">h apart for at least 3 </w:t>
      </w:r>
      <w:r w:rsidR="00B502EF">
        <w:rPr>
          <w:rFonts w:ascii="Calibri" w:hAnsi="Calibri" w:cs="Calibri"/>
          <w:sz w:val="24"/>
          <w:szCs w:val="24"/>
        </w:rPr>
        <w:t>day</w:t>
      </w:r>
      <w:r w:rsidRPr="00C82009">
        <w:rPr>
          <w:rFonts w:ascii="Calibri" w:hAnsi="Calibri" w:cs="Calibri"/>
          <w:sz w:val="24"/>
          <w:szCs w:val="24"/>
        </w:rPr>
        <w:t xml:space="preserve">s.  </w:t>
      </w:r>
    </w:p>
    <w:p w14:paraId="427330EC"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4454A481" w14:textId="3B8B9D7B" w:rsidR="008337A1" w:rsidRPr="00C82009" w:rsidRDefault="008F595A" w:rsidP="00444965">
      <w:pPr>
        <w:pStyle w:val="ListParagraph"/>
        <w:spacing w:after="0" w:line="240" w:lineRule="auto"/>
        <w:ind w:left="0"/>
        <w:jc w:val="both"/>
        <w:rPr>
          <w:rFonts w:ascii="Calibri" w:hAnsi="Calibri" w:cs="Calibri"/>
          <w:sz w:val="24"/>
          <w:szCs w:val="24"/>
        </w:rPr>
      </w:pPr>
      <w:r w:rsidRPr="00C82009">
        <w:rPr>
          <w:rFonts w:ascii="Calibri" w:hAnsi="Calibri" w:cs="Calibri"/>
          <w:sz w:val="24"/>
          <w:szCs w:val="24"/>
        </w:rPr>
        <w:lastRenderedPageBreak/>
        <w:t xml:space="preserve">NOTE: The tissue needs to be slightly more </w:t>
      </w:r>
      <w:r w:rsidR="00B502EF" w:rsidRPr="00C104EB">
        <w:rPr>
          <w:rFonts w:ascii="Calibri" w:eastAsia="Calibri" w:hAnsi="Calibri" w:cs="Calibri"/>
          <w:color w:val="000000"/>
          <w:sz w:val="24"/>
          <w:szCs w:val="24"/>
        </w:rPr>
        <w:t>than for the cochlear dissection described previously</w:t>
      </w:r>
      <w:r w:rsidR="00E150BC" w:rsidRPr="00C82009">
        <w:rPr>
          <w:rFonts w:ascii="Calibri" w:hAnsi="Calibri" w:cs="Calibri"/>
          <w:sz w:val="24"/>
          <w:szCs w:val="24"/>
        </w:rPr>
        <w:fldChar w:fldCharType="begin" w:fldLock="1"/>
      </w:r>
      <w:r w:rsidR="00FA6DA6" w:rsidRPr="00C82009">
        <w:rPr>
          <w:rFonts w:ascii="Calibri" w:hAnsi="Calibri" w:cs="Calibri"/>
          <w:sz w:val="24"/>
          <w:szCs w:val="24"/>
        </w:rPr>
        <w:instrText>ADDIN CSL_CITATION {"citationItems":[{"id":"ITEM-1","itemData":{"DOI":"10.3791/53561","ISSN":"1940087X","abstract":"© 2016 Journal of Visualized Experiments. The organ of Corti, housed in the cochlea of the inner ear, contains mechanosensory hair cells and surrounding supporting cells which are organized in a spiral shape and have a tonotopic gradient for sound detection. The mouse cochlea is approximately 6 mm long and often divided into three turns (apex, middle, and base) for analysis. To investigate cell loss, cell division, or mosaic gene expression, the whole mount or surface preparation of the cochlea is useful. This dissection method allows visualization of all cells within the organ of Corti when combined with immunostaining and confocal microscopy to image cells at different planes in the z-axis. Multiple optical cross-sections can also be obtained from these z-stack images. In addition, the whole mount dissection method can be used for scanning electron microscopy, although a different fixation method is needed. Here, we present a method to isolate the organ of Corti as three intact cochlear turns (apex, middle, and base). This method can be used for mice ranging from one week of age through adulthood and differs from the technique used for neonatal samples where calcification of the cochlea is incomplete. A slightly modified version can be used for dissection of the rat cochlea. We also demonstrate a procedure for immunostaining with fluorescently tagged antibodies.","author":[{"dropping-particle":"","family":"Montgomery","given":"S.C.","non-dropping-particle":"","parse-names":false,"suffix":""},{"dropping-particle":"","family":"Cox","given":"B.C.","non-dropping-particle":"","parse-names":false,"suffix":""}],"container-title":"Journal of Visualized Experiments","id":"ITEM-1","issue":"107","issued":{"date-parts":[["2016"]]},"title":"Whole mount dissection and immunofluorescence of the adult mouse cochlea","type":"article-journal","volume":"2016"},"uris":["http://www.mendeley.com/documents/?uuid=22352103-e786-3fa0-9c0b-3db618868a45"]}],"mendeley":{"formattedCitation":"(15)","plainTextFormattedCitation":"(15)","previouslyFormattedCitation":"(14)"},"properties":{"noteIndex":0},"schema":"https://github.com/citation-style-language/schema/raw/master/csl-citation.json"}</w:instrText>
      </w:r>
      <w:r w:rsidR="00E150BC" w:rsidRPr="00C82009">
        <w:rPr>
          <w:rFonts w:ascii="Calibri" w:hAnsi="Calibri" w:cs="Calibri"/>
          <w:sz w:val="24"/>
          <w:szCs w:val="24"/>
        </w:rPr>
        <w:fldChar w:fldCharType="separate"/>
      </w:r>
      <w:r w:rsidR="00FA6DA6" w:rsidRPr="00C82009">
        <w:rPr>
          <w:rFonts w:ascii="Calibri" w:hAnsi="Calibri" w:cs="Calibri"/>
          <w:noProof/>
          <w:sz w:val="24"/>
          <w:szCs w:val="24"/>
          <w:vertAlign w:val="superscript"/>
        </w:rPr>
        <w:t>15</w:t>
      </w:r>
      <w:r w:rsidR="00E150BC" w:rsidRPr="00C82009">
        <w:rPr>
          <w:rFonts w:ascii="Calibri" w:hAnsi="Calibri" w:cs="Calibri"/>
          <w:sz w:val="24"/>
          <w:szCs w:val="24"/>
        </w:rPr>
        <w:fldChar w:fldCharType="end"/>
      </w:r>
      <w:r w:rsidRPr="00C82009">
        <w:rPr>
          <w:rFonts w:ascii="Calibri" w:hAnsi="Calibri" w:cs="Calibri"/>
          <w:sz w:val="24"/>
          <w:szCs w:val="24"/>
        </w:rPr>
        <w:t xml:space="preserve">. Decalcification time may vary slightly depending on the </w:t>
      </w:r>
      <w:r w:rsidR="008D678D">
        <w:rPr>
          <w:rFonts w:ascii="Calibri" w:hAnsi="Calibri" w:cs="Calibri"/>
          <w:sz w:val="24"/>
          <w:szCs w:val="24"/>
        </w:rPr>
        <w:t>animal's age</w:t>
      </w:r>
      <w:r w:rsidRPr="00C82009">
        <w:rPr>
          <w:rFonts w:ascii="Calibri" w:hAnsi="Calibri" w:cs="Calibri"/>
          <w:sz w:val="24"/>
          <w:szCs w:val="24"/>
        </w:rPr>
        <w:t>. To speed up the decalcification process, EDTA can be changed twice a day</w:t>
      </w:r>
      <w:r w:rsidR="008D678D">
        <w:rPr>
          <w:rFonts w:ascii="Calibri" w:hAnsi="Calibri" w:cs="Calibri"/>
          <w:sz w:val="24"/>
          <w:szCs w:val="24"/>
        </w:rPr>
        <w:t>,</w:t>
      </w:r>
      <w:r w:rsidRPr="00C82009">
        <w:rPr>
          <w:rFonts w:ascii="Calibri" w:hAnsi="Calibri" w:cs="Calibri"/>
          <w:sz w:val="24"/>
          <w:szCs w:val="24"/>
        </w:rPr>
        <w:t xml:space="preserve"> or </w:t>
      </w:r>
      <w:r w:rsidR="008D678D">
        <w:rPr>
          <w:rFonts w:ascii="Calibri" w:hAnsi="Calibri" w:cs="Calibri"/>
          <w:sz w:val="24"/>
          <w:szCs w:val="24"/>
        </w:rPr>
        <w:t>the tissue can be placed in a larger tube containing a higher</w:t>
      </w:r>
      <w:r w:rsidRPr="00C82009">
        <w:rPr>
          <w:rFonts w:ascii="Calibri" w:hAnsi="Calibri" w:cs="Calibri"/>
          <w:sz w:val="24"/>
          <w:szCs w:val="24"/>
        </w:rPr>
        <w:t xml:space="preserve"> volume of EDTA.</w:t>
      </w:r>
    </w:p>
    <w:p w14:paraId="48269DC8"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7E37B74F" w14:textId="1E73957B" w:rsidR="008337A1" w:rsidRPr="0015666B" w:rsidRDefault="008F595A" w:rsidP="00444965">
      <w:pPr>
        <w:pStyle w:val="ListParagraph"/>
        <w:numPr>
          <w:ilvl w:val="1"/>
          <w:numId w:val="34"/>
        </w:numPr>
        <w:spacing w:after="0" w:line="240" w:lineRule="auto"/>
        <w:ind w:left="0" w:firstLine="0"/>
        <w:jc w:val="both"/>
        <w:rPr>
          <w:rFonts w:ascii="Calibri" w:hAnsi="Calibri" w:cs="Calibri"/>
          <w:sz w:val="24"/>
          <w:szCs w:val="24"/>
          <w:highlight w:val="yellow"/>
        </w:rPr>
      </w:pPr>
      <w:r w:rsidRPr="0015666B">
        <w:rPr>
          <w:rFonts w:ascii="Calibri" w:hAnsi="Calibri" w:cs="Calibri"/>
          <w:sz w:val="24"/>
          <w:szCs w:val="24"/>
          <w:highlight w:val="yellow"/>
        </w:rPr>
        <w:t xml:space="preserve">To determine if the sample is adequately decalcified, place </w:t>
      </w:r>
      <w:r w:rsidR="008D678D" w:rsidRPr="0015666B">
        <w:rPr>
          <w:rFonts w:ascii="Calibri" w:hAnsi="Calibri" w:cs="Calibri"/>
          <w:sz w:val="24"/>
          <w:szCs w:val="24"/>
          <w:highlight w:val="yellow"/>
        </w:rPr>
        <w:t xml:space="preserve">the </w:t>
      </w:r>
      <w:r w:rsidRPr="0015666B">
        <w:rPr>
          <w:rFonts w:ascii="Calibri" w:hAnsi="Calibri" w:cs="Calibri"/>
          <w:sz w:val="24"/>
          <w:szCs w:val="24"/>
          <w:highlight w:val="yellow"/>
        </w:rPr>
        <w:t>temporal bones on a silicon</w:t>
      </w:r>
      <w:r w:rsidR="0004730F" w:rsidRPr="0015666B">
        <w:rPr>
          <w:rFonts w:ascii="Calibri" w:hAnsi="Calibri" w:cs="Calibri"/>
          <w:sz w:val="24"/>
          <w:szCs w:val="24"/>
          <w:highlight w:val="yellow"/>
        </w:rPr>
        <w:t>e</w:t>
      </w:r>
      <w:r w:rsidRPr="0015666B">
        <w:rPr>
          <w:rFonts w:ascii="Calibri" w:hAnsi="Calibri" w:cs="Calibri"/>
          <w:sz w:val="24"/>
          <w:szCs w:val="24"/>
          <w:highlight w:val="yellow"/>
        </w:rPr>
        <w:t xml:space="preserve"> elastomer-coated dissection dish</w:t>
      </w:r>
      <w:r w:rsidR="00E150BC" w:rsidRPr="0015666B">
        <w:rPr>
          <w:rFonts w:ascii="Calibri" w:hAnsi="Calibri" w:cs="Calibri"/>
          <w:sz w:val="24"/>
          <w:szCs w:val="24"/>
          <w:highlight w:val="yellow"/>
        </w:rPr>
        <w:fldChar w:fldCharType="begin" w:fldLock="1"/>
      </w:r>
      <w:r w:rsidR="00FA6DA6" w:rsidRPr="0015666B">
        <w:rPr>
          <w:rFonts w:ascii="Calibri" w:hAnsi="Calibri" w:cs="Calibri"/>
          <w:sz w:val="24"/>
          <w:szCs w:val="24"/>
          <w:highlight w:val="yellow"/>
        </w:rPr>
        <w:instrText>ADDIN CSL_CITATION {"citationItems":[{"id":"ITEM-1","itemData":{"DOI":"10.3791/53561","ISSN":"1940087X","abstract":"© 2016 Journal of Visualized Experiments. The organ of Corti, housed in the cochlea of the inner ear, contains mechanosensory hair cells and surrounding supporting cells which are organized in a spiral shape and have a tonotopic gradient for sound detection. The mouse cochlea is approximately 6 mm long and often divided into three turns (apex, middle, and base) for analysis. To investigate cell loss, cell division, or mosaic gene expression, the whole mount or surface preparation of the cochlea is useful. This dissection method allows visualization of all cells within the organ of Corti when combined with immunostaining and confocal microscopy to image cells at different planes in the z-axis. Multiple optical cross-sections can also be obtained from these z-stack images. In addition, the whole mount dissection method can be used for scanning electron microscopy, although a different fixation method is needed. Here, we present a method to isolate the organ of Corti as three intact cochlear turns (apex, middle, and base). This method can be used for mice ranging from one week of age through adulthood and differs from the technique used for neonatal samples where calcification of the cochlea is incomplete. A slightly modified version can be used for dissection of the rat cochlea. We also demonstrate a procedure for immunostaining with fluorescently tagged antibodies.","author":[{"dropping-particle":"","family":"Montgomery","given":"S.C.","non-dropping-particle":"","parse-names":false,"suffix":""},{"dropping-particle":"","family":"Cox","given":"B.C.","non-dropping-particle":"","parse-names":false,"suffix":""}],"container-title":"Journal of Visualized Experiments","id":"ITEM-1","issue":"107","issued":{"date-parts":[["2016"]]},"title":"Whole mount dissection and immunofluorescence of the adult mouse cochlea","type":"article-journal","volume":"2016"},"uris":["http://www.mendeley.com/documents/?uuid=22352103-e786-3fa0-9c0b-3db618868a45"]}],"mendeley":{"formattedCitation":"(15)","plainTextFormattedCitation":"(15)","previouslyFormattedCitation":"(14)"},"properties":{"noteIndex":0},"schema":"https://github.com/citation-style-language/schema/raw/master/csl-citation.json"}</w:instrText>
      </w:r>
      <w:r w:rsidR="00E150BC" w:rsidRPr="0015666B">
        <w:rPr>
          <w:rFonts w:ascii="Calibri" w:hAnsi="Calibri" w:cs="Calibri"/>
          <w:sz w:val="24"/>
          <w:szCs w:val="24"/>
          <w:highlight w:val="yellow"/>
        </w:rPr>
        <w:fldChar w:fldCharType="separate"/>
      </w:r>
      <w:r w:rsidR="00FA6DA6" w:rsidRPr="0015666B">
        <w:rPr>
          <w:rFonts w:ascii="Calibri" w:hAnsi="Calibri" w:cs="Calibri"/>
          <w:noProof/>
          <w:sz w:val="24"/>
          <w:szCs w:val="24"/>
          <w:highlight w:val="yellow"/>
          <w:vertAlign w:val="superscript"/>
        </w:rPr>
        <w:t>15</w:t>
      </w:r>
      <w:r w:rsidR="00E150BC" w:rsidRPr="0015666B">
        <w:rPr>
          <w:rFonts w:ascii="Calibri" w:hAnsi="Calibri" w:cs="Calibri"/>
          <w:sz w:val="24"/>
          <w:szCs w:val="24"/>
          <w:highlight w:val="yellow"/>
        </w:rPr>
        <w:fldChar w:fldCharType="end"/>
      </w:r>
      <w:r w:rsidRPr="0015666B">
        <w:rPr>
          <w:rFonts w:ascii="Calibri" w:hAnsi="Calibri" w:cs="Calibri"/>
          <w:sz w:val="24"/>
          <w:szCs w:val="24"/>
          <w:highlight w:val="yellow"/>
        </w:rPr>
        <w:t xml:space="preserve"> and gently press </w:t>
      </w:r>
      <w:r w:rsidR="008D678D" w:rsidRPr="0015666B">
        <w:rPr>
          <w:rFonts w:ascii="Calibri" w:hAnsi="Calibri" w:cs="Calibri"/>
          <w:sz w:val="24"/>
          <w:szCs w:val="24"/>
          <w:highlight w:val="yellow"/>
        </w:rPr>
        <w:t xml:space="preserve">the </w:t>
      </w:r>
      <w:r w:rsidRPr="0015666B">
        <w:rPr>
          <w:rFonts w:ascii="Calibri" w:hAnsi="Calibri" w:cs="Calibri"/>
          <w:sz w:val="24"/>
          <w:szCs w:val="24"/>
          <w:highlight w:val="yellow"/>
        </w:rPr>
        <w:t xml:space="preserve">forceps onto the vestibule. If the tissue is </w:t>
      </w:r>
      <w:r w:rsidR="008D678D" w:rsidRPr="0015666B">
        <w:rPr>
          <w:rFonts w:ascii="Calibri" w:hAnsi="Calibri" w:cs="Calibri"/>
          <w:sz w:val="24"/>
          <w:szCs w:val="24"/>
          <w:highlight w:val="yellow"/>
        </w:rPr>
        <w:t>spongy</w:t>
      </w:r>
      <w:r w:rsidRPr="0015666B">
        <w:rPr>
          <w:rFonts w:ascii="Calibri" w:hAnsi="Calibri" w:cs="Calibri"/>
          <w:sz w:val="24"/>
          <w:szCs w:val="24"/>
          <w:highlight w:val="yellow"/>
        </w:rPr>
        <w:t>, then decalcification is complete.</w:t>
      </w:r>
    </w:p>
    <w:p w14:paraId="5D1A639E"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47B9FAEF" w14:textId="365A0B60" w:rsidR="00C82009" w:rsidRPr="00C82009" w:rsidRDefault="008F595A" w:rsidP="00444965">
      <w:pPr>
        <w:pStyle w:val="ListParagraph"/>
        <w:numPr>
          <w:ilvl w:val="1"/>
          <w:numId w:val="34"/>
        </w:numPr>
        <w:spacing w:after="0" w:line="240" w:lineRule="auto"/>
        <w:ind w:left="0" w:firstLine="0"/>
        <w:jc w:val="both"/>
        <w:rPr>
          <w:rFonts w:ascii="Calibri" w:hAnsi="Calibri" w:cs="Calibri"/>
          <w:sz w:val="24"/>
          <w:szCs w:val="24"/>
        </w:rPr>
      </w:pPr>
      <w:r w:rsidRPr="00C82009">
        <w:rPr>
          <w:rFonts w:ascii="Calibri" w:hAnsi="Calibri" w:cs="Calibri"/>
          <w:sz w:val="24"/>
          <w:szCs w:val="24"/>
        </w:rPr>
        <w:t xml:space="preserve">Once decalcification is complete, </w:t>
      </w:r>
      <w:r w:rsidR="00E255EA" w:rsidRPr="00C82009">
        <w:rPr>
          <w:rFonts w:ascii="Calibri" w:hAnsi="Calibri" w:cs="Calibri"/>
          <w:sz w:val="24"/>
          <w:szCs w:val="24"/>
        </w:rPr>
        <w:t xml:space="preserve">use a pipette to </w:t>
      </w:r>
      <w:r w:rsidRPr="00C82009">
        <w:rPr>
          <w:rFonts w:ascii="Calibri" w:hAnsi="Calibri" w:cs="Calibri"/>
          <w:sz w:val="24"/>
          <w:szCs w:val="24"/>
        </w:rPr>
        <w:t>remove</w:t>
      </w:r>
      <w:r w:rsidR="00E255EA" w:rsidRPr="00C82009">
        <w:rPr>
          <w:rFonts w:ascii="Calibri" w:hAnsi="Calibri" w:cs="Calibri"/>
          <w:sz w:val="24"/>
          <w:szCs w:val="24"/>
        </w:rPr>
        <w:t xml:space="preserve"> the</w:t>
      </w:r>
      <w:r w:rsidRPr="00C82009">
        <w:rPr>
          <w:rFonts w:ascii="Calibri" w:hAnsi="Calibri" w:cs="Calibri"/>
          <w:sz w:val="24"/>
          <w:szCs w:val="24"/>
        </w:rPr>
        <w:t xml:space="preserve"> EDTA and add 500</w:t>
      </w:r>
      <w:r w:rsidR="00FF0C57">
        <w:rPr>
          <w:rFonts w:ascii="Calibri" w:hAnsi="Calibri" w:cs="Calibri"/>
          <w:sz w:val="24"/>
          <w:szCs w:val="24"/>
        </w:rPr>
        <w:t>–</w:t>
      </w:r>
      <w:r w:rsidRPr="00C82009">
        <w:rPr>
          <w:rFonts w:ascii="Calibri" w:hAnsi="Calibri" w:cs="Calibri"/>
          <w:sz w:val="24"/>
          <w:szCs w:val="24"/>
        </w:rPr>
        <w:t>1,000</w:t>
      </w:r>
      <w:r w:rsidR="00FF0C57">
        <w:rPr>
          <w:rFonts w:ascii="Calibri" w:hAnsi="Calibri" w:cs="Calibri"/>
          <w:sz w:val="24"/>
          <w:szCs w:val="24"/>
        </w:rPr>
        <w:t xml:space="preserve"> </w:t>
      </w:r>
      <w:proofErr w:type="spellStart"/>
      <w:r w:rsidRPr="00C82009">
        <w:rPr>
          <w:rFonts w:ascii="Calibri" w:hAnsi="Calibri" w:cs="Calibri"/>
          <w:sz w:val="24"/>
          <w:szCs w:val="24"/>
        </w:rPr>
        <w:t>μ</w:t>
      </w:r>
      <w:r w:rsidR="008D678D">
        <w:rPr>
          <w:rFonts w:ascii="Calibri" w:hAnsi="Calibri" w:cs="Calibri"/>
          <w:sz w:val="24"/>
          <w:szCs w:val="24"/>
        </w:rPr>
        <w:t>L</w:t>
      </w:r>
      <w:proofErr w:type="spellEnd"/>
      <w:r w:rsidRPr="00C82009">
        <w:rPr>
          <w:rFonts w:ascii="Calibri" w:hAnsi="Calibri" w:cs="Calibri"/>
          <w:sz w:val="24"/>
          <w:szCs w:val="24"/>
        </w:rPr>
        <w:t xml:space="preserve"> of 10 mM PBS</w:t>
      </w:r>
      <w:r w:rsidR="00FF0C57">
        <w:rPr>
          <w:rFonts w:ascii="Calibri" w:hAnsi="Calibri" w:cs="Calibri"/>
          <w:sz w:val="24"/>
          <w:szCs w:val="24"/>
        </w:rPr>
        <w:t>,</w:t>
      </w:r>
      <w:r w:rsidRPr="00C82009">
        <w:rPr>
          <w:rFonts w:ascii="Calibri" w:hAnsi="Calibri" w:cs="Calibri"/>
          <w:sz w:val="24"/>
          <w:szCs w:val="24"/>
        </w:rPr>
        <w:t xml:space="preserve"> pH 7.4. Store samples at </w:t>
      </w:r>
      <w:r w:rsidR="00005F96" w:rsidRPr="00C104EB">
        <w:rPr>
          <w:rFonts w:ascii="Calibri" w:eastAsia="Calibri" w:hAnsi="Calibri" w:cs="Calibri"/>
          <w:color w:val="000000"/>
          <w:sz w:val="24"/>
          <w:szCs w:val="24"/>
        </w:rPr>
        <w:t>4 °C</w:t>
      </w:r>
      <w:r w:rsidR="00005F96">
        <w:rPr>
          <w:rFonts w:ascii="Calibri" w:eastAsia="Calibri" w:hAnsi="Calibri" w:cs="Calibri"/>
          <w:color w:val="000000"/>
          <w:sz w:val="24"/>
          <w:szCs w:val="24"/>
        </w:rPr>
        <w:t xml:space="preserve"> </w:t>
      </w:r>
      <w:r w:rsidRPr="00C82009">
        <w:rPr>
          <w:rFonts w:ascii="Calibri" w:hAnsi="Calibri" w:cs="Calibri"/>
          <w:sz w:val="24"/>
          <w:szCs w:val="24"/>
        </w:rPr>
        <w:t xml:space="preserve">until ready to dissect.  </w:t>
      </w:r>
    </w:p>
    <w:p w14:paraId="6007033F" w14:textId="77777777" w:rsidR="00C82009" w:rsidRPr="00C82009" w:rsidRDefault="00C82009" w:rsidP="00444965">
      <w:pPr>
        <w:pStyle w:val="ListParagraph"/>
        <w:spacing w:after="0" w:line="240" w:lineRule="auto"/>
        <w:ind w:left="0"/>
        <w:jc w:val="both"/>
        <w:rPr>
          <w:rFonts w:ascii="Calibri" w:hAnsi="Calibri" w:cs="Calibri"/>
          <w:sz w:val="24"/>
          <w:szCs w:val="24"/>
        </w:rPr>
      </w:pPr>
    </w:p>
    <w:p w14:paraId="3A8058B8" w14:textId="44C3655B" w:rsidR="008337A1" w:rsidRPr="00C82009" w:rsidRDefault="008F595A" w:rsidP="00444965">
      <w:pPr>
        <w:pStyle w:val="ListParagraph"/>
        <w:spacing w:after="0" w:line="240" w:lineRule="auto"/>
        <w:ind w:left="0"/>
        <w:jc w:val="both"/>
        <w:rPr>
          <w:rFonts w:ascii="Calibri" w:hAnsi="Calibri" w:cs="Calibri"/>
          <w:sz w:val="24"/>
          <w:szCs w:val="24"/>
        </w:rPr>
      </w:pPr>
      <w:r w:rsidRPr="00C82009">
        <w:rPr>
          <w:rFonts w:ascii="Calibri" w:hAnsi="Calibri" w:cs="Calibri"/>
          <w:sz w:val="24"/>
          <w:szCs w:val="24"/>
        </w:rPr>
        <w:t xml:space="preserve">NOTE: Decalcified tissue has a limited shelf life and will disintegrate if too much time </w:t>
      </w:r>
      <w:r w:rsidR="00FF0C57">
        <w:rPr>
          <w:rFonts w:ascii="Calibri" w:hAnsi="Calibri" w:cs="Calibri"/>
          <w:sz w:val="24"/>
          <w:szCs w:val="24"/>
        </w:rPr>
        <w:t>e</w:t>
      </w:r>
      <w:r w:rsidRPr="00C82009">
        <w:rPr>
          <w:rFonts w:ascii="Calibri" w:hAnsi="Calibri" w:cs="Calibri"/>
          <w:sz w:val="24"/>
          <w:szCs w:val="24"/>
        </w:rPr>
        <w:t>lapses.</w:t>
      </w:r>
    </w:p>
    <w:p w14:paraId="6228932B" w14:textId="77777777" w:rsidR="00C82009" w:rsidRPr="00C82009" w:rsidRDefault="00C82009" w:rsidP="00444965">
      <w:pPr>
        <w:pStyle w:val="ListParagraph"/>
        <w:spacing w:after="0" w:line="240" w:lineRule="auto"/>
        <w:ind w:left="0"/>
        <w:jc w:val="both"/>
        <w:rPr>
          <w:rFonts w:ascii="Calibri" w:hAnsi="Calibri" w:cs="Calibri"/>
          <w:sz w:val="24"/>
          <w:szCs w:val="24"/>
        </w:rPr>
      </w:pPr>
    </w:p>
    <w:p w14:paraId="68D870F8" w14:textId="7D4B22F0" w:rsidR="008337A1" w:rsidRPr="00A8590D" w:rsidRDefault="008F595A" w:rsidP="00444965">
      <w:pPr>
        <w:pStyle w:val="ListParagraph"/>
        <w:numPr>
          <w:ilvl w:val="0"/>
          <w:numId w:val="33"/>
        </w:numPr>
        <w:spacing w:after="0" w:line="240" w:lineRule="auto"/>
        <w:ind w:left="0" w:firstLine="0"/>
        <w:jc w:val="both"/>
        <w:rPr>
          <w:rFonts w:ascii="Calibri" w:hAnsi="Calibri" w:cs="Calibri"/>
          <w:b/>
          <w:bCs/>
          <w:sz w:val="24"/>
          <w:szCs w:val="24"/>
        </w:rPr>
      </w:pPr>
      <w:r w:rsidRPr="00A8590D">
        <w:rPr>
          <w:rFonts w:ascii="Calibri" w:hAnsi="Calibri" w:cs="Calibri"/>
          <w:b/>
          <w:bCs/>
          <w:sz w:val="24"/>
          <w:szCs w:val="24"/>
        </w:rPr>
        <w:t>Dissection</w:t>
      </w:r>
    </w:p>
    <w:p w14:paraId="0E3B8913"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5272CA09" w14:textId="6D0FEA81" w:rsidR="008337A1" w:rsidRPr="0015666B" w:rsidRDefault="008F595A" w:rsidP="00444965">
      <w:pPr>
        <w:pStyle w:val="ListParagraph"/>
        <w:numPr>
          <w:ilvl w:val="1"/>
          <w:numId w:val="33"/>
        </w:numPr>
        <w:spacing w:after="0" w:line="240" w:lineRule="auto"/>
        <w:ind w:left="0" w:firstLine="0"/>
        <w:jc w:val="both"/>
        <w:rPr>
          <w:rFonts w:ascii="Calibri" w:hAnsi="Calibri" w:cs="Calibri"/>
          <w:sz w:val="24"/>
          <w:szCs w:val="24"/>
          <w:highlight w:val="yellow"/>
        </w:rPr>
      </w:pPr>
      <w:r w:rsidRPr="0015666B">
        <w:rPr>
          <w:rFonts w:ascii="Calibri" w:hAnsi="Calibri" w:cs="Calibri"/>
          <w:sz w:val="24"/>
          <w:szCs w:val="24"/>
          <w:highlight w:val="yellow"/>
        </w:rPr>
        <w:t>Fill a silicone elastomer-coated dissection dish two-thirds full with 10 mM PBS</w:t>
      </w:r>
      <w:r w:rsidR="00FF0C57" w:rsidRPr="0015666B">
        <w:rPr>
          <w:rFonts w:ascii="Calibri" w:hAnsi="Calibri" w:cs="Calibri"/>
          <w:sz w:val="24"/>
          <w:szCs w:val="24"/>
          <w:highlight w:val="yellow"/>
        </w:rPr>
        <w:t>,</w:t>
      </w:r>
      <w:r w:rsidRPr="0015666B">
        <w:rPr>
          <w:rFonts w:ascii="Calibri" w:hAnsi="Calibri" w:cs="Calibri"/>
          <w:sz w:val="24"/>
          <w:szCs w:val="24"/>
          <w:highlight w:val="yellow"/>
        </w:rPr>
        <w:t xml:space="preserve"> pH 7.4</w:t>
      </w:r>
      <w:r w:rsidR="00FF0C57" w:rsidRPr="0015666B">
        <w:rPr>
          <w:rFonts w:ascii="Calibri" w:hAnsi="Calibri" w:cs="Calibri"/>
          <w:sz w:val="24"/>
          <w:szCs w:val="24"/>
          <w:highlight w:val="yellow"/>
        </w:rPr>
        <w:t>,</w:t>
      </w:r>
      <w:r w:rsidRPr="0015666B">
        <w:rPr>
          <w:rFonts w:ascii="Calibri" w:hAnsi="Calibri" w:cs="Calibri"/>
          <w:sz w:val="24"/>
          <w:szCs w:val="24"/>
          <w:highlight w:val="yellow"/>
        </w:rPr>
        <w:t xml:space="preserve"> and place one decalcified temporal bone in the dish. Use a stereo</w:t>
      </w:r>
      <w:r w:rsidR="0004730F" w:rsidRPr="0015666B">
        <w:rPr>
          <w:rFonts w:ascii="Calibri" w:hAnsi="Calibri" w:cs="Calibri"/>
          <w:sz w:val="24"/>
          <w:szCs w:val="24"/>
          <w:highlight w:val="yellow"/>
        </w:rPr>
        <w:t>-</w:t>
      </w:r>
      <w:r w:rsidRPr="0015666B">
        <w:rPr>
          <w:rFonts w:ascii="Calibri" w:hAnsi="Calibri" w:cs="Calibri"/>
          <w:sz w:val="24"/>
          <w:szCs w:val="24"/>
          <w:highlight w:val="yellow"/>
        </w:rPr>
        <w:t>dissection microscope for the following steps.</w:t>
      </w:r>
    </w:p>
    <w:p w14:paraId="2801A66D" w14:textId="77777777" w:rsidR="006439A8" w:rsidRPr="0015666B" w:rsidRDefault="006439A8" w:rsidP="00444965">
      <w:pPr>
        <w:pStyle w:val="ListParagraph"/>
        <w:spacing w:after="0" w:line="240" w:lineRule="auto"/>
        <w:ind w:left="0"/>
        <w:jc w:val="both"/>
        <w:rPr>
          <w:rFonts w:ascii="Calibri" w:hAnsi="Calibri" w:cs="Calibri"/>
          <w:sz w:val="24"/>
          <w:szCs w:val="24"/>
          <w:highlight w:val="yellow"/>
        </w:rPr>
      </w:pPr>
    </w:p>
    <w:p w14:paraId="18BDA359" w14:textId="3CFEEFA3" w:rsidR="008337A1" w:rsidRPr="0015666B" w:rsidRDefault="008F595A" w:rsidP="00444965">
      <w:pPr>
        <w:pStyle w:val="ListParagraph"/>
        <w:numPr>
          <w:ilvl w:val="1"/>
          <w:numId w:val="33"/>
        </w:numPr>
        <w:spacing w:after="0" w:line="240" w:lineRule="auto"/>
        <w:ind w:left="0" w:firstLine="0"/>
        <w:jc w:val="both"/>
        <w:rPr>
          <w:rFonts w:ascii="Calibri" w:hAnsi="Calibri" w:cs="Calibri"/>
          <w:sz w:val="24"/>
          <w:szCs w:val="24"/>
          <w:highlight w:val="yellow"/>
        </w:rPr>
      </w:pPr>
      <w:r w:rsidRPr="0015666B">
        <w:rPr>
          <w:rFonts w:ascii="Calibri" w:hAnsi="Calibri" w:cs="Calibri"/>
          <w:sz w:val="24"/>
          <w:szCs w:val="24"/>
          <w:highlight w:val="yellow"/>
        </w:rPr>
        <w:t>Use</w:t>
      </w:r>
      <w:r w:rsidR="00444965" w:rsidRPr="0015666B">
        <w:rPr>
          <w:rFonts w:ascii="Calibri" w:hAnsi="Calibri" w:cs="Calibri"/>
          <w:sz w:val="24"/>
          <w:szCs w:val="24"/>
          <w:highlight w:val="yellow"/>
        </w:rPr>
        <w:t xml:space="preserve"> step</w:t>
      </w:r>
      <w:r w:rsidRPr="0015666B">
        <w:rPr>
          <w:rFonts w:ascii="Calibri" w:hAnsi="Calibri" w:cs="Calibri"/>
          <w:sz w:val="24"/>
          <w:szCs w:val="24"/>
          <w:highlight w:val="yellow"/>
        </w:rPr>
        <w:t xml:space="preserve"> 4 or 5 straight jeweler's forceps and 5 mm </w:t>
      </w:r>
      <w:r w:rsidR="00444965" w:rsidRPr="0015666B">
        <w:rPr>
          <w:rFonts w:ascii="Calibri" w:hAnsi="Calibri" w:cs="Calibri"/>
          <w:sz w:val="24"/>
          <w:szCs w:val="24"/>
          <w:highlight w:val="yellow"/>
        </w:rPr>
        <w:t>ultrafine microsurgical</w:t>
      </w:r>
      <w:r w:rsidRPr="0015666B">
        <w:rPr>
          <w:rFonts w:ascii="Calibri" w:hAnsi="Calibri" w:cs="Calibri"/>
          <w:sz w:val="24"/>
          <w:szCs w:val="24"/>
          <w:highlight w:val="yellow"/>
        </w:rPr>
        <w:t xml:space="preserve"> spring scissors to gently remove any excess muscle tissue remaining on the temporal bone.</w:t>
      </w:r>
    </w:p>
    <w:p w14:paraId="55C8BF4D" w14:textId="77777777" w:rsidR="006439A8" w:rsidRPr="0015666B" w:rsidRDefault="006439A8" w:rsidP="00444965">
      <w:pPr>
        <w:pStyle w:val="ListParagraph"/>
        <w:spacing w:after="0" w:line="240" w:lineRule="auto"/>
        <w:ind w:left="0"/>
        <w:jc w:val="both"/>
        <w:rPr>
          <w:rFonts w:ascii="Calibri" w:hAnsi="Calibri" w:cs="Calibri"/>
          <w:sz w:val="24"/>
          <w:szCs w:val="24"/>
          <w:highlight w:val="yellow"/>
        </w:rPr>
      </w:pPr>
    </w:p>
    <w:p w14:paraId="3E304C46" w14:textId="6B64057F" w:rsidR="008337A1" w:rsidRPr="0015666B" w:rsidRDefault="008F595A" w:rsidP="00444965">
      <w:pPr>
        <w:pStyle w:val="ListParagraph"/>
        <w:numPr>
          <w:ilvl w:val="1"/>
          <w:numId w:val="33"/>
        </w:numPr>
        <w:spacing w:after="0" w:line="240" w:lineRule="auto"/>
        <w:ind w:left="0" w:firstLine="0"/>
        <w:jc w:val="both"/>
        <w:rPr>
          <w:rFonts w:ascii="Calibri" w:hAnsi="Calibri" w:cs="Calibri"/>
          <w:sz w:val="24"/>
          <w:szCs w:val="24"/>
          <w:highlight w:val="yellow"/>
        </w:rPr>
      </w:pPr>
      <w:r w:rsidRPr="0015666B">
        <w:rPr>
          <w:rFonts w:ascii="Calibri" w:hAnsi="Calibri" w:cs="Calibri"/>
          <w:sz w:val="24"/>
          <w:szCs w:val="24"/>
          <w:highlight w:val="yellow"/>
        </w:rPr>
        <w:t xml:space="preserve">Hold the temporal bone on the outside edges with </w:t>
      </w:r>
      <w:r w:rsidR="00444965" w:rsidRPr="0015666B">
        <w:rPr>
          <w:rFonts w:ascii="Calibri" w:hAnsi="Calibri" w:cs="Calibri"/>
          <w:sz w:val="24"/>
          <w:szCs w:val="24"/>
          <w:highlight w:val="yellow"/>
        </w:rPr>
        <w:t xml:space="preserve">step </w:t>
      </w:r>
      <w:r w:rsidRPr="0015666B">
        <w:rPr>
          <w:rFonts w:ascii="Calibri" w:hAnsi="Calibri" w:cs="Calibri"/>
          <w:sz w:val="24"/>
          <w:szCs w:val="24"/>
          <w:highlight w:val="yellow"/>
        </w:rPr>
        <w:t>4 or 5 straight jeweler's forceps with the cochlea facing down</w:t>
      </w:r>
      <w:r w:rsidR="008D678D" w:rsidRPr="0015666B">
        <w:rPr>
          <w:rFonts w:ascii="Calibri" w:hAnsi="Calibri" w:cs="Calibri"/>
          <w:sz w:val="24"/>
          <w:szCs w:val="24"/>
          <w:highlight w:val="yellow"/>
        </w:rPr>
        <w:t>,</w:t>
      </w:r>
      <w:r w:rsidRPr="0015666B">
        <w:rPr>
          <w:rFonts w:ascii="Calibri" w:hAnsi="Calibri" w:cs="Calibri"/>
          <w:sz w:val="24"/>
          <w:szCs w:val="24"/>
          <w:highlight w:val="yellow"/>
        </w:rPr>
        <w:t xml:space="preserve"> and use another pair of </w:t>
      </w:r>
      <w:r w:rsidR="00444965" w:rsidRPr="0015666B">
        <w:rPr>
          <w:rFonts w:ascii="Calibri" w:hAnsi="Calibri" w:cs="Calibri"/>
          <w:sz w:val="24"/>
          <w:szCs w:val="24"/>
          <w:highlight w:val="yellow"/>
        </w:rPr>
        <w:t xml:space="preserve">step </w:t>
      </w:r>
      <w:r w:rsidRPr="0015666B">
        <w:rPr>
          <w:rFonts w:ascii="Calibri" w:hAnsi="Calibri" w:cs="Calibri"/>
          <w:sz w:val="24"/>
          <w:szCs w:val="24"/>
          <w:highlight w:val="yellow"/>
        </w:rPr>
        <w:t>4 or 5 straight jeweler's forceps to grab and gently peel off the thin piece of bone that runs perpendicular to the vestibule.</w:t>
      </w:r>
    </w:p>
    <w:p w14:paraId="78E81E49" w14:textId="77777777" w:rsidR="006439A8" w:rsidRPr="0015666B" w:rsidRDefault="006439A8" w:rsidP="00444965">
      <w:pPr>
        <w:pStyle w:val="ListParagraph"/>
        <w:spacing w:after="0" w:line="240" w:lineRule="auto"/>
        <w:ind w:left="0"/>
        <w:jc w:val="both"/>
        <w:rPr>
          <w:rFonts w:ascii="Calibri" w:hAnsi="Calibri" w:cs="Calibri"/>
          <w:sz w:val="24"/>
          <w:szCs w:val="24"/>
          <w:highlight w:val="yellow"/>
        </w:rPr>
      </w:pPr>
    </w:p>
    <w:p w14:paraId="5DEAE315" w14:textId="2091494D" w:rsidR="008337A1" w:rsidRPr="0015666B" w:rsidRDefault="008F595A" w:rsidP="00444965">
      <w:pPr>
        <w:pStyle w:val="ListParagraph"/>
        <w:numPr>
          <w:ilvl w:val="1"/>
          <w:numId w:val="33"/>
        </w:numPr>
        <w:spacing w:after="0" w:line="240" w:lineRule="auto"/>
        <w:ind w:left="0" w:firstLine="0"/>
        <w:jc w:val="both"/>
        <w:rPr>
          <w:rFonts w:ascii="Calibri" w:hAnsi="Calibri" w:cs="Calibri"/>
          <w:sz w:val="24"/>
          <w:szCs w:val="24"/>
          <w:highlight w:val="yellow"/>
        </w:rPr>
      </w:pPr>
      <w:r w:rsidRPr="0015666B">
        <w:rPr>
          <w:rFonts w:ascii="Calibri" w:hAnsi="Calibri" w:cs="Calibri"/>
          <w:sz w:val="24"/>
          <w:szCs w:val="24"/>
          <w:highlight w:val="yellow"/>
        </w:rPr>
        <w:t xml:space="preserve">Use the </w:t>
      </w:r>
      <w:bookmarkStart w:id="3" w:name="_Hlk230704446"/>
      <w:r w:rsidRPr="0015666B">
        <w:rPr>
          <w:rFonts w:ascii="Calibri" w:hAnsi="Calibri" w:cs="Calibri"/>
          <w:sz w:val="24"/>
          <w:szCs w:val="24"/>
          <w:highlight w:val="yellow"/>
        </w:rPr>
        <w:t xml:space="preserve">5 mm </w:t>
      </w:r>
      <w:r w:rsidR="00444965" w:rsidRPr="0015666B">
        <w:rPr>
          <w:rFonts w:ascii="Calibri" w:hAnsi="Calibri" w:cs="Calibri"/>
          <w:sz w:val="24"/>
          <w:szCs w:val="24"/>
          <w:highlight w:val="yellow"/>
        </w:rPr>
        <w:t xml:space="preserve">ultrafine microsurgical </w:t>
      </w:r>
      <w:r w:rsidRPr="0015666B">
        <w:rPr>
          <w:rFonts w:ascii="Calibri" w:hAnsi="Calibri" w:cs="Calibri"/>
          <w:sz w:val="24"/>
          <w:szCs w:val="24"/>
          <w:highlight w:val="yellow"/>
        </w:rPr>
        <w:t xml:space="preserve">spring scissors </w:t>
      </w:r>
      <w:bookmarkEnd w:id="3"/>
      <w:r w:rsidRPr="0015666B">
        <w:rPr>
          <w:rFonts w:ascii="Calibri" w:hAnsi="Calibri" w:cs="Calibri"/>
          <w:sz w:val="24"/>
          <w:szCs w:val="24"/>
          <w:highlight w:val="yellow"/>
        </w:rPr>
        <w:t>for the following steps:</w:t>
      </w:r>
    </w:p>
    <w:p w14:paraId="60271EE2" w14:textId="77777777" w:rsidR="006439A8" w:rsidRPr="0015666B" w:rsidRDefault="006439A8" w:rsidP="00444965">
      <w:pPr>
        <w:pStyle w:val="ListParagraph"/>
        <w:spacing w:after="0" w:line="240" w:lineRule="auto"/>
        <w:ind w:left="0"/>
        <w:jc w:val="both"/>
        <w:rPr>
          <w:rFonts w:ascii="Calibri" w:hAnsi="Calibri" w:cs="Calibri"/>
          <w:sz w:val="24"/>
          <w:szCs w:val="24"/>
          <w:highlight w:val="yellow"/>
        </w:rPr>
      </w:pPr>
    </w:p>
    <w:p w14:paraId="17168BAD" w14:textId="3FBF6164" w:rsidR="008337A1" w:rsidRPr="0015666B" w:rsidRDefault="008F595A" w:rsidP="00444965">
      <w:pPr>
        <w:pStyle w:val="ListParagraph"/>
        <w:numPr>
          <w:ilvl w:val="2"/>
          <w:numId w:val="33"/>
        </w:numPr>
        <w:spacing w:after="0" w:line="240" w:lineRule="auto"/>
        <w:ind w:left="0" w:firstLine="0"/>
        <w:jc w:val="both"/>
        <w:rPr>
          <w:rFonts w:ascii="Calibri" w:hAnsi="Calibri" w:cs="Calibri"/>
          <w:sz w:val="24"/>
          <w:szCs w:val="24"/>
          <w:highlight w:val="yellow"/>
        </w:rPr>
      </w:pPr>
      <w:r w:rsidRPr="0015666B">
        <w:rPr>
          <w:rFonts w:ascii="Calibri" w:hAnsi="Calibri" w:cs="Calibri"/>
          <w:sz w:val="24"/>
          <w:szCs w:val="24"/>
          <w:highlight w:val="yellow"/>
        </w:rPr>
        <w:t>Cut off the superior portion of the anterior semicircular canal area and gently remove any excess brain tissue.</w:t>
      </w:r>
    </w:p>
    <w:p w14:paraId="610620B5" w14:textId="77777777" w:rsidR="006439A8" w:rsidRPr="0015666B" w:rsidRDefault="006439A8" w:rsidP="00444965">
      <w:pPr>
        <w:pStyle w:val="ListParagraph"/>
        <w:spacing w:after="0" w:line="240" w:lineRule="auto"/>
        <w:ind w:left="0"/>
        <w:jc w:val="both"/>
        <w:rPr>
          <w:rFonts w:ascii="Calibri" w:hAnsi="Calibri" w:cs="Calibri"/>
          <w:sz w:val="24"/>
          <w:szCs w:val="24"/>
          <w:highlight w:val="yellow"/>
        </w:rPr>
      </w:pPr>
    </w:p>
    <w:p w14:paraId="11587C90" w14:textId="77777777" w:rsidR="008D678D" w:rsidRPr="0015666B" w:rsidRDefault="008F595A" w:rsidP="00444965">
      <w:pPr>
        <w:pStyle w:val="ListParagraph"/>
        <w:numPr>
          <w:ilvl w:val="2"/>
          <w:numId w:val="33"/>
        </w:numPr>
        <w:spacing w:after="0" w:line="240" w:lineRule="auto"/>
        <w:ind w:left="0" w:firstLine="0"/>
        <w:jc w:val="both"/>
        <w:rPr>
          <w:rFonts w:ascii="Calibri" w:hAnsi="Calibri" w:cs="Calibri"/>
          <w:sz w:val="24"/>
          <w:szCs w:val="24"/>
          <w:highlight w:val="yellow"/>
        </w:rPr>
      </w:pPr>
      <w:r w:rsidRPr="0015666B">
        <w:rPr>
          <w:rFonts w:ascii="Calibri" w:hAnsi="Calibri" w:cs="Calibri"/>
          <w:sz w:val="24"/>
          <w:szCs w:val="24"/>
          <w:highlight w:val="yellow"/>
        </w:rPr>
        <w:t>Cut off the apical/middle portion of the cochlea</w:t>
      </w:r>
      <w:r w:rsidR="008D678D" w:rsidRPr="0015666B">
        <w:rPr>
          <w:rFonts w:ascii="Calibri" w:hAnsi="Calibri" w:cs="Calibri"/>
          <w:sz w:val="24"/>
          <w:szCs w:val="24"/>
          <w:highlight w:val="yellow"/>
        </w:rPr>
        <w:t>,</w:t>
      </w:r>
      <w:r w:rsidRPr="0015666B">
        <w:rPr>
          <w:rFonts w:ascii="Calibri" w:hAnsi="Calibri" w:cs="Calibri"/>
          <w:sz w:val="24"/>
          <w:szCs w:val="24"/>
          <w:highlight w:val="yellow"/>
        </w:rPr>
        <w:t xml:space="preserve"> leaving only the basal turn.  </w:t>
      </w:r>
    </w:p>
    <w:p w14:paraId="27DA032C" w14:textId="77777777" w:rsidR="008D678D" w:rsidRPr="008D678D" w:rsidRDefault="008D678D" w:rsidP="00444965">
      <w:pPr>
        <w:pStyle w:val="ListParagraph"/>
        <w:spacing w:after="0" w:line="240" w:lineRule="auto"/>
        <w:ind w:left="0"/>
        <w:rPr>
          <w:rFonts w:ascii="Calibri" w:hAnsi="Calibri" w:cs="Calibri"/>
          <w:sz w:val="24"/>
          <w:szCs w:val="24"/>
        </w:rPr>
      </w:pPr>
    </w:p>
    <w:p w14:paraId="56F926AA" w14:textId="045A7213" w:rsidR="008337A1" w:rsidRPr="00C82009" w:rsidRDefault="008F595A" w:rsidP="00444965">
      <w:pPr>
        <w:pStyle w:val="ListParagraph"/>
        <w:spacing w:after="0" w:line="240" w:lineRule="auto"/>
        <w:ind w:left="0"/>
        <w:jc w:val="both"/>
        <w:rPr>
          <w:rFonts w:ascii="Calibri" w:hAnsi="Calibri" w:cs="Calibri"/>
          <w:sz w:val="24"/>
          <w:szCs w:val="24"/>
        </w:rPr>
      </w:pPr>
      <w:r w:rsidRPr="00C82009">
        <w:rPr>
          <w:rFonts w:ascii="Calibri" w:hAnsi="Calibri" w:cs="Calibri"/>
          <w:sz w:val="24"/>
          <w:szCs w:val="24"/>
        </w:rPr>
        <w:t xml:space="preserve">NOTE:  Cutting too much of the </w:t>
      </w:r>
      <w:r w:rsidR="00020217" w:rsidRPr="00C82009">
        <w:rPr>
          <w:rFonts w:ascii="Calibri" w:hAnsi="Calibri" w:cs="Calibri"/>
          <w:sz w:val="24"/>
          <w:szCs w:val="24"/>
        </w:rPr>
        <w:t>basal turn</w:t>
      </w:r>
      <w:r w:rsidRPr="00C82009">
        <w:rPr>
          <w:rFonts w:ascii="Calibri" w:hAnsi="Calibri" w:cs="Calibri"/>
          <w:sz w:val="24"/>
          <w:szCs w:val="24"/>
        </w:rPr>
        <w:t xml:space="preserve"> in this step can cause damage to the inferior vestibular ganglion and projections.</w:t>
      </w:r>
      <w:r w:rsidR="00020217" w:rsidRPr="00C82009">
        <w:rPr>
          <w:rFonts w:ascii="Calibri" w:hAnsi="Calibri" w:cs="Calibri"/>
          <w:sz w:val="24"/>
          <w:szCs w:val="24"/>
        </w:rPr>
        <w:t xml:space="preserve"> </w:t>
      </w:r>
      <w:r w:rsidR="00EE5B0B">
        <w:rPr>
          <w:rFonts w:ascii="Calibri" w:hAnsi="Calibri" w:cs="Calibri"/>
          <w:sz w:val="24"/>
          <w:szCs w:val="24"/>
        </w:rPr>
        <w:t>A</w:t>
      </w:r>
      <w:r w:rsidR="00020217" w:rsidRPr="00C82009">
        <w:rPr>
          <w:rFonts w:ascii="Calibri" w:hAnsi="Calibri" w:cs="Calibri"/>
          <w:sz w:val="24"/>
          <w:szCs w:val="24"/>
        </w:rPr>
        <w:t>t least half of the basal turn</w:t>
      </w:r>
      <w:r w:rsidR="00EE5B0B">
        <w:rPr>
          <w:rFonts w:ascii="Calibri" w:hAnsi="Calibri" w:cs="Calibri"/>
          <w:sz w:val="24"/>
          <w:szCs w:val="24"/>
        </w:rPr>
        <w:t xml:space="preserve"> should be left</w:t>
      </w:r>
      <w:r w:rsidR="00020217" w:rsidRPr="00C82009">
        <w:rPr>
          <w:rFonts w:ascii="Calibri" w:hAnsi="Calibri" w:cs="Calibri"/>
          <w:sz w:val="24"/>
          <w:szCs w:val="24"/>
        </w:rPr>
        <w:t xml:space="preserve"> (~1.5 mm) in this step.</w:t>
      </w:r>
    </w:p>
    <w:p w14:paraId="29DDB958"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2F4D3827" w14:textId="597AFAE1" w:rsidR="008337A1" w:rsidRPr="0015666B" w:rsidRDefault="008F595A" w:rsidP="00444965">
      <w:pPr>
        <w:pStyle w:val="ListParagraph"/>
        <w:numPr>
          <w:ilvl w:val="2"/>
          <w:numId w:val="33"/>
        </w:numPr>
        <w:spacing w:after="0" w:line="240" w:lineRule="auto"/>
        <w:ind w:left="0" w:firstLine="0"/>
        <w:jc w:val="both"/>
        <w:rPr>
          <w:rFonts w:ascii="Calibri" w:hAnsi="Calibri" w:cs="Calibri"/>
          <w:sz w:val="24"/>
          <w:szCs w:val="24"/>
          <w:highlight w:val="yellow"/>
        </w:rPr>
      </w:pPr>
      <w:r w:rsidRPr="0015666B">
        <w:rPr>
          <w:rFonts w:ascii="Calibri" w:hAnsi="Calibri" w:cs="Calibri"/>
          <w:sz w:val="24"/>
          <w:szCs w:val="24"/>
          <w:highlight w:val="yellow"/>
        </w:rPr>
        <w:t>Place one blade inside the temporal bone and cut along the</w:t>
      </w:r>
      <w:r w:rsidR="00A57849" w:rsidRPr="0015666B">
        <w:rPr>
          <w:rFonts w:ascii="Calibri" w:hAnsi="Calibri" w:cs="Calibri"/>
          <w:sz w:val="24"/>
          <w:szCs w:val="24"/>
          <w:highlight w:val="yellow"/>
        </w:rPr>
        <w:t xml:space="preserve"> vestibular </w:t>
      </w:r>
      <w:r w:rsidRPr="0015666B">
        <w:rPr>
          <w:rFonts w:ascii="Calibri" w:hAnsi="Calibri" w:cs="Calibri"/>
          <w:sz w:val="24"/>
          <w:szCs w:val="24"/>
          <w:highlight w:val="yellow"/>
        </w:rPr>
        <w:t>endolymphatic duct</w:t>
      </w:r>
      <w:r w:rsidR="008D678D" w:rsidRPr="0015666B">
        <w:rPr>
          <w:rFonts w:ascii="Calibri" w:hAnsi="Calibri" w:cs="Calibri"/>
          <w:sz w:val="24"/>
          <w:szCs w:val="24"/>
          <w:highlight w:val="yellow"/>
        </w:rPr>
        <w:t>,</w:t>
      </w:r>
      <w:r w:rsidRPr="0015666B">
        <w:rPr>
          <w:rFonts w:ascii="Calibri" w:hAnsi="Calibri" w:cs="Calibri"/>
          <w:sz w:val="24"/>
          <w:szCs w:val="24"/>
          <w:highlight w:val="yellow"/>
        </w:rPr>
        <w:t xml:space="preserve"> continuing the cut through the cochlea.</w:t>
      </w:r>
    </w:p>
    <w:p w14:paraId="725A373B" w14:textId="77777777" w:rsidR="006439A8" w:rsidRPr="0015666B" w:rsidRDefault="006439A8" w:rsidP="00444965">
      <w:pPr>
        <w:pStyle w:val="ListParagraph"/>
        <w:spacing w:after="0" w:line="240" w:lineRule="auto"/>
        <w:ind w:left="0"/>
        <w:jc w:val="both"/>
        <w:rPr>
          <w:rFonts w:ascii="Calibri" w:hAnsi="Calibri" w:cs="Calibri"/>
          <w:sz w:val="24"/>
          <w:szCs w:val="24"/>
          <w:highlight w:val="yellow"/>
        </w:rPr>
      </w:pPr>
    </w:p>
    <w:p w14:paraId="406FF554" w14:textId="6702ABEC" w:rsidR="008337A1" w:rsidRPr="0015666B" w:rsidRDefault="008F595A" w:rsidP="00444965">
      <w:pPr>
        <w:pStyle w:val="ListParagraph"/>
        <w:numPr>
          <w:ilvl w:val="2"/>
          <w:numId w:val="33"/>
        </w:numPr>
        <w:spacing w:after="0" w:line="240" w:lineRule="auto"/>
        <w:ind w:left="0" w:firstLine="0"/>
        <w:jc w:val="both"/>
        <w:rPr>
          <w:rFonts w:ascii="Calibri" w:hAnsi="Calibri" w:cs="Calibri"/>
          <w:sz w:val="24"/>
          <w:szCs w:val="24"/>
          <w:highlight w:val="yellow"/>
        </w:rPr>
      </w:pPr>
      <w:r w:rsidRPr="0015666B">
        <w:rPr>
          <w:rFonts w:ascii="Calibri" w:hAnsi="Calibri" w:cs="Calibri"/>
          <w:sz w:val="24"/>
          <w:szCs w:val="24"/>
          <w:highlight w:val="yellow"/>
        </w:rPr>
        <w:t xml:space="preserve">Place one blade inside the </w:t>
      </w:r>
      <w:r w:rsidR="00653294" w:rsidRPr="0015666B">
        <w:rPr>
          <w:rFonts w:ascii="Calibri" w:hAnsi="Calibri" w:cs="Calibri"/>
          <w:sz w:val="24"/>
          <w:szCs w:val="24"/>
          <w:highlight w:val="yellow"/>
        </w:rPr>
        <w:t xml:space="preserve">vestibular </w:t>
      </w:r>
      <w:r w:rsidRPr="0015666B">
        <w:rPr>
          <w:rFonts w:ascii="Calibri" w:hAnsi="Calibri" w:cs="Calibri"/>
          <w:sz w:val="24"/>
          <w:szCs w:val="24"/>
          <w:highlight w:val="yellow"/>
        </w:rPr>
        <w:t>endolymphatic duct and start another cut in the bone along the anterior side of the vestibule.</w:t>
      </w:r>
    </w:p>
    <w:p w14:paraId="0479CF54" w14:textId="77777777" w:rsidR="006439A8" w:rsidRPr="0015666B" w:rsidRDefault="006439A8" w:rsidP="00444965">
      <w:pPr>
        <w:pStyle w:val="ListParagraph"/>
        <w:spacing w:after="0" w:line="240" w:lineRule="auto"/>
        <w:ind w:left="0"/>
        <w:jc w:val="both"/>
        <w:rPr>
          <w:rFonts w:ascii="Calibri" w:hAnsi="Calibri" w:cs="Calibri"/>
          <w:sz w:val="24"/>
          <w:szCs w:val="24"/>
          <w:highlight w:val="yellow"/>
        </w:rPr>
      </w:pPr>
    </w:p>
    <w:p w14:paraId="1E4D1B78" w14:textId="70BE9425" w:rsidR="006439A8" w:rsidRPr="0015666B" w:rsidRDefault="008F595A" w:rsidP="00444965">
      <w:pPr>
        <w:pStyle w:val="ListParagraph"/>
        <w:numPr>
          <w:ilvl w:val="2"/>
          <w:numId w:val="33"/>
        </w:numPr>
        <w:spacing w:after="0" w:line="240" w:lineRule="auto"/>
        <w:ind w:left="0" w:firstLine="0"/>
        <w:jc w:val="both"/>
        <w:rPr>
          <w:rFonts w:ascii="Calibri" w:hAnsi="Calibri" w:cs="Calibri"/>
          <w:sz w:val="24"/>
          <w:szCs w:val="24"/>
          <w:highlight w:val="yellow"/>
        </w:rPr>
      </w:pPr>
      <w:r w:rsidRPr="0015666B">
        <w:rPr>
          <w:rFonts w:ascii="Calibri" w:hAnsi="Calibri" w:cs="Calibri"/>
          <w:sz w:val="24"/>
          <w:szCs w:val="24"/>
          <w:highlight w:val="yellow"/>
        </w:rPr>
        <w:t xml:space="preserve">Cut off the membranous labyrinth covering the utricle.  </w:t>
      </w:r>
    </w:p>
    <w:p w14:paraId="0D207BF7"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22236418" w14:textId="11F1C9D0" w:rsidR="008337A1" w:rsidRPr="00C82009" w:rsidRDefault="008F595A" w:rsidP="00444965">
      <w:pPr>
        <w:pStyle w:val="ListParagraph"/>
        <w:spacing w:after="0" w:line="240" w:lineRule="auto"/>
        <w:ind w:left="0"/>
        <w:jc w:val="both"/>
        <w:rPr>
          <w:rFonts w:ascii="Calibri" w:hAnsi="Calibri" w:cs="Calibri"/>
          <w:sz w:val="24"/>
          <w:szCs w:val="24"/>
        </w:rPr>
      </w:pPr>
      <w:r w:rsidRPr="00C82009">
        <w:rPr>
          <w:rFonts w:ascii="Calibri" w:hAnsi="Calibri" w:cs="Calibri"/>
          <w:sz w:val="24"/>
          <w:szCs w:val="24"/>
        </w:rPr>
        <w:t xml:space="preserve">NOTE: In non-albino strains, this membrane has small brown spots, called dark cells, which can obscure light from the confocal microscopy.  </w:t>
      </w:r>
    </w:p>
    <w:p w14:paraId="1B6F0B82"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42C3B89F" w14:textId="76F90884" w:rsidR="008337A1" w:rsidRPr="0015666B" w:rsidRDefault="008F595A" w:rsidP="00444965">
      <w:pPr>
        <w:pStyle w:val="ListParagraph"/>
        <w:numPr>
          <w:ilvl w:val="1"/>
          <w:numId w:val="32"/>
        </w:numPr>
        <w:spacing w:after="0" w:line="240" w:lineRule="auto"/>
        <w:ind w:left="0" w:firstLine="0"/>
        <w:jc w:val="both"/>
        <w:rPr>
          <w:rFonts w:ascii="Calibri" w:hAnsi="Calibri" w:cs="Calibri"/>
          <w:sz w:val="24"/>
          <w:szCs w:val="24"/>
          <w:highlight w:val="yellow"/>
        </w:rPr>
      </w:pPr>
      <w:r w:rsidRPr="0015666B">
        <w:rPr>
          <w:rFonts w:ascii="Calibri" w:hAnsi="Calibri" w:cs="Calibri"/>
          <w:sz w:val="24"/>
          <w:szCs w:val="24"/>
          <w:highlight w:val="yellow"/>
        </w:rPr>
        <w:t xml:space="preserve">Use the curved 2.5 mm Vannas spring scissors to trim the rest of the temporal bone that covers the top of the </w:t>
      </w:r>
      <w:r w:rsidR="0004730F" w:rsidRPr="0015666B">
        <w:rPr>
          <w:rFonts w:ascii="Calibri" w:hAnsi="Calibri" w:cs="Calibri"/>
          <w:sz w:val="24"/>
          <w:szCs w:val="24"/>
          <w:highlight w:val="yellow"/>
        </w:rPr>
        <w:t>three</w:t>
      </w:r>
      <w:r w:rsidRPr="0015666B">
        <w:rPr>
          <w:rFonts w:ascii="Calibri" w:hAnsi="Calibri" w:cs="Calibri"/>
          <w:sz w:val="24"/>
          <w:szCs w:val="24"/>
          <w:highlight w:val="yellow"/>
        </w:rPr>
        <w:t xml:space="preserve"> cristae.</w:t>
      </w:r>
    </w:p>
    <w:p w14:paraId="556E37BB" w14:textId="77777777" w:rsidR="006439A8" w:rsidRPr="0015666B" w:rsidRDefault="006439A8" w:rsidP="00444965">
      <w:pPr>
        <w:pStyle w:val="ListParagraph"/>
        <w:spacing w:after="0" w:line="240" w:lineRule="auto"/>
        <w:ind w:left="0"/>
        <w:jc w:val="both"/>
        <w:rPr>
          <w:rFonts w:ascii="Calibri" w:hAnsi="Calibri" w:cs="Calibri"/>
          <w:sz w:val="24"/>
          <w:szCs w:val="24"/>
          <w:highlight w:val="yellow"/>
        </w:rPr>
      </w:pPr>
    </w:p>
    <w:p w14:paraId="558E8DDC" w14:textId="4499D9E9" w:rsidR="006439A8" w:rsidRPr="0015666B" w:rsidRDefault="008337A1" w:rsidP="00444965">
      <w:pPr>
        <w:pStyle w:val="ListParagraph"/>
        <w:numPr>
          <w:ilvl w:val="1"/>
          <w:numId w:val="32"/>
        </w:numPr>
        <w:spacing w:after="0" w:line="240" w:lineRule="auto"/>
        <w:ind w:left="0" w:firstLine="0"/>
        <w:jc w:val="both"/>
        <w:rPr>
          <w:rFonts w:ascii="Calibri" w:hAnsi="Calibri" w:cs="Calibri"/>
          <w:sz w:val="24"/>
          <w:szCs w:val="24"/>
          <w:highlight w:val="yellow"/>
        </w:rPr>
      </w:pPr>
      <w:r w:rsidRPr="0015666B">
        <w:rPr>
          <w:rFonts w:ascii="Calibri" w:hAnsi="Calibri" w:cs="Calibri"/>
          <w:sz w:val="24"/>
          <w:szCs w:val="24"/>
          <w:highlight w:val="yellow"/>
        </w:rPr>
        <w:t>Slowly coax each of the crista</w:t>
      </w:r>
      <w:r w:rsidR="00444965" w:rsidRPr="0015666B">
        <w:rPr>
          <w:rFonts w:ascii="Calibri" w:hAnsi="Calibri" w:cs="Calibri"/>
          <w:sz w:val="24"/>
          <w:szCs w:val="24"/>
          <w:highlight w:val="yellow"/>
        </w:rPr>
        <w:t>e</w:t>
      </w:r>
      <w:r w:rsidRPr="0015666B">
        <w:rPr>
          <w:rFonts w:ascii="Calibri" w:hAnsi="Calibri" w:cs="Calibri"/>
          <w:sz w:val="24"/>
          <w:szCs w:val="24"/>
          <w:highlight w:val="yellow"/>
        </w:rPr>
        <w:t xml:space="preserve"> out of the bone casing using a </w:t>
      </w:r>
      <w:r w:rsidR="006B170B" w:rsidRPr="0015666B">
        <w:rPr>
          <w:rFonts w:ascii="Calibri" w:hAnsi="Calibri" w:cs="Calibri"/>
          <w:sz w:val="24"/>
          <w:szCs w:val="24"/>
          <w:highlight w:val="yellow"/>
        </w:rPr>
        <w:t xml:space="preserve">blunt </w:t>
      </w:r>
      <w:r w:rsidRPr="0015666B">
        <w:rPr>
          <w:rFonts w:ascii="Calibri" w:hAnsi="Calibri" w:cs="Calibri"/>
          <w:sz w:val="24"/>
          <w:szCs w:val="24"/>
          <w:highlight w:val="yellow"/>
        </w:rPr>
        <w:t>26</w:t>
      </w:r>
      <w:r w:rsidR="006B170B" w:rsidRPr="0015666B">
        <w:rPr>
          <w:rFonts w:ascii="Calibri" w:hAnsi="Calibri" w:cs="Calibri"/>
          <w:sz w:val="24"/>
          <w:szCs w:val="24"/>
          <w:highlight w:val="yellow"/>
        </w:rPr>
        <w:t xml:space="preserve"> </w:t>
      </w:r>
      <w:r w:rsidRPr="0015666B">
        <w:rPr>
          <w:rFonts w:ascii="Calibri" w:hAnsi="Calibri" w:cs="Calibri"/>
          <w:sz w:val="24"/>
          <w:szCs w:val="24"/>
          <w:highlight w:val="yellow"/>
        </w:rPr>
        <w:t xml:space="preserve">G needle attached to a </w:t>
      </w:r>
      <w:r w:rsidR="006B170B" w:rsidRPr="0015666B">
        <w:rPr>
          <w:rFonts w:ascii="Calibri" w:hAnsi="Calibri" w:cs="Calibri"/>
          <w:sz w:val="24"/>
          <w:szCs w:val="24"/>
          <w:highlight w:val="yellow"/>
        </w:rPr>
        <w:t>1</w:t>
      </w:r>
      <w:r w:rsidRPr="0015666B">
        <w:rPr>
          <w:rFonts w:ascii="Calibri" w:hAnsi="Calibri" w:cs="Calibri"/>
          <w:sz w:val="24"/>
          <w:szCs w:val="24"/>
          <w:highlight w:val="yellow"/>
        </w:rPr>
        <w:t xml:space="preserve"> mL insulin syringe (</w:t>
      </w:r>
      <w:r w:rsidR="006B170B" w:rsidRPr="0015666B">
        <w:rPr>
          <w:rFonts w:ascii="Calibri" w:hAnsi="Calibri" w:cs="Calibri"/>
          <w:sz w:val="24"/>
          <w:szCs w:val="24"/>
          <w:highlight w:val="yellow"/>
        </w:rPr>
        <w:t>serving solely as</w:t>
      </w:r>
      <w:r w:rsidRPr="0015666B">
        <w:rPr>
          <w:rFonts w:ascii="Calibri" w:hAnsi="Calibri" w:cs="Calibri"/>
          <w:sz w:val="24"/>
          <w:szCs w:val="24"/>
          <w:highlight w:val="yellow"/>
        </w:rPr>
        <w:t xml:space="preserve"> a handle for the comfort</w:t>
      </w:r>
      <w:r w:rsidR="006B170B" w:rsidRPr="0015666B">
        <w:rPr>
          <w:rFonts w:ascii="Calibri" w:hAnsi="Calibri" w:cs="Calibri"/>
          <w:sz w:val="24"/>
          <w:szCs w:val="24"/>
          <w:highlight w:val="yellow"/>
        </w:rPr>
        <w:t xml:space="preserve"> of the user</w:t>
      </w:r>
      <w:r w:rsidRPr="0015666B">
        <w:rPr>
          <w:rFonts w:ascii="Calibri" w:hAnsi="Calibri" w:cs="Calibri"/>
          <w:sz w:val="24"/>
          <w:szCs w:val="24"/>
          <w:highlight w:val="yellow"/>
        </w:rPr>
        <w:t>)</w:t>
      </w:r>
      <w:r w:rsidR="006B170B" w:rsidRPr="0015666B">
        <w:rPr>
          <w:rFonts w:ascii="Calibri" w:hAnsi="Calibri" w:cs="Calibri"/>
          <w:sz w:val="24"/>
          <w:szCs w:val="24"/>
          <w:highlight w:val="yellow"/>
        </w:rPr>
        <w:t>,</w:t>
      </w:r>
      <w:r w:rsidRPr="0015666B">
        <w:rPr>
          <w:rFonts w:ascii="Calibri" w:hAnsi="Calibri" w:cs="Calibri"/>
          <w:sz w:val="24"/>
          <w:szCs w:val="24"/>
          <w:highlight w:val="yellow"/>
        </w:rPr>
        <w:t xml:space="preserve"> and then use 5</w:t>
      </w:r>
      <w:r w:rsidR="00B502EF" w:rsidRPr="0015666B">
        <w:rPr>
          <w:rFonts w:ascii="Calibri" w:hAnsi="Calibri" w:cs="Calibri"/>
          <w:sz w:val="24"/>
          <w:szCs w:val="24"/>
          <w:highlight w:val="yellow"/>
        </w:rPr>
        <w:t xml:space="preserve"> </w:t>
      </w:r>
      <w:r w:rsidRPr="0015666B">
        <w:rPr>
          <w:rFonts w:ascii="Calibri" w:hAnsi="Calibri" w:cs="Calibri"/>
          <w:sz w:val="24"/>
          <w:szCs w:val="24"/>
          <w:highlight w:val="yellow"/>
        </w:rPr>
        <w:t xml:space="preserve">mm </w:t>
      </w:r>
      <w:r w:rsidR="00444965" w:rsidRPr="0015666B">
        <w:rPr>
          <w:rFonts w:ascii="Calibri" w:hAnsi="Calibri" w:cs="Calibri"/>
          <w:sz w:val="24"/>
          <w:szCs w:val="24"/>
          <w:highlight w:val="yellow"/>
        </w:rPr>
        <w:t xml:space="preserve">ultrafine microsurgical </w:t>
      </w:r>
      <w:r w:rsidRPr="0015666B">
        <w:rPr>
          <w:rFonts w:ascii="Calibri" w:hAnsi="Calibri" w:cs="Calibri"/>
          <w:sz w:val="24"/>
          <w:szCs w:val="24"/>
          <w:highlight w:val="yellow"/>
        </w:rPr>
        <w:t>spring scissors to cut off the bone that once held the cristae.</w:t>
      </w:r>
      <w:r w:rsidR="003862C2" w:rsidRPr="0015666B">
        <w:rPr>
          <w:rFonts w:ascii="Calibri" w:hAnsi="Calibri" w:cs="Calibri"/>
          <w:sz w:val="24"/>
          <w:szCs w:val="24"/>
          <w:highlight w:val="yellow"/>
        </w:rPr>
        <w:t xml:space="preserve"> </w:t>
      </w:r>
    </w:p>
    <w:p w14:paraId="2484EA45"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4B548DA5" w14:textId="5D86AB56" w:rsidR="003862C2" w:rsidRPr="00C82009" w:rsidRDefault="008F595A" w:rsidP="00444965">
      <w:pPr>
        <w:pStyle w:val="ListParagraph"/>
        <w:spacing w:after="0" w:line="240" w:lineRule="auto"/>
        <w:ind w:left="0"/>
        <w:jc w:val="both"/>
        <w:rPr>
          <w:rFonts w:ascii="Calibri" w:hAnsi="Calibri" w:cs="Calibri"/>
          <w:sz w:val="24"/>
          <w:szCs w:val="24"/>
        </w:rPr>
      </w:pPr>
      <w:r w:rsidRPr="00C82009">
        <w:rPr>
          <w:rFonts w:ascii="Calibri" w:hAnsi="Calibri" w:cs="Calibri"/>
          <w:sz w:val="24"/>
          <w:szCs w:val="24"/>
        </w:rPr>
        <w:t xml:space="preserve">NOTE: The saccule is located between the posterior crista and the utricle, at a </w:t>
      </w:r>
      <w:r w:rsidR="00005F96" w:rsidRPr="00C104EB">
        <w:rPr>
          <w:rFonts w:ascii="Calibri" w:eastAsia="Calibri" w:hAnsi="Calibri" w:cs="Calibri"/>
          <w:color w:val="000000"/>
          <w:sz w:val="24"/>
          <w:szCs w:val="24"/>
        </w:rPr>
        <w:t>90°</w:t>
      </w:r>
      <w:r w:rsidRPr="00C82009">
        <w:rPr>
          <w:rFonts w:ascii="Calibri" w:hAnsi="Calibri" w:cs="Calibri"/>
          <w:sz w:val="24"/>
          <w:szCs w:val="24"/>
        </w:rPr>
        <w:t xml:space="preserve"> angle. It is also connected to the inferior vestibular ganglion with a very thin piece of bone in between. Because of this location, no special steps are needed for the dissection. However</w:t>
      </w:r>
      <w:r w:rsidR="000E0152" w:rsidRPr="00C82009">
        <w:rPr>
          <w:rFonts w:ascii="Calibri" w:hAnsi="Calibri" w:cs="Calibri"/>
          <w:sz w:val="24"/>
          <w:szCs w:val="24"/>
        </w:rPr>
        <w:t>,</w:t>
      </w:r>
      <w:r w:rsidRPr="00C82009">
        <w:rPr>
          <w:rFonts w:ascii="Calibri" w:hAnsi="Calibri" w:cs="Calibri"/>
          <w:sz w:val="24"/>
          <w:szCs w:val="24"/>
        </w:rPr>
        <w:t xml:space="preserve"> do not attempt to remove th</w:t>
      </w:r>
      <w:r w:rsidR="000E0152" w:rsidRPr="00C82009">
        <w:rPr>
          <w:rFonts w:ascii="Calibri" w:hAnsi="Calibri" w:cs="Calibri"/>
          <w:sz w:val="24"/>
          <w:szCs w:val="24"/>
        </w:rPr>
        <w:t>is thin</w:t>
      </w:r>
      <w:r w:rsidRPr="00C82009">
        <w:rPr>
          <w:rFonts w:ascii="Calibri" w:hAnsi="Calibri" w:cs="Calibri"/>
          <w:sz w:val="24"/>
          <w:szCs w:val="24"/>
        </w:rPr>
        <w:t xml:space="preserve"> bone during </w:t>
      </w:r>
      <w:r w:rsidR="008D678D">
        <w:rPr>
          <w:rFonts w:ascii="Calibri" w:hAnsi="Calibri" w:cs="Calibri"/>
          <w:sz w:val="24"/>
          <w:szCs w:val="24"/>
        </w:rPr>
        <w:t>dissection, as</w:t>
      </w:r>
      <w:r w:rsidRPr="00C82009">
        <w:rPr>
          <w:rFonts w:ascii="Calibri" w:hAnsi="Calibri" w:cs="Calibri"/>
          <w:sz w:val="24"/>
          <w:szCs w:val="24"/>
        </w:rPr>
        <w:t xml:space="preserve"> it will damage the ganglion.</w:t>
      </w:r>
    </w:p>
    <w:p w14:paraId="4F672A2D"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1BAB167E" w14:textId="7A33DD4F" w:rsidR="008337A1" w:rsidRPr="00C82009" w:rsidRDefault="008F595A" w:rsidP="00444965">
      <w:r w:rsidRPr="00C82009">
        <w:t>4</w:t>
      </w:r>
      <w:r w:rsidRPr="0015666B">
        <w:rPr>
          <w:highlight w:val="yellow"/>
        </w:rPr>
        <w:t>.7. Use curved 2.5 mm Vannas spring scissors to trim the basal turn of the cochlea and any other tissue/bone remaining around the vestibular complex</w:t>
      </w:r>
      <w:r w:rsidR="00444965" w:rsidRPr="0015666B">
        <w:rPr>
          <w:highlight w:val="yellow"/>
        </w:rPr>
        <w:t>.</w:t>
      </w:r>
    </w:p>
    <w:p w14:paraId="40397BD4"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0D8A8EAF" w14:textId="44499C84" w:rsidR="008337A1" w:rsidRPr="00A8590D" w:rsidRDefault="008F595A" w:rsidP="00444965">
      <w:pPr>
        <w:pStyle w:val="ListParagraph"/>
        <w:numPr>
          <w:ilvl w:val="0"/>
          <w:numId w:val="32"/>
        </w:numPr>
        <w:spacing w:after="0" w:line="240" w:lineRule="auto"/>
        <w:ind w:left="0" w:firstLine="0"/>
        <w:rPr>
          <w:rFonts w:ascii="Calibri" w:hAnsi="Calibri" w:cs="Calibri"/>
          <w:b/>
          <w:bCs/>
          <w:sz w:val="24"/>
          <w:szCs w:val="24"/>
        </w:rPr>
      </w:pPr>
      <w:r w:rsidRPr="00A8590D">
        <w:rPr>
          <w:rFonts w:ascii="Calibri" w:hAnsi="Calibri" w:cs="Calibri"/>
          <w:b/>
          <w:bCs/>
          <w:sz w:val="24"/>
          <w:szCs w:val="24"/>
        </w:rPr>
        <w:t>Immunostaining with Fluorescently Tagged Antibodies</w:t>
      </w:r>
    </w:p>
    <w:p w14:paraId="34B0252F"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60764F7D" w14:textId="451F55D9" w:rsidR="006439A8" w:rsidRPr="00C82009" w:rsidRDefault="008F595A" w:rsidP="00444965">
      <w:r w:rsidRPr="00C82009">
        <w:t xml:space="preserve">NOTE: </w:t>
      </w:r>
      <w:r w:rsidR="008337A1" w:rsidRPr="00C82009">
        <w:t xml:space="preserve">The immunostaining process </w:t>
      </w:r>
      <w:r w:rsidRPr="00C82009">
        <w:t xml:space="preserve">described below </w:t>
      </w:r>
      <w:r w:rsidR="00444965">
        <w:t>has</w:t>
      </w:r>
      <w:r w:rsidRPr="00C82009">
        <w:t xml:space="preserve"> a slight modification in volume</w:t>
      </w:r>
      <w:r w:rsidR="008E46EA" w:rsidRPr="00C82009">
        <w:t xml:space="preserve"> per well</w:t>
      </w:r>
      <w:r w:rsidR="008337A1" w:rsidRPr="00C82009">
        <w:t xml:space="preserve">.  </w:t>
      </w:r>
    </w:p>
    <w:p w14:paraId="18288B8F" w14:textId="77777777" w:rsidR="006439A8" w:rsidRPr="00C82009" w:rsidRDefault="006439A8" w:rsidP="00444965"/>
    <w:p w14:paraId="45DA41C1" w14:textId="6EB66876" w:rsidR="006B170B" w:rsidRPr="00C82009" w:rsidRDefault="008F595A" w:rsidP="00444965">
      <w:r w:rsidRPr="00C82009">
        <w:t xml:space="preserve">5.1. After dissection, store each vestibular complex in a separate well in a 48-well plate (or chamber slide), submerged in ~500 </w:t>
      </w:r>
      <w:proofErr w:type="spellStart"/>
      <w:r w:rsidRPr="00C82009">
        <w:t>μ</w:t>
      </w:r>
      <w:r w:rsidR="008D678D">
        <w:t>L</w:t>
      </w:r>
      <w:proofErr w:type="spellEnd"/>
      <w:r w:rsidRPr="00C82009">
        <w:t xml:space="preserve"> of 10 mM PBS</w:t>
      </w:r>
      <w:r w:rsidR="00FF0C57">
        <w:t>,</w:t>
      </w:r>
      <w:r w:rsidRPr="00C82009">
        <w:t xml:space="preserve"> pH 7.4</w:t>
      </w:r>
      <w:r w:rsidR="00965CCC" w:rsidRPr="00C82009">
        <w:t>.</w:t>
      </w:r>
    </w:p>
    <w:p w14:paraId="5A9255FA" w14:textId="77777777" w:rsidR="006439A8" w:rsidRPr="00C82009" w:rsidRDefault="006439A8" w:rsidP="00444965"/>
    <w:p w14:paraId="0D768FC5" w14:textId="039779E4" w:rsidR="006439A8" w:rsidRPr="00C82009" w:rsidRDefault="008F595A" w:rsidP="00444965">
      <w:r w:rsidRPr="00C82009">
        <w:t>5.2</w:t>
      </w:r>
      <w:r w:rsidR="00C82009" w:rsidRPr="00C82009">
        <w:t>.</w:t>
      </w:r>
      <w:r w:rsidRPr="00C82009">
        <w:t xml:space="preserve"> </w:t>
      </w:r>
      <w:r w:rsidR="00FF0C57">
        <w:t>Keep</w:t>
      </w:r>
      <w:r w:rsidR="00FF0C57" w:rsidRPr="00FF0C57">
        <w:t xml:space="preserve"> the vestibular complex submerged in the solution</w:t>
      </w:r>
      <w:r w:rsidR="00EE5B0B">
        <w:t>. For</w:t>
      </w:r>
      <w:r w:rsidR="00FF0C57">
        <w:t xml:space="preserve"> each of the following steps, do not float on the surface or stick</w:t>
      </w:r>
      <w:r w:rsidRPr="00C82009">
        <w:t xml:space="preserve"> to the side of the well. </w:t>
      </w:r>
    </w:p>
    <w:p w14:paraId="03AD0A03" w14:textId="77777777" w:rsidR="006439A8" w:rsidRPr="00C82009" w:rsidRDefault="006439A8" w:rsidP="00444965"/>
    <w:p w14:paraId="262F79BA" w14:textId="4595E350" w:rsidR="006B170B" w:rsidRPr="00C82009" w:rsidRDefault="008F595A" w:rsidP="00444965">
      <w:r w:rsidRPr="00C82009">
        <w:t>NOTE: When removing liquid from each well, it is easy to lose or suck up the tissue in the pipette tip. Changing solutions with a 200</w:t>
      </w:r>
      <w:r w:rsidR="006439A8" w:rsidRPr="00C82009">
        <w:t xml:space="preserve"> </w:t>
      </w:r>
      <w:proofErr w:type="spellStart"/>
      <w:r w:rsidRPr="00C82009">
        <w:t>μ</w:t>
      </w:r>
      <w:r w:rsidR="006439A8" w:rsidRPr="00C82009">
        <w:t>L</w:t>
      </w:r>
      <w:proofErr w:type="spellEnd"/>
      <w:r w:rsidRPr="00C82009">
        <w:t xml:space="preserve"> pipette tip using a dissection scope will help prevent this.</w:t>
      </w:r>
    </w:p>
    <w:p w14:paraId="3F0383DB" w14:textId="77777777" w:rsidR="006439A8" w:rsidRPr="00C82009" w:rsidRDefault="006439A8" w:rsidP="00444965"/>
    <w:p w14:paraId="640B13EE" w14:textId="00AC4732" w:rsidR="00153009" w:rsidRDefault="008F595A" w:rsidP="00444965">
      <w:r w:rsidRPr="00C82009">
        <w:t>5.2.1</w:t>
      </w:r>
      <w:r w:rsidR="00C82009" w:rsidRPr="00C82009">
        <w:t>.</w:t>
      </w:r>
      <w:r w:rsidRPr="00C82009">
        <w:t xml:space="preserve"> Using a pipette, remove PBS from each well and replace with ~200</w:t>
      </w:r>
      <w:r w:rsidR="006439A8" w:rsidRPr="00C82009">
        <w:t>–</w:t>
      </w:r>
      <w:r w:rsidRPr="00C82009">
        <w:t xml:space="preserve">300 </w:t>
      </w:r>
      <w:proofErr w:type="spellStart"/>
      <w:r w:rsidRPr="00C82009">
        <w:t>μ</w:t>
      </w:r>
      <w:r w:rsidR="006439A8" w:rsidRPr="00C82009">
        <w:t>L</w:t>
      </w:r>
      <w:proofErr w:type="spellEnd"/>
      <w:r w:rsidRPr="00C82009">
        <w:t xml:space="preserve"> per well of blocking/permeabilization solution (1% </w:t>
      </w:r>
      <w:r w:rsidR="002B19D1" w:rsidRPr="00C104EB">
        <w:rPr>
          <w:color w:val="000000"/>
        </w:rPr>
        <w:t xml:space="preserve">nonionic detergent </w:t>
      </w:r>
      <w:proofErr w:type="spellStart"/>
      <w:r w:rsidR="00FF715F" w:rsidRPr="00FF715F">
        <w:t>octylphenol</w:t>
      </w:r>
      <w:proofErr w:type="spellEnd"/>
      <w:r w:rsidR="00FF715F" w:rsidRPr="00FF715F">
        <w:t xml:space="preserve"> ethoxylate</w:t>
      </w:r>
      <w:r w:rsidRPr="00C82009">
        <w:t>, 1% bovine serum albumin (BSA), and 10% normal goat serum (NGS) diluted in 10 mM PBS</w:t>
      </w:r>
      <w:r w:rsidR="00FF0C57">
        <w:t>,</w:t>
      </w:r>
      <w:r w:rsidRPr="00C82009">
        <w:t xml:space="preserve"> pH 7.4). </w:t>
      </w:r>
    </w:p>
    <w:p w14:paraId="4CD3E340" w14:textId="77777777" w:rsidR="00153009" w:rsidRDefault="00153009" w:rsidP="00444965"/>
    <w:p w14:paraId="065DA845" w14:textId="1C7EF042" w:rsidR="006B170B" w:rsidRPr="00C82009" w:rsidRDefault="008F595A" w:rsidP="00444965">
      <w:r w:rsidRPr="00C82009">
        <w:t>NOTE: If any primary antibody used was made in a goat host, normal horse serum should be used as a replacement for NGS to prevent cross-reactivity with anti-goat secondary antibodies.</w:t>
      </w:r>
    </w:p>
    <w:p w14:paraId="325C798A" w14:textId="77777777" w:rsidR="006439A8" w:rsidRPr="00C82009" w:rsidRDefault="006439A8" w:rsidP="00444965"/>
    <w:p w14:paraId="520D0E6C" w14:textId="4BF03FB8" w:rsidR="006B170B" w:rsidRPr="00C82009" w:rsidRDefault="008F595A" w:rsidP="00444965">
      <w:r w:rsidRPr="00C82009">
        <w:t>5.2.2</w:t>
      </w:r>
      <w:r w:rsidR="00C82009" w:rsidRPr="00C82009">
        <w:t>.</w:t>
      </w:r>
      <w:r w:rsidRPr="00C82009">
        <w:t xml:space="preserve"> Incubate 1 h at </w:t>
      </w:r>
      <w:r w:rsidR="008E46EA" w:rsidRPr="00C82009">
        <w:t>room temperature</w:t>
      </w:r>
      <w:r w:rsidRPr="00C82009">
        <w:t xml:space="preserve"> on a 3D rotator. </w:t>
      </w:r>
    </w:p>
    <w:p w14:paraId="0FC21526" w14:textId="77777777" w:rsidR="006439A8" w:rsidRPr="00C82009" w:rsidRDefault="006439A8" w:rsidP="00444965"/>
    <w:p w14:paraId="1D40B4AF" w14:textId="6FD18B6D" w:rsidR="00BD7584" w:rsidRPr="00BD7584" w:rsidRDefault="008F595A" w:rsidP="00BD7584">
      <w:pPr>
        <w:rPr>
          <w:rFonts w:eastAsia="Times New Roman"/>
          <w:color w:val="000000"/>
          <w:lang w:val="en-IN" w:eastAsia="en-IN"/>
        </w:rPr>
      </w:pPr>
      <w:r w:rsidRPr="00C82009">
        <w:t>5.2.3</w:t>
      </w:r>
      <w:r w:rsidR="00C82009" w:rsidRPr="00C82009">
        <w:t>.</w:t>
      </w:r>
      <w:r w:rsidRPr="00C82009">
        <w:t xml:space="preserve"> Remove blocking/permeabilization solution using a pipette and replace with ~110 </w:t>
      </w:r>
      <w:proofErr w:type="spellStart"/>
      <w:r w:rsidRPr="00C82009">
        <w:t>μ</w:t>
      </w:r>
      <w:r w:rsidR="008D678D">
        <w:t>L</w:t>
      </w:r>
      <w:proofErr w:type="spellEnd"/>
      <w:r w:rsidRPr="00C82009">
        <w:t xml:space="preserve"> per well of the primary antibody solution (0.1% </w:t>
      </w:r>
      <w:proofErr w:type="spellStart"/>
      <w:r w:rsidR="00FF715F" w:rsidRPr="00FF715F">
        <w:t>octylphenol</w:t>
      </w:r>
      <w:proofErr w:type="spellEnd"/>
      <w:r w:rsidR="00FF715F" w:rsidRPr="00FF715F">
        <w:t xml:space="preserve"> ethoxylate</w:t>
      </w:r>
      <w:r w:rsidRPr="00C82009">
        <w:t>, 1% BSA, and 5% NGS diluted in 10 mM PBS</w:t>
      </w:r>
      <w:r w:rsidR="00FF0C57">
        <w:t>,</w:t>
      </w:r>
      <w:r w:rsidRPr="00C82009">
        <w:t xml:space="preserve"> pH 7.4). The dilution factor for each primary antibody varies. </w:t>
      </w:r>
      <w:proofErr w:type="gramStart"/>
      <w:r w:rsidRPr="00C82009">
        <w:t>Here</w:t>
      </w:r>
      <w:r w:rsidR="008D678D">
        <w:t>,</w:t>
      </w:r>
      <w:r w:rsidRPr="00C82009">
        <w:t xml:space="preserve">  rabbit</w:t>
      </w:r>
      <w:proofErr w:type="gramEnd"/>
      <w:r w:rsidRPr="00C82009">
        <w:t xml:space="preserve"> anti-</w:t>
      </w:r>
      <w:r w:rsidRPr="00C82009">
        <w:lastRenderedPageBreak/>
        <w:t xml:space="preserve">myosin </w:t>
      </w:r>
      <w:proofErr w:type="spellStart"/>
      <w:r w:rsidRPr="00C82009">
        <w:t>VII</w:t>
      </w:r>
      <w:r w:rsidR="00444965">
        <w:t>a</w:t>
      </w:r>
      <w:proofErr w:type="spellEnd"/>
      <w:r w:rsidRPr="00C82009">
        <w:t xml:space="preserve"> </w:t>
      </w:r>
      <w:r w:rsidR="00153009">
        <w:t xml:space="preserve">was used </w:t>
      </w:r>
      <w:r w:rsidRPr="00C82009">
        <w:t xml:space="preserve">at 1:200 and mouse </w:t>
      </w:r>
      <w:r w:rsidR="00377DCE" w:rsidRPr="00C82009">
        <w:t xml:space="preserve">IgG2a </w:t>
      </w:r>
      <w:r w:rsidR="00BD7584" w:rsidRPr="00BD7584">
        <w:rPr>
          <w:rFonts w:eastAsia="Times New Roman"/>
          <w:color w:val="000000"/>
          <w:lang w:val="en-IN" w:eastAsia="en-IN"/>
        </w:rPr>
        <w:t xml:space="preserve">anti-β-III tubulin (neuron-specific class III β-tubulin; clone </w:t>
      </w:r>
      <w:r w:rsidR="00BD7584" w:rsidRPr="00C104EB">
        <w:rPr>
          <w:color w:val="000000"/>
        </w:rPr>
        <w:t>β-III tubulin</w:t>
      </w:r>
      <w:r w:rsidR="00BD7584" w:rsidRPr="00BD7584">
        <w:rPr>
          <w:rFonts w:eastAsia="Times New Roman"/>
          <w:color w:val="000000"/>
          <w:lang w:val="en-IN" w:eastAsia="en-IN"/>
        </w:rPr>
        <w:t>)</w:t>
      </w:r>
    </w:p>
    <w:p w14:paraId="04F4D4B4" w14:textId="67F65D76" w:rsidR="008E46EA" w:rsidRPr="00C82009" w:rsidRDefault="008F595A" w:rsidP="00444965">
      <w:r w:rsidRPr="00C82009">
        <w:t xml:space="preserve"> at 1:500. </w:t>
      </w:r>
    </w:p>
    <w:p w14:paraId="7D2AC862" w14:textId="77777777" w:rsidR="006439A8" w:rsidRPr="00C82009" w:rsidRDefault="006439A8" w:rsidP="00444965"/>
    <w:p w14:paraId="1296EBD4" w14:textId="77777777" w:rsidR="00FF0C57" w:rsidRDefault="008F595A" w:rsidP="00444965">
      <w:r w:rsidRPr="00C82009">
        <w:t>5.2.4</w:t>
      </w:r>
      <w:r w:rsidR="00C82009" w:rsidRPr="00C82009">
        <w:t>.</w:t>
      </w:r>
      <w:r w:rsidRPr="00C82009">
        <w:t xml:space="preserve"> Incubate at least 14 h at </w:t>
      </w:r>
      <w:r w:rsidR="00005F96" w:rsidRPr="00C104EB">
        <w:rPr>
          <w:color w:val="000000"/>
        </w:rPr>
        <w:t>4 °C</w:t>
      </w:r>
      <w:r w:rsidR="00005F96">
        <w:rPr>
          <w:color w:val="000000"/>
        </w:rPr>
        <w:t xml:space="preserve"> </w:t>
      </w:r>
      <w:r w:rsidRPr="00C82009">
        <w:t xml:space="preserve">on a 3D rotator. </w:t>
      </w:r>
    </w:p>
    <w:p w14:paraId="6CE1D574" w14:textId="77777777" w:rsidR="00FF0C57" w:rsidRDefault="00FF0C57" w:rsidP="00444965"/>
    <w:p w14:paraId="59EF1748" w14:textId="0B25EC77" w:rsidR="006B170B" w:rsidRPr="00C82009" w:rsidRDefault="008F595A" w:rsidP="00444965">
      <w:r w:rsidRPr="00C82009">
        <w:t xml:space="preserve">NOTE: If more than one primary antibody is used, </w:t>
      </w:r>
      <w:r w:rsidR="008D678D">
        <w:t xml:space="preserve">they can all be combined into a single incubation solution; each primary antibody </w:t>
      </w:r>
      <w:r w:rsidR="00EE5B0B">
        <w:t xml:space="preserve">should be </w:t>
      </w:r>
      <w:r w:rsidR="008D678D">
        <w:t>from</w:t>
      </w:r>
      <w:r w:rsidRPr="00C82009">
        <w:t xml:space="preserve"> a different host.</w:t>
      </w:r>
    </w:p>
    <w:p w14:paraId="7BE85021" w14:textId="77777777" w:rsidR="006439A8" w:rsidRPr="00C82009" w:rsidRDefault="006439A8" w:rsidP="00444965"/>
    <w:p w14:paraId="445CFB06" w14:textId="2A140711" w:rsidR="006B170B" w:rsidRPr="00C82009" w:rsidRDefault="008F595A" w:rsidP="00444965">
      <w:r w:rsidRPr="00C82009">
        <w:t>5.</w:t>
      </w:r>
      <w:r w:rsidR="008E46EA" w:rsidRPr="00C82009">
        <w:t>2.</w:t>
      </w:r>
      <w:r w:rsidR="00A8590D">
        <w:t>5</w:t>
      </w:r>
      <w:r w:rsidR="00C82009" w:rsidRPr="00C82009">
        <w:t>.</w:t>
      </w:r>
      <w:r w:rsidRPr="00C82009">
        <w:t xml:space="preserve"> Remove </w:t>
      </w:r>
      <w:r w:rsidR="008E46EA" w:rsidRPr="00C82009">
        <w:t xml:space="preserve">the </w:t>
      </w:r>
      <w:r w:rsidRPr="00C82009">
        <w:t>primary antibody solution using a pipette and perform 3 washes of 10 mM PBS</w:t>
      </w:r>
      <w:r w:rsidR="00FF0C57">
        <w:t>,</w:t>
      </w:r>
      <w:r w:rsidRPr="00C82009">
        <w:t xml:space="preserve"> pH 7.4</w:t>
      </w:r>
      <w:r w:rsidR="00FF0C57">
        <w:t>,</w:t>
      </w:r>
      <w:r w:rsidRPr="00C82009">
        <w:t xml:space="preserve"> at ~500 </w:t>
      </w:r>
      <w:proofErr w:type="spellStart"/>
      <w:r w:rsidRPr="00C82009">
        <w:t>μ</w:t>
      </w:r>
      <w:r w:rsidR="00FF715F">
        <w:t>L</w:t>
      </w:r>
      <w:proofErr w:type="spellEnd"/>
      <w:r w:rsidRPr="00C82009">
        <w:t xml:space="preserve"> per well. Each wash </w:t>
      </w:r>
      <w:r w:rsidR="008D678D">
        <w:t>is incubated for</w:t>
      </w:r>
      <w:r w:rsidRPr="00C82009">
        <w:t xml:space="preserve"> </w:t>
      </w:r>
      <w:r w:rsidR="00FF715F">
        <w:t>at least</w:t>
      </w:r>
      <w:r w:rsidRPr="00C82009">
        <w:t xml:space="preserve"> 5 min at</w:t>
      </w:r>
      <w:r w:rsidR="00377DCE" w:rsidRPr="00C82009">
        <w:t xml:space="preserve"> room temperature</w:t>
      </w:r>
      <w:r w:rsidRPr="00C82009">
        <w:t xml:space="preserve"> on a 3D rotator.</w:t>
      </w:r>
    </w:p>
    <w:p w14:paraId="1DDA4222" w14:textId="77777777" w:rsidR="006439A8" w:rsidRPr="00C82009" w:rsidRDefault="006439A8" w:rsidP="00444965"/>
    <w:p w14:paraId="2FC556B0" w14:textId="7834FE5E" w:rsidR="00377DCE" w:rsidRPr="00C82009" w:rsidRDefault="008F595A" w:rsidP="00444965">
      <w:r w:rsidRPr="00C82009">
        <w:t>5.2.</w:t>
      </w:r>
      <w:r w:rsidR="00A8590D">
        <w:t>6</w:t>
      </w:r>
      <w:r w:rsidR="00C82009" w:rsidRPr="00C82009">
        <w:t>.</w:t>
      </w:r>
      <w:r w:rsidRPr="00C82009">
        <w:t xml:space="preserve"> Remove the last PBS wash using a pipette and replace with ~110 </w:t>
      </w:r>
      <w:proofErr w:type="spellStart"/>
      <w:r w:rsidRPr="00C82009">
        <w:t>μ</w:t>
      </w:r>
      <w:r w:rsidR="00C82009">
        <w:t>L</w:t>
      </w:r>
      <w:proofErr w:type="spellEnd"/>
      <w:r w:rsidRPr="00C82009">
        <w:t xml:space="preserve"> per well of the </w:t>
      </w:r>
    </w:p>
    <w:p w14:paraId="261FF76E" w14:textId="0E6B1251" w:rsidR="00B36C46" w:rsidRDefault="008F595A" w:rsidP="00444965">
      <w:r w:rsidRPr="00C82009">
        <w:t xml:space="preserve">secondary antibody solution (0.1% </w:t>
      </w:r>
      <w:proofErr w:type="spellStart"/>
      <w:r w:rsidR="00FF715F" w:rsidRPr="00FF715F">
        <w:t>octylphenol</w:t>
      </w:r>
      <w:proofErr w:type="spellEnd"/>
      <w:r w:rsidR="00FF715F" w:rsidRPr="00FF715F">
        <w:t xml:space="preserve"> ethoxylate</w:t>
      </w:r>
      <w:r w:rsidRPr="00C82009">
        <w:t>, 1% BSA, and 5% NGS diluted in 10 mM PBS</w:t>
      </w:r>
      <w:r w:rsidR="00FF0C57">
        <w:t>,</w:t>
      </w:r>
      <w:r w:rsidRPr="00C82009">
        <w:t xml:space="preserve"> pH 7.4).</w:t>
      </w:r>
    </w:p>
    <w:p w14:paraId="40715003" w14:textId="77777777" w:rsidR="00B36C46" w:rsidRDefault="00B36C46" w:rsidP="00444965"/>
    <w:p w14:paraId="3E16F52A" w14:textId="0473D881" w:rsidR="006B170B" w:rsidRPr="00C82009" w:rsidRDefault="00B36C46" w:rsidP="00444965">
      <w:r>
        <w:t xml:space="preserve">NOTE: </w:t>
      </w:r>
      <w:r w:rsidR="008F595A" w:rsidRPr="00C82009">
        <w:t xml:space="preserve">The dilution factor for each fluorescently tagged secondary antibody </w:t>
      </w:r>
      <w:r>
        <w:t xml:space="preserve">should </w:t>
      </w:r>
      <w:r w:rsidR="008F595A" w:rsidRPr="00C82009">
        <w:t>usually</w:t>
      </w:r>
      <w:r>
        <w:t xml:space="preserve"> be</w:t>
      </w:r>
      <w:r w:rsidR="008F595A" w:rsidRPr="00C82009">
        <w:t xml:space="preserve"> 1:500 or 1:1,000.</w:t>
      </w:r>
      <w:r w:rsidR="00377DCE" w:rsidRPr="00C82009">
        <w:t xml:space="preserve"> Here</w:t>
      </w:r>
      <w:r w:rsidR="008D678D">
        <w:t>,</w:t>
      </w:r>
      <w:r w:rsidR="00377DCE" w:rsidRPr="00C82009">
        <w:t xml:space="preserve"> donkey anti-rabbit (</w:t>
      </w:r>
      <w:r w:rsidR="00B502EF" w:rsidRPr="00C104EB">
        <w:rPr>
          <w:color w:val="000000"/>
        </w:rPr>
        <w:t>H+L; heavy and light chain</w:t>
      </w:r>
      <w:r w:rsidR="00377DCE" w:rsidRPr="00C82009">
        <w:t xml:space="preserve">) conjugated to </w:t>
      </w:r>
      <w:r w:rsidR="00361CED" w:rsidRPr="00361CED">
        <w:t>bright, red-orange fluorescent dye</w:t>
      </w:r>
      <w:r w:rsidR="00361CED">
        <w:t xml:space="preserve"> </w:t>
      </w:r>
      <w:r w:rsidR="00377DCE" w:rsidRPr="00C82009">
        <w:t xml:space="preserve">and goat anti-mouse IgG2a conjugated to </w:t>
      </w:r>
      <w:r w:rsidR="00361CED" w:rsidRPr="00361CED">
        <w:t>bright green fluorescent dye</w:t>
      </w:r>
      <w:r w:rsidR="00361CED">
        <w:t xml:space="preserve"> </w:t>
      </w:r>
      <w:r w:rsidR="003643B1">
        <w:t>were used</w:t>
      </w:r>
      <w:r w:rsidR="00377DCE" w:rsidRPr="00C82009">
        <w:t>, both at a 1:1,000 dilution.</w:t>
      </w:r>
    </w:p>
    <w:p w14:paraId="665902BA" w14:textId="77777777" w:rsidR="006439A8" w:rsidRPr="00C82009" w:rsidRDefault="006439A8" w:rsidP="00444965"/>
    <w:p w14:paraId="57138F47" w14:textId="2D18FAD8" w:rsidR="006439A8" w:rsidRPr="00C82009" w:rsidRDefault="008F595A" w:rsidP="00444965">
      <w:r w:rsidRPr="00C82009">
        <w:t>5.</w:t>
      </w:r>
      <w:r w:rsidR="00CA3304" w:rsidRPr="00C82009">
        <w:t>2.</w:t>
      </w:r>
      <w:r w:rsidR="00A8590D">
        <w:t>7</w:t>
      </w:r>
      <w:r w:rsidR="00C82009" w:rsidRPr="00C82009">
        <w:t>.</w:t>
      </w:r>
      <w:r w:rsidRPr="00C82009">
        <w:t xml:space="preserve"> Place</w:t>
      </w:r>
      <w:r w:rsidR="00CA3304" w:rsidRPr="00C82009">
        <w:t xml:space="preserve"> the</w:t>
      </w:r>
      <w:r w:rsidRPr="00C82009">
        <w:t xml:space="preserve"> 48-well plate in a black box to protect fluorescently tagged secondary antibodies from light. Incubate 2–3 </w:t>
      </w:r>
      <w:r w:rsidR="00CA3304" w:rsidRPr="00C82009">
        <w:t xml:space="preserve">h </w:t>
      </w:r>
      <w:r w:rsidRPr="00C82009">
        <w:t xml:space="preserve">at </w:t>
      </w:r>
      <w:r w:rsidR="00CA3304" w:rsidRPr="00C82009">
        <w:t>room temperature</w:t>
      </w:r>
      <w:r w:rsidRPr="00C82009">
        <w:t xml:space="preserve"> on a 3D rotator.  </w:t>
      </w:r>
    </w:p>
    <w:p w14:paraId="17352BB9" w14:textId="77777777" w:rsidR="006439A8" w:rsidRPr="00C82009" w:rsidRDefault="006439A8" w:rsidP="00444965"/>
    <w:p w14:paraId="4495D3D6" w14:textId="5FA3008A" w:rsidR="006B170B" w:rsidRPr="00C82009" w:rsidRDefault="008F595A" w:rsidP="00444965">
      <w:r w:rsidRPr="00C82009">
        <w:t xml:space="preserve">NOTE: If more than one secondary antibody is needed, they can be combined </w:t>
      </w:r>
      <w:r w:rsidR="008D678D">
        <w:t>in a single</w:t>
      </w:r>
      <w:r w:rsidRPr="00C82009">
        <w:t xml:space="preserve"> solution for incubation</w:t>
      </w:r>
      <w:r w:rsidR="00EE5B0B">
        <w:t>. There</w:t>
      </w:r>
      <w:r w:rsidRPr="00C82009">
        <w:t xml:space="preserve"> </w:t>
      </w:r>
      <w:r w:rsidR="00EE5B0B">
        <w:t>should be</w:t>
      </w:r>
      <w:r w:rsidRPr="00C82009">
        <w:t xml:space="preserve"> no</w:t>
      </w:r>
      <w:r w:rsidR="00CA3304" w:rsidRPr="00C82009">
        <w:t xml:space="preserve"> </w:t>
      </w:r>
      <w:r w:rsidRPr="00C82009">
        <w:t>possibility of cross-labeling (e.g., using goat anti-rabbit and chicken anti-goat secondary antibodies)</w:t>
      </w:r>
      <w:r w:rsidR="00CA3304" w:rsidRPr="00C82009">
        <w:t>.</w:t>
      </w:r>
    </w:p>
    <w:p w14:paraId="16727219" w14:textId="77777777" w:rsidR="006439A8" w:rsidRPr="00C82009" w:rsidRDefault="006439A8" w:rsidP="00444965"/>
    <w:p w14:paraId="179077D0" w14:textId="36E79242" w:rsidR="008337A1" w:rsidRPr="00C82009" w:rsidRDefault="008F595A" w:rsidP="00444965">
      <w:r w:rsidRPr="00C82009">
        <w:t>5.</w:t>
      </w:r>
      <w:r w:rsidR="00CA3304" w:rsidRPr="00C82009">
        <w:t>2.</w:t>
      </w:r>
      <w:r w:rsidR="00A8590D">
        <w:t>8</w:t>
      </w:r>
      <w:r w:rsidR="00C82009" w:rsidRPr="00C82009">
        <w:t>.</w:t>
      </w:r>
      <w:r w:rsidRPr="00C82009">
        <w:t xml:space="preserve"> Remove </w:t>
      </w:r>
      <w:r w:rsidR="00CA3304" w:rsidRPr="00C82009">
        <w:t xml:space="preserve">the </w:t>
      </w:r>
      <w:r w:rsidRPr="00C82009">
        <w:t>secondary antibody solution using a pipette and perform 3 washes of 10 mM PBS</w:t>
      </w:r>
      <w:r w:rsidR="00FF0C57">
        <w:t>,</w:t>
      </w:r>
      <w:r w:rsidRPr="00C82009">
        <w:t xml:space="preserve"> pH 7.4 at ~500 </w:t>
      </w:r>
      <w:proofErr w:type="spellStart"/>
      <w:r w:rsidRPr="00C82009">
        <w:t>μ</w:t>
      </w:r>
      <w:r w:rsidR="006439A8" w:rsidRPr="00C82009">
        <w:t>L</w:t>
      </w:r>
      <w:proofErr w:type="spellEnd"/>
      <w:r w:rsidRPr="00C82009">
        <w:t xml:space="preserve"> per well. Incubate each wash for </w:t>
      </w:r>
      <w:r w:rsidR="008D678D">
        <w:t>at least</w:t>
      </w:r>
      <w:r w:rsidRPr="00C82009">
        <w:t xml:space="preserve"> 5 min at </w:t>
      </w:r>
      <w:r w:rsidR="00CA3304" w:rsidRPr="00C82009">
        <w:t>room temperature</w:t>
      </w:r>
      <w:r w:rsidRPr="00C82009">
        <w:t xml:space="preserve"> on a 3D rotator. Keep</w:t>
      </w:r>
      <w:r w:rsidR="00CA3304" w:rsidRPr="00C82009">
        <w:t xml:space="preserve"> the</w:t>
      </w:r>
      <w:r w:rsidRPr="00C82009">
        <w:t xml:space="preserve"> 48-well plate in a black box to protect </w:t>
      </w:r>
      <w:r w:rsidR="008D678D">
        <w:t xml:space="preserve">it </w:t>
      </w:r>
      <w:r w:rsidRPr="00C82009">
        <w:t>from light.</w:t>
      </w:r>
    </w:p>
    <w:p w14:paraId="6AAFF06D" w14:textId="77777777" w:rsidR="006439A8" w:rsidRPr="00C82009" w:rsidRDefault="006439A8" w:rsidP="00444965"/>
    <w:p w14:paraId="1C512ECC" w14:textId="14413BD8" w:rsidR="008337A1" w:rsidRPr="00A8590D" w:rsidRDefault="008F595A" w:rsidP="00444965">
      <w:pPr>
        <w:pStyle w:val="ListParagraph"/>
        <w:numPr>
          <w:ilvl w:val="0"/>
          <w:numId w:val="30"/>
        </w:numPr>
        <w:spacing w:after="0" w:line="240" w:lineRule="auto"/>
        <w:ind w:left="0" w:firstLine="0"/>
        <w:jc w:val="both"/>
        <w:rPr>
          <w:rFonts w:ascii="Calibri" w:hAnsi="Calibri" w:cs="Calibri"/>
          <w:b/>
          <w:bCs/>
          <w:sz w:val="24"/>
          <w:szCs w:val="24"/>
        </w:rPr>
      </w:pPr>
      <w:r w:rsidRPr="00A8590D">
        <w:rPr>
          <w:rFonts w:ascii="Calibri" w:hAnsi="Calibri" w:cs="Calibri"/>
          <w:b/>
          <w:bCs/>
          <w:sz w:val="24"/>
          <w:szCs w:val="24"/>
        </w:rPr>
        <w:t>Mounting the Vestibular Complex on slides</w:t>
      </w:r>
    </w:p>
    <w:p w14:paraId="272AE39F"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717CFF7B" w14:textId="5EA210AF" w:rsidR="008337A1" w:rsidRPr="00C82009" w:rsidRDefault="008F595A" w:rsidP="00444965">
      <w:pPr>
        <w:pStyle w:val="ListParagraph"/>
        <w:numPr>
          <w:ilvl w:val="1"/>
          <w:numId w:val="30"/>
        </w:numPr>
        <w:spacing w:after="0" w:line="240" w:lineRule="auto"/>
        <w:ind w:left="0" w:firstLine="0"/>
        <w:jc w:val="both"/>
        <w:rPr>
          <w:rFonts w:ascii="Calibri" w:hAnsi="Calibri" w:cs="Calibri"/>
          <w:sz w:val="24"/>
          <w:szCs w:val="24"/>
        </w:rPr>
      </w:pPr>
      <w:r w:rsidRPr="00C82009">
        <w:rPr>
          <w:rFonts w:ascii="Calibri" w:hAnsi="Calibri" w:cs="Calibri"/>
          <w:sz w:val="24"/>
          <w:szCs w:val="24"/>
        </w:rPr>
        <w:t>Label the slides with the needed information, including sample identification and antibodies used.</w:t>
      </w:r>
    </w:p>
    <w:p w14:paraId="0060F61F"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6361F470" w14:textId="7E8CD9FB" w:rsidR="008337A1" w:rsidRPr="0015666B" w:rsidRDefault="008F595A" w:rsidP="00444965">
      <w:pPr>
        <w:pStyle w:val="ListParagraph"/>
        <w:numPr>
          <w:ilvl w:val="1"/>
          <w:numId w:val="30"/>
        </w:numPr>
        <w:spacing w:after="0" w:line="240" w:lineRule="auto"/>
        <w:ind w:left="0" w:firstLine="0"/>
        <w:jc w:val="both"/>
        <w:rPr>
          <w:rFonts w:ascii="Calibri" w:hAnsi="Calibri" w:cs="Calibri"/>
          <w:sz w:val="24"/>
          <w:szCs w:val="24"/>
          <w:highlight w:val="yellow"/>
        </w:rPr>
      </w:pPr>
      <w:r w:rsidRPr="0015666B">
        <w:rPr>
          <w:rFonts w:ascii="Calibri" w:hAnsi="Calibri" w:cs="Calibri"/>
          <w:sz w:val="24"/>
          <w:szCs w:val="24"/>
          <w:highlight w:val="yellow"/>
        </w:rPr>
        <w:t>Place a</w:t>
      </w:r>
      <w:r w:rsidR="003643B1" w:rsidRPr="0015666B">
        <w:rPr>
          <w:rFonts w:ascii="Calibri" w:hAnsi="Calibri" w:cs="Calibri"/>
          <w:sz w:val="24"/>
          <w:szCs w:val="24"/>
          <w:highlight w:val="yellow"/>
        </w:rPr>
        <w:t>n</w:t>
      </w:r>
      <w:r w:rsidRPr="0015666B">
        <w:rPr>
          <w:rFonts w:ascii="Calibri" w:hAnsi="Calibri" w:cs="Calibri"/>
          <w:sz w:val="24"/>
          <w:szCs w:val="24"/>
          <w:highlight w:val="yellow"/>
        </w:rPr>
        <w:t xml:space="preserve"> imaging spacer that is 13</w:t>
      </w:r>
      <w:r w:rsidR="00283F05" w:rsidRPr="0015666B">
        <w:rPr>
          <w:rFonts w:ascii="Calibri" w:hAnsi="Calibri" w:cs="Calibri"/>
          <w:sz w:val="24"/>
          <w:szCs w:val="24"/>
          <w:highlight w:val="yellow"/>
        </w:rPr>
        <w:t xml:space="preserve"> </w:t>
      </w:r>
      <w:r w:rsidRPr="0015666B">
        <w:rPr>
          <w:rFonts w:ascii="Calibri" w:hAnsi="Calibri" w:cs="Calibri"/>
          <w:sz w:val="24"/>
          <w:szCs w:val="24"/>
          <w:highlight w:val="yellow"/>
        </w:rPr>
        <w:t xml:space="preserve">mm </w:t>
      </w:r>
      <w:r w:rsidR="008D678D" w:rsidRPr="0015666B">
        <w:rPr>
          <w:rFonts w:ascii="Calibri" w:hAnsi="Calibri" w:cs="Calibri"/>
          <w:sz w:val="24"/>
          <w:szCs w:val="24"/>
          <w:highlight w:val="yellow"/>
        </w:rPr>
        <w:t xml:space="preserve">in diameter </w:t>
      </w:r>
      <w:r w:rsidR="00B51FB9" w:rsidRPr="0015666B">
        <w:rPr>
          <w:rFonts w:ascii="Calibri" w:eastAsia="Calibri" w:hAnsi="Calibri" w:cs="Calibri"/>
          <w:color w:val="000000"/>
          <w:sz w:val="24"/>
          <w:szCs w:val="24"/>
          <w:highlight w:val="yellow"/>
        </w:rPr>
        <w:t>×</w:t>
      </w:r>
      <w:r w:rsidR="008D678D" w:rsidRPr="0015666B">
        <w:rPr>
          <w:rFonts w:ascii="Calibri" w:hAnsi="Calibri" w:cs="Calibri"/>
          <w:sz w:val="24"/>
          <w:szCs w:val="24"/>
          <w:highlight w:val="yellow"/>
        </w:rPr>
        <w:t xml:space="preserve"> 0.12 mm in </w:t>
      </w:r>
      <w:r w:rsidRPr="0015666B">
        <w:rPr>
          <w:rFonts w:ascii="Calibri" w:hAnsi="Calibri" w:cs="Calibri"/>
          <w:sz w:val="24"/>
          <w:szCs w:val="24"/>
          <w:highlight w:val="yellow"/>
        </w:rPr>
        <w:t>depth.</w:t>
      </w:r>
    </w:p>
    <w:p w14:paraId="5FA39334" w14:textId="77777777" w:rsidR="006439A8" w:rsidRPr="0015666B" w:rsidRDefault="006439A8" w:rsidP="00444965">
      <w:pPr>
        <w:pStyle w:val="ListParagraph"/>
        <w:spacing w:after="0" w:line="240" w:lineRule="auto"/>
        <w:ind w:left="0"/>
        <w:jc w:val="both"/>
        <w:rPr>
          <w:rFonts w:ascii="Calibri" w:hAnsi="Calibri" w:cs="Calibri"/>
          <w:sz w:val="24"/>
          <w:szCs w:val="24"/>
          <w:highlight w:val="yellow"/>
        </w:rPr>
      </w:pPr>
    </w:p>
    <w:p w14:paraId="3FEB561D" w14:textId="53C9B21B" w:rsidR="008337A1" w:rsidRPr="0015666B" w:rsidRDefault="008F595A" w:rsidP="00444965">
      <w:pPr>
        <w:pStyle w:val="ListParagraph"/>
        <w:numPr>
          <w:ilvl w:val="1"/>
          <w:numId w:val="30"/>
        </w:numPr>
        <w:spacing w:after="0" w:line="240" w:lineRule="auto"/>
        <w:ind w:left="0" w:firstLine="0"/>
        <w:jc w:val="both"/>
        <w:rPr>
          <w:rFonts w:ascii="Calibri" w:hAnsi="Calibri" w:cs="Calibri"/>
          <w:sz w:val="24"/>
          <w:szCs w:val="24"/>
          <w:highlight w:val="yellow"/>
        </w:rPr>
      </w:pPr>
      <w:r w:rsidRPr="0015666B">
        <w:rPr>
          <w:rFonts w:ascii="Calibri" w:hAnsi="Calibri" w:cs="Calibri"/>
          <w:sz w:val="24"/>
          <w:szCs w:val="24"/>
          <w:highlight w:val="yellow"/>
        </w:rPr>
        <w:t xml:space="preserve">Pipette ~20 </w:t>
      </w:r>
      <w:proofErr w:type="spellStart"/>
      <w:r w:rsidRPr="0015666B">
        <w:rPr>
          <w:rFonts w:ascii="Calibri" w:hAnsi="Calibri" w:cs="Calibri"/>
          <w:sz w:val="24"/>
          <w:szCs w:val="24"/>
          <w:highlight w:val="yellow"/>
        </w:rPr>
        <w:t>μ</w:t>
      </w:r>
      <w:r w:rsidR="008D678D" w:rsidRPr="0015666B">
        <w:rPr>
          <w:rFonts w:ascii="Calibri" w:hAnsi="Calibri" w:cs="Calibri"/>
          <w:sz w:val="24"/>
          <w:szCs w:val="24"/>
          <w:highlight w:val="yellow"/>
        </w:rPr>
        <w:t>L</w:t>
      </w:r>
      <w:proofErr w:type="spellEnd"/>
      <w:r w:rsidRPr="0015666B">
        <w:rPr>
          <w:rFonts w:ascii="Calibri" w:hAnsi="Calibri" w:cs="Calibri"/>
          <w:sz w:val="24"/>
          <w:szCs w:val="24"/>
          <w:highlight w:val="yellow"/>
        </w:rPr>
        <w:t xml:space="preserve"> of mounting media onto each slide</w:t>
      </w:r>
      <w:r w:rsidR="00E255EA" w:rsidRPr="0015666B">
        <w:rPr>
          <w:rFonts w:ascii="Calibri" w:hAnsi="Calibri" w:cs="Calibri"/>
          <w:sz w:val="24"/>
          <w:szCs w:val="24"/>
          <w:highlight w:val="yellow"/>
        </w:rPr>
        <w:t xml:space="preserve">. Pipette slowly </w:t>
      </w:r>
      <w:r w:rsidRPr="0015666B">
        <w:rPr>
          <w:rFonts w:ascii="Calibri" w:hAnsi="Calibri" w:cs="Calibri"/>
          <w:sz w:val="24"/>
          <w:szCs w:val="24"/>
          <w:highlight w:val="yellow"/>
        </w:rPr>
        <w:t>to prevent bubbles</w:t>
      </w:r>
      <w:r w:rsidR="00E255EA" w:rsidRPr="0015666B">
        <w:rPr>
          <w:rFonts w:ascii="Calibri" w:hAnsi="Calibri" w:cs="Calibri"/>
          <w:sz w:val="24"/>
          <w:szCs w:val="24"/>
          <w:highlight w:val="yellow"/>
        </w:rPr>
        <w:t xml:space="preserve"> in the mounting media.</w:t>
      </w:r>
    </w:p>
    <w:p w14:paraId="31BC4379"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42535FD1" w14:textId="4FEB8887" w:rsidR="008337A1" w:rsidRPr="0015666B" w:rsidRDefault="008F595A" w:rsidP="00444965">
      <w:pPr>
        <w:pStyle w:val="ListParagraph"/>
        <w:numPr>
          <w:ilvl w:val="1"/>
          <w:numId w:val="30"/>
        </w:numPr>
        <w:spacing w:after="0" w:line="240" w:lineRule="auto"/>
        <w:ind w:left="0" w:firstLine="0"/>
        <w:jc w:val="both"/>
        <w:rPr>
          <w:rFonts w:ascii="Calibri" w:hAnsi="Calibri" w:cs="Calibri"/>
          <w:sz w:val="24"/>
          <w:szCs w:val="24"/>
          <w:highlight w:val="yellow"/>
        </w:rPr>
      </w:pPr>
      <w:r w:rsidRPr="0015666B">
        <w:rPr>
          <w:rFonts w:ascii="Calibri" w:hAnsi="Calibri" w:cs="Calibri"/>
          <w:sz w:val="24"/>
          <w:szCs w:val="24"/>
          <w:highlight w:val="yellow"/>
        </w:rPr>
        <w:lastRenderedPageBreak/>
        <w:t>While observing through a stereo</w:t>
      </w:r>
      <w:r w:rsidR="00283F05" w:rsidRPr="0015666B">
        <w:rPr>
          <w:rFonts w:ascii="Calibri" w:hAnsi="Calibri" w:cs="Calibri"/>
          <w:sz w:val="24"/>
          <w:szCs w:val="24"/>
          <w:highlight w:val="yellow"/>
        </w:rPr>
        <w:t>-</w:t>
      </w:r>
      <w:r w:rsidRPr="0015666B">
        <w:rPr>
          <w:rFonts w:ascii="Calibri" w:hAnsi="Calibri" w:cs="Calibri"/>
          <w:sz w:val="24"/>
          <w:szCs w:val="24"/>
          <w:highlight w:val="yellow"/>
        </w:rPr>
        <w:t xml:space="preserve">dissection microscope, use a </w:t>
      </w:r>
      <w:r w:rsidR="00FF0C57" w:rsidRPr="0015666B">
        <w:rPr>
          <w:rFonts w:ascii="Calibri" w:hAnsi="Calibri" w:cs="Calibri"/>
          <w:sz w:val="24"/>
          <w:szCs w:val="24"/>
          <w:highlight w:val="yellow"/>
        </w:rPr>
        <w:t>No.</w:t>
      </w:r>
      <w:r w:rsidR="00444965" w:rsidRPr="0015666B">
        <w:rPr>
          <w:rFonts w:ascii="Calibri" w:hAnsi="Calibri" w:cs="Calibri"/>
          <w:sz w:val="24"/>
          <w:szCs w:val="24"/>
          <w:highlight w:val="yellow"/>
        </w:rPr>
        <w:t xml:space="preserve"> </w:t>
      </w:r>
      <w:r w:rsidRPr="0015666B">
        <w:rPr>
          <w:rFonts w:ascii="Calibri" w:hAnsi="Calibri" w:cs="Calibri"/>
          <w:sz w:val="24"/>
          <w:szCs w:val="24"/>
          <w:highlight w:val="yellow"/>
        </w:rPr>
        <w:t>4 or 5 straight jeweler's forceps to pick up the tissue by one of the membranous labyrinths connected to one of the cristae.</w:t>
      </w:r>
    </w:p>
    <w:p w14:paraId="5B6C32DC" w14:textId="77777777" w:rsidR="006439A8" w:rsidRPr="0015666B" w:rsidRDefault="006439A8" w:rsidP="00444965">
      <w:pPr>
        <w:pStyle w:val="ListParagraph"/>
        <w:spacing w:after="0" w:line="240" w:lineRule="auto"/>
        <w:ind w:left="0"/>
        <w:jc w:val="both"/>
        <w:rPr>
          <w:rFonts w:ascii="Calibri" w:hAnsi="Calibri" w:cs="Calibri"/>
          <w:sz w:val="24"/>
          <w:szCs w:val="24"/>
          <w:highlight w:val="yellow"/>
        </w:rPr>
      </w:pPr>
    </w:p>
    <w:p w14:paraId="6BE11C88" w14:textId="77777777" w:rsidR="006439A8" w:rsidRPr="0015666B" w:rsidRDefault="008F595A" w:rsidP="00444965">
      <w:pPr>
        <w:pStyle w:val="ListParagraph"/>
        <w:numPr>
          <w:ilvl w:val="1"/>
          <w:numId w:val="30"/>
        </w:numPr>
        <w:spacing w:after="0" w:line="240" w:lineRule="auto"/>
        <w:ind w:left="0" w:firstLine="0"/>
        <w:jc w:val="both"/>
        <w:rPr>
          <w:rFonts w:ascii="Calibri" w:hAnsi="Calibri" w:cs="Calibri"/>
          <w:sz w:val="24"/>
          <w:szCs w:val="24"/>
          <w:highlight w:val="yellow"/>
        </w:rPr>
      </w:pPr>
      <w:r w:rsidRPr="0015666B">
        <w:rPr>
          <w:rFonts w:ascii="Calibri" w:hAnsi="Calibri" w:cs="Calibri"/>
          <w:sz w:val="24"/>
          <w:szCs w:val="24"/>
          <w:highlight w:val="yellow"/>
        </w:rPr>
        <w:t xml:space="preserve">Place the tissue on the slide in the middle of the spacer. </w:t>
      </w:r>
    </w:p>
    <w:p w14:paraId="5B9448E1"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138FA122" w14:textId="29817D88" w:rsidR="008337A1" w:rsidRPr="00C82009" w:rsidRDefault="008F595A" w:rsidP="00444965">
      <w:pPr>
        <w:pStyle w:val="ListParagraph"/>
        <w:spacing w:after="0" w:line="240" w:lineRule="auto"/>
        <w:ind w:left="0"/>
        <w:jc w:val="both"/>
        <w:rPr>
          <w:rFonts w:ascii="Calibri" w:hAnsi="Calibri" w:cs="Calibri"/>
          <w:sz w:val="24"/>
          <w:szCs w:val="24"/>
        </w:rPr>
      </w:pPr>
      <w:r w:rsidRPr="00C82009">
        <w:rPr>
          <w:rFonts w:ascii="Calibri" w:hAnsi="Calibri" w:cs="Calibri"/>
          <w:sz w:val="24"/>
          <w:szCs w:val="24"/>
        </w:rPr>
        <w:t xml:space="preserve">NOTE: Due to limitations in confocal imaging </w:t>
      </w:r>
      <w:r w:rsidR="008D678D">
        <w:rPr>
          <w:rFonts w:ascii="Calibri" w:hAnsi="Calibri" w:cs="Calibri"/>
          <w:sz w:val="24"/>
          <w:szCs w:val="24"/>
        </w:rPr>
        <w:t>of the z-plane, sample mounting</w:t>
      </w:r>
      <w:r w:rsidRPr="00C82009">
        <w:rPr>
          <w:rFonts w:ascii="Calibri" w:hAnsi="Calibri" w:cs="Calibri"/>
          <w:sz w:val="24"/>
          <w:szCs w:val="24"/>
        </w:rPr>
        <w:t xml:space="preserve"> is influenced by your primary objective. For the best view of the vestibular ganglion, mount with the utricular sensory epithelium facing up. For the best view of the neuronal projections, mount with the utricular sensory epithelium facing down.</w:t>
      </w:r>
    </w:p>
    <w:p w14:paraId="1D56B1B0"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08253E6A" w14:textId="7213F571" w:rsidR="008337A1" w:rsidRPr="0015666B" w:rsidRDefault="008F595A" w:rsidP="00444965">
      <w:pPr>
        <w:pStyle w:val="ListParagraph"/>
        <w:numPr>
          <w:ilvl w:val="1"/>
          <w:numId w:val="30"/>
        </w:numPr>
        <w:spacing w:after="0" w:line="240" w:lineRule="auto"/>
        <w:ind w:left="0" w:firstLine="0"/>
        <w:jc w:val="both"/>
        <w:rPr>
          <w:rFonts w:ascii="Calibri" w:hAnsi="Calibri" w:cs="Calibri"/>
          <w:sz w:val="24"/>
          <w:szCs w:val="24"/>
          <w:highlight w:val="yellow"/>
        </w:rPr>
      </w:pPr>
      <w:r w:rsidRPr="0015666B">
        <w:rPr>
          <w:rFonts w:ascii="Calibri" w:hAnsi="Calibri" w:cs="Calibri"/>
          <w:sz w:val="24"/>
          <w:szCs w:val="24"/>
          <w:highlight w:val="yellow"/>
        </w:rPr>
        <w:t>Gently cover the tissue with a number 1.5 coverslip.</w:t>
      </w:r>
    </w:p>
    <w:p w14:paraId="39AAA8FD"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15929514" w14:textId="0C19C1D0" w:rsidR="006439A8" w:rsidRPr="00C82009" w:rsidRDefault="008F595A" w:rsidP="00444965">
      <w:pPr>
        <w:pStyle w:val="ListParagraph"/>
        <w:numPr>
          <w:ilvl w:val="1"/>
          <w:numId w:val="30"/>
        </w:numPr>
        <w:spacing w:after="0" w:line="240" w:lineRule="auto"/>
        <w:ind w:left="0" w:firstLine="0"/>
        <w:jc w:val="both"/>
        <w:rPr>
          <w:rFonts w:ascii="Calibri" w:hAnsi="Calibri" w:cs="Calibri"/>
          <w:sz w:val="24"/>
          <w:szCs w:val="24"/>
        </w:rPr>
      </w:pPr>
      <w:r w:rsidRPr="00C82009">
        <w:rPr>
          <w:rFonts w:ascii="Calibri" w:hAnsi="Calibri" w:cs="Calibri"/>
          <w:sz w:val="24"/>
          <w:szCs w:val="24"/>
        </w:rPr>
        <w:t xml:space="preserve">Place </w:t>
      </w:r>
      <w:r w:rsidR="008D678D">
        <w:rPr>
          <w:rFonts w:ascii="Calibri" w:hAnsi="Calibri" w:cs="Calibri"/>
          <w:sz w:val="24"/>
          <w:szCs w:val="24"/>
        </w:rPr>
        <w:t xml:space="preserve">the slide in a slide holder and let it </w:t>
      </w:r>
      <w:r w:rsidRPr="00C82009">
        <w:rPr>
          <w:rFonts w:ascii="Calibri" w:hAnsi="Calibri" w:cs="Calibri"/>
          <w:sz w:val="24"/>
          <w:szCs w:val="24"/>
        </w:rPr>
        <w:t>cure</w:t>
      </w:r>
      <w:r w:rsidR="008473F3" w:rsidRPr="00C82009">
        <w:rPr>
          <w:rFonts w:ascii="Calibri" w:hAnsi="Calibri" w:cs="Calibri"/>
          <w:sz w:val="24"/>
          <w:szCs w:val="24"/>
        </w:rPr>
        <w:t xml:space="preserve"> for at least 14 h</w:t>
      </w:r>
      <w:r w:rsidRPr="00C82009">
        <w:rPr>
          <w:rFonts w:ascii="Calibri" w:hAnsi="Calibri" w:cs="Calibri"/>
          <w:sz w:val="24"/>
          <w:szCs w:val="24"/>
        </w:rPr>
        <w:t xml:space="preserve">.  </w:t>
      </w:r>
    </w:p>
    <w:p w14:paraId="406254EA"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17D830AB" w14:textId="66E2E8E9" w:rsidR="008337A1" w:rsidRPr="00C82009" w:rsidRDefault="008F595A" w:rsidP="00444965">
      <w:pPr>
        <w:pStyle w:val="ListParagraph"/>
        <w:spacing w:after="0" w:line="240" w:lineRule="auto"/>
        <w:ind w:left="0"/>
        <w:jc w:val="both"/>
        <w:rPr>
          <w:rFonts w:ascii="Calibri" w:hAnsi="Calibri" w:cs="Calibri"/>
          <w:sz w:val="24"/>
          <w:szCs w:val="24"/>
        </w:rPr>
      </w:pPr>
      <w:r w:rsidRPr="00C82009">
        <w:rPr>
          <w:rFonts w:ascii="Calibri" w:hAnsi="Calibri" w:cs="Calibri"/>
          <w:sz w:val="24"/>
          <w:szCs w:val="24"/>
        </w:rPr>
        <w:t xml:space="preserve">NOTE: It is important for the slide to </w:t>
      </w:r>
      <w:r w:rsidR="008D678D">
        <w:rPr>
          <w:rFonts w:ascii="Calibri" w:hAnsi="Calibri" w:cs="Calibri"/>
          <w:sz w:val="24"/>
          <w:szCs w:val="24"/>
        </w:rPr>
        <w:t>lie</w:t>
      </w:r>
      <w:r w:rsidRPr="00C82009">
        <w:rPr>
          <w:rFonts w:ascii="Calibri" w:hAnsi="Calibri" w:cs="Calibri"/>
          <w:sz w:val="24"/>
          <w:szCs w:val="24"/>
        </w:rPr>
        <w:t xml:space="preserve"> flat and be in a dark location.  </w:t>
      </w:r>
    </w:p>
    <w:p w14:paraId="346224E8"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6943A0AC" w14:textId="20D5F240" w:rsidR="006439A8" w:rsidRPr="00C82009" w:rsidRDefault="008F595A" w:rsidP="00444965">
      <w:pPr>
        <w:pStyle w:val="ListParagraph"/>
        <w:numPr>
          <w:ilvl w:val="1"/>
          <w:numId w:val="30"/>
        </w:numPr>
        <w:spacing w:after="0" w:line="240" w:lineRule="auto"/>
        <w:ind w:left="0" w:firstLine="0"/>
        <w:jc w:val="both"/>
        <w:rPr>
          <w:rFonts w:ascii="Calibri" w:hAnsi="Calibri" w:cs="Calibri"/>
          <w:sz w:val="24"/>
          <w:szCs w:val="24"/>
        </w:rPr>
      </w:pPr>
      <w:r w:rsidRPr="00C82009">
        <w:rPr>
          <w:rFonts w:ascii="Calibri" w:hAnsi="Calibri" w:cs="Calibri"/>
          <w:sz w:val="24"/>
          <w:szCs w:val="24"/>
        </w:rPr>
        <w:t xml:space="preserve">The next day, use clear nail polish to seal and secure the coverslip to the slide. Slides can be stored in a slide folder or </w:t>
      </w:r>
      <w:r w:rsidR="008D678D">
        <w:rPr>
          <w:rFonts w:ascii="Calibri" w:hAnsi="Calibri" w:cs="Calibri"/>
          <w:sz w:val="24"/>
          <w:szCs w:val="24"/>
        </w:rPr>
        <w:t xml:space="preserve">a </w:t>
      </w:r>
      <w:r w:rsidRPr="00C82009">
        <w:rPr>
          <w:rFonts w:ascii="Calibri" w:hAnsi="Calibri" w:cs="Calibri"/>
          <w:sz w:val="24"/>
          <w:szCs w:val="24"/>
        </w:rPr>
        <w:t xml:space="preserve">slide box.  </w:t>
      </w:r>
    </w:p>
    <w:p w14:paraId="641FED71"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5BCFC086" w14:textId="64C7C49B" w:rsidR="008337A1" w:rsidRPr="00C82009" w:rsidRDefault="008F595A" w:rsidP="00444965">
      <w:pPr>
        <w:pStyle w:val="ListParagraph"/>
        <w:spacing w:after="0" w:line="240" w:lineRule="auto"/>
        <w:ind w:left="0"/>
        <w:jc w:val="both"/>
        <w:rPr>
          <w:rFonts w:ascii="Calibri" w:hAnsi="Calibri" w:cs="Calibri"/>
          <w:sz w:val="24"/>
          <w:szCs w:val="24"/>
        </w:rPr>
      </w:pPr>
      <w:r w:rsidRPr="00C82009">
        <w:rPr>
          <w:rFonts w:ascii="Calibri" w:hAnsi="Calibri" w:cs="Calibri"/>
          <w:sz w:val="24"/>
          <w:szCs w:val="24"/>
        </w:rPr>
        <w:t xml:space="preserve">NOTE: Slides can be stored </w:t>
      </w:r>
      <w:r w:rsidR="008D678D">
        <w:rPr>
          <w:rFonts w:ascii="Calibri" w:hAnsi="Calibri" w:cs="Calibri"/>
          <w:sz w:val="24"/>
          <w:szCs w:val="24"/>
        </w:rPr>
        <w:t xml:space="preserve">long-term at </w:t>
      </w:r>
      <w:r w:rsidR="00005F96" w:rsidRPr="00C104EB">
        <w:rPr>
          <w:rFonts w:ascii="Calibri" w:eastAsia="Calibri" w:hAnsi="Calibri" w:cs="Calibri"/>
          <w:color w:val="000000"/>
          <w:sz w:val="24"/>
          <w:szCs w:val="24"/>
        </w:rPr>
        <w:t>−20 °C</w:t>
      </w:r>
      <w:r w:rsidR="00005F96">
        <w:rPr>
          <w:rFonts w:ascii="Calibri" w:eastAsia="Calibri" w:hAnsi="Calibri" w:cs="Calibri"/>
          <w:color w:val="000000"/>
          <w:sz w:val="24"/>
          <w:szCs w:val="24"/>
        </w:rPr>
        <w:t xml:space="preserve"> </w:t>
      </w:r>
      <w:r w:rsidRPr="00C82009">
        <w:rPr>
          <w:rFonts w:ascii="Calibri" w:hAnsi="Calibri" w:cs="Calibri"/>
          <w:sz w:val="24"/>
          <w:szCs w:val="24"/>
        </w:rPr>
        <w:t>to maintain fluorescence for several months.</w:t>
      </w:r>
    </w:p>
    <w:p w14:paraId="51CD5F8C"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4C19BB8E" w14:textId="3EF8BC1B" w:rsidR="008337A1" w:rsidRPr="00A8590D" w:rsidRDefault="008F595A" w:rsidP="00444965">
      <w:pPr>
        <w:pStyle w:val="ListParagraph"/>
        <w:numPr>
          <w:ilvl w:val="0"/>
          <w:numId w:val="31"/>
        </w:numPr>
        <w:spacing w:after="0" w:line="240" w:lineRule="auto"/>
        <w:ind w:left="0" w:firstLine="0"/>
        <w:jc w:val="both"/>
        <w:rPr>
          <w:rFonts w:ascii="Calibri" w:hAnsi="Calibri" w:cs="Calibri"/>
          <w:b/>
          <w:bCs/>
          <w:sz w:val="24"/>
          <w:szCs w:val="24"/>
        </w:rPr>
      </w:pPr>
      <w:r w:rsidRPr="00A8590D">
        <w:rPr>
          <w:rFonts w:ascii="Calibri" w:hAnsi="Calibri" w:cs="Calibri"/>
          <w:b/>
          <w:bCs/>
          <w:sz w:val="24"/>
          <w:szCs w:val="24"/>
        </w:rPr>
        <w:t>Confocal Imaging</w:t>
      </w:r>
    </w:p>
    <w:p w14:paraId="5028AAE6"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123D1F7D" w14:textId="6CA0C60D" w:rsidR="008337A1" w:rsidRPr="00C82009" w:rsidRDefault="008F595A" w:rsidP="00444965">
      <w:pPr>
        <w:pStyle w:val="ListParagraph"/>
        <w:numPr>
          <w:ilvl w:val="1"/>
          <w:numId w:val="31"/>
        </w:numPr>
        <w:spacing w:after="0" w:line="240" w:lineRule="auto"/>
        <w:ind w:left="0" w:firstLine="0"/>
        <w:jc w:val="both"/>
        <w:rPr>
          <w:rFonts w:ascii="Calibri" w:hAnsi="Calibri" w:cs="Calibri"/>
          <w:sz w:val="24"/>
          <w:szCs w:val="24"/>
        </w:rPr>
      </w:pPr>
      <w:r w:rsidRPr="00C82009">
        <w:rPr>
          <w:rFonts w:ascii="Calibri" w:hAnsi="Calibri" w:cs="Calibri"/>
          <w:sz w:val="24"/>
          <w:szCs w:val="24"/>
        </w:rPr>
        <w:t>Low Magnification</w:t>
      </w:r>
    </w:p>
    <w:p w14:paraId="3340A6D2"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4DEDBD46" w14:textId="512DC62B" w:rsidR="008337A1" w:rsidRPr="00C82009" w:rsidRDefault="008F595A" w:rsidP="00444965">
      <w:pPr>
        <w:pStyle w:val="ListParagraph"/>
        <w:numPr>
          <w:ilvl w:val="2"/>
          <w:numId w:val="31"/>
        </w:numPr>
        <w:spacing w:after="0" w:line="240" w:lineRule="auto"/>
        <w:ind w:left="0" w:firstLine="0"/>
        <w:jc w:val="both"/>
        <w:rPr>
          <w:rFonts w:ascii="Calibri" w:hAnsi="Calibri" w:cs="Calibri"/>
          <w:sz w:val="24"/>
          <w:szCs w:val="24"/>
        </w:rPr>
      </w:pPr>
      <w:r w:rsidRPr="00C82009">
        <w:rPr>
          <w:rFonts w:ascii="Calibri" w:hAnsi="Calibri" w:cs="Calibri"/>
          <w:sz w:val="24"/>
          <w:szCs w:val="24"/>
        </w:rPr>
        <w:t>Use the 10x objective to locate the tissue</w:t>
      </w:r>
      <w:r w:rsidR="00283F05" w:rsidRPr="00C82009">
        <w:rPr>
          <w:rFonts w:ascii="Calibri" w:hAnsi="Calibri" w:cs="Calibri"/>
          <w:sz w:val="24"/>
          <w:szCs w:val="24"/>
        </w:rPr>
        <w:t>.</w:t>
      </w:r>
    </w:p>
    <w:p w14:paraId="29A3AC1E"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29B14266" w14:textId="60BDB369" w:rsidR="006439A8" w:rsidRPr="00C82009" w:rsidRDefault="00395705" w:rsidP="00444965">
      <w:pPr>
        <w:pStyle w:val="ListParagraph"/>
        <w:numPr>
          <w:ilvl w:val="2"/>
          <w:numId w:val="31"/>
        </w:numPr>
        <w:spacing w:after="0" w:line="240" w:lineRule="auto"/>
        <w:ind w:left="0" w:firstLine="0"/>
        <w:jc w:val="both"/>
        <w:rPr>
          <w:rFonts w:ascii="Calibri" w:hAnsi="Calibri" w:cs="Calibri"/>
          <w:sz w:val="24"/>
          <w:szCs w:val="24"/>
        </w:rPr>
      </w:pPr>
      <w:r>
        <w:rPr>
          <w:rFonts w:ascii="Calibri" w:hAnsi="Calibri" w:cs="Calibri"/>
          <w:sz w:val="24"/>
          <w:szCs w:val="24"/>
        </w:rPr>
        <w:t>A</w:t>
      </w:r>
      <w:r w:rsidR="008D678D">
        <w:rPr>
          <w:rFonts w:ascii="Calibri" w:hAnsi="Calibri" w:cs="Calibri"/>
          <w:sz w:val="24"/>
          <w:szCs w:val="24"/>
        </w:rPr>
        <w:t>djust</w:t>
      </w:r>
      <w:r w:rsidR="008F595A" w:rsidRPr="00C82009">
        <w:rPr>
          <w:rFonts w:ascii="Calibri" w:hAnsi="Calibri" w:cs="Calibri"/>
          <w:sz w:val="24"/>
          <w:szCs w:val="24"/>
        </w:rPr>
        <w:t xml:space="preserve"> the brightness and contrast of the desired wavelength</w:t>
      </w:r>
      <w:r>
        <w:rPr>
          <w:rFonts w:ascii="Calibri" w:hAnsi="Calibri" w:cs="Calibri"/>
          <w:sz w:val="24"/>
          <w:szCs w:val="24"/>
        </w:rPr>
        <w:t xml:space="preserve"> using</w:t>
      </w:r>
      <w:r w:rsidRPr="00C82009">
        <w:rPr>
          <w:rFonts w:ascii="Calibri" w:hAnsi="Calibri" w:cs="Calibri"/>
          <w:sz w:val="24"/>
          <w:szCs w:val="24"/>
        </w:rPr>
        <w:t xml:space="preserve"> the imaging software provided by the confocal vendor</w:t>
      </w:r>
      <w:r w:rsidR="00EF4192" w:rsidRPr="00C82009">
        <w:rPr>
          <w:rFonts w:ascii="Calibri" w:hAnsi="Calibri" w:cs="Calibri"/>
          <w:sz w:val="24"/>
          <w:szCs w:val="24"/>
        </w:rPr>
        <w:t>.</w:t>
      </w:r>
      <w:r w:rsidR="006340AA" w:rsidRPr="00C82009">
        <w:rPr>
          <w:rFonts w:ascii="Calibri" w:hAnsi="Calibri" w:cs="Calibri"/>
          <w:sz w:val="24"/>
          <w:szCs w:val="24"/>
        </w:rPr>
        <w:t xml:space="preserve"> </w:t>
      </w:r>
      <w:bookmarkStart w:id="4" w:name="_Hlk235799149"/>
    </w:p>
    <w:p w14:paraId="33D6457A"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34830F7B" w14:textId="4AF6DB37" w:rsidR="008337A1" w:rsidRPr="00C82009" w:rsidRDefault="008F595A" w:rsidP="00444965">
      <w:pPr>
        <w:pStyle w:val="ListParagraph"/>
        <w:spacing w:after="0" w:line="240" w:lineRule="auto"/>
        <w:ind w:left="0"/>
        <w:jc w:val="both"/>
        <w:rPr>
          <w:rFonts w:ascii="Calibri" w:hAnsi="Calibri" w:cs="Calibri"/>
          <w:sz w:val="24"/>
          <w:szCs w:val="24"/>
        </w:rPr>
      </w:pPr>
      <w:r w:rsidRPr="00C82009">
        <w:rPr>
          <w:rFonts w:ascii="Calibri" w:hAnsi="Calibri" w:cs="Calibri"/>
          <w:sz w:val="24"/>
          <w:szCs w:val="24"/>
        </w:rPr>
        <w:t>NOTE: The specific setting</w:t>
      </w:r>
      <w:r w:rsidR="00544E96" w:rsidRPr="00C82009">
        <w:rPr>
          <w:rFonts w:ascii="Calibri" w:hAnsi="Calibri" w:cs="Calibri"/>
          <w:sz w:val="24"/>
          <w:szCs w:val="24"/>
        </w:rPr>
        <w:t>s</w:t>
      </w:r>
      <w:r w:rsidRPr="00C82009">
        <w:rPr>
          <w:rFonts w:ascii="Calibri" w:hAnsi="Calibri" w:cs="Calibri"/>
          <w:sz w:val="24"/>
          <w:szCs w:val="24"/>
        </w:rPr>
        <w:t xml:space="preserve"> for the confocal software will vary depending on the vendor, model, antibodies used</w:t>
      </w:r>
      <w:r w:rsidR="008D678D">
        <w:rPr>
          <w:rFonts w:ascii="Calibri" w:hAnsi="Calibri" w:cs="Calibri"/>
          <w:sz w:val="24"/>
          <w:szCs w:val="24"/>
        </w:rPr>
        <w:t>,</w:t>
      </w:r>
      <w:r w:rsidRPr="00C82009">
        <w:rPr>
          <w:rFonts w:ascii="Calibri" w:hAnsi="Calibri" w:cs="Calibri"/>
          <w:sz w:val="24"/>
          <w:szCs w:val="24"/>
        </w:rPr>
        <w:t xml:space="preserve"> and length of time the tissue was stored after fixation.</w:t>
      </w:r>
      <w:bookmarkEnd w:id="4"/>
      <w:r w:rsidR="00544E96" w:rsidRPr="00C82009">
        <w:rPr>
          <w:rFonts w:ascii="Calibri" w:hAnsi="Calibri" w:cs="Calibri"/>
          <w:sz w:val="24"/>
          <w:szCs w:val="24"/>
        </w:rPr>
        <w:t xml:space="preserve"> </w:t>
      </w:r>
    </w:p>
    <w:p w14:paraId="3335E31D"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22F5AE7D" w14:textId="7D9917A4" w:rsidR="008337A1" w:rsidRPr="00C82009" w:rsidRDefault="008F595A" w:rsidP="00444965">
      <w:pPr>
        <w:pStyle w:val="ListParagraph"/>
        <w:numPr>
          <w:ilvl w:val="2"/>
          <w:numId w:val="31"/>
        </w:numPr>
        <w:spacing w:after="0" w:line="240" w:lineRule="auto"/>
        <w:ind w:left="0" w:firstLine="0"/>
        <w:jc w:val="both"/>
        <w:rPr>
          <w:rFonts w:ascii="Calibri" w:hAnsi="Calibri" w:cs="Calibri"/>
          <w:sz w:val="24"/>
          <w:szCs w:val="24"/>
        </w:rPr>
      </w:pPr>
      <w:r w:rsidRPr="00C82009">
        <w:rPr>
          <w:rFonts w:ascii="Calibri" w:hAnsi="Calibri" w:cs="Calibri"/>
          <w:sz w:val="24"/>
          <w:szCs w:val="24"/>
        </w:rPr>
        <w:t>Adjust the scan area, image speed, resolution</w:t>
      </w:r>
      <w:r w:rsidR="008D678D">
        <w:rPr>
          <w:rFonts w:ascii="Calibri" w:hAnsi="Calibri" w:cs="Calibri"/>
          <w:sz w:val="24"/>
          <w:szCs w:val="24"/>
        </w:rPr>
        <w:t>,</w:t>
      </w:r>
      <w:r w:rsidRPr="00C82009">
        <w:rPr>
          <w:rFonts w:ascii="Calibri" w:hAnsi="Calibri" w:cs="Calibri"/>
          <w:sz w:val="24"/>
          <w:szCs w:val="24"/>
        </w:rPr>
        <w:t xml:space="preserve"> and bits per pixel to the desired settings.  </w:t>
      </w:r>
    </w:p>
    <w:p w14:paraId="32151D99"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4633ABDB" w14:textId="6F8CAEC8" w:rsidR="008337A1" w:rsidRPr="00C82009" w:rsidRDefault="00395705" w:rsidP="00444965">
      <w:pPr>
        <w:pStyle w:val="ListParagraph"/>
        <w:numPr>
          <w:ilvl w:val="2"/>
          <w:numId w:val="31"/>
        </w:numPr>
        <w:spacing w:after="0" w:line="240" w:lineRule="auto"/>
        <w:ind w:left="0" w:firstLine="0"/>
        <w:jc w:val="both"/>
        <w:rPr>
          <w:rFonts w:ascii="Calibri" w:hAnsi="Calibri" w:cs="Calibri"/>
          <w:sz w:val="24"/>
          <w:szCs w:val="24"/>
        </w:rPr>
      </w:pPr>
      <w:r>
        <w:rPr>
          <w:rFonts w:ascii="Calibri" w:hAnsi="Calibri" w:cs="Calibri"/>
          <w:sz w:val="24"/>
          <w:szCs w:val="24"/>
        </w:rPr>
        <w:t>Use a</w:t>
      </w:r>
      <w:r w:rsidR="008F595A" w:rsidRPr="00C82009">
        <w:rPr>
          <w:rFonts w:ascii="Calibri" w:hAnsi="Calibri" w:cs="Calibri"/>
          <w:sz w:val="24"/>
          <w:szCs w:val="24"/>
        </w:rPr>
        <w:t xml:space="preserve"> tile scan image with </w:t>
      </w:r>
      <w:r w:rsidR="008D678D">
        <w:rPr>
          <w:rFonts w:ascii="Calibri" w:hAnsi="Calibri" w:cs="Calibri"/>
          <w:sz w:val="24"/>
          <w:szCs w:val="24"/>
        </w:rPr>
        <w:t xml:space="preserve">a </w:t>
      </w:r>
      <w:r w:rsidR="008F595A" w:rsidRPr="00C82009">
        <w:rPr>
          <w:rFonts w:ascii="Calibri" w:hAnsi="Calibri" w:cs="Calibri"/>
          <w:sz w:val="24"/>
          <w:szCs w:val="24"/>
        </w:rPr>
        <w:t>Z stack to capture the entire structure in one image.</w:t>
      </w:r>
    </w:p>
    <w:p w14:paraId="1DBADB18"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4754BE1C" w14:textId="77777777" w:rsidR="008337A1" w:rsidRPr="00C82009" w:rsidRDefault="008F595A" w:rsidP="00444965">
      <w:pPr>
        <w:pStyle w:val="ListParagraph"/>
        <w:numPr>
          <w:ilvl w:val="1"/>
          <w:numId w:val="31"/>
        </w:numPr>
        <w:spacing w:after="0" w:line="240" w:lineRule="auto"/>
        <w:ind w:left="0" w:firstLine="0"/>
        <w:jc w:val="both"/>
        <w:rPr>
          <w:rFonts w:ascii="Calibri" w:hAnsi="Calibri" w:cs="Calibri"/>
          <w:sz w:val="24"/>
          <w:szCs w:val="24"/>
        </w:rPr>
      </w:pPr>
      <w:r w:rsidRPr="00C82009">
        <w:rPr>
          <w:rFonts w:ascii="Calibri" w:hAnsi="Calibri" w:cs="Calibri"/>
          <w:sz w:val="24"/>
          <w:szCs w:val="24"/>
        </w:rPr>
        <w:t>High Magnification</w:t>
      </w:r>
    </w:p>
    <w:p w14:paraId="08F18D9D"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190E11F0" w14:textId="77777777" w:rsidR="008337A1" w:rsidRPr="00C82009" w:rsidRDefault="008F595A" w:rsidP="00444965">
      <w:pPr>
        <w:pStyle w:val="ListParagraph"/>
        <w:numPr>
          <w:ilvl w:val="2"/>
          <w:numId w:val="31"/>
        </w:numPr>
        <w:spacing w:after="0" w:line="240" w:lineRule="auto"/>
        <w:ind w:left="0" w:firstLine="0"/>
        <w:jc w:val="both"/>
        <w:rPr>
          <w:rFonts w:ascii="Calibri" w:hAnsi="Calibri" w:cs="Calibri"/>
          <w:sz w:val="24"/>
          <w:szCs w:val="24"/>
        </w:rPr>
      </w:pPr>
      <w:r w:rsidRPr="00C82009">
        <w:rPr>
          <w:rFonts w:ascii="Calibri" w:hAnsi="Calibri" w:cs="Calibri"/>
          <w:sz w:val="24"/>
          <w:szCs w:val="24"/>
        </w:rPr>
        <w:t>Use the 40x objective to locate the tissue.</w:t>
      </w:r>
    </w:p>
    <w:p w14:paraId="40859B09"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0CAD485B" w14:textId="00AB5170" w:rsidR="006439A8" w:rsidRPr="00C82009" w:rsidRDefault="00395705" w:rsidP="00444965">
      <w:pPr>
        <w:pStyle w:val="ListParagraph"/>
        <w:numPr>
          <w:ilvl w:val="2"/>
          <w:numId w:val="31"/>
        </w:numPr>
        <w:spacing w:after="0" w:line="240" w:lineRule="auto"/>
        <w:ind w:left="0" w:firstLine="0"/>
        <w:jc w:val="both"/>
        <w:rPr>
          <w:rFonts w:ascii="Calibri" w:hAnsi="Calibri" w:cs="Calibri"/>
          <w:sz w:val="24"/>
          <w:szCs w:val="24"/>
        </w:rPr>
      </w:pPr>
      <w:r>
        <w:rPr>
          <w:rFonts w:ascii="Calibri" w:hAnsi="Calibri" w:cs="Calibri"/>
          <w:sz w:val="24"/>
          <w:szCs w:val="24"/>
        </w:rPr>
        <w:t>A</w:t>
      </w:r>
      <w:r w:rsidR="008D678D">
        <w:rPr>
          <w:rFonts w:ascii="Calibri" w:hAnsi="Calibri" w:cs="Calibri"/>
          <w:sz w:val="24"/>
          <w:szCs w:val="24"/>
        </w:rPr>
        <w:t>djust</w:t>
      </w:r>
      <w:r w:rsidR="008F595A" w:rsidRPr="00C82009">
        <w:rPr>
          <w:rFonts w:ascii="Calibri" w:hAnsi="Calibri" w:cs="Calibri"/>
          <w:sz w:val="24"/>
          <w:szCs w:val="24"/>
        </w:rPr>
        <w:t xml:space="preserve"> the brightness and contrast of the desired wavelength</w:t>
      </w:r>
      <w:r>
        <w:rPr>
          <w:rFonts w:ascii="Calibri" w:hAnsi="Calibri" w:cs="Calibri"/>
          <w:sz w:val="24"/>
          <w:szCs w:val="24"/>
        </w:rPr>
        <w:t xml:space="preserve"> using</w:t>
      </w:r>
      <w:r w:rsidRPr="00C82009">
        <w:rPr>
          <w:rFonts w:ascii="Calibri" w:hAnsi="Calibri" w:cs="Calibri"/>
          <w:sz w:val="24"/>
          <w:szCs w:val="24"/>
        </w:rPr>
        <w:t xml:space="preserve"> the imaging software provided by the confocal vendor</w:t>
      </w:r>
      <w:r w:rsidR="008F595A" w:rsidRPr="00C82009">
        <w:rPr>
          <w:rFonts w:ascii="Calibri" w:hAnsi="Calibri" w:cs="Calibri"/>
          <w:sz w:val="24"/>
          <w:szCs w:val="24"/>
        </w:rPr>
        <w:t>.</w:t>
      </w:r>
      <w:r w:rsidR="006340AA" w:rsidRPr="00C82009">
        <w:rPr>
          <w:rFonts w:ascii="Calibri" w:hAnsi="Calibri" w:cs="Calibri"/>
          <w:sz w:val="24"/>
          <w:szCs w:val="24"/>
        </w:rPr>
        <w:t xml:space="preserve"> </w:t>
      </w:r>
    </w:p>
    <w:p w14:paraId="7E822A3D"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0D7CBAA2" w14:textId="3BE3DD0A" w:rsidR="006439A8" w:rsidRPr="00C82009" w:rsidRDefault="008F595A" w:rsidP="00444965">
      <w:pPr>
        <w:pStyle w:val="ListParagraph"/>
        <w:spacing w:after="0" w:line="240" w:lineRule="auto"/>
        <w:ind w:left="0"/>
        <w:jc w:val="both"/>
        <w:rPr>
          <w:rFonts w:ascii="Calibri" w:hAnsi="Calibri" w:cs="Calibri"/>
          <w:sz w:val="24"/>
          <w:szCs w:val="24"/>
        </w:rPr>
      </w:pPr>
      <w:r w:rsidRPr="00C82009">
        <w:rPr>
          <w:rFonts w:ascii="Calibri" w:hAnsi="Calibri" w:cs="Calibri"/>
          <w:sz w:val="24"/>
          <w:szCs w:val="24"/>
        </w:rPr>
        <w:t>NOTE: The specific setting</w:t>
      </w:r>
      <w:r w:rsidR="00544E96" w:rsidRPr="00C82009">
        <w:rPr>
          <w:rFonts w:ascii="Calibri" w:hAnsi="Calibri" w:cs="Calibri"/>
          <w:sz w:val="24"/>
          <w:szCs w:val="24"/>
        </w:rPr>
        <w:t>s</w:t>
      </w:r>
      <w:r w:rsidRPr="00C82009">
        <w:rPr>
          <w:rFonts w:ascii="Calibri" w:hAnsi="Calibri" w:cs="Calibri"/>
          <w:sz w:val="24"/>
          <w:szCs w:val="24"/>
        </w:rPr>
        <w:t xml:space="preserve"> for the confocal software will vary depending on the vendor, model, antibodies used</w:t>
      </w:r>
      <w:r w:rsidR="008D678D">
        <w:rPr>
          <w:rFonts w:ascii="Calibri" w:hAnsi="Calibri" w:cs="Calibri"/>
          <w:sz w:val="24"/>
          <w:szCs w:val="24"/>
        </w:rPr>
        <w:t>,</w:t>
      </w:r>
      <w:r w:rsidRPr="00C82009">
        <w:rPr>
          <w:rFonts w:ascii="Calibri" w:hAnsi="Calibri" w:cs="Calibri"/>
          <w:sz w:val="24"/>
          <w:szCs w:val="24"/>
        </w:rPr>
        <w:t xml:space="preserve"> and length of time the tissue was stored after fixation.</w:t>
      </w:r>
      <w:r w:rsidR="00544E96" w:rsidRPr="00C82009">
        <w:rPr>
          <w:rFonts w:ascii="Calibri" w:hAnsi="Calibri" w:cs="Calibri"/>
          <w:sz w:val="24"/>
          <w:szCs w:val="24"/>
        </w:rPr>
        <w:t xml:space="preserve"> </w:t>
      </w:r>
    </w:p>
    <w:p w14:paraId="2C98E438"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76237E56" w14:textId="17ED7453" w:rsidR="008337A1" w:rsidRPr="00C82009" w:rsidRDefault="008F595A" w:rsidP="00444965">
      <w:pPr>
        <w:pStyle w:val="ListParagraph"/>
        <w:numPr>
          <w:ilvl w:val="2"/>
          <w:numId w:val="31"/>
        </w:numPr>
        <w:spacing w:after="0" w:line="240" w:lineRule="auto"/>
        <w:ind w:left="0" w:firstLine="0"/>
        <w:jc w:val="both"/>
        <w:rPr>
          <w:rFonts w:ascii="Calibri" w:hAnsi="Calibri" w:cs="Calibri"/>
          <w:sz w:val="24"/>
          <w:szCs w:val="24"/>
        </w:rPr>
      </w:pPr>
      <w:r w:rsidRPr="00C82009">
        <w:rPr>
          <w:rFonts w:ascii="Calibri" w:hAnsi="Calibri" w:cs="Calibri"/>
          <w:sz w:val="24"/>
          <w:szCs w:val="24"/>
        </w:rPr>
        <w:t>Adjust the scan area, image speed, resolution</w:t>
      </w:r>
      <w:r w:rsidR="008D678D">
        <w:rPr>
          <w:rFonts w:ascii="Calibri" w:hAnsi="Calibri" w:cs="Calibri"/>
          <w:sz w:val="24"/>
          <w:szCs w:val="24"/>
        </w:rPr>
        <w:t>,</w:t>
      </w:r>
      <w:r w:rsidRPr="00C82009">
        <w:rPr>
          <w:rFonts w:ascii="Calibri" w:hAnsi="Calibri" w:cs="Calibri"/>
          <w:sz w:val="24"/>
          <w:szCs w:val="24"/>
        </w:rPr>
        <w:t xml:space="preserve"> and bits per pixel to the desired settings</w:t>
      </w:r>
      <w:r w:rsidR="006439A8" w:rsidRPr="00C82009">
        <w:rPr>
          <w:rFonts w:ascii="Calibri" w:hAnsi="Calibri" w:cs="Calibri"/>
          <w:sz w:val="24"/>
          <w:szCs w:val="24"/>
        </w:rPr>
        <w:t>.</w:t>
      </w:r>
    </w:p>
    <w:p w14:paraId="4113A5D2"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4FF55CA2" w14:textId="7D536791" w:rsidR="00C82009" w:rsidRPr="00C82009" w:rsidRDefault="008F595A" w:rsidP="00444965">
      <w:pPr>
        <w:pStyle w:val="ListParagraph"/>
        <w:numPr>
          <w:ilvl w:val="2"/>
          <w:numId w:val="31"/>
        </w:numPr>
        <w:spacing w:after="0" w:line="240" w:lineRule="auto"/>
        <w:ind w:left="0" w:firstLine="0"/>
        <w:jc w:val="both"/>
        <w:rPr>
          <w:rFonts w:ascii="Calibri" w:hAnsi="Calibri" w:cs="Calibri"/>
          <w:sz w:val="24"/>
          <w:szCs w:val="24"/>
        </w:rPr>
      </w:pPr>
      <w:r w:rsidRPr="00C82009">
        <w:rPr>
          <w:rFonts w:ascii="Calibri" w:hAnsi="Calibri" w:cs="Calibri"/>
          <w:sz w:val="24"/>
          <w:szCs w:val="24"/>
        </w:rPr>
        <w:t>Complete a Z stack of at least 40 slices with a step size of 1</w:t>
      </w:r>
      <w:r w:rsidR="00965CCC" w:rsidRPr="00C82009">
        <w:rPr>
          <w:rFonts w:ascii="Calibri" w:hAnsi="Calibri" w:cs="Calibri"/>
          <w:sz w:val="24"/>
          <w:szCs w:val="24"/>
        </w:rPr>
        <w:t xml:space="preserve"> </w:t>
      </w:r>
      <w:r w:rsidR="00B51FB9" w:rsidRPr="00C104EB">
        <w:rPr>
          <w:rFonts w:ascii="Calibri" w:eastAsia="Calibri" w:hAnsi="Calibri" w:cs="Calibri"/>
          <w:color w:val="000000"/>
          <w:sz w:val="24"/>
          <w:szCs w:val="24"/>
        </w:rPr>
        <w:t>µ</w:t>
      </w:r>
      <w:r w:rsidRPr="00C82009">
        <w:rPr>
          <w:rFonts w:ascii="Calibri" w:hAnsi="Calibri" w:cs="Calibri"/>
          <w:sz w:val="24"/>
          <w:szCs w:val="24"/>
        </w:rPr>
        <w:t xml:space="preserve">m. </w:t>
      </w:r>
    </w:p>
    <w:p w14:paraId="1E2E3DF1" w14:textId="77777777" w:rsidR="00C82009" w:rsidRPr="00C82009" w:rsidRDefault="00C82009" w:rsidP="00444965">
      <w:pPr>
        <w:pStyle w:val="ListParagraph"/>
        <w:spacing w:after="0" w:line="240" w:lineRule="auto"/>
        <w:ind w:left="0"/>
        <w:jc w:val="both"/>
        <w:rPr>
          <w:rFonts w:ascii="Calibri" w:hAnsi="Calibri" w:cs="Calibri"/>
          <w:sz w:val="24"/>
          <w:szCs w:val="24"/>
        </w:rPr>
      </w:pPr>
    </w:p>
    <w:p w14:paraId="4AB29D75" w14:textId="37A756A7" w:rsidR="008337A1" w:rsidRPr="00C82009" w:rsidRDefault="008F595A" w:rsidP="00444965">
      <w:pPr>
        <w:pStyle w:val="ListParagraph"/>
        <w:spacing w:after="0" w:line="240" w:lineRule="auto"/>
        <w:ind w:left="0"/>
        <w:jc w:val="both"/>
        <w:rPr>
          <w:rFonts w:ascii="Calibri" w:hAnsi="Calibri" w:cs="Calibri"/>
          <w:sz w:val="24"/>
          <w:szCs w:val="24"/>
        </w:rPr>
      </w:pPr>
      <w:r w:rsidRPr="00C82009">
        <w:rPr>
          <w:rFonts w:ascii="Calibri" w:hAnsi="Calibri" w:cs="Calibri"/>
          <w:sz w:val="24"/>
          <w:szCs w:val="24"/>
        </w:rPr>
        <w:t>N</w:t>
      </w:r>
      <w:r w:rsidR="00544E96" w:rsidRPr="00C82009">
        <w:rPr>
          <w:rFonts w:ascii="Calibri" w:hAnsi="Calibri" w:cs="Calibri"/>
          <w:sz w:val="24"/>
          <w:szCs w:val="24"/>
        </w:rPr>
        <w:t>OTE</w:t>
      </w:r>
      <w:r w:rsidRPr="00C82009">
        <w:rPr>
          <w:rFonts w:ascii="Calibri" w:hAnsi="Calibri" w:cs="Calibri"/>
          <w:sz w:val="24"/>
          <w:szCs w:val="24"/>
        </w:rPr>
        <w:t xml:space="preserve">: Since this tissue is thicker, the amount of light </w:t>
      </w:r>
      <w:r w:rsidR="008D678D">
        <w:rPr>
          <w:rFonts w:ascii="Calibri" w:hAnsi="Calibri" w:cs="Calibri"/>
          <w:sz w:val="24"/>
          <w:szCs w:val="24"/>
        </w:rPr>
        <w:t xml:space="preserve">that can penetrate </w:t>
      </w:r>
      <w:r w:rsidR="00B51FB9">
        <w:rPr>
          <w:rFonts w:ascii="Calibri" w:hAnsi="Calibri" w:cs="Calibri"/>
          <w:sz w:val="24"/>
          <w:szCs w:val="24"/>
        </w:rPr>
        <w:t>decreases with increasing depth</w:t>
      </w:r>
      <w:r w:rsidRPr="00C82009">
        <w:rPr>
          <w:rFonts w:ascii="Calibri" w:hAnsi="Calibri" w:cs="Calibri"/>
          <w:sz w:val="24"/>
          <w:szCs w:val="24"/>
        </w:rPr>
        <w:t xml:space="preserve">. The channel settings may need </w:t>
      </w:r>
      <w:r w:rsidR="00544E96" w:rsidRPr="00C82009">
        <w:rPr>
          <w:rFonts w:ascii="Calibri" w:hAnsi="Calibri" w:cs="Calibri"/>
          <w:sz w:val="24"/>
          <w:szCs w:val="24"/>
        </w:rPr>
        <w:t xml:space="preserve">to be </w:t>
      </w:r>
      <w:r w:rsidRPr="00C82009">
        <w:rPr>
          <w:rFonts w:ascii="Calibri" w:hAnsi="Calibri" w:cs="Calibri"/>
          <w:sz w:val="24"/>
          <w:szCs w:val="24"/>
        </w:rPr>
        <w:t xml:space="preserve">turned up mid-image.  </w:t>
      </w:r>
    </w:p>
    <w:p w14:paraId="679CC4CF"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414F60DA" w14:textId="45251538" w:rsidR="008337A1" w:rsidRPr="00A8590D" w:rsidRDefault="008F595A" w:rsidP="00444965">
      <w:pPr>
        <w:pStyle w:val="ListParagraph"/>
        <w:numPr>
          <w:ilvl w:val="0"/>
          <w:numId w:val="31"/>
        </w:numPr>
        <w:spacing w:after="0" w:line="240" w:lineRule="auto"/>
        <w:ind w:left="0" w:firstLine="0"/>
        <w:jc w:val="both"/>
        <w:rPr>
          <w:rFonts w:ascii="Calibri" w:hAnsi="Calibri" w:cs="Calibri"/>
          <w:b/>
          <w:bCs/>
          <w:sz w:val="24"/>
          <w:szCs w:val="24"/>
        </w:rPr>
      </w:pPr>
      <w:r w:rsidRPr="00A8590D">
        <w:rPr>
          <w:rFonts w:ascii="Calibri" w:hAnsi="Calibri" w:cs="Calibri"/>
          <w:b/>
          <w:bCs/>
          <w:sz w:val="24"/>
          <w:szCs w:val="24"/>
        </w:rPr>
        <w:t>Quantification of vestibular neurons in a</w:t>
      </w:r>
      <w:r w:rsidR="00965CCC" w:rsidRPr="00A8590D">
        <w:rPr>
          <w:rFonts w:ascii="Calibri" w:hAnsi="Calibri" w:cs="Calibri"/>
          <w:b/>
          <w:bCs/>
          <w:sz w:val="24"/>
          <w:szCs w:val="24"/>
        </w:rPr>
        <w:t xml:space="preserve"> </w:t>
      </w:r>
      <w:r w:rsidR="008D678D" w:rsidRPr="00A8590D">
        <w:rPr>
          <w:rFonts w:ascii="Calibri" w:hAnsi="Calibri" w:cs="Calibri"/>
          <w:b/>
          <w:bCs/>
          <w:sz w:val="24"/>
          <w:szCs w:val="24"/>
        </w:rPr>
        <w:t>three-dimensional</w:t>
      </w:r>
      <w:r w:rsidRPr="00A8590D">
        <w:rPr>
          <w:rFonts w:ascii="Calibri" w:hAnsi="Calibri" w:cs="Calibri"/>
          <w:b/>
          <w:bCs/>
          <w:sz w:val="24"/>
          <w:szCs w:val="24"/>
        </w:rPr>
        <w:t xml:space="preserve"> cube</w:t>
      </w:r>
      <w:r w:rsidRPr="00A8590D">
        <w:rPr>
          <w:rFonts w:ascii="Calibri" w:hAnsi="Calibri" w:cs="Calibri"/>
          <w:b/>
          <w:bCs/>
          <w:sz w:val="24"/>
          <w:szCs w:val="24"/>
        </w:rPr>
        <w:tab/>
      </w:r>
    </w:p>
    <w:p w14:paraId="532AAA76"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1D4372C0" w14:textId="581981C3" w:rsidR="008337A1" w:rsidRPr="00C82009" w:rsidRDefault="00395705" w:rsidP="00444965">
      <w:pPr>
        <w:pStyle w:val="ListParagraph"/>
        <w:numPr>
          <w:ilvl w:val="1"/>
          <w:numId w:val="31"/>
        </w:numPr>
        <w:spacing w:after="0" w:line="240" w:lineRule="auto"/>
        <w:ind w:left="0" w:firstLine="0"/>
        <w:jc w:val="both"/>
        <w:rPr>
          <w:rFonts w:ascii="Calibri" w:hAnsi="Calibri" w:cs="Calibri"/>
          <w:sz w:val="24"/>
          <w:szCs w:val="24"/>
        </w:rPr>
      </w:pPr>
      <w:r>
        <w:rPr>
          <w:rFonts w:ascii="Calibri" w:hAnsi="Calibri" w:cs="Calibri"/>
          <w:sz w:val="24"/>
          <w:szCs w:val="24"/>
        </w:rPr>
        <w:t>O</w:t>
      </w:r>
      <w:r w:rsidR="008F595A" w:rsidRPr="00C82009">
        <w:rPr>
          <w:rFonts w:ascii="Calibri" w:hAnsi="Calibri" w:cs="Calibri"/>
          <w:sz w:val="24"/>
          <w:szCs w:val="24"/>
        </w:rPr>
        <w:t xml:space="preserve">pen the image taken at 40x, where a neuronal marker such as </w:t>
      </w:r>
      <w:r w:rsidR="00BD7584" w:rsidRPr="00C104EB">
        <w:rPr>
          <w:rFonts w:ascii="Calibri" w:eastAsia="Calibri" w:hAnsi="Calibri" w:cs="Calibri"/>
          <w:color w:val="000000"/>
          <w:sz w:val="24"/>
          <w:szCs w:val="24"/>
        </w:rPr>
        <w:t>β-III tubulin</w:t>
      </w:r>
      <w:r w:rsidR="008F595A" w:rsidRPr="00C82009">
        <w:rPr>
          <w:rFonts w:ascii="Calibri" w:hAnsi="Calibri" w:cs="Calibri"/>
          <w:sz w:val="24"/>
          <w:szCs w:val="24"/>
        </w:rPr>
        <w:t xml:space="preserve"> was used</w:t>
      </w:r>
      <w:r>
        <w:rPr>
          <w:rFonts w:ascii="Calibri" w:hAnsi="Calibri" w:cs="Calibri"/>
          <w:sz w:val="24"/>
          <w:szCs w:val="24"/>
        </w:rPr>
        <w:t>, using</w:t>
      </w:r>
      <w:r w:rsidRPr="00C82009">
        <w:rPr>
          <w:rFonts w:ascii="Calibri" w:hAnsi="Calibri" w:cs="Calibri"/>
          <w:sz w:val="24"/>
          <w:szCs w:val="24"/>
        </w:rPr>
        <w:t xml:space="preserve"> the imaging software provided by the confocal vendor</w:t>
      </w:r>
      <w:r w:rsidR="008F595A" w:rsidRPr="00C82009">
        <w:rPr>
          <w:rFonts w:ascii="Calibri" w:hAnsi="Calibri" w:cs="Calibri"/>
          <w:sz w:val="24"/>
          <w:szCs w:val="24"/>
        </w:rPr>
        <w:t>.</w:t>
      </w:r>
      <w:r w:rsidR="0051195D" w:rsidRPr="00C82009">
        <w:rPr>
          <w:rFonts w:ascii="Calibri" w:hAnsi="Calibri" w:cs="Calibri"/>
          <w:sz w:val="24"/>
          <w:szCs w:val="24"/>
        </w:rPr>
        <w:t xml:space="preserve"> </w:t>
      </w:r>
    </w:p>
    <w:p w14:paraId="282E8498"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66AE0C43" w14:textId="41101CDA" w:rsidR="006439A8" w:rsidRPr="00C82009" w:rsidRDefault="008F595A" w:rsidP="00444965">
      <w:pPr>
        <w:pStyle w:val="ListParagraph"/>
        <w:numPr>
          <w:ilvl w:val="1"/>
          <w:numId w:val="31"/>
        </w:numPr>
        <w:spacing w:after="0" w:line="240" w:lineRule="auto"/>
        <w:ind w:left="0" w:firstLine="0"/>
        <w:jc w:val="both"/>
        <w:rPr>
          <w:rFonts w:ascii="Calibri" w:hAnsi="Calibri" w:cs="Calibri"/>
          <w:sz w:val="24"/>
          <w:szCs w:val="24"/>
        </w:rPr>
      </w:pPr>
      <w:r w:rsidRPr="00C82009">
        <w:rPr>
          <w:rFonts w:ascii="Calibri" w:hAnsi="Calibri" w:cs="Calibri"/>
          <w:sz w:val="24"/>
          <w:szCs w:val="24"/>
        </w:rPr>
        <w:t xml:space="preserve">Draw </w:t>
      </w:r>
      <w:r w:rsidR="0023133A" w:rsidRPr="00C82009">
        <w:rPr>
          <w:rFonts w:ascii="Calibri" w:hAnsi="Calibri" w:cs="Calibri"/>
          <w:sz w:val="24"/>
          <w:szCs w:val="24"/>
        </w:rPr>
        <w:t>one or more</w:t>
      </w:r>
      <w:r w:rsidRPr="00C82009">
        <w:rPr>
          <w:rFonts w:ascii="Calibri" w:hAnsi="Calibri" w:cs="Calibri"/>
          <w:sz w:val="24"/>
          <w:szCs w:val="24"/>
        </w:rPr>
        <w:t xml:space="preserve"> 50 </w:t>
      </w:r>
      <w:r w:rsidR="00B51FB9" w:rsidRPr="00C104EB">
        <w:rPr>
          <w:rFonts w:ascii="Calibri" w:eastAsia="Calibri" w:hAnsi="Calibri" w:cs="Calibri"/>
          <w:color w:val="000000"/>
          <w:sz w:val="24"/>
          <w:szCs w:val="24"/>
        </w:rPr>
        <w:t>µ</w:t>
      </w:r>
      <w:r w:rsidRPr="00C82009">
        <w:rPr>
          <w:rFonts w:ascii="Calibri" w:hAnsi="Calibri" w:cs="Calibri"/>
          <w:sz w:val="24"/>
          <w:szCs w:val="24"/>
        </w:rPr>
        <w:t xml:space="preserve">m </w:t>
      </w:r>
      <w:r w:rsidR="00B51FB9" w:rsidRPr="00C104EB">
        <w:rPr>
          <w:rFonts w:ascii="Calibri" w:eastAsia="Calibri" w:hAnsi="Calibri" w:cs="Calibri"/>
          <w:color w:val="000000"/>
          <w:sz w:val="24"/>
          <w:szCs w:val="24"/>
        </w:rPr>
        <w:t>×</w:t>
      </w:r>
      <w:r w:rsidRPr="00C82009">
        <w:rPr>
          <w:rFonts w:ascii="Calibri" w:hAnsi="Calibri" w:cs="Calibri"/>
          <w:sz w:val="24"/>
          <w:szCs w:val="24"/>
        </w:rPr>
        <w:t xml:space="preserve"> 50 </w:t>
      </w:r>
      <w:r w:rsidR="00B51FB9" w:rsidRPr="00C104EB">
        <w:rPr>
          <w:rFonts w:ascii="Calibri" w:eastAsia="Calibri" w:hAnsi="Calibri" w:cs="Calibri"/>
          <w:color w:val="000000"/>
          <w:sz w:val="24"/>
          <w:szCs w:val="24"/>
        </w:rPr>
        <w:t>µ</w:t>
      </w:r>
      <w:r w:rsidRPr="00C82009">
        <w:rPr>
          <w:rFonts w:ascii="Calibri" w:hAnsi="Calibri" w:cs="Calibri"/>
          <w:sz w:val="24"/>
          <w:szCs w:val="24"/>
        </w:rPr>
        <w:t>m box</w:t>
      </w:r>
      <w:r w:rsidR="0023133A" w:rsidRPr="00C82009">
        <w:rPr>
          <w:rFonts w:ascii="Calibri" w:hAnsi="Calibri" w:cs="Calibri"/>
          <w:sz w:val="24"/>
          <w:szCs w:val="24"/>
        </w:rPr>
        <w:t>es</w:t>
      </w:r>
      <w:r w:rsidRPr="00C82009">
        <w:rPr>
          <w:rFonts w:ascii="Calibri" w:hAnsi="Calibri" w:cs="Calibri"/>
          <w:sz w:val="24"/>
          <w:szCs w:val="24"/>
        </w:rPr>
        <w:t xml:space="preserve"> in </w:t>
      </w:r>
      <w:r w:rsidR="00EF4192" w:rsidRPr="00C82009">
        <w:rPr>
          <w:rFonts w:ascii="Calibri" w:hAnsi="Calibri" w:cs="Calibri"/>
          <w:sz w:val="24"/>
          <w:szCs w:val="24"/>
        </w:rPr>
        <w:t xml:space="preserve">the desired </w:t>
      </w:r>
      <w:r w:rsidRPr="00C82009">
        <w:rPr>
          <w:rFonts w:ascii="Calibri" w:hAnsi="Calibri" w:cs="Calibri"/>
          <w:sz w:val="24"/>
          <w:szCs w:val="24"/>
        </w:rPr>
        <w:t>area to be quantified</w:t>
      </w:r>
      <w:r w:rsidR="00EF4192" w:rsidRPr="00C82009">
        <w:rPr>
          <w:rFonts w:ascii="Calibri" w:hAnsi="Calibri" w:cs="Calibri"/>
          <w:sz w:val="24"/>
          <w:szCs w:val="24"/>
        </w:rPr>
        <w:t xml:space="preserve">, ensuring that neurons are present </w:t>
      </w:r>
      <w:r w:rsidR="008D678D">
        <w:rPr>
          <w:rFonts w:ascii="Calibri" w:hAnsi="Calibri" w:cs="Calibri"/>
          <w:sz w:val="24"/>
          <w:szCs w:val="24"/>
        </w:rPr>
        <w:t xml:space="preserve">throughout the entire </w:t>
      </w:r>
      <w:r w:rsidR="00EF4192" w:rsidRPr="00C82009">
        <w:rPr>
          <w:rFonts w:ascii="Calibri" w:hAnsi="Calibri" w:cs="Calibri"/>
          <w:sz w:val="24"/>
          <w:szCs w:val="24"/>
        </w:rPr>
        <w:t>tissue depth.</w:t>
      </w:r>
    </w:p>
    <w:p w14:paraId="455A3D32"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3F95E446" w14:textId="076DD41F" w:rsidR="008337A1" w:rsidRPr="00C82009" w:rsidRDefault="008F595A" w:rsidP="00444965">
      <w:pPr>
        <w:pStyle w:val="ListParagraph"/>
        <w:spacing w:after="0" w:line="240" w:lineRule="auto"/>
        <w:ind w:left="0"/>
        <w:jc w:val="both"/>
        <w:rPr>
          <w:rFonts w:ascii="Calibri" w:hAnsi="Calibri" w:cs="Calibri"/>
          <w:sz w:val="24"/>
          <w:szCs w:val="24"/>
        </w:rPr>
      </w:pPr>
      <w:bookmarkStart w:id="5" w:name="_Hlk235799396"/>
      <w:r w:rsidRPr="00C82009">
        <w:rPr>
          <w:rFonts w:ascii="Calibri" w:hAnsi="Calibri" w:cs="Calibri"/>
          <w:sz w:val="24"/>
          <w:szCs w:val="24"/>
        </w:rPr>
        <w:t>NOTE: The location of the box or boxes can be random or standardized.</w:t>
      </w:r>
      <w:bookmarkEnd w:id="5"/>
    </w:p>
    <w:p w14:paraId="11607F0E" w14:textId="77777777" w:rsidR="00C82009" w:rsidRPr="00C82009" w:rsidRDefault="00C82009" w:rsidP="00444965">
      <w:pPr>
        <w:pStyle w:val="ListParagraph"/>
        <w:spacing w:after="0" w:line="240" w:lineRule="auto"/>
        <w:ind w:left="0"/>
        <w:jc w:val="both"/>
        <w:rPr>
          <w:rFonts w:ascii="Calibri" w:hAnsi="Calibri" w:cs="Calibri"/>
          <w:sz w:val="24"/>
          <w:szCs w:val="24"/>
        </w:rPr>
      </w:pPr>
    </w:p>
    <w:p w14:paraId="746337EE" w14:textId="7B2161D4" w:rsidR="008337A1" w:rsidRPr="00C82009" w:rsidRDefault="008F595A" w:rsidP="00444965">
      <w:pPr>
        <w:pStyle w:val="ListParagraph"/>
        <w:numPr>
          <w:ilvl w:val="1"/>
          <w:numId w:val="31"/>
        </w:numPr>
        <w:spacing w:after="0" w:line="240" w:lineRule="auto"/>
        <w:ind w:left="0" w:firstLine="0"/>
        <w:jc w:val="both"/>
        <w:rPr>
          <w:rFonts w:ascii="Calibri" w:hAnsi="Calibri" w:cs="Calibri"/>
          <w:sz w:val="24"/>
          <w:szCs w:val="24"/>
        </w:rPr>
      </w:pPr>
      <w:r w:rsidRPr="00C82009">
        <w:rPr>
          <w:rFonts w:ascii="Calibri" w:hAnsi="Calibri" w:cs="Calibri"/>
          <w:sz w:val="24"/>
          <w:szCs w:val="24"/>
        </w:rPr>
        <w:t xml:space="preserve"> Use the events tool to count neuronal nuclei. Begin counting at the appearance of the first neuron</w:t>
      </w:r>
      <w:r w:rsidR="0051195D" w:rsidRPr="00C82009">
        <w:rPr>
          <w:rFonts w:ascii="Calibri" w:hAnsi="Calibri" w:cs="Calibri"/>
          <w:sz w:val="24"/>
          <w:szCs w:val="24"/>
        </w:rPr>
        <w:t xml:space="preserve">, which is defined as a ring of </w:t>
      </w:r>
      <w:r w:rsidR="00BD7584" w:rsidRPr="00C104EB">
        <w:rPr>
          <w:rFonts w:ascii="Calibri" w:eastAsia="Calibri" w:hAnsi="Calibri" w:cs="Calibri"/>
          <w:color w:val="000000"/>
          <w:sz w:val="24"/>
          <w:szCs w:val="24"/>
        </w:rPr>
        <w:t>β-III tubulin</w:t>
      </w:r>
      <w:r w:rsidR="0051195D" w:rsidRPr="00C82009">
        <w:rPr>
          <w:rFonts w:ascii="Calibri" w:hAnsi="Calibri" w:cs="Calibri"/>
          <w:sz w:val="24"/>
          <w:szCs w:val="24"/>
        </w:rPr>
        <w:t xml:space="preserve"> staining surrounding a nucleus</w:t>
      </w:r>
      <w:r w:rsidRPr="00C82009">
        <w:rPr>
          <w:rFonts w:ascii="Calibri" w:hAnsi="Calibri" w:cs="Calibri"/>
          <w:sz w:val="24"/>
          <w:szCs w:val="24"/>
        </w:rPr>
        <w:t>.</w:t>
      </w:r>
    </w:p>
    <w:p w14:paraId="2EFCB173"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5F2AB344" w14:textId="4ECC5970" w:rsidR="006439A8" w:rsidRPr="00C82009" w:rsidRDefault="008F595A" w:rsidP="00444965">
      <w:pPr>
        <w:pStyle w:val="ListParagraph"/>
        <w:numPr>
          <w:ilvl w:val="1"/>
          <w:numId w:val="31"/>
        </w:numPr>
        <w:spacing w:after="0" w:line="240" w:lineRule="auto"/>
        <w:ind w:left="0" w:firstLine="0"/>
        <w:jc w:val="both"/>
        <w:rPr>
          <w:rFonts w:ascii="Calibri" w:hAnsi="Calibri" w:cs="Calibri"/>
          <w:sz w:val="24"/>
          <w:szCs w:val="24"/>
        </w:rPr>
      </w:pPr>
      <w:r w:rsidRPr="00C82009">
        <w:rPr>
          <w:rFonts w:ascii="Calibri" w:hAnsi="Calibri" w:cs="Calibri"/>
          <w:sz w:val="24"/>
          <w:szCs w:val="24"/>
        </w:rPr>
        <w:t xml:space="preserve">Continue to count the neuronal nuclei for the next 39 consecutive slices (for a total of 40 slices or 40 </w:t>
      </w:r>
      <w:r w:rsidR="00B51FB9" w:rsidRPr="00C104EB">
        <w:rPr>
          <w:rFonts w:ascii="Calibri" w:eastAsia="Calibri" w:hAnsi="Calibri" w:cs="Calibri"/>
          <w:color w:val="000000"/>
          <w:sz w:val="24"/>
          <w:szCs w:val="24"/>
        </w:rPr>
        <w:t>µ</w:t>
      </w:r>
      <w:r w:rsidRPr="00C82009">
        <w:rPr>
          <w:rFonts w:ascii="Calibri" w:hAnsi="Calibri" w:cs="Calibri"/>
          <w:sz w:val="24"/>
          <w:szCs w:val="24"/>
        </w:rPr>
        <w:t>m)</w:t>
      </w:r>
      <w:r w:rsidR="00EF4192" w:rsidRPr="00C82009">
        <w:rPr>
          <w:rFonts w:ascii="Calibri" w:hAnsi="Calibri" w:cs="Calibri"/>
          <w:sz w:val="24"/>
          <w:szCs w:val="24"/>
        </w:rPr>
        <w:t xml:space="preserve">. </w:t>
      </w:r>
    </w:p>
    <w:p w14:paraId="4A837779" w14:textId="77777777" w:rsidR="006439A8" w:rsidRPr="00C82009" w:rsidRDefault="006439A8" w:rsidP="00444965">
      <w:pPr>
        <w:pStyle w:val="ListParagraph"/>
        <w:spacing w:after="0" w:line="240" w:lineRule="auto"/>
        <w:ind w:left="0"/>
        <w:jc w:val="both"/>
        <w:rPr>
          <w:rFonts w:ascii="Calibri" w:hAnsi="Calibri" w:cs="Calibri"/>
          <w:sz w:val="24"/>
          <w:szCs w:val="24"/>
        </w:rPr>
      </w:pPr>
    </w:p>
    <w:p w14:paraId="1D6591E2" w14:textId="242FD49A" w:rsidR="008337A1" w:rsidRPr="00C82009" w:rsidRDefault="008F595A" w:rsidP="00444965">
      <w:pPr>
        <w:pStyle w:val="ListParagraph"/>
        <w:spacing w:after="0" w:line="240" w:lineRule="auto"/>
        <w:ind w:left="0"/>
        <w:jc w:val="both"/>
        <w:rPr>
          <w:rFonts w:ascii="Calibri" w:hAnsi="Calibri" w:cs="Calibri"/>
          <w:sz w:val="24"/>
          <w:szCs w:val="24"/>
        </w:rPr>
      </w:pPr>
      <w:r w:rsidRPr="00C82009">
        <w:rPr>
          <w:rFonts w:ascii="Calibri" w:hAnsi="Calibri" w:cs="Calibri"/>
          <w:sz w:val="24"/>
          <w:szCs w:val="24"/>
        </w:rPr>
        <w:t>NOTE</w:t>
      </w:r>
      <w:r w:rsidR="00EF4192" w:rsidRPr="00C82009">
        <w:rPr>
          <w:rFonts w:ascii="Calibri" w:hAnsi="Calibri" w:cs="Calibri"/>
          <w:sz w:val="24"/>
          <w:szCs w:val="24"/>
        </w:rPr>
        <w:t xml:space="preserve">: Neurons whose nuclei are at least 50% inside the 50 </w:t>
      </w:r>
      <w:r w:rsidR="00B51FB9" w:rsidRPr="00C104EB">
        <w:rPr>
          <w:rFonts w:ascii="Calibri" w:eastAsia="Calibri" w:hAnsi="Calibri" w:cs="Calibri"/>
          <w:color w:val="000000"/>
          <w:sz w:val="24"/>
          <w:szCs w:val="24"/>
        </w:rPr>
        <w:t>µ</w:t>
      </w:r>
      <w:r w:rsidR="00EF4192" w:rsidRPr="00C82009">
        <w:rPr>
          <w:rFonts w:ascii="Calibri" w:hAnsi="Calibri" w:cs="Calibri"/>
          <w:sz w:val="24"/>
          <w:szCs w:val="24"/>
        </w:rPr>
        <w:t xml:space="preserve">m </w:t>
      </w:r>
      <w:r w:rsidR="00B51FB9" w:rsidRPr="00C104EB">
        <w:rPr>
          <w:rFonts w:ascii="Calibri" w:eastAsia="Calibri" w:hAnsi="Calibri" w:cs="Calibri"/>
          <w:color w:val="000000"/>
          <w:sz w:val="24"/>
          <w:szCs w:val="24"/>
        </w:rPr>
        <w:t>×</w:t>
      </w:r>
      <w:r w:rsidR="00EF4192" w:rsidRPr="00C82009">
        <w:rPr>
          <w:rFonts w:ascii="Calibri" w:hAnsi="Calibri" w:cs="Calibri"/>
          <w:sz w:val="24"/>
          <w:szCs w:val="24"/>
        </w:rPr>
        <w:t xml:space="preserve"> 50 </w:t>
      </w:r>
      <w:r w:rsidR="00B51FB9" w:rsidRPr="00C104EB">
        <w:rPr>
          <w:rFonts w:ascii="Calibri" w:eastAsia="Calibri" w:hAnsi="Calibri" w:cs="Calibri"/>
          <w:color w:val="000000"/>
          <w:sz w:val="24"/>
          <w:szCs w:val="24"/>
        </w:rPr>
        <w:t>µ</w:t>
      </w:r>
      <w:r w:rsidR="00EF4192" w:rsidRPr="00C82009">
        <w:rPr>
          <w:rFonts w:ascii="Calibri" w:hAnsi="Calibri" w:cs="Calibri"/>
          <w:sz w:val="24"/>
          <w:szCs w:val="24"/>
        </w:rPr>
        <w:t>m box should be counted.</w:t>
      </w:r>
    </w:p>
    <w:p w14:paraId="17C6F2ED" w14:textId="77777777" w:rsidR="00361CED" w:rsidRDefault="00361CED" w:rsidP="00444965">
      <w:pPr>
        <w:pBdr>
          <w:top w:val="nil"/>
          <w:left w:val="nil"/>
          <w:bottom w:val="nil"/>
          <w:right w:val="nil"/>
          <w:between w:val="nil"/>
        </w:pBdr>
        <w:rPr>
          <w:b/>
          <w:color w:val="000000"/>
        </w:rPr>
      </w:pPr>
    </w:p>
    <w:p w14:paraId="08AF3300" w14:textId="16B779C3" w:rsidR="006E4797" w:rsidRPr="00C82009" w:rsidRDefault="008F595A" w:rsidP="00444965">
      <w:pPr>
        <w:pBdr>
          <w:top w:val="nil"/>
          <w:left w:val="nil"/>
          <w:bottom w:val="nil"/>
          <w:right w:val="nil"/>
          <w:between w:val="nil"/>
        </w:pBdr>
        <w:rPr>
          <w:color w:val="808080"/>
        </w:rPr>
      </w:pPr>
      <w:r w:rsidRPr="00C82009">
        <w:rPr>
          <w:b/>
          <w:color w:val="000000"/>
        </w:rPr>
        <w:t xml:space="preserve">REPRESENTATIVE RESULTS:  </w:t>
      </w:r>
    </w:p>
    <w:p w14:paraId="5226524A" w14:textId="21D143BA" w:rsidR="00277FC7" w:rsidRPr="00C82009" w:rsidRDefault="008F595A" w:rsidP="00444965">
      <w:pPr>
        <w:pStyle w:val="ListParagraph"/>
        <w:spacing w:after="0" w:line="240" w:lineRule="auto"/>
        <w:ind w:left="0"/>
        <w:jc w:val="both"/>
        <w:rPr>
          <w:rFonts w:ascii="Calibri" w:hAnsi="Calibri" w:cs="Calibri"/>
          <w:sz w:val="24"/>
          <w:szCs w:val="24"/>
        </w:rPr>
      </w:pPr>
      <w:r w:rsidRPr="00C82009">
        <w:rPr>
          <w:rFonts w:ascii="Calibri" w:hAnsi="Calibri" w:cs="Calibri"/>
          <w:sz w:val="24"/>
          <w:szCs w:val="24"/>
        </w:rPr>
        <w:t>Here we present a whole</w:t>
      </w:r>
      <w:r w:rsidR="00C55C21" w:rsidRPr="00C82009">
        <w:rPr>
          <w:rFonts w:ascii="Calibri" w:hAnsi="Calibri" w:cs="Calibri"/>
          <w:sz w:val="24"/>
          <w:szCs w:val="24"/>
        </w:rPr>
        <w:t>-</w:t>
      </w:r>
      <w:r w:rsidRPr="00C82009">
        <w:rPr>
          <w:rFonts w:ascii="Calibri" w:hAnsi="Calibri" w:cs="Calibri"/>
          <w:sz w:val="24"/>
          <w:szCs w:val="24"/>
        </w:rPr>
        <w:t>mount dissection method to excise the entire vestibular complex (</w:t>
      </w:r>
      <w:r w:rsidRPr="00C82009">
        <w:rPr>
          <w:rFonts w:ascii="Calibri" w:hAnsi="Calibri" w:cs="Calibri"/>
          <w:b/>
          <w:bCs/>
          <w:sz w:val="24"/>
          <w:szCs w:val="24"/>
        </w:rPr>
        <w:t>Figure 1</w:t>
      </w:r>
      <w:r w:rsidR="009B2352">
        <w:rPr>
          <w:rFonts w:ascii="Calibri" w:hAnsi="Calibri" w:cs="Calibri"/>
          <w:b/>
          <w:bCs/>
          <w:sz w:val="24"/>
          <w:szCs w:val="24"/>
        </w:rPr>
        <w:t>A,B</w:t>
      </w:r>
      <w:r w:rsidRPr="00C82009">
        <w:rPr>
          <w:rFonts w:ascii="Calibri" w:hAnsi="Calibri" w:cs="Calibri"/>
          <w:sz w:val="24"/>
          <w:szCs w:val="24"/>
        </w:rPr>
        <w:t>)</w:t>
      </w:r>
      <w:r w:rsidR="008D678D">
        <w:rPr>
          <w:rFonts w:ascii="Calibri" w:hAnsi="Calibri" w:cs="Calibri"/>
          <w:sz w:val="24"/>
          <w:szCs w:val="24"/>
        </w:rPr>
        <w:t>, which contains the vestibular ganglion, subdivided into the superior and inferior regions, as well as the sensory epithelia of the utricle, saccule,</w:t>
      </w:r>
      <w:r w:rsidRPr="00C82009">
        <w:rPr>
          <w:rFonts w:ascii="Calibri" w:hAnsi="Calibri" w:cs="Calibri"/>
          <w:sz w:val="24"/>
          <w:szCs w:val="24"/>
        </w:rPr>
        <w:t xml:space="preserve"> and three cristae. </w:t>
      </w:r>
      <w:r w:rsidRPr="00C82009">
        <w:rPr>
          <w:rFonts w:ascii="Calibri" w:hAnsi="Calibri" w:cs="Calibri"/>
          <w:b/>
          <w:bCs/>
          <w:sz w:val="24"/>
          <w:szCs w:val="24"/>
        </w:rPr>
        <w:t>Figure 2</w:t>
      </w:r>
      <w:r w:rsidR="003B3D32">
        <w:rPr>
          <w:rFonts w:ascii="Calibri" w:hAnsi="Calibri" w:cs="Calibri"/>
          <w:b/>
          <w:bCs/>
          <w:sz w:val="24"/>
          <w:szCs w:val="24"/>
        </w:rPr>
        <w:t>A,B</w:t>
      </w:r>
      <w:r w:rsidRPr="00C82009">
        <w:rPr>
          <w:rFonts w:ascii="Calibri" w:hAnsi="Calibri" w:cs="Calibri"/>
          <w:sz w:val="24"/>
          <w:szCs w:val="24"/>
        </w:rPr>
        <w:t xml:space="preserve"> shows the intact, undissected temporal bone and provides anatomical descriptors and landmarks used within the dissection protocol. Excision of the entire</w:t>
      </w:r>
      <w:r w:rsidR="007B6FDA" w:rsidRPr="00C82009">
        <w:rPr>
          <w:rFonts w:ascii="Calibri" w:hAnsi="Calibri" w:cs="Calibri"/>
          <w:sz w:val="24"/>
          <w:szCs w:val="24"/>
        </w:rPr>
        <w:t xml:space="preserve"> vestibular</w:t>
      </w:r>
      <w:r w:rsidRPr="00C82009">
        <w:rPr>
          <w:rFonts w:ascii="Calibri" w:hAnsi="Calibri" w:cs="Calibri"/>
          <w:sz w:val="24"/>
          <w:szCs w:val="24"/>
        </w:rPr>
        <w:t xml:space="preserve"> complex allows visualization of the vestibular ganglion, when mounted with the utricular sensory epithelium facing up (</w:t>
      </w:r>
      <w:r w:rsidRPr="00C82009">
        <w:rPr>
          <w:rFonts w:ascii="Calibri" w:hAnsi="Calibri" w:cs="Calibri"/>
          <w:b/>
          <w:bCs/>
          <w:sz w:val="24"/>
          <w:szCs w:val="24"/>
        </w:rPr>
        <w:t>Figure 3</w:t>
      </w:r>
      <w:r w:rsidR="003B3D32">
        <w:rPr>
          <w:rFonts w:ascii="Calibri" w:hAnsi="Calibri" w:cs="Calibri"/>
          <w:b/>
          <w:bCs/>
          <w:sz w:val="24"/>
          <w:szCs w:val="24"/>
        </w:rPr>
        <w:t>A–C</w:t>
      </w:r>
      <w:r w:rsidRPr="00C82009">
        <w:rPr>
          <w:rFonts w:ascii="Calibri" w:hAnsi="Calibri" w:cs="Calibri"/>
          <w:sz w:val="24"/>
          <w:szCs w:val="24"/>
        </w:rPr>
        <w:t>), as well as the neuronal projections to each vestibular organ, when mounted with the utricular sensory epithelium facing down (</w:t>
      </w:r>
      <w:r w:rsidRPr="00C82009">
        <w:rPr>
          <w:rFonts w:ascii="Calibri" w:hAnsi="Calibri" w:cs="Calibri"/>
          <w:b/>
          <w:bCs/>
          <w:sz w:val="24"/>
          <w:szCs w:val="24"/>
        </w:rPr>
        <w:t xml:space="preserve">Figure </w:t>
      </w:r>
      <w:r w:rsidR="001560B1" w:rsidRPr="00C82009">
        <w:rPr>
          <w:rFonts w:ascii="Calibri" w:hAnsi="Calibri" w:cs="Calibri"/>
          <w:b/>
          <w:bCs/>
          <w:sz w:val="24"/>
          <w:szCs w:val="24"/>
        </w:rPr>
        <w:t>4</w:t>
      </w:r>
      <w:r w:rsidRPr="00C82009">
        <w:rPr>
          <w:rFonts w:ascii="Calibri" w:hAnsi="Calibri" w:cs="Calibri"/>
          <w:sz w:val="24"/>
          <w:szCs w:val="24"/>
        </w:rPr>
        <w:t xml:space="preserve">). This dissection method allows for the neurons to be counted in a </w:t>
      </w:r>
      <w:r w:rsidR="008D678D">
        <w:rPr>
          <w:rFonts w:ascii="Calibri" w:hAnsi="Calibri" w:cs="Calibri"/>
          <w:sz w:val="24"/>
          <w:szCs w:val="24"/>
        </w:rPr>
        <w:t xml:space="preserve">three-dimensional cube (50 </w:t>
      </w:r>
      <w:r w:rsidR="00B51FB9" w:rsidRPr="00C104EB">
        <w:rPr>
          <w:rFonts w:ascii="Calibri" w:eastAsia="Calibri" w:hAnsi="Calibri" w:cs="Calibri"/>
          <w:color w:val="000000"/>
          <w:sz w:val="24"/>
          <w:szCs w:val="24"/>
        </w:rPr>
        <w:t>µ</w:t>
      </w:r>
      <w:r w:rsidR="008D678D">
        <w:rPr>
          <w:rFonts w:ascii="Calibri" w:hAnsi="Calibri" w:cs="Calibri"/>
          <w:sz w:val="24"/>
          <w:szCs w:val="24"/>
        </w:rPr>
        <w:t xml:space="preserve">m </w:t>
      </w:r>
      <w:r w:rsidR="00B51FB9" w:rsidRPr="00C104EB">
        <w:rPr>
          <w:rFonts w:ascii="Calibri" w:eastAsia="Calibri" w:hAnsi="Calibri" w:cs="Calibri"/>
          <w:color w:val="000000"/>
          <w:sz w:val="24"/>
          <w:szCs w:val="24"/>
        </w:rPr>
        <w:t>×</w:t>
      </w:r>
      <w:r w:rsidR="008D678D">
        <w:rPr>
          <w:rFonts w:ascii="Calibri" w:hAnsi="Calibri" w:cs="Calibri"/>
          <w:sz w:val="24"/>
          <w:szCs w:val="24"/>
        </w:rPr>
        <w:t xml:space="preserve"> 50 </w:t>
      </w:r>
      <w:r w:rsidR="00B51FB9" w:rsidRPr="00C104EB">
        <w:rPr>
          <w:rFonts w:ascii="Calibri" w:eastAsia="Calibri" w:hAnsi="Calibri" w:cs="Calibri"/>
          <w:color w:val="000000"/>
          <w:sz w:val="24"/>
          <w:szCs w:val="24"/>
        </w:rPr>
        <w:t>µ</w:t>
      </w:r>
      <w:r w:rsidR="008D678D">
        <w:rPr>
          <w:rFonts w:ascii="Calibri" w:hAnsi="Calibri" w:cs="Calibri"/>
          <w:sz w:val="24"/>
          <w:szCs w:val="24"/>
        </w:rPr>
        <w:t xml:space="preserve">m </w:t>
      </w:r>
      <w:r w:rsidR="00B51FB9" w:rsidRPr="00C104EB">
        <w:rPr>
          <w:rFonts w:ascii="Calibri" w:eastAsia="Calibri" w:hAnsi="Calibri" w:cs="Calibri"/>
          <w:color w:val="000000"/>
          <w:sz w:val="24"/>
          <w:szCs w:val="24"/>
        </w:rPr>
        <w:t>×</w:t>
      </w:r>
      <w:r w:rsidR="008D678D">
        <w:rPr>
          <w:rFonts w:ascii="Calibri" w:hAnsi="Calibri" w:cs="Calibri"/>
          <w:sz w:val="24"/>
          <w:szCs w:val="24"/>
        </w:rPr>
        <w:t xml:space="preserve"> 40 </w:t>
      </w:r>
      <w:r w:rsidR="00B51FB9" w:rsidRPr="00C104EB">
        <w:rPr>
          <w:rFonts w:ascii="Calibri" w:eastAsia="Calibri" w:hAnsi="Calibri" w:cs="Calibri"/>
          <w:color w:val="000000"/>
          <w:sz w:val="24"/>
          <w:szCs w:val="24"/>
        </w:rPr>
        <w:t>µ</w:t>
      </w:r>
      <w:r w:rsidR="008D678D">
        <w:rPr>
          <w:rFonts w:ascii="Calibri" w:hAnsi="Calibri" w:cs="Calibri"/>
          <w:sz w:val="24"/>
          <w:szCs w:val="24"/>
        </w:rPr>
        <w:t>m) when imaged at 40</w:t>
      </w:r>
      <w:r w:rsidR="00B51FB9" w:rsidRPr="00C104EB">
        <w:rPr>
          <w:rFonts w:ascii="Calibri" w:eastAsia="Calibri" w:hAnsi="Calibri" w:cs="Calibri"/>
          <w:color w:val="000000"/>
          <w:sz w:val="24"/>
          <w:szCs w:val="24"/>
        </w:rPr>
        <w:t>×</w:t>
      </w:r>
      <w:r w:rsidR="008D678D">
        <w:rPr>
          <w:rFonts w:ascii="Calibri" w:hAnsi="Calibri" w:cs="Calibri"/>
          <w:sz w:val="24"/>
          <w:szCs w:val="24"/>
        </w:rPr>
        <w:t xml:space="preserve"> magnification (</w:t>
      </w:r>
      <w:r w:rsidR="008D678D" w:rsidRPr="00EE5B0B">
        <w:rPr>
          <w:rFonts w:ascii="Calibri" w:hAnsi="Calibri" w:cs="Calibri"/>
          <w:b/>
          <w:bCs/>
          <w:sz w:val="24"/>
          <w:szCs w:val="24"/>
        </w:rPr>
        <w:t>Figure 5A</w:t>
      </w:r>
      <w:r w:rsidR="008D678D">
        <w:rPr>
          <w:rFonts w:ascii="Calibri" w:hAnsi="Calibri" w:cs="Calibri"/>
          <w:sz w:val="24"/>
          <w:szCs w:val="24"/>
        </w:rPr>
        <w:t>) (or, in theory,</w:t>
      </w:r>
      <w:r w:rsidRPr="00C82009">
        <w:rPr>
          <w:rFonts w:ascii="Calibri" w:hAnsi="Calibri" w:cs="Calibri"/>
          <w:sz w:val="24"/>
          <w:szCs w:val="24"/>
        </w:rPr>
        <w:t xml:space="preserve"> all neurons could be counted), as well as tracing of the neuronal projections (</w:t>
      </w:r>
      <w:r w:rsidRPr="00C82009">
        <w:rPr>
          <w:rFonts w:ascii="Calibri" w:hAnsi="Calibri" w:cs="Calibri"/>
          <w:b/>
          <w:bCs/>
          <w:sz w:val="24"/>
          <w:szCs w:val="24"/>
        </w:rPr>
        <w:t xml:space="preserve">Figure </w:t>
      </w:r>
      <w:r w:rsidR="001560B1" w:rsidRPr="00C82009">
        <w:rPr>
          <w:rFonts w:ascii="Calibri" w:hAnsi="Calibri" w:cs="Calibri"/>
          <w:b/>
          <w:bCs/>
          <w:sz w:val="24"/>
          <w:szCs w:val="24"/>
        </w:rPr>
        <w:t>5</w:t>
      </w:r>
      <w:r w:rsidRPr="00C82009">
        <w:rPr>
          <w:rFonts w:ascii="Calibri" w:hAnsi="Calibri" w:cs="Calibri"/>
          <w:b/>
          <w:bCs/>
          <w:sz w:val="24"/>
          <w:szCs w:val="24"/>
        </w:rPr>
        <w:t>B</w:t>
      </w:r>
      <w:r w:rsidRPr="00C82009">
        <w:rPr>
          <w:rFonts w:ascii="Calibri" w:hAnsi="Calibri" w:cs="Calibri"/>
          <w:sz w:val="24"/>
          <w:szCs w:val="24"/>
        </w:rPr>
        <w:t xml:space="preserve">).   </w:t>
      </w:r>
    </w:p>
    <w:p w14:paraId="232FD327" w14:textId="77777777" w:rsidR="00277FC7" w:rsidRPr="00C82009" w:rsidRDefault="00277FC7" w:rsidP="00444965">
      <w:pPr>
        <w:pStyle w:val="ListParagraph"/>
        <w:spacing w:after="0" w:line="240" w:lineRule="auto"/>
        <w:ind w:left="0"/>
        <w:jc w:val="both"/>
        <w:rPr>
          <w:rFonts w:ascii="Calibri" w:hAnsi="Calibri" w:cs="Calibri"/>
          <w:sz w:val="24"/>
          <w:szCs w:val="24"/>
        </w:rPr>
      </w:pPr>
    </w:p>
    <w:p w14:paraId="7CC432B7" w14:textId="00DADFCD" w:rsidR="00277FC7" w:rsidRPr="00C82009" w:rsidRDefault="008F595A" w:rsidP="00444965">
      <w:pPr>
        <w:pStyle w:val="ListParagraph"/>
        <w:spacing w:after="0" w:line="240" w:lineRule="auto"/>
        <w:ind w:left="0"/>
        <w:jc w:val="both"/>
        <w:rPr>
          <w:rFonts w:ascii="Calibri" w:hAnsi="Calibri" w:cs="Calibri"/>
          <w:sz w:val="24"/>
          <w:szCs w:val="24"/>
        </w:rPr>
      </w:pPr>
      <w:r w:rsidRPr="00C82009">
        <w:rPr>
          <w:rFonts w:ascii="Calibri" w:hAnsi="Calibri" w:cs="Calibri"/>
          <w:sz w:val="24"/>
          <w:szCs w:val="24"/>
        </w:rPr>
        <w:t xml:space="preserve">There are a few issues that can arise during the dissection and tissue mounting. While dissecting, it is important not to pull or tear pieces off (except the </w:t>
      </w:r>
      <w:r w:rsidR="008D678D">
        <w:rPr>
          <w:rFonts w:ascii="Calibri" w:hAnsi="Calibri" w:cs="Calibri"/>
          <w:sz w:val="24"/>
          <w:szCs w:val="24"/>
        </w:rPr>
        <w:t>bone piece</w:t>
      </w:r>
      <w:r w:rsidRPr="00C82009">
        <w:rPr>
          <w:rFonts w:ascii="Calibri" w:hAnsi="Calibri" w:cs="Calibri"/>
          <w:sz w:val="24"/>
          <w:szCs w:val="24"/>
        </w:rPr>
        <w:t xml:space="preserve"> in dissection step 4</w:t>
      </w:r>
      <w:r w:rsidR="0080501A" w:rsidRPr="00C82009">
        <w:rPr>
          <w:rFonts w:ascii="Calibri" w:hAnsi="Calibri" w:cs="Calibri"/>
          <w:sz w:val="24"/>
          <w:szCs w:val="24"/>
        </w:rPr>
        <w:t>.3</w:t>
      </w:r>
      <w:r w:rsidRPr="00C82009">
        <w:rPr>
          <w:rFonts w:ascii="Calibri" w:hAnsi="Calibri" w:cs="Calibri"/>
          <w:sz w:val="24"/>
          <w:szCs w:val="24"/>
        </w:rPr>
        <w:t xml:space="preserve">). The </w:t>
      </w:r>
      <w:r w:rsidRPr="00C82009">
        <w:rPr>
          <w:rFonts w:ascii="Calibri" w:hAnsi="Calibri" w:cs="Calibri"/>
          <w:sz w:val="24"/>
          <w:szCs w:val="24"/>
        </w:rPr>
        <w:lastRenderedPageBreak/>
        <w:t>dumbbell shape of the vestibular ganglion makes a natural weak point, which can cause the superior and inferior regions to rip apart (</w:t>
      </w:r>
      <w:r w:rsidRPr="00C82009">
        <w:rPr>
          <w:rFonts w:ascii="Calibri" w:hAnsi="Calibri" w:cs="Calibri"/>
          <w:b/>
          <w:bCs/>
          <w:sz w:val="24"/>
          <w:szCs w:val="24"/>
        </w:rPr>
        <w:t xml:space="preserve">Figure </w:t>
      </w:r>
      <w:r w:rsidR="001560B1" w:rsidRPr="00C82009">
        <w:rPr>
          <w:rFonts w:ascii="Calibri" w:hAnsi="Calibri" w:cs="Calibri"/>
          <w:b/>
          <w:bCs/>
          <w:sz w:val="24"/>
          <w:szCs w:val="24"/>
        </w:rPr>
        <w:t>6</w:t>
      </w:r>
      <w:r w:rsidR="003B3D32">
        <w:rPr>
          <w:rFonts w:ascii="Calibri" w:hAnsi="Calibri" w:cs="Calibri"/>
          <w:b/>
          <w:bCs/>
          <w:sz w:val="24"/>
          <w:szCs w:val="24"/>
        </w:rPr>
        <w:t>A–C</w:t>
      </w:r>
      <w:r w:rsidRPr="00C82009">
        <w:rPr>
          <w:rFonts w:ascii="Calibri" w:hAnsi="Calibri" w:cs="Calibri"/>
          <w:sz w:val="24"/>
          <w:szCs w:val="24"/>
        </w:rPr>
        <w:t xml:space="preserve">). In addition, making the cut to remove the apical and middle turns of the cochlea </w:t>
      </w:r>
      <w:r w:rsidR="008D678D">
        <w:rPr>
          <w:rFonts w:ascii="Calibri" w:hAnsi="Calibri" w:cs="Calibri"/>
          <w:sz w:val="24"/>
          <w:szCs w:val="24"/>
        </w:rPr>
        <w:t>increases the risk</w:t>
      </w:r>
      <w:r w:rsidRPr="00C82009">
        <w:rPr>
          <w:rFonts w:ascii="Calibri" w:hAnsi="Calibri" w:cs="Calibri"/>
          <w:sz w:val="24"/>
          <w:szCs w:val="24"/>
        </w:rPr>
        <w:t xml:space="preserve"> of damage to the vestibular ganglion. If too much </w:t>
      </w:r>
      <w:r w:rsidR="0080501A" w:rsidRPr="00C82009">
        <w:rPr>
          <w:rFonts w:ascii="Calibri" w:hAnsi="Calibri" w:cs="Calibri"/>
          <w:sz w:val="24"/>
          <w:szCs w:val="24"/>
        </w:rPr>
        <w:t xml:space="preserve">of the basal turn </w:t>
      </w:r>
      <w:r w:rsidRPr="00C82009">
        <w:rPr>
          <w:rFonts w:ascii="Calibri" w:hAnsi="Calibri" w:cs="Calibri"/>
          <w:sz w:val="24"/>
          <w:szCs w:val="24"/>
        </w:rPr>
        <w:t xml:space="preserve">is cut off at this time, a sizable chunk will be taken out of the ganglion. </w:t>
      </w:r>
      <w:r w:rsidR="00EE5B0B">
        <w:rPr>
          <w:rFonts w:ascii="Calibri" w:hAnsi="Calibri" w:cs="Calibri"/>
          <w:sz w:val="24"/>
          <w:szCs w:val="24"/>
        </w:rPr>
        <w:t>H</w:t>
      </w:r>
      <w:r w:rsidR="0080501A" w:rsidRPr="00C82009">
        <w:rPr>
          <w:rFonts w:ascii="Calibri" w:hAnsi="Calibri" w:cs="Calibri"/>
          <w:sz w:val="24"/>
          <w:szCs w:val="24"/>
        </w:rPr>
        <w:t>alf of the basal turn</w:t>
      </w:r>
      <w:r w:rsidR="00EE5B0B">
        <w:rPr>
          <w:rFonts w:ascii="Calibri" w:hAnsi="Calibri" w:cs="Calibri"/>
          <w:sz w:val="24"/>
          <w:szCs w:val="24"/>
        </w:rPr>
        <w:t xml:space="preserve"> (~1.5 mm) should be kept </w:t>
      </w:r>
      <w:r w:rsidR="0080501A" w:rsidRPr="00C82009">
        <w:rPr>
          <w:rFonts w:ascii="Calibri" w:hAnsi="Calibri" w:cs="Calibri"/>
          <w:sz w:val="24"/>
          <w:szCs w:val="24"/>
        </w:rPr>
        <w:t>to prevent damage to the ganglion.</w:t>
      </w:r>
      <w:r w:rsidRPr="00C82009">
        <w:rPr>
          <w:rFonts w:ascii="Calibri" w:hAnsi="Calibri" w:cs="Calibri"/>
          <w:sz w:val="24"/>
          <w:szCs w:val="24"/>
        </w:rPr>
        <w:t xml:space="preserve"> Another issue that can arise </w:t>
      </w:r>
      <w:r w:rsidR="008D678D">
        <w:rPr>
          <w:rFonts w:ascii="Calibri" w:hAnsi="Calibri" w:cs="Calibri"/>
          <w:sz w:val="24"/>
          <w:szCs w:val="24"/>
        </w:rPr>
        <w:t xml:space="preserve">during mounting is that, since the saccule sits at a </w:t>
      </w:r>
      <w:r w:rsidR="00005F96" w:rsidRPr="00C104EB">
        <w:rPr>
          <w:rFonts w:ascii="Calibri" w:eastAsia="Calibri" w:hAnsi="Calibri" w:cs="Calibri"/>
          <w:color w:val="000000"/>
          <w:sz w:val="24"/>
          <w:szCs w:val="24"/>
        </w:rPr>
        <w:t>90°</w:t>
      </w:r>
      <w:r w:rsidR="008D678D">
        <w:rPr>
          <w:rFonts w:ascii="Calibri" w:hAnsi="Calibri" w:cs="Calibri"/>
          <w:sz w:val="24"/>
          <w:szCs w:val="24"/>
        </w:rPr>
        <w:t xml:space="preserve"> angle to the utricle, it tends to</w:t>
      </w:r>
      <w:r w:rsidRPr="00C82009">
        <w:rPr>
          <w:rFonts w:ascii="Calibri" w:hAnsi="Calibri" w:cs="Calibri"/>
          <w:sz w:val="24"/>
          <w:szCs w:val="24"/>
        </w:rPr>
        <w:t xml:space="preserve"> fold over the vestibular ganglion (</w:t>
      </w:r>
      <w:r w:rsidRPr="00C82009">
        <w:rPr>
          <w:rFonts w:ascii="Calibri" w:hAnsi="Calibri" w:cs="Calibri"/>
          <w:b/>
          <w:bCs/>
          <w:sz w:val="24"/>
          <w:szCs w:val="24"/>
        </w:rPr>
        <w:t xml:space="preserve">Figure </w:t>
      </w:r>
      <w:r w:rsidR="001560B1" w:rsidRPr="00C82009">
        <w:rPr>
          <w:rFonts w:ascii="Calibri" w:hAnsi="Calibri" w:cs="Calibri"/>
          <w:b/>
          <w:bCs/>
          <w:sz w:val="24"/>
          <w:szCs w:val="24"/>
        </w:rPr>
        <w:t>7</w:t>
      </w:r>
      <w:r w:rsidR="003B3D32">
        <w:rPr>
          <w:rFonts w:ascii="Calibri" w:hAnsi="Calibri" w:cs="Calibri"/>
          <w:b/>
          <w:bCs/>
          <w:sz w:val="24"/>
          <w:szCs w:val="24"/>
        </w:rPr>
        <w:t>A–C</w:t>
      </w:r>
      <w:r w:rsidRPr="00C82009">
        <w:rPr>
          <w:rFonts w:ascii="Calibri" w:hAnsi="Calibri" w:cs="Calibri"/>
          <w:sz w:val="24"/>
          <w:szCs w:val="24"/>
        </w:rPr>
        <w:t xml:space="preserve">). This will obstruct the view of the neuronal cell bodies when using </w:t>
      </w:r>
      <w:r w:rsidR="00BD7584" w:rsidRPr="00C104EB">
        <w:rPr>
          <w:rFonts w:ascii="Calibri" w:eastAsia="Calibri" w:hAnsi="Calibri" w:cs="Calibri"/>
          <w:color w:val="000000"/>
          <w:sz w:val="24"/>
          <w:szCs w:val="24"/>
        </w:rPr>
        <w:t>β-III tubulin</w:t>
      </w:r>
      <w:r w:rsidRPr="00C82009">
        <w:rPr>
          <w:rFonts w:ascii="Calibri" w:hAnsi="Calibri" w:cs="Calibri"/>
          <w:sz w:val="24"/>
          <w:szCs w:val="24"/>
        </w:rPr>
        <w:t xml:space="preserve"> staining </w:t>
      </w:r>
      <w:r w:rsidR="002B19D1">
        <w:rPr>
          <w:rFonts w:ascii="Calibri" w:hAnsi="Calibri" w:cs="Calibri"/>
          <w:sz w:val="24"/>
          <w:szCs w:val="24"/>
        </w:rPr>
        <w:t xml:space="preserve">because </w:t>
      </w:r>
      <w:r w:rsidRPr="00C82009">
        <w:rPr>
          <w:rFonts w:ascii="Calibri" w:hAnsi="Calibri" w:cs="Calibri"/>
          <w:sz w:val="24"/>
          <w:szCs w:val="24"/>
        </w:rPr>
        <w:t xml:space="preserve">the neurons labeled in the </w:t>
      </w:r>
      <w:r w:rsidR="002B19D1">
        <w:rPr>
          <w:rFonts w:ascii="Calibri" w:hAnsi="Calibri" w:cs="Calibri"/>
          <w:sz w:val="24"/>
          <w:szCs w:val="24"/>
        </w:rPr>
        <w:t xml:space="preserve">saccular </w:t>
      </w:r>
      <w:r w:rsidRPr="00C82009">
        <w:rPr>
          <w:rFonts w:ascii="Calibri" w:hAnsi="Calibri" w:cs="Calibri"/>
          <w:sz w:val="24"/>
          <w:szCs w:val="24"/>
        </w:rPr>
        <w:t>sensory epithelium</w:t>
      </w:r>
      <w:r w:rsidR="002B19D1">
        <w:rPr>
          <w:rFonts w:ascii="Calibri" w:hAnsi="Calibri" w:cs="Calibri"/>
          <w:sz w:val="24"/>
          <w:szCs w:val="24"/>
        </w:rPr>
        <w:t xml:space="preserve"> lie directly over the ganglion</w:t>
      </w:r>
      <w:r w:rsidRPr="00C82009">
        <w:rPr>
          <w:rFonts w:ascii="Calibri" w:hAnsi="Calibri" w:cs="Calibri"/>
          <w:sz w:val="24"/>
          <w:szCs w:val="24"/>
        </w:rPr>
        <w:t>.</w:t>
      </w:r>
    </w:p>
    <w:p w14:paraId="079B5679" w14:textId="77777777" w:rsidR="006E4797" w:rsidRPr="00C82009" w:rsidRDefault="006E4797" w:rsidP="00444965">
      <w:pPr>
        <w:rPr>
          <w:color w:val="808080"/>
        </w:rPr>
      </w:pPr>
    </w:p>
    <w:p w14:paraId="6D510784" w14:textId="5056762B" w:rsidR="006E4797" w:rsidRPr="00C82009" w:rsidRDefault="008F595A" w:rsidP="00444965">
      <w:pPr>
        <w:rPr>
          <w:color w:val="808080"/>
        </w:rPr>
      </w:pPr>
      <w:r w:rsidRPr="00C82009">
        <w:rPr>
          <w:b/>
        </w:rPr>
        <w:t>FIGURE LEGENDS:</w:t>
      </w:r>
    </w:p>
    <w:p w14:paraId="68492823" w14:textId="6E51ABA3" w:rsidR="00277FC7" w:rsidRPr="00C82009" w:rsidRDefault="008F595A" w:rsidP="00444965">
      <w:pPr>
        <w:rPr>
          <w:noProof/>
        </w:rPr>
      </w:pPr>
      <w:r w:rsidRPr="00C82009">
        <w:rPr>
          <w:b/>
          <w:bCs/>
          <w:noProof/>
        </w:rPr>
        <w:t>Figure 1. Whole</w:t>
      </w:r>
      <w:r w:rsidR="00C55C21" w:rsidRPr="00C82009">
        <w:rPr>
          <w:b/>
          <w:bCs/>
          <w:noProof/>
        </w:rPr>
        <w:t>-</w:t>
      </w:r>
      <w:r w:rsidRPr="00C82009">
        <w:rPr>
          <w:b/>
          <w:bCs/>
          <w:noProof/>
        </w:rPr>
        <w:t>mount dissection of the vestibular complex.</w:t>
      </w:r>
      <w:r w:rsidRPr="00C82009">
        <w:rPr>
          <w:noProof/>
        </w:rPr>
        <w:t xml:space="preserve"> Light microscopy image of the dissected tissue with arrows labeling the </w:t>
      </w:r>
      <w:r w:rsidR="008D678D">
        <w:rPr>
          <w:noProof/>
        </w:rPr>
        <w:t>structures</w:t>
      </w:r>
      <w:r w:rsidRPr="00C82009">
        <w:rPr>
          <w:noProof/>
        </w:rPr>
        <w:t xml:space="preserve">. </w:t>
      </w:r>
      <w:r w:rsidR="003643B1">
        <w:rPr>
          <w:noProof/>
        </w:rPr>
        <w:t>(</w:t>
      </w:r>
      <w:r w:rsidRPr="00FD6BB1">
        <w:rPr>
          <w:b/>
          <w:bCs/>
          <w:noProof/>
        </w:rPr>
        <w:t>A</w:t>
      </w:r>
      <w:r w:rsidR="003643B1">
        <w:rPr>
          <w:noProof/>
        </w:rPr>
        <w:t>)</w:t>
      </w:r>
      <w:r w:rsidRPr="00C82009">
        <w:rPr>
          <w:noProof/>
        </w:rPr>
        <w:t xml:space="preserve"> Utricular sensory epithelium facing up. </w:t>
      </w:r>
      <w:r w:rsidR="0077478A">
        <w:rPr>
          <w:noProof/>
        </w:rPr>
        <w:t>(</w:t>
      </w:r>
      <w:r w:rsidR="0077478A" w:rsidRPr="0077478A">
        <w:rPr>
          <w:b/>
          <w:bCs/>
          <w:noProof/>
        </w:rPr>
        <w:t>B</w:t>
      </w:r>
      <w:r w:rsidR="0077478A">
        <w:rPr>
          <w:noProof/>
        </w:rPr>
        <w:t>)</w:t>
      </w:r>
      <w:r w:rsidRPr="00C82009">
        <w:rPr>
          <w:noProof/>
        </w:rPr>
        <w:t xml:space="preserve"> Utricle sensory </w:t>
      </w:r>
      <w:r w:rsidR="008D678D">
        <w:rPr>
          <w:noProof/>
        </w:rPr>
        <w:t>epithelium</w:t>
      </w:r>
      <w:r w:rsidRPr="00C82009">
        <w:rPr>
          <w:noProof/>
        </w:rPr>
        <w:t xml:space="preserve"> facing down.  </w:t>
      </w:r>
    </w:p>
    <w:p w14:paraId="1DB4D097" w14:textId="77777777" w:rsidR="00277FC7" w:rsidRPr="00C82009" w:rsidRDefault="00277FC7" w:rsidP="00444965">
      <w:pPr>
        <w:rPr>
          <w:noProof/>
        </w:rPr>
      </w:pPr>
    </w:p>
    <w:p w14:paraId="5995B41C" w14:textId="617A2461" w:rsidR="00277FC7" w:rsidRPr="00C82009" w:rsidRDefault="008F595A" w:rsidP="00444965">
      <w:pPr>
        <w:rPr>
          <w:noProof/>
        </w:rPr>
      </w:pPr>
      <w:r w:rsidRPr="00C82009">
        <w:rPr>
          <w:b/>
          <w:bCs/>
          <w:noProof/>
        </w:rPr>
        <w:t xml:space="preserve">Figure 2. Undissected temporal bone with anatomical labels. </w:t>
      </w:r>
      <w:r w:rsidRPr="00C82009">
        <w:rPr>
          <w:noProof/>
        </w:rPr>
        <w:t>Light microscopy image of the intact temporal bone with landmarks and anatomical positions labeled.</w:t>
      </w:r>
      <w:r w:rsidR="0033553B">
        <w:rPr>
          <w:noProof/>
        </w:rPr>
        <w:t xml:space="preserve"> The orientation labels were applied to the temporal bone after its removal from the skull to guide the reader during the dissection procedure. Anterior denotes the anterior </w:t>
      </w:r>
      <w:r w:rsidR="008D678D">
        <w:rPr>
          <w:noProof/>
        </w:rPr>
        <w:t>semicircular</w:t>
      </w:r>
      <w:r w:rsidR="0033553B">
        <w:rPr>
          <w:noProof/>
        </w:rPr>
        <w:t xml:space="preserve"> canal. Posterior denotes the apical tip of the cochlea. </w:t>
      </w:r>
      <w:r w:rsidR="0077478A">
        <w:rPr>
          <w:noProof/>
        </w:rPr>
        <w:t>(</w:t>
      </w:r>
      <w:r w:rsidRPr="0077478A">
        <w:rPr>
          <w:b/>
          <w:bCs/>
          <w:noProof/>
        </w:rPr>
        <w:t>A</w:t>
      </w:r>
      <w:r w:rsidR="0077478A">
        <w:rPr>
          <w:noProof/>
        </w:rPr>
        <w:t>)</w:t>
      </w:r>
      <w:r w:rsidRPr="00C82009">
        <w:rPr>
          <w:noProof/>
        </w:rPr>
        <w:t xml:space="preserve"> Side </w:t>
      </w:r>
      <w:r w:rsidRPr="00FD6BB1">
        <w:rPr>
          <w:noProof/>
        </w:rPr>
        <w:t xml:space="preserve">view; </w:t>
      </w:r>
      <w:r w:rsidR="0077478A" w:rsidRPr="00FD6BB1">
        <w:rPr>
          <w:noProof/>
        </w:rPr>
        <w:t>(</w:t>
      </w:r>
      <w:r w:rsidR="0077478A" w:rsidRPr="00FD6BB1">
        <w:rPr>
          <w:b/>
          <w:bCs/>
          <w:noProof/>
        </w:rPr>
        <w:t>B</w:t>
      </w:r>
      <w:r w:rsidR="0077478A" w:rsidRPr="00FD6BB1">
        <w:rPr>
          <w:noProof/>
        </w:rPr>
        <w:t>)</w:t>
      </w:r>
      <w:r w:rsidRPr="00FD6BB1">
        <w:rPr>
          <w:noProof/>
        </w:rPr>
        <w:t xml:space="preserve"> Top</w:t>
      </w:r>
      <w:r w:rsidRPr="00C82009">
        <w:rPr>
          <w:noProof/>
        </w:rPr>
        <w:t xml:space="preserve"> view.</w:t>
      </w:r>
    </w:p>
    <w:p w14:paraId="3613C0DF" w14:textId="77777777" w:rsidR="00277FC7" w:rsidRPr="00C82009" w:rsidRDefault="00277FC7" w:rsidP="00444965">
      <w:pPr>
        <w:rPr>
          <w:b/>
          <w:bCs/>
          <w:noProof/>
        </w:rPr>
      </w:pPr>
    </w:p>
    <w:p w14:paraId="5F2B7781" w14:textId="5CB9FE8B" w:rsidR="00277FC7" w:rsidRPr="00C82009" w:rsidRDefault="008F595A" w:rsidP="00444965">
      <w:r w:rsidRPr="00C82009">
        <w:rPr>
          <w:b/>
          <w:bCs/>
        </w:rPr>
        <w:t xml:space="preserve">Figure 3. </w:t>
      </w:r>
      <w:r w:rsidR="008D678D">
        <w:rPr>
          <w:b/>
          <w:bCs/>
        </w:rPr>
        <w:t xml:space="preserve">The vestibular complex </w:t>
      </w:r>
      <w:r w:rsidR="007D18DE">
        <w:rPr>
          <w:b/>
          <w:bCs/>
        </w:rPr>
        <w:t>mounts</w:t>
      </w:r>
      <w:r w:rsidR="001560B1" w:rsidRPr="00C82009">
        <w:rPr>
          <w:b/>
          <w:bCs/>
        </w:rPr>
        <w:t xml:space="preserve"> to visualize the ganglion</w:t>
      </w:r>
      <w:r w:rsidRPr="00C82009">
        <w:t xml:space="preserve">. </w:t>
      </w:r>
      <w:r w:rsidR="00375F97">
        <w:t>(</w:t>
      </w:r>
      <w:r w:rsidR="00375F97" w:rsidRPr="00FD6BB1">
        <w:rPr>
          <w:b/>
          <w:bCs/>
        </w:rPr>
        <w:t>A</w:t>
      </w:r>
      <w:r w:rsidR="00FF0C57">
        <w:rPr>
          <w:b/>
          <w:bCs/>
        </w:rPr>
        <w:t>–</w:t>
      </w:r>
      <w:r w:rsidR="008A5F70">
        <w:rPr>
          <w:b/>
          <w:bCs/>
        </w:rPr>
        <w:t>C</w:t>
      </w:r>
      <w:r w:rsidR="00375F97">
        <w:t xml:space="preserve">) </w:t>
      </w:r>
      <w:r w:rsidRPr="00C82009">
        <w:t>Maximum intensity confocal projection image showing the vestibular complex at low magnification</w:t>
      </w:r>
      <w:r w:rsidR="008D678D">
        <w:t>,</w:t>
      </w:r>
      <w:r w:rsidRPr="00C82009">
        <w:t xml:space="preserve"> with the tissue mounted with the utricle sensory epithelium facing up. </w:t>
      </w:r>
      <w:r w:rsidR="00F302E7">
        <w:t>(</w:t>
      </w:r>
      <w:r w:rsidR="00F302E7" w:rsidRPr="00F302E7">
        <w:rPr>
          <w:b/>
          <w:bCs/>
          <w:color w:val="000000"/>
        </w:rPr>
        <w:t>A</w:t>
      </w:r>
      <w:r w:rsidR="00F302E7" w:rsidRPr="00C104EB">
        <w:rPr>
          <w:color w:val="000000"/>
        </w:rPr>
        <w:t>) Merged channels</w:t>
      </w:r>
      <w:r w:rsidR="00F302E7">
        <w:rPr>
          <w:color w:val="000000"/>
        </w:rPr>
        <w:t xml:space="preserve">. </w:t>
      </w:r>
      <w:r w:rsidRPr="00C82009">
        <w:t xml:space="preserve">Vestibular hair cells were labeled using myosin </w:t>
      </w:r>
      <w:proofErr w:type="spellStart"/>
      <w:r w:rsidRPr="00C82009">
        <w:t>VIIa</w:t>
      </w:r>
      <w:proofErr w:type="spellEnd"/>
      <w:r w:rsidRPr="00C82009">
        <w:t xml:space="preserve"> (red)</w:t>
      </w:r>
      <w:r w:rsidR="00375F97">
        <w:t xml:space="preserve"> (</w:t>
      </w:r>
      <w:r w:rsidR="00375F97" w:rsidRPr="00FD6BB1">
        <w:rPr>
          <w:b/>
          <w:bCs/>
        </w:rPr>
        <w:t>C</w:t>
      </w:r>
      <w:r w:rsidR="00375F97">
        <w:t>)</w:t>
      </w:r>
      <w:r w:rsidR="008D678D">
        <w:t>,</w:t>
      </w:r>
      <w:r w:rsidRPr="00C82009">
        <w:t xml:space="preserve"> and neurons were labeled using </w:t>
      </w:r>
      <w:r w:rsidR="00BD7584" w:rsidRPr="00C104EB">
        <w:rPr>
          <w:color w:val="000000"/>
        </w:rPr>
        <w:t>β-III tubulin</w:t>
      </w:r>
      <w:r w:rsidRPr="00C82009">
        <w:t xml:space="preserve"> (green)</w:t>
      </w:r>
      <w:r w:rsidR="00375F97">
        <w:t xml:space="preserve"> (</w:t>
      </w:r>
      <w:r w:rsidR="00375F97" w:rsidRPr="00FD6BB1">
        <w:rPr>
          <w:b/>
          <w:bCs/>
        </w:rPr>
        <w:t>B</w:t>
      </w:r>
      <w:r w:rsidR="00375F97">
        <w:t>)</w:t>
      </w:r>
      <w:r w:rsidRPr="00C82009">
        <w:t xml:space="preserve">.  *The saccule is at a deeper location because it is tucked under the vestibular ganglion and is not shown in this image to allow </w:t>
      </w:r>
      <w:r w:rsidR="008D678D">
        <w:t xml:space="preserve">a </w:t>
      </w:r>
      <w:r w:rsidRPr="00C82009">
        <w:t>full view of the vestibular ganglion.</w:t>
      </w:r>
      <w:r w:rsidR="00F302E7">
        <w:t xml:space="preserve"> </w:t>
      </w:r>
      <w:r w:rsidR="00F302E7" w:rsidRPr="00C104EB">
        <w:rPr>
          <w:color w:val="000000"/>
        </w:rPr>
        <w:t>SVG</w:t>
      </w:r>
      <w:r w:rsidR="00F302E7">
        <w:rPr>
          <w:color w:val="000000"/>
        </w:rPr>
        <w:t xml:space="preserve">: </w:t>
      </w:r>
      <w:r w:rsidR="00F302E7" w:rsidRPr="00F302E7">
        <w:rPr>
          <w:color w:val="000000"/>
        </w:rPr>
        <w:t>Scalable Vector Graphics</w:t>
      </w:r>
      <w:r w:rsidR="00F302E7" w:rsidRPr="00C104EB">
        <w:rPr>
          <w:color w:val="000000"/>
        </w:rPr>
        <w:t xml:space="preserve"> IVG</w:t>
      </w:r>
      <w:r w:rsidR="00F302E7">
        <w:rPr>
          <w:color w:val="000000"/>
        </w:rPr>
        <w:t xml:space="preserve">: </w:t>
      </w:r>
      <w:r w:rsidR="00F302E7" w:rsidRPr="00F302E7">
        <w:rPr>
          <w:color w:val="000000"/>
        </w:rPr>
        <w:t>in vitro gametogenesis</w:t>
      </w:r>
      <w:r w:rsidR="00F302E7" w:rsidRPr="00C104EB">
        <w:rPr>
          <w:color w:val="000000"/>
        </w:rPr>
        <w:t xml:space="preserve"> </w:t>
      </w:r>
      <w:r w:rsidRPr="00C82009">
        <w:t xml:space="preserve"> Scale bar: 200 </w:t>
      </w:r>
      <w:r w:rsidR="00B51FB9" w:rsidRPr="00C104EB">
        <w:rPr>
          <w:color w:val="000000"/>
        </w:rPr>
        <w:t>µ</w:t>
      </w:r>
      <w:r w:rsidRPr="00C82009">
        <w:t>m</w:t>
      </w:r>
      <w:r w:rsidR="008D32FB" w:rsidRPr="00C82009">
        <w:t xml:space="preserve"> applies to all panels</w:t>
      </w:r>
      <w:r w:rsidRPr="00C82009">
        <w:t>.</w:t>
      </w:r>
    </w:p>
    <w:p w14:paraId="20FD2BE6" w14:textId="357CAC33" w:rsidR="00277FC7" w:rsidRPr="00C82009" w:rsidRDefault="00277FC7" w:rsidP="00444965"/>
    <w:p w14:paraId="0AE6FDF7" w14:textId="2E254D27" w:rsidR="001560B1" w:rsidRPr="00C82009" w:rsidRDefault="008F595A" w:rsidP="00444965">
      <w:r w:rsidRPr="00C82009">
        <w:rPr>
          <w:b/>
          <w:bCs/>
        </w:rPr>
        <w:t>Figure 4. Vestibular complex as a whole-mount to visualize neuronal projections to vestibular organs</w:t>
      </w:r>
      <w:r w:rsidRPr="00C82009">
        <w:t>. Maximum intensity confocal projection image showing the vestibular complex at low magnification</w:t>
      </w:r>
      <w:r w:rsidR="008D678D">
        <w:t>,</w:t>
      </w:r>
      <w:r w:rsidRPr="00C82009">
        <w:t xml:space="preserve"> with the tissue mounted with the utricular sensory epithelium facing down. The utricle, anterior and lateral/horizontal cristae can be seen</w:t>
      </w:r>
      <w:r w:rsidR="008D678D">
        <w:t>, with neuronal connections to the superior vestibular ganglion (SVG)</w:t>
      </w:r>
      <w:r w:rsidR="00FF0C57">
        <w:t xml:space="preserve"> with</w:t>
      </w:r>
      <w:r w:rsidR="008D678D">
        <w:t xml:space="preserve"> neurons labeled with</w:t>
      </w:r>
      <w:r w:rsidRPr="00C82009">
        <w:t xml:space="preserve"> </w:t>
      </w:r>
      <w:r w:rsidR="00BD7584" w:rsidRPr="00C104EB">
        <w:rPr>
          <w:color w:val="000000"/>
        </w:rPr>
        <w:t>β-III tubulin</w:t>
      </w:r>
      <w:r w:rsidR="00BD7584">
        <w:rPr>
          <w:color w:val="000000"/>
        </w:rPr>
        <w:t xml:space="preserve"> </w:t>
      </w:r>
      <w:r w:rsidRPr="00C82009">
        <w:t xml:space="preserve">(green). The saccule and posterior crista have neuronal connections to the inferior vestibular ganglion (IVG). </w:t>
      </w:r>
      <w:r w:rsidR="00EA2493">
        <w:t xml:space="preserve">Each of these organs </w:t>
      </w:r>
      <w:r w:rsidR="008D678D">
        <w:t>was</w:t>
      </w:r>
      <w:r w:rsidR="00EA2493">
        <w:t xml:space="preserve"> identified </w:t>
      </w:r>
      <w:r w:rsidR="008D678D">
        <w:t>by its unique innervation pattern</w:t>
      </w:r>
      <w:r w:rsidR="00EA2493">
        <w:t xml:space="preserve"> and location relative to the SVG and IVG. </w:t>
      </w:r>
      <w:r w:rsidRPr="00C82009">
        <w:t xml:space="preserve">Scale bar: 200 </w:t>
      </w:r>
      <w:r w:rsidR="00B51FB9" w:rsidRPr="00C104EB">
        <w:rPr>
          <w:color w:val="000000"/>
        </w:rPr>
        <w:t>µ</w:t>
      </w:r>
      <w:r w:rsidRPr="00C82009">
        <w:t>m.</w:t>
      </w:r>
    </w:p>
    <w:p w14:paraId="3F44E64A" w14:textId="77777777" w:rsidR="001560B1" w:rsidRPr="00C82009" w:rsidRDefault="001560B1" w:rsidP="00444965">
      <w:pPr>
        <w:rPr>
          <w:b/>
          <w:bCs/>
        </w:rPr>
      </w:pPr>
    </w:p>
    <w:p w14:paraId="219467D5" w14:textId="6981CD0B" w:rsidR="00277FC7" w:rsidRPr="00C82009" w:rsidRDefault="008F595A" w:rsidP="00444965">
      <w:r w:rsidRPr="00C82009">
        <w:rPr>
          <w:b/>
          <w:bCs/>
        </w:rPr>
        <w:t xml:space="preserve">Figure </w:t>
      </w:r>
      <w:r w:rsidR="001560B1" w:rsidRPr="00C82009">
        <w:rPr>
          <w:b/>
          <w:bCs/>
        </w:rPr>
        <w:t>5</w:t>
      </w:r>
      <w:r w:rsidRPr="00C82009">
        <w:rPr>
          <w:b/>
          <w:bCs/>
        </w:rPr>
        <w:t>. Counting method for vestibular ganglion neurons and image of neuronal projections.</w:t>
      </w:r>
      <w:r w:rsidRPr="00C82009">
        <w:t xml:space="preserve"> </w:t>
      </w:r>
      <w:r w:rsidR="006439A8" w:rsidRPr="00C82009">
        <w:t>(</w:t>
      </w:r>
      <w:r w:rsidRPr="00C82009">
        <w:rPr>
          <w:b/>
          <w:bCs/>
        </w:rPr>
        <w:t>A</w:t>
      </w:r>
      <w:r w:rsidR="006439A8" w:rsidRPr="00C82009">
        <w:t>)</w:t>
      </w:r>
      <w:r w:rsidRPr="00C82009">
        <w:t xml:space="preserve"> Confocal z-slice image showing the superior vestibular ganglion neurons at 40x magnification (labeled with </w:t>
      </w:r>
      <w:r w:rsidR="00BD7584" w:rsidRPr="00C104EB">
        <w:rPr>
          <w:color w:val="000000"/>
        </w:rPr>
        <w:t>β-III tubulin</w:t>
      </w:r>
      <w:r w:rsidRPr="00C82009">
        <w:t xml:space="preserve"> in green). Neurons can be counted using the events tool in the confocal imaging software (red X) within a 50 </w:t>
      </w:r>
      <w:r w:rsidR="00B51FB9" w:rsidRPr="00C104EB">
        <w:rPr>
          <w:color w:val="000000"/>
        </w:rPr>
        <w:t>µ</w:t>
      </w:r>
      <w:r w:rsidRPr="00C82009">
        <w:t xml:space="preserve">m </w:t>
      </w:r>
      <w:r w:rsidR="00B51FB9" w:rsidRPr="00C104EB">
        <w:rPr>
          <w:color w:val="000000"/>
        </w:rPr>
        <w:t>×</w:t>
      </w:r>
      <w:r w:rsidRPr="00C82009">
        <w:t xml:space="preserve"> 50 </w:t>
      </w:r>
      <w:r w:rsidR="00B51FB9" w:rsidRPr="00C104EB">
        <w:rPr>
          <w:color w:val="000000"/>
        </w:rPr>
        <w:t>µ</w:t>
      </w:r>
      <w:r w:rsidRPr="00C82009">
        <w:t>m area (white box) in 40, 1</w:t>
      </w:r>
      <w:r w:rsidR="00965CCC" w:rsidRPr="00C82009">
        <w:t xml:space="preserve"> </w:t>
      </w:r>
      <w:r w:rsidR="00B51FB9" w:rsidRPr="00C104EB">
        <w:rPr>
          <w:color w:val="000000"/>
        </w:rPr>
        <w:t>µ</w:t>
      </w:r>
      <w:r w:rsidRPr="00C82009">
        <w:t xml:space="preserve">m slices (40 </w:t>
      </w:r>
      <w:r w:rsidR="00B51FB9" w:rsidRPr="00C104EB">
        <w:rPr>
          <w:color w:val="000000"/>
        </w:rPr>
        <w:t>µ</w:t>
      </w:r>
      <w:r w:rsidRPr="00C82009">
        <w:t>m depth)</w:t>
      </w:r>
      <w:r w:rsidR="008D678D">
        <w:t>, giving a three-dimensional</w:t>
      </w:r>
      <w:r w:rsidRPr="00C82009">
        <w:t xml:space="preserve"> cube sample. </w:t>
      </w:r>
      <w:r w:rsidR="006439A8" w:rsidRPr="00C82009">
        <w:t>(</w:t>
      </w:r>
      <w:r w:rsidRPr="00C82009">
        <w:rPr>
          <w:b/>
          <w:bCs/>
        </w:rPr>
        <w:t>B</w:t>
      </w:r>
      <w:r w:rsidR="006439A8" w:rsidRPr="00C82009">
        <w:t>)</w:t>
      </w:r>
      <w:r w:rsidRPr="00C82009">
        <w:t xml:space="preserve"> Maximum intensity confocal projection image showing neuronal projections to the posterior crista at 40x magnification (labeled with </w:t>
      </w:r>
      <w:r w:rsidR="00BD7584" w:rsidRPr="00C104EB">
        <w:rPr>
          <w:color w:val="000000"/>
        </w:rPr>
        <w:t>β-</w:t>
      </w:r>
      <w:r w:rsidR="00BD7584" w:rsidRPr="00C104EB">
        <w:rPr>
          <w:color w:val="000000"/>
        </w:rPr>
        <w:lastRenderedPageBreak/>
        <w:t>III tubulin</w:t>
      </w:r>
      <w:r w:rsidRPr="00C82009">
        <w:t xml:space="preserve"> in green). Scale bar: A, 20 </w:t>
      </w:r>
      <w:r w:rsidR="00B51FB9" w:rsidRPr="00C104EB">
        <w:rPr>
          <w:color w:val="000000"/>
        </w:rPr>
        <w:t>µ</w:t>
      </w:r>
      <w:r w:rsidRPr="00C82009">
        <w:t xml:space="preserve">m; B, 50 </w:t>
      </w:r>
      <w:r w:rsidR="00B51FB9" w:rsidRPr="00C104EB">
        <w:rPr>
          <w:color w:val="000000"/>
        </w:rPr>
        <w:t>µ</w:t>
      </w:r>
      <w:r w:rsidRPr="00C82009">
        <w:t>m</w:t>
      </w:r>
      <w:r w:rsidR="00444965">
        <w:t>.</w:t>
      </w:r>
    </w:p>
    <w:p w14:paraId="629F297A" w14:textId="77777777" w:rsidR="00277FC7" w:rsidRPr="00C82009" w:rsidRDefault="00277FC7" w:rsidP="00444965">
      <w:pPr>
        <w:rPr>
          <w:noProof/>
        </w:rPr>
      </w:pPr>
    </w:p>
    <w:p w14:paraId="5560134B" w14:textId="01CEFAEF" w:rsidR="00277FC7" w:rsidRPr="00C82009" w:rsidRDefault="008F595A" w:rsidP="00444965">
      <w:r w:rsidRPr="00C82009">
        <w:rPr>
          <w:b/>
          <w:bCs/>
        </w:rPr>
        <w:t xml:space="preserve">Figure </w:t>
      </w:r>
      <w:r w:rsidR="001560B1" w:rsidRPr="00C82009">
        <w:rPr>
          <w:b/>
          <w:bCs/>
        </w:rPr>
        <w:t>6</w:t>
      </w:r>
      <w:r w:rsidRPr="00C82009">
        <w:rPr>
          <w:b/>
          <w:bCs/>
        </w:rPr>
        <w:t>.</w:t>
      </w:r>
      <w:r w:rsidRPr="00C82009">
        <w:t xml:space="preserve"> </w:t>
      </w:r>
      <w:r w:rsidRPr="00C82009">
        <w:rPr>
          <w:b/>
          <w:bCs/>
        </w:rPr>
        <w:t>Common error during dissection.</w:t>
      </w:r>
      <w:r w:rsidRPr="00C82009">
        <w:t xml:space="preserve"> </w:t>
      </w:r>
      <w:r w:rsidR="008A5F70">
        <w:t>(</w:t>
      </w:r>
      <w:r w:rsidRPr="00FD6BB1">
        <w:rPr>
          <w:b/>
          <w:bCs/>
        </w:rPr>
        <w:t>A-</w:t>
      </w:r>
      <w:r w:rsidR="008A5F70" w:rsidRPr="00FD6BB1">
        <w:rPr>
          <w:b/>
          <w:bCs/>
        </w:rPr>
        <w:t>C</w:t>
      </w:r>
      <w:r w:rsidR="008A5F70">
        <w:t>)</w:t>
      </w:r>
      <w:r w:rsidRPr="00C82009">
        <w:t xml:space="preserve"> Maximum intensity confocal projection image showing the vestibular complex</w:t>
      </w:r>
      <w:r w:rsidR="008D678D">
        <w:t>, where part of the inferior vestibular ganglion (IVG), as well as the posterior crista,</w:t>
      </w:r>
      <w:r w:rsidRPr="00C82009">
        <w:t xml:space="preserve"> </w:t>
      </w:r>
      <w:r w:rsidR="007D18DE">
        <w:t>was</w:t>
      </w:r>
      <w:r w:rsidRPr="00C82009">
        <w:t xml:space="preserve"> torn off during dissection (circled). Vestibular hair cells were labeled using myosin </w:t>
      </w:r>
      <w:proofErr w:type="spellStart"/>
      <w:r w:rsidRPr="00C82009">
        <w:t>VIIa</w:t>
      </w:r>
      <w:proofErr w:type="spellEnd"/>
      <w:r w:rsidRPr="00C82009">
        <w:t xml:space="preserve"> (red)</w:t>
      </w:r>
      <w:r w:rsidR="008A5F70">
        <w:t xml:space="preserve"> (</w:t>
      </w:r>
      <w:r w:rsidR="008A5F70" w:rsidRPr="00FD6BB1">
        <w:rPr>
          <w:b/>
          <w:bCs/>
        </w:rPr>
        <w:t>C</w:t>
      </w:r>
      <w:r w:rsidR="008A5F70">
        <w:t>)</w:t>
      </w:r>
      <w:r w:rsidR="008D678D">
        <w:t>,</w:t>
      </w:r>
      <w:r w:rsidRPr="00C82009">
        <w:t xml:space="preserve"> and neurons were labeled using </w:t>
      </w:r>
      <w:r w:rsidR="00BD7584" w:rsidRPr="00C104EB">
        <w:rPr>
          <w:color w:val="000000"/>
        </w:rPr>
        <w:t>β-III tubulin</w:t>
      </w:r>
      <w:r w:rsidRPr="00C82009">
        <w:t xml:space="preserve"> (green)</w:t>
      </w:r>
      <w:r w:rsidR="008A5F70">
        <w:t xml:space="preserve"> (</w:t>
      </w:r>
      <w:r w:rsidR="008A5F70" w:rsidRPr="00FD6BB1">
        <w:rPr>
          <w:b/>
          <w:bCs/>
        </w:rPr>
        <w:t>B</w:t>
      </w:r>
      <w:r w:rsidR="008A5F70">
        <w:t>)</w:t>
      </w:r>
      <w:r w:rsidRPr="00C82009">
        <w:t>. Superior vestibular ganglion (SVG). Scale bar</w:t>
      </w:r>
      <w:r w:rsidR="00B502EF">
        <w:t>:</w:t>
      </w:r>
      <w:r w:rsidRPr="00C82009">
        <w:t xml:space="preserve"> 200 </w:t>
      </w:r>
      <w:r w:rsidR="00B51FB9" w:rsidRPr="00C104EB">
        <w:rPr>
          <w:color w:val="000000"/>
        </w:rPr>
        <w:t>µ</w:t>
      </w:r>
      <w:r w:rsidRPr="00C82009">
        <w:t xml:space="preserve">m. </w:t>
      </w:r>
    </w:p>
    <w:p w14:paraId="205EEB62" w14:textId="77777777" w:rsidR="00277FC7" w:rsidRPr="00C82009" w:rsidRDefault="00277FC7" w:rsidP="00444965"/>
    <w:p w14:paraId="61D117EF" w14:textId="272F0689" w:rsidR="00277FC7" w:rsidRPr="00C82009" w:rsidRDefault="008F595A" w:rsidP="00444965">
      <w:r w:rsidRPr="00C82009">
        <w:rPr>
          <w:b/>
          <w:bCs/>
        </w:rPr>
        <w:t xml:space="preserve">Figure </w:t>
      </w:r>
      <w:r w:rsidR="001560B1" w:rsidRPr="00C82009">
        <w:rPr>
          <w:b/>
          <w:bCs/>
        </w:rPr>
        <w:t>7</w:t>
      </w:r>
      <w:r w:rsidRPr="00C82009">
        <w:rPr>
          <w:b/>
          <w:bCs/>
        </w:rPr>
        <w:t>. Common error during mounting</w:t>
      </w:r>
      <w:r w:rsidRPr="00C82009">
        <w:t xml:space="preserve">. </w:t>
      </w:r>
      <w:r w:rsidR="008A5F70">
        <w:t>(</w:t>
      </w:r>
      <w:r w:rsidRPr="00FD6BB1">
        <w:rPr>
          <w:b/>
          <w:bCs/>
        </w:rPr>
        <w:t>A-</w:t>
      </w:r>
      <w:r w:rsidR="008A5F70" w:rsidRPr="00FD6BB1">
        <w:rPr>
          <w:b/>
          <w:bCs/>
        </w:rPr>
        <w:t>C</w:t>
      </w:r>
      <w:r w:rsidR="008A5F70">
        <w:t>)</w:t>
      </w:r>
      <w:r w:rsidRPr="00C82009">
        <w:t xml:space="preserve"> Maximum intensity confocal projection image showing the vestibular complex</w:t>
      </w:r>
      <w:r w:rsidR="008D678D">
        <w:t xml:space="preserve">, where part of the </w:t>
      </w:r>
      <w:r w:rsidRPr="00C82009">
        <w:t xml:space="preserve">saccule has folded over and covered the vestibular ganglion during mounting (white circle). Vestibular hair cells were labeled using myosin </w:t>
      </w:r>
      <w:proofErr w:type="spellStart"/>
      <w:r w:rsidRPr="00C82009">
        <w:t>VIIa</w:t>
      </w:r>
      <w:proofErr w:type="spellEnd"/>
      <w:r w:rsidRPr="00C82009">
        <w:t xml:space="preserve"> (red) </w:t>
      </w:r>
      <w:r w:rsidR="008A5F70">
        <w:t>(</w:t>
      </w:r>
      <w:r w:rsidR="008A5F70" w:rsidRPr="00FD6BB1">
        <w:rPr>
          <w:b/>
          <w:bCs/>
        </w:rPr>
        <w:t>C</w:t>
      </w:r>
      <w:r w:rsidR="008A5F70">
        <w:t>)</w:t>
      </w:r>
      <w:r w:rsidR="008D678D">
        <w:t>,</w:t>
      </w:r>
      <w:r w:rsidR="008A5F70">
        <w:t xml:space="preserve"> </w:t>
      </w:r>
      <w:r w:rsidRPr="00C82009">
        <w:t xml:space="preserve">and neurons were labeled using </w:t>
      </w:r>
      <w:r w:rsidR="00BD7584" w:rsidRPr="00C104EB">
        <w:rPr>
          <w:color w:val="000000"/>
        </w:rPr>
        <w:t>β-III tubulin</w:t>
      </w:r>
      <w:r w:rsidRPr="00C82009">
        <w:t xml:space="preserve"> (green)</w:t>
      </w:r>
      <w:r w:rsidR="008A5F70">
        <w:t xml:space="preserve"> (</w:t>
      </w:r>
      <w:r w:rsidR="008A5F70" w:rsidRPr="00FD6BB1">
        <w:rPr>
          <w:b/>
          <w:bCs/>
        </w:rPr>
        <w:t>B</w:t>
      </w:r>
      <w:r w:rsidR="008A5F70">
        <w:t>)</w:t>
      </w:r>
      <w:r w:rsidRPr="00C82009">
        <w:t>. Superior vestibular ganglion (SVG); inferior vestibular ganglion (IVG).   Scale bar</w:t>
      </w:r>
      <w:r w:rsidR="00B502EF">
        <w:t>:</w:t>
      </w:r>
      <w:r w:rsidRPr="00C82009">
        <w:t xml:space="preserve"> 200 </w:t>
      </w:r>
      <w:r w:rsidR="00B51FB9" w:rsidRPr="00C104EB">
        <w:rPr>
          <w:color w:val="000000"/>
        </w:rPr>
        <w:t>µ</w:t>
      </w:r>
      <w:r w:rsidRPr="00C82009">
        <w:t>m</w:t>
      </w:r>
      <w:r w:rsidR="00FF0C57">
        <w:t>.</w:t>
      </w:r>
    </w:p>
    <w:p w14:paraId="32EAFD7D" w14:textId="77777777" w:rsidR="006E4797" w:rsidRPr="00C82009" w:rsidRDefault="006E4797" w:rsidP="00444965">
      <w:pPr>
        <w:rPr>
          <w:color w:val="808080"/>
        </w:rPr>
      </w:pPr>
    </w:p>
    <w:p w14:paraId="7C0B6465" w14:textId="20852EAA" w:rsidR="006E4797" w:rsidRPr="00C82009" w:rsidRDefault="008F595A" w:rsidP="00444965">
      <w:pPr>
        <w:rPr>
          <w:b/>
        </w:rPr>
      </w:pPr>
      <w:r w:rsidRPr="00C82009">
        <w:rPr>
          <w:b/>
        </w:rPr>
        <w:t xml:space="preserve">DISCUSSION: </w:t>
      </w:r>
    </w:p>
    <w:p w14:paraId="02C22B7F" w14:textId="1CF8897C" w:rsidR="00277FC7" w:rsidRPr="00C82009" w:rsidRDefault="008F595A" w:rsidP="00444965">
      <w:r w:rsidRPr="00C82009">
        <w:t xml:space="preserve">There are major gaps in </w:t>
      </w:r>
      <w:r w:rsidR="00153009">
        <w:t>the</w:t>
      </w:r>
      <w:r w:rsidRPr="00C82009">
        <w:t xml:space="preserve"> understanding of vestibular development, damage, and dysfunction, as well as </w:t>
      </w:r>
      <w:r w:rsidR="008D678D">
        <w:t xml:space="preserve">a </w:t>
      </w:r>
      <w:r w:rsidR="00082612" w:rsidRPr="00C82009">
        <w:t xml:space="preserve">few </w:t>
      </w:r>
      <w:r w:rsidRPr="00C82009">
        <w:t>clinical trials addressing vestibular problems</w:t>
      </w:r>
      <w:r w:rsidR="00286C84" w:rsidRPr="00C82009">
        <w:fldChar w:fldCharType="begin" w:fldLock="1"/>
      </w:r>
      <w:r w:rsidR="00FA6DA6" w:rsidRPr="00C82009">
        <w:instrText>ADDIN CSL_CITATION {"citationItems":[{"id":"ITEM-1","itemData":{"DOI":"10.1007/S10162-025-01021-Z","ISSN":"1438-7573","PMID":"41398509","abstract":"Inner ear research has experienced exponential growth for the last fifty years spurring the creation of novel scientific approaches and clinical intervention strategies. Here we utilize data mining of publicly available records (PubMed, NIHReporter, and ClinicalTrials.gov) to assess the rate of inner ear research output quantitatively. We combined this approach with systematic review of published literature to understand the prevalence and monetary costs of seeking treatment for hearing and balance. The data show that the expansive growth period of inner ear research presents a new challenge for scientists and clinicians as auditory research output metrics have begun to significantly outpace vestibular research. There are unique challenges associated with diagnosing and treating patients with vestibular dysfunction that may explain some of the discrepancies in research output. A renewed enthusiasm to investigate the vestibular system may help facilitate broader understanding of the inner ear and has potential to produce improved scientific methods and clinical interventions for patients.","author":[{"dropping-particle":"","family":"Ratzan","given":"Evan M.","non-dropping-particle":"","parse-names":false,"suffix":""},{"dropping-particle":"","family":"Davis","given":"William","non-dropping-particle":"","parse-names":false,"suffix":""},{"dropping-particle":"","family":"Brodsky","given":"Jacob R.","non-dropping-particle":"","parse-names":false,"suffix":""}],"container-title":"Journal of the Association for Research in Otolaryngology : JARO","id":"ITEM-1","issue":"1","issued":{"date-parts":[["2026","2","1"]]},"publisher":"J Assoc Res Otolaryngol","title":"Investigation of Vestibular Dysfunction Requires Renewed Research Enthusiasm","type":"article-journal","volume":"27"},"uris":["http://www.mendeley.com/documents/?uuid=0d516958-4fe6-37c5-9770-1f8c991bf595"]}],"mendeley":{"formattedCitation":"(16)","plainTextFormattedCitation":"(16)","previouslyFormattedCitation":"(15)"},"properties":{"noteIndex":0},"schema":"https://github.com/citation-style-language/schema/raw/master/csl-citation.json"}</w:instrText>
      </w:r>
      <w:r w:rsidR="00286C84" w:rsidRPr="00C82009">
        <w:fldChar w:fldCharType="separate"/>
      </w:r>
      <w:r w:rsidR="00FA6DA6" w:rsidRPr="00C82009">
        <w:rPr>
          <w:noProof/>
          <w:vertAlign w:val="superscript"/>
        </w:rPr>
        <w:t>16</w:t>
      </w:r>
      <w:r w:rsidR="00286C84" w:rsidRPr="00C82009">
        <w:fldChar w:fldCharType="end"/>
      </w:r>
      <w:r w:rsidRPr="00C82009">
        <w:t>. While several groups have extracted vestibular organs as a whole</w:t>
      </w:r>
      <w:r w:rsidR="00C55C21" w:rsidRPr="00C82009">
        <w:t>-</w:t>
      </w:r>
      <w:r w:rsidRPr="00C82009">
        <w:t>mount structure for immunostaining</w:t>
      </w:r>
      <w:r w:rsidR="00286C84" w:rsidRPr="00C82009">
        <w:fldChar w:fldCharType="begin" w:fldLock="1"/>
      </w:r>
      <w:r w:rsidR="00FA6DA6" w:rsidRPr="00C82009">
        <w:instrText xml:space="preserve">ADDIN CSL_CITATION {"citationItems":[{"id":"ITEM-1","itemData":{"DOI":"10.21769/BIOPROTOC.4416","ISSN":"2331-8325","PMID":"35813023","abstract":"The vestibular sensory apparatus contained in the inner ear is a marvelous evolutionary adaptation for sensing movement in 3 dimensions and is essential for an animal’s sense of orientation in space, head movement, and balance. Damage to these systems through injury or disease can lead to vertigo, Meniere’s disease, and other disorders that are profoundly debilitating. One challenge in studying vestibular organs is their location within the boney inner ear and their small size, especially in mice, which have become an advantageous mammalian model. This protocol describes the dissection procedure of the five vestibular organs from the inner ear of adult mice, followed by immunohistochemical labeling of a whole mount preparation using antibodies to label endogenous proteins such as calretinin to label Type I hair cells or to amplify genetically expressed fluorescent proteins for confocal microscopic imaging. Using typical lab equipment and reagents, a patient technician, student, or postdoc can learn to dissect and immunolabel mouse vestibular organs to investigate their structure in health and disease.","author":[{"dropping-particle":"","family":"Balmer","given":"Timothy S.","non-dropping-particle":"","parse-names":false,"suffix":""},{"dropping-particle":"","family":"Trussell","given":"Laurence O.","non-dropping-particle":"","parse-names":false,"suffix":""}],"container-title":"Bio-protocol","id":"ITEM-1","issue":"10","issued":{"date-parts":[["2022","5","20"]]},"publisher":"Bio Protoc","title":"Vestibular Organ Dissection and Whole-Mount Immunolabeling in Mouse","type":"article-journal","volume":"12"},"uris":["http://www.mendeley.com/documents/?uuid=39dbaa2e-aebf-3fbd-b9ab-213d225bb4e6"]},{"id":"ITEM-2","itemData":{"DOI":"10.1152/jn.00831.2007","ISSN":"00223077","abstract":"Hair bundles are critical to mechanotransduction by vestibular hair cells, but quantitative data are lacking on vestibular bundles in mice or other mammals. Here we quantify bundle heights and their variation with macular locus and hair cell type in adult mouse utricular macula. We also determined that macular organization differs from previous reports. The utricle has </w:instrText>
      </w:r>
      <w:r w:rsidR="00FA6DA6" w:rsidRPr="00C82009">
        <w:rPr>
          <w:rFonts w:ascii="Cambria Math" w:hAnsi="Cambria Math" w:cs="Cambria Math"/>
        </w:rPr>
        <w:instrText>∼</w:instrText>
      </w:r>
      <w:r w:rsidR="00FA6DA6" w:rsidRPr="00C82009">
        <w:instrText xml:space="preserve">3,600 hair cells, half on each side of the line of polarity reversal (LPR). A band of low hair cell density corresponds to a band of calretinin-positive calyces, i.e., the striola. The relation between the LPR and the striola differs from previous reports in two ways. First, the LPR lies lateral to the striola instead of bisecting it. Second, the LPR follows the striolar trajectory anteriorly, but posteriorly it veers from the edge of the striola to reach the posterior margin of the macula. Consequently, more utricular bundles are oriented mediolaterally than previously supposed. Three hair cell classes are distinguished in calretinin-stained material: type II hair cells, type I D hair cells contacting calretinin-negative (dimorphic) afferents, and type IC hair cells contacting calretinin-positive (calyceal) afferents. They differ significantly on most bundle measures. Type II bundles have short stereocilia. Type IC bundles have kinocilia and stereocilia of similar heights, i.e., KS ratios (ratio of kinocilium to stereocilia heights) </w:instrText>
      </w:r>
      <w:r w:rsidR="00FA6DA6" w:rsidRPr="00C82009">
        <w:rPr>
          <w:rFonts w:ascii="Cambria Math" w:hAnsi="Cambria Math" w:cs="Cambria Math"/>
        </w:rPr>
        <w:instrText>∼</w:instrText>
      </w:r>
      <w:r w:rsidR="00FA6DA6" w:rsidRPr="00C82009">
        <w:instrText>1, unlike other receptor classes. In contrast to these classspecific differences, bundles show little regional variation except that KS ratios are lowest in the striola. These low KS ratios suggest that bundle stiffness is greater in the striola than in the extrastriola. Copyright © 2008 The American Physiological Society.","author":[{"dropping-particle":"","family":"Li","given":"A.","non-dropping-particle":"","parse-names":false,"suffix":""},{"dropping-particle":"","family":"Xue","given":"J.","non-dropping-particle":"","parse-names":false,"suffix":""},{"dropping-particle":"","family":"Peterson","given":"E. H.","non-dropping-particle":"","parse-names":false,"suffix":""}],"container-title":"Journal of Neurophysiology","id":"ITEM-2","issue":"2","issued":{"date-parts":[["2008","2"]]},"page":"718-733","publisher":"J Neurophysiol","title":"Architecture of the mouse utricle: Macular organization and hair bundle heights","type":"article-journal","volume":"99"},"uris":["http://www.mendeley.com/documents/?uuid=3593e4a0-308d-3783-82f6-8723dec040cd"]},{"id":"ITEM-3","itemData":{"DOI":"10.1523/JNEUROSCI.0521-11.2011","ISSN":"1529-2401","PMID":"21734302","abstract":"Many primary vestibular afferents form large cup-shaped postsynaptic terminals (calyces) that envelope the basolateral surfaces of type I hair cells. The calyceal terminals both respond to glutamate released from ribbon synapses in the type I cells and initiate spikes that propagate to the afferent's central terminals in the brainstem. The combination of synaptic and spike initiation functions in these unique sensory endings distinguishes them from the axonal nodes of central neurons and peripheral nerves, such as the sciatic nerve, which have provided most of our information about nodal specializations.Weshow that rat vestibular calyces express an unusual mix of voltage-gatedNa and K channels and scaffolding, cell adhesion, and extracellular matrix proteins, which may hold the ion channels in place. Protein expression patterns form several microdomains within the calyx membrane: a synaptic domain facing the hair cell, the heminode abutting the first myelinated internode, and one or two intermediate domains. Differences in the expression and localization of proteins between afferent types and zones may contribute to known variations in afferent physiology. © 2011 the authors.","author":[{"dropping-particle":"","family":"Lysakowski","given":"Anna","non-dropping-particle":"","parse-names":false,"suffix":""},{"dropping-particle":"","family":"Gaboyard-Niay","given":"Sophie","non-dropping-particle":"","parse-names":false,"suffix":""},{"dropping-particle":"","family":"Calin-Jageman","given":"Irina","non-dropping-particle":"","parse-names":false,"suffix":""},{"dropping-particle":"","family":"Chatlani","given":"Shilpa","non-dropping-particle":"","parse-names":false,"suffix":""},{"dropping-particle":"","family":"Price","given":"Steven D.","non-dropping-particle":"","parse-names":false,"suffix":""},{"dropping-particle":"","family":"Eatock","given":"Ruth Anne","non-dropping-particle":"","parse-names":false,"suffix":""}],"container-title":"The Journal of neuroscience : the official journal of the Society for Neuroscience","id":"ITEM-3","issue":"27","issued":{"date-parts":[["2011","7","6"]]},"page":"10101-10114","publisher":"J Neurosci","title":"Molecular microdomains in a sensory terminal, the vestibular calyx ending","type":"article-journal","volume":"31"},"uris":["http://www.mendeley.com/documents/?uuid=1c880f8c-0136-333d-b516-ef1ec12fecb9"]},{"id":"ITEM-4","itemData":{"author":[{"dropping-particle":"","family":"Golub","given":"JS","non-dropping-particle":"","parse-names":false,"suffix":""},{"dropping-particle":"","family":"Tong","given":"L","non-dropping-particle":"","parse-names":false,"suffix":""},{"dropping-particle":"","family":"Ngyuen","given":"TB","non-dropping-particle":"","parse-names":false,"suffix":""},{"dropping-particle":"","family":"Hume","given":"CR","non-dropping-particle":"","parse-names":false,"suffix":""},{"dropping-particle":"","family":"Palmiter","given":"Richard D","non-dropping-particle":"","parse-names":false,"suffix":""},{"dropping-particle":"","family":"Rubel","given":"Edwin W.","non-dropping-particle":"","parse-names":false,"suffix":""},{"dropping-particle":"","family":"Stone","given":"Jennifer Susan","non-dropping-particle":"","parse-names":false,"suffix":""}],"container-title":"Journal of Neuroscience","id":"ITEM-4","issue":"43","issued":{"date-parts":[["2012"]]},"page":"15093-15105","title":"Hair cell replacement in adult mouse utricles after targeted ablation of hair cells with diphtheria toxin","type":"article-journal","volume":"32"},"uris":["http://www.mendeley.com/documents/?uuid=e85abe3b-9d54-44a4-be30-5ff5b3309a45"]},{"id":"ITEM-5","itemData":{"DOI":"10.1007/s10162-017-0652-6","ISSN":"14387573","abstract":"Oncomodulin (OCM, aka β-parvalbumin) is an EF-hand calcium binding protein that is expressed in a restricted set of hair cells in the peristriolar region of the mammalian utricle. In the present study, we determined the topologic distribution of OCM among hair cell phenotypes to advance our understanding of the cellular organization of the striola and the relationship of these phenotypes with characteristics of tissue polarity. The distributions of OCM-positive (OCM+) hair cells were quantified in utricles of mature C57Bl/6 mice. Immunohistochemistry was conducted using antibodies to OCM, calretinin, and β3-tubulin. Fluorophore-conjugated phalloidin was used to label hair cell stereocilia, which provided the basis for determining hair cell counts and morphologic polarizations. We found OCM expression in striolar types I and II hair cells, though the distributions were dissimilar to the native striolar type I and II distributions, favoring type I hair cells. The distribution of OCM immunoreactivity among striolar type I hair cells also reflected nonrandom distribution among type I c and I d phenotypes (i.e., those receiving calretinin-positive and calretinin-negative calyces, respectively). However, many OCM+ hair cells were found lateral to the striola, and within the epithelial region encompassing OCM+ hair cells, the distributions of OCM+ types I c and I d hair cells were similar to the native distributions of I c and I d in this region. Summarily, these data provide a quantitative perspective supporting the existence of different underlying factors driving the topologic expression of OCM in hair cells than those responsible for tissue polarity characteristics associated within the utricular striola, including calretinin expression in afferent calyces.","author":[{"dropping-particle":"","family":"Hoffman","given":"Larry F.","non-dropping-particle":"","parse-names":false,"suffix":""},{"dropping-particle":"","family":"Choy","given":"Kristel R.","non-dropping-particle":"","parse-names":false,"suffix":""},{"dropping-particle":"","family":"Sultemeier","given":"David R.","non-dropping-particle":"","parse-names":false,"suffix":""},{"dropping-particle":"","family":"Simmons","given":"Dwayne D.","non-dropping-particle":"","parse-names":false,"suffix":""}],"container-title":"Journal of the Association for Research in Otolaryngology","id":"ITEM-5","issue":"1","issued":{"date-parts":[["2018","2","1"]]},"page":"33-51","title":"Oncomodulin Expression Reveals New Insights into the Cellular Organization of the Murine Utricle Striola","type":"article-journal","volume":"19"},"uris":["http://www.mendeley.com/documents/?uuid=4443bafc-9e37-31ff-88be-2726cf757495"]}],"mendeley":{"formattedCitation":"(10–14)","plainTextFormattedCitation":"(10–14)","previouslyFormattedCitation":"(9–13)"},"properties":{"noteIndex":0},"schema":"https://github.com/citation-style-language/schema/raw/master/csl-citation.json"}</w:instrText>
      </w:r>
      <w:r w:rsidR="00286C84" w:rsidRPr="00C82009">
        <w:fldChar w:fldCharType="separate"/>
      </w:r>
      <w:r w:rsidR="00FA6DA6" w:rsidRPr="00C82009">
        <w:rPr>
          <w:noProof/>
          <w:vertAlign w:val="superscript"/>
        </w:rPr>
        <w:t>10–14</w:t>
      </w:r>
      <w:r w:rsidR="00286C84" w:rsidRPr="00C82009">
        <w:fldChar w:fldCharType="end"/>
      </w:r>
      <w:r w:rsidR="00FF0C57">
        <w:t xml:space="preserve">. </w:t>
      </w:r>
      <w:r w:rsidR="008D678D">
        <w:t>These</w:t>
      </w:r>
      <w:r w:rsidRPr="00C82009">
        <w:t xml:space="preserve"> methods only preserved the sensory epithelia. Here</w:t>
      </w:r>
      <w:r w:rsidR="008D678D">
        <w:t>,</w:t>
      </w:r>
      <w:r w:rsidRPr="00C82009">
        <w:t xml:space="preserve"> we present a new dissection method using </w:t>
      </w:r>
      <w:r w:rsidR="00544E96" w:rsidRPr="00C82009">
        <w:t xml:space="preserve">juvenile or </w:t>
      </w:r>
      <w:r w:rsidRPr="00C82009">
        <w:t xml:space="preserve">adult mice that includes the vestibular ganglion attached to the </w:t>
      </w:r>
      <w:r w:rsidR="00082612" w:rsidRPr="00C82009">
        <w:t>five</w:t>
      </w:r>
      <w:r w:rsidRPr="00C82009">
        <w:t xml:space="preserve"> vestibular organs. Bernd Fritzsch and colleagues have used a similar method with embryonic or neonatal samples</w:t>
      </w:r>
      <w:r w:rsidR="00286C84" w:rsidRPr="00C82009">
        <w:fldChar w:fldCharType="begin" w:fldLock="1"/>
      </w:r>
      <w:r w:rsidR="00FA6DA6" w:rsidRPr="00C82009">
        <w:instrText>ADDIN CSL_CITATION {"citationItems":[{"id":"ITEM-1","itemData":{"DOI":"10.1016/S0361-9230(03)00054-6","ISSN":"03619230","PMID":"12787869","abstract":"In contrast to most other sensory systems, hardly anything is known about the neuroanatomical development of central projections of primary vestibular neurons and how their second order target neurons develop. Recent data suggest that afferent projections may develop not unlike other sensory systems, forming first the overall projection by molecular means followed by an as yet unspecified phase of activity mediated refinement. The latter aspect has not been tested critically and most molecules that guide the initial projection are unknown. The molecular and topological origin of the vestibular and cochlear nucleus neurons is also only partially understood. Auditory and vestibular nuclei form from several rhombomeres and a given rhombomere can contribute to two or more auditory or vestibular nuclei. Rhombomere compartments develop as functional subdivisions from a single column that extends from the hindbrain to the spinal cord. Suggestions are provided for the molecular origin of these columns but data on specific mutants testing these proposals are not yet available. Overall, the functional significance of both overlapping and segregated projections are not yet fully experimentally explored in mammals. Such lack of details of the adult organization compromises future developmental analysis. © 2003 Published by Elsevier Science Inc.","author":[{"dropping-particle":"","family":"Maklad","given":"Adel","non-dropping-particle":"","parse-names":false,"suffix":""},{"dropping-particle":"","family":"Fritzsch","given":"Bernd","non-dropping-particle":"","parse-names":false,"suffix":""}],"container-title":"Brain Research Bulletin","id":"ITEM-1","issue":"5-6","issued":{"date-parts":[["2003","6","15"]]},"page":"497-510","publisher":"Elsevier Inc.","title":"Development of vestibular afferent projections into the hindbrain and their central targets","type":"article-journal","volume":"60"},"uris":["http://www.mendeley.com/documents/?uuid=cb87062e-9fff-3f00-a21a-fb70c9174f7b"]}],"mendeley":{"formattedCitation":"(5)","plainTextFormattedCitation":"(5)","previouslyFormattedCitation":"(4)"},"properties":{"noteIndex":0},"schema":"https://github.com/citation-style-language/schema/raw/master/csl-citation.json"}</w:instrText>
      </w:r>
      <w:r w:rsidR="00286C84" w:rsidRPr="00C82009">
        <w:fldChar w:fldCharType="separate"/>
      </w:r>
      <w:r w:rsidR="00FA6DA6" w:rsidRPr="00C82009">
        <w:rPr>
          <w:noProof/>
          <w:vertAlign w:val="superscript"/>
        </w:rPr>
        <w:t>5</w:t>
      </w:r>
      <w:r w:rsidR="00286C84" w:rsidRPr="00C82009">
        <w:fldChar w:fldCharType="end"/>
      </w:r>
      <w:r w:rsidRPr="00C82009">
        <w:t xml:space="preserve">. The method presented here will be a useful tool </w:t>
      </w:r>
      <w:r w:rsidR="007D18DE">
        <w:t>for increasing</w:t>
      </w:r>
      <w:r w:rsidRPr="00C82009">
        <w:t xml:space="preserve"> knowledge of vestibular innervation and the </w:t>
      </w:r>
      <w:r w:rsidR="00286C84" w:rsidRPr="00C82009">
        <w:t xml:space="preserve">vestibular </w:t>
      </w:r>
      <w:r w:rsidRPr="00C82009">
        <w:t xml:space="preserve">ganglion.  </w:t>
      </w:r>
    </w:p>
    <w:p w14:paraId="31CB0768" w14:textId="77777777" w:rsidR="00277FC7" w:rsidRPr="00C82009" w:rsidRDefault="00277FC7" w:rsidP="00444965"/>
    <w:p w14:paraId="6E0B4C86" w14:textId="0E15A472" w:rsidR="00277FC7" w:rsidRPr="00C82009" w:rsidRDefault="008F595A" w:rsidP="00444965">
      <w:r w:rsidRPr="00C82009">
        <w:t>Having the vestibular ganglion intact is an improvement over sectioning methods</w:t>
      </w:r>
      <w:r w:rsidR="008D678D">
        <w:t>,</w:t>
      </w:r>
      <w:r w:rsidRPr="00C82009">
        <w:t xml:space="preserve"> where </w:t>
      </w:r>
      <w:r w:rsidR="008D678D">
        <w:t>the sample</w:t>
      </w:r>
      <w:r w:rsidRPr="00C82009">
        <w:t xml:space="preserve"> size for quantification of neuron numbers is limited</w:t>
      </w:r>
      <w:r w:rsidR="00286C84" w:rsidRPr="00C82009">
        <w:fldChar w:fldCharType="begin" w:fldLock="1"/>
      </w:r>
      <w:r w:rsidR="00FA6DA6" w:rsidRPr="00C82009">
        <w:instrText>ADDIN CSL_CITATION {"citationItems":[{"id":"ITEM-1","itemData":{"DOI":"10.3109/00016488009131716","ISSN":"00016489","PMID":"6258381","abstract":"Methods for counting vestibular ganglion cells and determining the densities of hair cells and intra-epithelial basophilic inclusions (IBI) in samples of cross-sectioned vestibular sensory epithelia are described. Data obtained by means of these methods in vestibular sensory epithelia and Scarpa's ganglia in individual temporal bones from subjects at different ages are presented. Both vestibular hair cells and nerve cells in Scarpa's ganglia are found numerically reduced in ears of aged individuals. Changes in the vestibular sensory epithelia appear to precede those seen in Scarpa's ganglion. The incidence of intraepithelial basophilic inclusions correlates with degeneration in the respective vestibular sensory epithelia. There are no striking differences in hair cell densities of the different vestibular sense organs of the same ear and from subjects at about the same age. © 1980 Informa UK Ltd All rights reserved: reproduction in whole or part not permitted.","author":[{"dropping-particle":"","family":"Richter","given":"Ernst","non-dropping-particle":"","parse-names":false,"suffix":""}],"container-title":"Acta Oto-Laryngologica","id":"ITEM-1","issue":"1-6","issued":{"date-parts":[["1980"]]},"page":"199-208","publisher":"Taylor &amp; Francis","title":"Quantitative Study of Human Scarpa's Ganglion and Vestibular Sensory Epithelia","type":"article-journal","volume":"90"},"uris":["http://www.mendeley.com/documents/?uuid=7c88373a-4904-3ff0-9676-bc9fa0ad1ded"]},{"id":"ITEM-2","itemData":{"DOI":"10.1016/S0304-3940(98)00241-9","ISSN":"03043940","PMID":"9627187","abstract":"Vestibular sensory information from the labyrinth and otolith organs is conducted to the central nervous system exclusively via primary vestibular afferents (PVA) originating from neurons located in the vestibular ganglion (VG). In the present study, the total number of VG neurons was determined in two different wild-type mouse strains using the principles of unbiased stereological counting methods by means of the physical disector. 3316 (±225 SD) neurons were present in the VG of the B6CBA-strain and 3551 (±239 SD) in C57BL/6J-mice. Since no statistical difference was detected between the two strains, the pooled mean number was 3433 (±232 SD) neurons. This is the first unbiased estimate of VG neurons aimed at providing a numerical basis for comparative studies and for the impact of experimental, pharmacological and pathological conditions as well as ageing on the survival and maintenance of VG neurons.","author":[{"dropping-particle":"","family":"Bäurle","given":"Jörg","non-dropping-particle":"","parse-names":false,"suffix":""},{"dropping-particle":"","family":"Guldin","given":"Wolfgang","non-dropping-particle":"","parse-names":false,"suffix":""}],"container-title":"Neuroscience Letters","id":"ITEM-2","issue":"2","issued":{"date-parts":[["1998","4","24"]]},"page":"89-92","publisher":"Elsevier Ireland Ltd","title":"Unbiased number of vestibular ganglion neurons in the mouse","type":"article-journal","volume":"246"},"uris":["http://www.mendeley.com/documents/?uuid=564702fc-fcff-3b79-a9d6-9f7410d79224"]},{"id":"ITEM-3","itemData":{"DOI":"10.1097/00001756-200003200-00039","ISSN":"0959-4965","PMID":"10757533","abstract":"Vestibular ganglion (VG) neurons are bipolar neurons that relay peripheral vestibular information to the CNS. Neuron counts in normal humans provide a basis for quantitative studies on the effects of aging or pathological conditions in the audiovestibular systems. No prior study has employed unbiased stereological technique to count human VG neurons. This study used unbiased stereology in the form of the optical fractionator to estimate the total number of human VG neurons in archival temporal bone specimens. An average (± s.d.) of 27 330 ± 2593 neurons was found in specimens from five patients with no history of vestibular pathology. This result, a significant departure from results of past studies, provides the first unbiased baseline value to compare with future stereologically based studies on the human VG. (C) 2000 Lippincott Williams and Wilkins.","author":[{"dropping-particle":"","family":"Park","given":"John J.","non-dropping-particle":"","parse-names":false,"suffix":""},{"dropping-particle":"","family":"Tang","given":"Yong","non-dropping-particle":"","parse-names":false,"suffix":""},{"dropping-particle":"","family":"Lopez","given":"Ivan","non-dropping-particle":"","parse-names":false,"suffix":""},{"dropping-particle":"","family":"Ishiyama","given":"Akira","non-dropping-particle":"","parse-names":false,"suffix":""}],"container-title":"Neuroreport","id":"ITEM-3","issue":"4","issued":{"date-parts":[["2000","3","20"]]},"page":"853-857","publisher":"Neuroreport","title":"Unbiased stereological quantification of neurons in the human vestibular ganglion","type":"article-journal","volume":"11"},"uris":["http://www.mendeley.com/documents/?uuid=dca95873-2e07-344b-9acd-2741d579e79c"]}],"mendeley":{"formattedCitation":"(7–9)","plainTextFormattedCitation":"(7–9)","previouslyFormattedCitation":"(6–8)"},"properties":{"noteIndex":0},"schema":"https://github.com/citation-style-language/schema/raw/master/csl-citation.json"}</w:instrText>
      </w:r>
      <w:r w:rsidR="00286C84" w:rsidRPr="00C82009">
        <w:fldChar w:fldCharType="separate"/>
      </w:r>
      <w:r w:rsidR="00FA6DA6" w:rsidRPr="00C82009">
        <w:rPr>
          <w:noProof/>
          <w:vertAlign w:val="superscript"/>
        </w:rPr>
        <w:t>7–9</w:t>
      </w:r>
      <w:r w:rsidR="00286C84" w:rsidRPr="00C82009">
        <w:fldChar w:fldCharType="end"/>
      </w:r>
      <w:r w:rsidRPr="00C82009">
        <w:t xml:space="preserve">. </w:t>
      </w:r>
      <w:r w:rsidR="00153009">
        <w:t xml:space="preserve">This </w:t>
      </w:r>
      <w:r w:rsidRPr="00C82009">
        <w:t>whole</w:t>
      </w:r>
      <w:r w:rsidR="00C55C21" w:rsidRPr="00C82009">
        <w:t>-</w:t>
      </w:r>
      <w:r w:rsidRPr="00C82009">
        <w:t xml:space="preserve">mount method allows the quantification of </w:t>
      </w:r>
      <w:r w:rsidR="006439A8" w:rsidRPr="00C82009">
        <w:t>most</w:t>
      </w:r>
      <w:r w:rsidR="0069181D" w:rsidRPr="00C82009">
        <w:t xml:space="preserve"> </w:t>
      </w:r>
      <w:r w:rsidR="00286C84" w:rsidRPr="00C82009">
        <w:t xml:space="preserve">vestibular </w:t>
      </w:r>
      <w:r w:rsidRPr="00C82009">
        <w:t>neurons</w:t>
      </w:r>
      <w:r w:rsidR="00286C84" w:rsidRPr="00C82009">
        <w:t xml:space="preserve"> or sampl</w:t>
      </w:r>
      <w:r w:rsidR="00544E96" w:rsidRPr="00C82009">
        <w:t>ing</w:t>
      </w:r>
      <w:r w:rsidRPr="00C82009">
        <w:t xml:space="preserve"> in a </w:t>
      </w:r>
      <w:r w:rsidR="00082612" w:rsidRPr="00C82009">
        <w:t>three-dimensional</w:t>
      </w:r>
      <w:r w:rsidRPr="00C82009">
        <w:t xml:space="preserve"> cube</w:t>
      </w:r>
      <w:r w:rsidR="0069181D" w:rsidRPr="00C82009">
        <w:t>,</w:t>
      </w:r>
      <w:r w:rsidRPr="00C82009">
        <w:t xml:space="preserve"> separat</w:t>
      </w:r>
      <w:r w:rsidR="0069181D" w:rsidRPr="00C82009">
        <w:t>ing</w:t>
      </w:r>
      <w:r w:rsidRPr="00C82009">
        <w:t xml:space="preserve"> the superior and inferior regions. </w:t>
      </w:r>
      <w:r w:rsidR="0069181D" w:rsidRPr="00C82009">
        <w:t xml:space="preserve">However, we have not compared the number of vestibular neurons present in </w:t>
      </w:r>
      <w:r w:rsidR="00153009">
        <w:t>this</w:t>
      </w:r>
      <w:r w:rsidR="0069181D" w:rsidRPr="00C82009">
        <w:t xml:space="preserve"> whole-mount </w:t>
      </w:r>
      <w:r w:rsidR="001C3620" w:rsidRPr="00C82009">
        <w:t xml:space="preserve">vestibular complex </w:t>
      </w:r>
      <w:r w:rsidR="0069181D" w:rsidRPr="00C82009">
        <w:t>with previous quantifications done using other methods. It is also likely that there is variability</w:t>
      </w:r>
      <w:r w:rsidR="001C3620" w:rsidRPr="00C82009">
        <w:t xml:space="preserve"> in the amount of ganglion preserved</w:t>
      </w:r>
      <w:r w:rsidR="0069181D" w:rsidRPr="00C82009">
        <w:t xml:space="preserve"> between operators</w:t>
      </w:r>
      <w:r w:rsidR="008D678D">
        <w:t>,</w:t>
      </w:r>
      <w:r w:rsidR="0069181D" w:rsidRPr="00C82009">
        <w:t xml:space="preserve"> and imp</w:t>
      </w:r>
      <w:r w:rsidR="001C3620" w:rsidRPr="00C82009">
        <w:t xml:space="preserve">rovement can be </w:t>
      </w:r>
      <w:r w:rsidR="008D678D">
        <w:t>achieved</w:t>
      </w:r>
      <w:r w:rsidR="001C3620" w:rsidRPr="00C82009">
        <w:t xml:space="preserve"> with</w:t>
      </w:r>
      <w:r w:rsidR="0069181D" w:rsidRPr="00C82009">
        <w:t xml:space="preserve"> practice. </w:t>
      </w:r>
      <w:r w:rsidRPr="00C82009">
        <w:t xml:space="preserve">In addition, this method </w:t>
      </w:r>
      <w:r w:rsidR="008D678D">
        <w:t>allows visualization of the neuronal connections between the vestibular ganglion and the vestibular organs, providing an</w:t>
      </w:r>
      <w:r w:rsidRPr="00C82009">
        <w:t xml:space="preserve"> opportunity to study innervation during development, aging</w:t>
      </w:r>
      <w:r w:rsidR="008D678D">
        <w:t>,</w:t>
      </w:r>
      <w:r w:rsidRPr="00C82009">
        <w:t xml:space="preserve"> or after damage. </w:t>
      </w:r>
      <w:r w:rsidR="00E7195A" w:rsidRPr="00C82009">
        <w:t>In the future</w:t>
      </w:r>
      <w:r w:rsidR="008D678D">
        <w:t>,</w:t>
      </w:r>
      <w:r w:rsidR="00E7195A" w:rsidRPr="00C82009">
        <w:t xml:space="preserve"> </w:t>
      </w:r>
      <w:r w:rsidRPr="00C82009">
        <w:t xml:space="preserve">a glial marker </w:t>
      </w:r>
      <w:r w:rsidR="00E7195A" w:rsidRPr="00C82009">
        <w:t>could be</w:t>
      </w:r>
      <w:r w:rsidRPr="00C82009">
        <w:t xml:space="preserve"> used for immunostaining, </w:t>
      </w:r>
      <w:r w:rsidR="008D678D">
        <w:t>enabling</w:t>
      </w:r>
      <w:r w:rsidRPr="00C82009">
        <w:t xml:space="preserve"> visualization and quantification of Schwann cells along the vestibular </w:t>
      </w:r>
      <w:r w:rsidR="00E7195A" w:rsidRPr="00C82009">
        <w:t>dendrites</w:t>
      </w:r>
      <w:r w:rsidRPr="00C82009">
        <w:t xml:space="preserve"> and satellite cells in the ganglion.</w:t>
      </w:r>
    </w:p>
    <w:p w14:paraId="602AD297" w14:textId="77777777" w:rsidR="00277FC7" w:rsidRPr="00C82009" w:rsidRDefault="00277FC7" w:rsidP="00444965"/>
    <w:p w14:paraId="4283A306" w14:textId="3466737A" w:rsidR="00277FC7" w:rsidRPr="00C82009" w:rsidRDefault="008F595A" w:rsidP="00444965">
      <w:r w:rsidRPr="00C82009">
        <w:t xml:space="preserve">Despite its potential </w:t>
      </w:r>
      <w:r w:rsidR="008D678D">
        <w:t>to deepen our understanding of the vestibular system, this method is difficult and involves</w:t>
      </w:r>
      <w:r w:rsidRPr="00C82009">
        <w:t xml:space="preserve"> several steps where problems can arise. First, when decalcifying the tissue, the level of decalcification is very important. The tissue must be </w:t>
      </w:r>
      <w:r w:rsidR="008D678D">
        <w:t>sufficiently decalcified for the scissors to cut through the bone easily</w:t>
      </w:r>
      <w:r w:rsidRPr="00C82009">
        <w:t xml:space="preserve">. If the dissection is started and cutting the superior part of the anterior semicircular canal seems difficult, further decalcification is needed. In contrast, there is also the potential to </w:t>
      </w:r>
      <w:r w:rsidR="008D678D">
        <w:t>over-decalcify the tissue,</w:t>
      </w:r>
      <w:r w:rsidRPr="00C82009">
        <w:t xml:space="preserve"> and </w:t>
      </w:r>
      <w:r w:rsidR="008D678D">
        <w:t>decalcified tissue has a limited storage life</w:t>
      </w:r>
      <w:r w:rsidRPr="00C82009">
        <w:t xml:space="preserve">. Either of these factors can </w:t>
      </w:r>
      <w:r w:rsidR="008D678D">
        <w:t>make the tissue very fragile</w:t>
      </w:r>
      <w:r w:rsidR="007D18DE">
        <w:t>, causing</w:t>
      </w:r>
      <w:r w:rsidR="008D678D">
        <w:t xml:space="preserve"> it to disintegrate during </w:t>
      </w:r>
      <w:r w:rsidRPr="00C82009">
        <w:lastRenderedPageBreak/>
        <w:t xml:space="preserve">dissection. These </w:t>
      </w:r>
      <w:r w:rsidR="00286C84" w:rsidRPr="00C82009">
        <w:t xml:space="preserve">errors </w:t>
      </w:r>
      <w:r w:rsidRPr="00C82009">
        <w:t xml:space="preserve">can be prevented by </w:t>
      </w:r>
      <w:r w:rsidR="008D678D">
        <w:t>regularly checking the sample during decalcification</w:t>
      </w:r>
      <w:r w:rsidR="001C3620" w:rsidRPr="00C82009">
        <w:t xml:space="preserve">. Based on </w:t>
      </w:r>
      <w:r w:rsidR="00153009">
        <w:t>this</w:t>
      </w:r>
      <w:r w:rsidR="008D678D">
        <w:t xml:space="preserve"> laboratory experience, decalcifying no more than 6 months prior to dissection will prevent the tissue from disintegrating during </w:t>
      </w:r>
      <w:r w:rsidR="001C3620" w:rsidRPr="00C82009">
        <w:t>dissection</w:t>
      </w:r>
      <w:r w:rsidRPr="00C82009">
        <w:t>.</w:t>
      </w:r>
    </w:p>
    <w:p w14:paraId="0AF48E21" w14:textId="77777777" w:rsidR="00277FC7" w:rsidRPr="00C82009" w:rsidRDefault="00277FC7" w:rsidP="00444965"/>
    <w:p w14:paraId="4F11EEC7" w14:textId="12159F21" w:rsidR="00277FC7" w:rsidRPr="00C82009" w:rsidRDefault="008F595A" w:rsidP="00444965">
      <w:r w:rsidRPr="00C82009">
        <w:t xml:space="preserve">The second difficulty is holding the tissue during </w:t>
      </w:r>
      <w:r w:rsidR="008D678D">
        <w:t>dissection</w:t>
      </w:r>
      <w:r w:rsidRPr="00C82009">
        <w:t xml:space="preserve">. Once the cochlea has been removed (step </w:t>
      </w:r>
      <w:r w:rsidR="00286C84" w:rsidRPr="00C82009">
        <w:t>4</w:t>
      </w:r>
      <w:r w:rsidR="0069181D" w:rsidRPr="00C82009">
        <w:t>.4.2</w:t>
      </w:r>
      <w:r w:rsidRPr="00C82009">
        <w:t xml:space="preserve">), the tissue cannot really be “held” with the forceps. Instead, the forceps are closed and used to pin the tissue by pressing </w:t>
      </w:r>
      <w:r w:rsidR="008D678D">
        <w:t>it into the silicone dish to prevent it</w:t>
      </w:r>
      <w:r w:rsidRPr="00C82009">
        <w:t xml:space="preserve"> from floating away. As the vestibular ganglion rests on the surface of the temporal bone, it allows this structure to be visible during all parts of the dissection. If stress or pulling of the tissue is noticed, readjustments can be made before damage </w:t>
      </w:r>
      <w:r w:rsidR="008D678D">
        <w:t>occurs or worsens</w:t>
      </w:r>
      <w:r w:rsidRPr="00C82009">
        <w:t>. Also, after the dissection is complete, the tissue can only be handled using the portion of the membranous labyrinth connect</w:t>
      </w:r>
      <w:r w:rsidR="00E7195A" w:rsidRPr="00C82009">
        <w:t>ed</w:t>
      </w:r>
      <w:r w:rsidRPr="00C82009">
        <w:t xml:space="preserve"> to one of the three cristae. Grabbing any other portion will cause damage to the corresponding organ.</w:t>
      </w:r>
    </w:p>
    <w:p w14:paraId="275ADBDA" w14:textId="77777777" w:rsidR="00277FC7" w:rsidRPr="00C82009" w:rsidRDefault="00277FC7" w:rsidP="00444965"/>
    <w:p w14:paraId="7E021AB6" w14:textId="40D8FF3B" w:rsidR="00277FC7" w:rsidRPr="00C82009" w:rsidRDefault="008F595A" w:rsidP="00444965">
      <w:r w:rsidRPr="00C82009">
        <w:t xml:space="preserve">Another issue that may arise during mounting is tissue folding. The </w:t>
      </w:r>
      <w:r w:rsidR="00E7195A" w:rsidRPr="00C82009">
        <w:t xml:space="preserve">whole-mount </w:t>
      </w:r>
      <w:r w:rsidRPr="00C82009">
        <w:t xml:space="preserve">vestibular complex has many structures with different orientations and the propensity to twist or fold. To help prevent this, do not just drop the </w:t>
      </w:r>
      <w:r w:rsidR="008D678D">
        <w:t>coverslip onto the tissue; instead, place one side of the coverslip on the slide and slowly angle it</w:t>
      </w:r>
      <w:r w:rsidRPr="00C82009">
        <w:t xml:space="preserve"> down. When placing the coverslip, orient the tissue so that the three cristae are pointing in the opposite direction from the side </w:t>
      </w:r>
      <w:r w:rsidR="008D678D">
        <w:t xml:space="preserve">of </w:t>
      </w:r>
      <w:r w:rsidRPr="00C82009">
        <w:t>the coverslip that will be lowered. This will cause the mounting media to push the organs away from the ganglion.</w:t>
      </w:r>
    </w:p>
    <w:p w14:paraId="1AF2F39A" w14:textId="77777777" w:rsidR="00277FC7" w:rsidRPr="00C82009" w:rsidRDefault="00277FC7" w:rsidP="00444965"/>
    <w:p w14:paraId="31C7B0D4" w14:textId="1A397112" w:rsidR="00277FC7" w:rsidRPr="00C82009" w:rsidRDefault="008F595A" w:rsidP="00444965">
      <w:r w:rsidRPr="00C82009">
        <w:t xml:space="preserve">Lastly, confocal imaging of the vestibular complex can also be challenging due to </w:t>
      </w:r>
      <w:r w:rsidR="008D678D">
        <w:t>tissue thickness and reduced light penetration</w:t>
      </w:r>
      <w:r w:rsidRPr="00C82009">
        <w:t xml:space="preserve"> in deeper slices. If the neuronal cell bodies </w:t>
      </w:r>
      <w:r w:rsidR="008D678D">
        <w:t>appear too faint in deeper slices, the channel laser settings can be increased during imaging</w:t>
      </w:r>
      <w:r w:rsidRPr="00C82009">
        <w:t>. It is helpful to note the slice(s) where the image darkens</w:t>
      </w:r>
      <w:r w:rsidR="008D678D">
        <w:t>, and then make the appropriate channel adjustment(s) before starting the z-stack</w:t>
      </w:r>
      <w:r w:rsidRPr="00C82009">
        <w:t>. Another</w:t>
      </w:r>
      <w:r w:rsidR="00082612" w:rsidRPr="00C82009">
        <w:t xml:space="preserve"> </w:t>
      </w:r>
      <w:r w:rsidR="00E7195A" w:rsidRPr="00C82009">
        <w:t>potential</w:t>
      </w:r>
      <w:r w:rsidR="00082612" w:rsidRPr="00C82009">
        <w:t xml:space="preserve"> alternative</w:t>
      </w:r>
      <w:r w:rsidRPr="00C82009">
        <w:t xml:space="preserve"> would be thin-sheet laser imaging microscopy (TSLIM)</w:t>
      </w:r>
      <w:r w:rsidR="008D678D">
        <w:t>,</w:t>
      </w:r>
      <w:r w:rsidRPr="00C82009">
        <w:t xml:space="preserve"> which has better resolution</w:t>
      </w:r>
      <w:r w:rsidR="00286C84" w:rsidRPr="00C82009">
        <w:fldChar w:fldCharType="begin" w:fldLock="1"/>
      </w:r>
      <w:r w:rsidR="00FA6DA6" w:rsidRPr="00C82009">
        <w:instrText>ADDIN CSL_CITATION {"citationItems":[{"id":"ITEM-1","itemData":{"DOI":"10.1016/J.HEARES.2011.02.008","ISSN":"03785955","PMID":"21420476","abstract":"Thin-sheet laser imaging microscopy (TSLIM) was used to serially section five whole cochleas from 4-wk-old CBA/JCr mice. Three-dimensional reconstructions of Rosenthal's canal (RC) were produced in order to measure canal length and volume, to generate orthogonal cross sections for area measurements, and to determine spiral ganglion neuron (SGN) number. RC length averaged 2.0 mm ± 0.04 (SEM) as measured along the centroid of the canal compared to an average basilar membrane (BM) length of 5.9 ± 0.05 (SEM). RC volume averaged 0.036 mm 3 ± 0.009 (SEM). Significant increases in the radial area of RC were observed at the base (13%), middle (62%), and apex (90%) of its length. The total number of spiral ganglion neurons (SGNs) in RC in each of the five animals averaged 8626 ± 96 (SEM). SGN number increased at the expanded regions of RC. Increased area and cell number at the base and apex are likely related to extensions of the organ of Corti past the length of RC in these areas. The increase in area and cell number in the middle of the RC appears to be related to the most sensitive frequency region of the organ of Corti. Volume imaging or tomography of the cochlea as provided by TSLIM has the potential to be an efficient and accurate semi-automated method for the quantitative assessment of the number of SGNs and hair cells of the organ of Corti. © 2011 Elsevier B.V.","author":[{"dropping-particle":"","family":"Johnson","given":"Shane B.","non-dropping-particle":"","parse-names":false,"suffix":""},{"dropping-particle":"","family":"Schmitz","given":"Heather M.","non-dropping-particle":"","parse-names":false,"suffix":""},{"dropping-particle":"","family":"Santi","given":"Peter A.","non-dropping-particle":"","parse-names":false,"suffix":""}],"container-title":"Hearing research","id":"ITEM-1","issue":"1-2","issued":{"date-parts":[["2011","8"]]},"page":"34","title":"TSLIM Imaging and a Morphometric Analysis of the Mouse Spiral Ganglion","type":"article-journal","volume":"278"},"uris":["http://www.mendeley.com/documents/?uuid=d5b83040-5fd5-3dfd-93cd-78fcc6c2fd02"]}],"mendeley":{"formattedCitation":"(17)","plainTextFormattedCitation":"(17)","previouslyFormattedCitation":"(16)"},"properties":{"noteIndex":0},"schema":"https://github.com/citation-style-language/schema/raw/master/csl-citation.json"}</w:instrText>
      </w:r>
      <w:r w:rsidR="00286C84" w:rsidRPr="00C82009">
        <w:fldChar w:fldCharType="separate"/>
      </w:r>
      <w:r w:rsidR="00FA6DA6" w:rsidRPr="00C82009">
        <w:rPr>
          <w:noProof/>
          <w:vertAlign w:val="superscript"/>
        </w:rPr>
        <w:t>17</w:t>
      </w:r>
      <w:r w:rsidR="00286C84" w:rsidRPr="00C82009">
        <w:fldChar w:fldCharType="end"/>
      </w:r>
      <w:r w:rsidR="00ED4D0F" w:rsidRPr="00C82009">
        <w:t>.</w:t>
      </w:r>
    </w:p>
    <w:p w14:paraId="18F9607B" w14:textId="77777777" w:rsidR="00277FC7" w:rsidRPr="00C82009" w:rsidRDefault="00277FC7" w:rsidP="00444965"/>
    <w:p w14:paraId="54D78078" w14:textId="5BE8EC1D" w:rsidR="00277FC7" w:rsidRPr="00C82009" w:rsidRDefault="008F595A" w:rsidP="00444965">
      <w:r w:rsidRPr="00C82009">
        <w:t xml:space="preserve">While the dissection method presented here is challenging, most can learn with practice. The preservation of </w:t>
      </w:r>
      <w:r w:rsidR="006439A8" w:rsidRPr="00C82009">
        <w:t>most of</w:t>
      </w:r>
      <w:r w:rsidR="00E7195A" w:rsidRPr="00C82009">
        <w:t xml:space="preserve"> the</w:t>
      </w:r>
      <w:r w:rsidRPr="00C82009">
        <w:t xml:space="preserve"> vestibular ganglion</w:t>
      </w:r>
      <w:r w:rsidR="008D678D">
        <w:t>, as well as the dendritic projections to vestibular organs,</w:t>
      </w:r>
      <w:r w:rsidRPr="00C82009">
        <w:t xml:space="preserve"> offers new opportunities </w:t>
      </w:r>
      <w:r w:rsidR="007D18DE">
        <w:t>to advance research questions in</w:t>
      </w:r>
      <w:r w:rsidRPr="00C82009">
        <w:t xml:space="preserve"> the field. This method could be used to address questions about neuronal differentiation during development, changes in neurons or neuronal projections during aging, and alterations to vestibular neurons or innervation patterns after noise trauma or traumatic brain injury</w:t>
      </w:r>
      <w:r w:rsidR="00ED4D0F" w:rsidRPr="00C82009">
        <w:fldChar w:fldCharType="begin" w:fldLock="1"/>
      </w:r>
      <w:r w:rsidR="00FA6DA6" w:rsidRPr="00C82009">
        <w:instrText>ADDIN CSL_CITATION {"citationItems":[{"id":"ITEM-1","itemData":{"DOI":"10.3109/00016488009131716","ISSN":"00016489","PMID":"6258381","abstract":"Methods for counting vestibular ganglion cells and determining the densities of hair cells and intra-epithelial basophilic inclusions (IBI) in samples of cross-sectioned vestibular sensory epithelia are described. Data obtained by means of these methods in vestibular sensory epithelia and Scarpa's ganglia in individual temporal bones from subjects at different ages are presented. Both vestibular hair cells and nerve cells in Scarpa's ganglia are found numerically reduced in ears of aged individuals. Changes in the vestibular sensory epithelia appear to precede those seen in Scarpa's ganglion. The incidence of intraepithelial basophilic inclusions correlates with degeneration in the respective vestibular sensory epithelia. There are no striking differences in hair cell densities of the different vestibular sense organs of the same ear and from subjects at about the same age. © 1980 Informa UK Ltd All rights reserved: reproduction in whole or part not permitted.","author":[{"dropping-particle":"","family":"Richter","given":"Ernst","non-dropping-particle":"","parse-names":false,"suffix":""}],"container-title":"Acta Oto-Laryngologica","id":"ITEM-1","issue":"1-6","issued":{"date-parts":[["1980"]]},"page":"199-208","publisher":"Taylor &amp; Francis","title":"Quantitative Study of Human Scarpa's Ganglion and Vestibular Sensory Epithelia","type":"article-journal","volume":"90"},"uris":["http://www.mendeley.com/documents/?uuid=7c88373a-4904-3ff0-9676-bc9fa0ad1ded"]}],"mendeley":{"formattedCitation":"(7)","plainTextFormattedCitation":"(7)","previouslyFormattedCitation":"(6)"},"properties":{"noteIndex":0},"schema":"https://github.com/citation-style-language/schema/raw/master/csl-citation.json"}</w:instrText>
      </w:r>
      <w:r w:rsidR="00ED4D0F" w:rsidRPr="00C82009">
        <w:fldChar w:fldCharType="separate"/>
      </w:r>
      <w:r w:rsidR="00FA6DA6" w:rsidRPr="00C82009">
        <w:rPr>
          <w:noProof/>
          <w:vertAlign w:val="superscript"/>
        </w:rPr>
        <w:t>7</w:t>
      </w:r>
      <w:r w:rsidR="00ED4D0F" w:rsidRPr="00C82009">
        <w:fldChar w:fldCharType="end"/>
      </w:r>
      <w:r w:rsidRPr="00C82009">
        <w:t xml:space="preserve">.  </w:t>
      </w:r>
    </w:p>
    <w:p w14:paraId="0BEB38EC" w14:textId="77777777" w:rsidR="006E4797" w:rsidRPr="00C82009" w:rsidRDefault="006E4797" w:rsidP="00444965">
      <w:pPr>
        <w:rPr>
          <w:color w:val="000000"/>
        </w:rPr>
      </w:pPr>
    </w:p>
    <w:p w14:paraId="59F37CC4" w14:textId="5FAF5226" w:rsidR="006E4797" w:rsidRPr="00C82009" w:rsidRDefault="008F595A" w:rsidP="00444965">
      <w:pPr>
        <w:pBdr>
          <w:top w:val="nil"/>
          <w:left w:val="nil"/>
          <w:bottom w:val="nil"/>
          <w:right w:val="nil"/>
          <w:between w:val="nil"/>
        </w:pBdr>
        <w:rPr>
          <w:color w:val="808080"/>
        </w:rPr>
      </w:pPr>
      <w:r w:rsidRPr="00C82009">
        <w:rPr>
          <w:b/>
          <w:color w:val="000000"/>
        </w:rPr>
        <w:t xml:space="preserve">ACKNOWLEDGMENTS: </w:t>
      </w:r>
    </w:p>
    <w:p w14:paraId="6D064C88" w14:textId="3244B904" w:rsidR="006E4797" w:rsidRPr="00C82009" w:rsidRDefault="008F595A" w:rsidP="00444965">
      <w:pPr>
        <w:widowControl/>
        <w:autoSpaceDE w:val="0"/>
        <w:autoSpaceDN w:val="0"/>
        <w:adjustRightInd w:val="0"/>
      </w:pPr>
      <w:r w:rsidRPr="00C82009">
        <w:t xml:space="preserve">We thank Rahilla Tarfa from the University of Washington for helpful discussion. This work was supported in part by a grant from the National Institute on Aging R01 AG073151. The Southern Illinois University School of Medicine Research Imaging Facility is supported by </w:t>
      </w:r>
      <w:r w:rsidR="008D678D">
        <w:t xml:space="preserve">the </w:t>
      </w:r>
      <w:r w:rsidRPr="00C82009">
        <w:t>Office of Naval Research Grant N00014-15-1-2866.</w:t>
      </w:r>
    </w:p>
    <w:p w14:paraId="25B2FBBD" w14:textId="77777777" w:rsidR="006E4797" w:rsidRPr="00C82009" w:rsidRDefault="006E4797" w:rsidP="00444965">
      <w:pPr>
        <w:rPr>
          <w:b/>
        </w:rPr>
      </w:pPr>
    </w:p>
    <w:p w14:paraId="5E703EBA" w14:textId="35C644A1" w:rsidR="006E4797" w:rsidRPr="00C82009" w:rsidRDefault="008F595A" w:rsidP="00444965">
      <w:pPr>
        <w:pBdr>
          <w:top w:val="nil"/>
          <w:left w:val="nil"/>
          <w:bottom w:val="nil"/>
          <w:right w:val="nil"/>
          <w:between w:val="nil"/>
        </w:pBdr>
        <w:rPr>
          <w:color w:val="808080"/>
        </w:rPr>
      </w:pPr>
      <w:r w:rsidRPr="00C82009">
        <w:rPr>
          <w:b/>
          <w:color w:val="000000"/>
        </w:rPr>
        <w:t xml:space="preserve">DISCLOSURES:  </w:t>
      </w:r>
    </w:p>
    <w:p w14:paraId="132340D6" w14:textId="75DF312C" w:rsidR="006E4797" w:rsidRPr="00C82009" w:rsidRDefault="008F595A" w:rsidP="00444965">
      <w:r w:rsidRPr="00C82009">
        <w:t>B. Cox is a consultant for Turner Scientific, LLC.</w:t>
      </w:r>
    </w:p>
    <w:p w14:paraId="4A7B0E5C" w14:textId="77777777" w:rsidR="006E4797" w:rsidRPr="00C82009" w:rsidRDefault="006E4797" w:rsidP="00444965">
      <w:pPr>
        <w:rPr>
          <w:color w:val="000000"/>
        </w:rPr>
      </w:pPr>
    </w:p>
    <w:p w14:paraId="6DE2B73C" w14:textId="1122876A" w:rsidR="006E4797" w:rsidRPr="00C82009" w:rsidRDefault="008F595A" w:rsidP="00444965">
      <w:pPr>
        <w:rPr>
          <w:b/>
          <w:color w:val="000000"/>
        </w:rPr>
      </w:pPr>
      <w:r w:rsidRPr="00C82009">
        <w:rPr>
          <w:b/>
        </w:rPr>
        <w:t>REFERENCES:</w:t>
      </w:r>
    </w:p>
    <w:p w14:paraId="4252BB4D" w14:textId="704E37FF" w:rsidR="00EE5B0B" w:rsidRPr="00EE5B0B" w:rsidRDefault="00EE5B0B" w:rsidP="00EE5B0B">
      <w:pPr>
        <w:pStyle w:val="ListParagraph"/>
        <w:numPr>
          <w:ilvl w:val="0"/>
          <w:numId w:val="39"/>
        </w:numPr>
        <w:spacing w:after="0" w:line="240" w:lineRule="auto"/>
        <w:ind w:left="0" w:firstLine="0"/>
        <w:jc w:val="both"/>
        <w:rPr>
          <w:rFonts w:ascii="Calibri" w:hAnsi="Calibri" w:cs="Calibri"/>
          <w:bCs/>
          <w:color w:val="000000" w:themeColor="text1"/>
          <w:sz w:val="24"/>
          <w:szCs w:val="24"/>
          <w:lang w:val="en-IN"/>
        </w:rPr>
      </w:pPr>
      <w:r w:rsidRPr="00EE5B0B">
        <w:rPr>
          <w:rFonts w:ascii="Calibri" w:hAnsi="Calibri" w:cs="Calibri"/>
          <w:bCs/>
          <w:color w:val="000000" w:themeColor="text1"/>
          <w:sz w:val="24"/>
          <w:szCs w:val="24"/>
          <w:lang w:val="en-IN"/>
        </w:rPr>
        <w:lastRenderedPageBreak/>
        <w:t xml:space="preserve">Burns JC, Stone JS. Development and regeneration of vestibular hair cells in mammals. Semin Cell Dev Biol. </w:t>
      </w:r>
      <w:proofErr w:type="gramStart"/>
      <w:r w:rsidRPr="00EE5B0B">
        <w:rPr>
          <w:rFonts w:ascii="Calibri" w:hAnsi="Calibri" w:cs="Calibri"/>
          <w:bCs/>
          <w:color w:val="000000" w:themeColor="text1"/>
          <w:sz w:val="24"/>
          <w:szCs w:val="24"/>
          <w:lang w:val="en-IN"/>
        </w:rPr>
        <w:t>2017;65:96</w:t>
      </w:r>
      <w:proofErr w:type="gramEnd"/>
      <w:r w:rsidRPr="00EE5B0B">
        <w:rPr>
          <w:rFonts w:ascii="Calibri" w:hAnsi="Calibri" w:cs="Calibri"/>
          <w:bCs/>
          <w:color w:val="000000" w:themeColor="text1"/>
          <w:sz w:val="24"/>
          <w:szCs w:val="24"/>
          <w:lang w:val="en-IN"/>
        </w:rPr>
        <w:t xml:space="preserve">–105. </w:t>
      </w:r>
    </w:p>
    <w:p w14:paraId="7AE84492" w14:textId="75E3944C" w:rsidR="00EE5B0B" w:rsidRPr="00EE5B0B" w:rsidRDefault="00EE5B0B" w:rsidP="00EE5B0B">
      <w:pPr>
        <w:pStyle w:val="ListParagraph"/>
        <w:numPr>
          <w:ilvl w:val="0"/>
          <w:numId w:val="39"/>
        </w:numPr>
        <w:spacing w:after="0" w:line="240" w:lineRule="auto"/>
        <w:ind w:left="0" w:firstLine="0"/>
        <w:jc w:val="both"/>
        <w:rPr>
          <w:rFonts w:ascii="Calibri" w:hAnsi="Calibri" w:cs="Calibri"/>
          <w:bCs/>
          <w:color w:val="000000" w:themeColor="text1"/>
          <w:sz w:val="24"/>
          <w:szCs w:val="24"/>
          <w:lang w:val="en-IN"/>
        </w:rPr>
      </w:pPr>
      <w:proofErr w:type="spellStart"/>
      <w:r w:rsidRPr="00EE5B0B">
        <w:rPr>
          <w:rFonts w:ascii="Calibri" w:hAnsi="Calibri" w:cs="Calibri"/>
          <w:bCs/>
          <w:color w:val="000000" w:themeColor="text1"/>
          <w:sz w:val="24"/>
          <w:szCs w:val="24"/>
          <w:lang w:val="en-IN"/>
        </w:rPr>
        <w:t>Eatock</w:t>
      </w:r>
      <w:proofErr w:type="spellEnd"/>
      <w:r w:rsidRPr="00EE5B0B">
        <w:rPr>
          <w:rFonts w:ascii="Calibri" w:hAnsi="Calibri" w:cs="Calibri"/>
          <w:bCs/>
          <w:color w:val="000000" w:themeColor="text1"/>
          <w:sz w:val="24"/>
          <w:szCs w:val="24"/>
          <w:lang w:val="en-IN"/>
        </w:rPr>
        <w:t xml:space="preserve"> RA, </w:t>
      </w:r>
      <w:proofErr w:type="spellStart"/>
      <w:r w:rsidRPr="00EE5B0B">
        <w:rPr>
          <w:rFonts w:ascii="Calibri" w:hAnsi="Calibri" w:cs="Calibri"/>
          <w:bCs/>
          <w:color w:val="000000" w:themeColor="text1"/>
          <w:sz w:val="24"/>
          <w:szCs w:val="24"/>
          <w:lang w:val="en-IN"/>
        </w:rPr>
        <w:t>Songer</w:t>
      </w:r>
      <w:proofErr w:type="spellEnd"/>
      <w:r w:rsidRPr="00EE5B0B">
        <w:rPr>
          <w:rFonts w:ascii="Calibri" w:hAnsi="Calibri" w:cs="Calibri"/>
          <w:bCs/>
          <w:color w:val="000000" w:themeColor="text1"/>
          <w:sz w:val="24"/>
          <w:szCs w:val="24"/>
          <w:lang w:val="en-IN"/>
        </w:rPr>
        <w:t xml:space="preserve"> JE. Vestibular hair cells and afferents: two channels for head motion signals. </w:t>
      </w:r>
      <w:proofErr w:type="spellStart"/>
      <w:r w:rsidRPr="00EE5B0B">
        <w:rPr>
          <w:rFonts w:ascii="Calibri" w:hAnsi="Calibri" w:cs="Calibri"/>
          <w:bCs/>
          <w:color w:val="000000" w:themeColor="text1"/>
          <w:sz w:val="24"/>
          <w:szCs w:val="24"/>
          <w:lang w:val="en-IN"/>
        </w:rPr>
        <w:t>Annu</w:t>
      </w:r>
      <w:proofErr w:type="spellEnd"/>
      <w:r w:rsidRPr="00EE5B0B">
        <w:rPr>
          <w:rFonts w:ascii="Calibri" w:hAnsi="Calibri" w:cs="Calibri"/>
          <w:bCs/>
          <w:color w:val="000000" w:themeColor="text1"/>
          <w:sz w:val="24"/>
          <w:szCs w:val="24"/>
          <w:lang w:val="en-IN"/>
        </w:rPr>
        <w:t xml:space="preserve"> Rev </w:t>
      </w:r>
      <w:proofErr w:type="spellStart"/>
      <w:r w:rsidRPr="00EE5B0B">
        <w:rPr>
          <w:rFonts w:ascii="Calibri" w:hAnsi="Calibri" w:cs="Calibri"/>
          <w:bCs/>
          <w:color w:val="000000" w:themeColor="text1"/>
          <w:sz w:val="24"/>
          <w:szCs w:val="24"/>
          <w:lang w:val="en-IN"/>
        </w:rPr>
        <w:t>Neurosci</w:t>
      </w:r>
      <w:proofErr w:type="spellEnd"/>
      <w:r w:rsidRPr="00EE5B0B">
        <w:rPr>
          <w:rFonts w:ascii="Calibri" w:hAnsi="Calibri" w:cs="Calibri"/>
          <w:bCs/>
          <w:color w:val="000000" w:themeColor="text1"/>
          <w:sz w:val="24"/>
          <w:szCs w:val="24"/>
          <w:lang w:val="en-IN"/>
        </w:rPr>
        <w:t xml:space="preserve">. </w:t>
      </w:r>
      <w:proofErr w:type="gramStart"/>
      <w:r w:rsidRPr="00EE5B0B">
        <w:rPr>
          <w:rFonts w:ascii="Calibri" w:hAnsi="Calibri" w:cs="Calibri"/>
          <w:bCs/>
          <w:color w:val="000000" w:themeColor="text1"/>
          <w:sz w:val="24"/>
          <w:szCs w:val="24"/>
          <w:lang w:val="en-IN"/>
        </w:rPr>
        <w:t>2011;34:501</w:t>
      </w:r>
      <w:proofErr w:type="gramEnd"/>
      <w:r w:rsidRPr="00EE5B0B">
        <w:rPr>
          <w:rFonts w:ascii="Calibri" w:hAnsi="Calibri" w:cs="Calibri"/>
          <w:bCs/>
          <w:color w:val="000000" w:themeColor="text1"/>
          <w:sz w:val="24"/>
          <w:szCs w:val="24"/>
          <w:lang w:val="en-IN"/>
        </w:rPr>
        <w:t xml:space="preserve">–34. </w:t>
      </w:r>
    </w:p>
    <w:p w14:paraId="3B9B9FCF" w14:textId="1BE60B6B" w:rsidR="00EE5B0B" w:rsidRPr="00EE5B0B" w:rsidRDefault="00EE5B0B" w:rsidP="00EE5B0B">
      <w:pPr>
        <w:pStyle w:val="ListParagraph"/>
        <w:numPr>
          <w:ilvl w:val="0"/>
          <w:numId w:val="39"/>
        </w:numPr>
        <w:spacing w:after="0" w:line="240" w:lineRule="auto"/>
        <w:ind w:left="0" w:firstLine="0"/>
        <w:jc w:val="both"/>
        <w:rPr>
          <w:rFonts w:ascii="Calibri" w:hAnsi="Calibri" w:cs="Calibri"/>
          <w:bCs/>
          <w:color w:val="000000" w:themeColor="text1"/>
          <w:sz w:val="24"/>
          <w:szCs w:val="24"/>
          <w:lang w:val="en-IN"/>
        </w:rPr>
      </w:pPr>
      <w:r w:rsidRPr="00EE5B0B">
        <w:rPr>
          <w:rFonts w:ascii="Calibri" w:hAnsi="Calibri" w:cs="Calibri"/>
          <w:bCs/>
          <w:color w:val="000000" w:themeColor="text1"/>
          <w:sz w:val="24"/>
          <w:szCs w:val="24"/>
          <w:lang w:val="en-IN"/>
        </w:rPr>
        <w:t xml:space="preserve">Dickman JD. The vestibular system. In: Haines DE, Mihailoff GA, editors. Fundamental Neuroscience for Basic and Clinical Applications. 5th ed. Philadelphia: Elsevier; 2018. </w:t>
      </w:r>
    </w:p>
    <w:p w14:paraId="5C4E8AF5" w14:textId="6D267CC0" w:rsidR="00EE5B0B" w:rsidRPr="00EE5B0B" w:rsidRDefault="00EE5B0B" w:rsidP="00EE5B0B">
      <w:pPr>
        <w:pStyle w:val="ListParagraph"/>
        <w:numPr>
          <w:ilvl w:val="0"/>
          <w:numId w:val="39"/>
        </w:numPr>
        <w:spacing w:after="0" w:line="240" w:lineRule="auto"/>
        <w:ind w:left="0" w:firstLine="0"/>
        <w:jc w:val="both"/>
        <w:rPr>
          <w:rFonts w:ascii="Calibri" w:hAnsi="Calibri" w:cs="Calibri"/>
          <w:bCs/>
          <w:color w:val="000000" w:themeColor="text1"/>
          <w:sz w:val="24"/>
          <w:szCs w:val="24"/>
          <w:lang w:val="en-IN"/>
        </w:rPr>
      </w:pPr>
      <w:proofErr w:type="spellStart"/>
      <w:r w:rsidRPr="00EE5B0B">
        <w:rPr>
          <w:rFonts w:ascii="Calibri" w:hAnsi="Calibri" w:cs="Calibri"/>
          <w:bCs/>
          <w:color w:val="000000" w:themeColor="text1"/>
          <w:sz w:val="24"/>
          <w:szCs w:val="24"/>
          <w:lang w:val="en-IN"/>
        </w:rPr>
        <w:t>Büttner-Ennever</w:t>
      </w:r>
      <w:proofErr w:type="spellEnd"/>
      <w:r w:rsidRPr="00EE5B0B">
        <w:rPr>
          <w:rFonts w:ascii="Calibri" w:hAnsi="Calibri" w:cs="Calibri"/>
          <w:bCs/>
          <w:color w:val="000000" w:themeColor="text1"/>
          <w:sz w:val="24"/>
          <w:szCs w:val="24"/>
          <w:lang w:val="en-IN"/>
        </w:rPr>
        <w:t xml:space="preserve"> JA. Patterns of connectivity in the vestibular nuclei. Ann N Y </w:t>
      </w:r>
      <w:proofErr w:type="spellStart"/>
      <w:r w:rsidRPr="00EE5B0B">
        <w:rPr>
          <w:rFonts w:ascii="Calibri" w:hAnsi="Calibri" w:cs="Calibri"/>
          <w:bCs/>
          <w:color w:val="000000" w:themeColor="text1"/>
          <w:sz w:val="24"/>
          <w:szCs w:val="24"/>
          <w:lang w:val="en-IN"/>
        </w:rPr>
        <w:t>Acad</w:t>
      </w:r>
      <w:proofErr w:type="spellEnd"/>
      <w:r w:rsidRPr="00EE5B0B">
        <w:rPr>
          <w:rFonts w:ascii="Calibri" w:hAnsi="Calibri" w:cs="Calibri"/>
          <w:bCs/>
          <w:color w:val="000000" w:themeColor="text1"/>
          <w:sz w:val="24"/>
          <w:szCs w:val="24"/>
          <w:lang w:val="en-IN"/>
        </w:rPr>
        <w:t xml:space="preserve"> Sci. </w:t>
      </w:r>
      <w:proofErr w:type="gramStart"/>
      <w:r w:rsidRPr="00EE5B0B">
        <w:rPr>
          <w:rFonts w:ascii="Calibri" w:hAnsi="Calibri" w:cs="Calibri"/>
          <w:bCs/>
          <w:color w:val="000000" w:themeColor="text1"/>
          <w:sz w:val="24"/>
          <w:szCs w:val="24"/>
          <w:lang w:val="en-IN"/>
        </w:rPr>
        <w:t>1992;656:363</w:t>
      </w:r>
      <w:proofErr w:type="gramEnd"/>
      <w:r w:rsidRPr="00EE5B0B">
        <w:rPr>
          <w:rFonts w:ascii="Calibri" w:hAnsi="Calibri" w:cs="Calibri"/>
          <w:bCs/>
          <w:color w:val="000000" w:themeColor="text1"/>
          <w:sz w:val="24"/>
          <w:szCs w:val="24"/>
          <w:lang w:val="en-IN"/>
        </w:rPr>
        <w:t xml:space="preserve">–78. </w:t>
      </w:r>
    </w:p>
    <w:p w14:paraId="4C35D323" w14:textId="74C03638" w:rsidR="00EE5B0B" w:rsidRPr="00EE5B0B" w:rsidRDefault="00EE5B0B" w:rsidP="00EE5B0B">
      <w:pPr>
        <w:pStyle w:val="ListParagraph"/>
        <w:numPr>
          <w:ilvl w:val="0"/>
          <w:numId w:val="39"/>
        </w:numPr>
        <w:spacing w:after="0" w:line="240" w:lineRule="auto"/>
        <w:ind w:left="0" w:firstLine="0"/>
        <w:jc w:val="both"/>
        <w:rPr>
          <w:rFonts w:ascii="Calibri" w:hAnsi="Calibri" w:cs="Calibri"/>
          <w:bCs/>
          <w:color w:val="000000" w:themeColor="text1"/>
          <w:sz w:val="24"/>
          <w:szCs w:val="24"/>
          <w:lang w:val="en-IN"/>
        </w:rPr>
      </w:pPr>
      <w:proofErr w:type="spellStart"/>
      <w:r w:rsidRPr="00EE5B0B">
        <w:rPr>
          <w:rFonts w:ascii="Calibri" w:hAnsi="Calibri" w:cs="Calibri"/>
          <w:bCs/>
          <w:color w:val="000000" w:themeColor="text1"/>
          <w:sz w:val="24"/>
          <w:szCs w:val="24"/>
          <w:lang w:val="en-IN"/>
        </w:rPr>
        <w:t>Maklad</w:t>
      </w:r>
      <w:proofErr w:type="spellEnd"/>
      <w:r w:rsidRPr="00EE5B0B">
        <w:rPr>
          <w:rFonts w:ascii="Calibri" w:hAnsi="Calibri" w:cs="Calibri"/>
          <w:bCs/>
          <w:color w:val="000000" w:themeColor="text1"/>
          <w:sz w:val="24"/>
          <w:szCs w:val="24"/>
          <w:lang w:val="en-IN"/>
        </w:rPr>
        <w:t xml:space="preserve"> A, </w:t>
      </w:r>
      <w:proofErr w:type="spellStart"/>
      <w:r w:rsidRPr="00EE5B0B">
        <w:rPr>
          <w:rFonts w:ascii="Calibri" w:hAnsi="Calibri" w:cs="Calibri"/>
          <w:bCs/>
          <w:color w:val="000000" w:themeColor="text1"/>
          <w:sz w:val="24"/>
          <w:szCs w:val="24"/>
          <w:lang w:val="en-IN"/>
        </w:rPr>
        <w:t>Fritzsch</w:t>
      </w:r>
      <w:proofErr w:type="spellEnd"/>
      <w:r w:rsidRPr="00EE5B0B">
        <w:rPr>
          <w:rFonts w:ascii="Calibri" w:hAnsi="Calibri" w:cs="Calibri"/>
          <w:bCs/>
          <w:color w:val="000000" w:themeColor="text1"/>
          <w:sz w:val="24"/>
          <w:szCs w:val="24"/>
          <w:lang w:val="en-IN"/>
        </w:rPr>
        <w:t xml:space="preserve"> B. Development of vestibular afferent projections into the hindbrain and their central targets. Brain Res Bull. 2003;60(5–6):497–510. </w:t>
      </w:r>
    </w:p>
    <w:p w14:paraId="47F1C267" w14:textId="2E4AAA9C" w:rsidR="00EE5B0B" w:rsidRPr="00EE5B0B" w:rsidRDefault="00EE5B0B" w:rsidP="00EE5B0B">
      <w:pPr>
        <w:pStyle w:val="ListParagraph"/>
        <w:numPr>
          <w:ilvl w:val="0"/>
          <w:numId w:val="39"/>
        </w:numPr>
        <w:spacing w:after="0" w:line="240" w:lineRule="auto"/>
        <w:ind w:left="0" w:firstLine="0"/>
        <w:jc w:val="both"/>
        <w:rPr>
          <w:rFonts w:ascii="Calibri" w:hAnsi="Calibri" w:cs="Calibri"/>
          <w:bCs/>
          <w:color w:val="000000" w:themeColor="text1"/>
          <w:sz w:val="24"/>
          <w:szCs w:val="24"/>
          <w:lang w:val="en-IN"/>
        </w:rPr>
      </w:pPr>
      <w:r w:rsidRPr="00EE5B0B">
        <w:rPr>
          <w:rFonts w:ascii="Calibri" w:hAnsi="Calibri" w:cs="Calibri"/>
          <w:bCs/>
          <w:color w:val="000000" w:themeColor="text1"/>
          <w:sz w:val="24"/>
          <w:szCs w:val="24"/>
          <w:lang w:val="en-IN"/>
        </w:rPr>
        <w:t xml:space="preserve">Khan S, Chang R. Anatomy of the vestibular system: a review. </w:t>
      </w:r>
      <w:proofErr w:type="spellStart"/>
      <w:r w:rsidRPr="00EE5B0B">
        <w:rPr>
          <w:rFonts w:ascii="Calibri" w:hAnsi="Calibri" w:cs="Calibri"/>
          <w:bCs/>
          <w:color w:val="000000" w:themeColor="text1"/>
          <w:sz w:val="24"/>
          <w:szCs w:val="24"/>
          <w:lang w:val="en-IN"/>
        </w:rPr>
        <w:t>NeuroRehabilitation</w:t>
      </w:r>
      <w:proofErr w:type="spellEnd"/>
      <w:r w:rsidRPr="00EE5B0B">
        <w:rPr>
          <w:rFonts w:ascii="Calibri" w:hAnsi="Calibri" w:cs="Calibri"/>
          <w:bCs/>
          <w:color w:val="000000" w:themeColor="text1"/>
          <w:sz w:val="24"/>
          <w:szCs w:val="24"/>
          <w:lang w:val="en-IN"/>
        </w:rPr>
        <w:t xml:space="preserve">. 2013;32(3):437–43. </w:t>
      </w:r>
    </w:p>
    <w:p w14:paraId="20BBB758" w14:textId="74FC63F8" w:rsidR="00EE5B0B" w:rsidRPr="00EE5B0B" w:rsidRDefault="00EE5B0B" w:rsidP="00EE5B0B">
      <w:pPr>
        <w:pStyle w:val="ListParagraph"/>
        <w:numPr>
          <w:ilvl w:val="0"/>
          <w:numId w:val="39"/>
        </w:numPr>
        <w:spacing w:after="0" w:line="240" w:lineRule="auto"/>
        <w:ind w:left="0" w:firstLine="0"/>
        <w:jc w:val="both"/>
        <w:rPr>
          <w:rFonts w:ascii="Calibri" w:hAnsi="Calibri" w:cs="Calibri"/>
          <w:bCs/>
          <w:color w:val="000000" w:themeColor="text1"/>
          <w:sz w:val="24"/>
          <w:szCs w:val="24"/>
          <w:lang w:val="en-IN"/>
        </w:rPr>
      </w:pPr>
      <w:r w:rsidRPr="00EE5B0B">
        <w:rPr>
          <w:rFonts w:ascii="Calibri" w:hAnsi="Calibri" w:cs="Calibri"/>
          <w:bCs/>
          <w:color w:val="000000" w:themeColor="text1"/>
          <w:sz w:val="24"/>
          <w:szCs w:val="24"/>
          <w:lang w:val="en-IN"/>
        </w:rPr>
        <w:t xml:space="preserve">Richter E. Quantitative study of human Scarpa’s ganglion and vestibular sensory epithelia. Acta </w:t>
      </w:r>
      <w:proofErr w:type="spellStart"/>
      <w:r w:rsidRPr="00EE5B0B">
        <w:rPr>
          <w:rFonts w:ascii="Calibri" w:hAnsi="Calibri" w:cs="Calibri"/>
          <w:bCs/>
          <w:color w:val="000000" w:themeColor="text1"/>
          <w:sz w:val="24"/>
          <w:szCs w:val="24"/>
          <w:lang w:val="en-IN"/>
        </w:rPr>
        <w:t>Otolaryngol</w:t>
      </w:r>
      <w:proofErr w:type="spellEnd"/>
      <w:r w:rsidRPr="00EE5B0B">
        <w:rPr>
          <w:rFonts w:ascii="Calibri" w:hAnsi="Calibri" w:cs="Calibri"/>
          <w:bCs/>
          <w:color w:val="000000" w:themeColor="text1"/>
          <w:sz w:val="24"/>
          <w:szCs w:val="24"/>
          <w:lang w:val="en-IN"/>
        </w:rPr>
        <w:t xml:space="preserve">. 1980;90(1–6):199–208. </w:t>
      </w:r>
    </w:p>
    <w:p w14:paraId="5C758136" w14:textId="01C1C6D5" w:rsidR="00EE5B0B" w:rsidRPr="00EE5B0B" w:rsidRDefault="00EE5B0B" w:rsidP="00EE5B0B">
      <w:pPr>
        <w:pStyle w:val="ListParagraph"/>
        <w:numPr>
          <w:ilvl w:val="0"/>
          <w:numId w:val="39"/>
        </w:numPr>
        <w:spacing w:after="0" w:line="240" w:lineRule="auto"/>
        <w:ind w:left="0" w:firstLine="0"/>
        <w:jc w:val="both"/>
        <w:rPr>
          <w:rFonts w:ascii="Calibri" w:hAnsi="Calibri" w:cs="Calibri"/>
          <w:bCs/>
          <w:color w:val="000000" w:themeColor="text1"/>
          <w:sz w:val="24"/>
          <w:szCs w:val="24"/>
          <w:lang w:val="en-IN"/>
        </w:rPr>
      </w:pPr>
      <w:proofErr w:type="spellStart"/>
      <w:r w:rsidRPr="00EE5B0B">
        <w:rPr>
          <w:rFonts w:ascii="Calibri" w:hAnsi="Calibri" w:cs="Calibri"/>
          <w:bCs/>
          <w:color w:val="000000" w:themeColor="text1"/>
          <w:sz w:val="24"/>
          <w:szCs w:val="24"/>
          <w:lang w:val="en-IN"/>
        </w:rPr>
        <w:t>Bäurle</w:t>
      </w:r>
      <w:proofErr w:type="spellEnd"/>
      <w:r w:rsidRPr="00EE5B0B">
        <w:rPr>
          <w:rFonts w:ascii="Calibri" w:hAnsi="Calibri" w:cs="Calibri"/>
          <w:bCs/>
          <w:color w:val="000000" w:themeColor="text1"/>
          <w:sz w:val="24"/>
          <w:szCs w:val="24"/>
          <w:lang w:val="en-IN"/>
        </w:rPr>
        <w:t xml:space="preserve"> J, </w:t>
      </w:r>
      <w:proofErr w:type="spellStart"/>
      <w:r w:rsidRPr="00EE5B0B">
        <w:rPr>
          <w:rFonts w:ascii="Calibri" w:hAnsi="Calibri" w:cs="Calibri"/>
          <w:bCs/>
          <w:color w:val="000000" w:themeColor="text1"/>
          <w:sz w:val="24"/>
          <w:szCs w:val="24"/>
          <w:lang w:val="en-IN"/>
        </w:rPr>
        <w:t>Guldin</w:t>
      </w:r>
      <w:proofErr w:type="spellEnd"/>
      <w:r w:rsidRPr="00EE5B0B">
        <w:rPr>
          <w:rFonts w:ascii="Calibri" w:hAnsi="Calibri" w:cs="Calibri"/>
          <w:bCs/>
          <w:color w:val="000000" w:themeColor="text1"/>
          <w:sz w:val="24"/>
          <w:szCs w:val="24"/>
          <w:lang w:val="en-IN"/>
        </w:rPr>
        <w:t xml:space="preserve"> W. Unbiased number of vestibular ganglion neurons in the mouse. </w:t>
      </w:r>
      <w:proofErr w:type="spellStart"/>
      <w:r w:rsidRPr="00EE5B0B">
        <w:rPr>
          <w:rFonts w:ascii="Calibri" w:hAnsi="Calibri" w:cs="Calibri"/>
          <w:bCs/>
          <w:color w:val="000000" w:themeColor="text1"/>
          <w:sz w:val="24"/>
          <w:szCs w:val="24"/>
          <w:lang w:val="en-IN"/>
        </w:rPr>
        <w:t>Neurosci</w:t>
      </w:r>
      <w:proofErr w:type="spellEnd"/>
      <w:r w:rsidRPr="00EE5B0B">
        <w:rPr>
          <w:rFonts w:ascii="Calibri" w:hAnsi="Calibri" w:cs="Calibri"/>
          <w:bCs/>
          <w:color w:val="000000" w:themeColor="text1"/>
          <w:sz w:val="24"/>
          <w:szCs w:val="24"/>
          <w:lang w:val="en-IN"/>
        </w:rPr>
        <w:t xml:space="preserve"> Lett. 1998;246(2):89–92. </w:t>
      </w:r>
    </w:p>
    <w:p w14:paraId="22EAD115" w14:textId="0A24F9DA" w:rsidR="00EE5B0B" w:rsidRPr="00EE5B0B" w:rsidRDefault="00EE5B0B" w:rsidP="00EE5B0B">
      <w:pPr>
        <w:pStyle w:val="ListParagraph"/>
        <w:numPr>
          <w:ilvl w:val="0"/>
          <w:numId w:val="39"/>
        </w:numPr>
        <w:spacing w:after="0" w:line="240" w:lineRule="auto"/>
        <w:ind w:left="0" w:firstLine="0"/>
        <w:jc w:val="both"/>
        <w:rPr>
          <w:rFonts w:ascii="Calibri" w:hAnsi="Calibri" w:cs="Calibri"/>
          <w:bCs/>
          <w:color w:val="000000" w:themeColor="text1"/>
          <w:sz w:val="24"/>
          <w:szCs w:val="24"/>
          <w:lang w:val="en-IN"/>
        </w:rPr>
      </w:pPr>
      <w:r w:rsidRPr="00EE5B0B">
        <w:rPr>
          <w:rFonts w:ascii="Calibri" w:hAnsi="Calibri" w:cs="Calibri"/>
          <w:bCs/>
          <w:color w:val="000000" w:themeColor="text1"/>
          <w:sz w:val="24"/>
          <w:szCs w:val="24"/>
          <w:lang w:val="en-IN"/>
        </w:rPr>
        <w:t xml:space="preserve">Park JJ, Tang Y, Lopez I, Ishiyama A. Unbiased stereological quantification of neurons in the human vestibular ganglion. </w:t>
      </w:r>
      <w:proofErr w:type="spellStart"/>
      <w:r w:rsidRPr="00EE5B0B">
        <w:rPr>
          <w:rFonts w:ascii="Calibri" w:hAnsi="Calibri" w:cs="Calibri"/>
          <w:bCs/>
          <w:color w:val="000000" w:themeColor="text1"/>
          <w:sz w:val="24"/>
          <w:szCs w:val="24"/>
          <w:lang w:val="en-IN"/>
        </w:rPr>
        <w:t>Neuroreport</w:t>
      </w:r>
      <w:proofErr w:type="spellEnd"/>
      <w:r w:rsidRPr="00EE5B0B">
        <w:rPr>
          <w:rFonts w:ascii="Calibri" w:hAnsi="Calibri" w:cs="Calibri"/>
          <w:bCs/>
          <w:color w:val="000000" w:themeColor="text1"/>
          <w:sz w:val="24"/>
          <w:szCs w:val="24"/>
          <w:lang w:val="en-IN"/>
        </w:rPr>
        <w:t xml:space="preserve">. 2000;11(4):853–7. </w:t>
      </w:r>
    </w:p>
    <w:p w14:paraId="2563CBA7" w14:textId="23AF650B" w:rsidR="00EE5B0B" w:rsidRPr="00EE5B0B" w:rsidRDefault="00EE5B0B" w:rsidP="00EE5B0B">
      <w:pPr>
        <w:pStyle w:val="ListParagraph"/>
        <w:numPr>
          <w:ilvl w:val="0"/>
          <w:numId w:val="39"/>
        </w:numPr>
        <w:spacing w:after="0" w:line="240" w:lineRule="auto"/>
        <w:ind w:left="0" w:firstLine="0"/>
        <w:jc w:val="both"/>
        <w:rPr>
          <w:rFonts w:ascii="Calibri" w:hAnsi="Calibri" w:cs="Calibri"/>
          <w:bCs/>
          <w:color w:val="000000" w:themeColor="text1"/>
          <w:sz w:val="24"/>
          <w:szCs w:val="24"/>
          <w:lang w:val="en-IN"/>
        </w:rPr>
      </w:pPr>
      <w:r w:rsidRPr="00EE5B0B">
        <w:rPr>
          <w:rFonts w:ascii="Calibri" w:hAnsi="Calibri" w:cs="Calibri"/>
          <w:bCs/>
          <w:color w:val="000000" w:themeColor="text1"/>
          <w:sz w:val="24"/>
          <w:szCs w:val="24"/>
          <w:lang w:val="en-IN"/>
        </w:rPr>
        <w:t xml:space="preserve">Balmer TS, Trussell LO. Vestibular organ dissection and whole-mount immunolabeling in mouse. Bio </w:t>
      </w:r>
      <w:proofErr w:type="spellStart"/>
      <w:r w:rsidRPr="00EE5B0B">
        <w:rPr>
          <w:rFonts w:ascii="Calibri" w:hAnsi="Calibri" w:cs="Calibri"/>
          <w:bCs/>
          <w:color w:val="000000" w:themeColor="text1"/>
          <w:sz w:val="24"/>
          <w:szCs w:val="24"/>
          <w:lang w:val="en-IN"/>
        </w:rPr>
        <w:t>Protoc</w:t>
      </w:r>
      <w:proofErr w:type="spellEnd"/>
      <w:r w:rsidRPr="00EE5B0B">
        <w:rPr>
          <w:rFonts w:ascii="Calibri" w:hAnsi="Calibri" w:cs="Calibri"/>
          <w:bCs/>
          <w:color w:val="000000" w:themeColor="text1"/>
          <w:sz w:val="24"/>
          <w:szCs w:val="24"/>
          <w:lang w:val="en-IN"/>
        </w:rPr>
        <w:t>. 2022;12(10</w:t>
      </w:r>
      <w:proofErr w:type="gramStart"/>
      <w:r w:rsidRPr="00EE5B0B">
        <w:rPr>
          <w:rFonts w:ascii="Calibri" w:hAnsi="Calibri" w:cs="Calibri"/>
          <w:bCs/>
          <w:color w:val="000000" w:themeColor="text1"/>
          <w:sz w:val="24"/>
          <w:szCs w:val="24"/>
          <w:lang w:val="en-IN"/>
        </w:rPr>
        <w:t>):e</w:t>
      </w:r>
      <w:proofErr w:type="gramEnd"/>
      <w:r w:rsidRPr="00EE5B0B">
        <w:rPr>
          <w:rFonts w:ascii="Calibri" w:hAnsi="Calibri" w:cs="Calibri"/>
          <w:bCs/>
          <w:color w:val="000000" w:themeColor="text1"/>
          <w:sz w:val="24"/>
          <w:szCs w:val="24"/>
          <w:lang w:val="en-IN"/>
        </w:rPr>
        <w:t xml:space="preserve">4416. doi:10.21769/BioProtoc.4416. </w:t>
      </w:r>
    </w:p>
    <w:p w14:paraId="008881EA" w14:textId="3BDC180E" w:rsidR="00EE5B0B" w:rsidRPr="00EE5B0B" w:rsidRDefault="00EE5B0B" w:rsidP="00EE5B0B">
      <w:pPr>
        <w:pStyle w:val="ListParagraph"/>
        <w:numPr>
          <w:ilvl w:val="0"/>
          <w:numId w:val="39"/>
        </w:numPr>
        <w:spacing w:after="0" w:line="240" w:lineRule="auto"/>
        <w:ind w:left="0" w:firstLine="0"/>
        <w:jc w:val="both"/>
        <w:rPr>
          <w:rFonts w:ascii="Calibri" w:hAnsi="Calibri" w:cs="Calibri"/>
          <w:bCs/>
          <w:color w:val="000000" w:themeColor="text1"/>
          <w:sz w:val="24"/>
          <w:szCs w:val="24"/>
          <w:lang w:val="en-IN"/>
        </w:rPr>
      </w:pPr>
      <w:r w:rsidRPr="00EE5B0B">
        <w:rPr>
          <w:rFonts w:ascii="Calibri" w:hAnsi="Calibri" w:cs="Calibri"/>
          <w:bCs/>
          <w:color w:val="000000" w:themeColor="text1"/>
          <w:sz w:val="24"/>
          <w:szCs w:val="24"/>
          <w:lang w:val="en-IN"/>
        </w:rPr>
        <w:t xml:space="preserve">Li A, Xue J, Peterson EH. Architecture of the mouse utricle: macular organization and hair bundle heights. J </w:t>
      </w:r>
      <w:proofErr w:type="spellStart"/>
      <w:r w:rsidRPr="00EE5B0B">
        <w:rPr>
          <w:rFonts w:ascii="Calibri" w:hAnsi="Calibri" w:cs="Calibri"/>
          <w:bCs/>
          <w:color w:val="000000" w:themeColor="text1"/>
          <w:sz w:val="24"/>
          <w:szCs w:val="24"/>
          <w:lang w:val="en-IN"/>
        </w:rPr>
        <w:t>Neurophysiol</w:t>
      </w:r>
      <w:proofErr w:type="spellEnd"/>
      <w:r w:rsidRPr="00EE5B0B">
        <w:rPr>
          <w:rFonts w:ascii="Calibri" w:hAnsi="Calibri" w:cs="Calibri"/>
          <w:bCs/>
          <w:color w:val="000000" w:themeColor="text1"/>
          <w:sz w:val="24"/>
          <w:szCs w:val="24"/>
          <w:lang w:val="en-IN"/>
        </w:rPr>
        <w:t xml:space="preserve">. 2008;99(2):718–33. </w:t>
      </w:r>
    </w:p>
    <w:p w14:paraId="0FECA2FC" w14:textId="428E0A53" w:rsidR="00EE5B0B" w:rsidRPr="00EE5B0B" w:rsidRDefault="00EE5B0B" w:rsidP="00EE5B0B">
      <w:pPr>
        <w:pStyle w:val="ListParagraph"/>
        <w:numPr>
          <w:ilvl w:val="0"/>
          <w:numId w:val="39"/>
        </w:numPr>
        <w:spacing w:after="0" w:line="240" w:lineRule="auto"/>
        <w:ind w:left="0" w:firstLine="0"/>
        <w:jc w:val="both"/>
        <w:rPr>
          <w:rFonts w:ascii="Calibri" w:hAnsi="Calibri" w:cs="Calibri"/>
          <w:bCs/>
          <w:color w:val="000000" w:themeColor="text1"/>
          <w:sz w:val="24"/>
          <w:szCs w:val="24"/>
          <w:lang w:val="en-IN"/>
        </w:rPr>
      </w:pPr>
      <w:r w:rsidRPr="00EE5B0B">
        <w:rPr>
          <w:rFonts w:ascii="Calibri" w:hAnsi="Calibri" w:cs="Calibri"/>
          <w:bCs/>
          <w:color w:val="000000" w:themeColor="text1"/>
          <w:sz w:val="24"/>
          <w:szCs w:val="24"/>
          <w:lang w:val="en-IN"/>
        </w:rPr>
        <w:t xml:space="preserve">Lysakowski A, et al. Molecular microdomains in a sensory terminal, the vestibular calyx ending. J Neurosci. 2011;31(27):10101–14. </w:t>
      </w:r>
    </w:p>
    <w:p w14:paraId="04356123" w14:textId="1DEB0409" w:rsidR="00EE5B0B" w:rsidRPr="00EE5B0B" w:rsidRDefault="00EE5B0B" w:rsidP="00EE5B0B">
      <w:pPr>
        <w:pStyle w:val="ListParagraph"/>
        <w:numPr>
          <w:ilvl w:val="0"/>
          <w:numId w:val="39"/>
        </w:numPr>
        <w:spacing w:after="0" w:line="240" w:lineRule="auto"/>
        <w:ind w:left="0" w:firstLine="0"/>
        <w:jc w:val="both"/>
        <w:rPr>
          <w:rFonts w:ascii="Calibri" w:hAnsi="Calibri" w:cs="Calibri"/>
          <w:bCs/>
          <w:color w:val="000000" w:themeColor="text1"/>
          <w:sz w:val="24"/>
          <w:szCs w:val="24"/>
          <w:lang w:val="en-IN"/>
        </w:rPr>
      </w:pPr>
      <w:r w:rsidRPr="00EE5B0B">
        <w:rPr>
          <w:rFonts w:ascii="Calibri" w:hAnsi="Calibri" w:cs="Calibri"/>
          <w:bCs/>
          <w:color w:val="000000" w:themeColor="text1"/>
          <w:sz w:val="24"/>
          <w:szCs w:val="24"/>
          <w:lang w:val="en-IN"/>
        </w:rPr>
        <w:t xml:space="preserve">Golub JS, et al. Hair cell replacement in adult mouse utricles after targeted ablation of hair cells with diphtheria toxin. J Neurosci. 2012;32(43):15093–105. </w:t>
      </w:r>
    </w:p>
    <w:p w14:paraId="0EDC348D" w14:textId="44DC9624" w:rsidR="00EE5B0B" w:rsidRPr="00EE5B0B" w:rsidRDefault="00EE5B0B" w:rsidP="00EE5B0B">
      <w:pPr>
        <w:pStyle w:val="ListParagraph"/>
        <w:numPr>
          <w:ilvl w:val="0"/>
          <w:numId w:val="39"/>
        </w:numPr>
        <w:spacing w:after="0" w:line="240" w:lineRule="auto"/>
        <w:ind w:left="0" w:firstLine="0"/>
        <w:jc w:val="both"/>
        <w:rPr>
          <w:rFonts w:ascii="Calibri" w:hAnsi="Calibri" w:cs="Calibri"/>
          <w:bCs/>
          <w:color w:val="000000" w:themeColor="text1"/>
          <w:sz w:val="24"/>
          <w:szCs w:val="24"/>
          <w:lang w:val="en-IN"/>
        </w:rPr>
      </w:pPr>
      <w:r w:rsidRPr="00EE5B0B">
        <w:rPr>
          <w:rFonts w:ascii="Calibri" w:hAnsi="Calibri" w:cs="Calibri"/>
          <w:bCs/>
          <w:color w:val="000000" w:themeColor="text1"/>
          <w:sz w:val="24"/>
          <w:szCs w:val="24"/>
          <w:lang w:val="en-IN"/>
        </w:rPr>
        <w:t xml:space="preserve">Hoffman LF, Choy KR, Sultemeier DR, Simmons DD. </w:t>
      </w:r>
      <w:proofErr w:type="spellStart"/>
      <w:r w:rsidRPr="00EE5B0B">
        <w:rPr>
          <w:rFonts w:ascii="Calibri" w:hAnsi="Calibri" w:cs="Calibri"/>
          <w:bCs/>
          <w:color w:val="000000" w:themeColor="text1"/>
          <w:sz w:val="24"/>
          <w:szCs w:val="24"/>
          <w:lang w:val="en-IN"/>
        </w:rPr>
        <w:t>Oncomodulin</w:t>
      </w:r>
      <w:proofErr w:type="spellEnd"/>
      <w:r w:rsidRPr="00EE5B0B">
        <w:rPr>
          <w:rFonts w:ascii="Calibri" w:hAnsi="Calibri" w:cs="Calibri"/>
          <w:bCs/>
          <w:color w:val="000000" w:themeColor="text1"/>
          <w:sz w:val="24"/>
          <w:szCs w:val="24"/>
          <w:lang w:val="en-IN"/>
        </w:rPr>
        <w:t xml:space="preserve"> expression reveals new insights into the cellular organization of the murine utricle striola. J Assoc Res </w:t>
      </w:r>
      <w:proofErr w:type="spellStart"/>
      <w:r w:rsidRPr="00EE5B0B">
        <w:rPr>
          <w:rFonts w:ascii="Calibri" w:hAnsi="Calibri" w:cs="Calibri"/>
          <w:bCs/>
          <w:color w:val="000000" w:themeColor="text1"/>
          <w:sz w:val="24"/>
          <w:szCs w:val="24"/>
          <w:lang w:val="en-IN"/>
        </w:rPr>
        <w:t>Otolaryngol</w:t>
      </w:r>
      <w:proofErr w:type="spellEnd"/>
      <w:r w:rsidRPr="00EE5B0B">
        <w:rPr>
          <w:rFonts w:ascii="Calibri" w:hAnsi="Calibri" w:cs="Calibri"/>
          <w:bCs/>
          <w:color w:val="000000" w:themeColor="text1"/>
          <w:sz w:val="24"/>
          <w:szCs w:val="24"/>
          <w:lang w:val="en-IN"/>
        </w:rPr>
        <w:t xml:space="preserve">. 2018;19(1):33–51. </w:t>
      </w:r>
    </w:p>
    <w:p w14:paraId="30D8C33A" w14:textId="0F4EE590" w:rsidR="00EE5B0B" w:rsidRPr="00EE5B0B" w:rsidRDefault="00EE5B0B" w:rsidP="00EE5B0B">
      <w:pPr>
        <w:pStyle w:val="ListParagraph"/>
        <w:numPr>
          <w:ilvl w:val="0"/>
          <w:numId w:val="39"/>
        </w:numPr>
        <w:spacing w:after="0" w:line="240" w:lineRule="auto"/>
        <w:ind w:left="0" w:firstLine="0"/>
        <w:jc w:val="both"/>
        <w:rPr>
          <w:rFonts w:ascii="Calibri" w:hAnsi="Calibri" w:cs="Calibri"/>
          <w:bCs/>
          <w:color w:val="000000" w:themeColor="text1"/>
          <w:sz w:val="24"/>
          <w:szCs w:val="24"/>
          <w:lang w:val="en-IN"/>
        </w:rPr>
      </w:pPr>
      <w:r w:rsidRPr="00EE5B0B">
        <w:rPr>
          <w:rFonts w:ascii="Calibri" w:hAnsi="Calibri" w:cs="Calibri"/>
          <w:bCs/>
          <w:color w:val="000000" w:themeColor="text1"/>
          <w:sz w:val="24"/>
          <w:szCs w:val="24"/>
          <w:lang w:val="en-IN"/>
        </w:rPr>
        <w:t xml:space="preserve">Montgomery SC, Cox BC. Whole mount dissection and immunofluorescence of the adult mouse cochlea. J Vis Exp. 2016;(107):53561. doi:10.3791/53561. </w:t>
      </w:r>
    </w:p>
    <w:p w14:paraId="06C65A88" w14:textId="15B7DF45" w:rsidR="00EE5B0B" w:rsidRPr="00EE5B0B" w:rsidRDefault="00EE5B0B" w:rsidP="00EE5B0B">
      <w:pPr>
        <w:pStyle w:val="ListParagraph"/>
        <w:numPr>
          <w:ilvl w:val="0"/>
          <w:numId w:val="39"/>
        </w:numPr>
        <w:spacing w:after="0" w:line="240" w:lineRule="auto"/>
        <w:ind w:left="0" w:firstLine="0"/>
        <w:jc w:val="both"/>
        <w:rPr>
          <w:rFonts w:ascii="Calibri" w:hAnsi="Calibri" w:cs="Calibri"/>
          <w:bCs/>
          <w:color w:val="000000" w:themeColor="text1"/>
          <w:sz w:val="24"/>
          <w:szCs w:val="24"/>
          <w:lang w:val="en-IN"/>
        </w:rPr>
      </w:pPr>
      <w:proofErr w:type="spellStart"/>
      <w:r w:rsidRPr="00EE5B0B">
        <w:rPr>
          <w:rFonts w:ascii="Calibri" w:hAnsi="Calibri" w:cs="Calibri"/>
          <w:bCs/>
          <w:color w:val="000000" w:themeColor="text1"/>
          <w:sz w:val="24"/>
          <w:szCs w:val="24"/>
          <w:lang w:val="en-IN"/>
        </w:rPr>
        <w:t>Ratzan</w:t>
      </w:r>
      <w:proofErr w:type="spellEnd"/>
      <w:r w:rsidRPr="00EE5B0B">
        <w:rPr>
          <w:rFonts w:ascii="Calibri" w:hAnsi="Calibri" w:cs="Calibri"/>
          <w:bCs/>
          <w:color w:val="000000" w:themeColor="text1"/>
          <w:sz w:val="24"/>
          <w:szCs w:val="24"/>
          <w:lang w:val="en-IN"/>
        </w:rPr>
        <w:t xml:space="preserve"> EM, Davis W, Brodsky JR. Investigation of vestibular dysfunction requires renewed research enthusiasm. J Assoc Res </w:t>
      </w:r>
      <w:proofErr w:type="spellStart"/>
      <w:r w:rsidRPr="00EE5B0B">
        <w:rPr>
          <w:rFonts w:ascii="Calibri" w:hAnsi="Calibri" w:cs="Calibri"/>
          <w:bCs/>
          <w:color w:val="000000" w:themeColor="text1"/>
          <w:sz w:val="24"/>
          <w:szCs w:val="24"/>
          <w:lang w:val="en-IN"/>
        </w:rPr>
        <w:t>Otolaryngol</w:t>
      </w:r>
      <w:proofErr w:type="spellEnd"/>
      <w:r w:rsidRPr="00EE5B0B">
        <w:rPr>
          <w:rFonts w:ascii="Calibri" w:hAnsi="Calibri" w:cs="Calibri"/>
          <w:bCs/>
          <w:color w:val="000000" w:themeColor="text1"/>
          <w:sz w:val="24"/>
          <w:szCs w:val="24"/>
          <w:lang w:val="en-IN"/>
        </w:rPr>
        <w:t xml:space="preserve">. 2026;27(1):25–36. </w:t>
      </w:r>
    </w:p>
    <w:p w14:paraId="662E4E81" w14:textId="36BEA140" w:rsidR="006E4797" w:rsidRPr="00EE5B0B" w:rsidRDefault="00EE5B0B" w:rsidP="00EE5B0B">
      <w:pPr>
        <w:pStyle w:val="ListParagraph"/>
        <w:numPr>
          <w:ilvl w:val="0"/>
          <w:numId w:val="39"/>
        </w:numPr>
        <w:spacing w:after="0" w:line="240" w:lineRule="auto"/>
        <w:ind w:left="0" w:firstLine="0"/>
        <w:jc w:val="both"/>
        <w:rPr>
          <w:rFonts w:ascii="Calibri" w:hAnsi="Calibri" w:cs="Calibri"/>
          <w:bCs/>
          <w:color w:val="000000" w:themeColor="text1"/>
          <w:sz w:val="24"/>
          <w:szCs w:val="24"/>
        </w:rPr>
      </w:pPr>
      <w:r w:rsidRPr="00EE5B0B">
        <w:rPr>
          <w:rFonts w:ascii="Calibri" w:hAnsi="Calibri" w:cs="Calibri"/>
          <w:bCs/>
          <w:color w:val="000000" w:themeColor="text1"/>
          <w:sz w:val="24"/>
          <w:szCs w:val="24"/>
          <w:lang w:val="en-IN"/>
        </w:rPr>
        <w:t>Johnson SB, Schmitz HM, Santi PA. TSLIM imaging and a morphometric analysis of the mouse spiral ganglion. Hear Res. 2011;278(1–2):34–42.</w:t>
      </w:r>
    </w:p>
    <w:p w14:paraId="131D3BC6" w14:textId="638ADE5E" w:rsidR="00BE22A2" w:rsidRPr="00C82009" w:rsidRDefault="00BE22A2" w:rsidP="00444965">
      <w:pPr>
        <w:rPr>
          <w:b/>
          <w:color w:val="808080"/>
        </w:rPr>
      </w:pPr>
    </w:p>
    <w:p w14:paraId="618198E8" w14:textId="43D3F78A" w:rsidR="00BE22A2" w:rsidRPr="00C82009" w:rsidRDefault="00BE22A2" w:rsidP="00444965">
      <w:pPr>
        <w:rPr>
          <w:b/>
          <w:color w:val="808080"/>
        </w:rPr>
      </w:pPr>
    </w:p>
    <w:sectPr w:rsidR="00BE22A2" w:rsidRPr="00C82009" w:rsidSect="00EE5B0B">
      <w:headerReference w:type="even" r:id="rId10"/>
      <w:headerReference w:type="default" r:id="rId11"/>
      <w:footerReference w:type="even"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519CA" w14:textId="77777777" w:rsidR="002D2D4D" w:rsidRDefault="002D2D4D">
      <w:r>
        <w:separator/>
      </w:r>
    </w:p>
  </w:endnote>
  <w:endnote w:type="continuationSeparator" w:id="0">
    <w:p w14:paraId="3A863B18" w14:textId="77777777" w:rsidR="002D2D4D" w:rsidRDefault="002D2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56697" w14:textId="77777777" w:rsidR="002D2D4D" w:rsidRDefault="002D2D4D">
      <w:r>
        <w:separator/>
      </w:r>
    </w:p>
  </w:footnote>
  <w:footnote w:type="continuationSeparator" w:id="0">
    <w:p w14:paraId="3BC48C0B" w14:textId="77777777" w:rsidR="002D2D4D" w:rsidRDefault="002D2D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0A415" w14:textId="77777777" w:rsidR="006E4797" w:rsidRDefault="008F595A">
    <w:pPr>
      <w:pBdr>
        <w:top w:val="nil"/>
        <w:left w:val="nil"/>
        <w:bottom w:val="nil"/>
        <w:right w:val="nil"/>
        <w:between w:val="nil"/>
      </w:pBdr>
      <w:tabs>
        <w:tab w:val="center" w:pos="4680"/>
        <w:tab w:val="left" w:pos="5724"/>
        <w:tab w:val="right" w:pos="9360"/>
      </w:tabs>
      <w:rPr>
        <w:b/>
        <w:color w:val="1F497D"/>
        <w:sz w:val="28"/>
        <w:szCs w:val="28"/>
      </w:rPr>
    </w:pPr>
    <w:bookmarkStart w:id="6" w:name="_26in1rg" w:colFirst="0" w:colLast="0"/>
    <w:bookmarkEnd w:id="6"/>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4381B"/>
    <w:multiLevelType w:val="multilevel"/>
    <w:tmpl w:val="67CC7D1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0A4F8A"/>
    <w:multiLevelType w:val="multilevel"/>
    <w:tmpl w:val="2BB8BB3E"/>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17E5160"/>
    <w:multiLevelType w:val="multilevel"/>
    <w:tmpl w:val="4A1EEF8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65E56C7"/>
    <w:multiLevelType w:val="multilevel"/>
    <w:tmpl w:val="B32E64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3A01DF"/>
    <w:multiLevelType w:val="multilevel"/>
    <w:tmpl w:val="2A0EB45C"/>
    <w:lvl w:ilvl="0">
      <w:start w:val="1"/>
      <w:numFmt w:val="decimal"/>
      <w:lvlText w:val="%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3.1.1"/>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44C3419"/>
    <w:multiLevelType w:val="hybridMultilevel"/>
    <w:tmpl w:val="9DECFA70"/>
    <w:lvl w:ilvl="0" w:tplc="E0886718">
      <w:numFmt w:val="bullet"/>
      <w:lvlText w:val=""/>
      <w:lvlJc w:val="left"/>
      <w:pPr>
        <w:ind w:left="720" w:hanging="360"/>
      </w:pPr>
      <w:rPr>
        <w:rFonts w:ascii="Calibri" w:eastAsia="Calibr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5295DA2"/>
    <w:multiLevelType w:val="multilevel"/>
    <w:tmpl w:val="CCB275D0"/>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A4428AB"/>
    <w:multiLevelType w:val="multilevel"/>
    <w:tmpl w:val="D2105CF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C4D3FAC"/>
    <w:multiLevelType w:val="multilevel"/>
    <w:tmpl w:val="1C9CE238"/>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08A5E9B"/>
    <w:multiLevelType w:val="multilevel"/>
    <w:tmpl w:val="FF40E5CA"/>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3DD7493"/>
    <w:multiLevelType w:val="multilevel"/>
    <w:tmpl w:val="34F4F11A"/>
    <w:lvl w:ilvl="0">
      <w:start w:val="3"/>
      <w:numFmt w:val="decimal"/>
      <w:lvlText w:val="%1."/>
      <w:lvlJc w:val="left"/>
      <w:pPr>
        <w:ind w:left="360" w:hanging="360"/>
      </w:pPr>
      <w:rPr>
        <w:rFonts w:hint="default"/>
      </w:rPr>
    </w:lvl>
    <w:lvl w:ilvl="1">
      <w:start w:val="3"/>
      <w:numFmt w:val="decimal"/>
      <w:lvlText w:val="%2.1"/>
      <w:lvlJc w:val="left"/>
      <w:pPr>
        <w:ind w:left="720" w:hanging="360"/>
      </w:pPr>
      <w:rPr>
        <w:rFonts w:hint="default"/>
      </w:rPr>
    </w:lvl>
    <w:lvl w:ilvl="2">
      <w:start w:val="1"/>
      <w:numFmt w:val="decimal"/>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6"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EAC075F"/>
    <w:multiLevelType w:val="multilevel"/>
    <w:tmpl w:val="F7982116"/>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3FA42A16"/>
    <w:multiLevelType w:val="multilevel"/>
    <w:tmpl w:val="0618240E"/>
    <w:lvl w:ilvl="0">
      <w:start w:val="1"/>
      <w:numFmt w:val="decimal"/>
      <w:lvlText w:val="%1"/>
      <w:lvlJc w:val="left"/>
      <w:pPr>
        <w:ind w:left="375" w:hanging="375"/>
      </w:pPr>
      <w:rPr>
        <w:rFonts w:asciiTheme="minorHAnsi" w:hAnsiTheme="minorHAnsi" w:cstheme="minorBidi" w:hint="default"/>
        <w:color w:val="00B0F0"/>
      </w:rPr>
    </w:lvl>
    <w:lvl w:ilvl="1">
      <w:start w:val="1"/>
      <w:numFmt w:val="decimal"/>
      <w:lvlText w:val="%1.%2"/>
      <w:lvlJc w:val="left"/>
      <w:pPr>
        <w:ind w:left="735" w:hanging="375"/>
      </w:pPr>
      <w:rPr>
        <w:rFonts w:asciiTheme="minorHAnsi" w:hAnsiTheme="minorHAnsi" w:cstheme="minorBidi" w:hint="default"/>
        <w:color w:val="auto"/>
      </w:rPr>
    </w:lvl>
    <w:lvl w:ilvl="2">
      <w:start w:val="1"/>
      <w:numFmt w:val="decimal"/>
      <w:lvlText w:val="%1.%2.%3"/>
      <w:lvlJc w:val="left"/>
      <w:pPr>
        <w:ind w:left="1440" w:hanging="720"/>
      </w:pPr>
      <w:rPr>
        <w:rFonts w:asciiTheme="minorHAnsi" w:hAnsiTheme="minorHAnsi" w:cstheme="minorBidi" w:hint="default"/>
        <w:color w:val="00B0F0"/>
      </w:rPr>
    </w:lvl>
    <w:lvl w:ilvl="3">
      <w:start w:val="1"/>
      <w:numFmt w:val="decimal"/>
      <w:lvlText w:val="%1.%2.%3.%4"/>
      <w:lvlJc w:val="left"/>
      <w:pPr>
        <w:ind w:left="1800" w:hanging="720"/>
      </w:pPr>
      <w:rPr>
        <w:rFonts w:asciiTheme="minorHAnsi" w:hAnsiTheme="minorHAnsi" w:cstheme="minorBidi" w:hint="default"/>
        <w:color w:val="00B0F0"/>
      </w:rPr>
    </w:lvl>
    <w:lvl w:ilvl="4">
      <w:start w:val="1"/>
      <w:numFmt w:val="decimal"/>
      <w:lvlText w:val="%1.%2.%3.%4.%5"/>
      <w:lvlJc w:val="left"/>
      <w:pPr>
        <w:ind w:left="2520" w:hanging="1080"/>
      </w:pPr>
      <w:rPr>
        <w:rFonts w:asciiTheme="minorHAnsi" w:hAnsiTheme="minorHAnsi" w:cstheme="minorBidi" w:hint="default"/>
        <w:color w:val="00B0F0"/>
      </w:rPr>
    </w:lvl>
    <w:lvl w:ilvl="5">
      <w:start w:val="1"/>
      <w:numFmt w:val="decimal"/>
      <w:lvlText w:val="%1.%2.%3.%4.%5.%6"/>
      <w:lvlJc w:val="left"/>
      <w:pPr>
        <w:ind w:left="2880" w:hanging="1080"/>
      </w:pPr>
      <w:rPr>
        <w:rFonts w:asciiTheme="minorHAnsi" w:hAnsiTheme="minorHAnsi" w:cstheme="minorBidi" w:hint="default"/>
        <w:color w:val="00B0F0"/>
      </w:rPr>
    </w:lvl>
    <w:lvl w:ilvl="6">
      <w:start w:val="1"/>
      <w:numFmt w:val="decimal"/>
      <w:lvlText w:val="%1.%2.%3.%4.%5.%6.%7"/>
      <w:lvlJc w:val="left"/>
      <w:pPr>
        <w:ind w:left="3600" w:hanging="1440"/>
      </w:pPr>
      <w:rPr>
        <w:rFonts w:asciiTheme="minorHAnsi" w:hAnsiTheme="minorHAnsi" w:cstheme="minorBidi" w:hint="default"/>
        <w:color w:val="00B0F0"/>
      </w:rPr>
    </w:lvl>
    <w:lvl w:ilvl="7">
      <w:start w:val="1"/>
      <w:numFmt w:val="decimal"/>
      <w:lvlText w:val="%1.%2.%3.%4.%5.%6.%7.%8"/>
      <w:lvlJc w:val="left"/>
      <w:pPr>
        <w:ind w:left="3960" w:hanging="1440"/>
      </w:pPr>
      <w:rPr>
        <w:rFonts w:asciiTheme="minorHAnsi" w:hAnsiTheme="minorHAnsi" w:cstheme="minorBidi" w:hint="default"/>
        <w:color w:val="00B0F0"/>
      </w:rPr>
    </w:lvl>
    <w:lvl w:ilvl="8">
      <w:start w:val="1"/>
      <w:numFmt w:val="decimal"/>
      <w:lvlText w:val="%1.%2.%3.%4.%5.%6.%7.%8.%9"/>
      <w:lvlJc w:val="left"/>
      <w:pPr>
        <w:ind w:left="4680" w:hanging="1800"/>
      </w:pPr>
      <w:rPr>
        <w:rFonts w:asciiTheme="minorHAnsi" w:hAnsiTheme="minorHAnsi" w:cstheme="minorBidi" w:hint="default"/>
        <w:color w:val="00B0F0"/>
      </w:rPr>
    </w:lvl>
  </w:abstractNum>
  <w:abstractNum w:abstractNumId="19" w15:restartNumberingAfterBreak="0">
    <w:nsid w:val="4005378A"/>
    <w:multiLevelType w:val="multilevel"/>
    <w:tmpl w:val="E474E7C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12F6AFA"/>
    <w:multiLevelType w:val="multilevel"/>
    <w:tmpl w:val="DB1AFD2E"/>
    <w:lvl w:ilvl="0">
      <w:start w:val="6"/>
      <w:numFmt w:val="decimal"/>
      <w:lvlText w:val="%1."/>
      <w:lvlJc w:val="left"/>
      <w:pPr>
        <w:ind w:left="360" w:hanging="360"/>
      </w:pPr>
      <w:rPr>
        <w:rFonts w:hint="default"/>
      </w:rPr>
    </w:lvl>
    <w:lvl w:ilvl="1">
      <w:start w:val="6"/>
      <w:numFmt w:val="decimal"/>
      <w:lvlText w:val="%2.1"/>
      <w:lvlJc w:val="left"/>
      <w:pPr>
        <w:ind w:left="720" w:hanging="360"/>
      </w:pPr>
      <w:rPr>
        <w:rFonts w:hint="default"/>
      </w:rPr>
    </w:lvl>
    <w:lvl w:ilvl="2">
      <w:start w:val="1"/>
      <w:numFmt w:val="decimal"/>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61B4899"/>
    <w:multiLevelType w:val="multilevel"/>
    <w:tmpl w:val="6628A4F4"/>
    <w:lvl w:ilvl="0">
      <w:start w:val="3"/>
      <w:numFmt w:val="decimal"/>
      <w:lvlText w:val="%1."/>
      <w:lvlJc w:val="left"/>
      <w:pPr>
        <w:ind w:left="360" w:hanging="360"/>
      </w:pPr>
      <w:rPr>
        <w:rFonts w:hint="default"/>
      </w:rPr>
    </w:lvl>
    <w:lvl w:ilvl="1">
      <w:start w:val="3"/>
      <w:numFmt w:val="decimal"/>
      <w:lvlText w:val="%2.1"/>
      <w:lvlJc w:val="left"/>
      <w:pPr>
        <w:ind w:left="720" w:hanging="360"/>
      </w:pPr>
      <w:rPr>
        <w:rFonts w:hint="default"/>
      </w:rPr>
    </w:lvl>
    <w:lvl w:ilvl="2">
      <w:start w:val="1"/>
      <w:numFmt w:val="decimal"/>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B61181D"/>
    <w:multiLevelType w:val="hybridMultilevel"/>
    <w:tmpl w:val="AB1CEE1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4BF0766B"/>
    <w:multiLevelType w:val="multilevel"/>
    <w:tmpl w:val="4A1EEF8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24A2CE9"/>
    <w:multiLevelType w:val="multilevel"/>
    <w:tmpl w:val="DDB28376"/>
    <w:lvl w:ilvl="0">
      <w:start w:val="2"/>
      <w:numFmt w:val="decimal"/>
      <w:lvlText w:val="%1."/>
      <w:lvlJc w:val="left"/>
      <w:pPr>
        <w:ind w:left="360" w:hanging="360"/>
      </w:pPr>
      <w:rPr>
        <w:rFonts w:hint="default"/>
      </w:rPr>
    </w:lvl>
    <w:lvl w:ilvl="1">
      <w:start w:val="2"/>
      <w:numFmt w:val="decimal"/>
      <w:lvlText w:val="%2.1"/>
      <w:lvlJc w:val="left"/>
      <w:pPr>
        <w:ind w:left="720" w:hanging="360"/>
      </w:pPr>
      <w:rPr>
        <w:rFonts w:hint="default"/>
      </w:rPr>
    </w:lvl>
    <w:lvl w:ilvl="2">
      <w:start w:val="1"/>
      <w:numFmt w:val="decimal"/>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5BA1A45"/>
    <w:multiLevelType w:val="hybridMultilevel"/>
    <w:tmpl w:val="FB6E6358"/>
    <w:lvl w:ilvl="0" w:tplc="2A3EEE36">
      <w:start w:val="1"/>
      <w:numFmt w:val="decimal"/>
      <w:lvlText w:val="%1."/>
      <w:lvlJc w:val="left"/>
      <w:pPr>
        <w:ind w:left="720" w:hanging="360"/>
      </w:pPr>
    </w:lvl>
    <w:lvl w:ilvl="1" w:tplc="14926222">
      <w:start w:val="1"/>
      <w:numFmt w:val="decimal"/>
      <w:lvlText w:val="%2."/>
      <w:lvlJc w:val="left"/>
      <w:pPr>
        <w:ind w:left="720" w:hanging="360"/>
      </w:pPr>
    </w:lvl>
    <w:lvl w:ilvl="2" w:tplc="2BFCC4FA">
      <w:start w:val="1"/>
      <w:numFmt w:val="decimal"/>
      <w:lvlText w:val="%3."/>
      <w:lvlJc w:val="left"/>
      <w:pPr>
        <w:ind w:left="720" w:hanging="360"/>
      </w:pPr>
    </w:lvl>
    <w:lvl w:ilvl="3" w:tplc="2CA64158">
      <w:start w:val="1"/>
      <w:numFmt w:val="decimal"/>
      <w:lvlText w:val="%4."/>
      <w:lvlJc w:val="left"/>
      <w:pPr>
        <w:ind w:left="720" w:hanging="360"/>
      </w:pPr>
    </w:lvl>
    <w:lvl w:ilvl="4" w:tplc="582CF95E">
      <w:start w:val="1"/>
      <w:numFmt w:val="decimal"/>
      <w:lvlText w:val="%5."/>
      <w:lvlJc w:val="left"/>
      <w:pPr>
        <w:ind w:left="720" w:hanging="360"/>
      </w:pPr>
    </w:lvl>
    <w:lvl w:ilvl="5" w:tplc="397A7E38">
      <w:start w:val="1"/>
      <w:numFmt w:val="decimal"/>
      <w:lvlText w:val="%6."/>
      <w:lvlJc w:val="left"/>
      <w:pPr>
        <w:ind w:left="720" w:hanging="360"/>
      </w:pPr>
    </w:lvl>
    <w:lvl w:ilvl="6" w:tplc="97365E8C">
      <w:start w:val="1"/>
      <w:numFmt w:val="decimal"/>
      <w:lvlText w:val="%7."/>
      <w:lvlJc w:val="left"/>
      <w:pPr>
        <w:ind w:left="720" w:hanging="360"/>
      </w:pPr>
    </w:lvl>
    <w:lvl w:ilvl="7" w:tplc="94503A4A">
      <w:start w:val="1"/>
      <w:numFmt w:val="decimal"/>
      <w:lvlText w:val="%8."/>
      <w:lvlJc w:val="left"/>
      <w:pPr>
        <w:ind w:left="720" w:hanging="360"/>
      </w:pPr>
    </w:lvl>
    <w:lvl w:ilvl="8" w:tplc="7122A48A">
      <w:start w:val="1"/>
      <w:numFmt w:val="decimal"/>
      <w:lvlText w:val="%9."/>
      <w:lvlJc w:val="left"/>
      <w:pPr>
        <w:ind w:left="720" w:hanging="360"/>
      </w:pPr>
    </w:lvl>
  </w:abstractNum>
  <w:abstractNum w:abstractNumId="30" w15:restartNumberingAfterBreak="0">
    <w:nsid w:val="59A66CFC"/>
    <w:multiLevelType w:val="multilevel"/>
    <w:tmpl w:val="4A1EEF88"/>
    <w:lvl w:ilvl="0">
      <w:start w:val="6"/>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D886B24"/>
    <w:multiLevelType w:val="multilevel"/>
    <w:tmpl w:val="37087E6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9ED099F"/>
    <w:multiLevelType w:val="multilevel"/>
    <w:tmpl w:val="7FD0E3F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B463D72"/>
    <w:multiLevelType w:val="multilevel"/>
    <w:tmpl w:val="21E80F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C2E5F1A"/>
    <w:multiLevelType w:val="multilevel"/>
    <w:tmpl w:val="03727A22"/>
    <w:lvl w:ilvl="0">
      <w:start w:val="1"/>
      <w:numFmt w:val="decimal"/>
      <w:lvlText w:val="%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2FC766B"/>
    <w:multiLevelType w:val="multilevel"/>
    <w:tmpl w:val="02B8B7D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9766A1D"/>
    <w:multiLevelType w:val="multilevel"/>
    <w:tmpl w:val="D7B622BE"/>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D4761F3"/>
    <w:multiLevelType w:val="multilevel"/>
    <w:tmpl w:val="140EAA5C"/>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3"/>
  </w:num>
  <w:num w:numId="2">
    <w:abstractNumId w:val="22"/>
  </w:num>
  <w:num w:numId="3">
    <w:abstractNumId w:val="36"/>
  </w:num>
  <w:num w:numId="4">
    <w:abstractNumId w:val="6"/>
  </w:num>
  <w:num w:numId="5">
    <w:abstractNumId w:val="27"/>
  </w:num>
  <w:num w:numId="6">
    <w:abstractNumId w:val="32"/>
  </w:num>
  <w:num w:numId="7">
    <w:abstractNumId w:val="15"/>
  </w:num>
  <w:num w:numId="8">
    <w:abstractNumId w:val="20"/>
  </w:num>
  <w:num w:numId="9">
    <w:abstractNumId w:val="8"/>
  </w:num>
  <w:num w:numId="10">
    <w:abstractNumId w:val="16"/>
  </w:num>
  <w:num w:numId="11">
    <w:abstractNumId w:val="24"/>
  </w:num>
  <w:num w:numId="12">
    <w:abstractNumId w:val="11"/>
  </w:num>
  <w:num w:numId="13">
    <w:abstractNumId w:val="4"/>
  </w:num>
  <w:num w:numId="14">
    <w:abstractNumId w:val="29"/>
  </w:num>
  <w:num w:numId="15">
    <w:abstractNumId w:val="33"/>
  </w:num>
  <w:num w:numId="16">
    <w:abstractNumId w:val="28"/>
  </w:num>
  <w:num w:numId="17">
    <w:abstractNumId w:val="14"/>
  </w:num>
  <w:num w:numId="18">
    <w:abstractNumId w:val="35"/>
  </w:num>
  <w:num w:numId="19">
    <w:abstractNumId w:val="10"/>
  </w:num>
  <w:num w:numId="20">
    <w:abstractNumId w:val="18"/>
  </w:num>
  <w:num w:numId="21">
    <w:abstractNumId w:val="23"/>
  </w:num>
  <w:num w:numId="22">
    <w:abstractNumId w:val="17"/>
  </w:num>
  <w:num w:numId="23">
    <w:abstractNumId w:val="19"/>
  </w:num>
  <w:num w:numId="24">
    <w:abstractNumId w:val="21"/>
  </w:num>
  <w:num w:numId="25">
    <w:abstractNumId w:val="7"/>
  </w:num>
  <w:num w:numId="26">
    <w:abstractNumId w:val="30"/>
  </w:num>
  <w:num w:numId="27">
    <w:abstractNumId w:val="26"/>
  </w:num>
  <w:num w:numId="28">
    <w:abstractNumId w:val="2"/>
  </w:num>
  <w:num w:numId="29">
    <w:abstractNumId w:val="34"/>
  </w:num>
  <w:num w:numId="30">
    <w:abstractNumId w:val="0"/>
  </w:num>
  <w:num w:numId="31">
    <w:abstractNumId w:val="9"/>
  </w:num>
  <w:num w:numId="32">
    <w:abstractNumId w:val="39"/>
  </w:num>
  <w:num w:numId="33">
    <w:abstractNumId w:val="12"/>
  </w:num>
  <w:num w:numId="34">
    <w:abstractNumId w:val="38"/>
  </w:num>
  <w:num w:numId="35">
    <w:abstractNumId w:val="37"/>
  </w:num>
  <w:num w:numId="36">
    <w:abstractNumId w:val="31"/>
  </w:num>
  <w:num w:numId="37">
    <w:abstractNumId w:val="1"/>
  </w:num>
  <w:num w:numId="38">
    <w:abstractNumId w:val="3"/>
  </w:num>
  <w:num w:numId="39">
    <w:abstractNumId w:val="25"/>
  </w:num>
  <w:num w:numId="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797"/>
    <w:rsid w:val="00005F96"/>
    <w:rsid w:val="00020217"/>
    <w:rsid w:val="00021B47"/>
    <w:rsid w:val="0004730F"/>
    <w:rsid w:val="0006699E"/>
    <w:rsid w:val="0007506F"/>
    <w:rsid w:val="00082612"/>
    <w:rsid w:val="000B2453"/>
    <w:rsid w:val="000B5552"/>
    <w:rsid w:val="000C03A6"/>
    <w:rsid w:val="000E0152"/>
    <w:rsid w:val="000F7657"/>
    <w:rsid w:val="00110C6D"/>
    <w:rsid w:val="00134120"/>
    <w:rsid w:val="00153009"/>
    <w:rsid w:val="001560B1"/>
    <w:rsid w:val="0015666B"/>
    <w:rsid w:val="001678C7"/>
    <w:rsid w:val="00184E9D"/>
    <w:rsid w:val="001A7DC5"/>
    <w:rsid w:val="001B78E6"/>
    <w:rsid w:val="001C3620"/>
    <w:rsid w:val="001F12BD"/>
    <w:rsid w:val="001F709E"/>
    <w:rsid w:val="0023133A"/>
    <w:rsid w:val="00277FC7"/>
    <w:rsid w:val="00283F05"/>
    <w:rsid w:val="00286C84"/>
    <w:rsid w:val="002B19D1"/>
    <w:rsid w:val="002D2D4D"/>
    <w:rsid w:val="002F072A"/>
    <w:rsid w:val="00321A6D"/>
    <w:rsid w:val="0033553B"/>
    <w:rsid w:val="00351087"/>
    <w:rsid w:val="00361CED"/>
    <w:rsid w:val="003643B1"/>
    <w:rsid w:val="00375F97"/>
    <w:rsid w:val="00377DCE"/>
    <w:rsid w:val="003862C2"/>
    <w:rsid w:val="00395705"/>
    <w:rsid w:val="00397C62"/>
    <w:rsid w:val="003B3D32"/>
    <w:rsid w:val="003B6F78"/>
    <w:rsid w:val="003C64F1"/>
    <w:rsid w:val="0042512E"/>
    <w:rsid w:val="00444965"/>
    <w:rsid w:val="0051195D"/>
    <w:rsid w:val="00542734"/>
    <w:rsid w:val="00542EC7"/>
    <w:rsid w:val="00544E96"/>
    <w:rsid w:val="00551D82"/>
    <w:rsid w:val="00581204"/>
    <w:rsid w:val="005D25E1"/>
    <w:rsid w:val="005E503A"/>
    <w:rsid w:val="00615035"/>
    <w:rsid w:val="00622578"/>
    <w:rsid w:val="006340AA"/>
    <w:rsid w:val="006359FC"/>
    <w:rsid w:val="006439A8"/>
    <w:rsid w:val="00653294"/>
    <w:rsid w:val="0069181D"/>
    <w:rsid w:val="006B170B"/>
    <w:rsid w:val="006D2208"/>
    <w:rsid w:val="006E4797"/>
    <w:rsid w:val="0070444F"/>
    <w:rsid w:val="00714BE0"/>
    <w:rsid w:val="00756A98"/>
    <w:rsid w:val="0077478A"/>
    <w:rsid w:val="00790AEE"/>
    <w:rsid w:val="007A6EDC"/>
    <w:rsid w:val="007B6FDA"/>
    <w:rsid w:val="007D18DE"/>
    <w:rsid w:val="0080501A"/>
    <w:rsid w:val="008337A1"/>
    <w:rsid w:val="008473F3"/>
    <w:rsid w:val="00851250"/>
    <w:rsid w:val="008874B6"/>
    <w:rsid w:val="008A5F70"/>
    <w:rsid w:val="008C3AD9"/>
    <w:rsid w:val="008C6282"/>
    <w:rsid w:val="008D32FB"/>
    <w:rsid w:val="008D678D"/>
    <w:rsid w:val="008E46EA"/>
    <w:rsid w:val="008F1C58"/>
    <w:rsid w:val="008F595A"/>
    <w:rsid w:val="00965CCC"/>
    <w:rsid w:val="0098658C"/>
    <w:rsid w:val="009B05D8"/>
    <w:rsid w:val="009B2352"/>
    <w:rsid w:val="009B3202"/>
    <w:rsid w:val="009C382F"/>
    <w:rsid w:val="009E64C0"/>
    <w:rsid w:val="00A01792"/>
    <w:rsid w:val="00A25106"/>
    <w:rsid w:val="00A307C7"/>
    <w:rsid w:val="00A44D0C"/>
    <w:rsid w:val="00A54298"/>
    <w:rsid w:val="00A57094"/>
    <w:rsid w:val="00A57849"/>
    <w:rsid w:val="00A8590D"/>
    <w:rsid w:val="00AA2ADE"/>
    <w:rsid w:val="00AA35B8"/>
    <w:rsid w:val="00AD669F"/>
    <w:rsid w:val="00B36C46"/>
    <w:rsid w:val="00B502EF"/>
    <w:rsid w:val="00B51FB9"/>
    <w:rsid w:val="00B54B86"/>
    <w:rsid w:val="00BD7584"/>
    <w:rsid w:val="00BE22A2"/>
    <w:rsid w:val="00C103B3"/>
    <w:rsid w:val="00C37DF1"/>
    <w:rsid w:val="00C46DF2"/>
    <w:rsid w:val="00C55C21"/>
    <w:rsid w:val="00C72D7F"/>
    <w:rsid w:val="00C82009"/>
    <w:rsid w:val="00CA3304"/>
    <w:rsid w:val="00CD3F53"/>
    <w:rsid w:val="00CE4B79"/>
    <w:rsid w:val="00D52C5A"/>
    <w:rsid w:val="00E150BC"/>
    <w:rsid w:val="00E1755A"/>
    <w:rsid w:val="00E255EA"/>
    <w:rsid w:val="00E623D0"/>
    <w:rsid w:val="00E7195A"/>
    <w:rsid w:val="00EA2493"/>
    <w:rsid w:val="00EB1E68"/>
    <w:rsid w:val="00EC4460"/>
    <w:rsid w:val="00ED4D0F"/>
    <w:rsid w:val="00EE5B0B"/>
    <w:rsid w:val="00EF4192"/>
    <w:rsid w:val="00F22572"/>
    <w:rsid w:val="00F302E7"/>
    <w:rsid w:val="00F63B76"/>
    <w:rsid w:val="00F6677F"/>
    <w:rsid w:val="00F824D0"/>
    <w:rsid w:val="00FA6DA6"/>
    <w:rsid w:val="00FB615C"/>
    <w:rsid w:val="00FD6BB1"/>
    <w:rsid w:val="00FF0C57"/>
    <w:rsid w:val="00FF7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7AE10"/>
  <w15:docId w15:val="{9EC4A94A-AAE8-4320-857F-DACA60DBC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965"/>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ListParagraph">
    <w:name w:val="List Paragraph"/>
    <w:basedOn w:val="Normal"/>
    <w:uiPriority w:val="34"/>
    <w:qFormat/>
    <w:rsid w:val="008337A1"/>
    <w:pPr>
      <w:widowControl/>
      <w:spacing w:after="160" w:line="259" w:lineRule="auto"/>
      <w:ind w:left="720"/>
      <w:contextualSpacing/>
      <w:jc w:val="left"/>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277FC7"/>
    <w:rPr>
      <w:sz w:val="16"/>
      <w:szCs w:val="16"/>
    </w:rPr>
  </w:style>
  <w:style w:type="paragraph" w:styleId="CommentText">
    <w:name w:val="annotation text"/>
    <w:basedOn w:val="Normal"/>
    <w:link w:val="CommentTextChar"/>
    <w:uiPriority w:val="99"/>
    <w:unhideWhenUsed/>
    <w:rsid w:val="00277FC7"/>
    <w:pPr>
      <w:widowControl/>
      <w:spacing w:after="160"/>
      <w:jc w:val="left"/>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277FC7"/>
    <w:rPr>
      <w:rFonts w:asciiTheme="minorHAnsi" w:eastAsia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3C64F1"/>
    <w:pPr>
      <w:widowControl w:val="0"/>
      <w:spacing w:after="0"/>
      <w:jc w:val="both"/>
    </w:pPr>
    <w:rPr>
      <w:rFonts w:ascii="Calibri" w:eastAsia="Calibri" w:hAnsi="Calibri" w:cs="Calibri"/>
      <w:b/>
      <w:bCs/>
    </w:rPr>
  </w:style>
  <w:style w:type="character" w:customStyle="1" w:styleId="CommentSubjectChar">
    <w:name w:val="Comment Subject Char"/>
    <w:basedOn w:val="CommentTextChar"/>
    <w:link w:val="CommentSubject"/>
    <w:uiPriority w:val="99"/>
    <w:semiHidden/>
    <w:rsid w:val="003C64F1"/>
    <w:rPr>
      <w:rFonts w:asciiTheme="minorHAnsi" w:eastAsiaTheme="minorHAnsi" w:hAnsiTheme="minorHAnsi" w:cstheme="minorBidi"/>
      <w:b/>
      <w:bCs/>
      <w:sz w:val="20"/>
      <w:szCs w:val="20"/>
    </w:rPr>
  </w:style>
  <w:style w:type="character" w:styleId="FollowedHyperlink">
    <w:name w:val="FollowedHyperlink"/>
    <w:basedOn w:val="DefaultParagraphFont"/>
    <w:uiPriority w:val="99"/>
    <w:semiHidden/>
    <w:unhideWhenUsed/>
    <w:rsid w:val="00E623D0"/>
    <w:rPr>
      <w:color w:val="800080" w:themeColor="followedHyperlink"/>
      <w:u w:val="single"/>
    </w:rPr>
  </w:style>
  <w:style w:type="paragraph" w:styleId="Footer">
    <w:name w:val="footer"/>
    <w:basedOn w:val="Normal"/>
    <w:link w:val="FooterChar"/>
    <w:uiPriority w:val="99"/>
    <w:unhideWhenUsed/>
    <w:rsid w:val="006439A8"/>
    <w:pPr>
      <w:tabs>
        <w:tab w:val="center" w:pos="4513"/>
        <w:tab w:val="right" w:pos="9026"/>
      </w:tabs>
    </w:pPr>
  </w:style>
  <w:style w:type="character" w:customStyle="1" w:styleId="FooterChar">
    <w:name w:val="Footer Char"/>
    <w:basedOn w:val="DefaultParagraphFont"/>
    <w:link w:val="Footer"/>
    <w:uiPriority w:val="99"/>
    <w:rsid w:val="006439A8"/>
  </w:style>
  <w:style w:type="paragraph" w:styleId="Header">
    <w:name w:val="header"/>
    <w:basedOn w:val="Normal"/>
    <w:link w:val="HeaderChar"/>
    <w:uiPriority w:val="99"/>
    <w:semiHidden/>
    <w:unhideWhenUsed/>
    <w:rsid w:val="006439A8"/>
    <w:pPr>
      <w:tabs>
        <w:tab w:val="center" w:pos="4513"/>
        <w:tab w:val="right" w:pos="9026"/>
      </w:tabs>
    </w:pPr>
  </w:style>
  <w:style w:type="character" w:customStyle="1" w:styleId="HeaderChar">
    <w:name w:val="Header Char"/>
    <w:basedOn w:val="DefaultParagraphFont"/>
    <w:link w:val="Header"/>
    <w:uiPriority w:val="99"/>
    <w:semiHidden/>
    <w:rsid w:val="006439A8"/>
  </w:style>
  <w:style w:type="character" w:styleId="LineNumber">
    <w:name w:val="line number"/>
    <w:basedOn w:val="DefaultParagraphFont"/>
    <w:uiPriority w:val="99"/>
    <w:semiHidden/>
    <w:unhideWhenUsed/>
    <w:rsid w:val="006439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dobryan95@siumed.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cox@siumed.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FDAFC-4985-4590-981B-FB517D2D5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13375</Words>
  <Characters>76240</Characters>
  <Application>Microsoft Office Word</Application>
  <DocSecurity>0</DocSecurity>
  <Lines>635</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Pritha  Sen</dc:creator>
  <cp:lastModifiedBy>Cox, Brandon C</cp:lastModifiedBy>
  <cp:revision>3</cp:revision>
  <dcterms:created xsi:type="dcterms:W3CDTF">2026-08-03T15:59:00Z</dcterms:created>
  <dcterms:modified xsi:type="dcterms:W3CDTF">2026-08-03T16:03:00Z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30f1efc1-f797-4357-a8e5-0bae4e9bc984</vt:lpwstr>
  </property>
</Properties>
</file>