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151CAA" w14:textId="638727A6" w:rsidR="00184AE7" w:rsidRPr="001944EC" w:rsidRDefault="001431DC" w:rsidP="006C1440">
      <w:pPr>
        <w:spacing w:after="0" w:line="240" w:lineRule="auto"/>
        <w:contextualSpacing/>
        <w:mirrorIndents/>
        <w:rPr>
          <w:rFonts w:eastAsia="Times New Roman" w:cstheme="minorHAnsi"/>
          <w:b/>
          <w:sz w:val="24"/>
          <w:szCs w:val="24"/>
          <w:lang w:eastAsia="en-IN"/>
        </w:rPr>
      </w:pPr>
      <w:bookmarkStart w:id="0" w:name="_GoBack"/>
      <w:bookmarkEnd w:id="0"/>
      <w:r w:rsidRPr="001944EC">
        <w:rPr>
          <w:rFonts w:eastAsia="Times New Roman" w:cstheme="minorHAnsi"/>
          <w:b/>
          <w:sz w:val="24"/>
          <w:szCs w:val="24"/>
          <w:lang w:eastAsia="en-IN"/>
        </w:rPr>
        <w:t>TITLE:</w:t>
      </w:r>
    </w:p>
    <w:p w14:paraId="50AC9FF5" w14:textId="7E89418C" w:rsidR="007E7FFD" w:rsidRPr="001944EC" w:rsidRDefault="001431DC" w:rsidP="006C1440">
      <w:pPr>
        <w:spacing w:after="0" w:line="240" w:lineRule="auto"/>
        <w:contextualSpacing/>
        <w:mirrorIndents/>
        <w:rPr>
          <w:rFonts w:eastAsia="Times New Roman" w:cstheme="minorHAnsi"/>
          <w:bCs/>
          <w:sz w:val="24"/>
          <w:szCs w:val="24"/>
          <w:lang w:eastAsia="en-IN"/>
        </w:rPr>
      </w:pPr>
      <w:r w:rsidRPr="001944EC">
        <w:rPr>
          <w:rFonts w:eastAsia="Times New Roman" w:cstheme="minorHAnsi"/>
          <w:bCs/>
          <w:sz w:val="24"/>
          <w:szCs w:val="24"/>
          <w:lang w:eastAsia="en-IN"/>
        </w:rPr>
        <w:t>Standardized Observational Protocol for Applying Point-of-Generation Segregation Theory</w:t>
      </w:r>
      <w:r w:rsidR="007C10B9" w:rsidRPr="001944EC">
        <w:rPr>
          <w:rFonts w:eastAsia="Times New Roman" w:cstheme="minorHAnsi"/>
          <w:bCs/>
          <w:sz w:val="24"/>
          <w:szCs w:val="24"/>
          <w:lang w:eastAsia="en-IN"/>
        </w:rPr>
        <w:t xml:space="preserve"> </w:t>
      </w:r>
      <w:r w:rsidRPr="001944EC">
        <w:rPr>
          <w:rFonts w:eastAsia="Times New Roman" w:cstheme="minorHAnsi"/>
          <w:bCs/>
          <w:sz w:val="24"/>
          <w:szCs w:val="24"/>
          <w:lang w:eastAsia="en-IN"/>
        </w:rPr>
        <w:t>in Biomedical Waste Management</w:t>
      </w:r>
    </w:p>
    <w:p w14:paraId="09814B88" w14:textId="77777777" w:rsidR="007E7FFD" w:rsidRPr="001944EC" w:rsidRDefault="007E7FFD" w:rsidP="006C1440">
      <w:pPr>
        <w:spacing w:after="0" w:line="240" w:lineRule="auto"/>
        <w:contextualSpacing/>
        <w:mirrorIndents/>
        <w:rPr>
          <w:rFonts w:eastAsia="Times New Roman" w:cstheme="minorHAnsi"/>
          <w:sz w:val="24"/>
          <w:szCs w:val="24"/>
          <w:lang w:eastAsia="en-IN"/>
        </w:rPr>
      </w:pPr>
    </w:p>
    <w:p w14:paraId="4A9FB358" w14:textId="35910F9E" w:rsidR="00184AE7" w:rsidRPr="001944EC" w:rsidRDefault="001431DC" w:rsidP="006C1440">
      <w:pPr>
        <w:spacing w:after="0" w:line="240" w:lineRule="auto"/>
        <w:contextualSpacing/>
        <w:mirrorIndents/>
        <w:rPr>
          <w:rFonts w:eastAsia="Times New Roman" w:cstheme="minorHAnsi"/>
          <w:b/>
          <w:bCs/>
          <w:sz w:val="24"/>
          <w:szCs w:val="24"/>
          <w:lang w:eastAsia="en-IN"/>
        </w:rPr>
      </w:pPr>
      <w:r w:rsidRPr="001944EC">
        <w:rPr>
          <w:rFonts w:eastAsia="Times New Roman" w:cstheme="minorHAnsi"/>
          <w:b/>
          <w:bCs/>
          <w:sz w:val="24"/>
          <w:szCs w:val="24"/>
          <w:lang w:eastAsia="en-IN"/>
        </w:rPr>
        <w:t>AUTHORS AND AFFILIATIONS:</w:t>
      </w:r>
    </w:p>
    <w:p w14:paraId="403B457F" w14:textId="22B84A96" w:rsidR="007E7FFD" w:rsidRPr="001944EC" w:rsidRDefault="001431DC" w:rsidP="006C1440">
      <w:pPr>
        <w:spacing w:after="0" w:line="240" w:lineRule="auto"/>
        <w:contextualSpacing/>
        <w:mirrorIndents/>
        <w:rPr>
          <w:rFonts w:eastAsia="Times New Roman" w:cstheme="minorHAnsi"/>
          <w:sz w:val="24"/>
          <w:szCs w:val="24"/>
          <w:lang w:eastAsia="en-IN"/>
        </w:rPr>
      </w:pPr>
      <w:r w:rsidRPr="001944EC">
        <w:rPr>
          <w:rFonts w:eastAsia="Times New Roman" w:cstheme="minorHAnsi"/>
          <w:sz w:val="24"/>
          <w:szCs w:val="24"/>
          <w:lang w:eastAsia="en-IN"/>
        </w:rPr>
        <w:t xml:space="preserve">Renjith </w:t>
      </w:r>
      <w:proofErr w:type="spellStart"/>
      <w:r w:rsidRPr="001944EC">
        <w:rPr>
          <w:rFonts w:eastAsia="Times New Roman" w:cstheme="minorHAnsi"/>
          <w:sz w:val="24"/>
          <w:szCs w:val="24"/>
          <w:lang w:eastAsia="en-IN"/>
        </w:rPr>
        <w:t>S</w:t>
      </w:r>
      <w:r w:rsidR="00ED3411" w:rsidRPr="001944EC">
        <w:rPr>
          <w:rFonts w:eastAsia="Times New Roman" w:cstheme="minorHAnsi"/>
          <w:sz w:val="24"/>
          <w:szCs w:val="24"/>
          <w:lang w:eastAsia="en-IN"/>
        </w:rPr>
        <w:t>eela</w:t>
      </w:r>
      <w:proofErr w:type="spellEnd"/>
      <w:r w:rsidRPr="001944EC">
        <w:rPr>
          <w:rFonts w:eastAsia="Times New Roman" w:cstheme="minorHAnsi"/>
          <w:sz w:val="24"/>
          <w:szCs w:val="24"/>
          <w:lang w:eastAsia="en-IN"/>
        </w:rPr>
        <w:t xml:space="preserve"> Bhadran</w:t>
      </w:r>
      <w:r w:rsidRPr="001944EC">
        <w:rPr>
          <w:rFonts w:eastAsia="Times New Roman" w:cstheme="minorHAnsi"/>
          <w:sz w:val="24"/>
          <w:szCs w:val="24"/>
          <w:vertAlign w:val="superscript"/>
          <w:lang w:eastAsia="en-IN"/>
        </w:rPr>
        <w:t>1</w:t>
      </w:r>
      <w:r w:rsidR="00184AE7" w:rsidRPr="001944EC">
        <w:rPr>
          <w:rFonts w:eastAsia="Times New Roman" w:cstheme="minorHAnsi"/>
          <w:sz w:val="24"/>
          <w:szCs w:val="24"/>
          <w:lang w:eastAsia="en-IN"/>
        </w:rPr>
        <w:t>*</w:t>
      </w:r>
      <w:r w:rsidRPr="001944EC">
        <w:rPr>
          <w:rFonts w:eastAsia="Times New Roman" w:cstheme="minorHAnsi"/>
          <w:sz w:val="24"/>
          <w:szCs w:val="24"/>
          <w:lang w:eastAsia="en-IN"/>
        </w:rPr>
        <w:t xml:space="preserve">, </w:t>
      </w:r>
      <w:proofErr w:type="spellStart"/>
      <w:r w:rsidR="00ED3411" w:rsidRPr="001944EC">
        <w:rPr>
          <w:rFonts w:eastAsia="Times New Roman" w:cstheme="minorHAnsi"/>
          <w:sz w:val="24"/>
          <w:szCs w:val="24"/>
          <w:lang w:eastAsia="en-IN"/>
        </w:rPr>
        <w:t>Kavumpurathu</w:t>
      </w:r>
      <w:proofErr w:type="spellEnd"/>
      <w:r w:rsidR="00ED3411" w:rsidRPr="001944EC">
        <w:rPr>
          <w:rFonts w:eastAsia="Times New Roman" w:cstheme="minorHAnsi"/>
          <w:sz w:val="24"/>
          <w:szCs w:val="24"/>
          <w:lang w:eastAsia="en-IN"/>
        </w:rPr>
        <w:t xml:space="preserve"> Raman Thankappan</w:t>
      </w:r>
      <w:r w:rsidRPr="001944EC">
        <w:rPr>
          <w:rFonts w:eastAsia="Times New Roman" w:cstheme="minorHAnsi"/>
          <w:sz w:val="24"/>
          <w:szCs w:val="24"/>
          <w:vertAlign w:val="superscript"/>
          <w:lang w:eastAsia="en-IN"/>
        </w:rPr>
        <w:t>2</w:t>
      </w:r>
      <w:r w:rsidRPr="001944EC">
        <w:rPr>
          <w:rFonts w:eastAsia="Times New Roman" w:cstheme="minorHAnsi"/>
          <w:sz w:val="24"/>
          <w:szCs w:val="24"/>
          <w:lang w:eastAsia="en-IN"/>
        </w:rPr>
        <w:t xml:space="preserve">, </w:t>
      </w:r>
      <w:proofErr w:type="spellStart"/>
      <w:r w:rsidRPr="001944EC">
        <w:rPr>
          <w:rFonts w:eastAsia="Times New Roman" w:cstheme="minorHAnsi"/>
          <w:sz w:val="24"/>
          <w:szCs w:val="24"/>
          <w:lang w:eastAsia="en-IN"/>
        </w:rPr>
        <w:t>Damodaran</w:t>
      </w:r>
      <w:proofErr w:type="spellEnd"/>
      <w:r w:rsidRPr="001944EC">
        <w:rPr>
          <w:rFonts w:eastAsia="Times New Roman" w:cstheme="minorHAnsi"/>
          <w:sz w:val="24"/>
          <w:szCs w:val="24"/>
          <w:lang w:eastAsia="en-IN"/>
        </w:rPr>
        <w:t xml:space="preserve"> Vasudevan</w:t>
      </w:r>
      <w:r w:rsidRPr="001944EC">
        <w:rPr>
          <w:rFonts w:eastAsia="Times New Roman" w:cstheme="minorHAnsi"/>
          <w:sz w:val="24"/>
          <w:szCs w:val="24"/>
          <w:vertAlign w:val="superscript"/>
          <w:lang w:eastAsia="en-IN"/>
        </w:rPr>
        <w:t>2</w:t>
      </w:r>
    </w:p>
    <w:p w14:paraId="3CE5EF9B" w14:textId="77777777" w:rsidR="007E7FFD" w:rsidRPr="001944EC" w:rsidRDefault="007E7FFD" w:rsidP="006C1440">
      <w:pPr>
        <w:spacing w:after="0" w:line="240" w:lineRule="auto"/>
        <w:contextualSpacing/>
        <w:mirrorIndents/>
        <w:rPr>
          <w:rFonts w:eastAsia="Times New Roman" w:cstheme="minorHAnsi"/>
          <w:sz w:val="24"/>
          <w:szCs w:val="24"/>
          <w:lang w:eastAsia="en-IN"/>
        </w:rPr>
      </w:pPr>
    </w:p>
    <w:p w14:paraId="5C25D84F" w14:textId="1C120F8C" w:rsidR="007E7FFD" w:rsidRPr="001944EC" w:rsidRDefault="001431DC" w:rsidP="006C1440">
      <w:pPr>
        <w:spacing w:after="0" w:line="240" w:lineRule="auto"/>
        <w:contextualSpacing/>
        <w:mirrorIndents/>
        <w:rPr>
          <w:rFonts w:eastAsia="Times New Roman" w:cstheme="minorHAnsi"/>
          <w:sz w:val="24"/>
          <w:szCs w:val="24"/>
          <w:lang w:eastAsia="en-IN"/>
        </w:rPr>
      </w:pPr>
      <w:r w:rsidRPr="001944EC">
        <w:rPr>
          <w:rFonts w:eastAsia="Times New Roman" w:cstheme="minorHAnsi"/>
          <w:sz w:val="24"/>
          <w:szCs w:val="24"/>
          <w:vertAlign w:val="superscript"/>
          <w:lang w:eastAsia="en-IN"/>
        </w:rPr>
        <w:t>1</w:t>
      </w:r>
      <w:r w:rsidRPr="001944EC">
        <w:rPr>
          <w:rFonts w:eastAsia="Times New Roman" w:cstheme="minorHAnsi"/>
          <w:sz w:val="24"/>
          <w:szCs w:val="24"/>
          <w:lang w:eastAsia="en-IN"/>
        </w:rPr>
        <w:t xml:space="preserve">Department of Public Health, </w:t>
      </w:r>
      <w:r w:rsidR="00ED3411" w:rsidRPr="001944EC">
        <w:rPr>
          <w:rFonts w:eastAsia="Times New Roman" w:cstheme="minorHAnsi"/>
          <w:sz w:val="24"/>
          <w:szCs w:val="24"/>
          <w:lang w:eastAsia="en-IN"/>
        </w:rPr>
        <w:t xml:space="preserve">Amrita School of Medicine, </w:t>
      </w:r>
      <w:r w:rsidRPr="001944EC">
        <w:rPr>
          <w:rFonts w:eastAsia="Times New Roman" w:cstheme="minorHAnsi"/>
          <w:sz w:val="24"/>
          <w:szCs w:val="24"/>
          <w:lang w:eastAsia="en-IN"/>
        </w:rPr>
        <w:t>Amrita Vishwa Vidyapeetham, Kochi, Kerala, India</w:t>
      </w:r>
    </w:p>
    <w:p w14:paraId="32E84816" w14:textId="2B920C6B" w:rsidR="007E7FFD" w:rsidRPr="001944EC" w:rsidRDefault="001431DC" w:rsidP="006C1440">
      <w:pPr>
        <w:spacing w:after="0" w:line="240" w:lineRule="auto"/>
        <w:contextualSpacing/>
        <w:mirrorIndents/>
        <w:rPr>
          <w:rFonts w:eastAsia="Times New Roman" w:cstheme="minorHAnsi"/>
          <w:sz w:val="24"/>
          <w:szCs w:val="24"/>
          <w:lang w:eastAsia="en-IN"/>
        </w:rPr>
      </w:pPr>
      <w:r w:rsidRPr="001944EC">
        <w:rPr>
          <w:rFonts w:eastAsia="Times New Roman" w:cstheme="minorHAnsi"/>
          <w:sz w:val="24"/>
          <w:szCs w:val="24"/>
          <w:vertAlign w:val="superscript"/>
          <w:lang w:eastAsia="en-IN"/>
        </w:rPr>
        <w:t>2</w:t>
      </w:r>
      <w:r w:rsidRPr="001944EC">
        <w:rPr>
          <w:rFonts w:eastAsia="Times New Roman" w:cstheme="minorHAnsi"/>
          <w:sz w:val="24"/>
          <w:szCs w:val="24"/>
          <w:lang w:eastAsia="en-IN"/>
        </w:rPr>
        <w:t>Health Sciences Research, Amrita School of Medicine, Amrita Vishwa Vidyapeetham, Kochi, Kerala, India</w:t>
      </w:r>
    </w:p>
    <w:p w14:paraId="209D5199" w14:textId="77777777" w:rsidR="00184AE7" w:rsidRPr="001944EC" w:rsidRDefault="00184AE7" w:rsidP="006C1440">
      <w:pPr>
        <w:spacing w:after="0" w:line="240" w:lineRule="auto"/>
        <w:contextualSpacing/>
        <w:mirrorIndents/>
        <w:rPr>
          <w:rFonts w:eastAsia="Times New Roman" w:cstheme="minorHAnsi"/>
          <w:sz w:val="24"/>
          <w:szCs w:val="24"/>
          <w:lang w:eastAsia="en-IN"/>
        </w:rPr>
      </w:pPr>
    </w:p>
    <w:p w14:paraId="05B39B7C" w14:textId="0E2CDC06" w:rsidR="00184AE7" w:rsidRPr="001944EC" w:rsidRDefault="001431DC" w:rsidP="006C1440">
      <w:pPr>
        <w:spacing w:after="0" w:line="240" w:lineRule="auto"/>
        <w:contextualSpacing/>
        <w:mirrorIndents/>
        <w:rPr>
          <w:rFonts w:eastAsia="Times New Roman" w:cstheme="minorHAnsi"/>
          <w:sz w:val="24"/>
          <w:szCs w:val="24"/>
          <w:lang w:eastAsia="en-IN"/>
        </w:rPr>
      </w:pPr>
      <w:r w:rsidRPr="001944EC">
        <w:rPr>
          <w:rFonts w:eastAsia="Times New Roman" w:cstheme="minorHAnsi"/>
          <w:sz w:val="24"/>
          <w:szCs w:val="24"/>
          <w:lang w:eastAsia="en-IN"/>
        </w:rPr>
        <w:t>Email addresses of the co-authors:</w:t>
      </w:r>
    </w:p>
    <w:p w14:paraId="0A2285C8" w14:textId="1E69E5E1" w:rsidR="00184AE7" w:rsidRPr="001944EC" w:rsidRDefault="001431DC" w:rsidP="006C1440">
      <w:pPr>
        <w:spacing w:after="0" w:line="240" w:lineRule="auto"/>
        <w:contextualSpacing/>
        <w:mirrorIndents/>
        <w:rPr>
          <w:rFonts w:eastAsia="Times New Roman" w:cstheme="minorHAnsi"/>
          <w:sz w:val="24"/>
          <w:szCs w:val="24"/>
          <w:lang w:eastAsia="en-IN"/>
        </w:rPr>
      </w:pPr>
      <w:proofErr w:type="spellStart"/>
      <w:r w:rsidRPr="001944EC">
        <w:rPr>
          <w:rFonts w:eastAsia="Times New Roman" w:cstheme="minorHAnsi"/>
          <w:sz w:val="24"/>
          <w:szCs w:val="24"/>
          <w:lang w:eastAsia="en-IN"/>
        </w:rPr>
        <w:t>Kavumpurathu</w:t>
      </w:r>
      <w:proofErr w:type="spellEnd"/>
      <w:r w:rsidRPr="001944EC">
        <w:rPr>
          <w:rFonts w:eastAsia="Times New Roman" w:cstheme="minorHAnsi"/>
          <w:sz w:val="24"/>
          <w:szCs w:val="24"/>
          <w:lang w:eastAsia="en-IN"/>
        </w:rPr>
        <w:t xml:space="preserve"> Raman </w:t>
      </w:r>
      <w:proofErr w:type="spellStart"/>
      <w:r w:rsidRPr="001944EC">
        <w:rPr>
          <w:rFonts w:eastAsia="Times New Roman" w:cstheme="minorHAnsi"/>
          <w:sz w:val="24"/>
          <w:szCs w:val="24"/>
          <w:lang w:eastAsia="en-IN"/>
        </w:rPr>
        <w:t>Thankappan</w:t>
      </w:r>
      <w:proofErr w:type="spellEnd"/>
      <w:r w:rsidRPr="001944EC">
        <w:rPr>
          <w:rFonts w:eastAsia="Times New Roman" w:cstheme="minorHAnsi"/>
          <w:sz w:val="24"/>
          <w:szCs w:val="24"/>
          <w:vertAlign w:val="superscript"/>
          <w:lang w:eastAsia="en-IN"/>
        </w:rPr>
        <w:t xml:space="preserve"> </w:t>
      </w:r>
      <w:r w:rsidRPr="001944EC">
        <w:rPr>
          <w:rFonts w:eastAsia="Times New Roman" w:cstheme="minorHAnsi"/>
          <w:sz w:val="24"/>
          <w:szCs w:val="24"/>
          <w:lang w:eastAsia="en-IN"/>
        </w:rPr>
        <w:t xml:space="preserve">                     kr.thankappan@gmail.com</w:t>
      </w:r>
    </w:p>
    <w:p w14:paraId="74C5A363" w14:textId="198671E2" w:rsidR="00184AE7" w:rsidRPr="001944EC" w:rsidRDefault="001431DC" w:rsidP="006C1440">
      <w:pPr>
        <w:spacing w:after="0" w:line="240" w:lineRule="auto"/>
        <w:contextualSpacing/>
        <w:mirrorIndents/>
        <w:rPr>
          <w:rFonts w:eastAsia="Times New Roman" w:cstheme="minorHAnsi"/>
          <w:sz w:val="24"/>
          <w:szCs w:val="24"/>
          <w:lang w:eastAsia="en-IN"/>
        </w:rPr>
      </w:pPr>
      <w:r w:rsidRPr="001944EC">
        <w:rPr>
          <w:rFonts w:eastAsia="Times New Roman" w:cstheme="minorHAnsi"/>
          <w:sz w:val="24"/>
          <w:szCs w:val="24"/>
          <w:lang w:eastAsia="en-IN"/>
        </w:rPr>
        <w:t>Damodaran Vasudevan                                           dmvasudevan@gmail.com</w:t>
      </w:r>
    </w:p>
    <w:p w14:paraId="345588EC" w14:textId="77777777" w:rsidR="00184AE7" w:rsidRPr="001944EC" w:rsidRDefault="00184AE7" w:rsidP="006C1440">
      <w:pPr>
        <w:spacing w:after="0" w:line="240" w:lineRule="auto"/>
        <w:contextualSpacing/>
        <w:mirrorIndents/>
        <w:rPr>
          <w:rFonts w:eastAsia="Times New Roman" w:cstheme="minorHAnsi"/>
          <w:sz w:val="24"/>
          <w:szCs w:val="24"/>
          <w:lang w:eastAsia="en-IN"/>
        </w:rPr>
      </w:pPr>
    </w:p>
    <w:p w14:paraId="1B116AC0" w14:textId="3619F988" w:rsidR="00184AE7" w:rsidRPr="001944EC" w:rsidRDefault="001431DC" w:rsidP="006C1440">
      <w:pPr>
        <w:pStyle w:val="NormalWeb"/>
        <w:spacing w:before="0" w:beforeAutospacing="0" w:after="0" w:afterAutospacing="0"/>
        <w:contextualSpacing/>
        <w:mirrorIndents/>
        <w:rPr>
          <w:rFonts w:asciiTheme="minorHAnsi" w:hAnsiTheme="minorHAnsi" w:cstheme="minorHAnsi"/>
        </w:rPr>
      </w:pPr>
      <w:r w:rsidRPr="001944EC">
        <w:rPr>
          <w:rFonts w:asciiTheme="minorHAnsi" w:hAnsiTheme="minorHAnsi" w:cstheme="minorHAnsi"/>
        </w:rPr>
        <w:t xml:space="preserve">*Corresponding author: </w:t>
      </w:r>
    </w:p>
    <w:p w14:paraId="1422315D" w14:textId="61225E8A" w:rsidR="007E7FFD" w:rsidRPr="001944EC" w:rsidRDefault="001431DC" w:rsidP="006C1440">
      <w:pPr>
        <w:pStyle w:val="NormalWeb"/>
        <w:spacing w:before="0" w:beforeAutospacing="0" w:after="0" w:afterAutospacing="0"/>
        <w:contextualSpacing/>
        <w:mirrorIndents/>
        <w:rPr>
          <w:rFonts w:asciiTheme="minorHAnsi" w:hAnsiTheme="minorHAnsi" w:cstheme="minorHAnsi"/>
        </w:rPr>
      </w:pPr>
      <w:r w:rsidRPr="001944EC">
        <w:rPr>
          <w:rFonts w:asciiTheme="minorHAnsi" w:hAnsiTheme="minorHAnsi" w:cstheme="minorHAnsi"/>
          <w:color w:val="000000"/>
        </w:rPr>
        <w:t>Renjith Seela Bhadran</w:t>
      </w:r>
      <w:r w:rsidR="00C85989" w:rsidRPr="001944EC">
        <w:rPr>
          <w:rFonts w:asciiTheme="minorHAnsi" w:hAnsiTheme="minorHAnsi" w:cstheme="minorHAnsi"/>
          <w:color w:val="000000"/>
        </w:rPr>
        <w:t xml:space="preserve">                                            </w:t>
      </w:r>
      <w:r w:rsidRPr="001944EC">
        <w:rPr>
          <w:rFonts w:asciiTheme="minorHAnsi" w:hAnsiTheme="minorHAnsi" w:cstheme="minorHAnsi"/>
          <w:color w:val="000000"/>
        </w:rPr>
        <w:t> </w:t>
      </w:r>
      <w:r w:rsidR="00C85989" w:rsidRPr="001944EC">
        <w:rPr>
          <w:rFonts w:asciiTheme="minorHAnsi" w:hAnsiTheme="minorHAnsi" w:cstheme="minorHAnsi"/>
        </w:rPr>
        <w:t>renjithsbhadran@aims.amrita.edu</w:t>
      </w:r>
    </w:p>
    <w:p w14:paraId="4A89DEA4" w14:textId="77777777" w:rsidR="00C85989" w:rsidRPr="001944EC" w:rsidRDefault="00C85989" w:rsidP="006C1440">
      <w:pPr>
        <w:pStyle w:val="NormalWeb"/>
        <w:spacing w:before="0" w:beforeAutospacing="0" w:after="0" w:afterAutospacing="0"/>
        <w:contextualSpacing/>
        <w:mirrorIndents/>
        <w:rPr>
          <w:rFonts w:asciiTheme="minorHAnsi" w:hAnsiTheme="minorHAnsi" w:cstheme="minorHAnsi"/>
        </w:rPr>
      </w:pPr>
    </w:p>
    <w:p w14:paraId="487EBDDE" w14:textId="01E278B8" w:rsidR="00C85989" w:rsidRPr="001944EC" w:rsidRDefault="001431DC"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Keywords</w:t>
      </w:r>
      <w:r w:rsidRPr="001944EC">
        <w:rPr>
          <w:rFonts w:eastAsia="Times New Roman" w:cstheme="minorHAnsi"/>
          <w:b/>
          <w:bCs/>
          <w:i/>
          <w:sz w:val="24"/>
          <w:szCs w:val="24"/>
          <w:lang w:eastAsia="en-IN"/>
        </w:rPr>
        <w:t>:</w:t>
      </w:r>
      <w:r w:rsidRPr="001944EC">
        <w:rPr>
          <w:rFonts w:eastAsia="Times New Roman" w:cstheme="minorHAnsi"/>
          <w:i/>
          <w:sz w:val="24"/>
          <w:szCs w:val="24"/>
          <w:lang w:eastAsia="en-IN"/>
        </w:rPr>
        <w:t xml:space="preserve"> </w:t>
      </w:r>
      <w:r w:rsidRPr="001944EC">
        <w:rPr>
          <w:rFonts w:eastAsia="Times New Roman" w:cstheme="minorHAnsi"/>
          <w:iCs/>
          <w:sz w:val="24"/>
          <w:szCs w:val="24"/>
          <w:lang w:eastAsia="en-IN"/>
        </w:rPr>
        <w:t xml:space="preserve">biomedical waste management,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precision, healthcare quality, segregation accuracy, PGST, observational protocol, Precision Behavior Score, PBS, Bhadran’s Score, healthcare waste, public health</w:t>
      </w:r>
    </w:p>
    <w:p w14:paraId="29598407" w14:textId="77777777" w:rsidR="007C10B9" w:rsidRPr="001944EC" w:rsidRDefault="007C10B9" w:rsidP="006C1440">
      <w:pPr>
        <w:spacing w:after="0" w:line="240" w:lineRule="auto"/>
        <w:contextualSpacing/>
        <w:mirrorIndents/>
        <w:jc w:val="both"/>
        <w:rPr>
          <w:rFonts w:eastAsia="Times New Roman" w:cstheme="minorHAnsi"/>
          <w:iCs/>
          <w:sz w:val="24"/>
          <w:szCs w:val="24"/>
          <w:lang w:eastAsia="en-IN"/>
        </w:rPr>
      </w:pPr>
    </w:p>
    <w:p w14:paraId="4C9139EA" w14:textId="0E963C31" w:rsidR="007C10B9" w:rsidRPr="001944EC" w:rsidRDefault="001431DC" w:rsidP="006C1440">
      <w:pPr>
        <w:spacing w:after="0" w:line="240" w:lineRule="auto"/>
        <w:contextualSpacing/>
        <w:mirrorIndents/>
        <w:jc w:val="both"/>
        <w:rPr>
          <w:rFonts w:eastAsia="Times New Roman" w:cstheme="minorHAnsi"/>
          <w:b/>
          <w:bCs/>
          <w:i/>
          <w:sz w:val="24"/>
          <w:szCs w:val="24"/>
          <w:lang w:eastAsia="en-IN"/>
        </w:rPr>
      </w:pPr>
      <w:r w:rsidRPr="001944EC">
        <w:rPr>
          <w:rFonts w:eastAsia="Times New Roman" w:cstheme="minorHAnsi"/>
          <w:b/>
          <w:bCs/>
          <w:iCs/>
          <w:sz w:val="24"/>
          <w:szCs w:val="24"/>
          <w:lang w:eastAsia="en-IN"/>
        </w:rPr>
        <w:t>SUMMARY:</w:t>
      </w:r>
    </w:p>
    <w:p w14:paraId="50C409F5" w14:textId="5FD78CDE" w:rsidR="00361172" w:rsidRPr="001944EC" w:rsidRDefault="00361172" w:rsidP="006C1440">
      <w:pPr>
        <w:pStyle w:val="CommentText"/>
        <w:spacing w:after="0"/>
        <w:contextualSpacing/>
        <w:mirrorIndents/>
        <w:jc w:val="both"/>
        <w:rPr>
          <w:rFonts w:cstheme="minorHAnsi"/>
          <w:sz w:val="24"/>
          <w:szCs w:val="24"/>
        </w:rPr>
      </w:pPr>
      <w:r w:rsidRPr="001944EC">
        <w:rPr>
          <w:rFonts w:cstheme="minorHAnsi"/>
          <w:sz w:val="24"/>
          <w:szCs w:val="24"/>
        </w:rPr>
        <w:t xml:space="preserve">This article presents a standardized observational protocol for applying Point-of-Generation Segregation Theory (PGST) to assess </w:t>
      </w:r>
      <w:proofErr w:type="spellStart"/>
      <w:r w:rsidRPr="001944EC">
        <w:rPr>
          <w:rFonts w:cstheme="minorHAnsi"/>
          <w:sz w:val="24"/>
          <w:szCs w:val="24"/>
        </w:rPr>
        <w:t>behavioral</w:t>
      </w:r>
      <w:proofErr w:type="spellEnd"/>
      <w:r w:rsidRPr="001944EC">
        <w:rPr>
          <w:rFonts w:cstheme="minorHAnsi"/>
          <w:sz w:val="24"/>
          <w:szCs w:val="24"/>
        </w:rPr>
        <w:t xml:space="preserve"> precision in biomedical waste segregation. The protocol operationalizes Moment-Based Precision </w:t>
      </w:r>
      <w:proofErr w:type="spellStart"/>
      <w:r w:rsidRPr="001944EC">
        <w:rPr>
          <w:rFonts w:cstheme="minorHAnsi"/>
          <w:sz w:val="24"/>
          <w:szCs w:val="24"/>
        </w:rPr>
        <w:t>Behavioral</w:t>
      </w:r>
      <w:proofErr w:type="spellEnd"/>
      <w:r w:rsidRPr="001944EC">
        <w:rPr>
          <w:rFonts w:cstheme="minorHAnsi"/>
          <w:sz w:val="24"/>
          <w:szCs w:val="24"/>
        </w:rPr>
        <w:t xml:space="preserve"> Fidelity through four domains and calculates the Precision </w:t>
      </w:r>
      <w:r w:rsidR="000934E9" w:rsidRPr="001944EC">
        <w:rPr>
          <w:rFonts w:cstheme="minorHAnsi"/>
          <w:sz w:val="24"/>
          <w:szCs w:val="24"/>
        </w:rPr>
        <w:t>Behavior</w:t>
      </w:r>
      <w:r w:rsidRPr="001944EC">
        <w:rPr>
          <w:rFonts w:cstheme="minorHAnsi"/>
          <w:sz w:val="24"/>
          <w:szCs w:val="24"/>
        </w:rPr>
        <w:t xml:space="preserve"> Score (PBS) and Point-of-Generation Segregation Accuracy (PGSA) for structured </w:t>
      </w:r>
      <w:proofErr w:type="spellStart"/>
      <w:r w:rsidRPr="001944EC">
        <w:rPr>
          <w:rFonts w:cstheme="minorHAnsi"/>
          <w:sz w:val="24"/>
          <w:szCs w:val="24"/>
        </w:rPr>
        <w:t>behavioral</w:t>
      </w:r>
      <w:proofErr w:type="spellEnd"/>
      <w:r w:rsidRPr="001944EC">
        <w:rPr>
          <w:rFonts w:cstheme="minorHAnsi"/>
          <w:sz w:val="24"/>
          <w:szCs w:val="24"/>
        </w:rPr>
        <w:t xml:space="preserve"> assessment.</w:t>
      </w:r>
    </w:p>
    <w:p w14:paraId="7424F061" w14:textId="77777777" w:rsidR="00C85989" w:rsidRPr="001944EC" w:rsidRDefault="00C85989" w:rsidP="006C1440">
      <w:pPr>
        <w:pStyle w:val="NormalWeb"/>
        <w:spacing w:before="0" w:beforeAutospacing="0" w:after="0" w:afterAutospacing="0"/>
        <w:contextualSpacing/>
        <w:mirrorIndents/>
        <w:jc w:val="both"/>
        <w:rPr>
          <w:rFonts w:asciiTheme="minorHAnsi" w:hAnsiTheme="minorHAnsi" w:cstheme="minorHAnsi"/>
        </w:rPr>
      </w:pPr>
    </w:p>
    <w:p w14:paraId="44EF1BC9" w14:textId="216E9ECD" w:rsidR="007E7FFD"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b/>
          <w:sz w:val="24"/>
          <w:szCs w:val="24"/>
          <w:lang w:eastAsia="en-IN"/>
        </w:rPr>
        <w:t>A</w:t>
      </w:r>
      <w:r w:rsidR="00C85989" w:rsidRPr="001944EC">
        <w:rPr>
          <w:rFonts w:eastAsia="Times New Roman" w:cstheme="minorHAnsi"/>
          <w:b/>
          <w:sz w:val="24"/>
          <w:szCs w:val="24"/>
          <w:lang w:eastAsia="en-IN"/>
        </w:rPr>
        <w:t>BSTRACT:</w:t>
      </w:r>
    </w:p>
    <w:p w14:paraId="48AB334C" w14:textId="57844915" w:rsidR="00361172" w:rsidRPr="001944EC" w:rsidRDefault="00361172" w:rsidP="006C1440">
      <w:pPr>
        <w:spacing w:after="0" w:line="240" w:lineRule="auto"/>
        <w:contextualSpacing/>
        <w:mirrorIndents/>
        <w:jc w:val="both"/>
        <w:rPr>
          <w:rFonts w:cstheme="minorHAnsi"/>
          <w:sz w:val="24"/>
          <w:szCs w:val="24"/>
        </w:rPr>
      </w:pPr>
      <w:r w:rsidRPr="001944EC">
        <w:rPr>
          <w:rFonts w:cstheme="minorHAnsi"/>
          <w:sz w:val="24"/>
          <w:szCs w:val="24"/>
        </w:rPr>
        <w:t xml:space="preserve">Biomedical waste segregation errors continue to represent a major challenge in healthcare systems, contributing to occupational hazards, environmental contamination, increased waste treatment costs, and reduced infection control efficiency. Existing biomedical waste monitoring systems predominantly evaluate compliance outcomes rather than execution-level </w:t>
      </w:r>
      <w:proofErr w:type="spellStart"/>
      <w:r w:rsidRPr="001944EC">
        <w:rPr>
          <w:rFonts w:cstheme="minorHAnsi"/>
          <w:sz w:val="24"/>
          <w:szCs w:val="24"/>
        </w:rPr>
        <w:t>behavioral</w:t>
      </w:r>
      <w:proofErr w:type="spellEnd"/>
      <w:r w:rsidRPr="001944EC">
        <w:rPr>
          <w:rFonts w:cstheme="minorHAnsi"/>
          <w:sz w:val="24"/>
          <w:szCs w:val="24"/>
        </w:rPr>
        <w:t xml:space="preserve"> precision at the point of waste generation. Point-of-Generation Segregation Theory (PGST) was developed as a theory-driven </w:t>
      </w:r>
      <w:proofErr w:type="spellStart"/>
      <w:r w:rsidRPr="001944EC">
        <w:rPr>
          <w:rFonts w:cstheme="minorHAnsi"/>
          <w:sz w:val="24"/>
          <w:szCs w:val="24"/>
        </w:rPr>
        <w:t>behavioral</w:t>
      </w:r>
      <w:proofErr w:type="spellEnd"/>
      <w:r w:rsidRPr="001944EC">
        <w:rPr>
          <w:rFonts w:cstheme="minorHAnsi"/>
          <w:sz w:val="24"/>
          <w:szCs w:val="24"/>
        </w:rPr>
        <w:t xml:space="preserve"> precision framework to explain how micro-level human actions influence segregation quality and downstream safety outcomes. This methodology paper presents a standardized observational protocol for implementing PGST in real-world healthcare settings. The protocol operationalizes </w:t>
      </w:r>
      <w:proofErr w:type="spellStart"/>
      <w:r w:rsidRPr="001944EC">
        <w:rPr>
          <w:rFonts w:cstheme="minorHAnsi"/>
          <w:sz w:val="24"/>
          <w:szCs w:val="24"/>
        </w:rPr>
        <w:t>behavioral</w:t>
      </w:r>
      <w:proofErr w:type="spellEnd"/>
      <w:r w:rsidRPr="001944EC">
        <w:rPr>
          <w:rFonts w:cstheme="minorHAnsi"/>
          <w:sz w:val="24"/>
          <w:szCs w:val="24"/>
        </w:rPr>
        <w:t xml:space="preserve"> precision assessment through Moment-Based Precision </w:t>
      </w:r>
      <w:proofErr w:type="spellStart"/>
      <w:r w:rsidRPr="001944EC">
        <w:rPr>
          <w:rFonts w:cstheme="minorHAnsi"/>
          <w:sz w:val="24"/>
          <w:szCs w:val="24"/>
        </w:rPr>
        <w:t>Behavioral</w:t>
      </w:r>
      <w:proofErr w:type="spellEnd"/>
      <w:r w:rsidRPr="001944EC">
        <w:rPr>
          <w:rFonts w:cstheme="minorHAnsi"/>
          <w:sz w:val="24"/>
          <w:szCs w:val="24"/>
        </w:rPr>
        <w:t xml:space="preserve"> Fidelity (MBPBF), which evaluates four </w:t>
      </w:r>
      <w:proofErr w:type="spellStart"/>
      <w:r w:rsidRPr="001944EC">
        <w:rPr>
          <w:rFonts w:cstheme="minorHAnsi"/>
          <w:sz w:val="24"/>
          <w:szCs w:val="24"/>
        </w:rPr>
        <w:t>behavioral</w:t>
      </w:r>
      <w:proofErr w:type="spellEnd"/>
      <w:r w:rsidRPr="001944EC">
        <w:rPr>
          <w:rFonts w:cstheme="minorHAnsi"/>
          <w:sz w:val="24"/>
          <w:szCs w:val="24"/>
        </w:rPr>
        <w:t xml:space="preserve"> domains: </w:t>
      </w:r>
      <w:r w:rsidR="00311659" w:rsidRPr="001944EC">
        <w:rPr>
          <w:rFonts w:cstheme="minorHAnsi"/>
          <w:sz w:val="24"/>
          <w:szCs w:val="24"/>
        </w:rPr>
        <w:t>c</w:t>
      </w:r>
      <w:r w:rsidRPr="001944EC">
        <w:rPr>
          <w:rFonts w:cstheme="minorHAnsi"/>
          <w:sz w:val="24"/>
          <w:szCs w:val="24"/>
        </w:rPr>
        <w:t xml:space="preserve">ognitive </w:t>
      </w:r>
      <w:r w:rsidR="00311659" w:rsidRPr="001944EC">
        <w:rPr>
          <w:rFonts w:cstheme="minorHAnsi"/>
          <w:sz w:val="24"/>
          <w:szCs w:val="24"/>
        </w:rPr>
        <w:t>a</w:t>
      </w:r>
      <w:r w:rsidRPr="001944EC">
        <w:rPr>
          <w:rFonts w:cstheme="minorHAnsi"/>
          <w:sz w:val="24"/>
          <w:szCs w:val="24"/>
        </w:rPr>
        <w:t xml:space="preserve">nchoring, </w:t>
      </w:r>
      <w:r w:rsidR="00311659" w:rsidRPr="001944EC">
        <w:rPr>
          <w:rFonts w:cstheme="minorHAnsi"/>
          <w:sz w:val="24"/>
          <w:szCs w:val="24"/>
        </w:rPr>
        <w:t>v</w:t>
      </w:r>
      <w:r w:rsidRPr="001944EC">
        <w:rPr>
          <w:rFonts w:cstheme="minorHAnsi"/>
          <w:sz w:val="24"/>
          <w:szCs w:val="24"/>
        </w:rPr>
        <w:t xml:space="preserve">isual </w:t>
      </w:r>
      <w:r w:rsidR="00311659" w:rsidRPr="001944EC">
        <w:rPr>
          <w:rFonts w:cstheme="minorHAnsi"/>
          <w:sz w:val="24"/>
          <w:szCs w:val="24"/>
        </w:rPr>
        <w:t>d</w:t>
      </w:r>
      <w:r w:rsidRPr="001944EC">
        <w:rPr>
          <w:rFonts w:cstheme="minorHAnsi"/>
          <w:sz w:val="24"/>
          <w:szCs w:val="24"/>
        </w:rPr>
        <w:t xml:space="preserve">iscrimination, </w:t>
      </w:r>
      <w:r w:rsidR="00311659" w:rsidRPr="001944EC">
        <w:rPr>
          <w:rFonts w:cstheme="minorHAnsi"/>
          <w:sz w:val="24"/>
          <w:szCs w:val="24"/>
        </w:rPr>
        <w:t>r</w:t>
      </w:r>
      <w:r w:rsidRPr="001944EC">
        <w:rPr>
          <w:rFonts w:cstheme="minorHAnsi"/>
          <w:sz w:val="24"/>
          <w:szCs w:val="24"/>
        </w:rPr>
        <w:t xml:space="preserve">epetition </w:t>
      </w:r>
      <w:r w:rsidR="00311659" w:rsidRPr="001944EC">
        <w:rPr>
          <w:rFonts w:cstheme="minorHAnsi"/>
          <w:sz w:val="24"/>
          <w:szCs w:val="24"/>
        </w:rPr>
        <w:t>r</w:t>
      </w:r>
      <w:r w:rsidRPr="001944EC">
        <w:rPr>
          <w:rFonts w:cstheme="minorHAnsi"/>
          <w:sz w:val="24"/>
          <w:szCs w:val="24"/>
        </w:rPr>
        <w:t xml:space="preserve">einforcement, and </w:t>
      </w:r>
      <w:r w:rsidR="00311659" w:rsidRPr="001944EC">
        <w:rPr>
          <w:rFonts w:cstheme="minorHAnsi"/>
          <w:sz w:val="24"/>
          <w:szCs w:val="24"/>
        </w:rPr>
        <w:t>e</w:t>
      </w:r>
      <w:r w:rsidRPr="001944EC">
        <w:rPr>
          <w:rFonts w:cstheme="minorHAnsi"/>
          <w:sz w:val="24"/>
          <w:szCs w:val="24"/>
        </w:rPr>
        <w:t>rror-</w:t>
      </w:r>
      <w:r w:rsidR="00311659" w:rsidRPr="001944EC">
        <w:rPr>
          <w:rFonts w:cstheme="minorHAnsi"/>
          <w:sz w:val="24"/>
          <w:szCs w:val="24"/>
        </w:rPr>
        <w:t>r</w:t>
      </w:r>
      <w:r w:rsidRPr="001944EC">
        <w:rPr>
          <w:rFonts w:cstheme="minorHAnsi"/>
          <w:sz w:val="24"/>
          <w:szCs w:val="24"/>
        </w:rPr>
        <w:t xml:space="preserve">esponsive </w:t>
      </w:r>
      <w:r w:rsidR="00311659" w:rsidRPr="001944EC">
        <w:rPr>
          <w:rFonts w:cstheme="minorHAnsi"/>
          <w:sz w:val="24"/>
          <w:szCs w:val="24"/>
        </w:rPr>
        <w:t>f</w:t>
      </w:r>
      <w:r w:rsidRPr="001944EC">
        <w:rPr>
          <w:rFonts w:cstheme="minorHAnsi"/>
          <w:sz w:val="24"/>
          <w:szCs w:val="24"/>
        </w:rPr>
        <w:t xml:space="preserve">eedback. The methodology includes participant selection workflows, observer calibration procedures, structured </w:t>
      </w:r>
      <w:proofErr w:type="spellStart"/>
      <w:r w:rsidRPr="001944EC">
        <w:rPr>
          <w:rFonts w:cstheme="minorHAnsi"/>
          <w:sz w:val="24"/>
          <w:szCs w:val="24"/>
        </w:rPr>
        <w:t>behavioral</w:t>
      </w:r>
      <w:proofErr w:type="spellEnd"/>
      <w:r w:rsidRPr="001944EC">
        <w:rPr>
          <w:rFonts w:cstheme="minorHAnsi"/>
          <w:sz w:val="24"/>
          <w:szCs w:val="24"/>
        </w:rPr>
        <w:t xml:space="preserve"> observation instruments, domain-based scoring architecture, and </w:t>
      </w:r>
      <w:r w:rsidR="0037618F" w:rsidRPr="001944EC">
        <w:rPr>
          <w:rFonts w:cstheme="minorHAnsi"/>
          <w:sz w:val="24"/>
          <w:szCs w:val="24"/>
        </w:rPr>
        <w:t xml:space="preserve">standardized computational methods for </w:t>
      </w:r>
      <w:proofErr w:type="spellStart"/>
      <w:r w:rsidR="0037618F" w:rsidRPr="001944EC">
        <w:rPr>
          <w:rFonts w:cstheme="minorHAnsi"/>
          <w:sz w:val="24"/>
          <w:szCs w:val="24"/>
        </w:rPr>
        <w:t>behavioral</w:t>
      </w:r>
      <w:proofErr w:type="spellEnd"/>
      <w:r w:rsidR="0037618F" w:rsidRPr="001944EC">
        <w:rPr>
          <w:rFonts w:cstheme="minorHAnsi"/>
          <w:sz w:val="24"/>
          <w:szCs w:val="24"/>
        </w:rPr>
        <w:t xml:space="preserve"> assessment and comparison across predefined observation scopes.</w:t>
      </w:r>
      <w:r w:rsidRPr="001944EC">
        <w:rPr>
          <w:rFonts w:cstheme="minorHAnsi"/>
          <w:sz w:val="24"/>
          <w:szCs w:val="24"/>
        </w:rPr>
        <w:t xml:space="preserve"> Domain scores are aggregated into a composite Precision </w:t>
      </w:r>
      <w:r w:rsidR="000934E9" w:rsidRPr="001944EC">
        <w:rPr>
          <w:rFonts w:cstheme="minorHAnsi"/>
          <w:sz w:val="24"/>
          <w:szCs w:val="24"/>
        </w:rPr>
        <w:t>Behavior</w:t>
      </w:r>
      <w:r w:rsidRPr="001944EC">
        <w:rPr>
          <w:rFonts w:cstheme="minorHAnsi"/>
          <w:sz w:val="24"/>
          <w:szCs w:val="24"/>
        </w:rPr>
        <w:t xml:space="preserve"> Score (PBS; Bhadran's Score) for </w:t>
      </w:r>
      <w:r w:rsidRPr="001944EC">
        <w:rPr>
          <w:rFonts w:cstheme="minorHAnsi"/>
          <w:sz w:val="24"/>
          <w:szCs w:val="24"/>
        </w:rPr>
        <w:lastRenderedPageBreak/>
        <w:t xml:space="preserve">each eligible staff member, and individual PBS values are subsequently aggregated to generate the Point-of-Generation Segregation Accuracy (PGSA) within a predefined observation scope. PGSA reflects observed segregation accuracy during the specified assessment period and may vary across observation periods and observation conditions. Representative results demonstrate the application of the protocol for individual </w:t>
      </w:r>
      <w:proofErr w:type="spellStart"/>
      <w:r w:rsidRPr="001944EC">
        <w:rPr>
          <w:rFonts w:cstheme="minorHAnsi"/>
          <w:sz w:val="24"/>
          <w:szCs w:val="24"/>
        </w:rPr>
        <w:t>behavioral</w:t>
      </w:r>
      <w:proofErr w:type="spellEnd"/>
      <w:r w:rsidRPr="001944EC">
        <w:rPr>
          <w:rFonts w:cstheme="minorHAnsi"/>
          <w:sz w:val="24"/>
          <w:szCs w:val="24"/>
        </w:rPr>
        <w:t xml:space="preserve"> assessment, aggregation of PBS values, PGSA calculation, repeated-observation assessment, and interpretation of </w:t>
      </w:r>
      <w:proofErr w:type="spellStart"/>
      <w:r w:rsidRPr="001944EC">
        <w:rPr>
          <w:rFonts w:cstheme="minorHAnsi"/>
          <w:sz w:val="24"/>
          <w:szCs w:val="24"/>
        </w:rPr>
        <w:t>behavioral</w:t>
      </w:r>
      <w:proofErr w:type="spellEnd"/>
      <w:r w:rsidRPr="001944EC">
        <w:rPr>
          <w:rFonts w:cstheme="minorHAnsi"/>
          <w:sz w:val="24"/>
          <w:szCs w:val="24"/>
        </w:rPr>
        <w:t xml:space="preserve"> precision. This protocol provides a standardized operational methodology for implementing PGST and is intended to support reproducible application and future empirical validation across healthcare settings.</w:t>
      </w:r>
    </w:p>
    <w:p w14:paraId="24879FA5" w14:textId="77777777" w:rsidR="007E7FFD" w:rsidRPr="001944EC" w:rsidRDefault="007E7FFD" w:rsidP="006C1440">
      <w:pPr>
        <w:spacing w:after="0" w:line="240" w:lineRule="auto"/>
        <w:contextualSpacing/>
        <w:mirrorIndents/>
        <w:jc w:val="both"/>
        <w:rPr>
          <w:rFonts w:eastAsia="Times New Roman" w:cstheme="minorHAnsi"/>
          <w:sz w:val="24"/>
          <w:szCs w:val="24"/>
          <w:lang w:eastAsia="en-IN"/>
        </w:rPr>
      </w:pPr>
    </w:p>
    <w:p w14:paraId="63430F18" w14:textId="6ABB9226" w:rsidR="007E7FFD"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b/>
          <w:sz w:val="24"/>
          <w:szCs w:val="24"/>
          <w:lang w:eastAsia="en-IN"/>
        </w:rPr>
        <w:t>I</w:t>
      </w:r>
      <w:r w:rsidR="00C85989" w:rsidRPr="001944EC">
        <w:rPr>
          <w:rFonts w:eastAsia="Times New Roman" w:cstheme="minorHAnsi"/>
          <w:b/>
          <w:sz w:val="24"/>
          <w:szCs w:val="24"/>
          <w:lang w:eastAsia="en-IN"/>
        </w:rPr>
        <w:t>NTRODUCTION:</w:t>
      </w:r>
    </w:p>
    <w:p w14:paraId="1EA6EAA8" w14:textId="77777777" w:rsidR="004F0B97"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Biomedical waste management remains a critical component of healthcare quality, infection prevention, occupational safety, and environmental protection. Inadequate segregation at the point of waste generation contributes to increased infectious exposure risk, environmental contamination, treatment inefficiencies, financial burden, and regulatory non-compliance</w:t>
      </w:r>
      <w:r w:rsidRPr="001944EC">
        <w:rPr>
          <w:rFonts w:eastAsia="Times New Roman" w:cstheme="minorHAnsi"/>
          <w:sz w:val="24"/>
          <w:szCs w:val="24"/>
          <w:vertAlign w:val="superscript"/>
          <w:lang w:eastAsia="en-IN"/>
        </w:rPr>
        <w:t>1,2</w:t>
      </w:r>
      <w:r w:rsidRPr="001944EC">
        <w:rPr>
          <w:rFonts w:eastAsia="Times New Roman" w:cstheme="minorHAnsi"/>
          <w:sz w:val="24"/>
          <w:szCs w:val="24"/>
          <w:lang w:eastAsia="en-IN"/>
        </w:rPr>
        <w:t>. Although international and national biomedical waste management guidelines are widely available, healthcare institutions continue to report persistent segregation errors despite repeated training and policy interventions</w:t>
      </w:r>
      <w:r w:rsidRPr="001944EC">
        <w:rPr>
          <w:rFonts w:eastAsia="Times New Roman" w:cstheme="minorHAnsi"/>
          <w:sz w:val="24"/>
          <w:szCs w:val="24"/>
          <w:vertAlign w:val="superscript"/>
          <w:lang w:eastAsia="en-IN"/>
        </w:rPr>
        <w:t>3,4</w:t>
      </w:r>
      <w:r w:rsidRPr="001944EC">
        <w:rPr>
          <w:rFonts w:eastAsia="Times New Roman" w:cstheme="minorHAnsi"/>
          <w:sz w:val="24"/>
          <w:szCs w:val="24"/>
          <w:lang w:eastAsia="en-IN"/>
        </w:rPr>
        <w:t>.</w:t>
      </w:r>
    </w:p>
    <w:p w14:paraId="0484E7D5" w14:textId="77777777" w:rsidR="004F0B97" w:rsidRPr="001944EC" w:rsidRDefault="004F0B97" w:rsidP="006C1440">
      <w:pPr>
        <w:spacing w:after="0" w:line="240" w:lineRule="auto"/>
        <w:contextualSpacing/>
        <w:mirrorIndents/>
        <w:jc w:val="both"/>
        <w:rPr>
          <w:rFonts w:eastAsia="Times New Roman" w:cstheme="minorHAnsi"/>
          <w:sz w:val="24"/>
          <w:szCs w:val="24"/>
          <w:lang w:eastAsia="en-IN"/>
        </w:rPr>
      </w:pPr>
    </w:p>
    <w:p w14:paraId="79BE7DB7" w14:textId="4EFCD358" w:rsidR="004F0B97"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Conventional biomedical waste audits primarily evaluate compliance outcomes, including </w:t>
      </w:r>
      <w:proofErr w:type="spellStart"/>
      <w:r w:rsidRPr="001944EC">
        <w:rPr>
          <w:rFonts w:eastAsia="Times New Roman" w:cstheme="minorHAnsi"/>
          <w:sz w:val="24"/>
          <w:szCs w:val="24"/>
          <w:lang w:eastAsia="en-IN"/>
        </w:rPr>
        <w:t>color-code</w:t>
      </w:r>
      <w:proofErr w:type="spellEnd"/>
      <w:r w:rsidRPr="001944EC">
        <w:rPr>
          <w:rFonts w:eastAsia="Times New Roman" w:cstheme="minorHAnsi"/>
          <w:sz w:val="24"/>
          <w:szCs w:val="24"/>
          <w:lang w:eastAsia="en-IN"/>
        </w:rPr>
        <w:t xml:space="preserve"> adherence, bin contamination rates, and final waste categorization accuracy. However, these outcome-oriented approaches do not routinely provide a standardized assessment of the micro-level human </w:t>
      </w:r>
      <w:proofErr w:type="spellStart"/>
      <w:r w:rsidRPr="001944EC">
        <w:rPr>
          <w:rFonts w:eastAsia="Times New Roman" w:cstheme="minorHAnsi"/>
          <w:sz w:val="24"/>
          <w:szCs w:val="24"/>
          <w:lang w:eastAsia="en-IN"/>
        </w:rPr>
        <w:t>behaviors</w:t>
      </w:r>
      <w:proofErr w:type="spellEnd"/>
      <w:r w:rsidRPr="001944EC">
        <w:rPr>
          <w:rFonts w:eastAsia="Times New Roman" w:cstheme="minorHAnsi"/>
          <w:sz w:val="24"/>
          <w:szCs w:val="24"/>
          <w:lang w:eastAsia="en-IN"/>
        </w:rPr>
        <w:t xml:space="preserve"> that directly influence segregation performance. Existing audit approaches also have limited integration of standardized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observation instruments, structured observer workflows, and reproducible scoring architectures capable of characterizing execution-level segregation behavior during real-time clinical practice</w:t>
      </w:r>
      <w:r w:rsidRPr="001944EC">
        <w:rPr>
          <w:rFonts w:eastAsia="Times New Roman" w:cstheme="minorHAnsi"/>
          <w:sz w:val="24"/>
          <w:szCs w:val="24"/>
          <w:vertAlign w:val="superscript"/>
          <w:lang w:eastAsia="en-IN"/>
        </w:rPr>
        <w:t>5</w:t>
      </w:r>
      <w:r w:rsidRPr="001944EC">
        <w:rPr>
          <w:rFonts w:eastAsia="Times New Roman" w:cstheme="minorHAnsi"/>
          <w:sz w:val="24"/>
          <w:szCs w:val="24"/>
          <w:lang w:eastAsia="en-IN"/>
        </w:rPr>
        <w:t xml:space="preserve">. Consequently, the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mechanisms underlying segregation performance at the point of generation remain insufficiently characterized.</w:t>
      </w:r>
      <w:r w:rsidR="001003AB" w:rsidRPr="001944EC">
        <w:rPr>
          <w:rFonts w:cstheme="minorHAnsi"/>
          <w:sz w:val="24"/>
          <w:szCs w:val="24"/>
        </w:rPr>
        <w:t xml:space="preserve"> </w:t>
      </w:r>
      <w:r w:rsidR="001003AB" w:rsidRPr="001944EC">
        <w:rPr>
          <w:rFonts w:eastAsia="Times New Roman" w:cstheme="minorHAnsi"/>
          <w:sz w:val="24"/>
          <w:szCs w:val="24"/>
          <w:lang w:eastAsia="en-IN"/>
        </w:rPr>
        <w:t>The methodological characteristics of conventional biomedical waste assessment approaches</w:t>
      </w:r>
      <w:r w:rsidR="00311659" w:rsidRPr="001944EC">
        <w:rPr>
          <w:rFonts w:eastAsia="Times New Roman" w:cstheme="minorHAnsi"/>
          <w:sz w:val="24"/>
          <w:szCs w:val="24"/>
          <w:lang w:eastAsia="en-IN"/>
        </w:rPr>
        <w:t>,</w:t>
      </w:r>
      <w:r w:rsidR="001003AB" w:rsidRPr="001944EC">
        <w:rPr>
          <w:rFonts w:eastAsia="Times New Roman" w:cstheme="minorHAnsi"/>
          <w:sz w:val="24"/>
          <w:szCs w:val="24"/>
          <w:lang w:eastAsia="en-IN"/>
        </w:rPr>
        <w:t xml:space="preserve"> and the corresponding features introduced by the PGST standardized observational protocol are summarized in </w:t>
      </w:r>
      <w:r w:rsidR="001003AB" w:rsidRPr="001944EC">
        <w:rPr>
          <w:rFonts w:eastAsia="Times New Roman" w:cstheme="minorHAnsi"/>
          <w:b/>
          <w:bCs/>
          <w:sz w:val="24"/>
          <w:szCs w:val="24"/>
          <w:lang w:eastAsia="en-IN"/>
        </w:rPr>
        <w:t>Table 1</w:t>
      </w:r>
      <w:r w:rsidR="001003AB" w:rsidRPr="001944EC">
        <w:rPr>
          <w:rFonts w:eastAsia="Times New Roman" w:cstheme="minorHAnsi"/>
          <w:sz w:val="24"/>
          <w:szCs w:val="24"/>
          <w:lang w:eastAsia="en-IN"/>
        </w:rPr>
        <w:t xml:space="preserve">. This comparison highlights the shift from predominantly outcome-oriented assessment toward structured, real-time observation of </w:t>
      </w:r>
      <w:proofErr w:type="spellStart"/>
      <w:r w:rsidR="001003AB" w:rsidRPr="001944EC">
        <w:rPr>
          <w:rFonts w:eastAsia="Times New Roman" w:cstheme="minorHAnsi"/>
          <w:sz w:val="24"/>
          <w:szCs w:val="24"/>
          <w:lang w:eastAsia="en-IN"/>
        </w:rPr>
        <w:t>behavioral</w:t>
      </w:r>
      <w:proofErr w:type="spellEnd"/>
      <w:r w:rsidR="001003AB" w:rsidRPr="001944EC">
        <w:rPr>
          <w:rFonts w:eastAsia="Times New Roman" w:cstheme="minorHAnsi"/>
          <w:sz w:val="24"/>
          <w:szCs w:val="24"/>
          <w:lang w:eastAsia="en-IN"/>
        </w:rPr>
        <w:t xml:space="preserve"> execution at the point of waste generation.</w:t>
      </w:r>
    </w:p>
    <w:p w14:paraId="1BE9BD2F" w14:textId="77777777" w:rsidR="00FF0E7A" w:rsidRPr="001944EC" w:rsidRDefault="00FF0E7A" w:rsidP="006C1440">
      <w:pPr>
        <w:spacing w:after="0" w:line="240" w:lineRule="auto"/>
        <w:contextualSpacing/>
        <w:mirrorIndents/>
        <w:jc w:val="both"/>
        <w:rPr>
          <w:rFonts w:eastAsia="Times New Roman" w:cstheme="minorHAnsi"/>
          <w:sz w:val="24"/>
          <w:szCs w:val="24"/>
          <w:lang w:eastAsia="en-IN"/>
        </w:rPr>
      </w:pPr>
    </w:p>
    <w:p w14:paraId="710B7688" w14:textId="684EF6CB" w:rsidR="00FF0E7A"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Unlike conventional biomedical waste-management assessments that primarily evaluate knowledge, attitudes, self-reported practices, compliance, or downstream waste-management outcomes, PGST focuses on </w:t>
      </w:r>
      <w:proofErr w:type="spellStart"/>
      <w:r w:rsidR="00CA1E63"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execution at the point of waste generation. The present protocol operationalizes this framework through standardized observation, MBPBF domain assessment, individual staff-level PBS calculation, and aggregation of staff-level PBS values into PGSA.</w:t>
      </w:r>
    </w:p>
    <w:p w14:paraId="08C92F1D" w14:textId="77777777" w:rsidR="00BB5BE9" w:rsidRPr="001944EC" w:rsidRDefault="00BB5BE9" w:rsidP="006C1440">
      <w:pPr>
        <w:spacing w:after="0" w:line="240" w:lineRule="auto"/>
        <w:contextualSpacing/>
        <w:mirrorIndents/>
        <w:jc w:val="both"/>
        <w:rPr>
          <w:rFonts w:eastAsia="Times New Roman" w:cstheme="minorHAnsi"/>
          <w:sz w:val="24"/>
          <w:szCs w:val="24"/>
          <w:lang w:eastAsia="en-IN"/>
        </w:rPr>
      </w:pPr>
    </w:p>
    <w:p w14:paraId="29212F92" w14:textId="7202BC59" w:rsidR="00FF0E7A" w:rsidRPr="001944EC" w:rsidRDefault="001431DC" w:rsidP="006C1440">
      <w:pPr>
        <w:spacing w:after="0" w:line="240" w:lineRule="auto"/>
        <w:contextualSpacing/>
        <w:mirrorIndents/>
        <w:jc w:val="both"/>
        <w:rPr>
          <w:rFonts w:cstheme="minorHAnsi"/>
          <w:sz w:val="24"/>
          <w:szCs w:val="24"/>
        </w:rPr>
      </w:pPr>
      <w:r w:rsidRPr="001944EC">
        <w:rPr>
          <w:rFonts w:cstheme="minorHAnsi"/>
          <w:sz w:val="24"/>
          <w:szCs w:val="24"/>
        </w:rPr>
        <w:t xml:space="preserve">PGST was selected because biomedical waste segregation is ultimately performed as a point-of-generation </w:t>
      </w:r>
      <w:proofErr w:type="spellStart"/>
      <w:r w:rsidR="00CA1E63" w:rsidRPr="001944EC">
        <w:rPr>
          <w:rFonts w:cstheme="minorHAnsi"/>
          <w:sz w:val="24"/>
          <w:szCs w:val="24"/>
        </w:rPr>
        <w:t>behavioral</w:t>
      </w:r>
      <w:proofErr w:type="spellEnd"/>
      <w:r w:rsidRPr="001944EC">
        <w:rPr>
          <w:rFonts w:cstheme="minorHAnsi"/>
          <w:sz w:val="24"/>
          <w:szCs w:val="24"/>
        </w:rPr>
        <w:t xml:space="preserve"> decision. Knowledge or stated compliance alone does not necessarily demonstrate correct </w:t>
      </w:r>
      <w:proofErr w:type="spellStart"/>
      <w:r w:rsidR="00CA1E63" w:rsidRPr="001944EC">
        <w:rPr>
          <w:rFonts w:cstheme="minorHAnsi"/>
          <w:sz w:val="24"/>
          <w:szCs w:val="24"/>
        </w:rPr>
        <w:t>behavioral</w:t>
      </w:r>
      <w:proofErr w:type="spellEnd"/>
      <w:r w:rsidRPr="001944EC">
        <w:rPr>
          <w:rFonts w:cstheme="minorHAnsi"/>
          <w:sz w:val="24"/>
          <w:szCs w:val="24"/>
        </w:rPr>
        <w:t xml:space="preserve"> execution at the moment waste is disposed</w:t>
      </w:r>
      <w:r w:rsidR="00311659" w:rsidRPr="001944EC">
        <w:rPr>
          <w:rFonts w:cstheme="minorHAnsi"/>
          <w:sz w:val="24"/>
          <w:szCs w:val="24"/>
        </w:rPr>
        <w:t xml:space="preserve"> of</w:t>
      </w:r>
      <w:r w:rsidRPr="001944EC">
        <w:rPr>
          <w:rFonts w:cstheme="minorHAnsi"/>
          <w:sz w:val="24"/>
          <w:szCs w:val="24"/>
        </w:rPr>
        <w:t xml:space="preserve">. PGST therefore provides a framework for examining the </w:t>
      </w:r>
      <w:proofErr w:type="spellStart"/>
      <w:r w:rsidR="00CA1E63" w:rsidRPr="001944EC">
        <w:rPr>
          <w:rFonts w:cstheme="minorHAnsi"/>
          <w:sz w:val="24"/>
          <w:szCs w:val="24"/>
        </w:rPr>
        <w:t>behavioral</w:t>
      </w:r>
      <w:proofErr w:type="spellEnd"/>
      <w:r w:rsidRPr="001944EC">
        <w:rPr>
          <w:rFonts w:cstheme="minorHAnsi"/>
          <w:sz w:val="24"/>
          <w:szCs w:val="24"/>
        </w:rPr>
        <w:t xml:space="preserve"> components involved in point-of-generation segregation and for converting these components into a structured individual-level Precision Behavior Score (PBS), which can subsequently be aggregated to </w:t>
      </w:r>
      <w:r w:rsidRPr="001944EC">
        <w:rPr>
          <w:rFonts w:cstheme="minorHAnsi"/>
          <w:sz w:val="24"/>
          <w:szCs w:val="24"/>
        </w:rPr>
        <w:lastRenderedPageBreak/>
        <w:t xml:space="preserve">derive </w:t>
      </w:r>
      <w:r w:rsidR="000170B2" w:rsidRPr="001944EC">
        <w:rPr>
          <w:rFonts w:cstheme="minorHAnsi"/>
          <w:sz w:val="24"/>
          <w:szCs w:val="24"/>
        </w:rPr>
        <w:t>p</w:t>
      </w:r>
      <w:r w:rsidRPr="001944EC">
        <w:rPr>
          <w:rFonts w:cstheme="minorHAnsi"/>
          <w:sz w:val="24"/>
          <w:szCs w:val="24"/>
        </w:rPr>
        <w:t>oint-of-</w:t>
      </w:r>
      <w:r w:rsidR="000170B2" w:rsidRPr="001944EC">
        <w:rPr>
          <w:rFonts w:cstheme="minorHAnsi"/>
          <w:sz w:val="24"/>
          <w:szCs w:val="24"/>
        </w:rPr>
        <w:t>g</w:t>
      </w:r>
      <w:r w:rsidRPr="001944EC">
        <w:rPr>
          <w:rFonts w:cstheme="minorHAnsi"/>
          <w:sz w:val="24"/>
          <w:szCs w:val="24"/>
        </w:rPr>
        <w:t xml:space="preserve">eneration </w:t>
      </w:r>
      <w:r w:rsidR="000170B2" w:rsidRPr="001944EC">
        <w:rPr>
          <w:rFonts w:cstheme="minorHAnsi"/>
          <w:sz w:val="24"/>
          <w:szCs w:val="24"/>
        </w:rPr>
        <w:t>s</w:t>
      </w:r>
      <w:r w:rsidRPr="001944EC">
        <w:rPr>
          <w:rFonts w:cstheme="minorHAnsi"/>
          <w:sz w:val="24"/>
          <w:szCs w:val="24"/>
        </w:rPr>
        <w:t xml:space="preserve">egregation </w:t>
      </w:r>
      <w:r w:rsidR="000170B2" w:rsidRPr="001944EC">
        <w:rPr>
          <w:rFonts w:cstheme="minorHAnsi"/>
          <w:sz w:val="24"/>
          <w:szCs w:val="24"/>
        </w:rPr>
        <w:t>a</w:t>
      </w:r>
      <w:r w:rsidRPr="001944EC">
        <w:rPr>
          <w:rFonts w:cstheme="minorHAnsi"/>
          <w:sz w:val="24"/>
          <w:szCs w:val="24"/>
        </w:rPr>
        <w:t>ccuracy (PGSA) within a predefined observation scope.</w:t>
      </w:r>
    </w:p>
    <w:p w14:paraId="792ACB2D" w14:textId="77777777" w:rsidR="00FF0E7A" w:rsidRPr="001944EC" w:rsidRDefault="00FF0E7A" w:rsidP="006C1440">
      <w:pPr>
        <w:spacing w:after="0" w:line="240" w:lineRule="auto"/>
        <w:contextualSpacing/>
        <w:mirrorIndents/>
        <w:jc w:val="both"/>
        <w:rPr>
          <w:rFonts w:eastAsia="Times New Roman" w:cstheme="minorHAnsi"/>
          <w:sz w:val="24"/>
          <w:szCs w:val="24"/>
          <w:lang w:eastAsia="en-IN"/>
        </w:rPr>
      </w:pPr>
    </w:p>
    <w:p w14:paraId="79C18710" w14:textId="1C34A8D1" w:rsidR="004F0B97"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Point-of-Generation Segregation Theory (PGST) was developed to address this methodological gap by conceptualizing biomedical waste segregation as a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process occurring at the point of waste generation</w:t>
      </w:r>
      <w:r w:rsidRPr="001944EC">
        <w:rPr>
          <w:rFonts w:eastAsia="Times New Roman" w:cstheme="minorHAnsi"/>
          <w:sz w:val="24"/>
          <w:szCs w:val="24"/>
          <w:vertAlign w:val="superscript"/>
          <w:lang w:eastAsia="en-IN"/>
        </w:rPr>
        <w:t>1</w:t>
      </w:r>
      <w:r w:rsidRPr="001944EC">
        <w:rPr>
          <w:rFonts w:eastAsia="Times New Roman" w:cstheme="minorHAnsi"/>
          <w:sz w:val="24"/>
          <w:szCs w:val="24"/>
          <w:lang w:eastAsia="en-IN"/>
        </w:rPr>
        <w:t xml:space="preserve">. The theory proposes that segregation quality is influenced not only by regulatory compliance but also by the precision and consistency of moment-to-moment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execution during segregation activities. PGST therefore provides a process-</w:t>
      </w:r>
      <w:proofErr w:type="spellStart"/>
      <w:r w:rsidRPr="001944EC">
        <w:rPr>
          <w:rFonts w:eastAsia="Times New Roman" w:cstheme="minorHAnsi"/>
          <w:sz w:val="24"/>
          <w:szCs w:val="24"/>
          <w:lang w:eastAsia="en-IN"/>
        </w:rPr>
        <w:t>centered</w:t>
      </w:r>
      <w:proofErr w:type="spellEnd"/>
      <w:r w:rsidRPr="001944EC">
        <w:rPr>
          <w:rFonts w:eastAsia="Times New Roman" w:cstheme="minorHAnsi"/>
          <w:sz w:val="24"/>
          <w:szCs w:val="24"/>
          <w:lang w:eastAsia="en-IN"/>
        </w:rPr>
        <w:t xml:space="preserve"> framework for observing and quantifying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performance during biomedical waste segregation. The conceptual architecture of PGST and its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workflow are illustrated in </w:t>
      </w:r>
      <w:r w:rsidRPr="001944EC">
        <w:rPr>
          <w:rFonts w:eastAsia="Times New Roman" w:cstheme="minorHAnsi"/>
          <w:b/>
          <w:bCs/>
          <w:sz w:val="24"/>
          <w:szCs w:val="24"/>
          <w:lang w:eastAsia="en-IN"/>
        </w:rPr>
        <w:t xml:space="preserve">Figure </w:t>
      </w:r>
      <w:r w:rsidR="00DF10B0" w:rsidRPr="001944EC">
        <w:rPr>
          <w:rFonts w:eastAsia="Times New Roman" w:cstheme="minorHAnsi"/>
          <w:b/>
          <w:bCs/>
          <w:sz w:val="24"/>
          <w:szCs w:val="24"/>
          <w:lang w:eastAsia="en-IN"/>
        </w:rPr>
        <w:t>1</w:t>
      </w:r>
      <w:r w:rsidRPr="001944EC">
        <w:rPr>
          <w:rFonts w:eastAsia="Times New Roman" w:cstheme="minorHAnsi"/>
          <w:sz w:val="24"/>
          <w:szCs w:val="24"/>
          <w:lang w:eastAsia="en-IN"/>
        </w:rPr>
        <w:t>.</w:t>
      </w:r>
    </w:p>
    <w:p w14:paraId="10676BA0" w14:textId="77777777" w:rsidR="004F0B97" w:rsidRPr="001944EC" w:rsidRDefault="004F0B97" w:rsidP="006C1440">
      <w:pPr>
        <w:spacing w:after="0" w:line="240" w:lineRule="auto"/>
        <w:contextualSpacing/>
        <w:mirrorIndents/>
        <w:jc w:val="both"/>
        <w:rPr>
          <w:rFonts w:eastAsia="Times New Roman" w:cstheme="minorHAnsi"/>
          <w:sz w:val="24"/>
          <w:szCs w:val="24"/>
          <w:lang w:eastAsia="en-IN"/>
        </w:rPr>
      </w:pPr>
    </w:p>
    <w:p w14:paraId="6A988182" w14:textId="77777777" w:rsidR="004F0B97"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Biomedical waste segregation represents a point-of-generation decision in which a healthcare worker identifies a waste item, determines its appropriate category, and performs the corresponding segregation action. PGST focuses on this decision-and-action sequence rather than solely evaluating the downstream outcome after segregation has occurred. This point-of-generation perspective provides a basis for systematically observing the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components associated with correct or suboptimal segregation performance.</w:t>
      </w:r>
    </w:p>
    <w:p w14:paraId="77AD54C1" w14:textId="77777777" w:rsidR="004F0B97" w:rsidRPr="001944EC" w:rsidRDefault="004F0B97" w:rsidP="006C1440">
      <w:pPr>
        <w:spacing w:after="0" w:line="240" w:lineRule="auto"/>
        <w:contextualSpacing/>
        <w:mirrorIndents/>
        <w:jc w:val="both"/>
        <w:rPr>
          <w:rFonts w:eastAsia="Times New Roman" w:cstheme="minorHAnsi"/>
          <w:sz w:val="24"/>
          <w:szCs w:val="24"/>
          <w:lang w:eastAsia="en-IN"/>
        </w:rPr>
      </w:pPr>
    </w:p>
    <w:p w14:paraId="4F996BF8" w14:textId="048104F6" w:rsidR="004F0B97"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The present protocol operationalizes PGST through structured, real-time observation of segregation </w:t>
      </w:r>
      <w:r w:rsidR="006D534F" w:rsidRPr="001944EC">
        <w:rPr>
          <w:rFonts w:eastAsia="Times New Roman" w:cstheme="minorHAnsi"/>
          <w:sz w:val="24"/>
          <w:szCs w:val="24"/>
          <w:lang w:eastAsia="en-IN"/>
        </w:rPr>
        <w:t>behavior</w:t>
      </w:r>
      <w:r w:rsidRPr="001944EC">
        <w:rPr>
          <w:rFonts w:eastAsia="Times New Roman" w:cstheme="minorHAnsi"/>
          <w:sz w:val="24"/>
          <w:szCs w:val="24"/>
          <w:lang w:eastAsia="en-IN"/>
        </w:rPr>
        <w:t xml:space="preserve"> among eligible healthcare staff during predefined observation periods. </w:t>
      </w:r>
      <w:r w:rsidR="008A019D" w:rsidRPr="001944EC">
        <w:rPr>
          <w:rFonts w:eastAsia="Times New Roman" w:cstheme="minorHAnsi"/>
          <w:sz w:val="24"/>
          <w:szCs w:val="24"/>
          <w:lang w:eastAsia="en-IN"/>
        </w:rPr>
        <w:t xml:space="preserve">The operational </w:t>
      </w:r>
      <w:proofErr w:type="spellStart"/>
      <w:r w:rsidR="008A019D" w:rsidRPr="001944EC">
        <w:rPr>
          <w:rFonts w:eastAsia="Times New Roman" w:cstheme="minorHAnsi"/>
          <w:sz w:val="24"/>
          <w:szCs w:val="24"/>
          <w:lang w:eastAsia="en-IN"/>
        </w:rPr>
        <w:t>behavioral</w:t>
      </w:r>
      <w:proofErr w:type="spellEnd"/>
      <w:r w:rsidR="008A019D" w:rsidRPr="001944EC">
        <w:rPr>
          <w:rFonts w:eastAsia="Times New Roman" w:cstheme="minorHAnsi"/>
          <w:sz w:val="24"/>
          <w:szCs w:val="24"/>
          <w:lang w:eastAsia="en-IN"/>
        </w:rPr>
        <w:t xml:space="preserve"> component of PGST is the </w:t>
      </w:r>
      <w:r w:rsidR="000170B2" w:rsidRPr="001944EC">
        <w:rPr>
          <w:rFonts w:eastAsia="Times New Roman" w:cstheme="minorHAnsi"/>
          <w:sz w:val="24"/>
          <w:szCs w:val="24"/>
          <w:lang w:eastAsia="en-IN"/>
        </w:rPr>
        <w:t>m</w:t>
      </w:r>
      <w:r w:rsidR="008A019D" w:rsidRPr="001944EC">
        <w:rPr>
          <w:rFonts w:eastAsia="Times New Roman" w:cstheme="minorHAnsi"/>
          <w:sz w:val="24"/>
          <w:szCs w:val="24"/>
          <w:lang w:eastAsia="en-IN"/>
        </w:rPr>
        <w:t>oment-</w:t>
      </w:r>
      <w:r w:rsidR="000170B2" w:rsidRPr="001944EC">
        <w:rPr>
          <w:rFonts w:eastAsia="Times New Roman" w:cstheme="minorHAnsi"/>
          <w:sz w:val="24"/>
          <w:szCs w:val="24"/>
          <w:lang w:eastAsia="en-IN"/>
        </w:rPr>
        <w:t>b</w:t>
      </w:r>
      <w:r w:rsidR="008A019D" w:rsidRPr="001944EC">
        <w:rPr>
          <w:rFonts w:eastAsia="Times New Roman" w:cstheme="minorHAnsi"/>
          <w:sz w:val="24"/>
          <w:szCs w:val="24"/>
          <w:lang w:eastAsia="en-IN"/>
        </w:rPr>
        <w:t xml:space="preserve">ased </w:t>
      </w:r>
      <w:r w:rsidR="000170B2" w:rsidRPr="001944EC">
        <w:rPr>
          <w:rFonts w:eastAsia="Times New Roman" w:cstheme="minorHAnsi"/>
          <w:sz w:val="24"/>
          <w:szCs w:val="24"/>
          <w:lang w:eastAsia="en-IN"/>
        </w:rPr>
        <w:t>p</w:t>
      </w:r>
      <w:r w:rsidR="008A019D" w:rsidRPr="001944EC">
        <w:rPr>
          <w:rFonts w:eastAsia="Times New Roman" w:cstheme="minorHAnsi"/>
          <w:sz w:val="24"/>
          <w:szCs w:val="24"/>
          <w:lang w:eastAsia="en-IN"/>
        </w:rPr>
        <w:t xml:space="preserve">recision </w:t>
      </w:r>
      <w:proofErr w:type="spellStart"/>
      <w:r w:rsidR="000170B2" w:rsidRPr="001944EC">
        <w:rPr>
          <w:rFonts w:eastAsia="Times New Roman" w:cstheme="minorHAnsi"/>
          <w:sz w:val="24"/>
          <w:szCs w:val="24"/>
          <w:lang w:eastAsia="en-IN"/>
        </w:rPr>
        <w:t>b</w:t>
      </w:r>
      <w:r w:rsidR="008A019D" w:rsidRPr="001944EC">
        <w:rPr>
          <w:rFonts w:eastAsia="Times New Roman" w:cstheme="minorHAnsi"/>
          <w:sz w:val="24"/>
          <w:szCs w:val="24"/>
          <w:lang w:eastAsia="en-IN"/>
        </w:rPr>
        <w:t>ehavioral</w:t>
      </w:r>
      <w:proofErr w:type="spellEnd"/>
      <w:r w:rsidR="008A019D" w:rsidRPr="001944EC">
        <w:rPr>
          <w:rFonts w:eastAsia="Times New Roman" w:cstheme="minorHAnsi"/>
          <w:sz w:val="24"/>
          <w:szCs w:val="24"/>
          <w:lang w:eastAsia="en-IN"/>
        </w:rPr>
        <w:t xml:space="preserve"> </w:t>
      </w:r>
      <w:r w:rsidR="000170B2" w:rsidRPr="001944EC">
        <w:rPr>
          <w:rFonts w:eastAsia="Times New Roman" w:cstheme="minorHAnsi"/>
          <w:sz w:val="24"/>
          <w:szCs w:val="24"/>
          <w:lang w:eastAsia="en-IN"/>
        </w:rPr>
        <w:t>f</w:t>
      </w:r>
      <w:r w:rsidR="008A019D" w:rsidRPr="001944EC">
        <w:rPr>
          <w:rFonts w:eastAsia="Times New Roman" w:cstheme="minorHAnsi"/>
          <w:sz w:val="24"/>
          <w:szCs w:val="24"/>
          <w:lang w:eastAsia="en-IN"/>
        </w:rPr>
        <w:t xml:space="preserve">idelity (MBPBF) framework, comprising four domains: </w:t>
      </w:r>
      <w:r w:rsidR="000170B2" w:rsidRPr="001944EC">
        <w:rPr>
          <w:rFonts w:eastAsia="Times New Roman" w:cstheme="minorHAnsi"/>
          <w:sz w:val="24"/>
          <w:szCs w:val="24"/>
          <w:lang w:eastAsia="en-IN"/>
        </w:rPr>
        <w:t>c</w:t>
      </w:r>
      <w:r w:rsidR="008A019D" w:rsidRPr="001944EC">
        <w:rPr>
          <w:rFonts w:eastAsia="Times New Roman" w:cstheme="minorHAnsi"/>
          <w:sz w:val="24"/>
          <w:szCs w:val="24"/>
          <w:lang w:eastAsia="en-IN"/>
        </w:rPr>
        <w:t xml:space="preserve">ognitive </w:t>
      </w:r>
      <w:r w:rsidR="000170B2" w:rsidRPr="001944EC">
        <w:rPr>
          <w:rFonts w:eastAsia="Times New Roman" w:cstheme="minorHAnsi"/>
          <w:sz w:val="24"/>
          <w:szCs w:val="24"/>
          <w:lang w:eastAsia="en-IN"/>
        </w:rPr>
        <w:t>a</w:t>
      </w:r>
      <w:r w:rsidR="008A019D" w:rsidRPr="001944EC">
        <w:rPr>
          <w:rFonts w:eastAsia="Times New Roman" w:cstheme="minorHAnsi"/>
          <w:sz w:val="24"/>
          <w:szCs w:val="24"/>
          <w:lang w:eastAsia="en-IN"/>
        </w:rPr>
        <w:t xml:space="preserve">nchoring (CA), </w:t>
      </w:r>
      <w:r w:rsidR="000170B2" w:rsidRPr="001944EC">
        <w:rPr>
          <w:rFonts w:eastAsia="Times New Roman" w:cstheme="minorHAnsi"/>
          <w:sz w:val="24"/>
          <w:szCs w:val="24"/>
          <w:lang w:eastAsia="en-IN"/>
        </w:rPr>
        <w:t>v</w:t>
      </w:r>
      <w:r w:rsidR="008A019D" w:rsidRPr="001944EC">
        <w:rPr>
          <w:rFonts w:eastAsia="Times New Roman" w:cstheme="minorHAnsi"/>
          <w:sz w:val="24"/>
          <w:szCs w:val="24"/>
          <w:lang w:eastAsia="en-IN"/>
        </w:rPr>
        <w:t xml:space="preserve">isual </w:t>
      </w:r>
      <w:r w:rsidR="000170B2" w:rsidRPr="001944EC">
        <w:rPr>
          <w:rFonts w:eastAsia="Times New Roman" w:cstheme="minorHAnsi"/>
          <w:sz w:val="24"/>
          <w:szCs w:val="24"/>
          <w:lang w:eastAsia="en-IN"/>
        </w:rPr>
        <w:t>d</w:t>
      </w:r>
      <w:r w:rsidR="008A019D" w:rsidRPr="001944EC">
        <w:rPr>
          <w:rFonts w:eastAsia="Times New Roman" w:cstheme="minorHAnsi"/>
          <w:sz w:val="24"/>
          <w:szCs w:val="24"/>
          <w:lang w:eastAsia="en-IN"/>
        </w:rPr>
        <w:t xml:space="preserve">iscrimination (VD), </w:t>
      </w:r>
      <w:r w:rsidR="000170B2" w:rsidRPr="001944EC">
        <w:rPr>
          <w:rFonts w:eastAsia="Times New Roman" w:cstheme="minorHAnsi"/>
          <w:sz w:val="24"/>
          <w:szCs w:val="24"/>
          <w:lang w:eastAsia="en-IN"/>
        </w:rPr>
        <w:t>r</w:t>
      </w:r>
      <w:r w:rsidR="008A019D" w:rsidRPr="001944EC">
        <w:rPr>
          <w:rFonts w:eastAsia="Times New Roman" w:cstheme="minorHAnsi"/>
          <w:sz w:val="24"/>
          <w:szCs w:val="24"/>
          <w:lang w:eastAsia="en-IN"/>
        </w:rPr>
        <w:t xml:space="preserve">epetitive </w:t>
      </w:r>
      <w:r w:rsidR="000170B2" w:rsidRPr="001944EC">
        <w:rPr>
          <w:rFonts w:eastAsia="Times New Roman" w:cstheme="minorHAnsi"/>
          <w:sz w:val="24"/>
          <w:szCs w:val="24"/>
          <w:lang w:eastAsia="en-IN"/>
        </w:rPr>
        <w:t>r</w:t>
      </w:r>
      <w:r w:rsidR="008A019D" w:rsidRPr="001944EC">
        <w:rPr>
          <w:rFonts w:eastAsia="Times New Roman" w:cstheme="minorHAnsi"/>
          <w:sz w:val="24"/>
          <w:szCs w:val="24"/>
          <w:lang w:eastAsia="en-IN"/>
        </w:rPr>
        <w:t xml:space="preserve">einforcement (RR), and </w:t>
      </w:r>
      <w:r w:rsidR="000170B2" w:rsidRPr="001944EC">
        <w:rPr>
          <w:rFonts w:eastAsia="Times New Roman" w:cstheme="minorHAnsi"/>
          <w:sz w:val="24"/>
          <w:szCs w:val="24"/>
          <w:lang w:eastAsia="en-IN"/>
        </w:rPr>
        <w:t>e</w:t>
      </w:r>
      <w:r w:rsidR="008A019D" w:rsidRPr="001944EC">
        <w:rPr>
          <w:rFonts w:eastAsia="Times New Roman" w:cstheme="minorHAnsi"/>
          <w:sz w:val="24"/>
          <w:szCs w:val="24"/>
          <w:lang w:eastAsia="en-IN"/>
        </w:rPr>
        <w:t>rror-</w:t>
      </w:r>
      <w:r w:rsidR="000170B2" w:rsidRPr="001944EC">
        <w:rPr>
          <w:rFonts w:eastAsia="Times New Roman" w:cstheme="minorHAnsi"/>
          <w:sz w:val="24"/>
          <w:szCs w:val="24"/>
          <w:lang w:eastAsia="en-IN"/>
        </w:rPr>
        <w:t>r</w:t>
      </w:r>
      <w:r w:rsidR="008A019D" w:rsidRPr="001944EC">
        <w:rPr>
          <w:rFonts w:eastAsia="Times New Roman" w:cstheme="minorHAnsi"/>
          <w:sz w:val="24"/>
          <w:szCs w:val="24"/>
          <w:lang w:eastAsia="en-IN"/>
        </w:rPr>
        <w:t xml:space="preserve">esponsive </w:t>
      </w:r>
      <w:r w:rsidR="000170B2" w:rsidRPr="001944EC">
        <w:rPr>
          <w:rFonts w:eastAsia="Times New Roman" w:cstheme="minorHAnsi"/>
          <w:sz w:val="24"/>
          <w:szCs w:val="24"/>
          <w:lang w:eastAsia="en-IN"/>
        </w:rPr>
        <w:t>f</w:t>
      </w:r>
      <w:r w:rsidR="008A019D" w:rsidRPr="001944EC">
        <w:rPr>
          <w:rFonts w:eastAsia="Times New Roman" w:cstheme="minorHAnsi"/>
          <w:sz w:val="24"/>
          <w:szCs w:val="24"/>
          <w:lang w:eastAsia="en-IN"/>
        </w:rPr>
        <w:t>eedback (ERF)</w:t>
      </w:r>
      <w:r w:rsidR="000170B2" w:rsidRPr="001944EC">
        <w:rPr>
          <w:rFonts w:eastAsia="Times New Roman" w:cstheme="minorHAnsi"/>
          <w:sz w:val="24"/>
          <w:szCs w:val="24"/>
          <w:vertAlign w:val="superscript"/>
          <w:lang w:eastAsia="en-IN"/>
        </w:rPr>
        <w:t>1</w:t>
      </w:r>
      <w:r w:rsidRPr="001944EC">
        <w:rPr>
          <w:rFonts w:eastAsia="Times New Roman" w:cstheme="minorHAnsi"/>
          <w:sz w:val="24"/>
          <w:szCs w:val="24"/>
          <w:lang w:eastAsia="en-IN"/>
        </w:rPr>
        <w:t xml:space="preserve">. These domains characterize predefined aspects of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execution during segregation activities. Their scores are first obtained using a standardized raw scoring scale and subsequently normalized to a common 0–1 scale. The normalized domain scores are integrated to generate the Precision Behavior Score (PBS)</w:t>
      </w:r>
      <w:r w:rsidR="00CC1BD3" w:rsidRPr="001944EC">
        <w:rPr>
          <w:rFonts w:eastAsia="Times New Roman" w:cstheme="minorHAnsi"/>
          <w:sz w:val="24"/>
          <w:szCs w:val="24"/>
          <w:lang w:eastAsia="en-IN"/>
        </w:rPr>
        <w:t xml:space="preserve"> also referred to Bhadran’s Score</w:t>
      </w:r>
      <w:r w:rsidRPr="001944EC">
        <w:rPr>
          <w:rFonts w:eastAsia="Times New Roman" w:cstheme="minorHAnsi"/>
          <w:sz w:val="24"/>
          <w:szCs w:val="24"/>
          <w:lang w:eastAsia="en-IN"/>
        </w:rPr>
        <w:t xml:space="preserve">, which provides a composite indicator of observed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precision within the PGST framework.</w:t>
      </w:r>
    </w:p>
    <w:p w14:paraId="4BCFECAC" w14:textId="77777777" w:rsidR="004F0B97" w:rsidRPr="001944EC" w:rsidRDefault="004F0B97" w:rsidP="006C1440">
      <w:pPr>
        <w:spacing w:after="0" w:line="240" w:lineRule="auto"/>
        <w:contextualSpacing/>
        <w:mirrorIndents/>
        <w:jc w:val="both"/>
        <w:rPr>
          <w:rFonts w:eastAsia="Times New Roman" w:cstheme="minorHAnsi"/>
          <w:sz w:val="24"/>
          <w:szCs w:val="24"/>
          <w:lang w:eastAsia="en-IN"/>
        </w:rPr>
      </w:pPr>
    </w:p>
    <w:p w14:paraId="446831CB" w14:textId="4F417CB3" w:rsidR="004F0B97" w:rsidRPr="001944EC" w:rsidRDefault="008041CA"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Point-of-Generation Segregation Accuracy (PGSA) is an observation-derived aggregate measure of segregation performance within a predefined observation scope. It is calculated by aggregating the eligible staff-level PBS values included within that scope. PGSA may vary according to the observed staff population, workflow, waste categories, healthcare setting, observation conditions, or observation period. It should not be interpreted as an absolute, universal, or reference-standard accuracy measure. When required, agreement with an independent expert assessment or predefined reference classification should be evaluated separately.</w:t>
      </w:r>
    </w:p>
    <w:p w14:paraId="3017B2CB" w14:textId="77777777" w:rsidR="008041CA" w:rsidRPr="001944EC" w:rsidRDefault="008041CA" w:rsidP="006C1440">
      <w:pPr>
        <w:spacing w:after="0" w:line="240" w:lineRule="auto"/>
        <w:contextualSpacing/>
        <w:mirrorIndents/>
        <w:jc w:val="both"/>
        <w:rPr>
          <w:rFonts w:eastAsia="Times New Roman" w:cstheme="minorHAnsi"/>
          <w:sz w:val="24"/>
          <w:szCs w:val="24"/>
          <w:lang w:eastAsia="en-IN"/>
        </w:rPr>
      </w:pPr>
    </w:p>
    <w:p w14:paraId="6C4B0266" w14:textId="04B75143" w:rsidR="00864DD6" w:rsidRPr="001944EC" w:rsidRDefault="001431DC"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sz w:val="24"/>
          <w:szCs w:val="24"/>
          <w:lang w:eastAsia="en-IN"/>
        </w:rPr>
        <w:t xml:space="preserve">The four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domains underlying the MBPBF framework are illustrated in </w:t>
      </w:r>
      <w:r w:rsidRPr="001944EC">
        <w:rPr>
          <w:rFonts w:eastAsia="Times New Roman" w:cstheme="minorHAnsi"/>
          <w:b/>
          <w:bCs/>
          <w:sz w:val="24"/>
          <w:szCs w:val="24"/>
          <w:lang w:eastAsia="en-IN"/>
        </w:rPr>
        <w:t>Figure 2</w:t>
      </w:r>
      <w:r w:rsidRPr="001944EC">
        <w:rPr>
          <w:rFonts w:eastAsia="Times New Roman" w:cstheme="minorHAnsi"/>
          <w:sz w:val="24"/>
          <w:szCs w:val="24"/>
          <w:lang w:eastAsia="en-IN"/>
        </w:rPr>
        <w:t xml:space="preserve">. </w:t>
      </w:r>
      <w:r w:rsidR="005760FE" w:rsidRPr="001944EC">
        <w:rPr>
          <w:rFonts w:eastAsia="Times New Roman" w:cstheme="minorHAnsi"/>
          <w:sz w:val="24"/>
          <w:szCs w:val="24"/>
          <w:lang w:eastAsia="en-IN"/>
        </w:rPr>
        <w:t xml:space="preserve">The overall relationship between point-of-generation segregation </w:t>
      </w:r>
      <w:r w:rsidR="006D534F" w:rsidRPr="001944EC">
        <w:rPr>
          <w:rFonts w:eastAsia="Times New Roman" w:cstheme="minorHAnsi"/>
          <w:sz w:val="24"/>
          <w:szCs w:val="24"/>
          <w:lang w:eastAsia="en-IN"/>
        </w:rPr>
        <w:t>behavior</w:t>
      </w:r>
      <w:r w:rsidR="005760FE" w:rsidRPr="001944EC">
        <w:rPr>
          <w:rFonts w:eastAsia="Times New Roman" w:cstheme="minorHAnsi"/>
          <w:sz w:val="24"/>
          <w:szCs w:val="24"/>
          <w:lang w:eastAsia="en-IN"/>
        </w:rPr>
        <w:t xml:space="preserve">, the MBPBF domains, individual staff-level PBS, and PGSA is presented in </w:t>
      </w:r>
      <w:r w:rsidR="005760FE" w:rsidRPr="001944EC">
        <w:rPr>
          <w:rFonts w:eastAsia="Times New Roman" w:cstheme="minorHAnsi"/>
          <w:b/>
          <w:bCs/>
          <w:sz w:val="24"/>
          <w:szCs w:val="24"/>
          <w:lang w:eastAsia="en-IN"/>
        </w:rPr>
        <w:t>Figure 1</w:t>
      </w:r>
      <w:r w:rsidR="005760FE" w:rsidRPr="001944EC">
        <w:rPr>
          <w:rFonts w:eastAsia="Times New Roman" w:cstheme="minorHAnsi"/>
          <w:sz w:val="24"/>
          <w:szCs w:val="24"/>
          <w:lang w:eastAsia="en-IN"/>
        </w:rPr>
        <w:t>.</w:t>
      </w:r>
    </w:p>
    <w:p w14:paraId="6A8BDE7F" w14:textId="77777777" w:rsidR="00416448" w:rsidRPr="001944EC" w:rsidRDefault="00416448" w:rsidP="006C1440">
      <w:pPr>
        <w:spacing w:after="0" w:line="240" w:lineRule="auto"/>
        <w:contextualSpacing/>
        <w:mirrorIndents/>
        <w:jc w:val="both"/>
        <w:rPr>
          <w:rFonts w:eastAsia="Times New Roman" w:cstheme="minorHAnsi"/>
          <w:i/>
          <w:sz w:val="24"/>
          <w:szCs w:val="24"/>
          <w:lang w:eastAsia="en-IN"/>
        </w:rPr>
      </w:pPr>
    </w:p>
    <w:p w14:paraId="4D371E8E" w14:textId="77777777" w:rsidR="005D2FE5"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In PGST,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precision refers to the fidelity and consistency with which predefined segregation </w:t>
      </w:r>
      <w:proofErr w:type="spellStart"/>
      <w:r w:rsidRPr="001944EC">
        <w:rPr>
          <w:rFonts w:eastAsia="Times New Roman" w:cstheme="minorHAnsi"/>
          <w:sz w:val="24"/>
          <w:szCs w:val="24"/>
          <w:lang w:eastAsia="en-IN"/>
        </w:rPr>
        <w:t>behaviors</w:t>
      </w:r>
      <w:proofErr w:type="spellEnd"/>
      <w:r w:rsidRPr="001944EC">
        <w:rPr>
          <w:rFonts w:eastAsia="Times New Roman" w:cstheme="minorHAnsi"/>
          <w:sz w:val="24"/>
          <w:szCs w:val="24"/>
          <w:lang w:eastAsia="en-IN"/>
        </w:rPr>
        <w:t xml:space="preserve"> are executed at the point of generation. This conceptual use of the term precision is distinct from the statistical concept of measurement precision, which </w:t>
      </w:r>
      <w:r w:rsidRPr="001944EC">
        <w:rPr>
          <w:rFonts w:eastAsia="Times New Roman" w:cstheme="minorHAnsi"/>
          <w:sz w:val="24"/>
          <w:szCs w:val="24"/>
          <w:lang w:eastAsia="en-IN"/>
        </w:rPr>
        <w:lastRenderedPageBreak/>
        <w:t>concerns the repeatability or consistency of repeated measurements. Accordingly, measurement precision and inter-rater reliability are treated separately as methodological quality properties of the observational protocol.</w:t>
      </w:r>
    </w:p>
    <w:p w14:paraId="569C1330" w14:textId="77777777" w:rsidR="005D2FE5" w:rsidRPr="001944EC" w:rsidRDefault="005D2FE5" w:rsidP="006C1440">
      <w:pPr>
        <w:spacing w:after="0" w:line="240" w:lineRule="auto"/>
        <w:contextualSpacing/>
        <w:mirrorIndents/>
        <w:jc w:val="both"/>
        <w:rPr>
          <w:rFonts w:eastAsia="Times New Roman" w:cstheme="minorHAnsi"/>
          <w:sz w:val="24"/>
          <w:szCs w:val="24"/>
          <w:lang w:eastAsia="en-IN"/>
        </w:rPr>
      </w:pPr>
    </w:p>
    <w:p w14:paraId="3C98FDF7" w14:textId="10F1A30B" w:rsidR="000A11EA"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Within this framework, the Precision </w:t>
      </w:r>
      <w:r w:rsidR="001944EC">
        <w:rPr>
          <w:rFonts w:eastAsia="Times New Roman" w:cstheme="minorHAnsi"/>
          <w:sz w:val="24"/>
          <w:szCs w:val="24"/>
          <w:lang w:eastAsia="en-IN"/>
        </w:rPr>
        <w:t>b</w:t>
      </w:r>
      <w:r w:rsidRPr="001944EC">
        <w:rPr>
          <w:rFonts w:eastAsia="Times New Roman" w:cstheme="minorHAnsi"/>
          <w:sz w:val="24"/>
          <w:szCs w:val="24"/>
          <w:lang w:eastAsia="en-IN"/>
        </w:rPr>
        <w:t xml:space="preserve">ehavior </w:t>
      </w:r>
      <w:r w:rsidR="001944EC">
        <w:rPr>
          <w:rFonts w:eastAsia="Times New Roman" w:cstheme="minorHAnsi"/>
          <w:sz w:val="24"/>
          <w:szCs w:val="24"/>
          <w:lang w:eastAsia="en-IN"/>
        </w:rPr>
        <w:t>s</w:t>
      </w:r>
      <w:r w:rsidRPr="001944EC">
        <w:rPr>
          <w:rFonts w:eastAsia="Times New Roman" w:cstheme="minorHAnsi"/>
          <w:sz w:val="24"/>
          <w:szCs w:val="24"/>
          <w:lang w:eastAsia="en-IN"/>
        </w:rPr>
        <w:t xml:space="preserve">core (PBS) represents the standardized composite score of the observed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domains. The </w:t>
      </w:r>
      <w:r w:rsidR="000170B2" w:rsidRPr="001944EC">
        <w:rPr>
          <w:rFonts w:eastAsia="Times New Roman" w:cstheme="minorHAnsi"/>
          <w:sz w:val="24"/>
          <w:szCs w:val="24"/>
          <w:lang w:eastAsia="en-IN"/>
        </w:rPr>
        <w:t>p</w:t>
      </w:r>
      <w:r w:rsidRPr="001944EC">
        <w:rPr>
          <w:rFonts w:eastAsia="Times New Roman" w:cstheme="minorHAnsi"/>
          <w:sz w:val="24"/>
          <w:szCs w:val="24"/>
          <w:lang w:eastAsia="en-IN"/>
        </w:rPr>
        <w:t>oint-of-</w:t>
      </w:r>
      <w:r w:rsidR="000170B2" w:rsidRPr="001944EC">
        <w:rPr>
          <w:rFonts w:eastAsia="Times New Roman" w:cstheme="minorHAnsi"/>
          <w:sz w:val="24"/>
          <w:szCs w:val="24"/>
          <w:lang w:eastAsia="en-IN"/>
        </w:rPr>
        <w:t>g</w:t>
      </w:r>
      <w:r w:rsidRPr="001944EC">
        <w:rPr>
          <w:rFonts w:eastAsia="Times New Roman" w:cstheme="minorHAnsi"/>
          <w:sz w:val="24"/>
          <w:szCs w:val="24"/>
          <w:lang w:eastAsia="en-IN"/>
        </w:rPr>
        <w:t xml:space="preserve">eneration </w:t>
      </w:r>
      <w:r w:rsidR="000170B2" w:rsidRPr="001944EC">
        <w:rPr>
          <w:rFonts w:eastAsia="Times New Roman" w:cstheme="minorHAnsi"/>
          <w:sz w:val="24"/>
          <w:szCs w:val="24"/>
          <w:lang w:eastAsia="en-IN"/>
        </w:rPr>
        <w:t>s</w:t>
      </w:r>
      <w:r w:rsidRPr="001944EC">
        <w:rPr>
          <w:rFonts w:eastAsia="Times New Roman" w:cstheme="minorHAnsi"/>
          <w:sz w:val="24"/>
          <w:szCs w:val="24"/>
          <w:lang w:eastAsia="en-IN"/>
        </w:rPr>
        <w:t xml:space="preserve">egregation </w:t>
      </w:r>
      <w:r w:rsidR="000170B2" w:rsidRPr="001944EC">
        <w:rPr>
          <w:rFonts w:eastAsia="Times New Roman" w:cstheme="minorHAnsi"/>
          <w:sz w:val="24"/>
          <w:szCs w:val="24"/>
          <w:lang w:eastAsia="en-IN"/>
        </w:rPr>
        <w:t>a</w:t>
      </w:r>
      <w:r w:rsidRPr="001944EC">
        <w:rPr>
          <w:rFonts w:eastAsia="Times New Roman" w:cstheme="minorHAnsi"/>
          <w:sz w:val="24"/>
          <w:szCs w:val="24"/>
          <w:lang w:eastAsia="en-IN"/>
        </w:rPr>
        <w:t xml:space="preserve">ccuracy (PGSA) index represents the aggregate level of segregation accuracy reflected by the observed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performance. </w:t>
      </w:r>
      <w:r w:rsidR="008041CA" w:rsidRPr="001944EC">
        <w:rPr>
          <w:rFonts w:eastAsia="Times New Roman" w:cstheme="minorHAnsi"/>
          <w:sz w:val="24"/>
          <w:szCs w:val="24"/>
          <w:lang w:eastAsia="en-IN"/>
        </w:rPr>
        <w:t>PGSA is an observation-derived measure of point-of-generation segregation accuracy based on the eligible staff-level PBS values obtained within the predefined observation scope.</w:t>
      </w:r>
      <w:r w:rsidR="0027596E" w:rsidRPr="001944EC">
        <w:rPr>
          <w:rFonts w:eastAsia="Times New Roman" w:cstheme="minorHAnsi"/>
          <w:sz w:val="24"/>
          <w:szCs w:val="24"/>
          <w:lang w:eastAsia="en-IN"/>
        </w:rPr>
        <w:t xml:space="preserve"> The PGSA value describes the accuracy demonstrated within the defined observation scope and may change when a different set of segregation events or observation conditions is assessed. PGSA is not a reference-standard accuracy measure and does not require an expert observer or external gold-standard classification for its calculation. When an independent expert or predefined reference classification is available, reference-standard accuracy or agreement may be assessed separately as an external validation measure.</w:t>
      </w:r>
    </w:p>
    <w:p w14:paraId="5453CB4A" w14:textId="77777777" w:rsidR="000870A9" w:rsidRPr="001944EC" w:rsidRDefault="000870A9" w:rsidP="006C1440">
      <w:pPr>
        <w:spacing w:after="0" w:line="240" w:lineRule="auto"/>
        <w:contextualSpacing/>
        <w:mirrorIndents/>
        <w:jc w:val="both"/>
        <w:rPr>
          <w:rFonts w:eastAsia="Times New Roman" w:cstheme="minorHAnsi"/>
          <w:sz w:val="24"/>
          <w:szCs w:val="24"/>
          <w:lang w:eastAsia="en-IN"/>
        </w:rPr>
      </w:pPr>
    </w:p>
    <w:p w14:paraId="2DAAB891" w14:textId="399C4B0C" w:rsidR="00564F80"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This methodology paper presents a reproducible observational protocol for implementing PGST in healthcare settings using real-time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observation during routine clinical workflows. The protocol includes participant selection procedures, observer calibration methods, structured observation instruments, domain-based scoring systems, and standardized computational workflows for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precision analysis. </w:t>
      </w:r>
      <w:r w:rsidR="00EF26DB" w:rsidRPr="001944EC">
        <w:rPr>
          <w:rFonts w:eastAsia="Times New Roman" w:cstheme="minorHAnsi"/>
          <w:sz w:val="24"/>
          <w:szCs w:val="24"/>
          <w:lang w:eastAsia="en-IN"/>
        </w:rPr>
        <w:t xml:space="preserve">The protocol is designed to support standardized </w:t>
      </w:r>
      <w:proofErr w:type="spellStart"/>
      <w:r w:rsidR="00EF26DB" w:rsidRPr="001944EC">
        <w:rPr>
          <w:rFonts w:eastAsia="Times New Roman" w:cstheme="minorHAnsi"/>
          <w:sz w:val="24"/>
          <w:szCs w:val="24"/>
          <w:lang w:eastAsia="en-IN"/>
        </w:rPr>
        <w:t>behavioral</w:t>
      </w:r>
      <w:proofErr w:type="spellEnd"/>
      <w:r w:rsidR="00EF26DB" w:rsidRPr="001944EC">
        <w:rPr>
          <w:rFonts w:eastAsia="Times New Roman" w:cstheme="minorHAnsi"/>
          <w:sz w:val="24"/>
          <w:szCs w:val="24"/>
          <w:lang w:eastAsia="en-IN"/>
        </w:rPr>
        <w:t xml:space="preserve"> assessment and comparison of PBS and PGSA across predefined observation scopes. </w:t>
      </w:r>
      <w:r w:rsidRPr="001944EC">
        <w:rPr>
          <w:rFonts w:eastAsia="Times New Roman" w:cstheme="minorHAnsi"/>
          <w:sz w:val="24"/>
          <w:szCs w:val="24"/>
          <w:lang w:eastAsia="en-IN"/>
        </w:rPr>
        <w:t xml:space="preserve">Collectively, this methodology enables healthcare institutions to transition from generalized compliance monitoring toward standardized </w:t>
      </w:r>
      <w:proofErr w:type="spellStart"/>
      <w:r w:rsidRPr="001944EC">
        <w:rPr>
          <w:rFonts w:eastAsia="Times New Roman" w:cstheme="minorHAnsi"/>
          <w:sz w:val="24"/>
          <w:szCs w:val="24"/>
          <w:lang w:eastAsia="en-IN"/>
        </w:rPr>
        <w:t>behavior-centered</w:t>
      </w:r>
      <w:proofErr w:type="spellEnd"/>
      <w:r w:rsidRPr="001944EC">
        <w:rPr>
          <w:rFonts w:eastAsia="Times New Roman" w:cstheme="minorHAnsi"/>
          <w:sz w:val="24"/>
          <w:szCs w:val="24"/>
          <w:lang w:eastAsia="en-IN"/>
        </w:rPr>
        <w:t xml:space="preserve"> precision measurement systems for biomedical waste management.</w:t>
      </w:r>
    </w:p>
    <w:p w14:paraId="09774E9F" w14:textId="77777777" w:rsidR="00564F80" w:rsidRPr="001944EC" w:rsidRDefault="00564F80" w:rsidP="006C1440">
      <w:pPr>
        <w:spacing w:after="0" w:line="240" w:lineRule="auto"/>
        <w:contextualSpacing/>
        <w:mirrorIndents/>
        <w:jc w:val="both"/>
        <w:rPr>
          <w:rFonts w:eastAsia="Times New Roman" w:cstheme="minorHAnsi"/>
          <w:sz w:val="24"/>
          <w:szCs w:val="24"/>
          <w:lang w:eastAsia="en-IN"/>
        </w:rPr>
      </w:pPr>
    </w:p>
    <w:p w14:paraId="4F247946" w14:textId="45B927A7" w:rsidR="00564F80"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In this study, the standardized observational protocol refers to the predefined sequence of staff selection, observation preparation, observer training and calibration, real-time observation of point-of-generation segregation </w:t>
      </w:r>
      <w:r w:rsidR="006D534F" w:rsidRPr="001944EC">
        <w:rPr>
          <w:rFonts w:eastAsia="Times New Roman" w:cstheme="minorHAnsi"/>
          <w:sz w:val="24"/>
          <w:szCs w:val="24"/>
          <w:lang w:eastAsia="en-IN"/>
        </w:rPr>
        <w:t>behavior</w:t>
      </w:r>
      <w:r w:rsidRPr="001944EC">
        <w:rPr>
          <w:rFonts w:eastAsia="Times New Roman" w:cstheme="minorHAnsi"/>
          <w:sz w:val="24"/>
          <w:szCs w:val="24"/>
          <w:lang w:eastAsia="en-IN"/>
        </w:rPr>
        <w:t>, MBPBF domain scoring, PBS calculation, quality control, data recording, and PGSA aggregation.</w:t>
      </w:r>
    </w:p>
    <w:p w14:paraId="5A1DE2CA" w14:textId="77777777" w:rsidR="008041CA" w:rsidRPr="001944EC" w:rsidRDefault="008041CA" w:rsidP="006C1440">
      <w:pPr>
        <w:spacing w:after="0" w:line="240" w:lineRule="auto"/>
        <w:contextualSpacing/>
        <w:mirrorIndents/>
        <w:jc w:val="both"/>
        <w:rPr>
          <w:rFonts w:eastAsia="Times New Roman" w:cstheme="minorHAnsi"/>
          <w:sz w:val="24"/>
          <w:szCs w:val="24"/>
          <w:lang w:eastAsia="en-IN"/>
        </w:rPr>
      </w:pPr>
    </w:p>
    <w:p w14:paraId="689F864F" w14:textId="1596B237" w:rsidR="008041CA" w:rsidRPr="001944EC" w:rsidRDefault="008041CA" w:rsidP="006C1440">
      <w:pPr>
        <w:spacing w:after="0" w:line="240" w:lineRule="auto"/>
        <w:contextualSpacing/>
        <w:mirrorIndents/>
        <w:jc w:val="both"/>
        <w:rPr>
          <w:rFonts w:eastAsia="Times New Roman" w:cstheme="minorHAnsi"/>
          <w:b/>
          <w:bCs/>
          <w:sz w:val="24"/>
          <w:szCs w:val="24"/>
          <w:lang w:eastAsia="en-IN"/>
        </w:rPr>
      </w:pPr>
      <w:r w:rsidRPr="001944EC">
        <w:rPr>
          <w:rFonts w:eastAsia="Times New Roman" w:cstheme="minorHAnsi"/>
          <w:b/>
          <w:bCs/>
          <w:sz w:val="24"/>
          <w:szCs w:val="24"/>
          <w:lang w:eastAsia="en-IN"/>
        </w:rPr>
        <w:t>Observational unit</w:t>
      </w:r>
    </w:p>
    <w:p w14:paraId="61F29FC3" w14:textId="6C43415E" w:rsidR="008041CA" w:rsidRPr="001944EC" w:rsidRDefault="0004439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The primary observational unit is the eligible staff member assessed during a predefined observation period. Individual biomedical waste segregation events constitute observation occasions through which the </w:t>
      </w:r>
      <w:proofErr w:type="spellStart"/>
      <w:r w:rsidR="001944EC">
        <w:rPr>
          <w:rFonts w:eastAsia="Times New Roman" w:cstheme="minorHAnsi"/>
          <w:sz w:val="24"/>
          <w:szCs w:val="24"/>
          <w:lang w:eastAsia="en-IN"/>
        </w:rPr>
        <w:t>b</w:t>
      </w:r>
      <w:r w:rsidR="00D721A6" w:rsidRPr="001944EC">
        <w:rPr>
          <w:rFonts w:eastAsia="Times New Roman" w:cstheme="minorHAnsi"/>
          <w:sz w:val="24"/>
          <w:szCs w:val="24"/>
          <w:lang w:eastAsia="en-IN"/>
        </w:rPr>
        <w:t>ehavior</w:t>
      </w:r>
      <w:r w:rsidRPr="001944EC">
        <w:rPr>
          <w:rFonts w:eastAsia="Times New Roman" w:cstheme="minorHAnsi"/>
          <w:sz w:val="24"/>
          <w:szCs w:val="24"/>
          <w:lang w:eastAsia="en-IN"/>
        </w:rPr>
        <w:t>al</w:t>
      </w:r>
      <w:proofErr w:type="spellEnd"/>
      <w:r w:rsidRPr="001944EC">
        <w:rPr>
          <w:rFonts w:eastAsia="Times New Roman" w:cstheme="minorHAnsi"/>
          <w:sz w:val="24"/>
          <w:szCs w:val="24"/>
          <w:lang w:eastAsia="en-IN"/>
        </w:rPr>
        <w:t xml:space="preserve"> performance of the staff member is assessed. Multiple eligible segregation events involving the same staff member may therefore contribute to the assessment of the four MBPBF domains and to the calculation of a single staff-level PBS for the predefined observation period. The number and timing of observation events, as well as the method for consolidating observations across events, should be prespecified according to the study design. For PGSA calculation, the resulting PBS value for each eligible staff member within the predefined observation scope is included, and PGSA is calculated as the mean of these eligible staff-level PBS values. Thus, segregation events provide the observational basis for assessing staff </w:t>
      </w:r>
      <w:r w:rsidR="001944EC">
        <w:rPr>
          <w:rFonts w:eastAsia="Times New Roman" w:cstheme="minorHAnsi"/>
          <w:sz w:val="24"/>
          <w:szCs w:val="24"/>
          <w:lang w:eastAsia="en-IN"/>
        </w:rPr>
        <w:t>b</w:t>
      </w:r>
      <w:r w:rsidR="00D721A6" w:rsidRPr="001944EC">
        <w:rPr>
          <w:rFonts w:eastAsia="Times New Roman" w:cstheme="minorHAnsi"/>
          <w:sz w:val="24"/>
          <w:szCs w:val="24"/>
          <w:lang w:eastAsia="en-IN"/>
        </w:rPr>
        <w:t>ehavior</w:t>
      </w:r>
      <w:r w:rsidRPr="001944EC">
        <w:rPr>
          <w:rFonts w:eastAsia="Times New Roman" w:cstheme="minorHAnsi"/>
          <w:sz w:val="24"/>
          <w:szCs w:val="24"/>
          <w:lang w:eastAsia="en-IN"/>
        </w:rPr>
        <w:t xml:space="preserve">, PBS represents the </w:t>
      </w:r>
      <w:proofErr w:type="spellStart"/>
      <w:r w:rsidR="001944EC">
        <w:rPr>
          <w:rFonts w:eastAsia="Times New Roman" w:cstheme="minorHAnsi"/>
          <w:sz w:val="24"/>
          <w:szCs w:val="24"/>
          <w:lang w:eastAsia="en-IN"/>
        </w:rPr>
        <w:t>b</w:t>
      </w:r>
      <w:r w:rsidR="00D721A6" w:rsidRPr="001944EC">
        <w:rPr>
          <w:rFonts w:eastAsia="Times New Roman" w:cstheme="minorHAnsi"/>
          <w:sz w:val="24"/>
          <w:szCs w:val="24"/>
          <w:lang w:eastAsia="en-IN"/>
        </w:rPr>
        <w:t>ehavior</w:t>
      </w:r>
      <w:r w:rsidRPr="001944EC">
        <w:rPr>
          <w:rFonts w:eastAsia="Times New Roman" w:cstheme="minorHAnsi"/>
          <w:sz w:val="24"/>
          <w:szCs w:val="24"/>
          <w:lang w:eastAsia="en-IN"/>
        </w:rPr>
        <w:t>al</w:t>
      </w:r>
      <w:proofErr w:type="spellEnd"/>
      <w:r w:rsidRPr="001944EC">
        <w:rPr>
          <w:rFonts w:eastAsia="Times New Roman" w:cstheme="minorHAnsi"/>
          <w:sz w:val="24"/>
          <w:szCs w:val="24"/>
          <w:lang w:eastAsia="en-IN"/>
        </w:rPr>
        <w:t xml:space="preserve"> precision of the individual staff member over the defined observation period, and PGSA represents the aggregate </w:t>
      </w:r>
      <w:proofErr w:type="spellStart"/>
      <w:r w:rsidR="001944EC">
        <w:rPr>
          <w:rFonts w:eastAsia="Times New Roman" w:cstheme="minorHAnsi"/>
          <w:sz w:val="24"/>
          <w:szCs w:val="24"/>
          <w:lang w:eastAsia="en-IN"/>
        </w:rPr>
        <w:t>b</w:t>
      </w:r>
      <w:r w:rsidR="00D721A6" w:rsidRPr="001944EC">
        <w:rPr>
          <w:rFonts w:eastAsia="Times New Roman" w:cstheme="minorHAnsi"/>
          <w:sz w:val="24"/>
          <w:szCs w:val="24"/>
          <w:lang w:eastAsia="en-IN"/>
        </w:rPr>
        <w:t>ehavior</w:t>
      </w:r>
      <w:r w:rsidRPr="001944EC">
        <w:rPr>
          <w:rFonts w:eastAsia="Times New Roman" w:cstheme="minorHAnsi"/>
          <w:sz w:val="24"/>
          <w:szCs w:val="24"/>
          <w:lang w:eastAsia="en-IN"/>
        </w:rPr>
        <w:t>al</w:t>
      </w:r>
      <w:proofErr w:type="spellEnd"/>
      <w:r w:rsidRPr="001944EC">
        <w:rPr>
          <w:rFonts w:eastAsia="Times New Roman" w:cstheme="minorHAnsi"/>
          <w:sz w:val="24"/>
          <w:szCs w:val="24"/>
          <w:lang w:eastAsia="en-IN"/>
        </w:rPr>
        <w:t xml:space="preserve"> precision of eligible staff members within the defined observation scope.</w:t>
      </w:r>
    </w:p>
    <w:p w14:paraId="365397C6" w14:textId="77777777" w:rsidR="0004439C" w:rsidRPr="001944EC" w:rsidRDefault="0004439C" w:rsidP="006C1440">
      <w:pPr>
        <w:spacing w:after="0" w:line="240" w:lineRule="auto"/>
        <w:contextualSpacing/>
        <w:mirrorIndents/>
        <w:jc w:val="both"/>
        <w:rPr>
          <w:rFonts w:eastAsia="Times New Roman" w:cstheme="minorHAnsi"/>
          <w:sz w:val="24"/>
          <w:szCs w:val="24"/>
          <w:lang w:eastAsia="en-IN"/>
        </w:rPr>
      </w:pPr>
    </w:p>
    <w:p w14:paraId="15037ED7" w14:textId="77777777" w:rsidR="00A07ADF" w:rsidRPr="001944EC" w:rsidRDefault="00A07ADF" w:rsidP="006C1440">
      <w:pPr>
        <w:spacing w:after="0" w:line="240" w:lineRule="auto"/>
        <w:contextualSpacing/>
        <w:mirrorIndents/>
        <w:jc w:val="both"/>
        <w:rPr>
          <w:rFonts w:eastAsia="Times New Roman" w:cstheme="minorHAnsi"/>
          <w:b/>
          <w:bCs/>
          <w:sz w:val="24"/>
          <w:szCs w:val="24"/>
          <w:lang w:eastAsia="en-IN"/>
        </w:rPr>
      </w:pPr>
      <w:r w:rsidRPr="001944EC">
        <w:rPr>
          <w:rFonts w:eastAsia="Times New Roman" w:cstheme="minorHAnsi"/>
          <w:b/>
          <w:bCs/>
          <w:sz w:val="24"/>
          <w:szCs w:val="24"/>
          <w:lang w:eastAsia="en-IN"/>
        </w:rPr>
        <w:t>Specification of observation and quality-control parameters</w:t>
      </w:r>
    </w:p>
    <w:p w14:paraId="4225AB4A" w14:textId="7E692A17" w:rsidR="00A07ADF" w:rsidRPr="001944EC" w:rsidRDefault="00657441"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Before data collection, prespecify the observation duration and frequency, minimum number of eligible segregation events per staff member, observer-calibration criterion, proportion of independently assessed observations, inter-rater reliability/agreement method</w:t>
      </w:r>
      <w:r w:rsidR="001944EC">
        <w:rPr>
          <w:rFonts w:eastAsia="Times New Roman" w:cstheme="minorHAnsi"/>
          <w:sz w:val="24"/>
          <w:szCs w:val="24"/>
          <w:lang w:eastAsia="en-IN"/>
        </w:rPr>
        <w:t>,</w:t>
      </w:r>
      <w:r w:rsidRPr="001944EC">
        <w:rPr>
          <w:rFonts w:eastAsia="Times New Roman" w:cstheme="minorHAnsi"/>
          <w:sz w:val="24"/>
          <w:szCs w:val="24"/>
          <w:lang w:eastAsia="en-IN"/>
        </w:rPr>
        <w:t xml:space="preserve"> and acceptance criterion, and procedures for handling missing or non-applicable observations and consolidating repeated observations into staff-level domain scores and PBS. Determine these parameters according to the study design, clinical workflow, and expected frequency of eligible segregation events, and apply them consistently throughout the study. Use the study-specific </w:t>
      </w:r>
      <w:proofErr w:type="spellStart"/>
      <w:r w:rsidRPr="001944EC">
        <w:rPr>
          <w:rFonts w:eastAsia="Times New Roman" w:cstheme="minorHAnsi"/>
          <w:sz w:val="24"/>
          <w:szCs w:val="24"/>
          <w:lang w:eastAsia="en-IN"/>
        </w:rPr>
        <w:t>prespecification</w:t>
      </w:r>
      <w:proofErr w:type="spellEnd"/>
      <w:r w:rsidRPr="001944EC">
        <w:rPr>
          <w:rFonts w:eastAsia="Times New Roman" w:cstheme="minorHAnsi"/>
          <w:sz w:val="24"/>
          <w:szCs w:val="24"/>
          <w:lang w:eastAsia="en-IN"/>
        </w:rPr>
        <w:t xml:space="preserve"> sheet provided in </w:t>
      </w:r>
      <w:r w:rsidRPr="001944EC">
        <w:rPr>
          <w:rFonts w:eastAsia="Times New Roman" w:cstheme="minorHAnsi"/>
          <w:b/>
          <w:bCs/>
          <w:sz w:val="24"/>
          <w:szCs w:val="24"/>
          <w:lang w:eastAsia="en-IN"/>
        </w:rPr>
        <w:t>Supplementary File 1</w:t>
      </w:r>
      <w:r w:rsidRPr="001944EC">
        <w:rPr>
          <w:rFonts w:eastAsia="Times New Roman" w:cstheme="minorHAnsi"/>
          <w:sz w:val="24"/>
          <w:szCs w:val="24"/>
          <w:lang w:eastAsia="en-IN"/>
        </w:rPr>
        <w:t xml:space="preserve"> to document these parameters before data collection.</w:t>
      </w:r>
    </w:p>
    <w:p w14:paraId="666F6084" w14:textId="77777777" w:rsidR="00657441" w:rsidRPr="001944EC" w:rsidRDefault="00657441" w:rsidP="006C1440">
      <w:pPr>
        <w:spacing w:after="0" w:line="240" w:lineRule="auto"/>
        <w:contextualSpacing/>
        <w:mirrorIndents/>
        <w:jc w:val="both"/>
        <w:rPr>
          <w:rFonts w:eastAsia="Times New Roman" w:cstheme="minorHAnsi"/>
          <w:sz w:val="24"/>
          <w:szCs w:val="24"/>
          <w:lang w:eastAsia="en-IN"/>
        </w:rPr>
      </w:pPr>
    </w:p>
    <w:p w14:paraId="4C60C0B3" w14:textId="02F0ABD6" w:rsidR="008041CA" w:rsidRPr="001944EC" w:rsidRDefault="008041CA" w:rsidP="006C1440">
      <w:pPr>
        <w:spacing w:after="0" w:line="240" w:lineRule="auto"/>
        <w:contextualSpacing/>
        <w:mirrorIndents/>
        <w:jc w:val="both"/>
        <w:rPr>
          <w:rFonts w:eastAsia="Times New Roman" w:cstheme="minorHAnsi"/>
          <w:b/>
          <w:bCs/>
          <w:sz w:val="24"/>
          <w:szCs w:val="24"/>
          <w:lang w:eastAsia="en-IN"/>
        </w:rPr>
      </w:pPr>
      <w:r w:rsidRPr="001944EC">
        <w:rPr>
          <w:rFonts w:eastAsia="Times New Roman" w:cstheme="minorHAnsi"/>
          <w:b/>
          <w:bCs/>
          <w:sz w:val="24"/>
          <w:szCs w:val="24"/>
          <w:lang w:eastAsia="en-IN"/>
        </w:rPr>
        <w:t>Study design</w:t>
      </w:r>
    </w:p>
    <w:p w14:paraId="3AB2E22D" w14:textId="1EA27301" w:rsidR="00564F80" w:rsidRPr="001944EC" w:rsidRDefault="001431DC"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This study employs a structured real-time observational design to assess biomedical waste segregation behavior at the point of waste generation using the Point-of-Generation Segregation Theory (PGST) framework</w:t>
      </w:r>
      <w:r w:rsidRPr="001944EC">
        <w:rPr>
          <w:rFonts w:eastAsia="Times New Roman" w:cstheme="minorHAnsi"/>
          <w:sz w:val="24"/>
          <w:szCs w:val="24"/>
          <w:vertAlign w:val="superscript"/>
          <w:lang w:eastAsia="en-IN"/>
        </w:rPr>
        <w:t>1</w:t>
      </w:r>
      <w:r w:rsidRPr="001944EC">
        <w:rPr>
          <w:rFonts w:eastAsia="Times New Roman" w:cstheme="minorHAnsi"/>
          <w:sz w:val="24"/>
          <w:szCs w:val="24"/>
          <w:lang w:eastAsia="en-IN"/>
        </w:rPr>
        <w:t>. Observations are conducted during routine clinical workflows involving healthcare personnel engaged in biomedical waste segregation activities within patient care environments.</w:t>
      </w:r>
      <w:r w:rsidR="00460092" w:rsidRPr="001944EC">
        <w:rPr>
          <w:rFonts w:eastAsia="Times New Roman" w:cstheme="minorHAnsi"/>
          <w:sz w:val="24"/>
          <w:szCs w:val="24"/>
          <w:lang w:eastAsia="en-IN"/>
        </w:rPr>
        <w:t xml:space="preserve"> </w:t>
      </w:r>
      <w:proofErr w:type="spellStart"/>
      <w:r w:rsidR="00460092" w:rsidRPr="001944EC">
        <w:rPr>
          <w:rFonts w:eastAsia="Times New Roman" w:cstheme="minorHAnsi"/>
          <w:sz w:val="24"/>
          <w:szCs w:val="24"/>
          <w:lang w:eastAsia="en-IN"/>
        </w:rPr>
        <w:t>Behavioral</w:t>
      </w:r>
      <w:proofErr w:type="spellEnd"/>
      <w:r w:rsidR="00460092" w:rsidRPr="001944EC">
        <w:rPr>
          <w:rFonts w:eastAsia="Times New Roman" w:cstheme="minorHAnsi"/>
          <w:sz w:val="24"/>
          <w:szCs w:val="24"/>
          <w:lang w:eastAsia="en-IN"/>
        </w:rPr>
        <w:t xml:space="preserve"> precision is assessed using the Moment-Based Precision </w:t>
      </w:r>
      <w:proofErr w:type="spellStart"/>
      <w:r w:rsidR="00460092" w:rsidRPr="001944EC">
        <w:rPr>
          <w:rFonts w:eastAsia="Times New Roman" w:cstheme="minorHAnsi"/>
          <w:sz w:val="24"/>
          <w:szCs w:val="24"/>
          <w:lang w:eastAsia="en-IN"/>
        </w:rPr>
        <w:t>Behavioral</w:t>
      </w:r>
      <w:proofErr w:type="spellEnd"/>
      <w:r w:rsidR="00460092" w:rsidRPr="001944EC">
        <w:rPr>
          <w:rFonts w:eastAsia="Times New Roman" w:cstheme="minorHAnsi"/>
          <w:sz w:val="24"/>
          <w:szCs w:val="24"/>
          <w:lang w:eastAsia="en-IN"/>
        </w:rPr>
        <w:t xml:space="preserve"> Fidelity (MBPBF) framework, and eligible staff-level Precision Behavior Scores (PBS) are aggregated within a predefined observation scope to calculate Point-of-Generation Segregation Accuracy (PGSA). The standardized observational workflow is summarized in </w:t>
      </w:r>
      <w:r w:rsidR="009013FA" w:rsidRPr="001944EC">
        <w:rPr>
          <w:rFonts w:eastAsia="Times New Roman" w:cstheme="minorHAnsi"/>
          <w:b/>
          <w:bCs/>
          <w:sz w:val="24"/>
          <w:szCs w:val="24"/>
          <w:lang w:eastAsia="en-IN"/>
        </w:rPr>
        <w:t>Figure 3</w:t>
      </w:r>
      <w:r w:rsidR="009013FA" w:rsidRPr="001944EC">
        <w:rPr>
          <w:rFonts w:eastAsia="Times New Roman" w:cstheme="minorHAnsi"/>
          <w:sz w:val="24"/>
          <w:szCs w:val="24"/>
          <w:lang w:eastAsia="en-IN"/>
        </w:rPr>
        <w:t>.</w:t>
      </w:r>
    </w:p>
    <w:p w14:paraId="375DC971" w14:textId="77777777" w:rsidR="00AC1FEC" w:rsidRPr="001944EC" w:rsidRDefault="00AC1FEC" w:rsidP="006C1440">
      <w:pPr>
        <w:spacing w:after="0" w:line="240" w:lineRule="auto"/>
        <w:contextualSpacing/>
        <w:mirrorIndents/>
        <w:jc w:val="both"/>
        <w:rPr>
          <w:rFonts w:eastAsia="Times New Roman" w:cstheme="minorHAnsi"/>
          <w:b/>
          <w:sz w:val="24"/>
          <w:szCs w:val="24"/>
          <w:lang w:eastAsia="en-IN"/>
        </w:rPr>
      </w:pPr>
    </w:p>
    <w:p w14:paraId="2D8AFB47" w14:textId="7598F27D" w:rsidR="0076550C" w:rsidRPr="001944EC" w:rsidRDefault="001431DC" w:rsidP="006C1440">
      <w:pPr>
        <w:pStyle w:val="ListParagraph"/>
        <w:spacing w:after="0" w:line="240" w:lineRule="auto"/>
        <w:ind w:left="0"/>
        <w:mirrorIndents/>
        <w:jc w:val="both"/>
        <w:rPr>
          <w:rFonts w:eastAsia="Times New Roman" w:cstheme="minorHAnsi"/>
          <w:b/>
          <w:sz w:val="24"/>
          <w:szCs w:val="24"/>
          <w:lang w:eastAsia="en-IN"/>
        </w:rPr>
      </w:pPr>
      <w:r w:rsidRPr="001944EC">
        <w:rPr>
          <w:rFonts w:eastAsia="Times New Roman" w:cstheme="minorHAnsi"/>
          <w:b/>
          <w:sz w:val="24"/>
          <w:szCs w:val="24"/>
          <w:lang w:eastAsia="en-IN"/>
        </w:rPr>
        <w:t>PROTOCOL:</w:t>
      </w:r>
    </w:p>
    <w:p w14:paraId="7F1298E8" w14:textId="0194DB08" w:rsidR="00D721A6" w:rsidRPr="001944EC" w:rsidRDefault="003E0901" w:rsidP="006C1440">
      <w:pPr>
        <w:pStyle w:val="ListParagraph"/>
        <w:spacing w:after="0" w:line="240" w:lineRule="auto"/>
        <w:ind w:left="0"/>
        <w:mirrorIndents/>
        <w:jc w:val="both"/>
        <w:rPr>
          <w:rFonts w:eastAsia="Times New Roman" w:cstheme="minorHAnsi"/>
          <w:bCs/>
          <w:sz w:val="24"/>
          <w:szCs w:val="24"/>
          <w:lang w:eastAsia="en-IN"/>
        </w:rPr>
      </w:pPr>
      <w:r w:rsidRPr="003E0901">
        <w:rPr>
          <w:rFonts w:eastAsia="Times New Roman" w:cstheme="minorHAnsi"/>
          <w:bCs/>
          <w:sz w:val="24"/>
          <w:szCs w:val="24"/>
          <w:lang w:eastAsia="en-IN"/>
        </w:rPr>
        <w:t>No human participant data were collected for this methodological article, and the Representative Results are simulated; therefore, ethics approval and participant consent were not applicable.</w:t>
      </w:r>
      <w:r>
        <w:rPr>
          <w:rFonts w:eastAsia="Times New Roman" w:cstheme="minorHAnsi"/>
          <w:bCs/>
          <w:sz w:val="24"/>
          <w:szCs w:val="24"/>
          <w:lang w:eastAsia="en-IN"/>
        </w:rPr>
        <w:t xml:space="preserve"> </w:t>
      </w:r>
      <w:r w:rsidRPr="003E0901">
        <w:rPr>
          <w:rFonts w:eastAsia="Times New Roman" w:cstheme="minorHAnsi"/>
          <w:bCs/>
          <w:sz w:val="24"/>
          <w:szCs w:val="24"/>
          <w:lang w:eastAsia="en-IN"/>
        </w:rPr>
        <w:t>For future implementation of the protocol involving human participants, investigators should obtain ethics approval or an appropriate institutional ethics determination and participant consent or an approved waiver, as required by the relevant ethics committee.</w:t>
      </w:r>
    </w:p>
    <w:p w14:paraId="79D33942" w14:textId="77777777" w:rsidR="00D721A6" w:rsidRPr="001944EC" w:rsidRDefault="00D721A6" w:rsidP="006C1440">
      <w:pPr>
        <w:pStyle w:val="ListParagraph"/>
        <w:spacing w:after="0" w:line="240" w:lineRule="auto"/>
        <w:ind w:left="0"/>
        <w:mirrorIndents/>
        <w:rPr>
          <w:rFonts w:eastAsia="Times New Roman" w:cstheme="minorHAnsi"/>
          <w:b/>
          <w:sz w:val="24"/>
          <w:szCs w:val="24"/>
          <w:lang w:eastAsia="en-IN"/>
        </w:rPr>
      </w:pPr>
    </w:p>
    <w:p w14:paraId="37488792" w14:textId="54C47750" w:rsidR="00D721A6" w:rsidRPr="001944EC" w:rsidRDefault="00D721A6" w:rsidP="006C1440">
      <w:pPr>
        <w:pStyle w:val="ListParagraph"/>
        <w:numPr>
          <w:ilvl w:val="0"/>
          <w:numId w:val="19"/>
        </w:numPr>
        <w:spacing w:after="0" w:line="240" w:lineRule="auto"/>
        <w:ind w:left="0" w:firstLine="0"/>
        <w:mirrorIndents/>
        <w:rPr>
          <w:rFonts w:eastAsia="Times New Roman" w:cstheme="minorHAnsi"/>
          <w:b/>
          <w:sz w:val="24"/>
          <w:szCs w:val="24"/>
          <w:lang w:eastAsia="en-IN"/>
        </w:rPr>
      </w:pPr>
      <w:r w:rsidRPr="001944EC">
        <w:rPr>
          <w:rFonts w:eastAsia="Times New Roman" w:cstheme="minorHAnsi"/>
          <w:b/>
          <w:sz w:val="24"/>
          <w:szCs w:val="24"/>
          <w:lang w:eastAsia="en-IN"/>
        </w:rPr>
        <w:t xml:space="preserve">Participant </w:t>
      </w:r>
      <w:r w:rsidR="001944EC">
        <w:rPr>
          <w:rFonts w:eastAsia="Times New Roman" w:cstheme="minorHAnsi"/>
          <w:b/>
          <w:sz w:val="24"/>
          <w:szCs w:val="24"/>
          <w:lang w:eastAsia="en-IN"/>
        </w:rPr>
        <w:t>r</w:t>
      </w:r>
      <w:r w:rsidRPr="001944EC">
        <w:rPr>
          <w:rFonts w:eastAsia="Times New Roman" w:cstheme="minorHAnsi"/>
          <w:b/>
          <w:sz w:val="24"/>
          <w:szCs w:val="24"/>
          <w:lang w:eastAsia="en-IN"/>
        </w:rPr>
        <w:t xml:space="preserve">ecruitment and </w:t>
      </w:r>
      <w:r w:rsidR="001944EC">
        <w:rPr>
          <w:rFonts w:eastAsia="Times New Roman" w:cstheme="minorHAnsi"/>
          <w:b/>
          <w:sz w:val="24"/>
          <w:szCs w:val="24"/>
          <w:lang w:eastAsia="en-IN"/>
        </w:rPr>
        <w:t>o</w:t>
      </w:r>
      <w:r w:rsidRPr="001944EC">
        <w:rPr>
          <w:rFonts w:eastAsia="Times New Roman" w:cstheme="minorHAnsi"/>
          <w:b/>
          <w:sz w:val="24"/>
          <w:szCs w:val="24"/>
          <w:lang w:eastAsia="en-IN"/>
        </w:rPr>
        <w:t xml:space="preserve">bservation </w:t>
      </w:r>
      <w:r w:rsidR="001944EC">
        <w:rPr>
          <w:rFonts w:eastAsia="Times New Roman" w:cstheme="minorHAnsi"/>
          <w:b/>
          <w:sz w:val="24"/>
          <w:szCs w:val="24"/>
          <w:lang w:eastAsia="en-IN"/>
        </w:rPr>
        <w:t>p</w:t>
      </w:r>
      <w:r w:rsidRPr="001944EC">
        <w:rPr>
          <w:rFonts w:eastAsia="Times New Roman" w:cstheme="minorHAnsi"/>
          <w:b/>
          <w:sz w:val="24"/>
          <w:szCs w:val="24"/>
          <w:lang w:eastAsia="en-IN"/>
        </w:rPr>
        <w:t>lanning</w:t>
      </w:r>
    </w:p>
    <w:p w14:paraId="37526F65" w14:textId="12E69EE8" w:rsidR="00D00B54"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participant categories</w:t>
      </w:r>
    </w:p>
    <w:p w14:paraId="4B9A93AF"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Recruit healthcare personnel directly involved in biomedical waste generation and segregation activities. Include nurses, resident doctors, laboratory personnel, operation theatre technicians, dialysis technicians, dental assistants, and medical trainees, as applicable to the selected healthcare setting (</w:t>
      </w:r>
      <w:r w:rsidRPr="001944EC">
        <w:rPr>
          <w:rFonts w:eastAsia="Times New Roman" w:cstheme="minorHAnsi"/>
          <w:b/>
          <w:bCs/>
          <w:sz w:val="24"/>
          <w:szCs w:val="24"/>
          <w:lang w:eastAsia="en-IN"/>
        </w:rPr>
        <w:t>Table 2</w:t>
      </w:r>
      <w:r w:rsidRPr="001944EC">
        <w:rPr>
          <w:rFonts w:eastAsia="Times New Roman" w:cstheme="minorHAnsi"/>
          <w:sz w:val="24"/>
          <w:szCs w:val="24"/>
          <w:lang w:eastAsia="en-IN"/>
        </w:rPr>
        <w:t>).</w:t>
      </w:r>
    </w:p>
    <w:p w14:paraId="04208A01"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6F5AEB47"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inclusion criteria</w:t>
      </w:r>
    </w:p>
    <w:p w14:paraId="0E00F55D"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Include participants who routinely perform biomedical waste segregation and are directly involved in patient-care workflows. Obtain participant consent for observational assessment when required by the institutional ethics committee.</w:t>
      </w:r>
    </w:p>
    <w:p w14:paraId="55D199EB"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50AC1DB"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exclusion criteria</w:t>
      </w:r>
    </w:p>
    <w:p w14:paraId="68BBE791"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Exclude administrative staff whose primary roles are office-based, clerical, or managerial and who do not directly handle waste materials.</w:t>
      </w:r>
    </w:p>
    <w:p w14:paraId="0BAF8CEE"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68BE4579"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lastRenderedPageBreak/>
        <w:t>Exclude personnel whose job descriptions do not include direct physical handling of biomedical waste.</w:t>
      </w:r>
    </w:p>
    <w:p w14:paraId="4461ED79"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7BE01C83"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Exclude active trainees undergoing remediation training during the observation period when their supervised or training status could influence the assessment of routine segregation behavior.</w:t>
      </w:r>
    </w:p>
    <w:p w14:paraId="5FB2BA76"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66A817DB"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Determine the observation schedule</w:t>
      </w:r>
    </w:p>
    <w:p w14:paraId="59A8285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observation duration, shift timing, observation frequency, and number of segregation events to be observed per participant before data collection.</w:t>
      </w:r>
    </w:p>
    <w:p w14:paraId="23206E25"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E2E416E"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Standardize the observation environment</w:t>
      </w:r>
    </w:p>
    <w:p w14:paraId="3F90F772"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Ensure that all observation locations comply with applicable institutional biomedical waste segregation policies before initiating the assessment.</w:t>
      </w:r>
    </w:p>
    <w:p w14:paraId="3771AC21"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1EE52E0E" w14:textId="2099BDC0" w:rsidR="00D721A6" w:rsidRPr="001944EC" w:rsidRDefault="00D721A6" w:rsidP="006C1440">
      <w:pPr>
        <w:pStyle w:val="ListParagraph"/>
        <w:numPr>
          <w:ilvl w:val="0"/>
          <w:numId w:val="19"/>
        </w:numPr>
        <w:spacing w:after="0" w:line="240" w:lineRule="auto"/>
        <w:ind w:left="0" w:firstLine="0"/>
        <w:mirrorIndents/>
        <w:rPr>
          <w:rFonts w:eastAsia="Times New Roman" w:cstheme="minorHAnsi"/>
          <w:b/>
          <w:sz w:val="24"/>
          <w:szCs w:val="24"/>
          <w:lang w:eastAsia="en-IN"/>
        </w:rPr>
      </w:pPr>
      <w:r w:rsidRPr="001944EC">
        <w:rPr>
          <w:rFonts w:eastAsia="Times New Roman" w:cstheme="minorHAnsi"/>
          <w:b/>
          <w:sz w:val="24"/>
          <w:szCs w:val="24"/>
          <w:lang w:eastAsia="en-IN"/>
        </w:rPr>
        <w:t xml:space="preserve">Preparation of the </w:t>
      </w:r>
      <w:r w:rsidR="001944EC">
        <w:rPr>
          <w:rFonts w:eastAsia="Times New Roman" w:cstheme="minorHAnsi"/>
          <w:b/>
          <w:sz w:val="24"/>
          <w:szCs w:val="24"/>
          <w:lang w:eastAsia="en-IN"/>
        </w:rPr>
        <w:t>o</w:t>
      </w:r>
      <w:r w:rsidRPr="001944EC">
        <w:rPr>
          <w:rFonts w:eastAsia="Times New Roman" w:cstheme="minorHAnsi"/>
          <w:b/>
          <w:sz w:val="24"/>
          <w:szCs w:val="24"/>
          <w:lang w:eastAsia="en-IN"/>
        </w:rPr>
        <w:t xml:space="preserve">bservation </w:t>
      </w:r>
      <w:r w:rsidR="001944EC">
        <w:rPr>
          <w:rFonts w:eastAsia="Times New Roman" w:cstheme="minorHAnsi"/>
          <w:b/>
          <w:sz w:val="24"/>
          <w:szCs w:val="24"/>
          <w:lang w:eastAsia="en-IN"/>
        </w:rPr>
        <w:t>e</w:t>
      </w:r>
      <w:r w:rsidRPr="001944EC">
        <w:rPr>
          <w:rFonts w:eastAsia="Times New Roman" w:cstheme="minorHAnsi"/>
          <w:b/>
          <w:sz w:val="24"/>
          <w:szCs w:val="24"/>
          <w:lang w:eastAsia="en-IN"/>
        </w:rPr>
        <w:t>nvironment</w:t>
      </w:r>
    </w:p>
    <w:p w14:paraId="6A6F2BF0"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Select the healthcare setting</w:t>
      </w:r>
    </w:p>
    <w:p w14:paraId="45F57CFD"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Select the clinical unit or healthcare area for biomedical waste segregation assessment. Include outpatient departments, intensive care units, operation theatres, emergency departments, wards, laboratories, procedure rooms, dialysis units, or dental clinics, as applicable to the study design.</w:t>
      </w:r>
    </w:p>
    <w:p w14:paraId="75C8D7D7"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50D3C75"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Identify biomedical waste generation points</w:t>
      </w:r>
    </w:p>
    <w:p w14:paraId="57D516F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Identify all locations where biomedical waste is generated during patient-care or procedural activities.</w:t>
      </w:r>
    </w:p>
    <w:p w14:paraId="24DEDFF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1543DA15"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Record relevant generation points, including injection preparation stations, dressing areas, procedure tables, laboratory workstations, sharps disposal locations, medication administration points, and surgical instrument areas.</w:t>
      </w:r>
    </w:p>
    <w:p w14:paraId="6712240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DFE116A"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Standardize segregation categories</w:t>
      </w:r>
    </w:p>
    <w:p w14:paraId="56EEF1AA"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Ensure that all waste bins and segregation systems comply with applicable biomedical waste management rules and institutional policies.</w:t>
      </w:r>
    </w:p>
    <w:p w14:paraId="27B9DEA7"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209F629E"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 xml:space="preserve">Standardize the </w:t>
      </w:r>
      <w:proofErr w:type="spellStart"/>
      <w:r w:rsidRPr="001944EC">
        <w:rPr>
          <w:rFonts w:eastAsia="Times New Roman" w:cstheme="minorHAnsi"/>
          <w:sz w:val="24"/>
          <w:szCs w:val="24"/>
          <w:lang w:eastAsia="en-IN"/>
        </w:rPr>
        <w:t>color</w:t>
      </w:r>
      <w:proofErr w:type="spellEnd"/>
      <w:r w:rsidRPr="001944EC">
        <w:rPr>
          <w:rFonts w:eastAsia="Times New Roman" w:cstheme="minorHAnsi"/>
          <w:sz w:val="24"/>
          <w:szCs w:val="24"/>
          <w:lang w:eastAsia="en-IN"/>
        </w:rPr>
        <w:t xml:space="preserve"> coding, </w:t>
      </w:r>
      <w:proofErr w:type="spellStart"/>
      <w:r w:rsidRPr="001944EC">
        <w:rPr>
          <w:rFonts w:eastAsia="Times New Roman" w:cstheme="minorHAnsi"/>
          <w:sz w:val="24"/>
          <w:szCs w:val="24"/>
          <w:lang w:eastAsia="en-IN"/>
        </w:rPr>
        <w:t>labeling</w:t>
      </w:r>
      <w:proofErr w:type="spellEnd"/>
      <w:r w:rsidRPr="001944EC">
        <w:rPr>
          <w:rFonts w:eastAsia="Times New Roman" w:cstheme="minorHAnsi"/>
          <w:sz w:val="24"/>
          <w:szCs w:val="24"/>
          <w:lang w:eastAsia="en-IN"/>
        </w:rPr>
        <w:t>, waste categories, bin positioning, accessibility, and container capacity before commencing observation.</w:t>
      </w:r>
    </w:p>
    <w:p w14:paraId="1D9718D9"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48A10151"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Prepare observation tools</w:t>
      </w:r>
    </w:p>
    <w:p w14:paraId="63BC5B03"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Prepare all observational and scoring materials before initiating the assessment.</w:t>
      </w:r>
    </w:p>
    <w:p w14:paraId="4BFC7315"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2ED7C32C"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 xml:space="preserve">Use the standardized PGST observation and scoring toolkit provided as </w:t>
      </w:r>
      <w:r w:rsidRPr="001944EC">
        <w:rPr>
          <w:rFonts w:eastAsia="Times New Roman" w:cstheme="minorHAnsi"/>
          <w:b/>
          <w:bCs/>
          <w:sz w:val="24"/>
          <w:szCs w:val="24"/>
          <w:lang w:eastAsia="en-IN"/>
        </w:rPr>
        <w:t>Supplementary File 1</w:t>
      </w:r>
      <w:r w:rsidRPr="001944EC">
        <w:rPr>
          <w:rFonts w:eastAsia="Times New Roman" w:cstheme="minorHAnsi"/>
          <w:sz w:val="24"/>
          <w:szCs w:val="24"/>
          <w:lang w:eastAsia="en-IN"/>
        </w:rPr>
        <w:t>.</w:t>
      </w:r>
    </w:p>
    <w:p w14:paraId="266740F5"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6233C5E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Use the PGST observation checklist, MBPBF domain scoring sheet, PBS and PGSA calculation sheets, biomedical waste classification and segregation guide, observer instruction and calibration guide, and standardized observation/data recording form.</w:t>
      </w:r>
    </w:p>
    <w:p w14:paraId="773C1305"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56B29A6E"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lastRenderedPageBreak/>
        <w:t>Train and calibrate observers</w:t>
      </w:r>
    </w:p>
    <w:p w14:paraId="1CDB524B"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Conduct observer training</w:t>
      </w:r>
    </w:p>
    <w:p w14:paraId="24F0C30A" w14:textId="77777777" w:rsidR="00D721A6" w:rsidRPr="008D7E7A" w:rsidRDefault="00D721A6" w:rsidP="006C1440">
      <w:pPr>
        <w:pStyle w:val="ListParagraph"/>
        <w:spacing w:after="0" w:line="240" w:lineRule="auto"/>
        <w:ind w:left="0"/>
        <w:mirrorIndents/>
        <w:rPr>
          <w:rFonts w:eastAsia="Times New Roman" w:cstheme="minorHAnsi"/>
          <w:bCs/>
          <w:sz w:val="24"/>
          <w:szCs w:val="24"/>
          <w:highlight w:val="yellow"/>
          <w:lang w:eastAsia="en-IN"/>
        </w:rPr>
      </w:pPr>
    </w:p>
    <w:p w14:paraId="43772E86" w14:textId="77777777" w:rsidR="00D721A6" w:rsidRPr="008D7E7A" w:rsidRDefault="00D721A6" w:rsidP="006C1440">
      <w:pPr>
        <w:pStyle w:val="ListParagraph"/>
        <w:numPr>
          <w:ilvl w:val="3"/>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Train all observers using a standardized calibration workflow before live data collection.</w:t>
      </w:r>
    </w:p>
    <w:p w14:paraId="4E40A6FE"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21532FB9" w14:textId="65081BCD" w:rsidR="00D721A6" w:rsidRPr="008D7E7A" w:rsidRDefault="00D721A6" w:rsidP="006C1440">
      <w:pPr>
        <w:pStyle w:val="ListParagraph"/>
        <w:numPr>
          <w:ilvl w:val="3"/>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Provide training in PGST theoretical orientation, biomedical waste classification,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anchor interpretation</w:t>
      </w:r>
      <w:r w:rsidR="00981737" w:rsidRPr="008D7E7A">
        <w:rPr>
          <w:rFonts w:eastAsia="Times New Roman" w:cstheme="minorHAnsi"/>
          <w:sz w:val="24"/>
          <w:szCs w:val="24"/>
          <w:highlight w:val="yellow"/>
          <w:lang w:eastAsia="en-IN"/>
        </w:rPr>
        <w:t xml:space="preserve"> (</w:t>
      </w:r>
      <w:r w:rsidR="00981737" w:rsidRPr="008D7E7A">
        <w:rPr>
          <w:rFonts w:eastAsia="Times New Roman" w:cstheme="minorHAnsi"/>
          <w:b/>
          <w:bCs/>
          <w:sz w:val="24"/>
          <w:szCs w:val="24"/>
          <w:highlight w:val="yellow"/>
          <w:lang w:eastAsia="en-IN"/>
        </w:rPr>
        <w:t>Table 3</w:t>
      </w:r>
      <w:r w:rsidR="00981737" w:rsidRPr="008D7E7A">
        <w:rPr>
          <w:rFonts w:eastAsia="Times New Roman" w:cstheme="minorHAnsi"/>
          <w:sz w:val="24"/>
          <w:szCs w:val="24"/>
          <w:highlight w:val="yellow"/>
          <w:lang w:eastAsia="en-IN"/>
        </w:rPr>
        <w:t>)</w:t>
      </w:r>
      <w:r w:rsidRPr="008D7E7A">
        <w:rPr>
          <w:rFonts w:eastAsia="Times New Roman" w:cstheme="minorHAnsi"/>
          <w:sz w:val="24"/>
          <w:szCs w:val="24"/>
          <w:highlight w:val="yellow"/>
          <w:lang w:eastAsia="en-IN"/>
        </w:rPr>
        <w:t>, mock segregation observations, simulated scoring exercises, and inter-rater agreement procedures.</w:t>
      </w:r>
    </w:p>
    <w:p w14:paraId="0F5A90B2"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206DB0E4"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Conduct observer calibration</w:t>
      </w:r>
    </w:p>
    <w:p w14:paraId="2B27E575" w14:textId="77777777" w:rsidR="00D721A6" w:rsidRPr="008D7E7A" w:rsidRDefault="00D721A6" w:rsidP="006C1440">
      <w:pPr>
        <w:pStyle w:val="ListParagraph"/>
        <w:spacing w:after="0" w:line="240" w:lineRule="auto"/>
        <w:ind w:left="0"/>
        <w:mirrorIndents/>
        <w:rPr>
          <w:rFonts w:eastAsia="Times New Roman" w:cstheme="minorHAnsi"/>
          <w:bCs/>
          <w:sz w:val="24"/>
          <w:szCs w:val="24"/>
          <w:highlight w:val="yellow"/>
          <w:lang w:eastAsia="en-IN"/>
        </w:rPr>
      </w:pPr>
    </w:p>
    <w:p w14:paraId="349A900C" w14:textId="4E4B94B7" w:rsidR="00D721A6" w:rsidRPr="008D7E7A" w:rsidRDefault="00D721A6" w:rsidP="006C1440">
      <w:pPr>
        <w:pStyle w:val="ListParagraph"/>
        <w:numPr>
          <w:ilvl w:val="3"/>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 xml:space="preserve">Present identical simulated segregation scenarios to all observers. </w:t>
      </w:r>
      <w:r w:rsidR="00D00B54" w:rsidRPr="008D7E7A">
        <w:rPr>
          <w:rFonts w:eastAsia="Times New Roman" w:cstheme="minorHAnsi"/>
          <w:bCs/>
          <w:sz w:val="24"/>
          <w:szCs w:val="24"/>
          <w:highlight w:val="yellow"/>
          <w:lang w:eastAsia="en-IN"/>
        </w:rPr>
        <w:t>Require observers to independently score the simulated scenarios and compare observer scores during the calibration session.</w:t>
      </w:r>
    </w:p>
    <w:p w14:paraId="2894EE55" w14:textId="77777777" w:rsidR="00D721A6" w:rsidRPr="008D7E7A" w:rsidRDefault="00D721A6" w:rsidP="006C1440">
      <w:pPr>
        <w:pStyle w:val="ListParagraph"/>
        <w:spacing w:after="0" w:line="240" w:lineRule="auto"/>
        <w:ind w:left="0"/>
        <w:mirrorIndents/>
        <w:rPr>
          <w:rFonts w:eastAsia="Times New Roman" w:cstheme="minorHAnsi"/>
          <w:bCs/>
          <w:sz w:val="24"/>
          <w:szCs w:val="24"/>
          <w:highlight w:val="yellow"/>
          <w:lang w:eastAsia="en-IN"/>
        </w:rPr>
      </w:pPr>
    </w:p>
    <w:p w14:paraId="748801C7" w14:textId="77777777" w:rsidR="00D721A6" w:rsidRPr="008D7E7A" w:rsidRDefault="00D721A6" w:rsidP="006C1440">
      <w:pPr>
        <w:pStyle w:val="ListParagraph"/>
        <w:numPr>
          <w:ilvl w:val="3"/>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 xml:space="preserve">Review discrepancies against the predefined operational definitions, </w:t>
      </w:r>
      <w:proofErr w:type="spellStart"/>
      <w:r w:rsidRPr="008D7E7A">
        <w:rPr>
          <w:rFonts w:eastAsia="Times New Roman" w:cstheme="minorHAnsi"/>
          <w:bCs/>
          <w:sz w:val="24"/>
          <w:szCs w:val="24"/>
          <w:highlight w:val="yellow"/>
          <w:lang w:eastAsia="en-IN"/>
        </w:rPr>
        <w:t>behavioral</w:t>
      </w:r>
      <w:proofErr w:type="spellEnd"/>
      <w:r w:rsidRPr="008D7E7A">
        <w:rPr>
          <w:rFonts w:eastAsia="Times New Roman" w:cstheme="minorHAnsi"/>
          <w:bCs/>
          <w:sz w:val="24"/>
          <w:szCs w:val="24"/>
          <w:highlight w:val="yellow"/>
          <w:lang w:eastAsia="en-IN"/>
        </w:rPr>
        <w:t xml:space="preserve"> anchors, and scoring instructions.</w:t>
      </w:r>
    </w:p>
    <w:p w14:paraId="20B91366" w14:textId="77777777" w:rsidR="00D721A6" w:rsidRPr="008D7E7A" w:rsidRDefault="00D721A6" w:rsidP="006C1440">
      <w:pPr>
        <w:pStyle w:val="ListParagraph"/>
        <w:spacing w:after="0" w:line="240" w:lineRule="auto"/>
        <w:ind w:left="0"/>
        <w:mirrorIndents/>
        <w:rPr>
          <w:rFonts w:eastAsia="Times New Roman" w:cstheme="minorHAnsi"/>
          <w:bCs/>
          <w:sz w:val="24"/>
          <w:szCs w:val="24"/>
          <w:highlight w:val="yellow"/>
          <w:lang w:eastAsia="en-IN"/>
        </w:rPr>
      </w:pPr>
    </w:p>
    <w:p w14:paraId="7729FD4D" w14:textId="77777777" w:rsidR="00D721A6" w:rsidRPr="008D7E7A" w:rsidRDefault="00D721A6" w:rsidP="006C1440">
      <w:pPr>
        <w:pStyle w:val="ListParagraph"/>
        <w:numPr>
          <w:ilvl w:val="3"/>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Repeat calibration until the predefined criterion for inter-rater consistency is achieved.</w:t>
      </w:r>
    </w:p>
    <w:p w14:paraId="20E77D98"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6BC9E531"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Record observer information</w:t>
      </w:r>
    </w:p>
    <w:p w14:paraId="3B6A72C0" w14:textId="77777777" w:rsidR="00D721A6" w:rsidRPr="008D7E7A" w:rsidRDefault="00D721A6" w:rsidP="006C1440">
      <w:pPr>
        <w:pStyle w:val="ListParagraph"/>
        <w:numPr>
          <w:ilvl w:val="3"/>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Record the observer role, training date, calibration status, years of experience, and assigned observation area.</w:t>
      </w:r>
    </w:p>
    <w:p w14:paraId="7DC10397" w14:textId="77777777" w:rsidR="00D721A6" w:rsidRPr="008D7E7A" w:rsidRDefault="00D721A6" w:rsidP="006C1440">
      <w:pPr>
        <w:pStyle w:val="ListParagraph"/>
        <w:spacing w:after="0" w:line="240" w:lineRule="auto"/>
        <w:ind w:left="0"/>
        <w:mirrorIndents/>
        <w:rPr>
          <w:rFonts w:eastAsia="Times New Roman" w:cstheme="minorHAnsi"/>
          <w:bCs/>
          <w:sz w:val="24"/>
          <w:szCs w:val="24"/>
          <w:highlight w:val="yellow"/>
          <w:lang w:eastAsia="en-IN"/>
        </w:rPr>
      </w:pPr>
    </w:p>
    <w:p w14:paraId="70B3C1DF"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Establish observation criteria</w:t>
      </w:r>
    </w:p>
    <w:p w14:paraId="3B217854"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Define the observation duration, observation intervals, eligibility criteria for segregation events, personnel categories, and relevant environmental conditions before data collection.</w:t>
      </w:r>
    </w:p>
    <w:p w14:paraId="0E121326" w14:textId="77777777" w:rsidR="00D721A6" w:rsidRPr="008D7E7A" w:rsidRDefault="00D721A6" w:rsidP="006C1440">
      <w:pPr>
        <w:pStyle w:val="ListParagraph"/>
        <w:spacing w:after="0" w:line="240" w:lineRule="auto"/>
        <w:ind w:left="0"/>
        <w:mirrorIndents/>
        <w:rPr>
          <w:rFonts w:eastAsia="Times New Roman" w:cstheme="minorHAnsi"/>
          <w:bCs/>
          <w:sz w:val="24"/>
          <w:szCs w:val="24"/>
          <w:highlight w:val="yellow"/>
          <w:lang w:eastAsia="en-IN"/>
        </w:rPr>
      </w:pPr>
    </w:p>
    <w:p w14:paraId="66754A1B"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Obtain ethical and institutional permissions</w:t>
      </w:r>
    </w:p>
    <w:p w14:paraId="3CA8DB94"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Obtain ethical approval or an appropriate institutional ethics determination before commencing observational assessment.</w:t>
      </w:r>
    </w:p>
    <w:p w14:paraId="34FC9A94"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59C2E320"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Obtain institutional authorization and participant consent, or an approved waiver of consent, according to the requirements of the relevant ethics committee.</w:t>
      </w:r>
    </w:p>
    <w:p w14:paraId="249027C8"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4952DF60" w14:textId="77777777" w:rsidR="00D721A6" w:rsidRPr="008D7E7A" w:rsidRDefault="00D721A6" w:rsidP="006C1440">
      <w:pPr>
        <w:pStyle w:val="ListParagraph"/>
        <w:numPr>
          <w:ilvl w:val="0"/>
          <w:numId w:val="19"/>
        </w:numPr>
        <w:spacing w:after="0" w:line="240" w:lineRule="auto"/>
        <w:ind w:left="0" w:firstLine="0"/>
        <w:mirrorIndents/>
        <w:rPr>
          <w:rFonts w:eastAsia="Times New Roman" w:cstheme="minorHAnsi"/>
          <w:b/>
          <w:sz w:val="24"/>
          <w:szCs w:val="24"/>
          <w:highlight w:val="yellow"/>
          <w:lang w:eastAsia="en-IN"/>
        </w:rPr>
      </w:pPr>
      <w:r w:rsidRPr="008D7E7A">
        <w:rPr>
          <w:rFonts w:eastAsia="Times New Roman" w:cstheme="minorHAnsi"/>
          <w:b/>
          <w:sz w:val="24"/>
          <w:szCs w:val="24"/>
          <w:highlight w:val="yellow"/>
          <w:lang w:eastAsia="en-IN"/>
        </w:rPr>
        <w:t xml:space="preserve">Conduct </w:t>
      </w:r>
      <w:proofErr w:type="spellStart"/>
      <w:r w:rsidRPr="008D7E7A">
        <w:rPr>
          <w:rFonts w:eastAsia="Times New Roman" w:cstheme="minorHAnsi"/>
          <w:b/>
          <w:sz w:val="24"/>
          <w:szCs w:val="24"/>
          <w:highlight w:val="yellow"/>
          <w:lang w:eastAsia="en-IN"/>
        </w:rPr>
        <w:t>microbehavioral</w:t>
      </w:r>
      <w:proofErr w:type="spellEnd"/>
      <w:r w:rsidRPr="008D7E7A">
        <w:rPr>
          <w:rFonts w:eastAsia="Times New Roman" w:cstheme="minorHAnsi"/>
          <w:b/>
          <w:sz w:val="24"/>
          <w:szCs w:val="24"/>
          <w:highlight w:val="yellow"/>
          <w:lang w:eastAsia="en-IN"/>
        </w:rPr>
        <w:t xml:space="preserve"> precision observation</w:t>
      </w:r>
    </w:p>
    <w:p w14:paraId="0B5036CD"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Identify the segregation event</w:t>
      </w:r>
    </w:p>
    <w:p w14:paraId="1F53108B" w14:textId="77777777" w:rsidR="00D721A6" w:rsidRPr="008D7E7A" w:rsidRDefault="00D721A6" w:rsidP="006C1440">
      <w:pPr>
        <w:pStyle w:val="ListParagraph"/>
        <w:spacing w:after="0" w:line="240" w:lineRule="auto"/>
        <w:ind w:left="0"/>
        <w:mirrorIndents/>
        <w:rPr>
          <w:rFonts w:eastAsia="Times New Roman" w:cstheme="minorHAnsi"/>
          <w:b/>
          <w:sz w:val="24"/>
          <w:szCs w:val="24"/>
          <w:highlight w:val="yellow"/>
          <w:lang w:eastAsia="en-IN"/>
        </w:rPr>
      </w:pPr>
    </w:p>
    <w:p w14:paraId="50AE7591"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Identify and observe a biomedical waste segregation event at the point of generation.</w:t>
      </w:r>
    </w:p>
    <w:p w14:paraId="4FE12A0B"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0C16D731"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Record relevant segregation events, including disposal of syringes, disposal of blood-soaked gauze, sharps segregation, pharmaceutical waste disposal, plastic waste segregation, and cytotoxic waste handling, as applicable to the selected setting.</w:t>
      </w:r>
    </w:p>
    <w:p w14:paraId="634A3B8E" w14:textId="77777777" w:rsidR="00D721A6" w:rsidRPr="008D7E7A" w:rsidRDefault="00D721A6" w:rsidP="006C1440">
      <w:pPr>
        <w:spacing w:after="0" w:line="240" w:lineRule="auto"/>
        <w:contextualSpacing/>
        <w:mirrorIndents/>
        <w:rPr>
          <w:rFonts w:eastAsia="Times New Roman" w:cstheme="minorHAnsi"/>
          <w:b/>
          <w:sz w:val="24"/>
          <w:szCs w:val="24"/>
          <w:highlight w:val="yellow"/>
          <w:lang w:eastAsia="en-IN"/>
        </w:rPr>
      </w:pPr>
    </w:p>
    <w:p w14:paraId="31DB9EBD"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 xml:space="preserve">Apply the </w:t>
      </w:r>
      <w:proofErr w:type="spellStart"/>
      <w:r w:rsidRPr="008D7E7A">
        <w:rPr>
          <w:rFonts w:eastAsia="Times New Roman" w:cstheme="minorHAnsi"/>
          <w:bCs/>
          <w:sz w:val="24"/>
          <w:szCs w:val="24"/>
          <w:highlight w:val="yellow"/>
          <w:lang w:eastAsia="en-IN"/>
        </w:rPr>
        <w:t>behavioral</w:t>
      </w:r>
      <w:proofErr w:type="spellEnd"/>
      <w:r w:rsidRPr="008D7E7A">
        <w:rPr>
          <w:rFonts w:eastAsia="Times New Roman" w:cstheme="minorHAnsi"/>
          <w:bCs/>
          <w:sz w:val="24"/>
          <w:szCs w:val="24"/>
          <w:highlight w:val="yellow"/>
          <w:lang w:eastAsia="en-IN"/>
        </w:rPr>
        <w:t xml:space="preserve"> observation instrument</w:t>
      </w:r>
    </w:p>
    <w:p w14:paraId="51657E91" w14:textId="77CF78F6"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Conduct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observations using the standardized PGST observation instrument containing predefined domain-specific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items.</w:t>
      </w:r>
      <w:r w:rsidR="00981737" w:rsidRPr="008D7E7A">
        <w:rPr>
          <w:rFonts w:eastAsia="Times New Roman" w:cstheme="minorHAnsi"/>
          <w:sz w:val="24"/>
          <w:szCs w:val="24"/>
          <w:highlight w:val="yellow"/>
          <w:lang w:eastAsia="en-IN"/>
        </w:rPr>
        <w:t xml:space="preserve"> The four MBPBF domains and their operational definitions are summarized in </w:t>
      </w:r>
      <w:r w:rsidR="00981737" w:rsidRPr="008D7E7A">
        <w:rPr>
          <w:rFonts w:eastAsia="Times New Roman" w:cstheme="minorHAnsi"/>
          <w:b/>
          <w:bCs/>
          <w:sz w:val="24"/>
          <w:szCs w:val="24"/>
          <w:highlight w:val="yellow"/>
          <w:lang w:eastAsia="en-IN"/>
        </w:rPr>
        <w:t>Table 4</w:t>
      </w:r>
      <w:r w:rsidR="00981737" w:rsidRPr="008D7E7A">
        <w:rPr>
          <w:rFonts w:eastAsia="Times New Roman" w:cstheme="minorHAnsi"/>
          <w:sz w:val="24"/>
          <w:szCs w:val="24"/>
          <w:highlight w:val="yellow"/>
          <w:lang w:eastAsia="en-IN"/>
        </w:rPr>
        <w:t>.</w:t>
      </w:r>
    </w:p>
    <w:p w14:paraId="3DB56C93"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74130C74"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Score each applicable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item on the continuous 0–1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performance scale. Use the five reference anchors of 0.00, 0.25, 0.50, 0.75, and 1.00 to standardize observer judgment (</w:t>
      </w:r>
      <w:r w:rsidRPr="008D7E7A">
        <w:rPr>
          <w:rFonts w:eastAsia="Times New Roman" w:cstheme="minorHAnsi"/>
          <w:b/>
          <w:bCs/>
          <w:sz w:val="24"/>
          <w:szCs w:val="24"/>
          <w:highlight w:val="yellow"/>
          <w:lang w:eastAsia="en-IN"/>
        </w:rPr>
        <w:t>Table 3</w:t>
      </w:r>
      <w:r w:rsidRPr="008D7E7A">
        <w:rPr>
          <w:rFonts w:eastAsia="Times New Roman" w:cstheme="minorHAnsi"/>
          <w:sz w:val="24"/>
          <w:szCs w:val="24"/>
          <w:highlight w:val="yellow"/>
          <w:lang w:eastAsia="en-IN"/>
        </w:rPr>
        <w:t>).</w:t>
      </w:r>
    </w:p>
    <w:p w14:paraId="19D1C22B"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1F12A132"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Assign intermediate scores within the 0–1 range when the observed behavior falls between two reference anchors, and the distinction is supported by the predefined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criteria and observer calibration.</w:t>
      </w:r>
    </w:p>
    <w:p w14:paraId="28BED022"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3B438171"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Calculate each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domain score as the mean of the scores assigned to all applicable items within that domain.</w:t>
      </w:r>
    </w:p>
    <w:p w14:paraId="27C9A4C5" w14:textId="77777777" w:rsidR="00D721A6" w:rsidRPr="008D7E7A" w:rsidRDefault="00D721A6" w:rsidP="006C1440">
      <w:pPr>
        <w:spacing w:after="0" w:line="240" w:lineRule="auto"/>
        <w:contextualSpacing/>
        <w:mirrorIndents/>
        <w:rPr>
          <w:rFonts w:eastAsia="Times New Roman" w:cstheme="minorHAnsi"/>
          <w:b/>
          <w:sz w:val="24"/>
          <w:szCs w:val="24"/>
          <w:highlight w:val="yellow"/>
          <w:lang w:eastAsia="en-IN"/>
        </w:rPr>
      </w:pPr>
    </w:p>
    <w:p w14:paraId="7DC2CF70"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Assess cognitive anchoring (CA)</w:t>
      </w:r>
    </w:p>
    <w:p w14:paraId="359CEC88" w14:textId="35E34BCD"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Assess cognitive orientation and procedural decision-making behavior.</w:t>
      </w:r>
      <w:r w:rsidR="0050132F" w:rsidRPr="008D7E7A">
        <w:rPr>
          <w:rFonts w:eastAsia="Times New Roman" w:cstheme="minorHAnsi"/>
          <w:sz w:val="24"/>
          <w:szCs w:val="24"/>
          <w:highlight w:val="yellow"/>
          <w:lang w:eastAsia="en-IN"/>
        </w:rPr>
        <w:t xml:space="preserve"> </w:t>
      </w:r>
      <w:r w:rsidRPr="008D7E7A">
        <w:rPr>
          <w:rFonts w:eastAsia="Times New Roman" w:cstheme="minorHAnsi"/>
          <w:sz w:val="24"/>
          <w:szCs w:val="24"/>
          <w:highlight w:val="yellow"/>
          <w:lang w:eastAsia="en-IN"/>
        </w:rPr>
        <w:t>Evaluate whether the participant correctly identifies the waste category, demonstrates awareness of segregation rules, selects the appropriate disposal pathway, maintains procedural consistency, and demonstrates contextual decision-making.</w:t>
      </w:r>
    </w:p>
    <w:p w14:paraId="602AE629"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68CC9B0B"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Assign a cognitive anchoring score according to the predefined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anchors. Refer to </w:t>
      </w:r>
      <w:r w:rsidRPr="008D7E7A">
        <w:rPr>
          <w:rFonts w:eastAsia="Times New Roman" w:cstheme="minorHAnsi"/>
          <w:b/>
          <w:bCs/>
          <w:sz w:val="24"/>
          <w:szCs w:val="24"/>
          <w:highlight w:val="yellow"/>
          <w:lang w:eastAsia="en-IN"/>
        </w:rPr>
        <w:t>Table 5</w:t>
      </w:r>
      <w:r w:rsidRPr="008D7E7A">
        <w:rPr>
          <w:rFonts w:eastAsia="Times New Roman" w:cstheme="minorHAnsi"/>
          <w:sz w:val="24"/>
          <w:szCs w:val="24"/>
          <w:highlight w:val="yellow"/>
          <w:lang w:eastAsia="en-IN"/>
        </w:rPr>
        <w:t xml:space="preserve"> for representative cognitive anchoring observation items used during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precision assessment.</w:t>
      </w:r>
    </w:p>
    <w:p w14:paraId="0C64E145" w14:textId="77777777" w:rsidR="00D721A6" w:rsidRPr="008D7E7A" w:rsidRDefault="00D721A6" w:rsidP="006C1440">
      <w:pPr>
        <w:spacing w:after="0" w:line="240" w:lineRule="auto"/>
        <w:contextualSpacing/>
        <w:mirrorIndents/>
        <w:rPr>
          <w:rFonts w:eastAsia="Times New Roman" w:cstheme="minorHAnsi"/>
          <w:b/>
          <w:sz w:val="24"/>
          <w:szCs w:val="24"/>
          <w:highlight w:val="yellow"/>
          <w:lang w:eastAsia="en-IN"/>
        </w:rPr>
      </w:pPr>
    </w:p>
    <w:p w14:paraId="1522D99A"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Assess visual discrimination (VD)</w:t>
      </w:r>
    </w:p>
    <w:p w14:paraId="7502B1FF"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Assess visual identification and discrimination capacity. Evaluate whether the participant distinguishes color-coded bins accurately, identifies waste characteristics correctly, recognizes contamination risk, differentiates recyclable and hazardous waste, and detects segregation errors visually.</w:t>
      </w:r>
    </w:p>
    <w:p w14:paraId="037387AA"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02283A56"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Assign a Visual Discrimination score according to the predefined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anchors. Refer to</w:t>
      </w:r>
      <w:r w:rsidRPr="008D7E7A">
        <w:rPr>
          <w:rFonts w:eastAsia="Times New Roman" w:cstheme="minorHAnsi"/>
          <w:b/>
          <w:bCs/>
          <w:sz w:val="24"/>
          <w:szCs w:val="24"/>
          <w:highlight w:val="yellow"/>
          <w:lang w:eastAsia="en-IN"/>
        </w:rPr>
        <w:t xml:space="preserve"> Table 6 </w:t>
      </w:r>
      <w:r w:rsidRPr="008D7E7A">
        <w:rPr>
          <w:rFonts w:eastAsia="Times New Roman" w:cstheme="minorHAnsi"/>
          <w:sz w:val="24"/>
          <w:szCs w:val="24"/>
          <w:highlight w:val="yellow"/>
          <w:lang w:eastAsia="en-IN"/>
        </w:rPr>
        <w:t>for a</w:t>
      </w:r>
      <w:r w:rsidRPr="008D7E7A">
        <w:rPr>
          <w:rFonts w:eastAsia="Times New Roman" w:cstheme="minorHAnsi"/>
          <w:b/>
          <w:bCs/>
          <w:sz w:val="24"/>
          <w:szCs w:val="24"/>
          <w:highlight w:val="yellow"/>
          <w:lang w:eastAsia="en-IN"/>
        </w:rPr>
        <w:t xml:space="preserve"> </w:t>
      </w:r>
      <w:r w:rsidRPr="008D7E7A">
        <w:rPr>
          <w:rFonts w:eastAsia="Times New Roman" w:cstheme="minorHAnsi"/>
          <w:sz w:val="24"/>
          <w:szCs w:val="24"/>
          <w:highlight w:val="yellow"/>
          <w:lang w:eastAsia="en-IN"/>
        </w:rPr>
        <w:t>representative visual discrimination observation items summary.</w:t>
      </w:r>
    </w:p>
    <w:p w14:paraId="5C52A3D9" w14:textId="77777777" w:rsidR="00D721A6" w:rsidRPr="008D7E7A" w:rsidRDefault="00D721A6" w:rsidP="006C1440">
      <w:pPr>
        <w:spacing w:after="0" w:line="240" w:lineRule="auto"/>
        <w:contextualSpacing/>
        <w:mirrorIndents/>
        <w:rPr>
          <w:rFonts w:eastAsia="Times New Roman" w:cstheme="minorHAnsi"/>
          <w:b/>
          <w:sz w:val="24"/>
          <w:szCs w:val="24"/>
          <w:highlight w:val="yellow"/>
          <w:lang w:eastAsia="en-IN"/>
        </w:rPr>
      </w:pPr>
    </w:p>
    <w:p w14:paraId="696494EC"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Assess repetition reinforcement (RR)</w:t>
      </w:r>
    </w:p>
    <w:p w14:paraId="52B21174"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Assess consistency and reproducibility of segregation behavior. Evaluate whether the participant repeats correct segregation consistently, maintains workflow stability, demonstrates procedural repetition accuracy, minimizes unnecessary movement, and preserves ergonomic efficiency.</w:t>
      </w:r>
    </w:p>
    <w:p w14:paraId="14546250"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044C625F"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Assign a Repetition Reinforcement score according to the predefined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anchors. Refer to </w:t>
      </w:r>
      <w:r w:rsidRPr="008D7E7A">
        <w:rPr>
          <w:rFonts w:eastAsia="Times New Roman" w:cstheme="minorHAnsi"/>
          <w:b/>
          <w:bCs/>
          <w:sz w:val="24"/>
          <w:szCs w:val="24"/>
          <w:highlight w:val="yellow"/>
          <w:lang w:eastAsia="en-IN"/>
        </w:rPr>
        <w:t>Table 7</w:t>
      </w:r>
      <w:r w:rsidRPr="008D7E7A">
        <w:rPr>
          <w:rFonts w:eastAsia="Times New Roman" w:cstheme="minorHAnsi"/>
          <w:sz w:val="24"/>
          <w:szCs w:val="24"/>
          <w:highlight w:val="yellow"/>
          <w:lang w:eastAsia="en-IN"/>
        </w:rPr>
        <w:t xml:space="preserve"> for representative repetition reinforcement observation items.</w:t>
      </w:r>
    </w:p>
    <w:p w14:paraId="016678AF" w14:textId="77777777" w:rsidR="00D721A6" w:rsidRPr="008D7E7A" w:rsidRDefault="00D721A6" w:rsidP="006C1440">
      <w:pPr>
        <w:spacing w:after="0" w:line="240" w:lineRule="auto"/>
        <w:contextualSpacing/>
        <w:mirrorIndents/>
        <w:rPr>
          <w:rFonts w:eastAsia="Times New Roman" w:cstheme="minorHAnsi"/>
          <w:b/>
          <w:sz w:val="24"/>
          <w:szCs w:val="24"/>
          <w:highlight w:val="yellow"/>
          <w:lang w:eastAsia="en-IN"/>
        </w:rPr>
      </w:pPr>
    </w:p>
    <w:p w14:paraId="53307E75"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Assess error-responsive feedback (ERF)</w:t>
      </w:r>
    </w:p>
    <w:p w14:paraId="067020C8"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lastRenderedPageBreak/>
        <w:t>Assess error recognition and corrective responsiveness. Evaluate whether the participant recognizes segregation mistakes, self-corrects disposal errors, responds appropriately to feedback, prevents repeated errors, and demonstrates improved subsequent performance.</w:t>
      </w:r>
    </w:p>
    <w:p w14:paraId="16A6422B"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0345373A" w14:textId="281DDE7B"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 xml:space="preserve">Assign an </w:t>
      </w:r>
      <w:r w:rsidR="001944EC" w:rsidRPr="008D7E7A">
        <w:rPr>
          <w:rFonts w:eastAsia="Times New Roman" w:cstheme="minorHAnsi"/>
          <w:sz w:val="24"/>
          <w:szCs w:val="24"/>
          <w:highlight w:val="yellow"/>
          <w:lang w:eastAsia="en-IN"/>
        </w:rPr>
        <w:t>e</w:t>
      </w:r>
      <w:r w:rsidRPr="008D7E7A">
        <w:rPr>
          <w:rFonts w:eastAsia="Times New Roman" w:cstheme="minorHAnsi"/>
          <w:sz w:val="24"/>
          <w:szCs w:val="24"/>
          <w:highlight w:val="yellow"/>
          <w:lang w:eastAsia="en-IN"/>
        </w:rPr>
        <w:t>rror-</w:t>
      </w:r>
      <w:r w:rsidR="001944EC" w:rsidRPr="008D7E7A">
        <w:rPr>
          <w:rFonts w:eastAsia="Times New Roman" w:cstheme="minorHAnsi"/>
          <w:sz w:val="24"/>
          <w:szCs w:val="24"/>
          <w:highlight w:val="yellow"/>
          <w:lang w:eastAsia="en-IN"/>
        </w:rPr>
        <w:t>r</w:t>
      </w:r>
      <w:r w:rsidRPr="008D7E7A">
        <w:rPr>
          <w:rFonts w:eastAsia="Times New Roman" w:cstheme="minorHAnsi"/>
          <w:sz w:val="24"/>
          <w:szCs w:val="24"/>
          <w:highlight w:val="yellow"/>
          <w:lang w:eastAsia="en-IN"/>
        </w:rPr>
        <w:t xml:space="preserve">esponsive </w:t>
      </w:r>
      <w:r w:rsidR="001944EC" w:rsidRPr="008D7E7A">
        <w:rPr>
          <w:rFonts w:eastAsia="Times New Roman" w:cstheme="minorHAnsi"/>
          <w:sz w:val="24"/>
          <w:szCs w:val="24"/>
          <w:highlight w:val="yellow"/>
          <w:lang w:eastAsia="en-IN"/>
        </w:rPr>
        <w:t>f</w:t>
      </w:r>
      <w:r w:rsidRPr="008D7E7A">
        <w:rPr>
          <w:rFonts w:eastAsia="Times New Roman" w:cstheme="minorHAnsi"/>
          <w:sz w:val="24"/>
          <w:szCs w:val="24"/>
          <w:highlight w:val="yellow"/>
          <w:lang w:eastAsia="en-IN"/>
        </w:rPr>
        <w:t xml:space="preserve">eedback score according to the predefined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anchors. Refer to </w:t>
      </w:r>
      <w:r w:rsidRPr="008D7E7A">
        <w:rPr>
          <w:rFonts w:eastAsia="Times New Roman" w:cstheme="minorHAnsi"/>
          <w:b/>
          <w:bCs/>
          <w:sz w:val="24"/>
          <w:szCs w:val="24"/>
          <w:highlight w:val="yellow"/>
          <w:lang w:eastAsia="en-IN"/>
        </w:rPr>
        <w:t>Table 8</w:t>
      </w:r>
      <w:r w:rsidRPr="008D7E7A">
        <w:rPr>
          <w:rFonts w:eastAsia="Times New Roman" w:cstheme="minorHAnsi"/>
          <w:sz w:val="24"/>
          <w:szCs w:val="24"/>
          <w:highlight w:val="yellow"/>
          <w:lang w:eastAsia="en-IN"/>
        </w:rPr>
        <w:t xml:space="preserve"> for a representative error-responsive feedback observation items.</w:t>
      </w:r>
    </w:p>
    <w:p w14:paraId="11646A1D" w14:textId="77777777" w:rsidR="00D721A6" w:rsidRPr="008D7E7A" w:rsidRDefault="00D721A6" w:rsidP="006C1440">
      <w:pPr>
        <w:spacing w:after="0" w:line="240" w:lineRule="auto"/>
        <w:contextualSpacing/>
        <w:mirrorIndents/>
        <w:rPr>
          <w:rFonts w:eastAsia="Times New Roman" w:cstheme="minorHAnsi"/>
          <w:b/>
          <w:sz w:val="24"/>
          <w:szCs w:val="24"/>
          <w:highlight w:val="yellow"/>
          <w:lang w:eastAsia="en-IN"/>
        </w:rPr>
      </w:pPr>
    </w:p>
    <w:p w14:paraId="54479D4C" w14:textId="5D7E976F" w:rsidR="00D721A6" w:rsidRPr="008D7E7A" w:rsidRDefault="00D721A6" w:rsidP="006C1440">
      <w:pPr>
        <w:pStyle w:val="ListParagraph"/>
        <w:numPr>
          <w:ilvl w:val="0"/>
          <w:numId w:val="19"/>
        </w:numPr>
        <w:spacing w:after="0" w:line="240" w:lineRule="auto"/>
        <w:ind w:left="0" w:firstLine="0"/>
        <w:mirrorIndents/>
        <w:rPr>
          <w:rFonts w:eastAsia="Times New Roman" w:cstheme="minorHAnsi"/>
          <w:b/>
          <w:sz w:val="24"/>
          <w:szCs w:val="24"/>
          <w:highlight w:val="yellow"/>
          <w:lang w:eastAsia="en-IN"/>
        </w:rPr>
      </w:pPr>
      <w:r w:rsidRPr="008D7E7A">
        <w:rPr>
          <w:rFonts w:eastAsia="Times New Roman" w:cstheme="minorHAnsi"/>
          <w:b/>
          <w:sz w:val="24"/>
          <w:szCs w:val="24"/>
          <w:highlight w:val="yellow"/>
          <w:lang w:eastAsia="en-IN"/>
        </w:rPr>
        <w:t xml:space="preserve">Calculate the </w:t>
      </w:r>
      <w:r w:rsidR="001944EC" w:rsidRPr="008D7E7A">
        <w:rPr>
          <w:rFonts w:eastAsia="Times New Roman" w:cstheme="minorHAnsi"/>
          <w:b/>
          <w:sz w:val="24"/>
          <w:szCs w:val="24"/>
          <w:highlight w:val="yellow"/>
          <w:lang w:eastAsia="en-IN"/>
        </w:rPr>
        <w:t>p</w:t>
      </w:r>
      <w:r w:rsidRPr="008D7E7A">
        <w:rPr>
          <w:rFonts w:eastAsia="Times New Roman" w:cstheme="minorHAnsi"/>
          <w:b/>
          <w:sz w:val="24"/>
          <w:szCs w:val="24"/>
          <w:highlight w:val="yellow"/>
          <w:lang w:eastAsia="en-IN"/>
        </w:rPr>
        <w:t xml:space="preserve">recision </w:t>
      </w:r>
      <w:r w:rsidR="001944EC" w:rsidRPr="008D7E7A">
        <w:rPr>
          <w:rFonts w:eastAsia="Times New Roman" w:cstheme="minorHAnsi"/>
          <w:b/>
          <w:sz w:val="24"/>
          <w:szCs w:val="24"/>
          <w:highlight w:val="yellow"/>
          <w:lang w:eastAsia="en-IN"/>
        </w:rPr>
        <w:t>b</w:t>
      </w:r>
      <w:r w:rsidRPr="008D7E7A">
        <w:rPr>
          <w:rFonts w:eastAsia="Times New Roman" w:cstheme="minorHAnsi"/>
          <w:b/>
          <w:sz w:val="24"/>
          <w:szCs w:val="24"/>
          <w:highlight w:val="yellow"/>
          <w:lang w:eastAsia="en-IN"/>
        </w:rPr>
        <w:t xml:space="preserve">ehavior </w:t>
      </w:r>
      <w:r w:rsidR="001944EC" w:rsidRPr="008D7E7A">
        <w:rPr>
          <w:rFonts w:eastAsia="Times New Roman" w:cstheme="minorHAnsi"/>
          <w:b/>
          <w:sz w:val="24"/>
          <w:szCs w:val="24"/>
          <w:highlight w:val="yellow"/>
          <w:lang w:eastAsia="en-IN"/>
        </w:rPr>
        <w:t>s</w:t>
      </w:r>
      <w:r w:rsidRPr="008D7E7A">
        <w:rPr>
          <w:rFonts w:eastAsia="Times New Roman" w:cstheme="minorHAnsi"/>
          <w:b/>
          <w:sz w:val="24"/>
          <w:szCs w:val="24"/>
          <w:highlight w:val="yellow"/>
          <w:lang w:eastAsia="en-IN"/>
        </w:rPr>
        <w:t>core (PBS)</w:t>
      </w:r>
    </w:p>
    <w:p w14:paraId="5A6A5762"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Calculate the MBPBF domain scores</w:t>
      </w:r>
    </w:p>
    <w:p w14:paraId="3CA71E39" w14:textId="35334076"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 xml:space="preserve">Calculate the </w:t>
      </w:r>
      <w:r w:rsidR="001944EC" w:rsidRPr="008D7E7A">
        <w:rPr>
          <w:rFonts w:eastAsia="Times New Roman" w:cstheme="minorHAnsi"/>
          <w:bCs/>
          <w:sz w:val="24"/>
          <w:szCs w:val="24"/>
          <w:highlight w:val="yellow"/>
          <w:lang w:eastAsia="en-IN"/>
        </w:rPr>
        <w:t>c</w:t>
      </w:r>
      <w:r w:rsidRPr="008D7E7A">
        <w:rPr>
          <w:rFonts w:eastAsia="Times New Roman" w:cstheme="minorHAnsi"/>
          <w:bCs/>
          <w:sz w:val="24"/>
          <w:szCs w:val="24"/>
          <w:highlight w:val="yellow"/>
          <w:lang w:eastAsia="en-IN"/>
        </w:rPr>
        <w:t xml:space="preserve">ognitive </w:t>
      </w:r>
      <w:r w:rsidR="001944EC" w:rsidRPr="008D7E7A">
        <w:rPr>
          <w:rFonts w:eastAsia="Times New Roman" w:cstheme="minorHAnsi"/>
          <w:bCs/>
          <w:sz w:val="24"/>
          <w:szCs w:val="24"/>
          <w:highlight w:val="yellow"/>
          <w:lang w:eastAsia="en-IN"/>
        </w:rPr>
        <w:t>a</w:t>
      </w:r>
      <w:r w:rsidRPr="008D7E7A">
        <w:rPr>
          <w:rFonts w:eastAsia="Times New Roman" w:cstheme="minorHAnsi"/>
          <w:bCs/>
          <w:sz w:val="24"/>
          <w:szCs w:val="24"/>
          <w:highlight w:val="yellow"/>
          <w:lang w:eastAsia="en-IN"/>
        </w:rPr>
        <w:t xml:space="preserve">nchoring (CA), </w:t>
      </w:r>
      <w:r w:rsidR="001944EC" w:rsidRPr="008D7E7A">
        <w:rPr>
          <w:rFonts w:eastAsia="Times New Roman" w:cstheme="minorHAnsi"/>
          <w:bCs/>
          <w:sz w:val="24"/>
          <w:szCs w:val="24"/>
          <w:highlight w:val="yellow"/>
          <w:lang w:eastAsia="en-IN"/>
        </w:rPr>
        <w:t>v</w:t>
      </w:r>
      <w:r w:rsidRPr="008D7E7A">
        <w:rPr>
          <w:rFonts w:eastAsia="Times New Roman" w:cstheme="minorHAnsi"/>
          <w:bCs/>
          <w:sz w:val="24"/>
          <w:szCs w:val="24"/>
          <w:highlight w:val="yellow"/>
          <w:lang w:eastAsia="en-IN"/>
        </w:rPr>
        <w:t xml:space="preserve">isual </w:t>
      </w:r>
      <w:r w:rsidR="001944EC" w:rsidRPr="008D7E7A">
        <w:rPr>
          <w:rFonts w:eastAsia="Times New Roman" w:cstheme="minorHAnsi"/>
          <w:bCs/>
          <w:sz w:val="24"/>
          <w:szCs w:val="24"/>
          <w:highlight w:val="yellow"/>
          <w:lang w:eastAsia="en-IN"/>
        </w:rPr>
        <w:t>d</w:t>
      </w:r>
      <w:r w:rsidRPr="008D7E7A">
        <w:rPr>
          <w:rFonts w:eastAsia="Times New Roman" w:cstheme="minorHAnsi"/>
          <w:bCs/>
          <w:sz w:val="24"/>
          <w:szCs w:val="24"/>
          <w:highlight w:val="yellow"/>
          <w:lang w:eastAsia="en-IN"/>
        </w:rPr>
        <w:t xml:space="preserve">iscrimination (VD), </w:t>
      </w:r>
      <w:r w:rsidR="001944EC" w:rsidRPr="008D7E7A">
        <w:rPr>
          <w:rFonts w:eastAsia="Times New Roman" w:cstheme="minorHAnsi"/>
          <w:bCs/>
          <w:sz w:val="24"/>
          <w:szCs w:val="24"/>
          <w:highlight w:val="yellow"/>
          <w:lang w:eastAsia="en-IN"/>
        </w:rPr>
        <w:t>r</w:t>
      </w:r>
      <w:r w:rsidRPr="008D7E7A">
        <w:rPr>
          <w:rFonts w:eastAsia="Times New Roman" w:cstheme="minorHAnsi"/>
          <w:bCs/>
          <w:sz w:val="24"/>
          <w:szCs w:val="24"/>
          <w:highlight w:val="yellow"/>
          <w:lang w:eastAsia="en-IN"/>
        </w:rPr>
        <w:t xml:space="preserve">epetition </w:t>
      </w:r>
      <w:r w:rsidR="001944EC" w:rsidRPr="008D7E7A">
        <w:rPr>
          <w:rFonts w:eastAsia="Times New Roman" w:cstheme="minorHAnsi"/>
          <w:bCs/>
          <w:sz w:val="24"/>
          <w:szCs w:val="24"/>
          <w:highlight w:val="yellow"/>
          <w:lang w:eastAsia="en-IN"/>
        </w:rPr>
        <w:t>r</w:t>
      </w:r>
      <w:r w:rsidRPr="008D7E7A">
        <w:rPr>
          <w:rFonts w:eastAsia="Times New Roman" w:cstheme="minorHAnsi"/>
          <w:bCs/>
          <w:sz w:val="24"/>
          <w:szCs w:val="24"/>
          <w:highlight w:val="yellow"/>
          <w:lang w:eastAsia="en-IN"/>
        </w:rPr>
        <w:t xml:space="preserve">einforcement (RR), and </w:t>
      </w:r>
      <w:r w:rsidR="001944EC" w:rsidRPr="008D7E7A">
        <w:rPr>
          <w:rFonts w:eastAsia="Times New Roman" w:cstheme="minorHAnsi"/>
          <w:bCs/>
          <w:sz w:val="24"/>
          <w:szCs w:val="24"/>
          <w:highlight w:val="yellow"/>
          <w:lang w:eastAsia="en-IN"/>
        </w:rPr>
        <w:t>e</w:t>
      </w:r>
      <w:r w:rsidRPr="008D7E7A">
        <w:rPr>
          <w:rFonts w:eastAsia="Times New Roman" w:cstheme="minorHAnsi"/>
          <w:bCs/>
          <w:sz w:val="24"/>
          <w:szCs w:val="24"/>
          <w:highlight w:val="yellow"/>
          <w:lang w:eastAsia="en-IN"/>
        </w:rPr>
        <w:t>rror-</w:t>
      </w:r>
      <w:r w:rsidR="001944EC" w:rsidRPr="008D7E7A">
        <w:rPr>
          <w:rFonts w:eastAsia="Times New Roman" w:cstheme="minorHAnsi"/>
          <w:bCs/>
          <w:sz w:val="24"/>
          <w:szCs w:val="24"/>
          <w:highlight w:val="yellow"/>
          <w:lang w:eastAsia="en-IN"/>
        </w:rPr>
        <w:t>r</w:t>
      </w:r>
      <w:r w:rsidRPr="008D7E7A">
        <w:rPr>
          <w:rFonts w:eastAsia="Times New Roman" w:cstheme="minorHAnsi"/>
          <w:bCs/>
          <w:sz w:val="24"/>
          <w:szCs w:val="24"/>
          <w:highlight w:val="yellow"/>
          <w:lang w:eastAsia="en-IN"/>
        </w:rPr>
        <w:t xml:space="preserve">esponsive </w:t>
      </w:r>
      <w:r w:rsidR="001944EC" w:rsidRPr="008D7E7A">
        <w:rPr>
          <w:rFonts w:eastAsia="Times New Roman" w:cstheme="minorHAnsi"/>
          <w:bCs/>
          <w:sz w:val="24"/>
          <w:szCs w:val="24"/>
          <w:highlight w:val="yellow"/>
          <w:lang w:eastAsia="en-IN"/>
        </w:rPr>
        <w:t>f</w:t>
      </w:r>
      <w:r w:rsidRPr="008D7E7A">
        <w:rPr>
          <w:rFonts w:eastAsia="Times New Roman" w:cstheme="minorHAnsi"/>
          <w:bCs/>
          <w:sz w:val="24"/>
          <w:szCs w:val="24"/>
          <w:highlight w:val="yellow"/>
          <w:lang w:eastAsia="en-IN"/>
        </w:rPr>
        <w:t>eedback (ERF) scores according to the predefined PGST observation checklist and scoring criteria</w:t>
      </w:r>
      <w:r w:rsidRPr="008D7E7A">
        <w:rPr>
          <w:rFonts w:eastAsia="Times New Roman" w:cstheme="minorHAnsi"/>
          <w:bCs/>
          <w:sz w:val="24"/>
          <w:szCs w:val="24"/>
          <w:highlight w:val="yellow"/>
          <w:vertAlign w:val="superscript"/>
          <w:lang w:eastAsia="en-IN"/>
        </w:rPr>
        <w:t>1</w:t>
      </w:r>
      <w:r w:rsidRPr="008D7E7A">
        <w:rPr>
          <w:rFonts w:eastAsia="Times New Roman" w:cstheme="minorHAnsi"/>
          <w:bCs/>
          <w:sz w:val="24"/>
          <w:szCs w:val="24"/>
          <w:highlight w:val="yellow"/>
          <w:lang w:eastAsia="en-IN"/>
        </w:rPr>
        <w:t>.</w:t>
      </w:r>
    </w:p>
    <w:p w14:paraId="723F3F74" w14:textId="77777777" w:rsidR="00D721A6" w:rsidRPr="008D7E7A" w:rsidRDefault="00D721A6" w:rsidP="006C1440">
      <w:pPr>
        <w:pStyle w:val="ListParagraph"/>
        <w:spacing w:after="0" w:line="240" w:lineRule="auto"/>
        <w:ind w:left="0"/>
        <w:mirrorIndents/>
        <w:rPr>
          <w:rFonts w:eastAsia="Times New Roman" w:cstheme="minorHAnsi"/>
          <w:bCs/>
          <w:sz w:val="24"/>
          <w:szCs w:val="24"/>
          <w:highlight w:val="yellow"/>
          <w:lang w:eastAsia="en-IN"/>
        </w:rPr>
      </w:pPr>
    </w:p>
    <w:p w14:paraId="7F7241AB"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Express all four domain scores on a common 0–1 scale before calculating the composite PBS.</w:t>
      </w:r>
    </w:p>
    <w:p w14:paraId="5D4E3920"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1CF27225"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Calculate the composite PBS</w:t>
      </w:r>
    </w:p>
    <w:p w14:paraId="1C11B00A"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Calculate the Precision Behavior Score for each eligible participant or staff member using:</w:t>
      </w:r>
    </w:p>
    <w:p w14:paraId="6D9B24C1" w14:textId="35004B85"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 xml:space="preserve">                           </w:t>
      </w:r>
      <m:oMath>
        <m:r>
          <w:rPr>
            <w:rFonts w:ascii="Cambria Math" w:eastAsia="Times New Roman" w:hAnsi="Cambria Math" w:cstheme="minorHAnsi"/>
            <w:sz w:val="24"/>
            <w:szCs w:val="24"/>
            <w:highlight w:val="yellow"/>
            <w:lang w:eastAsia="en-IN"/>
          </w:rPr>
          <m:t>PBSᵢ = (CAᵢ + VDᵢ + RRᵢ + ERFᵢ) / 4</m:t>
        </m:r>
      </m:oMath>
      <w:r w:rsidRPr="008D7E7A">
        <w:rPr>
          <w:rFonts w:eastAsia="Times New Roman" w:cstheme="minorHAnsi"/>
          <w:bCs/>
          <w:sz w:val="24"/>
          <w:szCs w:val="24"/>
          <w:highlight w:val="yellow"/>
          <w:lang w:eastAsia="en-IN"/>
        </w:rPr>
        <w:t xml:space="preserve">                              (1)</w:t>
      </w:r>
    </w:p>
    <w:p w14:paraId="73DDF7FF"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257FE374"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3645AFAF"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 xml:space="preserve">where CAᵢ represents the cognitive anchoring score, VDᵢ represents the visual discrimination score, RRᵢ represents the repetition reinforcement score, and ERFᵢ represents the error-responsive feedback score for participant or staff member </w:t>
      </w:r>
      <w:proofErr w:type="spellStart"/>
      <w:r w:rsidRPr="008D7E7A">
        <w:rPr>
          <w:rFonts w:eastAsia="Times New Roman" w:cstheme="minorHAnsi"/>
          <w:bCs/>
          <w:sz w:val="24"/>
          <w:szCs w:val="24"/>
          <w:highlight w:val="yellow"/>
          <w:lang w:eastAsia="en-IN"/>
        </w:rPr>
        <w:t>i</w:t>
      </w:r>
      <w:proofErr w:type="spellEnd"/>
      <w:r w:rsidRPr="008D7E7A">
        <w:rPr>
          <w:rFonts w:eastAsia="Times New Roman" w:cstheme="minorHAnsi"/>
          <w:bCs/>
          <w:sz w:val="24"/>
          <w:szCs w:val="24"/>
          <w:highlight w:val="yellow"/>
          <w:lang w:eastAsia="en-IN"/>
        </w:rPr>
        <w:t>.</w:t>
      </w:r>
    </w:p>
    <w:p w14:paraId="2A719E8C"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63DC2FC2"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Convert PBS to percentage</w:t>
      </w:r>
    </w:p>
    <w:p w14:paraId="11210995"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Convert PBS to a percentage when percentage reporting is required:</w:t>
      </w:r>
    </w:p>
    <w:p w14:paraId="3B796661" w14:textId="28C68CE9" w:rsidR="00D721A6" w:rsidRPr="008D7E7A" w:rsidRDefault="00F7000F" w:rsidP="006C1440">
      <w:pPr>
        <w:spacing w:after="0" w:line="240" w:lineRule="auto"/>
        <w:contextualSpacing/>
        <w:mirrorIndents/>
        <w:rPr>
          <w:rFonts w:eastAsia="Times New Roman" w:cstheme="minorHAnsi"/>
          <w:bCs/>
          <w:sz w:val="24"/>
          <w:szCs w:val="24"/>
          <w:highlight w:val="yellow"/>
          <w:lang w:eastAsia="en-IN"/>
        </w:rPr>
      </w:pPr>
      <m:oMathPara>
        <m:oMath>
          <m:r>
            <w:rPr>
              <w:rFonts w:ascii="Cambria Math" w:eastAsia="Times New Roman" w:hAnsi="Cambria Math" w:cstheme="minorHAnsi"/>
              <w:sz w:val="24"/>
              <w:szCs w:val="24"/>
              <w:highlight w:val="yellow"/>
              <w:lang w:eastAsia="en-IN"/>
            </w:rPr>
            <m:t>PBS% = PBS × 100</m:t>
          </m:r>
        </m:oMath>
      </m:oMathPara>
    </w:p>
    <w:p w14:paraId="3B597B7E"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72E36BF5"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For example, convert a PBS of 0.84 to 84%.</w:t>
      </w:r>
    </w:p>
    <w:p w14:paraId="19B19862"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4D2F9D2D"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 xml:space="preserve">Categorize </w:t>
      </w:r>
      <w:proofErr w:type="spellStart"/>
      <w:r w:rsidRPr="008D7E7A">
        <w:rPr>
          <w:rFonts w:eastAsia="Times New Roman" w:cstheme="minorHAnsi"/>
          <w:bCs/>
          <w:sz w:val="24"/>
          <w:szCs w:val="24"/>
          <w:highlight w:val="yellow"/>
          <w:lang w:eastAsia="en-IN"/>
        </w:rPr>
        <w:t>behavioral</w:t>
      </w:r>
      <w:proofErr w:type="spellEnd"/>
      <w:r w:rsidRPr="008D7E7A">
        <w:rPr>
          <w:rFonts w:eastAsia="Times New Roman" w:cstheme="minorHAnsi"/>
          <w:bCs/>
          <w:sz w:val="24"/>
          <w:szCs w:val="24"/>
          <w:highlight w:val="yellow"/>
          <w:lang w:eastAsia="en-IN"/>
        </w:rPr>
        <w:t xml:space="preserve"> precision</w:t>
      </w:r>
    </w:p>
    <w:p w14:paraId="36AD9C51" w14:textId="5FED8A2A" w:rsidR="00D721A6" w:rsidRPr="008D7E7A" w:rsidRDefault="00D721A6" w:rsidP="006C1440">
      <w:pPr>
        <w:pStyle w:val="ListParagraph"/>
        <w:numPr>
          <w:ilvl w:val="2"/>
          <w:numId w:val="19"/>
        </w:numPr>
        <w:spacing w:after="0" w:line="240" w:lineRule="auto"/>
        <w:ind w:left="0" w:firstLine="0"/>
        <w:mirrorIndents/>
        <w:rPr>
          <w:rFonts w:eastAsia="Times New Roman" w:cstheme="minorHAnsi"/>
          <w:b/>
          <w:sz w:val="24"/>
          <w:szCs w:val="24"/>
          <w:highlight w:val="yellow"/>
          <w:lang w:eastAsia="en-IN"/>
        </w:rPr>
      </w:pPr>
      <w:r w:rsidRPr="008D7E7A">
        <w:rPr>
          <w:rFonts w:eastAsia="Times New Roman" w:cstheme="minorHAnsi"/>
          <w:bCs/>
          <w:sz w:val="24"/>
          <w:szCs w:val="24"/>
          <w:highlight w:val="yellow"/>
          <w:lang w:eastAsia="en-IN"/>
        </w:rPr>
        <w:t>Categorize PBS for descriptive interpretation</w:t>
      </w:r>
      <w:r w:rsidRPr="008D7E7A">
        <w:rPr>
          <w:rFonts w:eastAsia="Times New Roman" w:cstheme="minorHAnsi"/>
          <w:sz w:val="24"/>
          <w:szCs w:val="24"/>
          <w:highlight w:val="yellow"/>
          <w:lang w:eastAsia="en-IN"/>
        </w:rPr>
        <w:t xml:space="preserve"> using the predefined </w:t>
      </w:r>
      <w:proofErr w:type="spellStart"/>
      <w:r w:rsidRPr="008D7E7A">
        <w:rPr>
          <w:rFonts w:eastAsia="Times New Roman" w:cstheme="minorHAnsi"/>
          <w:sz w:val="24"/>
          <w:szCs w:val="24"/>
          <w:highlight w:val="yellow"/>
          <w:lang w:eastAsia="en-IN"/>
        </w:rPr>
        <w:t>behavioral</w:t>
      </w:r>
      <w:proofErr w:type="spellEnd"/>
      <w:r w:rsidRPr="008D7E7A">
        <w:rPr>
          <w:rFonts w:eastAsia="Times New Roman" w:cstheme="minorHAnsi"/>
          <w:sz w:val="24"/>
          <w:szCs w:val="24"/>
          <w:highlight w:val="yellow"/>
          <w:lang w:eastAsia="en-IN"/>
        </w:rPr>
        <w:t xml:space="preserve"> precision thresholds: &lt;0.60: low precision; 0.60–0.79: moderate precision; ≥0.80: high precision</w:t>
      </w:r>
      <w:r w:rsidR="00981737" w:rsidRPr="008D7E7A">
        <w:rPr>
          <w:rFonts w:eastAsia="Times New Roman" w:cstheme="minorHAnsi"/>
          <w:sz w:val="24"/>
          <w:szCs w:val="24"/>
          <w:highlight w:val="yellow"/>
          <w:lang w:eastAsia="en-IN"/>
        </w:rPr>
        <w:t xml:space="preserve"> (</w:t>
      </w:r>
      <w:r w:rsidR="00981737" w:rsidRPr="008D7E7A">
        <w:rPr>
          <w:rFonts w:eastAsia="Times New Roman" w:cstheme="minorHAnsi"/>
          <w:b/>
          <w:bCs/>
          <w:sz w:val="24"/>
          <w:szCs w:val="24"/>
          <w:highlight w:val="yellow"/>
          <w:lang w:eastAsia="en-IN"/>
        </w:rPr>
        <w:t>Table 9</w:t>
      </w:r>
      <w:r w:rsidR="00981737" w:rsidRPr="008D7E7A">
        <w:rPr>
          <w:rFonts w:eastAsia="Times New Roman" w:cstheme="minorHAnsi"/>
          <w:sz w:val="24"/>
          <w:szCs w:val="24"/>
          <w:highlight w:val="yellow"/>
          <w:lang w:eastAsia="en-IN"/>
        </w:rPr>
        <w:t>).</w:t>
      </w:r>
    </w:p>
    <w:p w14:paraId="3D52A884" w14:textId="77777777" w:rsidR="00D721A6" w:rsidRPr="008D7E7A" w:rsidRDefault="00D721A6" w:rsidP="006C1440">
      <w:pPr>
        <w:spacing w:after="0" w:line="240" w:lineRule="auto"/>
        <w:contextualSpacing/>
        <w:mirrorIndents/>
        <w:rPr>
          <w:rFonts w:eastAsia="Times New Roman" w:cstheme="minorHAnsi"/>
          <w:bCs/>
          <w:sz w:val="24"/>
          <w:szCs w:val="24"/>
          <w:highlight w:val="yellow"/>
          <w:lang w:eastAsia="en-IN"/>
        </w:rPr>
      </w:pPr>
    </w:p>
    <w:p w14:paraId="2717A8AC" w14:textId="77777777" w:rsidR="00D721A6" w:rsidRPr="008D7E7A" w:rsidRDefault="00D721A6" w:rsidP="006C1440">
      <w:pPr>
        <w:pStyle w:val="ListParagraph"/>
        <w:numPr>
          <w:ilvl w:val="1"/>
          <w:numId w:val="19"/>
        </w:numPr>
        <w:spacing w:after="0" w:line="240" w:lineRule="auto"/>
        <w:ind w:left="0" w:firstLine="0"/>
        <w:mirrorIndents/>
        <w:rPr>
          <w:rFonts w:eastAsia="Times New Roman" w:cstheme="minorHAnsi"/>
          <w:bCs/>
          <w:sz w:val="24"/>
          <w:szCs w:val="24"/>
          <w:highlight w:val="yellow"/>
          <w:lang w:eastAsia="en-IN"/>
        </w:rPr>
      </w:pPr>
      <w:r w:rsidRPr="008D7E7A">
        <w:rPr>
          <w:rFonts w:eastAsia="Times New Roman" w:cstheme="minorHAnsi"/>
          <w:bCs/>
          <w:sz w:val="24"/>
          <w:szCs w:val="24"/>
          <w:highlight w:val="yellow"/>
          <w:lang w:eastAsia="en-IN"/>
        </w:rPr>
        <w:t>Record observational metadata</w:t>
      </w:r>
    </w:p>
    <w:p w14:paraId="51AE845B"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Record the participant or staff identifier, healthcare unit, date and time, observer identifier, shift timing, waste category, procedure or workflow type, and relevant environmental or contextual observations.</w:t>
      </w:r>
    </w:p>
    <w:p w14:paraId="2F1887E7" w14:textId="77777777" w:rsidR="00D721A6" w:rsidRPr="008D7E7A" w:rsidRDefault="00D721A6" w:rsidP="006C1440">
      <w:pPr>
        <w:pStyle w:val="ListParagraph"/>
        <w:spacing w:after="0" w:line="240" w:lineRule="auto"/>
        <w:ind w:left="0"/>
        <w:mirrorIndents/>
        <w:rPr>
          <w:rFonts w:eastAsia="Times New Roman" w:cstheme="minorHAnsi"/>
          <w:sz w:val="24"/>
          <w:szCs w:val="24"/>
          <w:highlight w:val="yellow"/>
          <w:lang w:eastAsia="en-IN"/>
        </w:rPr>
      </w:pPr>
    </w:p>
    <w:p w14:paraId="5B227186" w14:textId="77777777" w:rsidR="00D721A6" w:rsidRPr="008D7E7A" w:rsidRDefault="00D721A6" w:rsidP="006C1440">
      <w:pPr>
        <w:pStyle w:val="ListParagraph"/>
        <w:numPr>
          <w:ilvl w:val="2"/>
          <w:numId w:val="19"/>
        </w:numPr>
        <w:spacing w:after="0" w:line="240" w:lineRule="auto"/>
        <w:ind w:left="0" w:firstLine="0"/>
        <w:mirrorIndents/>
        <w:rPr>
          <w:rFonts w:eastAsia="Times New Roman" w:cstheme="minorHAnsi"/>
          <w:sz w:val="24"/>
          <w:szCs w:val="24"/>
          <w:highlight w:val="yellow"/>
          <w:lang w:eastAsia="en-IN"/>
        </w:rPr>
      </w:pPr>
      <w:r w:rsidRPr="008D7E7A">
        <w:rPr>
          <w:rFonts w:eastAsia="Times New Roman" w:cstheme="minorHAnsi"/>
          <w:sz w:val="24"/>
          <w:szCs w:val="24"/>
          <w:highlight w:val="yellow"/>
          <w:lang w:eastAsia="en-IN"/>
        </w:rPr>
        <w:t>Record all data using the standardized observation sheets or an equivalent validated digital data-collection system.</w:t>
      </w:r>
    </w:p>
    <w:p w14:paraId="5369FBE4"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23F14E58" w14:textId="77777777" w:rsidR="00D721A6" w:rsidRPr="001944EC" w:rsidRDefault="00D721A6" w:rsidP="006C1440">
      <w:pPr>
        <w:pStyle w:val="ListParagraph"/>
        <w:numPr>
          <w:ilvl w:val="0"/>
          <w:numId w:val="19"/>
        </w:numPr>
        <w:spacing w:after="0" w:line="240" w:lineRule="auto"/>
        <w:ind w:left="0" w:firstLine="0"/>
        <w:mirrorIndents/>
        <w:rPr>
          <w:rFonts w:eastAsia="Times New Roman" w:cstheme="minorHAnsi"/>
          <w:b/>
          <w:bCs/>
          <w:sz w:val="24"/>
          <w:szCs w:val="24"/>
          <w:lang w:eastAsia="en-IN"/>
        </w:rPr>
      </w:pPr>
      <w:r w:rsidRPr="001944EC">
        <w:rPr>
          <w:rFonts w:eastAsia="Times New Roman" w:cstheme="minorHAnsi"/>
          <w:b/>
          <w:bCs/>
          <w:sz w:val="24"/>
          <w:szCs w:val="24"/>
          <w:lang w:eastAsia="en-IN"/>
        </w:rPr>
        <w:t>Generate point-of-generation segregation accuracy (PGSA)</w:t>
      </w:r>
    </w:p>
    <w:p w14:paraId="7B574AC0"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lastRenderedPageBreak/>
        <w:t>Define the PGSA observation scope</w:t>
      </w:r>
    </w:p>
    <w:p w14:paraId="5EDB9E36"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observation scope before calculating PGSA.</w:t>
      </w:r>
    </w:p>
    <w:p w14:paraId="2A515E34"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0E97A98A"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Specify the healthcare unit, observation period, participant or staff category, relevant workflow, and other predefined conditions applicable to the assessment.</w:t>
      </w:r>
    </w:p>
    <w:p w14:paraId="6B4FD2E5"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705A8B22"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Identify eligible PBS values</w:t>
      </w:r>
    </w:p>
    <w:p w14:paraId="5C987F93"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Identify the PBS values of all eligible participants or staff members contributing to the predefined observation scope.</w:t>
      </w:r>
    </w:p>
    <w:p w14:paraId="61631DB7"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277E43A"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Include one PBS value for each eligible participant or staff member in the primary PGSA calculation.</w:t>
      </w:r>
    </w:p>
    <w:p w14:paraId="3C7B4A61"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0E145C0"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Aggregate eligible PBS values</w:t>
      </w:r>
    </w:p>
    <w:p w14:paraId="3D3DC0C6"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Compile the individual PBS values of all eligible participants or staff members included within the predefined observation scope.</w:t>
      </w:r>
    </w:p>
    <w:p w14:paraId="05194699"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5B606D1"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Use the individual participant or staff-level PBS values as the basis for the primary PGSA calculation.</w:t>
      </w:r>
    </w:p>
    <w:p w14:paraId="23305259"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0FD3F2AE"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Calculate PGSA</w:t>
      </w:r>
    </w:p>
    <w:p w14:paraId="5111C89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Calculate Point-of-Generation Segregation Accuracy using:</w:t>
      </w:r>
    </w:p>
    <w:p w14:paraId="3249185B" w14:textId="26FCD494" w:rsidR="00D721A6" w:rsidRPr="001944EC" w:rsidRDefault="00D721A6" w:rsidP="006C1440">
      <w:pPr>
        <w:spacing w:after="0" w:line="240" w:lineRule="auto"/>
        <w:contextualSpacing/>
        <w:mirrorIndents/>
        <w:rPr>
          <w:rFonts w:eastAsia="Times New Roman" w:cstheme="minorHAnsi"/>
          <w:bCs/>
          <w:sz w:val="24"/>
          <w:szCs w:val="24"/>
          <w:lang w:eastAsia="en-IN"/>
        </w:rPr>
      </w:pPr>
      <w:r w:rsidRPr="001944EC">
        <w:rPr>
          <w:rFonts w:eastAsia="Times New Roman" w:cstheme="minorHAnsi"/>
          <w:bCs/>
          <w:sz w:val="24"/>
          <w:szCs w:val="24"/>
          <w:lang w:eastAsia="en-IN"/>
        </w:rPr>
        <w:t xml:space="preserve">                                                             </w:t>
      </w:r>
      <m:oMath>
        <m:r>
          <w:rPr>
            <w:rFonts w:ascii="Cambria Math" w:eastAsia="Times New Roman" w:hAnsi="Cambria Math" w:cstheme="minorHAnsi"/>
            <w:sz w:val="24"/>
            <w:szCs w:val="24"/>
            <w:lang w:eastAsia="en-IN"/>
          </w:rPr>
          <m:t>PGSA = ΣPBSᵢ / N</m:t>
        </m:r>
      </m:oMath>
      <w:r w:rsidRPr="001944EC">
        <w:rPr>
          <w:rFonts w:eastAsia="Times New Roman" w:cstheme="minorHAnsi"/>
          <w:bCs/>
          <w:sz w:val="24"/>
          <w:szCs w:val="24"/>
          <w:lang w:eastAsia="en-IN"/>
        </w:rPr>
        <w:t xml:space="preserve">                                      (2)</w:t>
      </w:r>
    </w:p>
    <w:p w14:paraId="39382A2F" w14:textId="77777777" w:rsidR="00D721A6" w:rsidRPr="001944EC" w:rsidRDefault="00D721A6" w:rsidP="006C1440">
      <w:pPr>
        <w:spacing w:after="0" w:line="240" w:lineRule="auto"/>
        <w:contextualSpacing/>
        <w:mirrorIndents/>
        <w:rPr>
          <w:rFonts w:eastAsia="Times New Roman" w:cstheme="minorHAnsi"/>
          <w:bCs/>
          <w:sz w:val="24"/>
          <w:szCs w:val="24"/>
          <w:lang w:eastAsia="en-IN"/>
        </w:rPr>
      </w:pPr>
    </w:p>
    <w:p w14:paraId="3AB71FB9" w14:textId="77777777" w:rsidR="00D721A6" w:rsidRPr="001944EC" w:rsidRDefault="00D721A6" w:rsidP="006C1440">
      <w:pPr>
        <w:spacing w:after="0" w:line="240" w:lineRule="auto"/>
        <w:contextualSpacing/>
        <w:mirrorIndents/>
        <w:rPr>
          <w:rFonts w:eastAsia="Times New Roman" w:cstheme="minorHAnsi"/>
          <w:bCs/>
          <w:sz w:val="24"/>
          <w:szCs w:val="24"/>
          <w:lang w:eastAsia="en-IN"/>
        </w:rPr>
      </w:pPr>
      <w:r w:rsidRPr="001944EC">
        <w:rPr>
          <w:rFonts w:eastAsia="Times New Roman" w:cstheme="minorHAnsi"/>
          <w:bCs/>
          <w:sz w:val="24"/>
          <w:szCs w:val="24"/>
          <w:lang w:eastAsia="en-IN"/>
        </w:rPr>
        <w:t xml:space="preserve">where PBSᵢ represents the Precision Behavior Score of the </w:t>
      </w:r>
      <w:proofErr w:type="spellStart"/>
      <w:r w:rsidRPr="001944EC">
        <w:rPr>
          <w:rFonts w:eastAsia="Times New Roman" w:cstheme="minorHAnsi"/>
          <w:bCs/>
          <w:sz w:val="24"/>
          <w:szCs w:val="24"/>
          <w:lang w:eastAsia="en-IN"/>
        </w:rPr>
        <w:t>i-th</w:t>
      </w:r>
      <w:proofErr w:type="spellEnd"/>
      <w:r w:rsidRPr="001944EC">
        <w:rPr>
          <w:rFonts w:eastAsia="Times New Roman" w:cstheme="minorHAnsi"/>
          <w:bCs/>
          <w:sz w:val="24"/>
          <w:szCs w:val="24"/>
          <w:lang w:eastAsia="en-IN"/>
        </w:rPr>
        <w:t xml:space="preserve"> eligible staff member and N represents the total number of eligible staff members included within the predefined observation scope.</w:t>
      </w:r>
    </w:p>
    <w:p w14:paraId="349408B2" w14:textId="77777777" w:rsidR="00D00B54" w:rsidRPr="001944EC" w:rsidRDefault="00D00B54" w:rsidP="006C1440">
      <w:pPr>
        <w:spacing w:after="0" w:line="240" w:lineRule="auto"/>
        <w:contextualSpacing/>
        <w:mirrorIndents/>
        <w:rPr>
          <w:rFonts w:eastAsia="Times New Roman" w:cstheme="minorHAnsi"/>
          <w:bCs/>
          <w:sz w:val="24"/>
          <w:szCs w:val="24"/>
          <w:lang w:eastAsia="en-IN"/>
        </w:rPr>
      </w:pPr>
    </w:p>
    <w:p w14:paraId="1E48BD19"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Express PGSA as a value from 0 to 1 or convert it to a percentage from 0% to 100%.</w:t>
      </w:r>
    </w:p>
    <w:p w14:paraId="678B2718"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067BAB4"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Interpret PGSA as an observation-based measure</w:t>
      </w:r>
    </w:p>
    <w:p w14:paraId="06727651"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Interpret PGSA as an aggregate measure of point-of-generation segregation performance derived from the individual PBS values of eligible staff members within the predefined observation scope.</w:t>
      </w:r>
    </w:p>
    <w:p w14:paraId="7031BC9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F1DE645"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Interpret the PGSA value in relation to the observation period, staff population, healthcare unit, department or division, workflow, waste category, and other predefined observation conditions.</w:t>
      </w:r>
    </w:p>
    <w:p w14:paraId="7917BC0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1E9660DF"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Do not interpret PGSA as a fixed characteristic of eligible staff members or an institution independent of the observation context.</w:t>
      </w:r>
    </w:p>
    <w:p w14:paraId="0A0F0130"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7CAD4E6C"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Distinguish PGSA from reference-standard accuracy</w:t>
      </w:r>
    </w:p>
    <w:p w14:paraId="1FA68A16"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Do not interpret PGSA as an absolute, universal, gold-standard, or independently validated accuracy measure unless validity has been established through an appropriate external validation study.</w:t>
      </w:r>
    </w:p>
    <w:p w14:paraId="530C236A"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13B786E8"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lastRenderedPageBreak/>
        <w:t>Assess agreement or accuracy against an independent expert assessment, reference classification, or other appropriate external criterion separately as part of empirical validation.</w:t>
      </w:r>
    </w:p>
    <w:p w14:paraId="02BF2D41"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7B37C836" w14:textId="77777777" w:rsidR="00D721A6" w:rsidRPr="001944EC" w:rsidRDefault="00D721A6" w:rsidP="006C1440">
      <w:pPr>
        <w:pStyle w:val="ListParagraph"/>
        <w:numPr>
          <w:ilvl w:val="0"/>
          <w:numId w:val="19"/>
        </w:numPr>
        <w:spacing w:after="0" w:line="240" w:lineRule="auto"/>
        <w:ind w:left="0" w:firstLine="0"/>
        <w:mirrorIndents/>
        <w:rPr>
          <w:rFonts w:eastAsia="Times New Roman" w:cstheme="minorHAnsi"/>
          <w:b/>
          <w:bCs/>
          <w:sz w:val="24"/>
          <w:szCs w:val="24"/>
          <w:lang w:eastAsia="en-IN"/>
        </w:rPr>
      </w:pPr>
      <w:r w:rsidRPr="001944EC">
        <w:rPr>
          <w:rFonts w:eastAsia="Times New Roman" w:cstheme="minorHAnsi"/>
          <w:b/>
          <w:bCs/>
          <w:sz w:val="24"/>
          <w:szCs w:val="24"/>
          <w:lang w:eastAsia="en-IN"/>
        </w:rPr>
        <w:t>Standardize observation parameters</w:t>
      </w:r>
    </w:p>
    <w:p w14:paraId="2608C944"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3A1DF3AB"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observation duration and coverage</w:t>
      </w:r>
    </w:p>
    <w:p w14:paraId="2A19C94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observation duration and coverage prospectively in the study-specific implementation protocol before data collection. Specify a fixed observation duration, predefined observation coverage, or another justified stopping rule according to the workflow and study objective.</w:t>
      </w:r>
    </w:p>
    <w:p w14:paraId="3A4B80AF"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7D9495E2"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Apply the selected duration or coverage consistently within the relevant study population. Do not modify the observation duration or coverage retrospectively on the basis of observed PBS or PGSA values.</w:t>
      </w:r>
    </w:p>
    <w:p w14:paraId="4846F6E9"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57B3391"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 xml:space="preserve">Specify the types of segregation </w:t>
      </w:r>
      <w:proofErr w:type="spellStart"/>
      <w:r w:rsidRPr="001944EC">
        <w:rPr>
          <w:rFonts w:eastAsia="Times New Roman" w:cstheme="minorHAnsi"/>
          <w:bCs/>
          <w:sz w:val="24"/>
          <w:szCs w:val="24"/>
          <w:lang w:eastAsia="en-IN"/>
        </w:rPr>
        <w:t>behaviors</w:t>
      </w:r>
      <w:proofErr w:type="spellEnd"/>
      <w:r w:rsidRPr="001944EC">
        <w:rPr>
          <w:rFonts w:eastAsia="Times New Roman" w:cstheme="minorHAnsi"/>
          <w:bCs/>
          <w:sz w:val="24"/>
          <w:szCs w:val="24"/>
          <w:lang w:eastAsia="en-IN"/>
        </w:rPr>
        <w:t xml:space="preserve"> eligible for observation during the defined observation period.</w:t>
      </w:r>
    </w:p>
    <w:p w14:paraId="4276233C"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49327B4E"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observation timing and shift coverage</w:t>
      </w:r>
    </w:p>
    <w:p w14:paraId="30B13641"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 xml:space="preserve">Determine observation timing according to the workflow and study objective. Define the relevant observation periods and sampling strategy when </w:t>
      </w:r>
      <w:proofErr w:type="spellStart"/>
      <w:r w:rsidRPr="001944EC">
        <w:rPr>
          <w:rFonts w:eastAsia="Times New Roman" w:cstheme="minorHAnsi"/>
          <w:bCs/>
          <w:sz w:val="24"/>
          <w:szCs w:val="24"/>
          <w:lang w:eastAsia="en-IN"/>
        </w:rPr>
        <w:t>behavioral</w:t>
      </w:r>
      <w:proofErr w:type="spellEnd"/>
      <w:r w:rsidRPr="001944EC">
        <w:rPr>
          <w:rFonts w:eastAsia="Times New Roman" w:cstheme="minorHAnsi"/>
          <w:bCs/>
          <w:sz w:val="24"/>
          <w:szCs w:val="24"/>
          <w:lang w:eastAsia="en-IN"/>
        </w:rPr>
        <w:t xml:space="preserve"> performance can vary across shifts, operating periods, or healthcare units.</w:t>
      </w:r>
    </w:p>
    <w:p w14:paraId="197B2A11"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5098879"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Record the observation date, start and end time, healthcare unit, staff category, shift or operating period, and relevant observation conditions.</w:t>
      </w:r>
    </w:p>
    <w:p w14:paraId="79C54991"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0A4480C"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observation unit and participant-level assessment</w:t>
      </w:r>
    </w:p>
    <w:p w14:paraId="596CBE50" w14:textId="35E9D875"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Conduct the primary assessment at the individual staff-member level.</w:t>
      </w:r>
      <w:r w:rsidR="00D00B54" w:rsidRPr="001944EC">
        <w:rPr>
          <w:rFonts w:eastAsia="Times New Roman" w:cstheme="minorHAnsi"/>
          <w:bCs/>
          <w:sz w:val="24"/>
          <w:szCs w:val="24"/>
          <w:lang w:eastAsia="en-IN"/>
        </w:rPr>
        <w:t xml:space="preserve"> </w:t>
      </w:r>
      <w:r w:rsidRPr="001944EC">
        <w:rPr>
          <w:rFonts w:eastAsia="Times New Roman" w:cstheme="minorHAnsi"/>
          <w:bCs/>
          <w:sz w:val="24"/>
          <w:szCs w:val="24"/>
          <w:lang w:eastAsia="en-IN"/>
        </w:rPr>
        <w:t xml:space="preserve">Observe relevant segregation </w:t>
      </w:r>
      <w:proofErr w:type="spellStart"/>
      <w:r w:rsidRPr="001944EC">
        <w:rPr>
          <w:rFonts w:eastAsia="Times New Roman" w:cstheme="minorHAnsi"/>
          <w:bCs/>
          <w:sz w:val="24"/>
          <w:szCs w:val="24"/>
          <w:lang w:eastAsia="en-IN"/>
        </w:rPr>
        <w:t>behaviors</w:t>
      </w:r>
      <w:proofErr w:type="spellEnd"/>
      <w:r w:rsidRPr="001944EC">
        <w:rPr>
          <w:rFonts w:eastAsia="Times New Roman" w:cstheme="minorHAnsi"/>
          <w:bCs/>
          <w:sz w:val="24"/>
          <w:szCs w:val="24"/>
          <w:lang w:eastAsia="en-IN"/>
        </w:rPr>
        <w:t xml:space="preserve"> during the predefined observation period.</w:t>
      </w:r>
    </w:p>
    <w:p w14:paraId="3BCDE79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53B6918"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Assess Cognitive Anchoring, Visual Discrimination, Repetition Reinforcement, and Error-Responsive Feedback according to the PGST observation procedure. Use the four domain assessments to derive one PBS for each eligible staff member.</w:t>
      </w:r>
    </w:p>
    <w:p w14:paraId="333BAF9C"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13CCD11C"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Do not treat individual segregation actions observed during the observation period as separate participant-level PBS values unless a separate methodological framework is explicitly specified in the study protocol.</w:t>
      </w:r>
    </w:p>
    <w:p w14:paraId="337EE60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64C7A7C"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number and role of observers</w:t>
      </w:r>
    </w:p>
    <w:p w14:paraId="5F03A0E4"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number and role of observers prospectively according to the study design and complexity of the observation procedure. Use at least two trained observers during the observer-training and calibration phase when inter-rater assessment is planned.</w:t>
      </w:r>
    </w:p>
    <w:p w14:paraId="29402D5C"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1E18F6CB"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Independently assess a predefined proportion of observations using more than one observer when feasible and appropriate. Require all observers to use the same PGST observation checklist, scoring instructions, operational definitions, and scoring anchors.</w:t>
      </w:r>
    </w:p>
    <w:p w14:paraId="3EC09174"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7C98E275"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Conduct observer calibration</w:t>
      </w:r>
    </w:p>
    <w:p w14:paraId="1034A21C"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Complete a standardized observer calibration process before independent data collection. Use predefined representative observations, scenarios, or other suitable training materials.</w:t>
      </w:r>
    </w:p>
    <w:p w14:paraId="4E3BCC89"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7227EBB"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Assess the consistent application of eligibility criteria, operational definitions, scoring anchors, MBPBF domain scoring, and PBS calculation procedures. Specify the calibration procedure and pass criterion prospectively before independent observation begins.</w:t>
      </w:r>
    </w:p>
    <w:p w14:paraId="3164B968"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00298CB9"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Require observers to meet the predefined criterion before commencing independent scoring.</w:t>
      </w:r>
    </w:p>
    <w:p w14:paraId="550842B0"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8F33D98"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Assess inter-rater agreement</w:t>
      </w:r>
    </w:p>
    <w:p w14:paraId="668EC868"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Assess inter-rater consistency when multiple observers independently score observations. Select a prespecified agreement or reliability statistic appropriate to the structure and scale of the observations.</w:t>
      </w:r>
    </w:p>
    <w:p w14:paraId="0EAB35F8"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59422C0E"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statistic, calculation method, interpretation criteria, and acceptance threshold in the study-specific protocol before analysis. Justify the selected threshold according to the intended application and measurement structure.</w:t>
      </w:r>
    </w:p>
    <w:p w14:paraId="5AA1016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DC0CBD3"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Resolve observer disagreements</w:t>
      </w:r>
    </w:p>
    <w:p w14:paraId="185848F4" w14:textId="2EEC0409"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Define the procedure for resolving observer disagreement before data collection.</w:t>
      </w:r>
      <w:r w:rsidR="00390F53" w:rsidRPr="001944EC">
        <w:rPr>
          <w:rFonts w:eastAsia="Times New Roman" w:cstheme="minorHAnsi"/>
          <w:bCs/>
          <w:sz w:val="24"/>
          <w:szCs w:val="24"/>
          <w:lang w:eastAsia="en-IN"/>
        </w:rPr>
        <w:t xml:space="preserve"> </w:t>
      </w:r>
      <w:r w:rsidRPr="001944EC">
        <w:rPr>
          <w:rFonts w:eastAsia="Times New Roman" w:cstheme="minorHAnsi"/>
          <w:bCs/>
          <w:sz w:val="24"/>
          <w:szCs w:val="24"/>
          <w:lang w:eastAsia="en-IN"/>
        </w:rPr>
        <w:t>Review disagreements against the applicable PGST operational definitions, eligibility criteria, scoring anchors, and observer instructions.</w:t>
      </w:r>
      <w:r w:rsidR="00390F53" w:rsidRPr="001944EC">
        <w:rPr>
          <w:rFonts w:eastAsia="Times New Roman" w:cstheme="minorHAnsi"/>
          <w:bCs/>
          <w:sz w:val="24"/>
          <w:szCs w:val="24"/>
          <w:lang w:eastAsia="en-IN"/>
        </w:rPr>
        <w:t xml:space="preserve"> </w:t>
      </w:r>
      <w:r w:rsidRPr="001944EC">
        <w:rPr>
          <w:rFonts w:eastAsia="Times New Roman" w:cstheme="minorHAnsi"/>
          <w:bCs/>
          <w:sz w:val="24"/>
          <w:szCs w:val="24"/>
          <w:lang w:eastAsia="en-IN"/>
        </w:rPr>
        <w:t>Require observers to independently reassess the observation before discussion when necessary.</w:t>
      </w:r>
    </w:p>
    <w:p w14:paraId="0DF37051"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4F288554" w14:textId="244AAD15"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 xml:space="preserve">Refer persistent disagreements to a predefined senior or expert assessor according to the study-specific adjudication procedure. </w:t>
      </w:r>
      <w:r w:rsidR="00D00B54" w:rsidRPr="001944EC">
        <w:rPr>
          <w:rFonts w:eastAsia="Times New Roman" w:cstheme="minorHAnsi"/>
          <w:bCs/>
          <w:sz w:val="24"/>
          <w:szCs w:val="24"/>
          <w:lang w:eastAsia="en-IN"/>
        </w:rPr>
        <w:t>R</w:t>
      </w:r>
      <w:r w:rsidR="00390F53" w:rsidRPr="001944EC">
        <w:rPr>
          <w:rFonts w:eastAsia="Times New Roman" w:cstheme="minorHAnsi"/>
          <w:bCs/>
          <w:sz w:val="24"/>
          <w:szCs w:val="24"/>
          <w:lang w:eastAsia="en-IN"/>
        </w:rPr>
        <w:t xml:space="preserve">etain the original observer assessments and the final adjudicated assessment separately when adjudication is undertaken, and when </w:t>
      </w:r>
      <w:r w:rsidRPr="001944EC">
        <w:rPr>
          <w:rFonts w:eastAsia="Times New Roman" w:cstheme="minorHAnsi"/>
          <w:bCs/>
          <w:sz w:val="24"/>
          <w:szCs w:val="24"/>
          <w:lang w:eastAsia="en-IN"/>
        </w:rPr>
        <w:t>data systems permit.</w:t>
      </w:r>
    </w:p>
    <w:p w14:paraId="608FC04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05D1538B"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Conduct live observation</w:t>
      </w:r>
    </w:p>
    <w:p w14:paraId="4A7EC1DA"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Do not provide corrective feedback or intentionally alter the participant's workflow for the purpose of scoring during routine observation. Maintain a position that permits adequate observation without interfering with routine waste-handling activities or patient care.</w:t>
      </w:r>
    </w:p>
    <w:p w14:paraId="7BDFB789"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5090FFD3"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Prioritize institutional safety procedures over data collection when an immediate safety risk is identified. Document any interruption, intervention, or incomplete observation according to the predefined data-quality criteria.</w:t>
      </w:r>
    </w:p>
    <w:p w14:paraId="65B321A2"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41E37D8"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Prespecify the observation plan</w:t>
      </w:r>
    </w:p>
    <w:p w14:paraId="365113D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bCs/>
          <w:sz w:val="24"/>
          <w:szCs w:val="24"/>
          <w:lang w:eastAsia="en-IN"/>
        </w:rPr>
        <w:t>Define prospectively the observation</w:t>
      </w:r>
      <w:r w:rsidRPr="001944EC">
        <w:rPr>
          <w:rFonts w:eastAsia="Times New Roman" w:cstheme="minorHAnsi"/>
          <w:sz w:val="24"/>
          <w:szCs w:val="24"/>
          <w:lang w:eastAsia="en-IN"/>
        </w:rPr>
        <w:t xml:space="preserve"> duration or coverage, observation timing, and shift allocation where relevant, observer configuration, calibration procedure, minimum observation requirements where applicable, proportion of independently assessed </w:t>
      </w:r>
      <w:r w:rsidRPr="001944EC">
        <w:rPr>
          <w:rFonts w:eastAsia="Times New Roman" w:cstheme="minorHAnsi"/>
          <w:sz w:val="24"/>
          <w:szCs w:val="24"/>
          <w:lang w:eastAsia="en-IN"/>
        </w:rPr>
        <w:lastRenderedPageBreak/>
        <w:t>observations where applicable, reliability statistic, and inter-rater acceptance criterion where used.</w:t>
      </w:r>
    </w:p>
    <w:p w14:paraId="5F72E5B0"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55E26ED2"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Establish these parameters before data collection or analysis. Do not modify the prespecified observation plan retrospectively in response to observed PBS or PGSA values.</w:t>
      </w:r>
    </w:p>
    <w:p w14:paraId="6AC25EFB"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3DC2A43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Document and justify any deviation from the prespecified observation plan.</w:t>
      </w:r>
    </w:p>
    <w:p w14:paraId="6F22B46F"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2170FA17" w14:textId="77777777" w:rsidR="00D721A6" w:rsidRPr="001944EC" w:rsidRDefault="00D721A6" w:rsidP="006C1440">
      <w:pPr>
        <w:pStyle w:val="ListParagraph"/>
        <w:numPr>
          <w:ilvl w:val="0"/>
          <w:numId w:val="19"/>
        </w:numPr>
        <w:spacing w:after="0" w:line="240" w:lineRule="auto"/>
        <w:ind w:left="0" w:firstLine="0"/>
        <w:mirrorIndents/>
        <w:rPr>
          <w:rFonts w:eastAsia="Times New Roman" w:cstheme="minorHAnsi"/>
          <w:b/>
          <w:bCs/>
          <w:sz w:val="24"/>
          <w:szCs w:val="24"/>
          <w:lang w:eastAsia="en-IN"/>
        </w:rPr>
      </w:pPr>
      <w:r w:rsidRPr="001944EC">
        <w:rPr>
          <w:rFonts w:eastAsia="Times New Roman" w:cstheme="minorHAnsi"/>
          <w:b/>
          <w:bCs/>
          <w:sz w:val="24"/>
          <w:szCs w:val="24"/>
          <w:lang w:eastAsia="en-IN"/>
        </w:rPr>
        <w:t>Protect participant privacy and data</w:t>
      </w:r>
    </w:p>
    <w:p w14:paraId="06371043"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Obtain ethical approval</w:t>
      </w:r>
    </w:p>
    <w:p w14:paraId="09778DE5"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Obtain ethical approval or an appropriate institutional ethics determination before commencing observational data collection according to applicable institutional and national requirements.</w:t>
      </w:r>
    </w:p>
    <w:p w14:paraId="4A8B3C78"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5A9B9CDC"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Obtain participant consent or an approved waiver of consent according to the requirements of the relevant ethics committee.</w:t>
      </w:r>
    </w:p>
    <w:p w14:paraId="1EDD98E3"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63F04B2"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Code participant identifiers</w:t>
      </w:r>
    </w:p>
    <w:p w14:paraId="2AA3FE6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Code participant identifiers. Exclude directly identifiable personal information from the PGST observation dataset unless the information is specifically required and ethically approved.</w:t>
      </w:r>
    </w:p>
    <w:p w14:paraId="706371CF"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211FB7A"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Restrict the PGST observation dataset to information necessary for observation, scoring, and analysis.</w:t>
      </w:r>
    </w:p>
    <w:p w14:paraId="76E932BC"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B4C5812"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Protect patient information</w:t>
      </w:r>
    </w:p>
    <w:p w14:paraId="6ADB9B74"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Do not collect patient-identifiable information, clinical images, audio recordings, or video recordings during routine PGST observation unless the relevant ethics committee specifically approves their collection and the applicable consent or waiver procedures cover such collection.</w:t>
      </w:r>
    </w:p>
    <w:p w14:paraId="05E7A728"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304604E"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Secure study data</w:t>
      </w:r>
    </w:p>
    <w:p w14:paraId="79EF61B4" w14:textId="3FFF9D73"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Store all study data securely.</w:t>
      </w:r>
      <w:r w:rsidR="00657441" w:rsidRPr="001944EC">
        <w:rPr>
          <w:rFonts w:eastAsia="Times New Roman" w:cstheme="minorHAnsi"/>
          <w:sz w:val="24"/>
          <w:szCs w:val="24"/>
          <w:lang w:eastAsia="en-IN"/>
        </w:rPr>
        <w:t xml:space="preserve"> </w:t>
      </w:r>
      <w:r w:rsidRPr="001944EC">
        <w:rPr>
          <w:rFonts w:eastAsia="Times New Roman" w:cstheme="minorHAnsi"/>
          <w:sz w:val="24"/>
          <w:szCs w:val="24"/>
          <w:lang w:eastAsia="en-IN"/>
        </w:rPr>
        <w:t>Restrict data access to authorized members of the research team.</w:t>
      </w:r>
    </w:p>
    <w:p w14:paraId="6F8440A1"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3FB065A3"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Manage data according to applicable institutional data-protection and confidentiality requirements.</w:t>
      </w:r>
    </w:p>
    <w:p w14:paraId="6D37EF82"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15EC5181" w14:textId="471F58B5" w:rsidR="00D721A6" w:rsidRPr="001944EC" w:rsidRDefault="00D721A6" w:rsidP="006C1440">
      <w:pPr>
        <w:pStyle w:val="ListParagraph"/>
        <w:numPr>
          <w:ilvl w:val="0"/>
          <w:numId w:val="19"/>
        </w:numPr>
        <w:spacing w:after="0" w:line="240" w:lineRule="auto"/>
        <w:ind w:left="0" w:firstLine="0"/>
        <w:mirrorIndents/>
        <w:rPr>
          <w:rFonts w:eastAsia="Times New Roman" w:cstheme="minorHAnsi"/>
          <w:b/>
          <w:sz w:val="24"/>
          <w:szCs w:val="24"/>
          <w:lang w:eastAsia="en-IN"/>
        </w:rPr>
      </w:pPr>
      <w:r w:rsidRPr="001944EC">
        <w:rPr>
          <w:rFonts w:eastAsia="Times New Roman" w:cstheme="minorHAnsi"/>
          <w:b/>
          <w:sz w:val="24"/>
          <w:szCs w:val="24"/>
          <w:lang w:eastAsia="en-IN"/>
        </w:rPr>
        <w:t xml:space="preserve">Ensure </w:t>
      </w:r>
      <w:r w:rsidR="001944EC">
        <w:rPr>
          <w:rFonts w:eastAsia="Times New Roman" w:cstheme="minorHAnsi"/>
          <w:b/>
          <w:sz w:val="24"/>
          <w:szCs w:val="24"/>
          <w:lang w:eastAsia="en-IN"/>
        </w:rPr>
        <w:t>o</w:t>
      </w:r>
      <w:r w:rsidRPr="001944EC">
        <w:rPr>
          <w:rFonts w:eastAsia="Times New Roman" w:cstheme="minorHAnsi"/>
          <w:b/>
          <w:sz w:val="24"/>
          <w:szCs w:val="24"/>
          <w:lang w:eastAsia="en-IN"/>
        </w:rPr>
        <w:t xml:space="preserve">bserver </w:t>
      </w:r>
      <w:r w:rsidR="001944EC">
        <w:rPr>
          <w:rFonts w:eastAsia="Times New Roman" w:cstheme="minorHAnsi"/>
          <w:b/>
          <w:sz w:val="24"/>
          <w:szCs w:val="24"/>
          <w:lang w:eastAsia="en-IN"/>
        </w:rPr>
        <w:t>s</w:t>
      </w:r>
      <w:r w:rsidRPr="001944EC">
        <w:rPr>
          <w:rFonts w:eastAsia="Times New Roman" w:cstheme="minorHAnsi"/>
          <w:b/>
          <w:sz w:val="24"/>
          <w:szCs w:val="24"/>
          <w:lang w:eastAsia="en-IN"/>
        </w:rPr>
        <w:t>afety</w:t>
      </w:r>
    </w:p>
    <w:p w14:paraId="25FF7E55"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Follow safety requirements</w:t>
      </w:r>
    </w:p>
    <w:p w14:paraId="559E4CC2"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Comply with all applicable institutional infection-prevention, occupational-safety, and personal protective equipment requirements during observation.</w:t>
      </w:r>
    </w:p>
    <w:p w14:paraId="34F38C10"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7E5116A1"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Maintain a safe observation position</w:t>
      </w:r>
    </w:p>
    <w:p w14:paraId="07DE1002"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 xml:space="preserve">Maintain a safe position during observation. </w:t>
      </w:r>
    </w:p>
    <w:p w14:paraId="6D18D765"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D0C2025"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lastRenderedPageBreak/>
        <w:t>Do not handle, move, open, or otherwise manipulate biomedical waste solely for the purpose of observation or scoring. Do not interfere with routine waste-handling activities.</w:t>
      </w:r>
    </w:p>
    <w:p w14:paraId="053A1F5C"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1D1BFE6"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Protect patient care and workflow</w:t>
      </w:r>
    </w:p>
    <w:p w14:paraId="06BBAC3B"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Do not interrupt patient care or intentionally alter the participant's normal workflow for scoring purposes.</w:t>
      </w:r>
    </w:p>
    <w:p w14:paraId="68CB0675"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4FC3AB1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Prioritize institutional safety procedures over data collection when an immediate safety hazard is identified.</w:t>
      </w:r>
    </w:p>
    <w:p w14:paraId="20878379" w14:textId="77777777" w:rsidR="00D721A6" w:rsidRPr="001944EC" w:rsidRDefault="00D721A6" w:rsidP="006C1440">
      <w:pPr>
        <w:spacing w:after="0" w:line="240" w:lineRule="auto"/>
        <w:contextualSpacing/>
        <w:mirrorIndents/>
        <w:rPr>
          <w:rFonts w:eastAsia="Times New Roman" w:cstheme="minorHAnsi"/>
          <w:bCs/>
          <w:sz w:val="24"/>
          <w:szCs w:val="24"/>
          <w:lang w:eastAsia="en-IN"/>
        </w:rPr>
      </w:pPr>
    </w:p>
    <w:p w14:paraId="09CB84F0"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Document safety-related deviations</w:t>
      </w:r>
    </w:p>
    <w:p w14:paraId="5FB7A5B4"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Document any safety-related interruption or deviation from the planned observation. Manage the deviation according to the predefined data-quality procedures.</w:t>
      </w:r>
    </w:p>
    <w:p w14:paraId="235CE546" w14:textId="77777777" w:rsidR="00D721A6" w:rsidRPr="001944EC" w:rsidRDefault="00D721A6" w:rsidP="006C1440">
      <w:pPr>
        <w:spacing w:after="0" w:line="240" w:lineRule="auto"/>
        <w:contextualSpacing/>
        <w:mirrorIndents/>
        <w:rPr>
          <w:rFonts w:eastAsia="Times New Roman" w:cstheme="minorHAnsi"/>
          <w:sz w:val="24"/>
          <w:szCs w:val="24"/>
          <w:lang w:eastAsia="en-IN"/>
        </w:rPr>
      </w:pPr>
    </w:p>
    <w:p w14:paraId="3DD48413" w14:textId="72B8F69D" w:rsidR="00D721A6" w:rsidRPr="001944EC" w:rsidRDefault="00D721A6" w:rsidP="006C1440">
      <w:pPr>
        <w:pStyle w:val="ListParagraph"/>
        <w:numPr>
          <w:ilvl w:val="0"/>
          <w:numId w:val="19"/>
        </w:numPr>
        <w:spacing w:after="0" w:line="240" w:lineRule="auto"/>
        <w:ind w:left="0" w:firstLine="0"/>
        <w:mirrorIndents/>
        <w:rPr>
          <w:rFonts w:eastAsia="Times New Roman" w:cstheme="minorHAnsi"/>
          <w:b/>
          <w:sz w:val="24"/>
          <w:szCs w:val="24"/>
          <w:lang w:eastAsia="en-IN"/>
        </w:rPr>
      </w:pPr>
      <w:r w:rsidRPr="001944EC">
        <w:rPr>
          <w:rFonts w:eastAsia="Times New Roman" w:cstheme="minorHAnsi"/>
          <w:b/>
          <w:sz w:val="24"/>
          <w:szCs w:val="24"/>
          <w:lang w:eastAsia="en-IN"/>
        </w:rPr>
        <w:t xml:space="preserve">Perform </w:t>
      </w:r>
      <w:r w:rsidR="001944EC">
        <w:rPr>
          <w:rFonts w:eastAsia="Times New Roman" w:cstheme="minorHAnsi"/>
          <w:b/>
          <w:sz w:val="24"/>
          <w:szCs w:val="24"/>
          <w:lang w:eastAsia="en-IN"/>
        </w:rPr>
        <w:t>s</w:t>
      </w:r>
      <w:r w:rsidRPr="001944EC">
        <w:rPr>
          <w:rFonts w:eastAsia="Times New Roman" w:cstheme="minorHAnsi"/>
          <w:b/>
          <w:sz w:val="24"/>
          <w:szCs w:val="24"/>
          <w:lang w:eastAsia="en-IN"/>
        </w:rPr>
        <w:t xml:space="preserve">tatistical </w:t>
      </w:r>
      <w:r w:rsidR="001944EC">
        <w:rPr>
          <w:rFonts w:eastAsia="Times New Roman" w:cstheme="minorHAnsi"/>
          <w:b/>
          <w:sz w:val="24"/>
          <w:szCs w:val="24"/>
          <w:lang w:eastAsia="en-IN"/>
        </w:rPr>
        <w:t>r</w:t>
      </w:r>
      <w:r w:rsidRPr="001944EC">
        <w:rPr>
          <w:rFonts w:eastAsia="Times New Roman" w:cstheme="minorHAnsi"/>
          <w:b/>
          <w:sz w:val="24"/>
          <w:szCs w:val="24"/>
          <w:lang w:eastAsia="en-IN"/>
        </w:rPr>
        <w:t>eporting</w:t>
      </w:r>
    </w:p>
    <w:p w14:paraId="1CDB97FC"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PBS and PGSA</w:t>
      </w:r>
    </w:p>
    <w:p w14:paraId="2F62522C"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individual participant or staff-level PBS and PGSA using descriptive statistics appropriate to the distribution of the data.</w:t>
      </w:r>
    </w:p>
    <w:p w14:paraId="69F74197"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4D9C355E" w14:textId="48A9B3EE"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the mean and standard deviation, or median and interquartile range</w:t>
      </w:r>
      <w:r w:rsidR="001944EC">
        <w:rPr>
          <w:rFonts w:eastAsia="Times New Roman" w:cstheme="minorHAnsi"/>
          <w:bCs/>
          <w:sz w:val="24"/>
          <w:szCs w:val="24"/>
          <w:lang w:eastAsia="en-IN"/>
        </w:rPr>
        <w:t>,</w:t>
      </w:r>
      <w:r w:rsidRPr="001944EC">
        <w:rPr>
          <w:rFonts w:eastAsia="Times New Roman" w:cstheme="minorHAnsi"/>
          <w:bCs/>
          <w:sz w:val="24"/>
          <w:szCs w:val="24"/>
          <w:lang w:eastAsia="en-IN"/>
        </w:rPr>
        <w:t xml:space="preserve"> where appropriate. Report the number of eligible staff members contributing to the analysis.</w:t>
      </w:r>
    </w:p>
    <w:p w14:paraId="7CB8261F"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F9B5E56"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observation characteristics</w:t>
      </w:r>
    </w:p>
    <w:p w14:paraId="467ED272"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the observation scope, number of eligible staff members, observation duration, relevant observation conditions, and distribution of observations across relevant shifts, healthcare units, departments, or other predefined strata where applicable.</w:t>
      </w:r>
    </w:p>
    <w:p w14:paraId="0A5C4B04"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11B685A3"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inter-rater consistency</w:t>
      </w:r>
    </w:p>
    <w:p w14:paraId="22318600"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Assess inter-rater consistency using the prespecified reliability or agreement statistic appropriate to the scoring structure.</w:t>
      </w:r>
    </w:p>
    <w:p w14:paraId="60EE61EC"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342F9638"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Specify the statistic, calculation method, and acceptance threshold before analysis.</w:t>
      </w:r>
    </w:p>
    <w:p w14:paraId="20A2A302"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1A545434"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Handle repeated observations</w:t>
      </w:r>
    </w:p>
    <w:p w14:paraId="302F0584"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Treat multiple observations obtained from the same staff member as contributing to the assessment of that staff member.</w:t>
      </w:r>
    </w:p>
    <w:p w14:paraId="16F35C64"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112C2E17"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Do not automatically treat repeated observations as separate independent PBS values. Use the individual staff-member PBS values for the primary PGSA calculation according to the published PGST formulation.</w:t>
      </w:r>
    </w:p>
    <w:p w14:paraId="66F0DFF3"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41CC64F0"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measurement variability</w:t>
      </w:r>
    </w:p>
    <w:p w14:paraId="59492819"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Calculate and report the coefficient of variation (CV) or relative standard deviation (RSD) when repeated measurements are available, and the measurement structure permits their use.</w:t>
      </w:r>
    </w:p>
    <w:p w14:paraId="669429E9"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5D18BFE3"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lastRenderedPageBreak/>
        <w:t xml:space="preserve">Interpret CV and RSD as measures of statistical variability rather than as definitions of </w:t>
      </w:r>
      <w:proofErr w:type="spellStart"/>
      <w:r w:rsidRPr="001944EC">
        <w:rPr>
          <w:rFonts w:eastAsia="Times New Roman" w:cstheme="minorHAnsi"/>
          <w:bCs/>
          <w:sz w:val="24"/>
          <w:szCs w:val="24"/>
          <w:lang w:eastAsia="en-IN"/>
        </w:rPr>
        <w:t>behavioral</w:t>
      </w:r>
      <w:proofErr w:type="spellEnd"/>
      <w:r w:rsidRPr="001944EC">
        <w:rPr>
          <w:rFonts w:eastAsia="Times New Roman" w:cstheme="minorHAnsi"/>
          <w:bCs/>
          <w:sz w:val="24"/>
          <w:szCs w:val="24"/>
          <w:lang w:eastAsia="en-IN"/>
        </w:rPr>
        <w:t xml:space="preserve"> precision within PGST. Report statistical precision separately from the PGST </w:t>
      </w:r>
      <w:proofErr w:type="spellStart"/>
      <w:r w:rsidRPr="001944EC">
        <w:rPr>
          <w:rFonts w:eastAsia="Times New Roman" w:cstheme="minorHAnsi"/>
          <w:bCs/>
          <w:sz w:val="24"/>
          <w:szCs w:val="24"/>
          <w:lang w:eastAsia="en-IN"/>
        </w:rPr>
        <w:t>behavioral</w:t>
      </w:r>
      <w:proofErr w:type="spellEnd"/>
      <w:r w:rsidRPr="001944EC">
        <w:rPr>
          <w:rFonts w:eastAsia="Times New Roman" w:cstheme="minorHAnsi"/>
          <w:bCs/>
          <w:sz w:val="24"/>
          <w:szCs w:val="24"/>
          <w:lang w:eastAsia="en-IN"/>
        </w:rPr>
        <w:t xml:space="preserve"> construct of precision.</w:t>
      </w:r>
    </w:p>
    <w:p w14:paraId="1986450E"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4F13D88A"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Conduct inferential analyses</w:t>
      </w:r>
    </w:p>
    <w:p w14:paraId="476717A6"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Select inferential statistical methods that account for the observation design and relevant clustering or repeated-measure characteristics.</w:t>
      </w:r>
    </w:p>
    <w:p w14:paraId="59031C43"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676011D3"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Report incomplete or invalid observations</w:t>
      </w:r>
    </w:p>
    <w:p w14:paraId="6B98C389"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Identify incomplete or invalid observations according to the predefined data-quality criteria. Report the number and reasons for excluded observations.</w:t>
      </w:r>
    </w:p>
    <w:p w14:paraId="5E925096" w14:textId="77777777" w:rsidR="00D721A6" w:rsidRPr="001944EC" w:rsidRDefault="00D721A6" w:rsidP="006C1440">
      <w:pPr>
        <w:pStyle w:val="ListParagraph"/>
        <w:spacing w:after="0" w:line="240" w:lineRule="auto"/>
        <w:ind w:left="0"/>
        <w:mirrorIndents/>
        <w:rPr>
          <w:rFonts w:eastAsia="Times New Roman" w:cstheme="minorHAnsi"/>
          <w:bCs/>
          <w:sz w:val="24"/>
          <w:szCs w:val="24"/>
          <w:lang w:eastAsia="en-IN"/>
        </w:rPr>
      </w:pPr>
    </w:p>
    <w:p w14:paraId="2E2A6109" w14:textId="77777777" w:rsidR="00D721A6" w:rsidRPr="001944EC" w:rsidRDefault="00D721A6" w:rsidP="006C1440">
      <w:pPr>
        <w:pStyle w:val="ListParagraph"/>
        <w:numPr>
          <w:ilvl w:val="1"/>
          <w:numId w:val="19"/>
        </w:numPr>
        <w:spacing w:after="0" w:line="240" w:lineRule="auto"/>
        <w:ind w:left="0" w:firstLine="0"/>
        <w:mirrorIndents/>
        <w:rPr>
          <w:rFonts w:eastAsia="Times New Roman" w:cstheme="minorHAnsi"/>
          <w:bCs/>
          <w:sz w:val="24"/>
          <w:szCs w:val="24"/>
          <w:lang w:eastAsia="en-IN"/>
        </w:rPr>
      </w:pPr>
      <w:r w:rsidRPr="001944EC">
        <w:rPr>
          <w:rFonts w:eastAsia="Times New Roman" w:cstheme="minorHAnsi"/>
          <w:bCs/>
          <w:sz w:val="24"/>
          <w:szCs w:val="24"/>
          <w:lang w:eastAsia="en-IN"/>
        </w:rPr>
        <w:t>Prespecify subgroup and regression analyses</w:t>
      </w:r>
    </w:p>
    <w:p w14:paraId="2AD9683E"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Prespecify subgroup comparisons, regression analyses, and other inferential analyses according to the study objective.</w:t>
      </w:r>
    </w:p>
    <w:p w14:paraId="7180E16C" w14:textId="77777777" w:rsidR="00D721A6" w:rsidRPr="001944EC" w:rsidRDefault="00D721A6" w:rsidP="006C1440">
      <w:pPr>
        <w:pStyle w:val="ListParagraph"/>
        <w:spacing w:after="0" w:line="240" w:lineRule="auto"/>
        <w:ind w:left="0"/>
        <w:mirrorIndents/>
        <w:rPr>
          <w:rFonts w:eastAsia="Times New Roman" w:cstheme="minorHAnsi"/>
          <w:sz w:val="24"/>
          <w:szCs w:val="24"/>
          <w:lang w:eastAsia="en-IN"/>
        </w:rPr>
      </w:pPr>
    </w:p>
    <w:p w14:paraId="7854D056" w14:textId="77777777" w:rsidR="00D721A6" w:rsidRPr="001944EC" w:rsidRDefault="00D721A6" w:rsidP="006C1440">
      <w:pPr>
        <w:pStyle w:val="ListParagraph"/>
        <w:numPr>
          <w:ilvl w:val="2"/>
          <w:numId w:val="19"/>
        </w:numPr>
        <w:spacing w:after="0" w:line="240" w:lineRule="auto"/>
        <w:ind w:left="0" w:firstLine="0"/>
        <w:mirrorIndents/>
        <w:rPr>
          <w:rFonts w:eastAsia="Times New Roman" w:cstheme="minorHAnsi"/>
          <w:sz w:val="24"/>
          <w:szCs w:val="24"/>
          <w:lang w:eastAsia="en-IN"/>
        </w:rPr>
      </w:pPr>
      <w:r w:rsidRPr="001944EC">
        <w:rPr>
          <w:rFonts w:eastAsia="Times New Roman" w:cstheme="minorHAnsi"/>
          <w:sz w:val="24"/>
          <w:szCs w:val="24"/>
          <w:lang w:eastAsia="en-IN"/>
        </w:rPr>
        <w:t>Justify each analysis according to the study design, sample size, and distribution of the data.</w:t>
      </w:r>
    </w:p>
    <w:p w14:paraId="54DB16F0" w14:textId="77777777" w:rsidR="00361172" w:rsidRPr="001944EC" w:rsidRDefault="00361172" w:rsidP="006C1440">
      <w:pPr>
        <w:pStyle w:val="ListParagraph"/>
        <w:spacing w:after="0" w:line="240" w:lineRule="auto"/>
        <w:ind w:left="0"/>
        <w:mirrorIndents/>
        <w:rPr>
          <w:rFonts w:eastAsia="Times New Roman" w:cstheme="minorHAnsi"/>
          <w:bCs/>
          <w:sz w:val="24"/>
          <w:szCs w:val="24"/>
          <w:lang w:eastAsia="en-IN"/>
        </w:rPr>
      </w:pPr>
    </w:p>
    <w:p w14:paraId="721CB687" w14:textId="4E9721F9" w:rsidR="00A91ABD" w:rsidRPr="001944EC" w:rsidRDefault="00065E8A"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b/>
          <w:sz w:val="24"/>
          <w:szCs w:val="24"/>
          <w:lang w:eastAsia="en-IN"/>
        </w:rPr>
        <w:t>REPRESENTATIVE RESULTS:</w:t>
      </w:r>
    </w:p>
    <w:p w14:paraId="529351C0"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following representative results are illustrative, simulated examples demonstrating the application of the PGST observational protocol, including MBPBF domain scoring, composite PBS calculation, individual staff-level PBS interpretation, repeated-observation assessment, and PGSA calculation within a predefined observation scope. They are intended to demonstrate calculation and reporting procedures and do not represent empirical findings or an actual participant or staff sample. In an actual implementation, report the number and distribution of eligible staff members by relevant staff category, healthcare unit, and observation period.</w:t>
      </w:r>
    </w:p>
    <w:p w14:paraId="3F1E5D90"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78B42490" w14:textId="641738B1" w:rsidR="00A91ABD" w:rsidRPr="001944EC" w:rsidRDefault="00A91ABD"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b/>
          <w:sz w:val="24"/>
          <w:szCs w:val="24"/>
          <w:lang w:eastAsia="en-IN"/>
        </w:rPr>
        <w:t xml:space="preserve">Example of </w:t>
      </w:r>
      <w:r w:rsidR="00D721A6" w:rsidRPr="001944EC">
        <w:rPr>
          <w:rFonts w:eastAsia="Times New Roman" w:cstheme="minorHAnsi"/>
          <w:b/>
          <w:sz w:val="24"/>
          <w:szCs w:val="24"/>
          <w:lang w:eastAsia="en-IN"/>
        </w:rPr>
        <w:t>i</w:t>
      </w:r>
      <w:r w:rsidRPr="001944EC">
        <w:rPr>
          <w:rFonts w:eastAsia="Times New Roman" w:cstheme="minorHAnsi"/>
          <w:b/>
          <w:sz w:val="24"/>
          <w:szCs w:val="24"/>
          <w:lang w:eastAsia="en-IN"/>
        </w:rPr>
        <w:t xml:space="preserve">ndividual </w:t>
      </w:r>
      <w:r w:rsidR="00D721A6" w:rsidRPr="001944EC">
        <w:rPr>
          <w:rFonts w:eastAsia="Times New Roman" w:cstheme="minorHAnsi"/>
          <w:b/>
          <w:sz w:val="24"/>
          <w:szCs w:val="24"/>
          <w:lang w:eastAsia="en-IN"/>
        </w:rPr>
        <w:t>s</w:t>
      </w:r>
      <w:r w:rsidRPr="001944EC">
        <w:rPr>
          <w:rFonts w:eastAsia="Times New Roman" w:cstheme="minorHAnsi"/>
          <w:b/>
          <w:sz w:val="24"/>
          <w:szCs w:val="24"/>
          <w:lang w:eastAsia="en-IN"/>
        </w:rPr>
        <w:t>taff-</w:t>
      </w:r>
      <w:r w:rsidR="00D721A6" w:rsidRPr="001944EC">
        <w:rPr>
          <w:rFonts w:eastAsia="Times New Roman" w:cstheme="minorHAnsi"/>
          <w:b/>
          <w:sz w:val="24"/>
          <w:szCs w:val="24"/>
          <w:lang w:eastAsia="en-IN"/>
        </w:rPr>
        <w:t>l</w:t>
      </w:r>
      <w:r w:rsidRPr="001944EC">
        <w:rPr>
          <w:rFonts w:eastAsia="Times New Roman" w:cstheme="minorHAnsi"/>
          <w:b/>
          <w:sz w:val="24"/>
          <w:szCs w:val="24"/>
          <w:lang w:eastAsia="en-IN"/>
        </w:rPr>
        <w:t xml:space="preserve">evel </w:t>
      </w:r>
      <w:proofErr w:type="spellStart"/>
      <w:r w:rsidR="00D721A6" w:rsidRPr="001944EC">
        <w:rPr>
          <w:rFonts w:eastAsia="Times New Roman" w:cstheme="minorHAnsi"/>
          <w:b/>
          <w:sz w:val="24"/>
          <w:szCs w:val="24"/>
          <w:lang w:eastAsia="en-IN"/>
        </w:rPr>
        <w:t>b</w:t>
      </w:r>
      <w:r w:rsidR="000934E9" w:rsidRPr="001944EC">
        <w:rPr>
          <w:rFonts w:eastAsia="Times New Roman" w:cstheme="minorHAnsi"/>
          <w:b/>
          <w:sz w:val="24"/>
          <w:szCs w:val="24"/>
          <w:lang w:eastAsia="en-IN"/>
        </w:rPr>
        <w:t>ehavior</w:t>
      </w:r>
      <w:r w:rsidRPr="001944EC">
        <w:rPr>
          <w:rFonts w:eastAsia="Times New Roman" w:cstheme="minorHAnsi"/>
          <w:b/>
          <w:sz w:val="24"/>
          <w:szCs w:val="24"/>
          <w:lang w:eastAsia="en-IN"/>
        </w:rPr>
        <w:t>al</w:t>
      </w:r>
      <w:proofErr w:type="spellEnd"/>
      <w:r w:rsidRPr="001944EC">
        <w:rPr>
          <w:rFonts w:eastAsia="Times New Roman" w:cstheme="minorHAnsi"/>
          <w:b/>
          <w:sz w:val="24"/>
          <w:szCs w:val="24"/>
          <w:lang w:eastAsia="en-IN"/>
        </w:rPr>
        <w:t xml:space="preserve"> </w:t>
      </w:r>
      <w:r w:rsidR="00D721A6" w:rsidRPr="001944EC">
        <w:rPr>
          <w:rFonts w:eastAsia="Times New Roman" w:cstheme="minorHAnsi"/>
          <w:b/>
          <w:sz w:val="24"/>
          <w:szCs w:val="24"/>
          <w:lang w:eastAsia="en-IN"/>
        </w:rPr>
        <w:t>s</w:t>
      </w:r>
      <w:r w:rsidRPr="001944EC">
        <w:rPr>
          <w:rFonts w:eastAsia="Times New Roman" w:cstheme="minorHAnsi"/>
          <w:b/>
          <w:sz w:val="24"/>
          <w:szCs w:val="24"/>
          <w:lang w:eastAsia="en-IN"/>
        </w:rPr>
        <w:t>coring</w:t>
      </w:r>
    </w:p>
    <w:p w14:paraId="4F4C6E51" w14:textId="7BD18F12" w:rsidR="00065E8A" w:rsidRPr="001944EC" w:rsidRDefault="0022068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For each eligible staff member, scores were assigned to the four MBPBF domains—Cognitive Anchoring (CA), Visual Discrimination (VD), Repetition Reinforcement (RR), and Error-Responsive Feedback (ERF)—according to the predefined PGST observation checklist and scoring criteria. Each domain was expressed on a common 0–1 scale before calculation of the composite PBS (</w:t>
      </w:r>
      <w:r w:rsidRPr="001944EC">
        <w:rPr>
          <w:rFonts w:eastAsia="Times New Roman" w:cstheme="minorHAnsi"/>
          <w:b/>
          <w:bCs/>
          <w:sz w:val="24"/>
          <w:szCs w:val="24"/>
          <w:lang w:eastAsia="en-IN"/>
        </w:rPr>
        <w:t>Table 10</w:t>
      </w:r>
      <w:r w:rsidRPr="001944EC">
        <w:rPr>
          <w:rFonts w:eastAsia="Times New Roman" w:cstheme="minorHAnsi"/>
          <w:sz w:val="24"/>
          <w:szCs w:val="24"/>
          <w:lang w:eastAsia="en-IN"/>
        </w:rPr>
        <w:t>).</w:t>
      </w:r>
    </w:p>
    <w:p w14:paraId="04E789D0"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For example, the PBS for staff member S1 was calculated as:</w:t>
      </w:r>
    </w:p>
    <w:p w14:paraId="419E9E6B"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PBS₁ = (0.90 + 0.85 + 0.80 + 0.90) / 4 = 0.8625</w:t>
      </w:r>
    </w:p>
    <w:p w14:paraId="7D304F00"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54E84A6D" w14:textId="56C4131D"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Thus, the individual PBS for staff member S1 was 0.8625 (86.25%).</w:t>
      </w:r>
    </w:p>
    <w:p w14:paraId="054AB308" w14:textId="6D255774"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The PBS represents the composite </w:t>
      </w:r>
      <w:proofErr w:type="spellStart"/>
      <w:r w:rsidR="000934E9" w:rsidRPr="001944EC">
        <w:rPr>
          <w:rFonts w:eastAsia="Times New Roman" w:cstheme="minorHAnsi"/>
          <w:sz w:val="24"/>
          <w:szCs w:val="24"/>
          <w:lang w:eastAsia="en-IN"/>
        </w:rPr>
        <w:t>behavior</w:t>
      </w:r>
      <w:r w:rsidRPr="001944EC">
        <w:rPr>
          <w:rFonts w:eastAsia="Times New Roman" w:cstheme="minorHAnsi"/>
          <w:sz w:val="24"/>
          <w:szCs w:val="24"/>
          <w:lang w:eastAsia="en-IN"/>
        </w:rPr>
        <w:t>al</w:t>
      </w:r>
      <w:proofErr w:type="spellEnd"/>
      <w:r w:rsidRPr="001944EC">
        <w:rPr>
          <w:rFonts w:eastAsia="Times New Roman" w:cstheme="minorHAnsi"/>
          <w:sz w:val="24"/>
          <w:szCs w:val="24"/>
          <w:lang w:eastAsia="en-IN"/>
        </w:rPr>
        <w:t xml:space="preserve"> precision score of the individual staff member based on the four MBPBF domains assessed according to the predefined observation procedures.</w:t>
      </w:r>
    </w:p>
    <w:p w14:paraId="4E81A4A1"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1DC2E5E4" w14:textId="3DDBA501" w:rsidR="00A91ABD" w:rsidRPr="001944EC" w:rsidRDefault="00A91ABD"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b/>
          <w:sz w:val="24"/>
          <w:szCs w:val="24"/>
          <w:lang w:eastAsia="en-IN"/>
        </w:rPr>
        <w:t xml:space="preserve">Example of </w:t>
      </w:r>
      <w:r w:rsidR="00D721A6" w:rsidRPr="001944EC">
        <w:rPr>
          <w:rFonts w:eastAsia="Times New Roman" w:cstheme="minorHAnsi"/>
          <w:b/>
          <w:sz w:val="24"/>
          <w:szCs w:val="24"/>
          <w:lang w:eastAsia="en-IN"/>
        </w:rPr>
        <w:t>r</w:t>
      </w:r>
      <w:r w:rsidRPr="001944EC">
        <w:rPr>
          <w:rFonts w:eastAsia="Times New Roman" w:cstheme="minorHAnsi"/>
          <w:b/>
          <w:sz w:val="24"/>
          <w:szCs w:val="24"/>
          <w:lang w:eastAsia="en-IN"/>
        </w:rPr>
        <w:t xml:space="preserve">epeated </w:t>
      </w:r>
      <w:r w:rsidR="00D721A6" w:rsidRPr="001944EC">
        <w:rPr>
          <w:rFonts w:eastAsia="Times New Roman" w:cstheme="minorHAnsi"/>
          <w:b/>
          <w:sz w:val="24"/>
          <w:szCs w:val="24"/>
          <w:lang w:eastAsia="en-IN"/>
        </w:rPr>
        <w:t>o</w:t>
      </w:r>
      <w:r w:rsidRPr="001944EC">
        <w:rPr>
          <w:rFonts w:eastAsia="Times New Roman" w:cstheme="minorHAnsi"/>
          <w:b/>
          <w:sz w:val="24"/>
          <w:szCs w:val="24"/>
          <w:lang w:eastAsia="en-IN"/>
        </w:rPr>
        <w:t xml:space="preserve">bservation and </w:t>
      </w:r>
      <w:r w:rsidR="00D721A6" w:rsidRPr="001944EC">
        <w:rPr>
          <w:rFonts w:eastAsia="Times New Roman" w:cstheme="minorHAnsi"/>
          <w:b/>
          <w:sz w:val="24"/>
          <w:szCs w:val="24"/>
          <w:lang w:eastAsia="en-IN"/>
        </w:rPr>
        <w:t>s</w:t>
      </w:r>
      <w:r w:rsidRPr="001944EC">
        <w:rPr>
          <w:rFonts w:eastAsia="Times New Roman" w:cstheme="minorHAnsi"/>
          <w:b/>
          <w:sz w:val="24"/>
          <w:szCs w:val="24"/>
          <w:lang w:eastAsia="en-IN"/>
        </w:rPr>
        <w:t>taff-</w:t>
      </w:r>
      <w:r w:rsidR="00D721A6" w:rsidRPr="001944EC">
        <w:rPr>
          <w:rFonts w:eastAsia="Times New Roman" w:cstheme="minorHAnsi"/>
          <w:b/>
          <w:sz w:val="24"/>
          <w:szCs w:val="24"/>
          <w:lang w:eastAsia="en-IN"/>
        </w:rPr>
        <w:t>l</w:t>
      </w:r>
      <w:r w:rsidRPr="001944EC">
        <w:rPr>
          <w:rFonts w:eastAsia="Times New Roman" w:cstheme="minorHAnsi"/>
          <w:b/>
          <w:sz w:val="24"/>
          <w:szCs w:val="24"/>
          <w:lang w:eastAsia="en-IN"/>
        </w:rPr>
        <w:t>evel PBS</w:t>
      </w:r>
    </w:p>
    <w:p w14:paraId="6DDE3229"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Suppose five eligible observation occasions were recorded for one staff member during the predefined observation period, with the domain scores presented in </w:t>
      </w:r>
      <w:r w:rsidRPr="001944EC">
        <w:rPr>
          <w:rFonts w:eastAsia="Times New Roman" w:cstheme="minorHAnsi"/>
          <w:b/>
          <w:bCs/>
          <w:sz w:val="24"/>
          <w:szCs w:val="24"/>
          <w:lang w:eastAsia="en-IN"/>
        </w:rPr>
        <w:t>Table 11</w:t>
      </w:r>
      <w:r w:rsidRPr="001944EC">
        <w:rPr>
          <w:rFonts w:eastAsia="Times New Roman" w:cstheme="minorHAnsi"/>
          <w:sz w:val="24"/>
          <w:szCs w:val="24"/>
          <w:lang w:eastAsia="en-IN"/>
        </w:rPr>
        <w:t xml:space="preserve">. According to </w:t>
      </w:r>
      <w:r w:rsidRPr="001944EC">
        <w:rPr>
          <w:rFonts w:eastAsia="Times New Roman" w:cstheme="minorHAnsi"/>
          <w:sz w:val="24"/>
          <w:szCs w:val="24"/>
          <w:lang w:eastAsia="en-IN"/>
        </w:rPr>
        <w:lastRenderedPageBreak/>
        <w:t>the study-specific scoring procedure, the repeated observations were averaged to obtain the staff member's domain scores:</w:t>
      </w:r>
    </w:p>
    <w:p w14:paraId="0037480F"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63D40FFC"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CA = (0.90 + 0.75 + 1.00 + 0.65 + 0.85) / 5 = 0.83</w:t>
      </w:r>
    </w:p>
    <w:p w14:paraId="59761AA7"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22E9544F"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VD = (0.85 + 0.80 + 0.90 + 0.70 + 0.80) / 5 = 0.81</w:t>
      </w:r>
    </w:p>
    <w:p w14:paraId="6C5413CB"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70883C51"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RR = (0.80 + 0.70 + 0.95 + 0.60 + 0.75) / 5 = 0.76</w:t>
      </w:r>
    </w:p>
    <w:p w14:paraId="357EED15"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615A09A1"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ERF = (0.90 + 0.75 + 0.90 + 0.65 + 0.80) / 5 = 0.80</w:t>
      </w:r>
    </w:p>
    <w:p w14:paraId="56305EDF"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18B474BE"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staff-level PBS was calculated as:</w:t>
      </w:r>
    </w:p>
    <w:p w14:paraId="5DEF6DCB"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4553FD9B"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PBS = (0.83 + 0.81 + 0.76 + 0.80) / 4 = 0.80</w:t>
      </w:r>
    </w:p>
    <w:p w14:paraId="4234FCA0"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05CC4D63"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Thus, the staff-level PBS was 0.80 (80%).</w:t>
      </w:r>
    </w:p>
    <w:p w14:paraId="09C1787B" w14:textId="77777777" w:rsidR="00EF6155" w:rsidRPr="001944EC" w:rsidRDefault="00EF6155" w:rsidP="006C1440">
      <w:pPr>
        <w:spacing w:after="0" w:line="240" w:lineRule="auto"/>
        <w:contextualSpacing/>
        <w:mirrorIndents/>
        <w:jc w:val="both"/>
        <w:rPr>
          <w:rFonts w:eastAsia="Times New Roman" w:cstheme="minorHAnsi"/>
          <w:sz w:val="24"/>
          <w:szCs w:val="24"/>
          <w:lang w:eastAsia="en-IN"/>
        </w:rPr>
      </w:pPr>
    </w:p>
    <w:p w14:paraId="244C0674" w14:textId="02385CF1" w:rsidR="00065E8A" w:rsidRPr="001944EC" w:rsidRDefault="00EF6155"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The repeated observations represent observations of the same staff member during the predefined observation period. They were used to inform the staff-level </w:t>
      </w:r>
      <w:proofErr w:type="spellStart"/>
      <w:r w:rsidR="001944EC">
        <w:rPr>
          <w:rFonts w:eastAsia="Times New Roman" w:cstheme="minorHAnsi"/>
          <w:sz w:val="24"/>
          <w:szCs w:val="24"/>
          <w:lang w:eastAsia="en-IN"/>
        </w:rPr>
        <w:t>b</w:t>
      </w:r>
      <w:r w:rsidR="00D721A6" w:rsidRPr="001944EC">
        <w:rPr>
          <w:rFonts w:eastAsia="Times New Roman" w:cstheme="minorHAnsi"/>
          <w:sz w:val="24"/>
          <w:szCs w:val="24"/>
          <w:lang w:eastAsia="en-IN"/>
        </w:rPr>
        <w:t>ehavior</w:t>
      </w:r>
      <w:r w:rsidRPr="001944EC">
        <w:rPr>
          <w:rFonts w:eastAsia="Times New Roman" w:cstheme="minorHAnsi"/>
          <w:sz w:val="24"/>
          <w:szCs w:val="24"/>
          <w:lang w:eastAsia="en-IN"/>
        </w:rPr>
        <w:t>al</w:t>
      </w:r>
      <w:proofErr w:type="spellEnd"/>
      <w:r w:rsidRPr="001944EC">
        <w:rPr>
          <w:rFonts w:eastAsia="Times New Roman" w:cstheme="minorHAnsi"/>
          <w:sz w:val="24"/>
          <w:szCs w:val="24"/>
          <w:lang w:eastAsia="en-IN"/>
        </w:rPr>
        <w:t xml:space="preserve"> assessment and were not treated as separate participant-level PBS values.</w:t>
      </w:r>
    </w:p>
    <w:p w14:paraId="0F6EAF78" w14:textId="77777777" w:rsidR="00D721A6" w:rsidRPr="001944EC" w:rsidRDefault="00D721A6" w:rsidP="006C1440">
      <w:pPr>
        <w:spacing w:after="0" w:line="240" w:lineRule="auto"/>
        <w:contextualSpacing/>
        <w:mirrorIndents/>
        <w:jc w:val="both"/>
        <w:rPr>
          <w:rFonts w:eastAsia="Times New Roman" w:cstheme="minorHAnsi"/>
          <w:sz w:val="24"/>
          <w:szCs w:val="24"/>
          <w:lang w:eastAsia="en-IN"/>
        </w:rPr>
      </w:pPr>
    </w:p>
    <w:p w14:paraId="1A11FE07" w14:textId="32A2E319" w:rsidR="00A91ABD" w:rsidRPr="001944EC" w:rsidRDefault="00A91ABD"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b/>
          <w:sz w:val="24"/>
          <w:szCs w:val="24"/>
          <w:lang w:eastAsia="en-IN"/>
        </w:rPr>
        <w:t xml:space="preserve">Example of PGSA </w:t>
      </w:r>
      <w:r w:rsidR="00D721A6" w:rsidRPr="001944EC">
        <w:rPr>
          <w:rFonts w:eastAsia="Times New Roman" w:cstheme="minorHAnsi"/>
          <w:b/>
          <w:sz w:val="24"/>
          <w:szCs w:val="24"/>
          <w:lang w:eastAsia="en-IN"/>
        </w:rPr>
        <w:t>c</w:t>
      </w:r>
      <w:r w:rsidRPr="001944EC">
        <w:rPr>
          <w:rFonts w:eastAsia="Times New Roman" w:cstheme="minorHAnsi"/>
          <w:b/>
          <w:sz w:val="24"/>
          <w:szCs w:val="24"/>
          <w:lang w:eastAsia="en-IN"/>
        </w:rPr>
        <w:t>alculation</w:t>
      </w:r>
    </w:p>
    <w:p w14:paraId="3FF8551A" w14:textId="2829E778" w:rsidR="00065E8A" w:rsidRPr="001944EC" w:rsidRDefault="00D00B54"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PGSA was calculated by aggregating the individual PBS values of eligible staff members within a predefined observation scope. For example, five eligible staff members had the PBS values presented in </w:t>
      </w:r>
      <w:r w:rsidRPr="001944EC">
        <w:rPr>
          <w:rFonts w:eastAsia="Times New Roman" w:cstheme="minorHAnsi"/>
          <w:b/>
          <w:bCs/>
          <w:sz w:val="24"/>
          <w:szCs w:val="24"/>
          <w:lang w:eastAsia="en-IN"/>
        </w:rPr>
        <w:t>Table 12</w:t>
      </w:r>
      <w:r w:rsidRPr="001944EC">
        <w:rPr>
          <w:rFonts w:eastAsia="Times New Roman" w:cstheme="minorHAnsi"/>
          <w:sz w:val="24"/>
          <w:szCs w:val="24"/>
          <w:lang w:eastAsia="en-IN"/>
        </w:rPr>
        <w:t>. PGSA was calculated as:</w:t>
      </w:r>
    </w:p>
    <w:p w14:paraId="0B129F7B" w14:textId="27B217E0" w:rsidR="00065E8A" w:rsidRPr="001944EC" w:rsidRDefault="00065E8A" w:rsidP="006C1440">
      <w:pPr>
        <w:spacing w:after="0" w:line="240" w:lineRule="auto"/>
        <w:contextualSpacing/>
        <w:mirrorIndents/>
        <w:jc w:val="both"/>
        <w:rPr>
          <w:rFonts w:eastAsia="Times New Roman" w:cstheme="minorHAnsi"/>
          <w:sz w:val="24"/>
          <w:szCs w:val="24"/>
          <w:lang w:eastAsia="en-IN"/>
        </w:rPr>
      </w:pPr>
      <m:oMath>
        <m:r>
          <w:rPr>
            <w:rFonts w:ascii="Cambria Math" w:eastAsia="Times New Roman" w:hAnsi="Cambria Math" w:cstheme="minorHAnsi"/>
            <w:sz w:val="24"/>
            <w:szCs w:val="24"/>
            <w:lang w:eastAsia="en-IN"/>
          </w:rPr>
          <m:t>PGSA = ΣPBSᵢ / N</m:t>
        </m:r>
      </m:oMath>
      <w:r w:rsidRPr="001944EC">
        <w:rPr>
          <w:rFonts w:eastAsia="Times New Roman" w:cstheme="minorHAnsi"/>
          <w:sz w:val="24"/>
          <w:szCs w:val="24"/>
          <w:lang w:eastAsia="en-IN"/>
        </w:rPr>
        <w:t xml:space="preserve"> </w:t>
      </w:r>
    </w:p>
    <w:p w14:paraId="3ADE90DB"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25E27A16"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Therefore:</w:t>
      </w:r>
    </w:p>
    <w:p w14:paraId="7C725E5A"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PGSA = (0.8625 + 0.7500 + 0.9375 + 0.6500 + 0.8000) / 5</w:t>
      </w:r>
    </w:p>
    <w:p w14:paraId="4A9AA405"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PGSA = 4.0000 / 5 = 0.8000</w:t>
      </w:r>
    </w:p>
    <w:p w14:paraId="29934170"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Thus:</w:t>
      </w:r>
    </w:p>
    <w:p w14:paraId="11423590"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PGSA = 0.80</w:t>
      </w:r>
    </w:p>
    <w:p w14:paraId="340DA0EB"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or</w:t>
      </w:r>
    </w:p>
    <w:p w14:paraId="09E3156A"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PGSA = 80%</w:t>
      </w:r>
    </w:p>
    <w:p w14:paraId="4F884D0C"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67B94644"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In this simulated example, the PGSA is 0.80 (80%). This value represents the aggregate PBS of the five eligible staff members included within the defined observation scope.</w:t>
      </w:r>
    </w:p>
    <w:p w14:paraId="49C998D6" w14:textId="67DE0B46"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observation scope may correspond to a healthcare unit, department</w:t>
      </w:r>
      <w:r w:rsidR="00C46C10" w:rsidRPr="001944EC">
        <w:rPr>
          <w:rFonts w:eastAsia="Times New Roman" w:cstheme="minorHAnsi"/>
          <w:sz w:val="24"/>
          <w:szCs w:val="24"/>
          <w:lang w:eastAsia="en-IN"/>
        </w:rPr>
        <w:t>,</w:t>
      </w:r>
      <w:r w:rsidRPr="001944EC">
        <w:rPr>
          <w:rFonts w:eastAsia="Times New Roman" w:cstheme="minorHAnsi"/>
          <w:sz w:val="24"/>
          <w:szCs w:val="24"/>
          <w:lang w:eastAsia="en-IN"/>
        </w:rPr>
        <w:t xml:space="preserve"> or division, institution, or another predefined organizational or operational scope.</w:t>
      </w:r>
    </w:p>
    <w:p w14:paraId="5A42DC50"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55F9266D" w14:textId="295F8378" w:rsidR="00A91ABD" w:rsidRPr="001944EC" w:rsidRDefault="00A91ABD"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b/>
          <w:sz w:val="24"/>
          <w:szCs w:val="24"/>
          <w:lang w:eastAsia="en-IN"/>
        </w:rPr>
        <w:t xml:space="preserve">Example of </w:t>
      </w:r>
      <w:r w:rsidR="00D721A6" w:rsidRPr="001944EC">
        <w:rPr>
          <w:rFonts w:eastAsia="Times New Roman" w:cstheme="minorHAnsi"/>
          <w:b/>
          <w:sz w:val="24"/>
          <w:szCs w:val="24"/>
          <w:lang w:eastAsia="en-IN"/>
        </w:rPr>
        <w:t>v</w:t>
      </w:r>
      <w:r w:rsidRPr="001944EC">
        <w:rPr>
          <w:rFonts w:eastAsia="Times New Roman" w:cstheme="minorHAnsi"/>
          <w:b/>
          <w:sz w:val="24"/>
          <w:szCs w:val="24"/>
          <w:lang w:eastAsia="en-IN"/>
        </w:rPr>
        <w:t xml:space="preserve">ariation </w:t>
      </w:r>
      <w:r w:rsidR="00D721A6" w:rsidRPr="001944EC">
        <w:rPr>
          <w:rFonts w:eastAsia="Times New Roman" w:cstheme="minorHAnsi"/>
          <w:b/>
          <w:sz w:val="24"/>
          <w:szCs w:val="24"/>
          <w:lang w:eastAsia="en-IN"/>
        </w:rPr>
        <w:t>a</w:t>
      </w:r>
      <w:r w:rsidRPr="001944EC">
        <w:rPr>
          <w:rFonts w:eastAsia="Times New Roman" w:cstheme="minorHAnsi"/>
          <w:b/>
          <w:sz w:val="24"/>
          <w:szCs w:val="24"/>
          <w:lang w:eastAsia="en-IN"/>
        </w:rPr>
        <w:t xml:space="preserve">cross </w:t>
      </w:r>
      <w:r w:rsidR="00D721A6" w:rsidRPr="001944EC">
        <w:rPr>
          <w:rFonts w:eastAsia="Times New Roman" w:cstheme="minorHAnsi"/>
          <w:b/>
          <w:sz w:val="24"/>
          <w:szCs w:val="24"/>
          <w:lang w:eastAsia="en-IN"/>
        </w:rPr>
        <w:t>o</w:t>
      </w:r>
      <w:r w:rsidRPr="001944EC">
        <w:rPr>
          <w:rFonts w:eastAsia="Times New Roman" w:cstheme="minorHAnsi"/>
          <w:b/>
          <w:sz w:val="24"/>
          <w:szCs w:val="24"/>
          <w:lang w:eastAsia="en-IN"/>
        </w:rPr>
        <w:t xml:space="preserve">bservation </w:t>
      </w:r>
      <w:r w:rsidR="00D721A6" w:rsidRPr="001944EC">
        <w:rPr>
          <w:rFonts w:eastAsia="Times New Roman" w:cstheme="minorHAnsi"/>
          <w:b/>
          <w:sz w:val="24"/>
          <w:szCs w:val="24"/>
          <w:lang w:eastAsia="en-IN"/>
        </w:rPr>
        <w:t>s</w:t>
      </w:r>
      <w:r w:rsidRPr="001944EC">
        <w:rPr>
          <w:rFonts w:eastAsia="Times New Roman" w:cstheme="minorHAnsi"/>
          <w:b/>
          <w:sz w:val="24"/>
          <w:szCs w:val="24"/>
          <w:lang w:eastAsia="en-IN"/>
        </w:rPr>
        <w:t>copes</w:t>
      </w:r>
    </w:p>
    <w:p w14:paraId="524417E3"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Because PGSA is calculated from the individual PBS values of eligible staff members represented within a specified observation scope, different observation scopes may produce different PGSA values (</w:t>
      </w:r>
      <w:r w:rsidRPr="001944EC">
        <w:rPr>
          <w:rFonts w:eastAsia="Times New Roman" w:cstheme="minorHAnsi"/>
          <w:b/>
          <w:bCs/>
          <w:sz w:val="24"/>
          <w:szCs w:val="24"/>
          <w:lang w:eastAsia="en-IN"/>
        </w:rPr>
        <w:t>Table 13</w:t>
      </w:r>
      <w:r w:rsidRPr="001944EC">
        <w:rPr>
          <w:rFonts w:eastAsia="Times New Roman" w:cstheme="minorHAnsi"/>
          <w:sz w:val="24"/>
          <w:szCs w:val="24"/>
          <w:lang w:eastAsia="en-IN"/>
        </w:rPr>
        <w:t>).</w:t>
      </w:r>
    </w:p>
    <w:p w14:paraId="7CFD414E" w14:textId="77777777" w:rsidR="00D721A6" w:rsidRPr="001944EC" w:rsidRDefault="00D721A6" w:rsidP="006C1440">
      <w:pPr>
        <w:spacing w:after="0" w:line="240" w:lineRule="auto"/>
        <w:contextualSpacing/>
        <w:mirrorIndents/>
        <w:jc w:val="both"/>
        <w:rPr>
          <w:rFonts w:eastAsia="Times New Roman" w:cstheme="minorHAnsi"/>
          <w:sz w:val="24"/>
          <w:szCs w:val="24"/>
          <w:lang w:eastAsia="en-IN"/>
        </w:rPr>
      </w:pPr>
    </w:p>
    <w:p w14:paraId="195535B6"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lastRenderedPageBreak/>
        <w:t>These illustrative differences demonstrate that PGSA is an observation-scope-dependent aggregate measure. Differences may arise when the individual PBS values or the composition of the eligible staff population represented within the observation scope differ.</w:t>
      </w:r>
    </w:p>
    <w:p w14:paraId="74FA3D36"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Accordingly, interpret PGSA in relation to the predefined observation scope, eligibility criteria, observation period, and relevant operating conditions.</w:t>
      </w:r>
    </w:p>
    <w:p w14:paraId="3F0B465D"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When comparing PGSA values between healthcare units, departments, institutions, or observation periods, report the characteristics of the observation scope and the population represented to support appropriate interpretation and reproducibility.</w:t>
      </w:r>
    </w:p>
    <w:p w14:paraId="2E974078"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Do not interpret PGSA as a fixed characteristic of an individual staff member or as an inherent property of a healthcare unit or institution independent of the population and observation conditions represented in the assessment.</w:t>
      </w:r>
    </w:p>
    <w:p w14:paraId="20FF7559"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7B90F788" w14:textId="625D5024" w:rsidR="00A91ABD" w:rsidRPr="001944EC" w:rsidRDefault="00A91ABD"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b/>
          <w:sz w:val="24"/>
          <w:szCs w:val="24"/>
          <w:lang w:eastAsia="en-IN"/>
        </w:rPr>
        <w:t xml:space="preserve">Summary of the </w:t>
      </w:r>
      <w:r w:rsidR="00065E8A" w:rsidRPr="001944EC">
        <w:rPr>
          <w:rFonts w:eastAsia="Times New Roman" w:cstheme="minorHAnsi"/>
          <w:b/>
          <w:sz w:val="24"/>
          <w:szCs w:val="24"/>
          <w:lang w:eastAsia="en-IN"/>
        </w:rPr>
        <w:t>i</w:t>
      </w:r>
      <w:r w:rsidRPr="001944EC">
        <w:rPr>
          <w:rFonts w:eastAsia="Times New Roman" w:cstheme="minorHAnsi"/>
          <w:b/>
          <w:sz w:val="24"/>
          <w:szCs w:val="24"/>
          <w:lang w:eastAsia="en-IN"/>
        </w:rPr>
        <w:t xml:space="preserve">llustrative </w:t>
      </w:r>
      <w:r w:rsidR="00065E8A" w:rsidRPr="001944EC">
        <w:rPr>
          <w:rFonts w:eastAsia="Times New Roman" w:cstheme="minorHAnsi"/>
          <w:b/>
          <w:sz w:val="24"/>
          <w:szCs w:val="24"/>
          <w:lang w:eastAsia="en-IN"/>
        </w:rPr>
        <w:t>a</w:t>
      </w:r>
      <w:r w:rsidRPr="001944EC">
        <w:rPr>
          <w:rFonts w:eastAsia="Times New Roman" w:cstheme="minorHAnsi"/>
          <w:b/>
          <w:sz w:val="24"/>
          <w:szCs w:val="24"/>
          <w:lang w:eastAsia="en-IN"/>
        </w:rPr>
        <w:t>pplication</w:t>
      </w:r>
    </w:p>
    <w:p w14:paraId="0375289A"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illustrative examples demonstrate the sequential application of the PGST framework:</w:t>
      </w:r>
    </w:p>
    <w:p w14:paraId="40A349BA" w14:textId="77777777" w:rsidR="00A91ABD" w:rsidRPr="001944EC" w:rsidRDefault="00A91ABD" w:rsidP="006C1440">
      <w:pPr>
        <w:spacing w:after="0" w:line="240" w:lineRule="auto"/>
        <w:contextualSpacing/>
        <w:mirrorIndents/>
        <w:jc w:val="both"/>
        <w:rPr>
          <w:rFonts w:eastAsia="Times New Roman" w:cstheme="minorHAnsi"/>
          <w:bCs/>
          <w:sz w:val="24"/>
          <w:szCs w:val="24"/>
          <w:lang w:eastAsia="en-IN"/>
        </w:rPr>
      </w:pPr>
      <w:r w:rsidRPr="001944EC">
        <w:rPr>
          <w:rFonts w:eastAsia="Times New Roman" w:cstheme="minorHAnsi"/>
          <w:bCs/>
          <w:sz w:val="24"/>
          <w:szCs w:val="24"/>
          <w:lang w:eastAsia="en-IN"/>
        </w:rPr>
        <w:t>CA, VD, RR, ERF → PBS → PGSA</w:t>
      </w:r>
    </w:p>
    <w:p w14:paraId="124FF2F5" w14:textId="77777777" w:rsidR="00065E8A" w:rsidRPr="001944EC" w:rsidRDefault="00065E8A" w:rsidP="006C1440">
      <w:pPr>
        <w:spacing w:after="0" w:line="240" w:lineRule="auto"/>
        <w:contextualSpacing/>
        <w:mirrorIndents/>
        <w:jc w:val="both"/>
        <w:rPr>
          <w:rFonts w:eastAsia="Times New Roman" w:cstheme="minorHAnsi"/>
          <w:bCs/>
          <w:sz w:val="24"/>
          <w:szCs w:val="24"/>
          <w:lang w:eastAsia="en-IN"/>
        </w:rPr>
      </w:pPr>
    </w:p>
    <w:p w14:paraId="485D34FB" w14:textId="3216E399" w:rsidR="00A91ABD" w:rsidRPr="001944EC" w:rsidRDefault="00D00B54"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four MBPBF domains were assessed through the predefined observation procedure, and the resulting domain scores were used to derive the individual staff member's PBS. Eligible individual PBS values within the predefined observation scope were then aggregated to obtain PGSA.</w:t>
      </w:r>
    </w:p>
    <w:p w14:paraId="447A1FBE"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m:oMathPara>
        <m:oMath>
          <m:r>
            <w:rPr>
              <w:rFonts w:ascii="Cambria Math" w:eastAsia="Times New Roman" w:hAnsi="Cambria Math" w:cstheme="minorHAnsi"/>
              <w:sz w:val="24"/>
              <w:szCs w:val="24"/>
              <w:lang w:eastAsia="en-IN"/>
            </w:rPr>
            <m:t>PGSA = ΣPBSᵢ / N</m:t>
          </m:r>
        </m:oMath>
      </m:oMathPara>
    </w:p>
    <w:p w14:paraId="08E72D1D"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665CA9D3" w14:textId="76C84E7C"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Thus, PBS represents the </w:t>
      </w:r>
      <w:proofErr w:type="spellStart"/>
      <w:r w:rsidR="000934E9" w:rsidRPr="001944EC">
        <w:rPr>
          <w:rFonts w:eastAsia="Times New Roman" w:cstheme="minorHAnsi"/>
          <w:sz w:val="24"/>
          <w:szCs w:val="24"/>
          <w:lang w:eastAsia="en-IN"/>
        </w:rPr>
        <w:t>behavior</w:t>
      </w:r>
      <w:r w:rsidRPr="001944EC">
        <w:rPr>
          <w:rFonts w:eastAsia="Times New Roman" w:cstheme="minorHAnsi"/>
          <w:sz w:val="24"/>
          <w:szCs w:val="24"/>
          <w:lang w:eastAsia="en-IN"/>
        </w:rPr>
        <w:t>al</w:t>
      </w:r>
      <w:proofErr w:type="spellEnd"/>
      <w:r w:rsidRPr="001944EC">
        <w:rPr>
          <w:rFonts w:eastAsia="Times New Roman" w:cstheme="minorHAnsi"/>
          <w:sz w:val="24"/>
          <w:szCs w:val="24"/>
          <w:lang w:eastAsia="en-IN"/>
        </w:rPr>
        <w:t xml:space="preserve"> precision score of an individual staff member, whereas PGSA represents the aggregate mean of the individual PBS values of eligible staff members represented within a defined observation scope.</w:t>
      </w:r>
    </w:p>
    <w:p w14:paraId="0BEBEF1A"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examples are simulated solely to demonstrate the calculation and interpretation procedures and should not be interpreted as empirical validation of the PGST, PBS, or PGSA constructs.</w:t>
      </w:r>
    </w:p>
    <w:p w14:paraId="10E6DC95" w14:textId="77777777" w:rsidR="00065E8A" w:rsidRPr="001944EC" w:rsidRDefault="00065E8A" w:rsidP="006C1440">
      <w:pPr>
        <w:spacing w:after="0" w:line="240" w:lineRule="auto"/>
        <w:contextualSpacing/>
        <w:mirrorIndents/>
        <w:jc w:val="both"/>
        <w:rPr>
          <w:rFonts w:eastAsia="Times New Roman" w:cstheme="minorHAnsi"/>
          <w:sz w:val="24"/>
          <w:szCs w:val="24"/>
          <w:lang w:eastAsia="en-IN"/>
        </w:rPr>
      </w:pPr>
    </w:p>
    <w:p w14:paraId="75407E0D" w14:textId="7DE77837" w:rsidR="00A91ABD" w:rsidRPr="001944EC" w:rsidRDefault="00A91ABD" w:rsidP="006C1440">
      <w:pPr>
        <w:spacing w:after="0" w:line="240" w:lineRule="auto"/>
        <w:contextualSpacing/>
        <w:mirrorIndents/>
        <w:jc w:val="both"/>
        <w:rPr>
          <w:rFonts w:eastAsia="Times New Roman" w:cstheme="minorHAnsi"/>
          <w:b/>
          <w:sz w:val="24"/>
          <w:szCs w:val="24"/>
          <w:lang w:eastAsia="en-IN"/>
        </w:rPr>
      </w:pPr>
      <w:r w:rsidRPr="001944EC">
        <w:rPr>
          <w:rFonts w:eastAsia="Times New Roman" w:cstheme="minorHAnsi"/>
          <w:b/>
          <w:sz w:val="24"/>
          <w:szCs w:val="24"/>
          <w:lang w:eastAsia="en-IN"/>
        </w:rPr>
        <w:t xml:space="preserve">Interpretation of </w:t>
      </w:r>
      <w:r w:rsidR="00065E8A" w:rsidRPr="001944EC">
        <w:rPr>
          <w:rFonts w:eastAsia="Times New Roman" w:cstheme="minorHAnsi"/>
          <w:b/>
          <w:sz w:val="24"/>
          <w:szCs w:val="24"/>
          <w:lang w:eastAsia="en-IN"/>
        </w:rPr>
        <w:t>r</w:t>
      </w:r>
      <w:r w:rsidRPr="001944EC">
        <w:rPr>
          <w:rFonts w:eastAsia="Times New Roman" w:cstheme="minorHAnsi"/>
          <w:b/>
          <w:sz w:val="24"/>
          <w:szCs w:val="24"/>
          <w:lang w:eastAsia="en-IN"/>
        </w:rPr>
        <w:t xml:space="preserve">epresentative </w:t>
      </w:r>
      <w:r w:rsidR="00065E8A" w:rsidRPr="001944EC">
        <w:rPr>
          <w:rFonts w:eastAsia="Times New Roman" w:cstheme="minorHAnsi"/>
          <w:b/>
          <w:sz w:val="24"/>
          <w:szCs w:val="24"/>
          <w:lang w:eastAsia="en-IN"/>
        </w:rPr>
        <w:t>r</w:t>
      </w:r>
      <w:r w:rsidRPr="001944EC">
        <w:rPr>
          <w:rFonts w:eastAsia="Times New Roman" w:cstheme="minorHAnsi"/>
          <w:b/>
          <w:sz w:val="24"/>
          <w:szCs w:val="24"/>
          <w:lang w:eastAsia="en-IN"/>
        </w:rPr>
        <w:t>esults</w:t>
      </w:r>
    </w:p>
    <w:p w14:paraId="4630AF1C"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representative calculations demonstrate the operational sequence of the PGST framework:</w:t>
      </w:r>
    </w:p>
    <w:p w14:paraId="54BA9EB6" w14:textId="77777777" w:rsidR="00A91ABD" w:rsidRPr="001944EC" w:rsidRDefault="00A91ABD" w:rsidP="006C1440">
      <w:pPr>
        <w:spacing w:after="0" w:line="240" w:lineRule="auto"/>
        <w:contextualSpacing/>
        <w:mirrorIndents/>
        <w:jc w:val="both"/>
        <w:rPr>
          <w:rFonts w:eastAsia="Times New Roman" w:cstheme="minorHAnsi"/>
          <w:bCs/>
          <w:sz w:val="24"/>
          <w:szCs w:val="24"/>
          <w:lang w:eastAsia="en-IN"/>
        </w:rPr>
      </w:pPr>
      <w:r w:rsidRPr="001944EC">
        <w:rPr>
          <w:rFonts w:eastAsia="Times New Roman" w:cstheme="minorHAnsi"/>
          <w:bCs/>
          <w:sz w:val="24"/>
          <w:szCs w:val="24"/>
          <w:lang w:eastAsia="en-IN"/>
        </w:rPr>
        <w:t>CA, VD, RR, ERF → PBS → PGSA</w:t>
      </w:r>
    </w:p>
    <w:p w14:paraId="16678848" w14:textId="33FBD8BB"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The four MBPBF domains—Cognitive Anchoring (CA), Visual Discrimination (VD), Repetition Reinforcement (RR), and Error-Responsive Feedback (ERF)—are combined to derive the individual staff-member Precision </w:t>
      </w:r>
      <w:r w:rsidR="000934E9" w:rsidRPr="001944EC">
        <w:rPr>
          <w:rFonts w:eastAsia="Times New Roman" w:cstheme="minorHAnsi"/>
          <w:sz w:val="24"/>
          <w:szCs w:val="24"/>
          <w:lang w:eastAsia="en-IN"/>
        </w:rPr>
        <w:t>Behavior</w:t>
      </w:r>
      <w:r w:rsidRPr="001944EC">
        <w:rPr>
          <w:rFonts w:eastAsia="Times New Roman" w:cstheme="minorHAnsi"/>
          <w:sz w:val="24"/>
          <w:szCs w:val="24"/>
          <w:lang w:eastAsia="en-IN"/>
        </w:rPr>
        <w:t xml:space="preserve"> Score</w:t>
      </w:r>
      <w:r w:rsidRPr="001944EC">
        <w:rPr>
          <w:rFonts w:eastAsia="Times New Roman" w:cstheme="minorHAnsi"/>
          <w:sz w:val="24"/>
          <w:szCs w:val="24"/>
          <w:vertAlign w:val="superscript"/>
          <w:lang w:eastAsia="en-IN"/>
        </w:rPr>
        <w:t>1</w:t>
      </w:r>
      <w:r w:rsidRPr="001944EC">
        <w:rPr>
          <w:rFonts w:eastAsia="Times New Roman" w:cstheme="minorHAnsi"/>
          <w:sz w:val="24"/>
          <w:szCs w:val="24"/>
          <w:lang w:eastAsia="en-IN"/>
        </w:rPr>
        <w:t xml:space="preserve"> (PBS).</w:t>
      </w:r>
    </w:p>
    <w:p w14:paraId="1CE3F5AB"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PGSA is subsequently calculated by aggregating the individual PBS values of eligible staff members within a predefined observation scope:</w:t>
      </w:r>
    </w:p>
    <w:p w14:paraId="0D467654" w14:textId="196FBE59" w:rsidR="00065E8A" w:rsidRPr="001944EC" w:rsidRDefault="00065E8A" w:rsidP="006C1440">
      <w:pPr>
        <w:spacing w:after="0" w:line="240" w:lineRule="auto"/>
        <w:contextualSpacing/>
        <w:mirrorIndents/>
        <w:jc w:val="both"/>
        <w:rPr>
          <w:rFonts w:eastAsia="Times New Roman" w:cstheme="minorHAnsi"/>
          <w:sz w:val="24"/>
          <w:szCs w:val="24"/>
          <w:lang w:eastAsia="en-IN"/>
        </w:rPr>
      </w:pPr>
      <m:oMathPara>
        <m:oMath>
          <m:r>
            <w:rPr>
              <w:rFonts w:ascii="Cambria Math" w:eastAsia="Times New Roman" w:hAnsi="Cambria Math" w:cstheme="minorHAnsi"/>
              <w:sz w:val="24"/>
              <w:szCs w:val="24"/>
              <w:lang w:eastAsia="en-IN"/>
            </w:rPr>
            <m:t>PGSA = ΣPBSᵢ / N</m:t>
          </m:r>
        </m:oMath>
      </m:oMathPara>
    </w:p>
    <w:p w14:paraId="70546DD8" w14:textId="5FB6566C" w:rsidR="00A91ABD" w:rsidRPr="001944EC" w:rsidRDefault="00A91ABD" w:rsidP="006C1440">
      <w:pPr>
        <w:spacing w:after="0" w:line="240" w:lineRule="auto"/>
        <w:contextualSpacing/>
        <w:mirrorIndents/>
        <w:jc w:val="both"/>
        <w:rPr>
          <w:rFonts w:eastAsia="Times New Roman" w:cstheme="minorHAnsi"/>
          <w:b/>
          <w:sz w:val="24"/>
          <w:szCs w:val="24"/>
          <w:lang w:eastAsia="en-IN"/>
        </w:rPr>
      </w:pPr>
    </w:p>
    <w:p w14:paraId="7206F7AB" w14:textId="711E5AED"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 xml:space="preserve">Thus, PBS represents the </w:t>
      </w:r>
      <w:proofErr w:type="spellStart"/>
      <w:r w:rsidR="000934E9" w:rsidRPr="001944EC">
        <w:rPr>
          <w:rFonts w:eastAsia="Times New Roman" w:cstheme="minorHAnsi"/>
          <w:sz w:val="24"/>
          <w:szCs w:val="24"/>
          <w:lang w:eastAsia="en-IN"/>
        </w:rPr>
        <w:t>behavior</w:t>
      </w:r>
      <w:r w:rsidRPr="001944EC">
        <w:rPr>
          <w:rFonts w:eastAsia="Times New Roman" w:cstheme="minorHAnsi"/>
          <w:sz w:val="24"/>
          <w:szCs w:val="24"/>
          <w:lang w:eastAsia="en-IN"/>
        </w:rPr>
        <w:t>al</w:t>
      </w:r>
      <w:proofErr w:type="spellEnd"/>
      <w:r w:rsidRPr="001944EC">
        <w:rPr>
          <w:rFonts w:eastAsia="Times New Roman" w:cstheme="minorHAnsi"/>
          <w:sz w:val="24"/>
          <w:szCs w:val="24"/>
          <w:lang w:eastAsia="en-IN"/>
        </w:rPr>
        <w:t xml:space="preserve"> precision score of an individual staff member, whereas PGSA represents the aggregate mean of the individual PBS values within the defined observation scope.</w:t>
      </w:r>
    </w:p>
    <w:p w14:paraId="1058533C" w14:textId="495D944F"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The observation scope may correspond to a healthcare unit, department</w:t>
      </w:r>
      <w:r w:rsidR="00D721A6" w:rsidRPr="001944EC">
        <w:rPr>
          <w:rFonts w:eastAsia="Times New Roman" w:cstheme="minorHAnsi"/>
          <w:sz w:val="24"/>
          <w:szCs w:val="24"/>
          <w:lang w:eastAsia="en-IN"/>
        </w:rPr>
        <w:t>,</w:t>
      </w:r>
      <w:r w:rsidRPr="001944EC">
        <w:rPr>
          <w:rFonts w:eastAsia="Times New Roman" w:cstheme="minorHAnsi"/>
          <w:sz w:val="24"/>
          <w:szCs w:val="24"/>
          <w:lang w:eastAsia="en-IN"/>
        </w:rPr>
        <w:t xml:space="preserve"> or division, institution, or another predefined organizational or operational scope. Interpret PGSA in relation to the population represented, observation period, and predefined observation </w:t>
      </w:r>
      <w:r w:rsidRPr="001944EC">
        <w:rPr>
          <w:rFonts w:eastAsia="Times New Roman" w:cstheme="minorHAnsi"/>
          <w:sz w:val="24"/>
          <w:szCs w:val="24"/>
          <w:lang w:eastAsia="en-IN"/>
        </w:rPr>
        <w:lastRenderedPageBreak/>
        <w:t>conditions. Do not regard PGSA as a fixed characteristic of an individual staff member or institution</w:t>
      </w:r>
      <w:r w:rsidR="00D721A6" w:rsidRPr="001944EC">
        <w:rPr>
          <w:rFonts w:eastAsia="Times New Roman" w:cstheme="minorHAnsi"/>
          <w:sz w:val="24"/>
          <w:szCs w:val="24"/>
          <w:lang w:eastAsia="en-IN"/>
        </w:rPr>
        <w:t>,</w:t>
      </w:r>
      <w:r w:rsidRPr="001944EC">
        <w:rPr>
          <w:rFonts w:eastAsia="Times New Roman" w:cstheme="minorHAnsi"/>
          <w:sz w:val="24"/>
          <w:szCs w:val="24"/>
          <w:lang w:eastAsia="en-IN"/>
        </w:rPr>
        <w:t xml:space="preserve"> independent of the observation context.</w:t>
      </w:r>
    </w:p>
    <w:p w14:paraId="0512A4CA" w14:textId="77777777" w:rsidR="00D721A6" w:rsidRPr="001944EC" w:rsidRDefault="00D721A6" w:rsidP="006C1440">
      <w:pPr>
        <w:spacing w:after="0" w:line="240" w:lineRule="auto"/>
        <w:contextualSpacing/>
        <w:mirrorIndents/>
        <w:jc w:val="both"/>
        <w:rPr>
          <w:rFonts w:eastAsia="Times New Roman" w:cstheme="minorHAnsi"/>
          <w:sz w:val="24"/>
          <w:szCs w:val="24"/>
          <w:lang w:eastAsia="en-IN"/>
        </w:rPr>
      </w:pPr>
    </w:p>
    <w:p w14:paraId="277DDEDE"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r w:rsidRPr="001944EC">
        <w:rPr>
          <w:rFonts w:eastAsia="Times New Roman" w:cstheme="minorHAnsi"/>
          <w:sz w:val="24"/>
          <w:szCs w:val="24"/>
          <w:lang w:eastAsia="en-IN"/>
        </w:rPr>
        <w:t>PGSA is an observation-derived aggregate measure within the PGST framework and should not be interpreted as an absolute, universal, gold-standard, or independently validated accuracy measure. Where an appropriate external reference standard or independent expert assessment is available, evaluate criterion-related accuracy or agreement separately as part of empirical validation.</w:t>
      </w:r>
    </w:p>
    <w:p w14:paraId="08E15522" w14:textId="77777777" w:rsidR="00CA1E63" w:rsidRPr="001944EC" w:rsidRDefault="00CA1E63" w:rsidP="006C1440">
      <w:pPr>
        <w:spacing w:after="0" w:line="240" w:lineRule="auto"/>
        <w:contextualSpacing/>
        <w:mirrorIndents/>
        <w:jc w:val="both"/>
        <w:rPr>
          <w:rFonts w:eastAsia="Times New Roman" w:cstheme="minorHAnsi"/>
          <w:sz w:val="24"/>
          <w:szCs w:val="24"/>
          <w:lang w:eastAsia="en-IN"/>
        </w:rPr>
      </w:pPr>
    </w:p>
    <w:p w14:paraId="3CBC7AAD" w14:textId="77777777" w:rsidR="00A91ABD" w:rsidRPr="001944EC" w:rsidRDefault="001431DC" w:rsidP="006C1440">
      <w:pPr>
        <w:spacing w:after="0" w:line="240" w:lineRule="auto"/>
        <w:contextualSpacing/>
        <w:mirrorIndents/>
        <w:jc w:val="both"/>
        <w:rPr>
          <w:rFonts w:eastAsia="Times New Roman" w:cstheme="minorHAnsi"/>
          <w:b/>
          <w:bCs/>
          <w:sz w:val="24"/>
          <w:szCs w:val="24"/>
          <w:lang w:eastAsia="en-IN"/>
        </w:rPr>
      </w:pPr>
      <w:r w:rsidRPr="001944EC">
        <w:rPr>
          <w:rFonts w:eastAsia="Times New Roman" w:cstheme="minorHAnsi"/>
          <w:b/>
          <w:bCs/>
          <w:sz w:val="24"/>
          <w:szCs w:val="24"/>
          <w:lang w:eastAsia="en-IN"/>
        </w:rPr>
        <w:t>FIGURE AND TABLE LEGENDS:</w:t>
      </w:r>
    </w:p>
    <w:p w14:paraId="532A06A2" w14:textId="53E71FF4" w:rsidR="00A91ABD" w:rsidRPr="001944EC" w:rsidRDefault="00A91ABD" w:rsidP="006C1440">
      <w:pPr>
        <w:spacing w:after="0" w:line="240" w:lineRule="auto"/>
        <w:contextualSpacing/>
        <w:mirrorIndents/>
        <w:jc w:val="both"/>
        <w:rPr>
          <w:rFonts w:eastAsia="Times New Roman" w:cstheme="minorHAnsi"/>
          <w:b/>
          <w:iCs/>
          <w:sz w:val="24"/>
          <w:szCs w:val="24"/>
          <w:lang w:eastAsia="en-IN"/>
        </w:rPr>
      </w:pPr>
      <w:r w:rsidRPr="001944EC">
        <w:rPr>
          <w:rFonts w:eastAsia="Times New Roman" w:cstheme="minorHAnsi"/>
          <w:b/>
          <w:bCs/>
          <w:iCs/>
          <w:sz w:val="24"/>
          <w:szCs w:val="24"/>
          <w:lang w:eastAsia="en-IN"/>
        </w:rPr>
        <w:t>Figure 1</w:t>
      </w:r>
      <w:r w:rsidR="0075026E"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Conceptual </w:t>
      </w:r>
      <w:r w:rsidR="00065E8A" w:rsidRPr="001944EC">
        <w:rPr>
          <w:rFonts w:eastAsia="Times New Roman" w:cstheme="minorHAnsi"/>
          <w:b/>
          <w:bCs/>
          <w:iCs/>
          <w:sz w:val="24"/>
          <w:szCs w:val="24"/>
          <w:lang w:eastAsia="en-IN"/>
        </w:rPr>
        <w:t>f</w:t>
      </w:r>
      <w:r w:rsidRPr="001944EC">
        <w:rPr>
          <w:rFonts w:eastAsia="Times New Roman" w:cstheme="minorHAnsi"/>
          <w:b/>
          <w:bCs/>
          <w:iCs/>
          <w:sz w:val="24"/>
          <w:szCs w:val="24"/>
          <w:lang w:eastAsia="en-IN"/>
        </w:rPr>
        <w:t xml:space="preserve">ramework of </w:t>
      </w:r>
      <w:r w:rsidR="00065E8A" w:rsidRPr="001944EC">
        <w:rPr>
          <w:rFonts w:eastAsia="Times New Roman" w:cstheme="minorHAnsi"/>
          <w:b/>
          <w:bCs/>
          <w:iCs/>
          <w:sz w:val="24"/>
          <w:szCs w:val="24"/>
          <w:lang w:eastAsia="en-IN"/>
        </w:rPr>
        <w:t>p</w:t>
      </w:r>
      <w:r w:rsidRPr="001944EC">
        <w:rPr>
          <w:rFonts w:eastAsia="Times New Roman" w:cstheme="minorHAnsi"/>
          <w:b/>
          <w:bCs/>
          <w:iCs/>
          <w:sz w:val="24"/>
          <w:szCs w:val="24"/>
          <w:lang w:eastAsia="en-IN"/>
        </w:rPr>
        <w:t>oint-of-</w:t>
      </w:r>
      <w:r w:rsidR="00065E8A" w:rsidRPr="001944EC">
        <w:rPr>
          <w:rFonts w:eastAsia="Times New Roman" w:cstheme="minorHAnsi"/>
          <w:b/>
          <w:bCs/>
          <w:iCs/>
          <w:sz w:val="24"/>
          <w:szCs w:val="24"/>
          <w:lang w:eastAsia="en-IN"/>
        </w:rPr>
        <w:t>g</w:t>
      </w:r>
      <w:r w:rsidRPr="001944EC">
        <w:rPr>
          <w:rFonts w:eastAsia="Times New Roman" w:cstheme="minorHAnsi"/>
          <w:b/>
          <w:bCs/>
          <w:iCs/>
          <w:sz w:val="24"/>
          <w:szCs w:val="24"/>
          <w:lang w:eastAsia="en-IN"/>
        </w:rPr>
        <w:t xml:space="preserve">eneration </w:t>
      </w:r>
      <w:r w:rsidR="00065E8A" w:rsidRPr="001944EC">
        <w:rPr>
          <w:rFonts w:eastAsia="Times New Roman" w:cstheme="minorHAnsi"/>
          <w:b/>
          <w:bCs/>
          <w:iCs/>
          <w:sz w:val="24"/>
          <w:szCs w:val="24"/>
          <w:lang w:eastAsia="en-IN"/>
        </w:rPr>
        <w:t>s</w:t>
      </w:r>
      <w:r w:rsidRPr="001944EC">
        <w:rPr>
          <w:rFonts w:eastAsia="Times New Roman" w:cstheme="minorHAnsi"/>
          <w:b/>
          <w:bCs/>
          <w:iCs/>
          <w:sz w:val="24"/>
          <w:szCs w:val="24"/>
          <w:lang w:eastAsia="en-IN"/>
        </w:rPr>
        <w:t xml:space="preserve">egregation </w:t>
      </w:r>
      <w:r w:rsidR="00065E8A" w:rsidRPr="001944EC">
        <w:rPr>
          <w:rFonts w:eastAsia="Times New Roman" w:cstheme="minorHAnsi"/>
          <w:b/>
          <w:bCs/>
          <w:iCs/>
          <w:sz w:val="24"/>
          <w:szCs w:val="24"/>
          <w:lang w:eastAsia="en-IN"/>
        </w:rPr>
        <w:t>t</w:t>
      </w:r>
      <w:r w:rsidRPr="001944EC">
        <w:rPr>
          <w:rFonts w:eastAsia="Times New Roman" w:cstheme="minorHAnsi"/>
          <w:b/>
          <w:bCs/>
          <w:iCs/>
          <w:sz w:val="24"/>
          <w:szCs w:val="24"/>
          <w:lang w:eastAsia="en-IN"/>
        </w:rPr>
        <w:t>heory (PGST).</w:t>
      </w:r>
      <w:r w:rsidRPr="001944EC">
        <w:rPr>
          <w:rFonts w:eastAsia="Times New Roman" w:cstheme="minorHAnsi"/>
          <w:iCs/>
          <w:sz w:val="24"/>
          <w:szCs w:val="24"/>
          <w:lang w:eastAsia="en-IN"/>
        </w:rPr>
        <w:t xml:space="preserve"> Conceptual framework illustrating the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precision architecture of PGST, including point-of-waste generation, human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execution, Moment-Based Precision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Fidelity (MBPBF) domains, Precision Behavior Score (PBS) computation, Point-of-Generation Segregation Accuracy (PGSA) aggregation, and downstream healthcare quality outcomes. The framework builds on the PGST architecture described in “Bhadran’s point of generation segregation theory for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precision in biomedical waste management”</w:t>
      </w:r>
      <w:r w:rsidRPr="001944EC">
        <w:rPr>
          <w:rFonts w:eastAsia="Times New Roman" w:cstheme="minorHAnsi"/>
          <w:iCs/>
          <w:sz w:val="24"/>
          <w:szCs w:val="24"/>
          <w:vertAlign w:val="superscript"/>
          <w:lang w:eastAsia="en-IN"/>
        </w:rPr>
        <w:t>1</w:t>
      </w:r>
      <w:r w:rsidRPr="001944EC">
        <w:rPr>
          <w:rFonts w:eastAsia="Times New Roman" w:cstheme="minorHAnsi"/>
          <w:iCs/>
          <w:sz w:val="24"/>
          <w:szCs w:val="24"/>
          <w:lang w:eastAsia="en-IN"/>
        </w:rPr>
        <w:t>.</w:t>
      </w:r>
    </w:p>
    <w:p w14:paraId="283BC6E1" w14:textId="77777777" w:rsidR="000934E9" w:rsidRPr="001944EC" w:rsidRDefault="000934E9" w:rsidP="006C1440">
      <w:pPr>
        <w:spacing w:after="0" w:line="240" w:lineRule="auto"/>
        <w:contextualSpacing/>
        <w:mirrorIndents/>
        <w:jc w:val="both"/>
        <w:rPr>
          <w:rFonts w:eastAsia="Times New Roman" w:cstheme="minorHAnsi"/>
          <w:b/>
          <w:bCs/>
          <w:iCs/>
          <w:sz w:val="24"/>
          <w:szCs w:val="24"/>
          <w:lang w:eastAsia="en-IN"/>
        </w:rPr>
      </w:pPr>
    </w:p>
    <w:p w14:paraId="3D967E75" w14:textId="18802BD5"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Figure 2</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Moment-</w:t>
      </w:r>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 xml:space="preserve">ased </w:t>
      </w:r>
      <w:r w:rsidR="00065E8A" w:rsidRPr="001944EC">
        <w:rPr>
          <w:rFonts w:eastAsia="Times New Roman" w:cstheme="minorHAnsi"/>
          <w:b/>
          <w:bCs/>
          <w:iCs/>
          <w:sz w:val="24"/>
          <w:szCs w:val="24"/>
          <w:lang w:eastAsia="en-IN"/>
        </w:rPr>
        <w:t>pr</w:t>
      </w:r>
      <w:r w:rsidRPr="001944EC">
        <w:rPr>
          <w:rFonts w:eastAsia="Times New Roman" w:cstheme="minorHAnsi"/>
          <w:b/>
          <w:bCs/>
          <w:iCs/>
          <w:sz w:val="24"/>
          <w:szCs w:val="24"/>
          <w:lang w:eastAsia="en-IN"/>
        </w:rPr>
        <w:t xml:space="preserve">ecision </w:t>
      </w:r>
      <w:proofErr w:type="spellStart"/>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ehavioral</w:t>
      </w:r>
      <w:proofErr w:type="spellEnd"/>
      <w:r w:rsidRPr="001944EC">
        <w:rPr>
          <w:rFonts w:eastAsia="Times New Roman" w:cstheme="minorHAnsi"/>
          <w:b/>
          <w:bCs/>
          <w:iCs/>
          <w:sz w:val="24"/>
          <w:szCs w:val="24"/>
          <w:lang w:eastAsia="en-IN"/>
        </w:rPr>
        <w:t xml:space="preserve"> </w:t>
      </w:r>
      <w:r w:rsidR="00065E8A" w:rsidRPr="001944EC">
        <w:rPr>
          <w:rFonts w:eastAsia="Times New Roman" w:cstheme="minorHAnsi"/>
          <w:b/>
          <w:bCs/>
          <w:iCs/>
          <w:sz w:val="24"/>
          <w:szCs w:val="24"/>
          <w:lang w:eastAsia="en-IN"/>
        </w:rPr>
        <w:t>f</w:t>
      </w:r>
      <w:r w:rsidRPr="001944EC">
        <w:rPr>
          <w:rFonts w:eastAsia="Times New Roman" w:cstheme="minorHAnsi"/>
          <w:b/>
          <w:bCs/>
          <w:iCs/>
          <w:sz w:val="24"/>
          <w:szCs w:val="24"/>
          <w:lang w:eastAsia="en-IN"/>
        </w:rPr>
        <w:t xml:space="preserve">idelity (MBPBF) </w:t>
      </w:r>
      <w:proofErr w:type="spellStart"/>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ehavioral</w:t>
      </w:r>
      <w:proofErr w:type="spellEnd"/>
      <w:r w:rsidRPr="001944EC">
        <w:rPr>
          <w:rFonts w:eastAsia="Times New Roman" w:cstheme="minorHAnsi"/>
          <w:b/>
          <w:bCs/>
          <w:iCs/>
          <w:sz w:val="24"/>
          <w:szCs w:val="24"/>
          <w:lang w:eastAsia="en-IN"/>
        </w:rPr>
        <w:t xml:space="preserve"> </w:t>
      </w:r>
      <w:r w:rsidR="00065E8A" w:rsidRPr="001944EC">
        <w:rPr>
          <w:rFonts w:eastAsia="Times New Roman" w:cstheme="minorHAnsi"/>
          <w:b/>
          <w:bCs/>
          <w:iCs/>
          <w:sz w:val="24"/>
          <w:szCs w:val="24"/>
          <w:lang w:eastAsia="en-IN"/>
        </w:rPr>
        <w:t>d</w:t>
      </w:r>
      <w:r w:rsidRPr="001944EC">
        <w:rPr>
          <w:rFonts w:eastAsia="Times New Roman" w:cstheme="minorHAnsi"/>
          <w:b/>
          <w:bCs/>
          <w:iCs/>
          <w:sz w:val="24"/>
          <w:szCs w:val="24"/>
          <w:lang w:eastAsia="en-IN"/>
        </w:rPr>
        <w:t xml:space="preserve">omains </w:t>
      </w:r>
      <w:r w:rsidR="001944EC">
        <w:rPr>
          <w:rFonts w:eastAsia="Times New Roman" w:cstheme="minorHAnsi"/>
          <w:b/>
          <w:bCs/>
          <w:iCs/>
          <w:sz w:val="24"/>
          <w:szCs w:val="24"/>
          <w:lang w:eastAsia="en-IN"/>
        </w:rPr>
        <w:t>f</w:t>
      </w:r>
      <w:r w:rsidRPr="001944EC">
        <w:rPr>
          <w:rFonts w:eastAsia="Times New Roman" w:cstheme="minorHAnsi"/>
          <w:b/>
          <w:bCs/>
          <w:iCs/>
          <w:sz w:val="24"/>
          <w:szCs w:val="24"/>
          <w:lang w:eastAsia="en-IN"/>
        </w:rPr>
        <w:t>ramework.</w:t>
      </w:r>
      <w:r w:rsidRPr="001944EC">
        <w:rPr>
          <w:rFonts w:eastAsia="Times New Roman" w:cstheme="minorHAnsi"/>
          <w:iCs/>
          <w:sz w:val="24"/>
          <w:szCs w:val="24"/>
          <w:lang w:eastAsia="en-IN"/>
        </w:rPr>
        <w:t xml:space="preserve"> Conceptual representation of the Moment-Based Precision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Fidelity (MBPBF) framework illustrating the four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precision domains underlying Point-of-Generation Segregation Theory (PGST): Cognitive Anchoring (CA), Visual Discrimination (VD), Repetition Reinforcement (RR), and Error-Responsive Feedback (ERF). The framework builds on the MBPBF architecture described in</w:t>
      </w:r>
      <w:r w:rsidRPr="001944EC">
        <w:rPr>
          <w:rFonts w:cstheme="minorHAnsi"/>
          <w:iCs/>
          <w:sz w:val="24"/>
          <w:szCs w:val="24"/>
        </w:rPr>
        <w:t xml:space="preserve"> </w:t>
      </w:r>
      <w:r w:rsidRPr="001944EC">
        <w:rPr>
          <w:rFonts w:eastAsia="Times New Roman" w:cstheme="minorHAnsi"/>
          <w:iCs/>
          <w:sz w:val="24"/>
          <w:szCs w:val="24"/>
          <w:lang w:eastAsia="en-IN"/>
        </w:rPr>
        <w:t xml:space="preserve">“Bhadran’s point of generation segregation theory for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precision in biomedical waste management”</w:t>
      </w:r>
      <w:r w:rsidRPr="001944EC">
        <w:rPr>
          <w:rFonts w:eastAsia="Times New Roman" w:cstheme="minorHAnsi"/>
          <w:iCs/>
          <w:sz w:val="24"/>
          <w:szCs w:val="24"/>
          <w:vertAlign w:val="superscript"/>
          <w:lang w:eastAsia="en-IN"/>
        </w:rPr>
        <w:t>1</w:t>
      </w:r>
      <w:r w:rsidRPr="001944EC">
        <w:rPr>
          <w:rFonts w:eastAsia="Times New Roman" w:cstheme="minorHAnsi"/>
          <w:iCs/>
          <w:sz w:val="24"/>
          <w:szCs w:val="24"/>
          <w:lang w:eastAsia="en-IN"/>
        </w:rPr>
        <w:t>.</w:t>
      </w:r>
    </w:p>
    <w:p w14:paraId="34738735" w14:textId="77777777" w:rsidR="000934E9" w:rsidRPr="001944EC" w:rsidRDefault="000934E9" w:rsidP="006C1440">
      <w:pPr>
        <w:spacing w:after="0" w:line="240" w:lineRule="auto"/>
        <w:contextualSpacing/>
        <w:mirrorIndents/>
        <w:jc w:val="both"/>
        <w:rPr>
          <w:rFonts w:eastAsia="Times New Roman" w:cstheme="minorHAnsi"/>
          <w:b/>
          <w:bCs/>
          <w:iCs/>
          <w:sz w:val="24"/>
          <w:szCs w:val="24"/>
          <w:lang w:eastAsia="en-IN"/>
        </w:rPr>
      </w:pPr>
    </w:p>
    <w:p w14:paraId="76A79E89" w14:textId="3AF8A7ED"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Figure 3</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Standardized PGST </w:t>
      </w:r>
      <w:r w:rsidR="00065E8A" w:rsidRPr="001944EC">
        <w:rPr>
          <w:rFonts w:eastAsia="Times New Roman" w:cstheme="minorHAnsi"/>
          <w:b/>
          <w:bCs/>
          <w:iCs/>
          <w:sz w:val="24"/>
          <w:szCs w:val="24"/>
          <w:lang w:eastAsia="en-IN"/>
        </w:rPr>
        <w:t>o</w:t>
      </w:r>
      <w:r w:rsidRPr="001944EC">
        <w:rPr>
          <w:rFonts w:eastAsia="Times New Roman" w:cstheme="minorHAnsi"/>
          <w:b/>
          <w:bCs/>
          <w:iCs/>
          <w:sz w:val="24"/>
          <w:szCs w:val="24"/>
          <w:lang w:eastAsia="en-IN"/>
        </w:rPr>
        <w:t xml:space="preserve">bservation </w:t>
      </w:r>
      <w:r w:rsidR="00065E8A" w:rsidRPr="001944EC">
        <w:rPr>
          <w:rFonts w:eastAsia="Times New Roman" w:cstheme="minorHAnsi"/>
          <w:b/>
          <w:bCs/>
          <w:iCs/>
          <w:sz w:val="24"/>
          <w:szCs w:val="24"/>
          <w:lang w:eastAsia="en-IN"/>
        </w:rPr>
        <w:t>w</w:t>
      </w:r>
      <w:r w:rsidRPr="001944EC">
        <w:rPr>
          <w:rFonts w:eastAsia="Times New Roman" w:cstheme="minorHAnsi"/>
          <w:b/>
          <w:bCs/>
          <w:iCs/>
          <w:sz w:val="24"/>
          <w:szCs w:val="24"/>
          <w:lang w:eastAsia="en-IN"/>
        </w:rPr>
        <w:t>orkflow</w:t>
      </w:r>
      <w:r w:rsidRPr="001944EC">
        <w:rPr>
          <w:rFonts w:eastAsia="Times New Roman" w:cstheme="minorHAnsi"/>
          <w:iCs/>
          <w:sz w:val="24"/>
          <w:szCs w:val="24"/>
          <w:lang w:eastAsia="en-IN"/>
        </w:rPr>
        <w:t xml:space="preserve">. </w:t>
      </w:r>
      <w:r w:rsidR="00123C9E" w:rsidRPr="001944EC">
        <w:rPr>
          <w:rFonts w:eastAsia="Times New Roman" w:cstheme="minorHAnsi"/>
          <w:iCs/>
          <w:sz w:val="24"/>
          <w:szCs w:val="24"/>
          <w:lang w:eastAsia="en-IN"/>
        </w:rPr>
        <w:t xml:space="preserve">Standardized workflow for implementation of the Point-of-Generation Segregation Theory (PGST) observational protocol, including participant selection, observer calibration, </w:t>
      </w:r>
      <w:proofErr w:type="spellStart"/>
      <w:r w:rsidR="00123C9E" w:rsidRPr="001944EC">
        <w:rPr>
          <w:rFonts w:eastAsia="Times New Roman" w:cstheme="minorHAnsi"/>
          <w:iCs/>
          <w:sz w:val="24"/>
          <w:szCs w:val="24"/>
          <w:lang w:eastAsia="en-IN"/>
        </w:rPr>
        <w:t>behavioral</w:t>
      </w:r>
      <w:proofErr w:type="spellEnd"/>
      <w:r w:rsidR="00123C9E" w:rsidRPr="001944EC">
        <w:rPr>
          <w:rFonts w:eastAsia="Times New Roman" w:cstheme="minorHAnsi"/>
          <w:iCs/>
          <w:sz w:val="24"/>
          <w:szCs w:val="24"/>
          <w:lang w:eastAsia="en-IN"/>
        </w:rPr>
        <w:t xml:space="preserve"> observation, domain-based scoring, staff-level Precision Behavior Score (PBS) computation, Point-of-Generation Segregation Accuracy (PGSA) aggregation, and comparison across predefined observation scopes. The figure is an original methodological representation developed for the present protocol, incorporating concepts from the previously published PGST theoretical framework and extending them into a standardized operational and procedural workflow</w:t>
      </w:r>
      <w:r w:rsidRPr="001944EC">
        <w:rPr>
          <w:rFonts w:eastAsia="Times New Roman" w:cstheme="minorHAnsi"/>
          <w:iCs/>
          <w:sz w:val="24"/>
          <w:szCs w:val="24"/>
          <w:vertAlign w:val="superscript"/>
          <w:lang w:eastAsia="en-IN"/>
        </w:rPr>
        <w:t>1</w:t>
      </w:r>
      <w:r w:rsidRPr="001944EC">
        <w:rPr>
          <w:rFonts w:eastAsia="Times New Roman" w:cstheme="minorHAnsi"/>
          <w:iCs/>
          <w:sz w:val="24"/>
          <w:szCs w:val="24"/>
          <w:lang w:eastAsia="en-IN"/>
        </w:rPr>
        <w:t>.</w:t>
      </w:r>
    </w:p>
    <w:p w14:paraId="3A27445F" w14:textId="77777777" w:rsidR="00A91ABD" w:rsidRPr="001944EC" w:rsidRDefault="00A91ABD" w:rsidP="006C1440">
      <w:pPr>
        <w:spacing w:after="0" w:line="240" w:lineRule="auto"/>
        <w:contextualSpacing/>
        <w:mirrorIndents/>
        <w:jc w:val="both"/>
        <w:rPr>
          <w:rFonts w:eastAsia="Times New Roman" w:cstheme="minorHAnsi"/>
          <w:sz w:val="24"/>
          <w:szCs w:val="24"/>
          <w:lang w:eastAsia="en-IN"/>
        </w:rPr>
      </w:pPr>
    </w:p>
    <w:p w14:paraId="0F76C46F" w14:textId="541C9687"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Table 1</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Comparison of </w:t>
      </w:r>
      <w:r w:rsidR="00065E8A" w:rsidRPr="001944EC">
        <w:rPr>
          <w:rFonts w:eastAsia="Times New Roman" w:cstheme="minorHAnsi"/>
          <w:b/>
          <w:bCs/>
          <w:iCs/>
          <w:sz w:val="24"/>
          <w:szCs w:val="24"/>
          <w:lang w:eastAsia="en-IN"/>
        </w:rPr>
        <w:t>c</w:t>
      </w:r>
      <w:r w:rsidRPr="001944EC">
        <w:rPr>
          <w:rFonts w:eastAsia="Times New Roman" w:cstheme="minorHAnsi"/>
          <w:b/>
          <w:bCs/>
          <w:iCs/>
          <w:sz w:val="24"/>
          <w:szCs w:val="24"/>
          <w:lang w:eastAsia="en-IN"/>
        </w:rPr>
        <w:t xml:space="preserve">onventional </w:t>
      </w:r>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 xml:space="preserve">iomedical </w:t>
      </w:r>
      <w:r w:rsidR="00065E8A" w:rsidRPr="001944EC">
        <w:rPr>
          <w:rFonts w:eastAsia="Times New Roman" w:cstheme="minorHAnsi"/>
          <w:b/>
          <w:bCs/>
          <w:iCs/>
          <w:sz w:val="24"/>
          <w:szCs w:val="24"/>
          <w:lang w:eastAsia="en-IN"/>
        </w:rPr>
        <w:t>w</w:t>
      </w:r>
      <w:r w:rsidRPr="001944EC">
        <w:rPr>
          <w:rFonts w:eastAsia="Times New Roman" w:cstheme="minorHAnsi"/>
          <w:b/>
          <w:bCs/>
          <w:iCs/>
          <w:sz w:val="24"/>
          <w:szCs w:val="24"/>
          <w:lang w:eastAsia="en-IN"/>
        </w:rPr>
        <w:t xml:space="preserve">aste </w:t>
      </w:r>
      <w:r w:rsidR="00065E8A" w:rsidRPr="001944EC">
        <w:rPr>
          <w:rFonts w:eastAsia="Times New Roman" w:cstheme="minorHAnsi"/>
          <w:b/>
          <w:bCs/>
          <w:iCs/>
          <w:sz w:val="24"/>
          <w:szCs w:val="24"/>
          <w:lang w:eastAsia="en-IN"/>
        </w:rPr>
        <w:t>a</w:t>
      </w:r>
      <w:r w:rsidRPr="001944EC">
        <w:rPr>
          <w:rFonts w:eastAsia="Times New Roman" w:cstheme="minorHAnsi"/>
          <w:b/>
          <w:bCs/>
          <w:iCs/>
          <w:sz w:val="24"/>
          <w:szCs w:val="24"/>
          <w:lang w:eastAsia="en-IN"/>
        </w:rPr>
        <w:t xml:space="preserve">ssessment </w:t>
      </w:r>
      <w:r w:rsidR="00065E8A" w:rsidRPr="001944EC">
        <w:rPr>
          <w:rFonts w:eastAsia="Times New Roman" w:cstheme="minorHAnsi"/>
          <w:b/>
          <w:bCs/>
          <w:iCs/>
          <w:sz w:val="24"/>
          <w:szCs w:val="24"/>
          <w:lang w:eastAsia="en-IN"/>
        </w:rPr>
        <w:t>a</w:t>
      </w:r>
      <w:r w:rsidRPr="001944EC">
        <w:rPr>
          <w:rFonts w:eastAsia="Times New Roman" w:cstheme="minorHAnsi"/>
          <w:b/>
          <w:bCs/>
          <w:iCs/>
          <w:sz w:val="24"/>
          <w:szCs w:val="24"/>
          <w:lang w:eastAsia="en-IN"/>
        </w:rPr>
        <w:t xml:space="preserve">pproaches and the PGST </w:t>
      </w:r>
      <w:r w:rsidR="00065E8A" w:rsidRPr="001944EC">
        <w:rPr>
          <w:rFonts w:eastAsia="Times New Roman" w:cstheme="minorHAnsi"/>
          <w:b/>
          <w:bCs/>
          <w:iCs/>
          <w:sz w:val="24"/>
          <w:szCs w:val="24"/>
          <w:lang w:eastAsia="en-IN"/>
        </w:rPr>
        <w:t>s</w:t>
      </w:r>
      <w:r w:rsidRPr="001944EC">
        <w:rPr>
          <w:rFonts w:eastAsia="Times New Roman" w:cstheme="minorHAnsi"/>
          <w:b/>
          <w:bCs/>
          <w:iCs/>
          <w:sz w:val="24"/>
          <w:szCs w:val="24"/>
          <w:lang w:eastAsia="en-IN"/>
        </w:rPr>
        <w:t xml:space="preserve">tandardized </w:t>
      </w:r>
      <w:r w:rsidR="00065E8A" w:rsidRPr="001944EC">
        <w:rPr>
          <w:rFonts w:eastAsia="Times New Roman" w:cstheme="minorHAnsi"/>
          <w:b/>
          <w:bCs/>
          <w:iCs/>
          <w:sz w:val="24"/>
          <w:szCs w:val="24"/>
          <w:lang w:eastAsia="en-IN"/>
        </w:rPr>
        <w:t>o</w:t>
      </w:r>
      <w:r w:rsidRPr="001944EC">
        <w:rPr>
          <w:rFonts w:eastAsia="Times New Roman" w:cstheme="minorHAnsi"/>
          <w:b/>
          <w:bCs/>
          <w:iCs/>
          <w:sz w:val="24"/>
          <w:szCs w:val="24"/>
          <w:lang w:eastAsia="en-IN"/>
        </w:rPr>
        <w:t xml:space="preserve">bservational </w:t>
      </w:r>
      <w:r w:rsidR="00065E8A" w:rsidRPr="001944EC">
        <w:rPr>
          <w:rFonts w:eastAsia="Times New Roman" w:cstheme="minorHAnsi"/>
          <w:b/>
          <w:bCs/>
          <w:iCs/>
          <w:sz w:val="24"/>
          <w:szCs w:val="24"/>
          <w:lang w:eastAsia="en-IN"/>
        </w:rPr>
        <w:t>p</w:t>
      </w:r>
      <w:r w:rsidRPr="001944EC">
        <w:rPr>
          <w:rFonts w:eastAsia="Times New Roman" w:cstheme="minorHAnsi"/>
          <w:b/>
          <w:bCs/>
          <w:iCs/>
          <w:sz w:val="24"/>
          <w:szCs w:val="24"/>
          <w:lang w:eastAsia="en-IN"/>
        </w:rPr>
        <w:t xml:space="preserve">rotocol. </w:t>
      </w:r>
      <w:r w:rsidRPr="001944EC">
        <w:rPr>
          <w:rFonts w:eastAsia="Times New Roman" w:cstheme="minorHAnsi"/>
          <w:iCs/>
          <w:sz w:val="24"/>
          <w:szCs w:val="24"/>
          <w:lang w:eastAsia="en-IN"/>
        </w:rPr>
        <w:t xml:space="preserve">This table compares conventional compliance/outcome and knowledge or attitude assessment approaches with the PGST standardized observational protocol across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focus, point-of-generation observation, event-level assessment,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domains, scoring, observer calibration, aggregate indices, accuracy assessment, and training utility.</w:t>
      </w:r>
    </w:p>
    <w:p w14:paraId="6D36BF56" w14:textId="67C793B4" w:rsidR="00A91ABD" w:rsidRPr="001944EC" w:rsidRDefault="00A91ABD" w:rsidP="006C1440">
      <w:pPr>
        <w:spacing w:after="0" w:line="240" w:lineRule="auto"/>
        <w:contextualSpacing/>
        <w:mirrorIndents/>
        <w:jc w:val="both"/>
        <w:rPr>
          <w:rFonts w:eastAsia="Times New Roman" w:cstheme="minorHAnsi"/>
          <w:b/>
          <w:iCs/>
          <w:sz w:val="24"/>
          <w:szCs w:val="24"/>
          <w:lang w:eastAsia="en-IN"/>
        </w:rPr>
      </w:pPr>
    </w:p>
    <w:p w14:paraId="4207093C" w14:textId="54FDC833" w:rsidR="00A91ABD" w:rsidRPr="001944EC" w:rsidRDefault="00A91ABD" w:rsidP="006C1440">
      <w:pPr>
        <w:pStyle w:val="NormalWeb"/>
        <w:spacing w:before="0" w:beforeAutospacing="0" w:after="0" w:afterAutospacing="0"/>
        <w:contextualSpacing/>
        <w:mirrorIndents/>
        <w:jc w:val="both"/>
        <w:rPr>
          <w:rFonts w:asciiTheme="minorHAnsi" w:hAnsiTheme="minorHAnsi" w:cstheme="minorHAnsi"/>
          <w:iCs/>
        </w:rPr>
      </w:pPr>
      <w:r w:rsidRPr="001944EC">
        <w:rPr>
          <w:rFonts w:asciiTheme="minorHAnsi" w:hAnsiTheme="minorHAnsi" w:cstheme="minorHAnsi"/>
          <w:b/>
          <w:bCs/>
          <w:iCs/>
        </w:rPr>
        <w:t>Table 2</w:t>
      </w:r>
      <w:r w:rsidR="000934E9" w:rsidRPr="001944EC">
        <w:rPr>
          <w:rFonts w:asciiTheme="minorHAnsi" w:hAnsiTheme="minorHAnsi" w:cstheme="minorHAnsi"/>
          <w:b/>
          <w:bCs/>
          <w:iCs/>
        </w:rPr>
        <w:t>:</w:t>
      </w:r>
      <w:r w:rsidRPr="001944EC">
        <w:rPr>
          <w:rFonts w:asciiTheme="minorHAnsi" w:hAnsiTheme="minorHAnsi" w:cstheme="minorHAnsi"/>
          <w:b/>
          <w:bCs/>
          <w:iCs/>
        </w:rPr>
        <w:t xml:space="preserve"> Participant </w:t>
      </w:r>
      <w:r w:rsidR="00065E8A" w:rsidRPr="001944EC">
        <w:rPr>
          <w:rFonts w:asciiTheme="minorHAnsi" w:hAnsiTheme="minorHAnsi" w:cstheme="minorHAnsi"/>
          <w:b/>
          <w:bCs/>
          <w:iCs/>
        </w:rPr>
        <w:t>c</w:t>
      </w:r>
      <w:r w:rsidRPr="001944EC">
        <w:rPr>
          <w:rFonts w:asciiTheme="minorHAnsi" w:hAnsiTheme="minorHAnsi" w:cstheme="minorHAnsi"/>
          <w:b/>
          <w:bCs/>
          <w:iCs/>
        </w:rPr>
        <w:t xml:space="preserve">ategories </w:t>
      </w:r>
      <w:r w:rsidR="00065E8A" w:rsidRPr="001944EC">
        <w:rPr>
          <w:rFonts w:asciiTheme="minorHAnsi" w:hAnsiTheme="minorHAnsi" w:cstheme="minorHAnsi"/>
          <w:b/>
          <w:bCs/>
          <w:iCs/>
        </w:rPr>
        <w:t>i</w:t>
      </w:r>
      <w:r w:rsidRPr="001944EC">
        <w:rPr>
          <w:rFonts w:asciiTheme="minorHAnsi" w:hAnsiTheme="minorHAnsi" w:cstheme="minorHAnsi"/>
          <w:b/>
          <w:bCs/>
          <w:iCs/>
        </w:rPr>
        <w:t xml:space="preserve">ncluded in PGST </w:t>
      </w:r>
      <w:r w:rsidR="00065E8A" w:rsidRPr="001944EC">
        <w:rPr>
          <w:rFonts w:asciiTheme="minorHAnsi" w:hAnsiTheme="minorHAnsi" w:cstheme="minorHAnsi"/>
          <w:b/>
          <w:bCs/>
          <w:iCs/>
        </w:rPr>
        <w:t>o</w:t>
      </w:r>
      <w:r w:rsidRPr="001944EC">
        <w:rPr>
          <w:rFonts w:asciiTheme="minorHAnsi" w:hAnsiTheme="minorHAnsi" w:cstheme="minorHAnsi"/>
          <w:b/>
          <w:bCs/>
          <w:iCs/>
        </w:rPr>
        <w:t xml:space="preserve">bservational </w:t>
      </w:r>
      <w:r w:rsidR="00065E8A" w:rsidRPr="001944EC">
        <w:rPr>
          <w:rFonts w:asciiTheme="minorHAnsi" w:hAnsiTheme="minorHAnsi" w:cstheme="minorHAnsi"/>
          <w:b/>
          <w:bCs/>
          <w:iCs/>
        </w:rPr>
        <w:t>a</w:t>
      </w:r>
      <w:r w:rsidRPr="001944EC">
        <w:rPr>
          <w:rFonts w:asciiTheme="minorHAnsi" w:hAnsiTheme="minorHAnsi" w:cstheme="minorHAnsi"/>
          <w:b/>
          <w:bCs/>
          <w:iCs/>
        </w:rPr>
        <w:t>ssessment.</w:t>
      </w:r>
      <w:r w:rsidRPr="001944EC">
        <w:rPr>
          <w:rFonts w:asciiTheme="minorHAnsi" w:hAnsiTheme="minorHAnsi" w:cstheme="minorHAnsi"/>
          <w:iCs/>
        </w:rPr>
        <w:t xml:space="preserve"> This table presents representative healthcare worker and trainee categories suitable for PGST observational assessment, their principal clinical roles, and their typical interactions with biomedical waste during routine healthcare activities.</w:t>
      </w:r>
    </w:p>
    <w:p w14:paraId="22FA09C2" w14:textId="26F64217" w:rsidR="00A91ABD" w:rsidRPr="001944EC" w:rsidRDefault="00A91ABD" w:rsidP="006C1440">
      <w:pPr>
        <w:pStyle w:val="NormalWeb"/>
        <w:spacing w:before="0" w:beforeAutospacing="0" w:after="0" w:afterAutospacing="0"/>
        <w:contextualSpacing/>
        <w:mirrorIndents/>
        <w:jc w:val="both"/>
        <w:rPr>
          <w:rFonts w:asciiTheme="minorHAnsi" w:hAnsiTheme="minorHAnsi" w:cstheme="minorHAnsi"/>
          <w:b/>
          <w:iCs/>
        </w:rPr>
      </w:pPr>
    </w:p>
    <w:p w14:paraId="23AF68A9" w14:textId="57F0BA1E" w:rsidR="00A91ABD" w:rsidRPr="001944EC" w:rsidRDefault="00A91ABD" w:rsidP="006C1440">
      <w:pPr>
        <w:pStyle w:val="NormalWeb"/>
        <w:spacing w:before="0" w:beforeAutospacing="0" w:after="0" w:afterAutospacing="0"/>
        <w:contextualSpacing/>
        <w:mirrorIndents/>
        <w:jc w:val="both"/>
        <w:rPr>
          <w:rFonts w:asciiTheme="minorHAnsi" w:hAnsiTheme="minorHAnsi" w:cstheme="minorHAnsi"/>
          <w:iCs/>
        </w:rPr>
      </w:pPr>
      <w:r w:rsidRPr="001944EC">
        <w:rPr>
          <w:rFonts w:asciiTheme="minorHAnsi" w:hAnsiTheme="minorHAnsi" w:cstheme="minorHAnsi"/>
          <w:b/>
          <w:bCs/>
          <w:iCs/>
        </w:rPr>
        <w:lastRenderedPageBreak/>
        <w:t>Table 3</w:t>
      </w:r>
      <w:r w:rsidR="000934E9" w:rsidRPr="001944EC">
        <w:rPr>
          <w:rFonts w:asciiTheme="minorHAnsi" w:hAnsiTheme="minorHAnsi" w:cstheme="minorHAnsi"/>
          <w:b/>
          <w:bCs/>
          <w:iCs/>
        </w:rPr>
        <w:t>:</w:t>
      </w:r>
      <w:r w:rsidRPr="001944EC">
        <w:rPr>
          <w:rFonts w:asciiTheme="minorHAnsi" w:hAnsiTheme="minorHAnsi" w:cstheme="minorHAnsi"/>
          <w:b/>
          <w:bCs/>
          <w:iCs/>
        </w:rPr>
        <w:t xml:space="preserve"> </w:t>
      </w:r>
      <w:proofErr w:type="spellStart"/>
      <w:r w:rsidRPr="001944EC">
        <w:rPr>
          <w:rFonts w:asciiTheme="minorHAnsi" w:hAnsiTheme="minorHAnsi" w:cstheme="minorHAnsi"/>
          <w:b/>
          <w:bCs/>
          <w:iCs/>
        </w:rPr>
        <w:t>Behavioral</w:t>
      </w:r>
      <w:proofErr w:type="spellEnd"/>
      <w:r w:rsidRPr="001944EC">
        <w:rPr>
          <w:rFonts w:asciiTheme="minorHAnsi" w:hAnsiTheme="minorHAnsi" w:cstheme="minorHAnsi"/>
          <w:b/>
          <w:bCs/>
          <w:iCs/>
        </w:rPr>
        <w:t xml:space="preserve"> </w:t>
      </w:r>
      <w:r w:rsidR="00065E8A" w:rsidRPr="001944EC">
        <w:rPr>
          <w:rFonts w:asciiTheme="minorHAnsi" w:hAnsiTheme="minorHAnsi" w:cstheme="minorHAnsi"/>
          <w:b/>
          <w:bCs/>
          <w:iCs/>
        </w:rPr>
        <w:t>s</w:t>
      </w:r>
      <w:r w:rsidRPr="001944EC">
        <w:rPr>
          <w:rFonts w:asciiTheme="minorHAnsi" w:hAnsiTheme="minorHAnsi" w:cstheme="minorHAnsi"/>
          <w:b/>
          <w:bCs/>
          <w:iCs/>
        </w:rPr>
        <w:t xml:space="preserve">coring </w:t>
      </w:r>
      <w:r w:rsidR="00065E8A" w:rsidRPr="001944EC">
        <w:rPr>
          <w:rFonts w:asciiTheme="minorHAnsi" w:hAnsiTheme="minorHAnsi" w:cstheme="minorHAnsi"/>
          <w:b/>
          <w:bCs/>
          <w:iCs/>
        </w:rPr>
        <w:t>a</w:t>
      </w:r>
      <w:r w:rsidRPr="001944EC">
        <w:rPr>
          <w:rFonts w:asciiTheme="minorHAnsi" w:hAnsiTheme="minorHAnsi" w:cstheme="minorHAnsi"/>
          <w:b/>
          <w:bCs/>
          <w:iCs/>
        </w:rPr>
        <w:t xml:space="preserve">nchors for the 0–1 </w:t>
      </w:r>
      <w:r w:rsidR="00065E8A" w:rsidRPr="001944EC">
        <w:rPr>
          <w:rFonts w:asciiTheme="minorHAnsi" w:hAnsiTheme="minorHAnsi" w:cstheme="minorHAnsi"/>
          <w:b/>
          <w:bCs/>
          <w:iCs/>
        </w:rPr>
        <w:t>s</w:t>
      </w:r>
      <w:r w:rsidRPr="001944EC">
        <w:rPr>
          <w:rFonts w:asciiTheme="minorHAnsi" w:hAnsiTheme="minorHAnsi" w:cstheme="minorHAnsi"/>
          <w:b/>
          <w:bCs/>
          <w:iCs/>
        </w:rPr>
        <w:t>cale.</w:t>
      </w:r>
      <w:r w:rsidRPr="001944EC">
        <w:rPr>
          <w:rFonts w:asciiTheme="minorHAnsi" w:hAnsiTheme="minorHAnsi" w:cstheme="minorHAnsi"/>
          <w:iCs/>
        </w:rPr>
        <w:t xml:space="preserve"> This table defines the standardized </w:t>
      </w:r>
      <w:proofErr w:type="spellStart"/>
      <w:r w:rsidRPr="001944EC">
        <w:rPr>
          <w:rFonts w:asciiTheme="minorHAnsi" w:hAnsiTheme="minorHAnsi" w:cstheme="minorHAnsi"/>
          <w:iCs/>
        </w:rPr>
        <w:t>behavioral</w:t>
      </w:r>
      <w:proofErr w:type="spellEnd"/>
      <w:r w:rsidRPr="001944EC">
        <w:rPr>
          <w:rFonts w:asciiTheme="minorHAnsi" w:hAnsiTheme="minorHAnsi" w:cstheme="minorHAnsi"/>
          <w:iCs/>
        </w:rPr>
        <w:t xml:space="preserve"> scoring anchors used to convert observed performance into a normalized 0–1 scale, ranging from incorrect or absent behavior to consistently correct behavior.</w:t>
      </w:r>
    </w:p>
    <w:p w14:paraId="0E35FF0D" w14:textId="77777777" w:rsidR="00A91ABD" w:rsidRPr="001944EC" w:rsidRDefault="00A91ABD" w:rsidP="006C1440">
      <w:pPr>
        <w:spacing w:after="0" w:line="240" w:lineRule="auto"/>
        <w:contextualSpacing/>
        <w:mirrorIndents/>
        <w:jc w:val="both"/>
        <w:rPr>
          <w:rFonts w:eastAsia="Times New Roman" w:cstheme="minorHAnsi"/>
          <w:iCs/>
          <w:sz w:val="24"/>
          <w:szCs w:val="24"/>
          <w:lang w:eastAsia="en-IN"/>
        </w:rPr>
      </w:pPr>
    </w:p>
    <w:p w14:paraId="48865051" w14:textId="7338DA2B"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Table 4</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MBPBF </w:t>
      </w:r>
      <w:proofErr w:type="spellStart"/>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ehavioral</w:t>
      </w:r>
      <w:proofErr w:type="spellEnd"/>
      <w:r w:rsidRPr="001944EC">
        <w:rPr>
          <w:rFonts w:eastAsia="Times New Roman" w:cstheme="minorHAnsi"/>
          <w:b/>
          <w:bCs/>
          <w:iCs/>
          <w:sz w:val="24"/>
          <w:szCs w:val="24"/>
          <w:lang w:eastAsia="en-IN"/>
        </w:rPr>
        <w:t xml:space="preserve"> </w:t>
      </w:r>
      <w:r w:rsidR="00065E8A" w:rsidRPr="001944EC">
        <w:rPr>
          <w:rFonts w:eastAsia="Times New Roman" w:cstheme="minorHAnsi"/>
          <w:b/>
          <w:bCs/>
          <w:iCs/>
          <w:sz w:val="24"/>
          <w:szCs w:val="24"/>
          <w:lang w:eastAsia="en-IN"/>
        </w:rPr>
        <w:t>d</w:t>
      </w:r>
      <w:r w:rsidRPr="001944EC">
        <w:rPr>
          <w:rFonts w:eastAsia="Times New Roman" w:cstheme="minorHAnsi"/>
          <w:b/>
          <w:bCs/>
          <w:iCs/>
          <w:sz w:val="24"/>
          <w:szCs w:val="24"/>
          <w:lang w:eastAsia="en-IN"/>
        </w:rPr>
        <w:t xml:space="preserve">omains and </w:t>
      </w:r>
      <w:r w:rsidR="00065E8A" w:rsidRPr="001944EC">
        <w:rPr>
          <w:rFonts w:eastAsia="Times New Roman" w:cstheme="minorHAnsi"/>
          <w:b/>
          <w:bCs/>
          <w:iCs/>
          <w:sz w:val="24"/>
          <w:szCs w:val="24"/>
          <w:lang w:eastAsia="en-IN"/>
        </w:rPr>
        <w:t>o</w:t>
      </w:r>
      <w:r w:rsidRPr="001944EC">
        <w:rPr>
          <w:rFonts w:eastAsia="Times New Roman" w:cstheme="minorHAnsi"/>
          <w:b/>
          <w:bCs/>
          <w:iCs/>
          <w:sz w:val="24"/>
          <w:szCs w:val="24"/>
          <w:lang w:eastAsia="en-IN"/>
        </w:rPr>
        <w:t xml:space="preserve">perational </w:t>
      </w:r>
      <w:r w:rsidR="00065E8A" w:rsidRPr="001944EC">
        <w:rPr>
          <w:rFonts w:eastAsia="Times New Roman" w:cstheme="minorHAnsi"/>
          <w:b/>
          <w:bCs/>
          <w:iCs/>
          <w:sz w:val="24"/>
          <w:szCs w:val="24"/>
          <w:lang w:eastAsia="en-IN"/>
        </w:rPr>
        <w:t>d</w:t>
      </w:r>
      <w:r w:rsidRPr="001944EC">
        <w:rPr>
          <w:rFonts w:eastAsia="Times New Roman" w:cstheme="minorHAnsi"/>
          <w:b/>
          <w:bCs/>
          <w:iCs/>
          <w:sz w:val="24"/>
          <w:szCs w:val="24"/>
          <w:lang w:eastAsia="en-IN"/>
        </w:rPr>
        <w:t xml:space="preserve">efinitions. </w:t>
      </w:r>
      <w:r w:rsidRPr="001944EC">
        <w:rPr>
          <w:rFonts w:eastAsia="Times New Roman" w:cstheme="minorHAnsi"/>
          <w:iCs/>
          <w:sz w:val="24"/>
          <w:szCs w:val="24"/>
          <w:lang w:eastAsia="en-IN"/>
        </w:rPr>
        <w:t xml:space="preserve">This table summarizes the four Moment-Based Precision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Fidelity (MBPBF) domains—Cognitive Anchoring (CA), Visual Discrimination (VD), Repetition Reinforcement (RR), and Error-Responsive Feedback (ERF)—and specifies their operational focus and corresponding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objectives.</w:t>
      </w:r>
    </w:p>
    <w:p w14:paraId="4FE73F4D" w14:textId="77777777" w:rsidR="00A91ABD" w:rsidRPr="001944EC" w:rsidRDefault="00A91ABD" w:rsidP="006C1440">
      <w:pPr>
        <w:spacing w:after="0" w:line="240" w:lineRule="auto"/>
        <w:contextualSpacing/>
        <w:mirrorIndents/>
        <w:jc w:val="both"/>
        <w:rPr>
          <w:rFonts w:eastAsia="Times New Roman" w:cstheme="minorHAnsi"/>
          <w:iCs/>
          <w:sz w:val="24"/>
          <w:szCs w:val="24"/>
          <w:lang w:eastAsia="en-IN"/>
        </w:rPr>
      </w:pPr>
    </w:p>
    <w:p w14:paraId="75743B1F" w14:textId="4A009B80"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Table 5</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Representative </w:t>
      </w:r>
      <w:r w:rsidR="00065E8A" w:rsidRPr="001944EC">
        <w:rPr>
          <w:rFonts w:eastAsia="Times New Roman" w:cstheme="minorHAnsi"/>
          <w:b/>
          <w:bCs/>
          <w:iCs/>
          <w:sz w:val="24"/>
          <w:szCs w:val="24"/>
          <w:lang w:eastAsia="en-IN"/>
        </w:rPr>
        <w:t>c</w:t>
      </w:r>
      <w:r w:rsidRPr="001944EC">
        <w:rPr>
          <w:rFonts w:eastAsia="Times New Roman" w:cstheme="minorHAnsi"/>
          <w:b/>
          <w:bCs/>
          <w:iCs/>
          <w:sz w:val="24"/>
          <w:szCs w:val="24"/>
          <w:lang w:eastAsia="en-IN"/>
        </w:rPr>
        <w:t xml:space="preserve">ognitive </w:t>
      </w:r>
      <w:r w:rsidR="00065E8A" w:rsidRPr="001944EC">
        <w:rPr>
          <w:rFonts w:eastAsia="Times New Roman" w:cstheme="minorHAnsi"/>
          <w:b/>
          <w:bCs/>
          <w:iCs/>
          <w:sz w:val="24"/>
          <w:szCs w:val="24"/>
          <w:lang w:eastAsia="en-IN"/>
        </w:rPr>
        <w:t>a</w:t>
      </w:r>
      <w:r w:rsidRPr="001944EC">
        <w:rPr>
          <w:rFonts w:eastAsia="Times New Roman" w:cstheme="minorHAnsi"/>
          <w:b/>
          <w:bCs/>
          <w:iCs/>
          <w:sz w:val="24"/>
          <w:szCs w:val="24"/>
          <w:lang w:eastAsia="en-IN"/>
        </w:rPr>
        <w:t xml:space="preserve">nchoring </w:t>
      </w:r>
      <w:r w:rsidR="00065E8A" w:rsidRPr="001944EC">
        <w:rPr>
          <w:rFonts w:eastAsia="Times New Roman" w:cstheme="minorHAnsi"/>
          <w:b/>
          <w:bCs/>
          <w:iCs/>
          <w:sz w:val="24"/>
          <w:szCs w:val="24"/>
          <w:lang w:eastAsia="en-IN"/>
        </w:rPr>
        <w:t>o</w:t>
      </w:r>
      <w:r w:rsidRPr="001944EC">
        <w:rPr>
          <w:rFonts w:eastAsia="Times New Roman" w:cstheme="minorHAnsi"/>
          <w:b/>
          <w:bCs/>
          <w:iCs/>
          <w:sz w:val="24"/>
          <w:szCs w:val="24"/>
          <w:lang w:eastAsia="en-IN"/>
        </w:rPr>
        <w:t xml:space="preserve">bservation </w:t>
      </w:r>
      <w:r w:rsidR="00065E8A" w:rsidRPr="001944EC">
        <w:rPr>
          <w:rFonts w:eastAsia="Times New Roman" w:cstheme="minorHAnsi"/>
          <w:b/>
          <w:bCs/>
          <w:iCs/>
          <w:sz w:val="24"/>
          <w:szCs w:val="24"/>
          <w:lang w:eastAsia="en-IN"/>
        </w:rPr>
        <w:t>i</w:t>
      </w:r>
      <w:r w:rsidRPr="001944EC">
        <w:rPr>
          <w:rFonts w:eastAsia="Times New Roman" w:cstheme="minorHAnsi"/>
          <w:b/>
          <w:bCs/>
          <w:iCs/>
          <w:sz w:val="24"/>
          <w:szCs w:val="24"/>
          <w:lang w:eastAsia="en-IN"/>
        </w:rPr>
        <w:t>tems.</w:t>
      </w:r>
      <w:r w:rsidRPr="001944EC">
        <w:rPr>
          <w:rFonts w:eastAsia="Times New Roman" w:cstheme="minorHAnsi"/>
          <w:iCs/>
          <w:sz w:val="24"/>
          <w:szCs w:val="24"/>
          <w:lang w:eastAsia="en-IN"/>
        </w:rPr>
        <w:t xml:space="preserve"> This table provides representative observation items for assessing Cognitive Anchoring (CA), focusing on decision-making and recognition of the appropriate biomedical waste category and disposal pathway at the point of generation.</w:t>
      </w:r>
    </w:p>
    <w:p w14:paraId="0F9FE092" w14:textId="77777777" w:rsidR="00A91ABD" w:rsidRPr="001944EC" w:rsidRDefault="00A91ABD" w:rsidP="006C1440">
      <w:pPr>
        <w:spacing w:after="0" w:line="240" w:lineRule="auto"/>
        <w:contextualSpacing/>
        <w:mirrorIndents/>
        <w:jc w:val="both"/>
        <w:rPr>
          <w:rFonts w:eastAsia="Times New Roman" w:cstheme="minorHAnsi"/>
          <w:iCs/>
          <w:sz w:val="24"/>
          <w:szCs w:val="24"/>
          <w:lang w:eastAsia="en-IN"/>
        </w:rPr>
      </w:pPr>
    </w:p>
    <w:p w14:paraId="0376E888" w14:textId="1801489B"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Table 6</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Representative </w:t>
      </w:r>
      <w:r w:rsidR="00065E8A" w:rsidRPr="001944EC">
        <w:rPr>
          <w:rFonts w:eastAsia="Times New Roman" w:cstheme="minorHAnsi"/>
          <w:b/>
          <w:bCs/>
          <w:iCs/>
          <w:sz w:val="24"/>
          <w:szCs w:val="24"/>
          <w:lang w:eastAsia="en-IN"/>
        </w:rPr>
        <w:t>v</w:t>
      </w:r>
      <w:r w:rsidRPr="001944EC">
        <w:rPr>
          <w:rFonts w:eastAsia="Times New Roman" w:cstheme="minorHAnsi"/>
          <w:b/>
          <w:bCs/>
          <w:iCs/>
          <w:sz w:val="24"/>
          <w:szCs w:val="24"/>
          <w:lang w:eastAsia="en-IN"/>
        </w:rPr>
        <w:t xml:space="preserve">isual </w:t>
      </w:r>
      <w:r w:rsidR="00065E8A" w:rsidRPr="001944EC">
        <w:rPr>
          <w:rFonts w:eastAsia="Times New Roman" w:cstheme="minorHAnsi"/>
          <w:b/>
          <w:bCs/>
          <w:iCs/>
          <w:sz w:val="24"/>
          <w:szCs w:val="24"/>
          <w:lang w:eastAsia="en-IN"/>
        </w:rPr>
        <w:t>d</w:t>
      </w:r>
      <w:r w:rsidRPr="001944EC">
        <w:rPr>
          <w:rFonts w:eastAsia="Times New Roman" w:cstheme="minorHAnsi"/>
          <w:b/>
          <w:bCs/>
          <w:iCs/>
          <w:sz w:val="24"/>
          <w:szCs w:val="24"/>
          <w:lang w:eastAsia="en-IN"/>
        </w:rPr>
        <w:t xml:space="preserve">iscrimination </w:t>
      </w:r>
      <w:r w:rsidR="00065E8A" w:rsidRPr="001944EC">
        <w:rPr>
          <w:rFonts w:eastAsia="Times New Roman" w:cstheme="minorHAnsi"/>
          <w:b/>
          <w:bCs/>
          <w:iCs/>
          <w:sz w:val="24"/>
          <w:szCs w:val="24"/>
          <w:lang w:eastAsia="en-IN"/>
        </w:rPr>
        <w:t>o</w:t>
      </w:r>
      <w:r w:rsidRPr="001944EC">
        <w:rPr>
          <w:rFonts w:eastAsia="Times New Roman" w:cstheme="minorHAnsi"/>
          <w:b/>
          <w:bCs/>
          <w:iCs/>
          <w:sz w:val="24"/>
          <w:szCs w:val="24"/>
          <w:lang w:eastAsia="en-IN"/>
        </w:rPr>
        <w:t xml:space="preserve">bservation </w:t>
      </w:r>
      <w:r w:rsidR="00065E8A" w:rsidRPr="001944EC">
        <w:rPr>
          <w:rFonts w:eastAsia="Times New Roman" w:cstheme="minorHAnsi"/>
          <w:b/>
          <w:bCs/>
          <w:iCs/>
          <w:sz w:val="24"/>
          <w:szCs w:val="24"/>
          <w:lang w:eastAsia="en-IN"/>
        </w:rPr>
        <w:t>i</w:t>
      </w:r>
      <w:r w:rsidRPr="001944EC">
        <w:rPr>
          <w:rFonts w:eastAsia="Times New Roman" w:cstheme="minorHAnsi"/>
          <w:b/>
          <w:bCs/>
          <w:iCs/>
          <w:sz w:val="24"/>
          <w:szCs w:val="24"/>
          <w:lang w:eastAsia="en-IN"/>
        </w:rPr>
        <w:t>tems.</w:t>
      </w:r>
      <w:r w:rsidRPr="001944EC">
        <w:rPr>
          <w:rFonts w:eastAsia="Times New Roman" w:cstheme="minorHAnsi"/>
          <w:iCs/>
          <w:sz w:val="24"/>
          <w:szCs w:val="24"/>
          <w:lang w:eastAsia="en-IN"/>
        </w:rPr>
        <w:t xml:space="preserve"> This table provides representative observation items for assessing Visual Discrimination (VD), focusing on accurate visual recognition of waste categories, color-coded containers, segregation mismatches, and container conditions.</w:t>
      </w:r>
    </w:p>
    <w:p w14:paraId="22173093" w14:textId="77777777" w:rsidR="00A91ABD" w:rsidRPr="001944EC" w:rsidRDefault="00A91ABD" w:rsidP="006C1440">
      <w:pPr>
        <w:spacing w:after="0" w:line="240" w:lineRule="auto"/>
        <w:contextualSpacing/>
        <w:mirrorIndents/>
        <w:jc w:val="both"/>
        <w:rPr>
          <w:rFonts w:eastAsia="Times New Roman" w:cstheme="minorHAnsi"/>
          <w:iCs/>
          <w:sz w:val="24"/>
          <w:szCs w:val="24"/>
          <w:lang w:eastAsia="en-IN"/>
        </w:rPr>
      </w:pPr>
    </w:p>
    <w:p w14:paraId="6EAF44BA" w14:textId="5553C1EA"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Table 7</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Representative </w:t>
      </w:r>
      <w:r w:rsidR="00065E8A" w:rsidRPr="001944EC">
        <w:rPr>
          <w:rFonts w:eastAsia="Times New Roman" w:cstheme="minorHAnsi"/>
          <w:b/>
          <w:bCs/>
          <w:iCs/>
          <w:sz w:val="24"/>
          <w:szCs w:val="24"/>
          <w:lang w:eastAsia="en-IN"/>
        </w:rPr>
        <w:t>r</w:t>
      </w:r>
      <w:r w:rsidRPr="001944EC">
        <w:rPr>
          <w:rFonts w:eastAsia="Times New Roman" w:cstheme="minorHAnsi"/>
          <w:b/>
          <w:bCs/>
          <w:iCs/>
          <w:sz w:val="24"/>
          <w:szCs w:val="24"/>
          <w:lang w:eastAsia="en-IN"/>
        </w:rPr>
        <w:t xml:space="preserve">epetition </w:t>
      </w:r>
      <w:r w:rsidR="00065E8A" w:rsidRPr="001944EC">
        <w:rPr>
          <w:rFonts w:eastAsia="Times New Roman" w:cstheme="minorHAnsi"/>
          <w:b/>
          <w:bCs/>
          <w:iCs/>
          <w:sz w:val="24"/>
          <w:szCs w:val="24"/>
          <w:lang w:eastAsia="en-IN"/>
        </w:rPr>
        <w:t>r</w:t>
      </w:r>
      <w:r w:rsidRPr="001944EC">
        <w:rPr>
          <w:rFonts w:eastAsia="Times New Roman" w:cstheme="minorHAnsi"/>
          <w:b/>
          <w:bCs/>
          <w:iCs/>
          <w:sz w:val="24"/>
          <w:szCs w:val="24"/>
          <w:lang w:eastAsia="en-IN"/>
        </w:rPr>
        <w:t xml:space="preserve">einforcement </w:t>
      </w:r>
      <w:r w:rsidR="00065E8A" w:rsidRPr="001944EC">
        <w:rPr>
          <w:rFonts w:eastAsia="Times New Roman" w:cstheme="minorHAnsi"/>
          <w:b/>
          <w:bCs/>
          <w:iCs/>
          <w:sz w:val="24"/>
          <w:szCs w:val="24"/>
          <w:lang w:eastAsia="en-IN"/>
        </w:rPr>
        <w:t>o</w:t>
      </w:r>
      <w:r w:rsidRPr="001944EC">
        <w:rPr>
          <w:rFonts w:eastAsia="Times New Roman" w:cstheme="minorHAnsi"/>
          <w:b/>
          <w:bCs/>
          <w:iCs/>
          <w:sz w:val="24"/>
          <w:szCs w:val="24"/>
          <w:lang w:eastAsia="en-IN"/>
        </w:rPr>
        <w:t xml:space="preserve">bservation </w:t>
      </w:r>
      <w:r w:rsidR="00065E8A" w:rsidRPr="001944EC">
        <w:rPr>
          <w:rFonts w:eastAsia="Times New Roman" w:cstheme="minorHAnsi"/>
          <w:b/>
          <w:bCs/>
          <w:iCs/>
          <w:sz w:val="24"/>
          <w:szCs w:val="24"/>
          <w:lang w:eastAsia="en-IN"/>
        </w:rPr>
        <w:t>i</w:t>
      </w:r>
      <w:r w:rsidRPr="001944EC">
        <w:rPr>
          <w:rFonts w:eastAsia="Times New Roman" w:cstheme="minorHAnsi"/>
          <w:b/>
          <w:bCs/>
          <w:iCs/>
          <w:sz w:val="24"/>
          <w:szCs w:val="24"/>
          <w:lang w:eastAsia="en-IN"/>
        </w:rPr>
        <w:t>tems.</w:t>
      </w:r>
      <w:r w:rsidRPr="001944EC">
        <w:rPr>
          <w:rFonts w:eastAsia="Times New Roman" w:cstheme="minorHAnsi"/>
          <w:iCs/>
          <w:sz w:val="24"/>
          <w:szCs w:val="24"/>
          <w:lang w:eastAsia="en-IN"/>
        </w:rPr>
        <w:t xml:space="preserve"> This table provides representative observation items for assessing Repetition Reinforcement (RR), focusing on the consistency and stability of correct segregation behavior across repeated disposal events and varying workload conditions.</w:t>
      </w:r>
    </w:p>
    <w:p w14:paraId="2E66CFD2" w14:textId="6E6540E9" w:rsidR="00A91ABD" w:rsidRPr="001944EC" w:rsidRDefault="00A91ABD" w:rsidP="006C1440">
      <w:pPr>
        <w:spacing w:after="0" w:line="240" w:lineRule="auto"/>
        <w:contextualSpacing/>
        <w:mirrorIndents/>
        <w:jc w:val="both"/>
        <w:rPr>
          <w:rFonts w:eastAsia="Times New Roman" w:cstheme="minorHAnsi"/>
          <w:b/>
          <w:iCs/>
          <w:sz w:val="24"/>
          <w:szCs w:val="24"/>
          <w:lang w:eastAsia="en-IN"/>
        </w:rPr>
      </w:pPr>
    </w:p>
    <w:p w14:paraId="5EE9F612" w14:textId="636DB911"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Table 8</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Representative </w:t>
      </w:r>
      <w:r w:rsidR="00065E8A" w:rsidRPr="001944EC">
        <w:rPr>
          <w:rFonts w:eastAsia="Times New Roman" w:cstheme="minorHAnsi"/>
          <w:b/>
          <w:bCs/>
          <w:iCs/>
          <w:sz w:val="24"/>
          <w:szCs w:val="24"/>
          <w:lang w:eastAsia="en-IN"/>
        </w:rPr>
        <w:t>e</w:t>
      </w:r>
      <w:r w:rsidRPr="001944EC">
        <w:rPr>
          <w:rFonts w:eastAsia="Times New Roman" w:cstheme="minorHAnsi"/>
          <w:b/>
          <w:bCs/>
          <w:iCs/>
          <w:sz w:val="24"/>
          <w:szCs w:val="24"/>
          <w:lang w:eastAsia="en-IN"/>
        </w:rPr>
        <w:t>rror-</w:t>
      </w:r>
      <w:r w:rsidR="00065E8A" w:rsidRPr="001944EC">
        <w:rPr>
          <w:rFonts w:eastAsia="Times New Roman" w:cstheme="minorHAnsi"/>
          <w:b/>
          <w:bCs/>
          <w:iCs/>
          <w:sz w:val="24"/>
          <w:szCs w:val="24"/>
          <w:lang w:eastAsia="en-IN"/>
        </w:rPr>
        <w:t>r</w:t>
      </w:r>
      <w:r w:rsidRPr="001944EC">
        <w:rPr>
          <w:rFonts w:eastAsia="Times New Roman" w:cstheme="minorHAnsi"/>
          <w:b/>
          <w:bCs/>
          <w:iCs/>
          <w:sz w:val="24"/>
          <w:szCs w:val="24"/>
          <w:lang w:eastAsia="en-IN"/>
        </w:rPr>
        <w:t xml:space="preserve">esponsive </w:t>
      </w:r>
      <w:r w:rsidR="00065E8A" w:rsidRPr="001944EC">
        <w:rPr>
          <w:rFonts w:eastAsia="Times New Roman" w:cstheme="minorHAnsi"/>
          <w:b/>
          <w:bCs/>
          <w:iCs/>
          <w:sz w:val="24"/>
          <w:szCs w:val="24"/>
          <w:lang w:eastAsia="en-IN"/>
        </w:rPr>
        <w:t>f</w:t>
      </w:r>
      <w:r w:rsidRPr="001944EC">
        <w:rPr>
          <w:rFonts w:eastAsia="Times New Roman" w:cstheme="minorHAnsi"/>
          <w:b/>
          <w:bCs/>
          <w:iCs/>
          <w:sz w:val="24"/>
          <w:szCs w:val="24"/>
          <w:lang w:eastAsia="en-IN"/>
        </w:rPr>
        <w:t xml:space="preserve">eedback </w:t>
      </w:r>
      <w:r w:rsidR="00065E8A" w:rsidRPr="001944EC">
        <w:rPr>
          <w:rFonts w:eastAsia="Times New Roman" w:cstheme="minorHAnsi"/>
          <w:b/>
          <w:bCs/>
          <w:iCs/>
          <w:sz w:val="24"/>
          <w:szCs w:val="24"/>
          <w:lang w:eastAsia="en-IN"/>
        </w:rPr>
        <w:t>o</w:t>
      </w:r>
      <w:r w:rsidRPr="001944EC">
        <w:rPr>
          <w:rFonts w:eastAsia="Times New Roman" w:cstheme="minorHAnsi"/>
          <w:b/>
          <w:bCs/>
          <w:iCs/>
          <w:sz w:val="24"/>
          <w:szCs w:val="24"/>
          <w:lang w:eastAsia="en-IN"/>
        </w:rPr>
        <w:t xml:space="preserve">bservation </w:t>
      </w:r>
      <w:r w:rsidR="00065E8A" w:rsidRPr="001944EC">
        <w:rPr>
          <w:rFonts w:eastAsia="Times New Roman" w:cstheme="minorHAnsi"/>
          <w:b/>
          <w:bCs/>
          <w:iCs/>
          <w:sz w:val="24"/>
          <w:szCs w:val="24"/>
          <w:lang w:eastAsia="en-IN"/>
        </w:rPr>
        <w:t>i</w:t>
      </w:r>
      <w:r w:rsidRPr="001944EC">
        <w:rPr>
          <w:rFonts w:eastAsia="Times New Roman" w:cstheme="minorHAnsi"/>
          <w:b/>
          <w:bCs/>
          <w:iCs/>
          <w:sz w:val="24"/>
          <w:szCs w:val="24"/>
          <w:lang w:eastAsia="en-IN"/>
        </w:rPr>
        <w:t>tems.</w:t>
      </w:r>
      <w:r w:rsidRPr="001944EC">
        <w:rPr>
          <w:rFonts w:eastAsia="Times New Roman" w:cstheme="minorHAnsi"/>
          <w:iCs/>
          <w:sz w:val="24"/>
          <w:szCs w:val="24"/>
          <w:lang w:eastAsia="en-IN"/>
        </w:rPr>
        <w:t xml:space="preserve"> This table provides representative observation items for assessing Error-Responsive Feedback (ERF), focusing on recognition and correction of segregation errors, response to corrective feedback, and prevention of recurrent errors.</w:t>
      </w:r>
    </w:p>
    <w:p w14:paraId="0FCD5576" w14:textId="77777777" w:rsidR="00A91ABD" w:rsidRPr="001944EC" w:rsidRDefault="00A91ABD" w:rsidP="006C1440">
      <w:pPr>
        <w:spacing w:after="0" w:line="240" w:lineRule="auto"/>
        <w:contextualSpacing/>
        <w:mirrorIndents/>
        <w:jc w:val="both"/>
        <w:rPr>
          <w:rFonts w:eastAsia="Times New Roman" w:cstheme="minorHAnsi"/>
          <w:iCs/>
          <w:sz w:val="24"/>
          <w:szCs w:val="24"/>
          <w:lang w:eastAsia="en-IN"/>
        </w:rPr>
      </w:pPr>
    </w:p>
    <w:p w14:paraId="53543AF3" w14:textId="1632E609" w:rsidR="00A91ABD" w:rsidRPr="001944EC" w:rsidRDefault="00A91ABD" w:rsidP="006C1440">
      <w:pPr>
        <w:spacing w:after="0" w:line="240" w:lineRule="auto"/>
        <w:contextualSpacing/>
        <w:mirrorIndents/>
        <w:jc w:val="both"/>
        <w:rPr>
          <w:rFonts w:eastAsia="Times New Roman" w:cstheme="minorHAnsi"/>
          <w:iCs/>
          <w:sz w:val="24"/>
          <w:szCs w:val="24"/>
          <w:lang w:eastAsia="en-IN"/>
        </w:rPr>
      </w:pPr>
      <w:r w:rsidRPr="001944EC">
        <w:rPr>
          <w:rFonts w:eastAsia="Times New Roman" w:cstheme="minorHAnsi"/>
          <w:b/>
          <w:bCs/>
          <w:iCs/>
          <w:sz w:val="24"/>
          <w:szCs w:val="24"/>
          <w:lang w:eastAsia="en-IN"/>
        </w:rPr>
        <w:t>Table 9</w:t>
      </w:r>
      <w:r w:rsidR="000934E9" w:rsidRPr="001944EC">
        <w:rPr>
          <w:rFonts w:eastAsia="Times New Roman" w:cstheme="minorHAnsi"/>
          <w:b/>
          <w:bCs/>
          <w:iCs/>
          <w:sz w:val="24"/>
          <w:szCs w:val="24"/>
          <w:lang w:eastAsia="en-IN"/>
        </w:rPr>
        <w:t>:</w:t>
      </w:r>
      <w:r w:rsidRPr="001944EC">
        <w:rPr>
          <w:rFonts w:eastAsia="Times New Roman" w:cstheme="minorHAnsi"/>
          <w:b/>
          <w:bCs/>
          <w:iCs/>
          <w:sz w:val="24"/>
          <w:szCs w:val="24"/>
          <w:lang w:eastAsia="en-IN"/>
        </w:rPr>
        <w:t xml:space="preserve"> Precision </w:t>
      </w:r>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 xml:space="preserve">ehavior </w:t>
      </w:r>
      <w:r w:rsidR="00065E8A" w:rsidRPr="001944EC">
        <w:rPr>
          <w:rFonts w:eastAsia="Times New Roman" w:cstheme="minorHAnsi"/>
          <w:b/>
          <w:bCs/>
          <w:iCs/>
          <w:sz w:val="24"/>
          <w:szCs w:val="24"/>
          <w:lang w:eastAsia="en-IN"/>
        </w:rPr>
        <w:t>s</w:t>
      </w:r>
      <w:r w:rsidRPr="001944EC">
        <w:rPr>
          <w:rFonts w:eastAsia="Times New Roman" w:cstheme="minorHAnsi"/>
          <w:b/>
          <w:bCs/>
          <w:iCs/>
          <w:sz w:val="24"/>
          <w:szCs w:val="24"/>
          <w:lang w:eastAsia="en-IN"/>
        </w:rPr>
        <w:t xml:space="preserve">core (PBS) </w:t>
      </w:r>
      <w:r w:rsidR="00065E8A" w:rsidRPr="001944EC">
        <w:rPr>
          <w:rFonts w:eastAsia="Times New Roman" w:cstheme="minorHAnsi"/>
          <w:b/>
          <w:bCs/>
          <w:iCs/>
          <w:sz w:val="24"/>
          <w:szCs w:val="24"/>
          <w:lang w:eastAsia="en-IN"/>
        </w:rPr>
        <w:t>i</w:t>
      </w:r>
      <w:r w:rsidRPr="001944EC">
        <w:rPr>
          <w:rFonts w:eastAsia="Times New Roman" w:cstheme="minorHAnsi"/>
          <w:b/>
          <w:bCs/>
          <w:iCs/>
          <w:sz w:val="24"/>
          <w:szCs w:val="24"/>
          <w:lang w:eastAsia="en-IN"/>
        </w:rPr>
        <w:t xml:space="preserve">nterpretation </w:t>
      </w:r>
      <w:r w:rsidR="00065E8A" w:rsidRPr="001944EC">
        <w:rPr>
          <w:rFonts w:eastAsia="Times New Roman" w:cstheme="minorHAnsi"/>
          <w:b/>
          <w:bCs/>
          <w:iCs/>
          <w:sz w:val="24"/>
          <w:szCs w:val="24"/>
          <w:lang w:eastAsia="en-IN"/>
        </w:rPr>
        <w:t>t</w:t>
      </w:r>
      <w:r w:rsidRPr="001944EC">
        <w:rPr>
          <w:rFonts w:eastAsia="Times New Roman" w:cstheme="minorHAnsi"/>
          <w:b/>
          <w:bCs/>
          <w:iCs/>
          <w:sz w:val="24"/>
          <w:szCs w:val="24"/>
          <w:lang w:eastAsia="en-IN"/>
        </w:rPr>
        <w:t xml:space="preserve">hresholds. </w:t>
      </w:r>
      <w:r w:rsidRPr="001944EC">
        <w:rPr>
          <w:rFonts w:eastAsia="Times New Roman" w:cstheme="minorHAnsi"/>
          <w:iCs/>
          <w:sz w:val="24"/>
          <w:szCs w:val="24"/>
          <w:lang w:eastAsia="en-IN"/>
        </w:rPr>
        <w:t xml:space="preserve">This table presents the predefined interpretation thresholds for the Precision Behavior Score (PBS; Bhadran’s Score), categorizing observed </w:t>
      </w:r>
      <w:proofErr w:type="spellStart"/>
      <w:r w:rsidRPr="001944EC">
        <w:rPr>
          <w:rFonts w:eastAsia="Times New Roman" w:cstheme="minorHAnsi"/>
          <w:iCs/>
          <w:sz w:val="24"/>
          <w:szCs w:val="24"/>
          <w:lang w:eastAsia="en-IN"/>
        </w:rPr>
        <w:t>behavioral</w:t>
      </w:r>
      <w:proofErr w:type="spellEnd"/>
      <w:r w:rsidRPr="001944EC">
        <w:rPr>
          <w:rFonts w:eastAsia="Times New Roman" w:cstheme="minorHAnsi"/>
          <w:iCs/>
          <w:sz w:val="24"/>
          <w:szCs w:val="24"/>
          <w:lang w:eastAsia="en-IN"/>
        </w:rPr>
        <w:t xml:space="preserve"> precision as low, moderate, or high according to the standardized score ranges.</w:t>
      </w:r>
    </w:p>
    <w:p w14:paraId="56712B5D" w14:textId="77777777" w:rsidR="00A91ABD" w:rsidRPr="001944EC" w:rsidRDefault="00A91ABD" w:rsidP="006C1440">
      <w:pPr>
        <w:spacing w:after="0" w:line="240" w:lineRule="auto"/>
        <w:contextualSpacing/>
        <w:mirrorIndents/>
        <w:jc w:val="both"/>
        <w:rPr>
          <w:rFonts w:cstheme="minorHAnsi"/>
          <w:b/>
          <w:iCs/>
          <w:sz w:val="24"/>
          <w:szCs w:val="24"/>
        </w:rPr>
      </w:pPr>
    </w:p>
    <w:p w14:paraId="4E996793" w14:textId="299C1F79" w:rsidR="00A91ABD" w:rsidRPr="001944EC" w:rsidRDefault="00A91ABD" w:rsidP="006C1440">
      <w:pPr>
        <w:spacing w:after="0" w:line="240" w:lineRule="auto"/>
        <w:contextualSpacing/>
        <w:mirrorIndents/>
        <w:jc w:val="both"/>
        <w:rPr>
          <w:rFonts w:cstheme="minorHAnsi"/>
          <w:b/>
          <w:iCs/>
          <w:sz w:val="24"/>
          <w:szCs w:val="24"/>
        </w:rPr>
      </w:pPr>
      <w:r w:rsidRPr="001944EC">
        <w:rPr>
          <w:rFonts w:cstheme="minorHAnsi"/>
          <w:b/>
          <w:bCs/>
          <w:iCs/>
          <w:sz w:val="24"/>
          <w:szCs w:val="24"/>
        </w:rPr>
        <w:t>Table 10</w:t>
      </w:r>
      <w:r w:rsidR="000934E9" w:rsidRPr="001944EC">
        <w:rPr>
          <w:rFonts w:cstheme="minorHAnsi"/>
          <w:b/>
          <w:bCs/>
          <w:iCs/>
          <w:sz w:val="24"/>
          <w:szCs w:val="24"/>
        </w:rPr>
        <w:t>:</w:t>
      </w:r>
      <w:r w:rsidRPr="001944EC">
        <w:rPr>
          <w:rFonts w:cstheme="minorHAnsi"/>
          <w:b/>
          <w:bCs/>
          <w:iCs/>
          <w:sz w:val="24"/>
          <w:szCs w:val="24"/>
        </w:rPr>
        <w:t xml:space="preserve"> Illustrative </w:t>
      </w:r>
      <w:r w:rsidR="00065E8A" w:rsidRPr="001944EC">
        <w:rPr>
          <w:rFonts w:eastAsia="Times New Roman" w:cstheme="minorHAnsi"/>
          <w:b/>
          <w:bCs/>
          <w:iCs/>
          <w:sz w:val="24"/>
          <w:szCs w:val="24"/>
          <w:lang w:eastAsia="en-IN"/>
        </w:rPr>
        <w:t>m</w:t>
      </w:r>
      <w:r w:rsidRPr="001944EC">
        <w:rPr>
          <w:rFonts w:eastAsia="Times New Roman" w:cstheme="minorHAnsi"/>
          <w:b/>
          <w:bCs/>
          <w:iCs/>
          <w:sz w:val="24"/>
          <w:szCs w:val="24"/>
          <w:lang w:eastAsia="en-IN"/>
        </w:rPr>
        <w:t>oment-</w:t>
      </w:r>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 xml:space="preserve">ased </w:t>
      </w:r>
      <w:r w:rsidR="00065E8A" w:rsidRPr="001944EC">
        <w:rPr>
          <w:rFonts w:eastAsia="Times New Roman" w:cstheme="minorHAnsi"/>
          <w:b/>
          <w:bCs/>
          <w:iCs/>
          <w:sz w:val="24"/>
          <w:szCs w:val="24"/>
          <w:lang w:eastAsia="en-IN"/>
        </w:rPr>
        <w:t>p</w:t>
      </w:r>
      <w:r w:rsidRPr="001944EC">
        <w:rPr>
          <w:rFonts w:eastAsia="Times New Roman" w:cstheme="minorHAnsi"/>
          <w:b/>
          <w:bCs/>
          <w:iCs/>
          <w:sz w:val="24"/>
          <w:szCs w:val="24"/>
          <w:lang w:eastAsia="en-IN"/>
        </w:rPr>
        <w:t xml:space="preserve">recision </w:t>
      </w:r>
      <w:proofErr w:type="spellStart"/>
      <w:r w:rsidR="00065E8A" w:rsidRPr="001944EC">
        <w:rPr>
          <w:rFonts w:eastAsia="Times New Roman" w:cstheme="minorHAnsi"/>
          <w:b/>
          <w:bCs/>
          <w:iCs/>
          <w:sz w:val="24"/>
          <w:szCs w:val="24"/>
          <w:lang w:eastAsia="en-IN"/>
        </w:rPr>
        <w:t>b</w:t>
      </w:r>
      <w:r w:rsidRPr="001944EC">
        <w:rPr>
          <w:rFonts w:eastAsia="Times New Roman" w:cstheme="minorHAnsi"/>
          <w:b/>
          <w:bCs/>
          <w:iCs/>
          <w:sz w:val="24"/>
          <w:szCs w:val="24"/>
          <w:lang w:eastAsia="en-IN"/>
        </w:rPr>
        <w:t>ehavioral</w:t>
      </w:r>
      <w:proofErr w:type="spellEnd"/>
      <w:r w:rsidRPr="001944EC">
        <w:rPr>
          <w:rFonts w:eastAsia="Times New Roman" w:cstheme="minorHAnsi"/>
          <w:b/>
          <w:bCs/>
          <w:iCs/>
          <w:sz w:val="24"/>
          <w:szCs w:val="24"/>
          <w:lang w:eastAsia="en-IN"/>
        </w:rPr>
        <w:t xml:space="preserve"> </w:t>
      </w:r>
      <w:r w:rsidR="00065E8A" w:rsidRPr="001944EC">
        <w:rPr>
          <w:rFonts w:eastAsia="Times New Roman" w:cstheme="minorHAnsi"/>
          <w:b/>
          <w:bCs/>
          <w:iCs/>
          <w:sz w:val="24"/>
          <w:szCs w:val="24"/>
          <w:lang w:eastAsia="en-IN"/>
        </w:rPr>
        <w:t>f</w:t>
      </w:r>
      <w:r w:rsidRPr="001944EC">
        <w:rPr>
          <w:rFonts w:eastAsia="Times New Roman" w:cstheme="minorHAnsi"/>
          <w:b/>
          <w:bCs/>
          <w:iCs/>
          <w:sz w:val="24"/>
          <w:szCs w:val="24"/>
          <w:lang w:eastAsia="en-IN"/>
        </w:rPr>
        <w:t>idelity (</w:t>
      </w:r>
      <w:r w:rsidRPr="001944EC">
        <w:rPr>
          <w:rFonts w:cstheme="minorHAnsi"/>
          <w:b/>
          <w:bCs/>
          <w:iCs/>
          <w:sz w:val="24"/>
          <w:szCs w:val="24"/>
        </w:rPr>
        <w:t xml:space="preserve">MBPBF) </w:t>
      </w:r>
      <w:r w:rsidR="00065E8A" w:rsidRPr="001944EC">
        <w:rPr>
          <w:rFonts w:cstheme="minorHAnsi"/>
          <w:b/>
          <w:bCs/>
          <w:iCs/>
          <w:sz w:val="24"/>
          <w:szCs w:val="24"/>
        </w:rPr>
        <w:t>d</w:t>
      </w:r>
      <w:r w:rsidRPr="001944EC">
        <w:rPr>
          <w:rFonts w:cstheme="minorHAnsi"/>
          <w:b/>
          <w:bCs/>
          <w:iCs/>
          <w:sz w:val="24"/>
          <w:szCs w:val="24"/>
        </w:rPr>
        <w:t xml:space="preserve">omain </w:t>
      </w:r>
      <w:r w:rsidR="00065E8A" w:rsidRPr="001944EC">
        <w:rPr>
          <w:rFonts w:cstheme="minorHAnsi"/>
          <w:b/>
          <w:bCs/>
          <w:iCs/>
          <w:sz w:val="24"/>
          <w:szCs w:val="24"/>
        </w:rPr>
        <w:t>s</w:t>
      </w:r>
      <w:r w:rsidRPr="001944EC">
        <w:rPr>
          <w:rFonts w:cstheme="minorHAnsi"/>
          <w:b/>
          <w:bCs/>
          <w:iCs/>
          <w:sz w:val="24"/>
          <w:szCs w:val="24"/>
        </w:rPr>
        <w:t xml:space="preserve">cores and </w:t>
      </w:r>
      <w:r w:rsidR="00065E8A" w:rsidRPr="001944EC">
        <w:rPr>
          <w:rFonts w:cstheme="minorHAnsi"/>
          <w:b/>
          <w:bCs/>
          <w:iCs/>
          <w:sz w:val="24"/>
          <w:szCs w:val="24"/>
        </w:rPr>
        <w:t>i</w:t>
      </w:r>
      <w:r w:rsidRPr="001944EC">
        <w:rPr>
          <w:rFonts w:cstheme="minorHAnsi"/>
          <w:b/>
          <w:bCs/>
          <w:iCs/>
          <w:sz w:val="24"/>
          <w:szCs w:val="24"/>
        </w:rPr>
        <w:t xml:space="preserve">ndividual </w:t>
      </w:r>
      <w:r w:rsidR="00065E8A" w:rsidRPr="001944EC">
        <w:rPr>
          <w:rFonts w:cstheme="minorHAnsi"/>
          <w:b/>
          <w:bCs/>
          <w:iCs/>
          <w:sz w:val="24"/>
          <w:szCs w:val="24"/>
        </w:rPr>
        <w:t>s</w:t>
      </w:r>
      <w:r w:rsidRPr="001944EC">
        <w:rPr>
          <w:rFonts w:cstheme="minorHAnsi"/>
          <w:b/>
          <w:bCs/>
          <w:iCs/>
          <w:sz w:val="24"/>
          <w:szCs w:val="24"/>
        </w:rPr>
        <w:t>taff-</w:t>
      </w:r>
      <w:r w:rsidR="00065E8A" w:rsidRPr="001944EC">
        <w:rPr>
          <w:rFonts w:cstheme="minorHAnsi"/>
          <w:b/>
          <w:bCs/>
          <w:iCs/>
          <w:sz w:val="24"/>
          <w:szCs w:val="24"/>
        </w:rPr>
        <w:t>l</w:t>
      </w:r>
      <w:r w:rsidRPr="001944EC">
        <w:rPr>
          <w:rFonts w:cstheme="minorHAnsi"/>
          <w:b/>
          <w:bCs/>
          <w:iCs/>
          <w:sz w:val="24"/>
          <w:szCs w:val="24"/>
        </w:rPr>
        <w:t xml:space="preserve">evel </w:t>
      </w:r>
      <w:r w:rsidR="00065E8A" w:rsidRPr="001944EC">
        <w:rPr>
          <w:rFonts w:cstheme="minorHAnsi"/>
          <w:b/>
          <w:bCs/>
          <w:iCs/>
          <w:sz w:val="24"/>
          <w:szCs w:val="24"/>
        </w:rPr>
        <w:t>p</w:t>
      </w:r>
      <w:r w:rsidRPr="001944EC">
        <w:rPr>
          <w:rFonts w:cstheme="minorHAnsi"/>
          <w:b/>
          <w:bCs/>
          <w:iCs/>
          <w:sz w:val="24"/>
          <w:szCs w:val="24"/>
        </w:rPr>
        <w:t xml:space="preserve">recision </w:t>
      </w:r>
      <w:r w:rsidR="00065E8A" w:rsidRPr="001944EC">
        <w:rPr>
          <w:rFonts w:cstheme="minorHAnsi"/>
          <w:b/>
          <w:bCs/>
          <w:iCs/>
          <w:sz w:val="24"/>
          <w:szCs w:val="24"/>
        </w:rPr>
        <w:t>b</w:t>
      </w:r>
      <w:r w:rsidRPr="001944EC">
        <w:rPr>
          <w:rFonts w:cstheme="minorHAnsi"/>
          <w:b/>
          <w:bCs/>
          <w:iCs/>
          <w:sz w:val="24"/>
          <w:szCs w:val="24"/>
        </w:rPr>
        <w:t xml:space="preserve">ehavior </w:t>
      </w:r>
      <w:r w:rsidR="00065E8A" w:rsidRPr="001944EC">
        <w:rPr>
          <w:rFonts w:cstheme="minorHAnsi"/>
          <w:b/>
          <w:bCs/>
          <w:iCs/>
          <w:sz w:val="24"/>
          <w:szCs w:val="24"/>
        </w:rPr>
        <w:t>s</w:t>
      </w:r>
      <w:r w:rsidRPr="001944EC">
        <w:rPr>
          <w:rFonts w:cstheme="minorHAnsi"/>
          <w:b/>
          <w:bCs/>
          <w:iCs/>
          <w:sz w:val="24"/>
          <w:szCs w:val="24"/>
        </w:rPr>
        <w:t xml:space="preserve">core (PBS). </w:t>
      </w:r>
      <w:r w:rsidRPr="001944EC">
        <w:rPr>
          <w:rFonts w:cstheme="minorHAnsi"/>
          <w:iCs/>
          <w:sz w:val="24"/>
          <w:szCs w:val="24"/>
        </w:rPr>
        <w:t>This table provides illustrative staff-level scores across the four MBPBF domains and demonstrates calculation of the individual Precision Behavior Score (PBS) as the aggregate of the domain scores.</w:t>
      </w:r>
    </w:p>
    <w:p w14:paraId="444C894E" w14:textId="77777777" w:rsidR="00A91ABD" w:rsidRPr="001944EC" w:rsidRDefault="00A91ABD" w:rsidP="006C1440">
      <w:pPr>
        <w:spacing w:after="0" w:line="240" w:lineRule="auto"/>
        <w:contextualSpacing/>
        <w:mirrorIndents/>
        <w:jc w:val="both"/>
        <w:rPr>
          <w:rFonts w:cstheme="minorHAnsi"/>
          <w:iCs/>
          <w:sz w:val="24"/>
          <w:szCs w:val="24"/>
        </w:rPr>
      </w:pPr>
    </w:p>
    <w:p w14:paraId="473C535F" w14:textId="6FE3BE49" w:rsidR="00A91ABD" w:rsidRPr="001944EC" w:rsidRDefault="00A91ABD" w:rsidP="006C1440">
      <w:pPr>
        <w:spacing w:after="0" w:line="240" w:lineRule="auto"/>
        <w:contextualSpacing/>
        <w:mirrorIndents/>
        <w:jc w:val="both"/>
        <w:rPr>
          <w:rFonts w:cstheme="minorHAnsi"/>
          <w:iCs/>
          <w:sz w:val="24"/>
          <w:szCs w:val="24"/>
        </w:rPr>
      </w:pPr>
      <w:r w:rsidRPr="001944EC">
        <w:rPr>
          <w:rFonts w:cstheme="minorHAnsi"/>
          <w:b/>
          <w:bCs/>
          <w:iCs/>
          <w:sz w:val="24"/>
          <w:szCs w:val="24"/>
        </w:rPr>
        <w:t>Table 11</w:t>
      </w:r>
      <w:r w:rsidR="000934E9" w:rsidRPr="001944EC">
        <w:rPr>
          <w:rFonts w:cstheme="minorHAnsi"/>
          <w:b/>
          <w:bCs/>
          <w:iCs/>
          <w:sz w:val="24"/>
          <w:szCs w:val="24"/>
        </w:rPr>
        <w:t>:</w:t>
      </w:r>
      <w:r w:rsidRPr="001944EC">
        <w:rPr>
          <w:rFonts w:cstheme="minorHAnsi"/>
          <w:b/>
          <w:bCs/>
          <w:iCs/>
          <w:sz w:val="24"/>
          <w:szCs w:val="24"/>
        </w:rPr>
        <w:t xml:space="preserve"> Illustrative </w:t>
      </w:r>
      <w:r w:rsidR="00065E8A" w:rsidRPr="001944EC">
        <w:rPr>
          <w:rFonts w:cstheme="minorHAnsi"/>
          <w:b/>
          <w:bCs/>
          <w:iCs/>
          <w:sz w:val="24"/>
          <w:szCs w:val="24"/>
        </w:rPr>
        <w:t>r</w:t>
      </w:r>
      <w:r w:rsidRPr="001944EC">
        <w:rPr>
          <w:rFonts w:cstheme="minorHAnsi"/>
          <w:b/>
          <w:bCs/>
          <w:iCs/>
          <w:sz w:val="24"/>
          <w:szCs w:val="24"/>
        </w:rPr>
        <w:t xml:space="preserve">epeated </w:t>
      </w:r>
      <w:r w:rsidR="00065E8A" w:rsidRPr="001944EC">
        <w:rPr>
          <w:rFonts w:cstheme="minorHAnsi"/>
          <w:b/>
          <w:bCs/>
          <w:iCs/>
          <w:sz w:val="24"/>
          <w:szCs w:val="24"/>
        </w:rPr>
        <w:t>o</w:t>
      </w:r>
      <w:r w:rsidRPr="001944EC">
        <w:rPr>
          <w:rFonts w:cstheme="minorHAnsi"/>
          <w:b/>
          <w:bCs/>
          <w:iCs/>
          <w:sz w:val="24"/>
          <w:szCs w:val="24"/>
        </w:rPr>
        <w:t xml:space="preserve">bservation </w:t>
      </w:r>
      <w:r w:rsidR="00065E8A" w:rsidRPr="001944EC">
        <w:rPr>
          <w:rFonts w:cstheme="minorHAnsi"/>
          <w:b/>
          <w:bCs/>
          <w:iCs/>
          <w:sz w:val="24"/>
          <w:szCs w:val="24"/>
        </w:rPr>
        <w:t>s</w:t>
      </w:r>
      <w:r w:rsidRPr="001944EC">
        <w:rPr>
          <w:rFonts w:cstheme="minorHAnsi"/>
          <w:b/>
          <w:bCs/>
          <w:iCs/>
          <w:sz w:val="24"/>
          <w:szCs w:val="24"/>
        </w:rPr>
        <w:t xml:space="preserve">cores </w:t>
      </w:r>
      <w:r w:rsidR="00065E8A" w:rsidRPr="001944EC">
        <w:rPr>
          <w:rFonts w:cstheme="minorHAnsi"/>
          <w:b/>
          <w:bCs/>
          <w:iCs/>
          <w:sz w:val="24"/>
          <w:szCs w:val="24"/>
        </w:rPr>
        <w:t>i</w:t>
      </w:r>
      <w:r w:rsidRPr="001944EC">
        <w:rPr>
          <w:rFonts w:cstheme="minorHAnsi"/>
          <w:b/>
          <w:bCs/>
          <w:iCs/>
          <w:sz w:val="24"/>
          <w:szCs w:val="24"/>
        </w:rPr>
        <w:t xml:space="preserve">nforming </w:t>
      </w:r>
      <w:r w:rsidR="00065E8A" w:rsidRPr="001944EC">
        <w:rPr>
          <w:rFonts w:cstheme="minorHAnsi"/>
          <w:b/>
          <w:bCs/>
          <w:iCs/>
          <w:sz w:val="24"/>
          <w:szCs w:val="24"/>
        </w:rPr>
        <w:t>s</w:t>
      </w:r>
      <w:r w:rsidRPr="001944EC">
        <w:rPr>
          <w:rFonts w:cstheme="minorHAnsi"/>
          <w:b/>
          <w:bCs/>
          <w:iCs/>
          <w:sz w:val="24"/>
          <w:szCs w:val="24"/>
        </w:rPr>
        <w:t>taff-</w:t>
      </w:r>
      <w:r w:rsidR="00065E8A" w:rsidRPr="001944EC">
        <w:rPr>
          <w:rFonts w:cstheme="minorHAnsi"/>
          <w:b/>
          <w:bCs/>
          <w:iCs/>
          <w:sz w:val="24"/>
          <w:szCs w:val="24"/>
        </w:rPr>
        <w:t>l</w:t>
      </w:r>
      <w:r w:rsidRPr="001944EC">
        <w:rPr>
          <w:rFonts w:cstheme="minorHAnsi"/>
          <w:b/>
          <w:bCs/>
          <w:iCs/>
          <w:sz w:val="24"/>
          <w:szCs w:val="24"/>
        </w:rPr>
        <w:t>evel PBS.</w:t>
      </w:r>
      <w:r w:rsidRPr="001944EC">
        <w:rPr>
          <w:rFonts w:cstheme="minorHAnsi"/>
          <w:iCs/>
          <w:sz w:val="24"/>
          <w:szCs w:val="24"/>
        </w:rPr>
        <w:t xml:space="preserve"> This table presents illustrative domain-level scores obtained from repeated </w:t>
      </w:r>
      <w:proofErr w:type="spellStart"/>
      <w:r w:rsidRPr="001944EC">
        <w:rPr>
          <w:rFonts w:cstheme="minorHAnsi"/>
          <w:iCs/>
          <w:sz w:val="24"/>
          <w:szCs w:val="24"/>
        </w:rPr>
        <w:t>behavioral</w:t>
      </w:r>
      <w:proofErr w:type="spellEnd"/>
      <w:r w:rsidRPr="001944EC">
        <w:rPr>
          <w:rFonts w:cstheme="minorHAnsi"/>
          <w:iCs/>
          <w:sz w:val="24"/>
          <w:szCs w:val="24"/>
        </w:rPr>
        <w:t xml:space="preserve"> observations and demonstrates the type of observation-level data used to inform staff-level Precision Behavior Score (PBS) assessment.</w:t>
      </w:r>
    </w:p>
    <w:p w14:paraId="23A3F535" w14:textId="77777777" w:rsidR="00A91ABD" w:rsidRPr="001944EC" w:rsidRDefault="00A91ABD" w:rsidP="006C1440">
      <w:pPr>
        <w:spacing w:after="0" w:line="240" w:lineRule="auto"/>
        <w:contextualSpacing/>
        <w:mirrorIndents/>
        <w:jc w:val="both"/>
        <w:rPr>
          <w:rFonts w:cstheme="minorHAnsi"/>
          <w:b/>
          <w:iCs/>
          <w:sz w:val="24"/>
          <w:szCs w:val="24"/>
        </w:rPr>
      </w:pPr>
    </w:p>
    <w:p w14:paraId="6402AAD3" w14:textId="40E41400" w:rsidR="00A91ABD" w:rsidRPr="001944EC" w:rsidRDefault="00A91ABD" w:rsidP="006C1440">
      <w:pPr>
        <w:spacing w:after="0" w:line="240" w:lineRule="auto"/>
        <w:contextualSpacing/>
        <w:mirrorIndents/>
        <w:jc w:val="both"/>
        <w:rPr>
          <w:rFonts w:cstheme="minorHAnsi"/>
          <w:iCs/>
          <w:sz w:val="24"/>
          <w:szCs w:val="24"/>
        </w:rPr>
      </w:pPr>
      <w:r w:rsidRPr="001944EC">
        <w:rPr>
          <w:rFonts w:cstheme="minorHAnsi"/>
          <w:b/>
          <w:bCs/>
          <w:iCs/>
          <w:sz w:val="24"/>
          <w:szCs w:val="24"/>
        </w:rPr>
        <w:t>Table 12</w:t>
      </w:r>
      <w:r w:rsidR="000934E9" w:rsidRPr="001944EC">
        <w:rPr>
          <w:rFonts w:cstheme="minorHAnsi"/>
          <w:b/>
          <w:bCs/>
          <w:iCs/>
          <w:sz w:val="24"/>
          <w:szCs w:val="24"/>
        </w:rPr>
        <w:t>:</w:t>
      </w:r>
      <w:r w:rsidRPr="001944EC">
        <w:rPr>
          <w:rFonts w:cstheme="minorHAnsi"/>
          <w:b/>
          <w:bCs/>
          <w:iCs/>
          <w:sz w:val="24"/>
          <w:szCs w:val="24"/>
        </w:rPr>
        <w:t xml:space="preserve"> Example PBS </w:t>
      </w:r>
      <w:r w:rsidR="00065E8A" w:rsidRPr="001944EC">
        <w:rPr>
          <w:rFonts w:cstheme="minorHAnsi"/>
          <w:b/>
          <w:bCs/>
          <w:iCs/>
          <w:sz w:val="24"/>
          <w:szCs w:val="24"/>
        </w:rPr>
        <w:t>v</w:t>
      </w:r>
      <w:r w:rsidRPr="001944EC">
        <w:rPr>
          <w:rFonts w:cstheme="minorHAnsi"/>
          <w:b/>
          <w:bCs/>
          <w:iCs/>
          <w:sz w:val="24"/>
          <w:szCs w:val="24"/>
        </w:rPr>
        <w:t xml:space="preserve">alues </w:t>
      </w:r>
      <w:r w:rsidR="00065E8A" w:rsidRPr="001944EC">
        <w:rPr>
          <w:rFonts w:cstheme="minorHAnsi"/>
          <w:b/>
          <w:bCs/>
          <w:iCs/>
          <w:sz w:val="24"/>
          <w:szCs w:val="24"/>
        </w:rPr>
        <w:t>u</w:t>
      </w:r>
      <w:r w:rsidRPr="001944EC">
        <w:rPr>
          <w:rFonts w:cstheme="minorHAnsi"/>
          <w:b/>
          <w:bCs/>
          <w:iCs/>
          <w:sz w:val="24"/>
          <w:szCs w:val="24"/>
        </w:rPr>
        <w:t xml:space="preserve">sed for PGSA </w:t>
      </w:r>
      <w:r w:rsidR="00065E8A" w:rsidRPr="001944EC">
        <w:rPr>
          <w:rFonts w:cstheme="minorHAnsi"/>
          <w:b/>
          <w:bCs/>
          <w:iCs/>
          <w:sz w:val="24"/>
          <w:szCs w:val="24"/>
        </w:rPr>
        <w:t>c</w:t>
      </w:r>
      <w:r w:rsidRPr="001944EC">
        <w:rPr>
          <w:rFonts w:cstheme="minorHAnsi"/>
          <w:b/>
          <w:bCs/>
          <w:iCs/>
          <w:sz w:val="24"/>
          <w:szCs w:val="24"/>
        </w:rPr>
        <w:t>alculation.</w:t>
      </w:r>
      <w:r w:rsidRPr="001944EC">
        <w:rPr>
          <w:rFonts w:cstheme="minorHAnsi"/>
          <w:iCs/>
          <w:sz w:val="24"/>
          <w:szCs w:val="24"/>
        </w:rPr>
        <w:t xml:space="preserve"> This table presents illustrative individual PBS values for eligible staff members and demonstrates the input values used for </w:t>
      </w:r>
      <w:r w:rsidRPr="001944EC">
        <w:rPr>
          <w:rFonts w:cstheme="minorHAnsi"/>
          <w:iCs/>
          <w:sz w:val="24"/>
          <w:szCs w:val="24"/>
        </w:rPr>
        <w:lastRenderedPageBreak/>
        <w:t>subsequent Point-of-Generation Segregation Accuracy (PGSA) calculation across a defined observation scope.</w:t>
      </w:r>
    </w:p>
    <w:p w14:paraId="687CDC43" w14:textId="08E029D5" w:rsidR="00A91ABD" w:rsidRPr="001944EC" w:rsidRDefault="00A91ABD" w:rsidP="006C1440">
      <w:pPr>
        <w:spacing w:after="0" w:line="240" w:lineRule="auto"/>
        <w:contextualSpacing/>
        <w:mirrorIndents/>
        <w:jc w:val="both"/>
        <w:rPr>
          <w:rFonts w:cstheme="minorHAnsi"/>
          <w:b/>
          <w:iCs/>
          <w:sz w:val="24"/>
          <w:szCs w:val="24"/>
        </w:rPr>
      </w:pPr>
    </w:p>
    <w:p w14:paraId="0DD00A55" w14:textId="0DB9FB22" w:rsidR="00A91ABD" w:rsidRPr="001944EC" w:rsidRDefault="00A91ABD" w:rsidP="006C1440">
      <w:pPr>
        <w:spacing w:after="0" w:line="240" w:lineRule="auto"/>
        <w:contextualSpacing/>
        <w:mirrorIndents/>
        <w:jc w:val="both"/>
        <w:rPr>
          <w:rFonts w:cstheme="minorHAnsi"/>
          <w:iCs/>
          <w:sz w:val="24"/>
          <w:szCs w:val="24"/>
        </w:rPr>
      </w:pPr>
      <w:r w:rsidRPr="001944EC">
        <w:rPr>
          <w:rFonts w:cstheme="minorHAnsi"/>
          <w:b/>
          <w:bCs/>
          <w:iCs/>
          <w:sz w:val="24"/>
          <w:szCs w:val="24"/>
        </w:rPr>
        <w:t>Table 13</w:t>
      </w:r>
      <w:r w:rsidR="000934E9" w:rsidRPr="001944EC">
        <w:rPr>
          <w:rFonts w:cstheme="minorHAnsi"/>
          <w:b/>
          <w:bCs/>
          <w:iCs/>
          <w:sz w:val="24"/>
          <w:szCs w:val="24"/>
        </w:rPr>
        <w:t>:</w:t>
      </w:r>
      <w:r w:rsidRPr="001944EC">
        <w:rPr>
          <w:rFonts w:cstheme="minorHAnsi"/>
          <w:b/>
          <w:bCs/>
          <w:iCs/>
          <w:sz w:val="24"/>
          <w:szCs w:val="24"/>
        </w:rPr>
        <w:t xml:space="preserve"> Illustrative </w:t>
      </w:r>
      <w:r w:rsidR="00065E8A" w:rsidRPr="001944EC">
        <w:rPr>
          <w:rFonts w:cstheme="minorHAnsi"/>
          <w:b/>
          <w:bCs/>
          <w:iCs/>
          <w:sz w:val="24"/>
          <w:szCs w:val="24"/>
        </w:rPr>
        <w:t>v</w:t>
      </w:r>
      <w:r w:rsidRPr="001944EC">
        <w:rPr>
          <w:rFonts w:cstheme="minorHAnsi"/>
          <w:b/>
          <w:bCs/>
          <w:iCs/>
          <w:sz w:val="24"/>
          <w:szCs w:val="24"/>
        </w:rPr>
        <w:t xml:space="preserve">ariation in </w:t>
      </w:r>
      <w:r w:rsidR="00316404" w:rsidRPr="001944EC">
        <w:rPr>
          <w:rFonts w:cstheme="minorHAnsi"/>
          <w:b/>
          <w:bCs/>
          <w:iCs/>
          <w:sz w:val="24"/>
          <w:szCs w:val="24"/>
        </w:rPr>
        <w:t>p</w:t>
      </w:r>
      <w:r w:rsidRPr="001944EC">
        <w:rPr>
          <w:rFonts w:cstheme="minorHAnsi"/>
          <w:b/>
          <w:bCs/>
          <w:iCs/>
          <w:sz w:val="24"/>
          <w:szCs w:val="24"/>
        </w:rPr>
        <w:t>oint-of-</w:t>
      </w:r>
      <w:r w:rsidR="00316404" w:rsidRPr="001944EC">
        <w:rPr>
          <w:rFonts w:cstheme="minorHAnsi"/>
          <w:b/>
          <w:bCs/>
          <w:iCs/>
          <w:sz w:val="24"/>
          <w:szCs w:val="24"/>
        </w:rPr>
        <w:t>g</w:t>
      </w:r>
      <w:r w:rsidRPr="001944EC">
        <w:rPr>
          <w:rFonts w:cstheme="minorHAnsi"/>
          <w:b/>
          <w:bCs/>
          <w:iCs/>
          <w:sz w:val="24"/>
          <w:szCs w:val="24"/>
        </w:rPr>
        <w:t xml:space="preserve">eneration </w:t>
      </w:r>
      <w:r w:rsidR="00316404" w:rsidRPr="001944EC">
        <w:rPr>
          <w:rFonts w:cstheme="minorHAnsi"/>
          <w:b/>
          <w:bCs/>
          <w:iCs/>
          <w:sz w:val="24"/>
          <w:szCs w:val="24"/>
        </w:rPr>
        <w:t>s</w:t>
      </w:r>
      <w:r w:rsidRPr="001944EC">
        <w:rPr>
          <w:rFonts w:cstheme="minorHAnsi"/>
          <w:b/>
          <w:bCs/>
          <w:iCs/>
          <w:sz w:val="24"/>
          <w:szCs w:val="24"/>
        </w:rPr>
        <w:t xml:space="preserve">egregation </w:t>
      </w:r>
      <w:r w:rsidR="00316404" w:rsidRPr="001944EC">
        <w:rPr>
          <w:rFonts w:cstheme="minorHAnsi"/>
          <w:b/>
          <w:bCs/>
          <w:iCs/>
          <w:sz w:val="24"/>
          <w:szCs w:val="24"/>
        </w:rPr>
        <w:t>a</w:t>
      </w:r>
      <w:r w:rsidRPr="001944EC">
        <w:rPr>
          <w:rFonts w:cstheme="minorHAnsi"/>
          <w:b/>
          <w:bCs/>
          <w:iCs/>
          <w:sz w:val="24"/>
          <w:szCs w:val="24"/>
        </w:rPr>
        <w:t xml:space="preserve">ccuracy (PGSA) </w:t>
      </w:r>
      <w:r w:rsidR="00316404" w:rsidRPr="001944EC">
        <w:rPr>
          <w:rFonts w:cstheme="minorHAnsi"/>
          <w:b/>
          <w:bCs/>
          <w:iCs/>
          <w:sz w:val="24"/>
          <w:szCs w:val="24"/>
        </w:rPr>
        <w:t>a</w:t>
      </w:r>
      <w:r w:rsidRPr="001944EC">
        <w:rPr>
          <w:rFonts w:cstheme="minorHAnsi"/>
          <w:b/>
          <w:bCs/>
          <w:iCs/>
          <w:sz w:val="24"/>
          <w:szCs w:val="24"/>
        </w:rPr>
        <w:t xml:space="preserve">cross </w:t>
      </w:r>
      <w:r w:rsidR="00316404" w:rsidRPr="001944EC">
        <w:rPr>
          <w:rFonts w:cstheme="minorHAnsi"/>
          <w:b/>
          <w:bCs/>
          <w:iCs/>
          <w:sz w:val="24"/>
          <w:szCs w:val="24"/>
        </w:rPr>
        <w:t>o</w:t>
      </w:r>
      <w:r w:rsidRPr="001944EC">
        <w:rPr>
          <w:rFonts w:cstheme="minorHAnsi"/>
          <w:b/>
          <w:bCs/>
          <w:iCs/>
          <w:sz w:val="24"/>
          <w:szCs w:val="24"/>
        </w:rPr>
        <w:t xml:space="preserve">bservation </w:t>
      </w:r>
      <w:r w:rsidR="00316404" w:rsidRPr="001944EC">
        <w:rPr>
          <w:rFonts w:cstheme="minorHAnsi"/>
          <w:b/>
          <w:bCs/>
          <w:iCs/>
          <w:sz w:val="24"/>
          <w:szCs w:val="24"/>
        </w:rPr>
        <w:t>s</w:t>
      </w:r>
      <w:r w:rsidRPr="001944EC">
        <w:rPr>
          <w:rFonts w:cstheme="minorHAnsi"/>
          <w:b/>
          <w:bCs/>
          <w:iCs/>
          <w:sz w:val="24"/>
          <w:szCs w:val="24"/>
        </w:rPr>
        <w:t>copes.</w:t>
      </w:r>
      <w:r w:rsidRPr="001944EC">
        <w:rPr>
          <w:rFonts w:cstheme="minorHAnsi"/>
          <w:iCs/>
          <w:sz w:val="24"/>
          <w:szCs w:val="24"/>
        </w:rPr>
        <w:t xml:space="preserve"> This table illustrates how Point-of-Generation Segregation Accuracy (PGSA) may vary across observation scopes with different numbers of eligible staff members, demonstrating the application of the PGST observation-scope framework.</w:t>
      </w:r>
    </w:p>
    <w:p w14:paraId="6EE871BA" w14:textId="6033D6B0" w:rsidR="000934E9" w:rsidRPr="001944EC" w:rsidRDefault="000934E9" w:rsidP="006C1440">
      <w:pPr>
        <w:spacing w:after="0" w:line="240" w:lineRule="auto"/>
        <w:contextualSpacing/>
        <w:mirrorIndents/>
        <w:jc w:val="both"/>
        <w:rPr>
          <w:rFonts w:cstheme="minorHAnsi"/>
          <w:iCs/>
          <w:sz w:val="24"/>
          <w:szCs w:val="24"/>
        </w:rPr>
      </w:pPr>
    </w:p>
    <w:p w14:paraId="364BCAC5" w14:textId="5076C03E" w:rsidR="007704A8" w:rsidRPr="001944EC" w:rsidRDefault="007704A8" w:rsidP="006C1440">
      <w:pPr>
        <w:spacing w:after="0" w:line="240" w:lineRule="auto"/>
        <w:contextualSpacing/>
        <w:mirrorIndents/>
        <w:jc w:val="both"/>
        <w:rPr>
          <w:rFonts w:cstheme="minorHAnsi"/>
          <w:b/>
          <w:bCs/>
          <w:iCs/>
          <w:sz w:val="24"/>
          <w:szCs w:val="24"/>
        </w:rPr>
      </w:pPr>
      <w:r w:rsidRPr="001944EC">
        <w:rPr>
          <w:rFonts w:cstheme="minorHAnsi"/>
          <w:b/>
          <w:bCs/>
          <w:iCs/>
          <w:sz w:val="24"/>
          <w:szCs w:val="24"/>
        </w:rPr>
        <w:t>Supplementary File 1: PGST observation and scoring toolkit.</w:t>
      </w:r>
    </w:p>
    <w:p w14:paraId="4A696AFD" w14:textId="77777777" w:rsidR="007704A8" w:rsidRPr="001944EC" w:rsidRDefault="007704A8" w:rsidP="006C1440">
      <w:pPr>
        <w:spacing w:after="0" w:line="240" w:lineRule="auto"/>
        <w:contextualSpacing/>
        <w:mirrorIndents/>
        <w:jc w:val="both"/>
        <w:rPr>
          <w:rFonts w:cstheme="minorHAnsi"/>
          <w:iCs/>
          <w:sz w:val="24"/>
          <w:szCs w:val="24"/>
        </w:rPr>
      </w:pPr>
    </w:p>
    <w:p w14:paraId="2A9D2248" w14:textId="77777777" w:rsidR="00A91ABD" w:rsidRPr="001944EC" w:rsidRDefault="001431DC" w:rsidP="006C1440">
      <w:pPr>
        <w:pStyle w:val="ListParagraph"/>
        <w:spacing w:after="0" w:line="240" w:lineRule="auto"/>
        <w:ind w:left="0"/>
        <w:mirrorIndents/>
        <w:jc w:val="both"/>
        <w:rPr>
          <w:rFonts w:cstheme="minorHAnsi"/>
          <w:b/>
          <w:sz w:val="24"/>
          <w:szCs w:val="24"/>
        </w:rPr>
      </w:pPr>
      <w:r w:rsidRPr="001944EC">
        <w:rPr>
          <w:rFonts w:cstheme="minorHAnsi"/>
          <w:b/>
          <w:sz w:val="24"/>
          <w:szCs w:val="24"/>
        </w:rPr>
        <w:t>DISCUSSION:</w:t>
      </w:r>
    </w:p>
    <w:p w14:paraId="09E4CF10" w14:textId="410EF244" w:rsidR="00A91ABD" w:rsidRPr="001944EC" w:rsidRDefault="00A91ABD" w:rsidP="006C1440">
      <w:pPr>
        <w:spacing w:after="0" w:line="240" w:lineRule="auto"/>
        <w:contextualSpacing/>
        <w:mirrorIndents/>
        <w:jc w:val="both"/>
        <w:rPr>
          <w:rFonts w:cstheme="minorHAnsi"/>
          <w:sz w:val="24"/>
          <w:szCs w:val="24"/>
        </w:rPr>
      </w:pPr>
      <w:r w:rsidRPr="001944EC">
        <w:rPr>
          <w:rFonts w:cstheme="minorHAnsi"/>
          <w:sz w:val="24"/>
          <w:szCs w:val="24"/>
        </w:rPr>
        <w:t xml:space="preserve">Successful implementation of the Point-of-Generation Segregation Theory (PGST) observational protocol depends primarily on </w:t>
      </w:r>
      <w:proofErr w:type="spellStart"/>
      <w:r w:rsidRPr="001944EC">
        <w:rPr>
          <w:rFonts w:cstheme="minorHAnsi"/>
          <w:sz w:val="24"/>
          <w:szCs w:val="24"/>
        </w:rPr>
        <w:t>prespecification</w:t>
      </w:r>
      <w:proofErr w:type="spellEnd"/>
      <w:r w:rsidRPr="001944EC">
        <w:rPr>
          <w:rFonts w:cstheme="minorHAnsi"/>
          <w:sz w:val="24"/>
          <w:szCs w:val="24"/>
        </w:rPr>
        <w:t xml:space="preserve">, observer preparation, and standardization of the observation environment. The conceptual architecture of PGST, including the </w:t>
      </w:r>
      <w:r w:rsidRPr="001944EC">
        <w:rPr>
          <w:rFonts w:eastAsia="Times New Roman" w:cstheme="minorHAnsi"/>
          <w:sz w:val="24"/>
          <w:szCs w:val="24"/>
          <w:lang w:eastAsia="en-IN"/>
        </w:rPr>
        <w:t xml:space="preserve">Moment-Based Precision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Fidelity</w:t>
      </w:r>
      <w:r w:rsidRPr="001944EC">
        <w:rPr>
          <w:rFonts w:cstheme="minorHAnsi"/>
          <w:sz w:val="24"/>
          <w:szCs w:val="24"/>
        </w:rPr>
        <w:t xml:space="preserve"> (MBPBF), Precision </w:t>
      </w:r>
      <w:r w:rsidR="000934E9" w:rsidRPr="001944EC">
        <w:rPr>
          <w:rFonts w:cstheme="minorHAnsi"/>
          <w:sz w:val="24"/>
          <w:szCs w:val="24"/>
        </w:rPr>
        <w:t>Behavior</w:t>
      </w:r>
      <w:r w:rsidRPr="001944EC">
        <w:rPr>
          <w:rFonts w:cstheme="minorHAnsi"/>
          <w:sz w:val="24"/>
          <w:szCs w:val="24"/>
        </w:rPr>
        <w:t xml:space="preserve"> Score (PBS), and Point-of-Generation Segregation Accuracy (PGSA), originates from the present theoretical framework and should therefore be interpreted in accordance with the original PGST formulation</w:t>
      </w:r>
      <w:r w:rsidRPr="001944EC">
        <w:rPr>
          <w:rFonts w:cstheme="minorHAnsi"/>
          <w:sz w:val="24"/>
          <w:szCs w:val="24"/>
          <w:vertAlign w:val="superscript"/>
        </w:rPr>
        <w:t>1</w:t>
      </w:r>
      <w:r w:rsidRPr="001944EC">
        <w:rPr>
          <w:rFonts w:cstheme="minorHAnsi"/>
          <w:sz w:val="24"/>
          <w:szCs w:val="24"/>
        </w:rPr>
        <w:t>. Before data collection, investigators should define the observation scope, eligible staff categories, observation duration or coverage, timing and shift allocation, types of segregation events to be observed, and the method for handling repeated observations. These elements are particularly important in observational healthcare research because differences in setting, participants, observation procedures, and measurement conditions can influence the comparability and interpretation of findings</w:t>
      </w:r>
      <w:r w:rsidR="00593C28" w:rsidRPr="001944EC">
        <w:rPr>
          <w:rFonts w:cstheme="minorHAnsi"/>
          <w:sz w:val="24"/>
          <w:szCs w:val="24"/>
          <w:vertAlign w:val="superscript"/>
        </w:rPr>
        <w:t>6,7</w:t>
      </w:r>
      <w:r w:rsidRPr="001944EC">
        <w:rPr>
          <w:rFonts w:cstheme="minorHAnsi"/>
          <w:sz w:val="24"/>
          <w:szCs w:val="24"/>
        </w:rPr>
        <w:t xml:space="preserve">. The observation environment should be checked to ensure that waste categories, </w:t>
      </w:r>
      <w:proofErr w:type="spellStart"/>
      <w:r w:rsidRPr="001944EC">
        <w:rPr>
          <w:rFonts w:cstheme="minorHAnsi"/>
          <w:sz w:val="24"/>
          <w:szCs w:val="24"/>
        </w:rPr>
        <w:t>color</w:t>
      </w:r>
      <w:proofErr w:type="spellEnd"/>
      <w:r w:rsidRPr="001944EC">
        <w:rPr>
          <w:rFonts w:cstheme="minorHAnsi"/>
          <w:sz w:val="24"/>
          <w:szCs w:val="24"/>
        </w:rPr>
        <w:t xml:space="preserve"> coding, </w:t>
      </w:r>
      <w:proofErr w:type="spellStart"/>
      <w:r w:rsidRPr="001944EC">
        <w:rPr>
          <w:rFonts w:cstheme="minorHAnsi"/>
          <w:sz w:val="24"/>
          <w:szCs w:val="24"/>
        </w:rPr>
        <w:t>labeling</w:t>
      </w:r>
      <w:proofErr w:type="spellEnd"/>
      <w:r w:rsidRPr="001944EC">
        <w:rPr>
          <w:rFonts w:cstheme="minorHAnsi"/>
          <w:sz w:val="24"/>
          <w:szCs w:val="24"/>
        </w:rPr>
        <w:t>, bin positioning, accessibility, and container capacity conform to applicable institutional and biomedical waste-management requirements</w:t>
      </w:r>
      <w:r w:rsidRPr="001944EC">
        <w:rPr>
          <w:rFonts w:cstheme="minorHAnsi"/>
          <w:sz w:val="24"/>
          <w:szCs w:val="24"/>
          <w:vertAlign w:val="superscript"/>
        </w:rPr>
        <w:t>2,</w:t>
      </w:r>
      <w:r w:rsidR="00FD30D5">
        <w:rPr>
          <w:rFonts w:cstheme="minorHAnsi"/>
          <w:sz w:val="24"/>
          <w:szCs w:val="24"/>
          <w:vertAlign w:val="superscript"/>
        </w:rPr>
        <w:t>8</w:t>
      </w:r>
      <w:r w:rsidRPr="001944EC">
        <w:rPr>
          <w:rFonts w:cstheme="minorHAnsi"/>
          <w:sz w:val="24"/>
          <w:szCs w:val="24"/>
        </w:rPr>
        <w:t>. Such environmental standardization is important because biomedical waste segregation is influenced not only by individual knowledge and practice but also by the availability, accessibility, and organization of waste-management infrastructure</w:t>
      </w:r>
      <w:r w:rsidRPr="001944EC">
        <w:rPr>
          <w:rFonts w:cstheme="minorHAnsi"/>
          <w:sz w:val="24"/>
          <w:szCs w:val="24"/>
          <w:vertAlign w:val="superscript"/>
        </w:rPr>
        <w:t>3</w:t>
      </w:r>
      <w:r w:rsidR="00593C28" w:rsidRPr="001944EC">
        <w:rPr>
          <w:rFonts w:cstheme="minorHAnsi"/>
          <w:sz w:val="24"/>
          <w:szCs w:val="24"/>
          <w:vertAlign w:val="superscript"/>
        </w:rPr>
        <w:t>–5,</w:t>
      </w:r>
      <w:r w:rsidR="00FD30D5">
        <w:rPr>
          <w:rFonts w:cstheme="minorHAnsi"/>
          <w:sz w:val="24"/>
          <w:szCs w:val="24"/>
          <w:vertAlign w:val="superscript"/>
        </w:rPr>
        <w:t>9</w:t>
      </w:r>
      <w:r w:rsidRPr="001944EC">
        <w:rPr>
          <w:rFonts w:cstheme="minorHAnsi"/>
          <w:sz w:val="24"/>
          <w:szCs w:val="24"/>
        </w:rPr>
        <w:t xml:space="preserve">. Observers should be trained using the PGST framework, biomedical waste classification, operational definitions of the four MBPBF domains,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scoring anchors, mock observations, and simulated scoring exercises. Where multiple observers are used, identical scenarios should be independently scored during calibration, with a predefined criterion for acceptable agreement before live observation begins. Formal reliability and agreement assessment is important because variation between observers can contribute to measurement error and affect the interpretation of observational scores</w:t>
      </w:r>
      <w:r w:rsidR="00593C28" w:rsidRPr="001944EC">
        <w:rPr>
          <w:rFonts w:cstheme="minorHAnsi"/>
          <w:sz w:val="24"/>
          <w:szCs w:val="24"/>
          <w:vertAlign w:val="superscript"/>
        </w:rPr>
        <w:t>6,7</w:t>
      </w:r>
      <w:r w:rsidRPr="001944EC">
        <w:rPr>
          <w:rFonts w:cstheme="minorHAnsi"/>
          <w:sz w:val="24"/>
          <w:szCs w:val="24"/>
        </w:rPr>
        <w:t>. The protocol should therefore be treated as a standardized measurement procedure rather than as an unstructured observational exercise.</w:t>
      </w:r>
    </w:p>
    <w:p w14:paraId="48DEA174" w14:textId="77777777" w:rsidR="000934E9" w:rsidRPr="001944EC" w:rsidRDefault="000934E9" w:rsidP="006C1440">
      <w:pPr>
        <w:spacing w:after="0" w:line="240" w:lineRule="auto"/>
        <w:contextualSpacing/>
        <w:mirrorIndents/>
        <w:jc w:val="both"/>
        <w:rPr>
          <w:rFonts w:cstheme="minorHAnsi"/>
          <w:sz w:val="24"/>
          <w:szCs w:val="24"/>
        </w:rPr>
      </w:pPr>
    </w:p>
    <w:p w14:paraId="52F6BFB2" w14:textId="7A8105D6" w:rsidR="00A91ABD" w:rsidRPr="001944EC" w:rsidRDefault="00A91ABD" w:rsidP="006C1440">
      <w:pPr>
        <w:spacing w:after="0" w:line="240" w:lineRule="auto"/>
        <w:contextualSpacing/>
        <w:mirrorIndents/>
        <w:jc w:val="both"/>
        <w:rPr>
          <w:rFonts w:cstheme="minorHAnsi"/>
          <w:sz w:val="24"/>
          <w:szCs w:val="24"/>
        </w:rPr>
      </w:pPr>
      <w:r w:rsidRPr="001944EC">
        <w:rPr>
          <w:rFonts w:cstheme="minorHAnsi"/>
          <w:sz w:val="24"/>
          <w:szCs w:val="24"/>
        </w:rPr>
        <w:t xml:space="preserve">During live observation, observers should remain as unobtrusive as possible and should record </w:t>
      </w:r>
      <w:r w:rsidR="000934E9" w:rsidRPr="001944EC">
        <w:rPr>
          <w:rFonts w:cstheme="minorHAnsi"/>
          <w:sz w:val="24"/>
          <w:szCs w:val="24"/>
        </w:rPr>
        <w:t>behavior</w:t>
      </w:r>
      <w:r w:rsidRPr="001944EC">
        <w:rPr>
          <w:rFonts w:cstheme="minorHAnsi"/>
          <w:sz w:val="24"/>
          <w:szCs w:val="24"/>
        </w:rPr>
        <w:t xml:space="preserve"> as it occurs during routine workflow without intentionally prompting, correcting, or modifying the participant's actions for scoring purposes. Direct observation in healthcare can introduce information, selection, and confounding biases, and methodological differences in observation procedures can influence the validity of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measurements</w:t>
      </w:r>
      <w:r w:rsidRPr="001944EC">
        <w:rPr>
          <w:rFonts w:cstheme="minorHAnsi"/>
          <w:sz w:val="24"/>
          <w:szCs w:val="24"/>
          <w:vertAlign w:val="superscript"/>
        </w:rPr>
        <w:t>10</w:t>
      </w:r>
      <w:r w:rsidRPr="001944EC">
        <w:rPr>
          <w:rFonts w:cstheme="minorHAnsi"/>
          <w:sz w:val="24"/>
          <w:szCs w:val="24"/>
        </w:rPr>
        <w:t xml:space="preserve">. A practical implementation strategy is to record the observation date and time, healthcare unit, staff category, observer identifier, shift or operating period, waste category, workflow or procedure, and relevant environmental conditions alongside the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scores. Such transparent specification of the study setting, participants, </w:t>
      </w:r>
      <w:r w:rsidRPr="001944EC">
        <w:rPr>
          <w:rFonts w:cstheme="minorHAnsi"/>
          <w:sz w:val="24"/>
          <w:szCs w:val="24"/>
        </w:rPr>
        <w:lastRenderedPageBreak/>
        <w:t>observation period, and measurement procedures is consistent with established principles for reporting observational research</w:t>
      </w:r>
      <w:r w:rsidRPr="001944EC">
        <w:rPr>
          <w:rFonts w:cstheme="minorHAnsi"/>
          <w:sz w:val="24"/>
          <w:szCs w:val="24"/>
          <w:vertAlign w:val="superscript"/>
        </w:rPr>
        <w:t>11,12</w:t>
      </w:r>
      <w:r w:rsidRPr="001944EC">
        <w:rPr>
          <w:rFonts w:cstheme="minorHAnsi"/>
          <w:sz w:val="24"/>
          <w:szCs w:val="24"/>
        </w:rPr>
        <w:t xml:space="preserve">. If an observer cannot adequately see an event, the event should not be retrospectively scored from assumption or inference; instead, it should be recorded as incomplete or handled according to the prespecified data-quality rules. Similarly, if a participant is interrupted, the workflow changes substantially, or an immediate safety issue occurs, the observation should be documented and either completed when appropriate or excluded according to predefined criteria. Safety takes precedence over data collection. These procedures help distinguish a genuinely low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score from an observation that was simply not sufficiently observable. Participant reactivity should also be considered. Awareness of being observed can alter </w:t>
      </w:r>
      <w:r w:rsidR="000934E9" w:rsidRPr="001944EC">
        <w:rPr>
          <w:rFonts w:cstheme="minorHAnsi"/>
          <w:sz w:val="24"/>
          <w:szCs w:val="24"/>
        </w:rPr>
        <w:t>behavior</w:t>
      </w:r>
      <w:r w:rsidRPr="001944EC">
        <w:rPr>
          <w:rFonts w:cstheme="minorHAnsi"/>
          <w:sz w:val="24"/>
          <w:szCs w:val="24"/>
        </w:rPr>
        <w:t>, although the magnitude and direction of such effects vary across healthcare settings and study designs</w:t>
      </w:r>
      <w:r w:rsidRPr="001944EC">
        <w:rPr>
          <w:rFonts w:cstheme="minorHAnsi"/>
          <w:sz w:val="24"/>
          <w:szCs w:val="24"/>
          <w:vertAlign w:val="superscript"/>
        </w:rPr>
        <w:t>13,14</w:t>
      </w:r>
      <w:r w:rsidRPr="001944EC">
        <w:rPr>
          <w:rFonts w:cstheme="minorHAnsi"/>
          <w:sz w:val="24"/>
          <w:szCs w:val="24"/>
        </w:rPr>
        <w:t xml:space="preserve">. Direct-observation studies have demonstrated that observation itself may produce measurable changes in </w:t>
      </w:r>
      <w:r w:rsidR="000934E9" w:rsidRPr="001944EC">
        <w:rPr>
          <w:rFonts w:cstheme="minorHAnsi"/>
          <w:sz w:val="24"/>
          <w:szCs w:val="24"/>
        </w:rPr>
        <w:t>behavior</w:t>
      </w:r>
      <w:r w:rsidRPr="001944EC">
        <w:rPr>
          <w:rFonts w:cstheme="minorHAnsi"/>
          <w:sz w:val="24"/>
          <w:szCs w:val="24"/>
        </w:rPr>
        <w:t xml:space="preserve"> or workflow, reinforcing the need for consistent observation procedures</w:t>
      </w:r>
      <w:r w:rsidRPr="001944EC">
        <w:rPr>
          <w:rFonts w:cstheme="minorHAnsi"/>
          <w:sz w:val="24"/>
          <w:szCs w:val="24"/>
          <w:vertAlign w:val="superscript"/>
        </w:rPr>
        <w:t>14</w:t>
      </w:r>
      <w:r w:rsidRPr="001944EC">
        <w:rPr>
          <w:rFonts w:cstheme="minorHAnsi"/>
          <w:sz w:val="24"/>
          <w:szCs w:val="24"/>
        </w:rPr>
        <w:t xml:space="preserve">. Observers should therefore avoid unnecessary interaction, maintain a consistent observation position, and use the same procedures across participants and observation periods to reduce systematic differences in observed </w:t>
      </w:r>
      <w:r w:rsidR="000934E9" w:rsidRPr="001944EC">
        <w:rPr>
          <w:rFonts w:cstheme="minorHAnsi"/>
          <w:sz w:val="24"/>
          <w:szCs w:val="24"/>
        </w:rPr>
        <w:t>behavior</w:t>
      </w:r>
      <w:r w:rsidRPr="001944EC">
        <w:rPr>
          <w:rFonts w:cstheme="minorHAnsi"/>
          <w:sz w:val="24"/>
          <w:szCs w:val="24"/>
          <w:vertAlign w:val="superscript"/>
        </w:rPr>
        <w:t>10,13,14</w:t>
      </w:r>
      <w:r w:rsidRPr="001944EC">
        <w:rPr>
          <w:rFonts w:cstheme="minorHAnsi"/>
          <w:sz w:val="24"/>
          <w:szCs w:val="24"/>
        </w:rPr>
        <w:t>.</w:t>
      </w:r>
    </w:p>
    <w:p w14:paraId="365A4E30" w14:textId="77777777" w:rsidR="000934E9" w:rsidRPr="001944EC" w:rsidRDefault="000934E9" w:rsidP="006C1440">
      <w:pPr>
        <w:spacing w:after="0" w:line="240" w:lineRule="auto"/>
        <w:contextualSpacing/>
        <w:mirrorIndents/>
        <w:jc w:val="both"/>
        <w:rPr>
          <w:rFonts w:cstheme="minorHAnsi"/>
          <w:sz w:val="24"/>
          <w:szCs w:val="24"/>
        </w:rPr>
      </w:pPr>
    </w:p>
    <w:p w14:paraId="2843D2D6" w14:textId="0F979F92" w:rsidR="00A91ABD" w:rsidRPr="001944EC" w:rsidRDefault="00A91ABD" w:rsidP="006C1440">
      <w:pPr>
        <w:spacing w:after="0" w:line="240" w:lineRule="auto"/>
        <w:contextualSpacing/>
        <w:mirrorIndents/>
        <w:jc w:val="both"/>
        <w:rPr>
          <w:rFonts w:cstheme="minorHAnsi"/>
          <w:sz w:val="24"/>
          <w:szCs w:val="24"/>
        </w:rPr>
      </w:pPr>
      <w:r w:rsidRPr="001944EC">
        <w:rPr>
          <w:rFonts w:cstheme="minorHAnsi"/>
          <w:sz w:val="24"/>
          <w:szCs w:val="24"/>
        </w:rPr>
        <w:t xml:space="preserve">The 0–1 scoring architecture also requires specific troubleshooting rules. The PGST scoring structure, including the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domains and composite PBS architecture, is derived from the original framework</w:t>
      </w:r>
      <w:r w:rsidRPr="001944EC">
        <w:rPr>
          <w:rFonts w:cstheme="minorHAnsi"/>
          <w:sz w:val="24"/>
          <w:szCs w:val="24"/>
          <w:vertAlign w:val="superscript"/>
        </w:rPr>
        <w:t>1</w:t>
      </w:r>
      <w:r w:rsidRPr="001944EC">
        <w:rPr>
          <w:rFonts w:cstheme="minorHAnsi"/>
          <w:sz w:val="24"/>
          <w:szCs w:val="24"/>
        </w:rPr>
        <w:t xml:space="preserve">. Observers should score each applicable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item using the predefined anchors, with intermediate values permitted only when the observed performance falls between the reference anchors and the distinction can be justified using the operational criteria. Domain scores should be calculated from applicable items and expressed on the common 0–1 scale before PBS is calculated. Particular attention is required for the Error-Responsive Feedback (ERF) domain because some ERF </w:t>
      </w:r>
      <w:proofErr w:type="spellStart"/>
      <w:r w:rsidR="000934E9" w:rsidRPr="001944EC">
        <w:rPr>
          <w:rFonts w:cstheme="minorHAnsi"/>
          <w:sz w:val="24"/>
          <w:szCs w:val="24"/>
        </w:rPr>
        <w:t>behavior</w:t>
      </w:r>
      <w:r w:rsidRPr="001944EC">
        <w:rPr>
          <w:rFonts w:cstheme="minorHAnsi"/>
          <w:sz w:val="24"/>
          <w:szCs w:val="24"/>
        </w:rPr>
        <w:t>s</w:t>
      </w:r>
      <w:proofErr w:type="spellEnd"/>
      <w:r w:rsidRPr="001944EC">
        <w:rPr>
          <w:rFonts w:cstheme="minorHAnsi"/>
          <w:sz w:val="24"/>
          <w:szCs w:val="24"/>
        </w:rPr>
        <w:t xml:space="preserve">, such as recognition of an error, response to corrective feedback, or subsequent improvement, may not have an observable opportunity during every observation period. The absence of such an opportunity should not automatically be interpreted as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failure or assigned a score of zero. Instead, the item should be identified as not applicable or missing according to study-specific rules established before data collection. Measurement methodology should distinguish an actual performance failure from variation arising from the conditions under which a measurement could or could not be obtained</w:t>
      </w:r>
      <w:r w:rsidR="00593C28" w:rsidRPr="001944EC">
        <w:rPr>
          <w:rFonts w:cstheme="minorHAnsi"/>
          <w:sz w:val="24"/>
          <w:szCs w:val="24"/>
          <w:vertAlign w:val="superscript"/>
        </w:rPr>
        <w:t>7</w:t>
      </w:r>
      <w:r w:rsidRPr="001944EC">
        <w:rPr>
          <w:rFonts w:cstheme="minorHAnsi"/>
          <w:sz w:val="24"/>
          <w:szCs w:val="24"/>
          <w:vertAlign w:val="superscript"/>
        </w:rPr>
        <w:t>,15</w:t>
      </w:r>
      <w:r w:rsidRPr="001944EC">
        <w:rPr>
          <w:rFonts w:cstheme="minorHAnsi"/>
          <w:sz w:val="24"/>
          <w:szCs w:val="24"/>
        </w:rPr>
        <w:t xml:space="preserve">. Investigators should therefore distinguish between an observed incorrect </w:t>
      </w:r>
      <w:r w:rsidR="000934E9" w:rsidRPr="001944EC">
        <w:rPr>
          <w:rFonts w:cstheme="minorHAnsi"/>
          <w:sz w:val="24"/>
          <w:szCs w:val="24"/>
        </w:rPr>
        <w:t>behavior</w:t>
      </w:r>
      <w:r w:rsidRPr="001944EC">
        <w:rPr>
          <w:rFonts w:cstheme="minorHAnsi"/>
          <w:sz w:val="24"/>
          <w:szCs w:val="24"/>
        </w:rPr>
        <w:t xml:space="preserve"> and an unobservable </w:t>
      </w:r>
      <w:r w:rsidR="000934E9" w:rsidRPr="001944EC">
        <w:rPr>
          <w:rFonts w:cstheme="minorHAnsi"/>
          <w:sz w:val="24"/>
          <w:szCs w:val="24"/>
        </w:rPr>
        <w:t>behavior</w:t>
      </w:r>
      <w:r w:rsidRPr="001944EC">
        <w:rPr>
          <w:rFonts w:cstheme="minorHAnsi"/>
          <w:sz w:val="24"/>
          <w:szCs w:val="24"/>
        </w:rPr>
        <w:t>. For example, failure to witness a corrective response is not equivalent to witnessing an incorrect corrective response. Such distinctions should be documented in the scoring and data-quality procedures to minimize inappropriate zero scoring and improve interpretability. Clear operational definitions and prespecified scoring rules are particularly important for observer-rated measures because differences in administration and scoring can become sources of measurement variation</w:t>
      </w:r>
      <w:r w:rsidRPr="001944EC">
        <w:rPr>
          <w:rFonts w:cstheme="minorHAnsi"/>
          <w:sz w:val="24"/>
          <w:szCs w:val="24"/>
          <w:vertAlign w:val="superscript"/>
        </w:rPr>
        <w:t>15,16</w:t>
      </w:r>
      <w:r w:rsidRPr="001944EC">
        <w:rPr>
          <w:rFonts w:cstheme="minorHAnsi"/>
          <w:sz w:val="24"/>
          <w:szCs w:val="24"/>
        </w:rPr>
        <w:t>.</w:t>
      </w:r>
    </w:p>
    <w:p w14:paraId="21D53221" w14:textId="77777777" w:rsidR="000934E9" w:rsidRPr="001944EC" w:rsidRDefault="000934E9" w:rsidP="006C1440">
      <w:pPr>
        <w:spacing w:after="0" w:line="240" w:lineRule="auto"/>
        <w:contextualSpacing/>
        <w:mirrorIndents/>
        <w:jc w:val="both"/>
        <w:rPr>
          <w:rFonts w:cstheme="minorHAnsi"/>
          <w:sz w:val="24"/>
          <w:szCs w:val="24"/>
        </w:rPr>
      </w:pPr>
    </w:p>
    <w:p w14:paraId="7F9569D8" w14:textId="56DB5CAE" w:rsidR="00A91ABD" w:rsidRPr="001944EC" w:rsidRDefault="00A91ABD" w:rsidP="006C1440">
      <w:pPr>
        <w:spacing w:after="0" w:line="240" w:lineRule="auto"/>
        <w:contextualSpacing/>
        <w:mirrorIndents/>
        <w:jc w:val="both"/>
        <w:rPr>
          <w:rFonts w:cstheme="minorHAnsi"/>
          <w:sz w:val="24"/>
          <w:szCs w:val="24"/>
        </w:rPr>
      </w:pPr>
      <w:r w:rsidRPr="001944EC">
        <w:rPr>
          <w:rFonts w:cstheme="minorHAnsi"/>
          <w:sz w:val="24"/>
          <w:szCs w:val="24"/>
        </w:rPr>
        <w:t xml:space="preserve">Repeated observations require particular attention at both the methodological and statistical levels. Multiple segregation events may be observed for the same staff member, but these observations should not automatically be converted into separate independent participant-level PBS values. The study protocol should specify in advance how repeated observations contribute to the staff member's domain scores and final PBS, and any inferential analysis should account for clustering or repeated-measure characteristics where applicable. Reliability and agreement are distinct measurement concepts, and repeated observations </w:t>
      </w:r>
      <w:r w:rsidRPr="001944EC">
        <w:rPr>
          <w:rFonts w:cstheme="minorHAnsi"/>
          <w:sz w:val="24"/>
          <w:szCs w:val="24"/>
        </w:rPr>
        <w:lastRenderedPageBreak/>
        <w:t>should be interpreted according to the specific measurement question and source of variability being examined</w:t>
      </w:r>
      <w:r w:rsidR="00593C28" w:rsidRPr="001944EC">
        <w:rPr>
          <w:rFonts w:cstheme="minorHAnsi"/>
          <w:sz w:val="24"/>
          <w:szCs w:val="24"/>
          <w:vertAlign w:val="superscript"/>
        </w:rPr>
        <w:t>6,7</w:t>
      </w:r>
      <w:r w:rsidRPr="001944EC">
        <w:rPr>
          <w:rFonts w:cstheme="minorHAnsi"/>
          <w:sz w:val="24"/>
          <w:szCs w:val="24"/>
        </w:rPr>
        <w:t>. Similarly, PGSA should be interpreted only within its predefined observation scope because it is an aggregate measure derived from the PBS values represented in that scope</w:t>
      </w:r>
      <w:r w:rsidRPr="001944EC">
        <w:rPr>
          <w:rFonts w:cstheme="minorHAnsi"/>
          <w:sz w:val="24"/>
          <w:szCs w:val="24"/>
          <w:vertAlign w:val="superscript"/>
        </w:rPr>
        <w:t>1</w:t>
      </w:r>
      <w:r w:rsidRPr="001944EC">
        <w:rPr>
          <w:rFonts w:cstheme="minorHAnsi"/>
          <w:sz w:val="24"/>
          <w:szCs w:val="24"/>
        </w:rPr>
        <w:t>. Changes in staff composition, workflow, waste categories, shift coverage, observation duration, or operating conditions can therefore produce differences in PGSA that do not necessarily indicate a change in underlying institutional performance. Generalizability theory provides a framework for examining multiple sources of measurement variation and is particularly relevant when measurements involve different observers, occasions, settings, or aggregate-level scores</w:t>
      </w:r>
      <w:r w:rsidRPr="001944EC">
        <w:rPr>
          <w:rFonts w:cstheme="minorHAnsi"/>
          <w:sz w:val="24"/>
          <w:szCs w:val="24"/>
          <w:vertAlign w:val="superscript"/>
        </w:rPr>
        <w:t>17</w:t>
      </w:r>
      <w:r w:rsidRPr="001944EC">
        <w:rPr>
          <w:rFonts w:cstheme="minorHAnsi"/>
          <w:sz w:val="24"/>
          <w:szCs w:val="24"/>
        </w:rPr>
        <w:t>. Future PGSA studies may therefore consider whether variability attributable to observers, occasions, staff, units, or other measurement facets materially influences the dependability of the aggregate estimate. Comparisons across healthcare units, departments, institutions, or observation periods should consequently use sufficiently standardized observation conditions and report the observation scope, eligibility criteria, number and characteristics of participating staff, observation period, and relevant operating conditions</w:t>
      </w:r>
      <w:r w:rsidRPr="001944EC">
        <w:rPr>
          <w:rFonts w:cstheme="minorHAnsi"/>
          <w:sz w:val="24"/>
          <w:szCs w:val="24"/>
          <w:vertAlign w:val="superscript"/>
        </w:rPr>
        <w:t>11,12</w:t>
      </w:r>
      <w:r w:rsidRPr="001944EC">
        <w:rPr>
          <w:rFonts w:cstheme="minorHAnsi"/>
          <w:sz w:val="24"/>
          <w:szCs w:val="24"/>
        </w:rPr>
        <w:t>. PGSA should not be interpreted as an independent gold-standard accuracy measure unless agreement with an external reference classification has been separately established</w:t>
      </w:r>
      <w:r w:rsidRPr="001944EC">
        <w:rPr>
          <w:rFonts w:cstheme="minorHAnsi"/>
          <w:sz w:val="24"/>
          <w:szCs w:val="24"/>
          <w:vertAlign w:val="superscript"/>
        </w:rPr>
        <w:t>1,</w:t>
      </w:r>
      <w:r w:rsidR="00593C28" w:rsidRPr="001944EC">
        <w:rPr>
          <w:rFonts w:cstheme="minorHAnsi"/>
          <w:sz w:val="24"/>
          <w:szCs w:val="24"/>
          <w:vertAlign w:val="superscript"/>
        </w:rPr>
        <w:t>7</w:t>
      </w:r>
      <w:r w:rsidRPr="001944EC">
        <w:rPr>
          <w:rFonts w:cstheme="minorHAnsi"/>
          <w:sz w:val="24"/>
          <w:szCs w:val="24"/>
          <w:vertAlign w:val="superscript"/>
        </w:rPr>
        <w:t>,15</w:t>
      </w:r>
      <w:r w:rsidRPr="001944EC">
        <w:rPr>
          <w:rFonts w:cstheme="minorHAnsi"/>
          <w:sz w:val="24"/>
          <w:szCs w:val="24"/>
        </w:rPr>
        <w:t>.</w:t>
      </w:r>
    </w:p>
    <w:p w14:paraId="72081333" w14:textId="77777777" w:rsidR="000934E9" w:rsidRPr="001944EC" w:rsidRDefault="000934E9" w:rsidP="006C1440">
      <w:pPr>
        <w:spacing w:after="0" w:line="240" w:lineRule="auto"/>
        <w:contextualSpacing/>
        <w:mirrorIndents/>
        <w:jc w:val="both"/>
        <w:rPr>
          <w:rFonts w:cstheme="minorHAnsi"/>
          <w:sz w:val="24"/>
          <w:szCs w:val="24"/>
        </w:rPr>
      </w:pPr>
    </w:p>
    <w:p w14:paraId="220A877F" w14:textId="532F4E38" w:rsidR="00A91ABD" w:rsidRPr="001944EC" w:rsidRDefault="00A91ABD" w:rsidP="006C1440">
      <w:pPr>
        <w:spacing w:after="0" w:line="240" w:lineRule="auto"/>
        <w:contextualSpacing/>
        <w:mirrorIndents/>
        <w:jc w:val="both"/>
        <w:rPr>
          <w:rFonts w:cstheme="minorHAnsi"/>
          <w:sz w:val="24"/>
          <w:szCs w:val="24"/>
        </w:rPr>
      </w:pPr>
      <w:r w:rsidRPr="001944EC">
        <w:rPr>
          <w:rFonts w:cstheme="minorHAnsi"/>
          <w:sz w:val="24"/>
          <w:szCs w:val="24"/>
        </w:rPr>
        <w:t>The interpretation of PBS and PGSA should also recognize that a standardized protocol and a validated measurement instrument are not synonymous. The present protocol provides an operational methodology for applying PGST, but its implementation does not by itself establish the empirical reliability, validity, repeatability, measurement error, or generalizability of PBS or PGSA across all healthcare environments. Contemporary measurement frameworks emphasize that reliability and measurement error must be evaluated through appropriately designed studies, with attention to the measurement conditions, raters, occasions, scoring procedures, and statistical methods used</w:t>
      </w:r>
      <w:r w:rsidRPr="001944EC">
        <w:rPr>
          <w:rFonts w:cstheme="minorHAnsi"/>
          <w:sz w:val="24"/>
          <w:szCs w:val="24"/>
          <w:vertAlign w:val="superscript"/>
        </w:rPr>
        <w:t>15,16</w:t>
      </w:r>
      <w:r w:rsidRPr="001944EC">
        <w:rPr>
          <w:rFonts w:cstheme="minorHAnsi"/>
          <w:sz w:val="24"/>
          <w:szCs w:val="24"/>
        </w:rPr>
        <w:t>. Future studies should therefore evaluate inter-rater reliability, intra-rater reliability, agreement, repeatability, measurement error, construct validity, criterion-related validity where an appropriate external reference exists, and generalizability</w:t>
      </w:r>
      <w:r w:rsidR="00593C28" w:rsidRPr="001944EC">
        <w:rPr>
          <w:rFonts w:cstheme="minorHAnsi"/>
          <w:sz w:val="24"/>
          <w:szCs w:val="24"/>
          <w:vertAlign w:val="superscript"/>
        </w:rPr>
        <w:t>6,7</w:t>
      </w:r>
      <w:r w:rsidRPr="001944EC">
        <w:rPr>
          <w:rFonts w:cstheme="minorHAnsi"/>
          <w:sz w:val="24"/>
          <w:szCs w:val="24"/>
          <w:vertAlign w:val="superscript"/>
        </w:rPr>
        <w:t>,15</w:t>
      </w:r>
      <w:r w:rsidR="000934E9" w:rsidRPr="001944EC">
        <w:rPr>
          <w:rFonts w:cstheme="minorHAnsi"/>
          <w:sz w:val="24"/>
          <w:szCs w:val="24"/>
          <w:vertAlign w:val="superscript"/>
        </w:rPr>
        <w:t>–</w:t>
      </w:r>
      <w:r w:rsidRPr="001944EC">
        <w:rPr>
          <w:rFonts w:cstheme="minorHAnsi"/>
          <w:sz w:val="24"/>
          <w:szCs w:val="24"/>
          <w:vertAlign w:val="superscript"/>
        </w:rPr>
        <w:t>17</w:t>
      </w:r>
      <w:r w:rsidRPr="001944EC">
        <w:rPr>
          <w:rFonts w:cstheme="minorHAnsi"/>
          <w:sz w:val="24"/>
          <w:szCs w:val="24"/>
        </w:rPr>
        <w:t>. Such evaluations should include adequately designed samples of observers and participants and should report the study design and statistical procedures transparently</w:t>
      </w:r>
      <w:r w:rsidR="00593C28" w:rsidRPr="001944EC">
        <w:rPr>
          <w:rFonts w:cstheme="minorHAnsi"/>
          <w:sz w:val="24"/>
          <w:szCs w:val="24"/>
          <w:vertAlign w:val="superscript"/>
        </w:rPr>
        <w:t>6</w:t>
      </w:r>
      <w:r w:rsidRPr="001944EC">
        <w:rPr>
          <w:rFonts w:cstheme="minorHAnsi"/>
          <w:sz w:val="24"/>
          <w:szCs w:val="24"/>
          <w:vertAlign w:val="superscript"/>
        </w:rPr>
        <w:t>,11,12</w:t>
      </w:r>
      <w:r w:rsidRPr="001944EC">
        <w:rPr>
          <w:rFonts w:cstheme="minorHAnsi"/>
          <w:sz w:val="24"/>
          <w:szCs w:val="24"/>
        </w:rPr>
        <w:t xml:space="preserve">. Where multiple observers are used, calibration should ideally be followed by </w:t>
      </w:r>
      <w:r w:rsidR="000934E9" w:rsidRPr="001944EC">
        <w:rPr>
          <w:rFonts w:cstheme="minorHAnsi"/>
          <w:sz w:val="24"/>
          <w:szCs w:val="24"/>
        </w:rPr>
        <w:t xml:space="preserve">a </w:t>
      </w:r>
      <w:r w:rsidRPr="001944EC">
        <w:rPr>
          <w:rFonts w:cstheme="minorHAnsi"/>
          <w:sz w:val="24"/>
          <w:szCs w:val="24"/>
        </w:rPr>
        <w:t>formal assessment of agreement or reliability rather than relying solely on completion of a training exercise</w:t>
      </w:r>
      <w:r w:rsidR="00593C28" w:rsidRPr="001944EC">
        <w:rPr>
          <w:rFonts w:cstheme="minorHAnsi"/>
          <w:sz w:val="24"/>
          <w:szCs w:val="24"/>
          <w:vertAlign w:val="superscript"/>
        </w:rPr>
        <w:t>6,7</w:t>
      </w:r>
      <w:r w:rsidRPr="001944EC">
        <w:rPr>
          <w:rFonts w:cstheme="minorHAnsi"/>
          <w:sz w:val="24"/>
          <w:szCs w:val="24"/>
        </w:rPr>
        <w:t xml:space="preserve">. Similarly, if repeated observations are used to characterize individual </w:t>
      </w:r>
      <w:r w:rsidR="000934E9" w:rsidRPr="001944EC">
        <w:rPr>
          <w:rFonts w:cstheme="minorHAnsi"/>
          <w:sz w:val="24"/>
          <w:szCs w:val="24"/>
        </w:rPr>
        <w:t>behavior</w:t>
      </w:r>
      <w:r w:rsidRPr="001944EC">
        <w:rPr>
          <w:rFonts w:cstheme="minorHAnsi"/>
          <w:sz w:val="24"/>
          <w:szCs w:val="24"/>
        </w:rPr>
        <w:t xml:space="preserve"> or estimate PGSA, future studies should determine the number and distribution of observations required to obtain sufficiently dependable estimates</w:t>
      </w:r>
      <w:r w:rsidRPr="001944EC">
        <w:rPr>
          <w:rFonts w:cstheme="minorHAnsi"/>
          <w:sz w:val="24"/>
          <w:szCs w:val="24"/>
          <w:vertAlign w:val="superscript"/>
        </w:rPr>
        <w:t>17</w:t>
      </w:r>
      <w:r w:rsidRPr="001944EC">
        <w:rPr>
          <w:rFonts w:cstheme="minorHAnsi"/>
          <w:sz w:val="24"/>
          <w:szCs w:val="24"/>
        </w:rPr>
        <w:t>.</w:t>
      </w:r>
    </w:p>
    <w:p w14:paraId="022D0559" w14:textId="77777777" w:rsidR="000934E9" w:rsidRPr="001944EC" w:rsidRDefault="000934E9" w:rsidP="006C1440">
      <w:pPr>
        <w:spacing w:after="0" w:line="240" w:lineRule="auto"/>
        <w:contextualSpacing/>
        <w:mirrorIndents/>
        <w:jc w:val="both"/>
        <w:rPr>
          <w:rFonts w:cstheme="minorHAnsi"/>
          <w:sz w:val="24"/>
          <w:szCs w:val="24"/>
        </w:rPr>
      </w:pPr>
    </w:p>
    <w:p w14:paraId="08FCC8B7" w14:textId="1AFA4627" w:rsidR="00A91ABD" w:rsidRPr="001944EC" w:rsidRDefault="00A91ABD" w:rsidP="006C1440">
      <w:pPr>
        <w:spacing w:after="0" w:line="240" w:lineRule="auto"/>
        <w:contextualSpacing/>
        <w:mirrorIndents/>
        <w:jc w:val="both"/>
        <w:rPr>
          <w:rFonts w:cstheme="minorHAnsi"/>
          <w:sz w:val="24"/>
          <w:szCs w:val="24"/>
        </w:rPr>
      </w:pPr>
      <w:r w:rsidRPr="001944EC">
        <w:rPr>
          <w:rFonts w:cstheme="minorHAnsi"/>
          <w:sz w:val="24"/>
          <w:szCs w:val="24"/>
        </w:rPr>
        <w:t xml:space="preserve">Future implementation should also examine whether the observation requirements and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anchors perform consistently across different staff categories, healthcare units, workflows, levels of workload, and biomedical waste-management contexts. Existing biomedical waste-management literature demonstrates substantial variation in healthcare-worker knowledge, attitudes, practices, and system-level implementation across settings</w:t>
      </w:r>
      <w:r w:rsidRPr="001944EC">
        <w:rPr>
          <w:rFonts w:cstheme="minorHAnsi"/>
          <w:sz w:val="24"/>
          <w:szCs w:val="24"/>
          <w:vertAlign w:val="superscript"/>
        </w:rPr>
        <w:t>3</w:t>
      </w:r>
      <w:r w:rsidR="00593C28" w:rsidRPr="001944EC">
        <w:rPr>
          <w:rFonts w:cstheme="minorHAnsi"/>
          <w:sz w:val="24"/>
          <w:szCs w:val="24"/>
          <w:vertAlign w:val="superscript"/>
        </w:rPr>
        <w:t>–5,8</w:t>
      </w:r>
      <w:r w:rsidRPr="001944EC">
        <w:rPr>
          <w:rFonts w:cstheme="minorHAnsi"/>
          <w:sz w:val="24"/>
          <w:szCs w:val="24"/>
        </w:rPr>
        <w:t xml:space="preserve">. Consequently, a </w:t>
      </w:r>
      <w:proofErr w:type="spellStart"/>
      <w:r w:rsidR="000934E9" w:rsidRPr="001944EC">
        <w:rPr>
          <w:rFonts w:cstheme="minorHAnsi"/>
          <w:sz w:val="24"/>
          <w:szCs w:val="24"/>
        </w:rPr>
        <w:t>behavior</w:t>
      </w:r>
      <w:r w:rsidRPr="001944EC">
        <w:rPr>
          <w:rFonts w:cstheme="minorHAnsi"/>
          <w:sz w:val="24"/>
          <w:szCs w:val="24"/>
        </w:rPr>
        <w:t>al</w:t>
      </w:r>
      <w:proofErr w:type="spellEnd"/>
      <w:r w:rsidRPr="001944EC">
        <w:rPr>
          <w:rFonts w:cstheme="minorHAnsi"/>
          <w:sz w:val="24"/>
          <w:szCs w:val="24"/>
        </w:rPr>
        <w:t xml:space="preserve"> score obtained under one set of operational conditions should not automatically be assumed to have the same meaning in another healthcare environment. Adaptation of the protocol to different settings should preserve the core PGST observation and scoring architecture while explicitly defining any setting-specific changes to eligible </w:t>
      </w:r>
      <w:proofErr w:type="spellStart"/>
      <w:r w:rsidR="000934E9" w:rsidRPr="001944EC">
        <w:rPr>
          <w:rFonts w:cstheme="minorHAnsi"/>
          <w:sz w:val="24"/>
          <w:szCs w:val="24"/>
        </w:rPr>
        <w:t>behavior</w:t>
      </w:r>
      <w:r w:rsidRPr="001944EC">
        <w:rPr>
          <w:rFonts w:cstheme="minorHAnsi"/>
          <w:sz w:val="24"/>
          <w:szCs w:val="24"/>
        </w:rPr>
        <w:t>s</w:t>
      </w:r>
      <w:proofErr w:type="spellEnd"/>
      <w:r w:rsidRPr="001944EC">
        <w:rPr>
          <w:rFonts w:cstheme="minorHAnsi"/>
          <w:sz w:val="24"/>
          <w:szCs w:val="24"/>
        </w:rPr>
        <w:t>, observation conditions, applicability rules, or scoring procedures</w:t>
      </w:r>
      <w:r w:rsidRPr="001944EC">
        <w:rPr>
          <w:rFonts w:cstheme="minorHAnsi"/>
          <w:sz w:val="24"/>
          <w:szCs w:val="24"/>
          <w:vertAlign w:val="superscript"/>
        </w:rPr>
        <w:t>1</w:t>
      </w:r>
      <w:r w:rsidRPr="001944EC">
        <w:rPr>
          <w:rFonts w:cstheme="minorHAnsi"/>
          <w:sz w:val="24"/>
          <w:szCs w:val="24"/>
        </w:rPr>
        <w:t xml:space="preserve">. Such </w:t>
      </w:r>
      <w:r w:rsidRPr="001944EC">
        <w:rPr>
          <w:rFonts w:cstheme="minorHAnsi"/>
          <w:sz w:val="24"/>
          <w:szCs w:val="24"/>
        </w:rPr>
        <w:lastRenderedPageBreak/>
        <w:t>adaptations should remain consistent with applicable biomedical waste-management requirements</w:t>
      </w:r>
      <w:r w:rsidR="00593C28" w:rsidRPr="001944EC">
        <w:rPr>
          <w:rFonts w:cstheme="minorHAnsi"/>
          <w:sz w:val="24"/>
          <w:szCs w:val="24"/>
          <w:vertAlign w:val="superscript"/>
        </w:rPr>
        <w:t>9</w:t>
      </w:r>
      <w:r w:rsidRPr="001944EC">
        <w:rPr>
          <w:rFonts w:cstheme="minorHAnsi"/>
          <w:sz w:val="24"/>
          <w:szCs w:val="24"/>
        </w:rPr>
        <w:t xml:space="preserve"> and should be documented sufficiently to permit interpretation and comparison</w:t>
      </w:r>
      <w:r w:rsidRPr="001944EC">
        <w:rPr>
          <w:rFonts w:cstheme="minorHAnsi"/>
          <w:sz w:val="24"/>
          <w:szCs w:val="24"/>
          <w:vertAlign w:val="superscript"/>
        </w:rPr>
        <w:t>11,12</w:t>
      </w:r>
      <w:r w:rsidRPr="001944EC">
        <w:rPr>
          <w:rFonts w:cstheme="minorHAnsi"/>
          <w:sz w:val="24"/>
          <w:szCs w:val="24"/>
        </w:rPr>
        <w:t>. Before being used for comparative benchmarking, adapted versions should undergo appropriate pilot testing and empirical evaluation of their measurement properties. This approach would allow the PGST methodology to retain a common conceptual structure while permitting controlled adaptation to differences in clinical workflow, staff composition, waste-management infrastructure, and institutional practice. The resulting evidence base would also help determine the extent to which PBS and PGSA can be interpreted consistently across different observation settings and whether additional calibration or setting-specific parameters are required</w:t>
      </w:r>
      <w:r w:rsidRPr="001944EC">
        <w:rPr>
          <w:rFonts w:cstheme="minorHAnsi"/>
          <w:sz w:val="24"/>
          <w:szCs w:val="24"/>
          <w:vertAlign w:val="superscript"/>
        </w:rPr>
        <w:t>15</w:t>
      </w:r>
      <w:r w:rsidR="00311659" w:rsidRPr="001944EC">
        <w:rPr>
          <w:rFonts w:cstheme="minorHAnsi"/>
          <w:sz w:val="24"/>
          <w:szCs w:val="24"/>
          <w:vertAlign w:val="superscript"/>
        </w:rPr>
        <w:t>–</w:t>
      </w:r>
      <w:r w:rsidRPr="001944EC">
        <w:rPr>
          <w:rFonts w:cstheme="minorHAnsi"/>
          <w:sz w:val="24"/>
          <w:szCs w:val="24"/>
          <w:vertAlign w:val="superscript"/>
        </w:rPr>
        <w:t>17</w:t>
      </w:r>
      <w:r w:rsidRPr="001944EC">
        <w:rPr>
          <w:rFonts w:cstheme="minorHAnsi"/>
          <w:sz w:val="24"/>
          <w:szCs w:val="24"/>
        </w:rPr>
        <w:t>.</w:t>
      </w:r>
    </w:p>
    <w:p w14:paraId="52D91F46" w14:textId="77777777" w:rsidR="00AA5FF7" w:rsidRPr="001944EC" w:rsidRDefault="00AA5FF7" w:rsidP="006C1440">
      <w:pPr>
        <w:spacing w:after="0" w:line="240" w:lineRule="auto"/>
        <w:contextualSpacing/>
        <w:mirrorIndents/>
        <w:jc w:val="both"/>
        <w:rPr>
          <w:rFonts w:eastAsia="Times New Roman" w:cstheme="minorHAnsi"/>
          <w:sz w:val="24"/>
          <w:szCs w:val="24"/>
          <w:lang w:eastAsia="en-IN"/>
        </w:rPr>
      </w:pPr>
    </w:p>
    <w:p w14:paraId="6E919E2A" w14:textId="127C17C7" w:rsidR="00464EC9" w:rsidRPr="001944EC" w:rsidRDefault="001431DC" w:rsidP="006C1440">
      <w:pPr>
        <w:spacing w:after="0" w:line="240" w:lineRule="auto"/>
        <w:contextualSpacing/>
        <w:mirrorIndents/>
        <w:jc w:val="both"/>
        <w:rPr>
          <w:rFonts w:cstheme="minorHAnsi"/>
          <w:sz w:val="24"/>
          <w:szCs w:val="24"/>
        </w:rPr>
      </w:pPr>
      <w:r w:rsidRPr="001944EC">
        <w:rPr>
          <w:rFonts w:cstheme="minorHAnsi"/>
          <w:b/>
          <w:sz w:val="24"/>
          <w:szCs w:val="24"/>
        </w:rPr>
        <w:t>A</w:t>
      </w:r>
      <w:r w:rsidR="00CA1E63" w:rsidRPr="001944EC">
        <w:rPr>
          <w:rFonts w:cstheme="minorHAnsi"/>
          <w:b/>
          <w:sz w:val="24"/>
          <w:szCs w:val="24"/>
        </w:rPr>
        <w:t>CKNOWLEDGEMENTS:</w:t>
      </w:r>
    </w:p>
    <w:p w14:paraId="436B235C" w14:textId="77777777" w:rsidR="00FC5781" w:rsidRPr="001944EC" w:rsidRDefault="001431DC" w:rsidP="006C1440">
      <w:pPr>
        <w:spacing w:after="0" w:line="240" w:lineRule="auto"/>
        <w:contextualSpacing/>
        <w:mirrorIndents/>
        <w:jc w:val="both"/>
        <w:rPr>
          <w:rFonts w:cstheme="minorHAnsi"/>
          <w:sz w:val="24"/>
          <w:szCs w:val="24"/>
        </w:rPr>
      </w:pPr>
      <w:r w:rsidRPr="001944EC">
        <w:rPr>
          <w:rFonts w:cstheme="minorHAnsi"/>
          <w:sz w:val="24"/>
          <w:szCs w:val="24"/>
        </w:rPr>
        <w:t xml:space="preserve">The authors acknowledge the institutional and academic support provided during the development of this methodological protocol. </w:t>
      </w:r>
      <w:r w:rsidRPr="001944EC">
        <w:rPr>
          <w:rFonts w:eastAsia="Times New Roman" w:cstheme="minorHAnsi"/>
          <w:sz w:val="24"/>
          <w:szCs w:val="24"/>
          <w:lang w:eastAsia="en-IN"/>
        </w:rPr>
        <w:t>No specific funding was received for the development of this protocol.</w:t>
      </w:r>
    </w:p>
    <w:p w14:paraId="636D9403" w14:textId="00384A3B" w:rsidR="00464EC9" w:rsidRPr="001944EC" w:rsidRDefault="00464EC9" w:rsidP="006C1440">
      <w:pPr>
        <w:spacing w:after="0" w:line="240" w:lineRule="auto"/>
        <w:contextualSpacing/>
        <w:mirrorIndents/>
        <w:jc w:val="both"/>
        <w:rPr>
          <w:rFonts w:cstheme="minorHAnsi"/>
          <w:sz w:val="24"/>
          <w:szCs w:val="24"/>
        </w:rPr>
      </w:pPr>
    </w:p>
    <w:p w14:paraId="35D4F63D" w14:textId="43F81E5B" w:rsidR="00FC5781" w:rsidRPr="001944EC" w:rsidRDefault="001431DC" w:rsidP="006C1440">
      <w:pPr>
        <w:spacing w:after="0" w:line="240" w:lineRule="auto"/>
        <w:contextualSpacing/>
        <w:mirrorIndents/>
        <w:jc w:val="both"/>
        <w:rPr>
          <w:rFonts w:cstheme="minorHAnsi"/>
          <w:b/>
          <w:sz w:val="24"/>
          <w:szCs w:val="24"/>
        </w:rPr>
      </w:pPr>
      <w:r w:rsidRPr="001944EC">
        <w:rPr>
          <w:rFonts w:cstheme="minorHAnsi"/>
          <w:b/>
          <w:sz w:val="24"/>
          <w:szCs w:val="24"/>
        </w:rPr>
        <w:t>DISCLOSURES:</w:t>
      </w:r>
    </w:p>
    <w:p w14:paraId="28979E96" w14:textId="5CBCEAD7" w:rsidR="00FC5781" w:rsidRPr="001944EC" w:rsidRDefault="001431DC" w:rsidP="006C1440">
      <w:pPr>
        <w:spacing w:after="0" w:line="240" w:lineRule="auto"/>
        <w:contextualSpacing/>
        <w:mirrorIndents/>
        <w:jc w:val="both"/>
        <w:rPr>
          <w:rFonts w:cstheme="minorHAnsi"/>
          <w:b/>
          <w:sz w:val="24"/>
          <w:szCs w:val="24"/>
        </w:rPr>
      </w:pPr>
      <w:r w:rsidRPr="001944EC">
        <w:rPr>
          <w:rFonts w:eastAsia="Times New Roman" w:cstheme="minorHAnsi"/>
          <w:sz w:val="24"/>
          <w:szCs w:val="24"/>
          <w:lang w:eastAsia="en-IN"/>
        </w:rPr>
        <w:t>The authors declare no competing interests</w:t>
      </w:r>
      <w:r w:rsidR="000934E9" w:rsidRPr="001944EC">
        <w:rPr>
          <w:rFonts w:eastAsia="Times New Roman" w:cstheme="minorHAnsi"/>
          <w:sz w:val="24"/>
          <w:szCs w:val="24"/>
          <w:lang w:eastAsia="en-IN"/>
        </w:rPr>
        <w:t>.</w:t>
      </w:r>
    </w:p>
    <w:p w14:paraId="6F07FDEA" w14:textId="77777777" w:rsidR="00FC5781" w:rsidRPr="001944EC" w:rsidRDefault="00FC5781" w:rsidP="006C1440">
      <w:pPr>
        <w:spacing w:after="0" w:line="240" w:lineRule="auto"/>
        <w:contextualSpacing/>
        <w:mirrorIndents/>
        <w:jc w:val="both"/>
        <w:rPr>
          <w:rFonts w:cstheme="minorHAnsi"/>
          <w:sz w:val="24"/>
          <w:szCs w:val="24"/>
        </w:rPr>
      </w:pPr>
    </w:p>
    <w:p w14:paraId="7E724353" w14:textId="239DC649" w:rsidR="0075501A" w:rsidRPr="001944EC" w:rsidRDefault="001431DC" w:rsidP="006C1440">
      <w:pPr>
        <w:spacing w:after="0" w:line="240" w:lineRule="auto"/>
        <w:contextualSpacing/>
        <w:mirrorIndents/>
        <w:jc w:val="both"/>
        <w:rPr>
          <w:rFonts w:cstheme="minorHAnsi"/>
          <w:sz w:val="24"/>
          <w:szCs w:val="24"/>
        </w:rPr>
      </w:pPr>
      <w:r w:rsidRPr="001944EC">
        <w:rPr>
          <w:rFonts w:cstheme="minorHAnsi"/>
          <w:b/>
          <w:sz w:val="24"/>
          <w:szCs w:val="24"/>
        </w:rPr>
        <w:t>A</w:t>
      </w:r>
      <w:r w:rsidR="00FC5781" w:rsidRPr="001944EC">
        <w:rPr>
          <w:rFonts w:cstheme="minorHAnsi"/>
          <w:b/>
          <w:sz w:val="24"/>
          <w:szCs w:val="24"/>
        </w:rPr>
        <w:t>UTHOR CONTRIBUTION</w:t>
      </w:r>
      <w:r w:rsidR="001944EC">
        <w:rPr>
          <w:rFonts w:cstheme="minorHAnsi"/>
          <w:b/>
          <w:sz w:val="24"/>
          <w:szCs w:val="24"/>
        </w:rPr>
        <w:t>S</w:t>
      </w:r>
      <w:r w:rsidR="00FC5781" w:rsidRPr="001944EC">
        <w:rPr>
          <w:rFonts w:cstheme="minorHAnsi"/>
          <w:b/>
          <w:sz w:val="24"/>
          <w:szCs w:val="24"/>
        </w:rPr>
        <w:t>:</w:t>
      </w:r>
    </w:p>
    <w:p w14:paraId="20FEDD1D" w14:textId="41AAB815" w:rsidR="00987D13" w:rsidRPr="001944EC" w:rsidRDefault="00987D13" w:rsidP="006C1440">
      <w:pPr>
        <w:spacing w:after="0" w:line="240" w:lineRule="auto"/>
        <w:contextualSpacing/>
        <w:mirrorIndents/>
        <w:jc w:val="both"/>
        <w:rPr>
          <w:rFonts w:cstheme="minorHAnsi"/>
          <w:sz w:val="24"/>
          <w:szCs w:val="24"/>
        </w:rPr>
      </w:pPr>
      <w:r w:rsidRPr="001944EC">
        <w:rPr>
          <w:rFonts w:cstheme="minorHAnsi"/>
          <w:sz w:val="24"/>
          <w:szCs w:val="24"/>
        </w:rPr>
        <w:t>Renjith Seela Bhadran: Conceptualization, Methodology, Investigation, Formal Analysis, Data Curation, Visualization, Project Administration, Writing – Original Draft, and Writing – Review &amp; Editing.</w:t>
      </w:r>
    </w:p>
    <w:p w14:paraId="6C755EAD" w14:textId="77777777" w:rsidR="00987D13" w:rsidRPr="001944EC" w:rsidRDefault="00987D13" w:rsidP="006C1440">
      <w:pPr>
        <w:spacing w:after="0" w:line="240" w:lineRule="auto"/>
        <w:contextualSpacing/>
        <w:mirrorIndents/>
        <w:jc w:val="both"/>
        <w:rPr>
          <w:rFonts w:cstheme="minorHAnsi"/>
          <w:sz w:val="24"/>
          <w:szCs w:val="24"/>
        </w:rPr>
      </w:pPr>
      <w:proofErr w:type="spellStart"/>
      <w:r w:rsidRPr="001944EC">
        <w:rPr>
          <w:rFonts w:cstheme="minorHAnsi"/>
          <w:sz w:val="24"/>
          <w:szCs w:val="24"/>
        </w:rPr>
        <w:t>Kavumpurathu</w:t>
      </w:r>
      <w:proofErr w:type="spellEnd"/>
      <w:r w:rsidRPr="001944EC">
        <w:rPr>
          <w:rFonts w:cstheme="minorHAnsi"/>
          <w:sz w:val="24"/>
          <w:szCs w:val="24"/>
        </w:rPr>
        <w:t xml:space="preserve"> Raman </w:t>
      </w:r>
      <w:proofErr w:type="spellStart"/>
      <w:r w:rsidRPr="001944EC">
        <w:rPr>
          <w:rFonts w:cstheme="minorHAnsi"/>
          <w:sz w:val="24"/>
          <w:szCs w:val="24"/>
        </w:rPr>
        <w:t>Thankappan</w:t>
      </w:r>
      <w:proofErr w:type="spellEnd"/>
      <w:r w:rsidRPr="001944EC">
        <w:rPr>
          <w:rFonts w:cstheme="minorHAnsi"/>
          <w:sz w:val="24"/>
          <w:szCs w:val="24"/>
        </w:rPr>
        <w:t>: Supervision, Academic and Scientific Guidance, and Writing – Review &amp; Editing.</w:t>
      </w:r>
    </w:p>
    <w:p w14:paraId="6DBDF514" w14:textId="77777777" w:rsidR="00987D13" w:rsidRPr="001944EC" w:rsidRDefault="00987D13" w:rsidP="006C1440">
      <w:pPr>
        <w:spacing w:after="0" w:line="240" w:lineRule="auto"/>
        <w:contextualSpacing/>
        <w:mirrorIndents/>
        <w:jc w:val="both"/>
        <w:rPr>
          <w:rFonts w:cstheme="minorHAnsi"/>
          <w:sz w:val="24"/>
          <w:szCs w:val="24"/>
        </w:rPr>
      </w:pPr>
      <w:r w:rsidRPr="001944EC">
        <w:rPr>
          <w:rFonts w:cstheme="minorHAnsi"/>
          <w:sz w:val="24"/>
          <w:szCs w:val="24"/>
        </w:rPr>
        <w:t>Damodaran Vasudevan: Supervision, Senior Academic and Scientific Guidance, and Writing – Review &amp; Editing.</w:t>
      </w:r>
    </w:p>
    <w:p w14:paraId="2B6FDF34" w14:textId="77777777" w:rsidR="00987D13" w:rsidRPr="001944EC" w:rsidRDefault="00987D13" w:rsidP="006C1440">
      <w:pPr>
        <w:spacing w:after="0" w:line="240" w:lineRule="auto"/>
        <w:contextualSpacing/>
        <w:mirrorIndents/>
        <w:jc w:val="both"/>
        <w:rPr>
          <w:rFonts w:cstheme="minorHAnsi"/>
          <w:sz w:val="24"/>
          <w:szCs w:val="24"/>
        </w:rPr>
      </w:pPr>
      <w:r w:rsidRPr="001944EC">
        <w:rPr>
          <w:rFonts w:cstheme="minorHAnsi"/>
          <w:sz w:val="24"/>
          <w:szCs w:val="24"/>
        </w:rPr>
        <w:t>All authors reviewed and approved the final manuscript and agreed to be accountable for all aspects of the work.</w:t>
      </w:r>
    </w:p>
    <w:p w14:paraId="29714EB6" w14:textId="77777777" w:rsidR="00987D13" w:rsidRPr="001944EC" w:rsidRDefault="00987D13" w:rsidP="006C1440">
      <w:pPr>
        <w:spacing w:after="0" w:line="240" w:lineRule="auto"/>
        <w:contextualSpacing/>
        <w:mirrorIndents/>
        <w:jc w:val="both"/>
        <w:rPr>
          <w:rFonts w:cstheme="minorHAnsi"/>
          <w:sz w:val="24"/>
          <w:szCs w:val="24"/>
        </w:rPr>
      </w:pPr>
    </w:p>
    <w:p w14:paraId="736063B2" w14:textId="77777777" w:rsidR="00616B47" w:rsidRPr="001944EC" w:rsidRDefault="001431DC" w:rsidP="006C1440">
      <w:pPr>
        <w:spacing w:after="0" w:line="240" w:lineRule="auto"/>
        <w:contextualSpacing/>
        <w:mirrorIndents/>
        <w:jc w:val="both"/>
        <w:rPr>
          <w:rFonts w:cstheme="minorHAnsi"/>
          <w:b/>
          <w:sz w:val="24"/>
          <w:szCs w:val="24"/>
        </w:rPr>
      </w:pPr>
      <w:r w:rsidRPr="001944EC">
        <w:rPr>
          <w:rFonts w:cstheme="minorHAnsi"/>
          <w:b/>
          <w:sz w:val="24"/>
          <w:szCs w:val="24"/>
        </w:rPr>
        <w:t>R</w:t>
      </w:r>
      <w:r w:rsidR="001C0E85" w:rsidRPr="001944EC">
        <w:rPr>
          <w:rFonts w:cstheme="minorHAnsi"/>
          <w:b/>
          <w:sz w:val="24"/>
          <w:szCs w:val="24"/>
        </w:rPr>
        <w:t>EFERENCES</w:t>
      </w:r>
      <w:r w:rsidRPr="001944EC">
        <w:rPr>
          <w:rFonts w:cstheme="minorHAnsi"/>
          <w:b/>
          <w:sz w:val="24"/>
          <w:szCs w:val="24"/>
        </w:rPr>
        <w:t>:</w:t>
      </w:r>
    </w:p>
    <w:p w14:paraId="4A36BBBA" w14:textId="23A79771" w:rsidR="00616B47"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eastAsia="Times New Roman" w:cstheme="minorHAnsi"/>
          <w:sz w:val="24"/>
          <w:szCs w:val="24"/>
          <w:lang w:eastAsia="en-IN"/>
        </w:rPr>
        <w:t xml:space="preserve">Bhadran RS, Vasudevan D. Bhadran’s point of generation segregation theory for </w:t>
      </w:r>
      <w:proofErr w:type="spellStart"/>
      <w:r w:rsidRPr="001944EC">
        <w:rPr>
          <w:rFonts w:eastAsia="Times New Roman" w:cstheme="minorHAnsi"/>
          <w:sz w:val="24"/>
          <w:szCs w:val="24"/>
          <w:lang w:eastAsia="en-IN"/>
        </w:rPr>
        <w:t>behavioral</w:t>
      </w:r>
      <w:proofErr w:type="spellEnd"/>
      <w:r w:rsidRPr="001944EC">
        <w:rPr>
          <w:rFonts w:eastAsia="Times New Roman" w:cstheme="minorHAnsi"/>
          <w:sz w:val="24"/>
          <w:szCs w:val="24"/>
          <w:lang w:eastAsia="en-IN"/>
        </w:rPr>
        <w:t xml:space="preserve"> precision in biomedical waste management. Sci Rep. </w:t>
      </w:r>
      <w:proofErr w:type="gramStart"/>
      <w:r w:rsidRPr="001944EC">
        <w:rPr>
          <w:rFonts w:eastAsia="Times New Roman" w:cstheme="minorHAnsi"/>
          <w:sz w:val="24"/>
          <w:szCs w:val="24"/>
          <w:lang w:eastAsia="en-IN"/>
        </w:rPr>
        <w:t>2026;16:2531</w:t>
      </w:r>
      <w:proofErr w:type="gramEnd"/>
      <w:r w:rsidRPr="001944EC">
        <w:rPr>
          <w:rFonts w:eastAsia="Times New Roman" w:cstheme="minorHAnsi"/>
          <w:sz w:val="24"/>
          <w:szCs w:val="24"/>
          <w:lang w:eastAsia="en-IN"/>
        </w:rPr>
        <w:t>.</w:t>
      </w:r>
    </w:p>
    <w:p w14:paraId="0ABE91A6" w14:textId="44298F6C"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Windfeld ES, Brooks MS-L. Medical waste management: a review. J Environ Manage. </w:t>
      </w:r>
      <w:proofErr w:type="gramStart"/>
      <w:r w:rsidRPr="001944EC">
        <w:rPr>
          <w:rFonts w:cstheme="minorHAnsi"/>
          <w:sz w:val="24"/>
          <w:szCs w:val="24"/>
        </w:rPr>
        <w:t>2015;163:98</w:t>
      </w:r>
      <w:proofErr w:type="gramEnd"/>
      <w:r w:rsidRPr="001944EC">
        <w:rPr>
          <w:rFonts w:cstheme="minorHAnsi"/>
          <w:sz w:val="24"/>
          <w:szCs w:val="24"/>
        </w:rPr>
        <w:t>–108.</w:t>
      </w:r>
    </w:p>
    <w:p w14:paraId="17030551" w14:textId="00D872F3"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Deepak A, Kumar D, Sharma V. Developing an effectiveness index for biomedical waste management in Indian states using a composite indicators approach. Environ </w:t>
      </w:r>
      <w:proofErr w:type="spellStart"/>
      <w:r w:rsidRPr="001944EC">
        <w:rPr>
          <w:rFonts w:cstheme="minorHAnsi"/>
          <w:sz w:val="24"/>
          <w:szCs w:val="24"/>
        </w:rPr>
        <w:t>Sci</w:t>
      </w:r>
      <w:proofErr w:type="spellEnd"/>
      <w:r w:rsidRPr="001944EC">
        <w:rPr>
          <w:rFonts w:cstheme="minorHAnsi"/>
          <w:sz w:val="24"/>
          <w:szCs w:val="24"/>
        </w:rPr>
        <w:t xml:space="preserve"> </w:t>
      </w:r>
      <w:proofErr w:type="spellStart"/>
      <w:r w:rsidRPr="001944EC">
        <w:rPr>
          <w:rFonts w:cstheme="minorHAnsi"/>
          <w:sz w:val="24"/>
          <w:szCs w:val="24"/>
        </w:rPr>
        <w:t>Pollut</w:t>
      </w:r>
      <w:proofErr w:type="spellEnd"/>
      <w:r w:rsidRPr="001944EC">
        <w:rPr>
          <w:rFonts w:cstheme="minorHAnsi"/>
          <w:sz w:val="24"/>
          <w:szCs w:val="24"/>
        </w:rPr>
        <w:t xml:space="preserve"> Res Int. 2021;28(45):64014–64029.</w:t>
      </w:r>
    </w:p>
    <w:p w14:paraId="69EFB011"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Dixit AM, et al. Assessment of biomedical waste management in health facilities of Uttar Pradesh: an observational study. Cureus. 2021;13(12</w:t>
      </w:r>
      <w:proofErr w:type="gramStart"/>
      <w:r w:rsidRPr="001944EC">
        <w:rPr>
          <w:rFonts w:cstheme="minorHAnsi"/>
          <w:sz w:val="24"/>
          <w:szCs w:val="24"/>
        </w:rPr>
        <w:t>):e</w:t>
      </w:r>
      <w:proofErr w:type="gramEnd"/>
      <w:r w:rsidRPr="001944EC">
        <w:rPr>
          <w:rFonts w:cstheme="minorHAnsi"/>
          <w:sz w:val="24"/>
          <w:szCs w:val="24"/>
        </w:rPr>
        <w:t>20098.</w:t>
      </w:r>
    </w:p>
    <w:p w14:paraId="2B426C7F"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Basavaraj TJ, Shashibhushan BL, Sreedevi A. To assess the knowledge, attitude and practices in biomedical waste management among health care workers in dedicated COVID hospital in Bangalore. Egypt J Intern Med. </w:t>
      </w:r>
      <w:proofErr w:type="gramStart"/>
      <w:r w:rsidRPr="001944EC">
        <w:rPr>
          <w:rFonts w:cstheme="minorHAnsi"/>
          <w:sz w:val="24"/>
          <w:szCs w:val="24"/>
        </w:rPr>
        <w:t>2021;33:37</w:t>
      </w:r>
      <w:proofErr w:type="gramEnd"/>
      <w:r w:rsidRPr="001944EC">
        <w:rPr>
          <w:rFonts w:cstheme="minorHAnsi"/>
          <w:sz w:val="24"/>
          <w:szCs w:val="24"/>
        </w:rPr>
        <w:t>.</w:t>
      </w:r>
    </w:p>
    <w:p w14:paraId="7CB1168F" w14:textId="77777777" w:rsidR="007C0953" w:rsidRPr="001944EC" w:rsidRDefault="007C095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Kottner J, et al. Guidelines for Reporting Reliability and Agreement Studies (GRRAS) were proposed. J </w:t>
      </w:r>
      <w:proofErr w:type="spellStart"/>
      <w:r w:rsidRPr="001944EC">
        <w:rPr>
          <w:rFonts w:cstheme="minorHAnsi"/>
          <w:sz w:val="24"/>
          <w:szCs w:val="24"/>
        </w:rPr>
        <w:t>Clin</w:t>
      </w:r>
      <w:proofErr w:type="spellEnd"/>
      <w:r w:rsidRPr="001944EC">
        <w:rPr>
          <w:rFonts w:cstheme="minorHAnsi"/>
          <w:sz w:val="24"/>
          <w:szCs w:val="24"/>
        </w:rPr>
        <w:t xml:space="preserve"> </w:t>
      </w:r>
      <w:proofErr w:type="spellStart"/>
      <w:r w:rsidRPr="001944EC">
        <w:rPr>
          <w:rFonts w:cstheme="minorHAnsi"/>
          <w:sz w:val="24"/>
          <w:szCs w:val="24"/>
        </w:rPr>
        <w:t>Epidemiol</w:t>
      </w:r>
      <w:proofErr w:type="spellEnd"/>
      <w:r w:rsidRPr="001944EC">
        <w:rPr>
          <w:rFonts w:cstheme="minorHAnsi"/>
          <w:sz w:val="24"/>
          <w:szCs w:val="24"/>
        </w:rPr>
        <w:t>. 2011;64(1):96–106.</w:t>
      </w:r>
    </w:p>
    <w:p w14:paraId="204F8D75" w14:textId="35BCE884" w:rsidR="007C0953" w:rsidRPr="001944EC" w:rsidRDefault="007C095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de Vet HCW, </w:t>
      </w:r>
      <w:proofErr w:type="spellStart"/>
      <w:r w:rsidRPr="001944EC">
        <w:rPr>
          <w:rFonts w:cstheme="minorHAnsi"/>
          <w:sz w:val="24"/>
          <w:szCs w:val="24"/>
        </w:rPr>
        <w:t>Terwee</w:t>
      </w:r>
      <w:proofErr w:type="spellEnd"/>
      <w:r w:rsidRPr="001944EC">
        <w:rPr>
          <w:rFonts w:cstheme="minorHAnsi"/>
          <w:sz w:val="24"/>
          <w:szCs w:val="24"/>
        </w:rPr>
        <w:t xml:space="preserve"> CB, </w:t>
      </w:r>
      <w:proofErr w:type="spellStart"/>
      <w:r w:rsidRPr="001944EC">
        <w:rPr>
          <w:rFonts w:cstheme="minorHAnsi"/>
          <w:sz w:val="24"/>
          <w:szCs w:val="24"/>
        </w:rPr>
        <w:t>Knol</w:t>
      </w:r>
      <w:proofErr w:type="spellEnd"/>
      <w:r w:rsidRPr="001944EC">
        <w:rPr>
          <w:rFonts w:cstheme="minorHAnsi"/>
          <w:sz w:val="24"/>
          <w:szCs w:val="24"/>
        </w:rPr>
        <w:t xml:space="preserve"> DL, Bouter LM. When to use agreement versus reliability measures. J </w:t>
      </w:r>
      <w:proofErr w:type="spellStart"/>
      <w:r w:rsidRPr="001944EC">
        <w:rPr>
          <w:rFonts w:cstheme="minorHAnsi"/>
          <w:sz w:val="24"/>
          <w:szCs w:val="24"/>
        </w:rPr>
        <w:t>Clin</w:t>
      </w:r>
      <w:proofErr w:type="spellEnd"/>
      <w:r w:rsidRPr="001944EC">
        <w:rPr>
          <w:rFonts w:cstheme="minorHAnsi"/>
          <w:sz w:val="24"/>
          <w:szCs w:val="24"/>
        </w:rPr>
        <w:t xml:space="preserve"> </w:t>
      </w:r>
      <w:proofErr w:type="spellStart"/>
      <w:r w:rsidRPr="001944EC">
        <w:rPr>
          <w:rFonts w:cstheme="minorHAnsi"/>
          <w:sz w:val="24"/>
          <w:szCs w:val="24"/>
        </w:rPr>
        <w:t>Epidemiol</w:t>
      </w:r>
      <w:proofErr w:type="spellEnd"/>
      <w:r w:rsidRPr="001944EC">
        <w:rPr>
          <w:rFonts w:cstheme="minorHAnsi"/>
          <w:sz w:val="24"/>
          <w:szCs w:val="24"/>
        </w:rPr>
        <w:t>. 2006;59(10):1033–1039.</w:t>
      </w:r>
    </w:p>
    <w:p w14:paraId="41EB2137" w14:textId="4D1B71C3" w:rsidR="00987D13"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lastRenderedPageBreak/>
        <w:t xml:space="preserve">Central Pollution Control Board. Guidelines for management of healthcare waste as per biomedical waste management rules, 2016. New Delhi: Ministry of Environment, Forest and Climate Change, Government of India; 2018. Available from: </w:t>
      </w:r>
      <w:r w:rsidR="00FD30D5" w:rsidRPr="00FD30D5">
        <w:rPr>
          <w:rFonts w:cstheme="minorHAnsi"/>
          <w:sz w:val="24"/>
          <w:szCs w:val="24"/>
        </w:rPr>
        <w:t>https://cpcb.nic.in/uploads/projects/bio-medical-waste/guidelines_healthcare_june_2018.pdf</w:t>
      </w:r>
    </w:p>
    <w:p w14:paraId="4A5D0AAD" w14:textId="77777777" w:rsidR="00FD30D5" w:rsidRPr="00FD30D5" w:rsidRDefault="00FD30D5" w:rsidP="00FD30D5">
      <w:pPr>
        <w:pStyle w:val="ListParagraph"/>
        <w:numPr>
          <w:ilvl w:val="0"/>
          <w:numId w:val="8"/>
        </w:numPr>
        <w:ind w:left="0" w:firstLine="0"/>
        <w:rPr>
          <w:rFonts w:cstheme="minorHAnsi"/>
          <w:sz w:val="24"/>
          <w:szCs w:val="24"/>
        </w:rPr>
      </w:pPr>
      <w:r w:rsidRPr="00FD30D5">
        <w:rPr>
          <w:rFonts w:cstheme="minorHAnsi"/>
          <w:sz w:val="24"/>
          <w:szCs w:val="24"/>
        </w:rPr>
        <w:t xml:space="preserve">Bhadran RS, Sreekumar K, Vasudevan D. Enhancing public health and environmental safety through onsite waste segregation in animal research facilities. </w:t>
      </w:r>
      <w:proofErr w:type="spellStart"/>
      <w:r w:rsidRPr="00FD30D5">
        <w:rPr>
          <w:rFonts w:cstheme="minorHAnsi"/>
          <w:sz w:val="24"/>
          <w:szCs w:val="24"/>
        </w:rPr>
        <w:t>Discov</w:t>
      </w:r>
      <w:proofErr w:type="spellEnd"/>
      <w:r w:rsidRPr="00FD30D5">
        <w:rPr>
          <w:rFonts w:cstheme="minorHAnsi"/>
          <w:sz w:val="24"/>
          <w:szCs w:val="24"/>
        </w:rPr>
        <w:t xml:space="preserve"> Public Health. </w:t>
      </w:r>
      <w:proofErr w:type="gramStart"/>
      <w:r w:rsidRPr="00FD30D5">
        <w:rPr>
          <w:rFonts w:cstheme="minorHAnsi"/>
          <w:sz w:val="24"/>
          <w:szCs w:val="24"/>
        </w:rPr>
        <w:t>2026;23:279</w:t>
      </w:r>
      <w:proofErr w:type="gramEnd"/>
      <w:r w:rsidRPr="00FD30D5">
        <w:rPr>
          <w:rFonts w:cstheme="minorHAnsi"/>
          <w:sz w:val="24"/>
          <w:szCs w:val="24"/>
        </w:rPr>
        <w:t>.</w:t>
      </w:r>
    </w:p>
    <w:p w14:paraId="737EEEB6"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Jeanes A, Coen PG, Gould DJ, Drey NS. Validity of hand hygiene compliance measurement by observation: a systematic review. Am J Infect Control. 2019;47(3):313–322.</w:t>
      </w:r>
    </w:p>
    <w:p w14:paraId="6798BCD8"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von Elm E, et al. The Strengthening the Reporting of Observational Studies in Epidemiology (STROBE) statement: guidelines for reporting observational studies. Lancet. 2007;370(9596):1453–1457.</w:t>
      </w:r>
    </w:p>
    <w:p w14:paraId="699186B4"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Vandenbroucke JP, et al. Strengthening the Reporting of Observational Studies in Epidemiology (STROBE): explanation and elaboration. </w:t>
      </w:r>
      <w:proofErr w:type="spellStart"/>
      <w:r w:rsidRPr="001944EC">
        <w:rPr>
          <w:rFonts w:cstheme="minorHAnsi"/>
          <w:sz w:val="24"/>
          <w:szCs w:val="24"/>
        </w:rPr>
        <w:t>PLoS</w:t>
      </w:r>
      <w:proofErr w:type="spellEnd"/>
      <w:r w:rsidRPr="001944EC">
        <w:rPr>
          <w:rFonts w:cstheme="minorHAnsi"/>
          <w:sz w:val="24"/>
          <w:szCs w:val="24"/>
        </w:rPr>
        <w:t xml:space="preserve"> Med. 2007;4(10</w:t>
      </w:r>
      <w:proofErr w:type="gramStart"/>
      <w:r w:rsidRPr="001944EC">
        <w:rPr>
          <w:rFonts w:cstheme="minorHAnsi"/>
          <w:sz w:val="24"/>
          <w:szCs w:val="24"/>
        </w:rPr>
        <w:t>):e</w:t>
      </w:r>
      <w:proofErr w:type="gramEnd"/>
      <w:r w:rsidRPr="001944EC">
        <w:rPr>
          <w:rFonts w:cstheme="minorHAnsi"/>
          <w:sz w:val="24"/>
          <w:szCs w:val="24"/>
        </w:rPr>
        <w:t>297.</w:t>
      </w:r>
    </w:p>
    <w:p w14:paraId="0EE9983C"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proofErr w:type="spellStart"/>
      <w:r w:rsidRPr="001944EC">
        <w:rPr>
          <w:rFonts w:cstheme="minorHAnsi"/>
          <w:sz w:val="24"/>
          <w:szCs w:val="24"/>
        </w:rPr>
        <w:t>McCambridge</w:t>
      </w:r>
      <w:proofErr w:type="spellEnd"/>
      <w:r w:rsidRPr="001944EC">
        <w:rPr>
          <w:rFonts w:cstheme="minorHAnsi"/>
          <w:sz w:val="24"/>
          <w:szCs w:val="24"/>
        </w:rPr>
        <w:t xml:space="preserve"> J, </w:t>
      </w:r>
      <w:proofErr w:type="spellStart"/>
      <w:r w:rsidRPr="001944EC">
        <w:rPr>
          <w:rFonts w:cstheme="minorHAnsi"/>
          <w:sz w:val="24"/>
          <w:szCs w:val="24"/>
        </w:rPr>
        <w:t>Witton</w:t>
      </w:r>
      <w:proofErr w:type="spellEnd"/>
      <w:r w:rsidRPr="001944EC">
        <w:rPr>
          <w:rFonts w:cstheme="minorHAnsi"/>
          <w:sz w:val="24"/>
          <w:szCs w:val="24"/>
        </w:rPr>
        <w:t xml:space="preserve"> J, </w:t>
      </w:r>
      <w:proofErr w:type="spellStart"/>
      <w:r w:rsidRPr="001944EC">
        <w:rPr>
          <w:rFonts w:cstheme="minorHAnsi"/>
          <w:sz w:val="24"/>
          <w:szCs w:val="24"/>
        </w:rPr>
        <w:t>Elbourne</w:t>
      </w:r>
      <w:proofErr w:type="spellEnd"/>
      <w:r w:rsidRPr="001944EC">
        <w:rPr>
          <w:rFonts w:cstheme="minorHAnsi"/>
          <w:sz w:val="24"/>
          <w:szCs w:val="24"/>
        </w:rPr>
        <w:t xml:space="preserve"> DR. Systematic review of the Hawthorne effect: new concepts are needed to study research participation effects. J </w:t>
      </w:r>
      <w:proofErr w:type="spellStart"/>
      <w:r w:rsidRPr="001944EC">
        <w:rPr>
          <w:rFonts w:cstheme="minorHAnsi"/>
          <w:sz w:val="24"/>
          <w:szCs w:val="24"/>
        </w:rPr>
        <w:t>Clin</w:t>
      </w:r>
      <w:proofErr w:type="spellEnd"/>
      <w:r w:rsidRPr="001944EC">
        <w:rPr>
          <w:rFonts w:cstheme="minorHAnsi"/>
          <w:sz w:val="24"/>
          <w:szCs w:val="24"/>
        </w:rPr>
        <w:t xml:space="preserve"> </w:t>
      </w:r>
      <w:proofErr w:type="spellStart"/>
      <w:r w:rsidRPr="001944EC">
        <w:rPr>
          <w:rFonts w:cstheme="minorHAnsi"/>
          <w:sz w:val="24"/>
          <w:szCs w:val="24"/>
        </w:rPr>
        <w:t>Epidemiol</w:t>
      </w:r>
      <w:proofErr w:type="spellEnd"/>
      <w:r w:rsidRPr="001944EC">
        <w:rPr>
          <w:rFonts w:cstheme="minorHAnsi"/>
          <w:sz w:val="24"/>
          <w:szCs w:val="24"/>
        </w:rPr>
        <w:t>. 2014;67(3):267–277.</w:t>
      </w:r>
    </w:p>
    <w:p w14:paraId="3281FE67"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Goodwin MA, et al. The Hawthorne effect in direct observation research with physicians and patients. J </w:t>
      </w:r>
      <w:proofErr w:type="spellStart"/>
      <w:r w:rsidRPr="001944EC">
        <w:rPr>
          <w:rFonts w:cstheme="minorHAnsi"/>
          <w:sz w:val="24"/>
          <w:szCs w:val="24"/>
        </w:rPr>
        <w:t>Eval</w:t>
      </w:r>
      <w:proofErr w:type="spellEnd"/>
      <w:r w:rsidRPr="001944EC">
        <w:rPr>
          <w:rFonts w:cstheme="minorHAnsi"/>
          <w:sz w:val="24"/>
          <w:szCs w:val="24"/>
        </w:rPr>
        <w:t xml:space="preserve"> </w:t>
      </w:r>
      <w:proofErr w:type="spellStart"/>
      <w:r w:rsidRPr="001944EC">
        <w:rPr>
          <w:rFonts w:cstheme="minorHAnsi"/>
          <w:sz w:val="24"/>
          <w:szCs w:val="24"/>
        </w:rPr>
        <w:t>Clin</w:t>
      </w:r>
      <w:proofErr w:type="spellEnd"/>
      <w:r w:rsidRPr="001944EC">
        <w:rPr>
          <w:rFonts w:cstheme="minorHAnsi"/>
          <w:sz w:val="24"/>
          <w:szCs w:val="24"/>
        </w:rPr>
        <w:t xml:space="preserve"> </w:t>
      </w:r>
      <w:proofErr w:type="spellStart"/>
      <w:r w:rsidRPr="001944EC">
        <w:rPr>
          <w:rFonts w:cstheme="minorHAnsi"/>
          <w:sz w:val="24"/>
          <w:szCs w:val="24"/>
        </w:rPr>
        <w:t>Pract</w:t>
      </w:r>
      <w:proofErr w:type="spellEnd"/>
      <w:r w:rsidRPr="001944EC">
        <w:rPr>
          <w:rFonts w:cstheme="minorHAnsi"/>
          <w:sz w:val="24"/>
          <w:szCs w:val="24"/>
        </w:rPr>
        <w:t>. 2017;23(6):1322–1328.</w:t>
      </w:r>
    </w:p>
    <w:p w14:paraId="40098FA2"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proofErr w:type="spellStart"/>
      <w:r w:rsidRPr="001944EC">
        <w:rPr>
          <w:rFonts w:cstheme="minorHAnsi"/>
          <w:sz w:val="24"/>
          <w:szCs w:val="24"/>
        </w:rPr>
        <w:t>Mokkink</w:t>
      </w:r>
      <w:proofErr w:type="spellEnd"/>
      <w:r w:rsidRPr="001944EC">
        <w:rPr>
          <w:rFonts w:cstheme="minorHAnsi"/>
          <w:sz w:val="24"/>
          <w:szCs w:val="24"/>
        </w:rPr>
        <w:t xml:space="preserve"> LB, et al. COSMIN Risk of Bias tool to assess the quality of studies on reliability or measurement error of outcome measurement instruments: a Delphi study. BMC Med Res </w:t>
      </w:r>
      <w:proofErr w:type="spellStart"/>
      <w:r w:rsidRPr="001944EC">
        <w:rPr>
          <w:rFonts w:cstheme="minorHAnsi"/>
          <w:sz w:val="24"/>
          <w:szCs w:val="24"/>
        </w:rPr>
        <w:t>Methodol</w:t>
      </w:r>
      <w:proofErr w:type="spellEnd"/>
      <w:r w:rsidRPr="001944EC">
        <w:rPr>
          <w:rFonts w:cstheme="minorHAnsi"/>
          <w:sz w:val="24"/>
          <w:szCs w:val="24"/>
        </w:rPr>
        <w:t>. 2020;20(1):293.</w:t>
      </w:r>
    </w:p>
    <w:p w14:paraId="49D80800" w14:textId="77777777"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proofErr w:type="spellStart"/>
      <w:r w:rsidRPr="001944EC">
        <w:rPr>
          <w:rFonts w:cstheme="minorHAnsi"/>
          <w:sz w:val="24"/>
          <w:szCs w:val="24"/>
        </w:rPr>
        <w:t>Mokkink</w:t>
      </w:r>
      <w:proofErr w:type="spellEnd"/>
      <w:r w:rsidRPr="001944EC">
        <w:rPr>
          <w:rFonts w:cstheme="minorHAnsi"/>
          <w:sz w:val="24"/>
          <w:szCs w:val="24"/>
        </w:rPr>
        <w:t xml:space="preserve"> LB, et al. The COSMIN checklist for assessing the methodological quality of studies on measurement properties of health status measurement instruments: an international Delphi study. Qual Life Res. 2010;19(4):539–549.</w:t>
      </w:r>
    </w:p>
    <w:p w14:paraId="11738139" w14:textId="2DD52936" w:rsidR="00987D13" w:rsidRPr="001944EC" w:rsidRDefault="00987D13" w:rsidP="006C1440">
      <w:pPr>
        <w:pStyle w:val="ListParagraph"/>
        <w:numPr>
          <w:ilvl w:val="0"/>
          <w:numId w:val="8"/>
        </w:numPr>
        <w:spacing w:after="0" w:line="240" w:lineRule="auto"/>
        <w:ind w:left="0" w:firstLine="0"/>
        <w:mirrorIndents/>
        <w:jc w:val="both"/>
        <w:rPr>
          <w:rFonts w:cstheme="minorHAnsi"/>
          <w:sz w:val="24"/>
          <w:szCs w:val="24"/>
        </w:rPr>
      </w:pPr>
      <w:r w:rsidRPr="001944EC">
        <w:rPr>
          <w:rFonts w:cstheme="minorHAnsi"/>
          <w:sz w:val="24"/>
          <w:szCs w:val="24"/>
        </w:rPr>
        <w:t xml:space="preserve">VanLeeuwen DM, Barnes MD, </w:t>
      </w:r>
      <w:proofErr w:type="spellStart"/>
      <w:r w:rsidRPr="001944EC">
        <w:rPr>
          <w:rFonts w:cstheme="minorHAnsi"/>
          <w:sz w:val="24"/>
          <w:szCs w:val="24"/>
        </w:rPr>
        <w:t>Pase</w:t>
      </w:r>
      <w:proofErr w:type="spellEnd"/>
      <w:r w:rsidRPr="001944EC">
        <w:rPr>
          <w:rFonts w:cstheme="minorHAnsi"/>
          <w:sz w:val="24"/>
          <w:szCs w:val="24"/>
        </w:rPr>
        <w:t xml:space="preserve"> M. Generalizability theory: a unified approach to assessing the dependability (reliability) of measurements in the health sciences. J Outcome Meas. 1998;2(4):302–325.</w:t>
      </w:r>
    </w:p>
    <w:p w14:paraId="654C7BB5" w14:textId="77777777" w:rsidR="00616B47" w:rsidRPr="006C1440" w:rsidRDefault="00616B47" w:rsidP="006C1440">
      <w:pPr>
        <w:pStyle w:val="ListParagraph"/>
        <w:spacing w:after="0" w:line="240" w:lineRule="auto"/>
        <w:ind w:left="0"/>
        <w:mirrorIndents/>
        <w:rPr>
          <w:rFonts w:cstheme="minorHAnsi"/>
          <w:sz w:val="24"/>
          <w:szCs w:val="24"/>
        </w:rPr>
      </w:pPr>
    </w:p>
    <w:sectPr w:rsidR="00616B47" w:rsidRPr="006C1440" w:rsidSect="006C1440">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661D"/>
    <w:multiLevelType w:val="hybridMultilevel"/>
    <w:tmpl w:val="8A7E9816"/>
    <w:lvl w:ilvl="0" w:tplc="9B3CD85E">
      <w:start w:val="1"/>
      <w:numFmt w:val="bullet"/>
      <w:lvlText w:val=""/>
      <w:lvlJc w:val="left"/>
      <w:pPr>
        <w:ind w:left="720" w:hanging="360"/>
      </w:pPr>
      <w:rPr>
        <w:rFonts w:ascii="Symbol" w:hAnsi="Symbol" w:hint="default"/>
      </w:rPr>
    </w:lvl>
    <w:lvl w:ilvl="1" w:tplc="0A6C25AE">
      <w:numFmt w:val="bullet"/>
      <w:lvlText w:val="•"/>
      <w:lvlJc w:val="left"/>
      <w:pPr>
        <w:ind w:left="1800" w:hanging="720"/>
      </w:pPr>
      <w:rPr>
        <w:rFonts w:ascii="Times New Roman" w:eastAsia="Times New Roman" w:hAnsi="Times New Roman" w:cs="Times New Roman" w:hint="default"/>
      </w:rPr>
    </w:lvl>
    <w:lvl w:ilvl="2" w:tplc="DA2A3070" w:tentative="1">
      <w:start w:val="1"/>
      <w:numFmt w:val="bullet"/>
      <w:lvlText w:val=""/>
      <w:lvlJc w:val="left"/>
      <w:pPr>
        <w:ind w:left="2160" w:hanging="360"/>
      </w:pPr>
      <w:rPr>
        <w:rFonts w:ascii="Wingdings" w:hAnsi="Wingdings" w:hint="default"/>
      </w:rPr>
    </w:lvl>
    <w:lvl w:ilvl="3" w:tplc="BEAAF976" w:tentative="1">
      <w:start w:val="1"/>
      <w:numFmt w:val="bullet"/>
      <w:lvlText w:val=""/>
      <w:lvlJc w:val="left"/>
      <w:pPr>
        <w:ind w:left="2880" w:hanging="360"/>
      </w:pPr>
      <w:rPr>
        <w:rFonts w:ascii="Symbol" w:hAnsi="Symbol" w:hint="default"/>
      </w:rPr>
    </w:lvl>
    <w:lvl w:ilvl="4" w:tplc="BB16ABD4" w:tentative="1">
      <w:start w:val="1"/>
      <w:numFmt w:val="bullet"/>
      <w:lvlText w:val="o"/>
      <w:lvlJc w:val="left"/>
      <w:pPr>
        <w:ind w:left="3600" w:hanging="360"/>
      </w:pPr>
      <w:rPr>
        <w:rFonts w:ascii="Courier New" w:hAnsi="Courier New" w:cs="Courier New" w:hint="default"/>
      </w:rPr>
    </w:lvl>
    <w:lvl w:ilvl="5" w:tplc="628AC72C" w:tentative="1">
      <w:start w:val="1"/>
      <w:numFmt w:val="bullet"/>
      <w:lvlText w:val=""/>
      <w:lvlJc w:val="left"/>
      <w:pPr>
        <w:ind w:left="4320" w:hanging="360"/>
      </w:pPr>
      <w:rPr>
        <w:rFonts w:ascii="Wingdings" w:hAnsi="Wingdings" w:hint="default"/>
      </w:rPr>
    </w:lvl>
    <w:lvl w:ilvl="6" w:tplc="9566D3DC" w:tentative="1">
      <w:start w:val="1"/>
      <w:numFmt w:val="bullet"/>
      <w:lvlText w:val=""/>
      <w:lvlJc w:val="left"/>
      <w:pPr>
        <w:ind w:left="5040" w:hanging="360"/>
      </w:pPr>
      <w:rPr>
        <w:rFonts w:ascii="Symbol" w:hAnsi="Symbol" w:hint="default"/>
      </w:rPr>
    </w:lvl>
    <w:lvl w:ilvl="7" w:tplc="5E22927C" w:tentative="1">
      <w:start w:val="1"/>
      <w:numFmt w:val="bullet"/>
      <w:lvlText w:val="o"/>
      <w:lvlJc w:val="left"/>
      <w:pPr>
        <w:ind w:left="5760" w:hanging="360"/>
      </w:pPr>
      <w:rPr>
        <w:rFonts w:ascii="Courier New" w:hAnsi="Courier New" w:cs="Courier New" w:hint="default"/>
      </w:rPr>
    </w:lvl>
    <w:lvl w:ilvl="8" w:tplc="15EEB5B0" w:tentative="1">
      <w:start w:val="1"/>
      <w:numFmt w:val="bullet"/>
      <w:lvlText w:val=""/>
      <w:lvlJc w:val="left"/>
      <w:pPr>
        <w:ind w:left="6480" w:hanging="360"/>
      </w:pPr>
      <w:rPr>
        <w:rFonts w:ascii="Wingdings" w:hAnsi="Wingdings" w:hint="default"/>
      </w:rPr>
    </w:lvl>
  </w:abstractNum>
  <w:abstractNum w:abstractNumId="1" w15:restartNumberingAfterBreak="0">
    <w:nsid w:val="0C0830BC"/>
    <w:multiLevelType w:val="hybridMultilevel"/>
    <w:tmpl w:val="C12C43BC"/>
    <w:lvl w:ilvl="0" w:tplc="1F5A3BAA">
      <w:start w:val="1"/>
      <w:numFmt w:val="bullet"/>
      <w:lvlText w:val=""/>
      <w:lvlJc w:val="left"/>
      <w:pPr>
        <w:ind w:left="720" w:hanging="360"/>
      </w:pPr>
      <w:rPr>
        <w:rFonts w:ascii="Symbol" w:hAnsi="Symbol" w:hint="default"/>
      </w:rPr>
    </w:lvl>
    <w:lvl w:ilvl="1" w:tplc="49BE6002" w:tentative="1">
      <w:start w:val="1"/>
      <w:numFmt w:val="bullet"/>
      <w:lvlText w:val="o"/>
      <w:lvlJc w:val="left"/>
      <w:pPr>
        <w:ind w:left="1440" w:hanging="360"/>
      </w:pPr>
      <w:rPr>
        <w:rFonts w:ascii="Courier New" w:hAnsi="Courier New" w:cs="Courier New" w:hint="default"/>
      </w:rPr>
    </w:lvl>
    <w:lvl w:ilvl="2" w:tplc="9D506C9C" w:tentative="1">
      <w:start w:val="1"/>
      <w:numFmt w:val="bullet"/>
      <w:lvlText w:val=""/>
      <w:lvlJc w:val="left"/>
      <w:pPr>
        <w:ind w:left="2160" w:hanging="360"/>
      </w:pPr>
      <w:rPr>
        <w:rFonts w:ascii="Wingdings" w:hAnsi="Wingdings" w:hint="default"/>
      </w:rPr>
    </w:lvl>
    <w:lvl w:ilvl="3" w:tplc="00949872" w:tentative="1">
      <w:start w:val="1"/>
      <w:numFmt w:val="bullet"/>
      <w:lvlText w:val=""/>
      <w:lvlJc w:val="left"/>
      <w:pPr>
        <w:ind w:left="2880" w:hanging="360"/>
      </w:pPr>
      <w:rPr>
        <w:rFonts w:ascii="Symbol" w:hAnsi="Symbol" w:hint="default"/>
      </w:rPr>
    </w:lvl>
    <w:lvl w:ilvl="4" w:tplc="F9FE4190" w:tentative="1">
      <w:start w:val="1"/>
      <w:numFmt w:val="bullet"/>
      <w:lvlText w:val="o"/>
      <w:lvlJc w:val="left"/>
      <w:pPr>
        <w:ind w:left="3600" w:hanging="360"/>
      </w:pPr>
      <w:rPr>
        <w:rFonts w:ascii="Courier New" w:hAnsi="Courier New" w:cs="Courier New" w:hint="default"/>
      </w:rPr>
    </w:lvl>
    <w:lvl w:ilvl="5" w:tplc="7EEC9E02" w:tentative="1">
      <w:start w:val="1"/>
      <w:numFmt w:val="bullet"/>
      <w:lvlText w:val=""/>
      <w:lvlJc w:val="left"/>
      <w:pPr>
        <w:ind w:left="4320" w:hanging="360"/>
      </w:pPr>
      <w:rPr>
        <w:rFonts w:ascii="Wingdings" w:hAnsi="Wingdings" w:hint="default"/>
      </w:rPr>
    </w:lvl>
    <w:lvl w:ilvl="6" w:tplc="60749F7E" w:tentative="1">
      <w:start w:val="1"/>
      <w:numFmt w:val="bullet"/>
      <w:lvlText w:val=""/>
      <w:lvlJc w:val="left"/>
      <w:pPr>
        <w:ind w:left="5040" w:hanging="360"/>
      </w:pPr>
      <w:rPr>
        <w:rFonts w:ascii="Symbol" w:hAnsi="Symbol" w:hint="default"/>
      </w:rPr>
    </w:lvl>
    <w:lvl w:ilvl="7" w:tplc="2AA0AF16" w:tentative="1">
      <w:start w:val="1"/>
      <w:numFmt w:val="bullet"/>
      <w:lvlText w:val="o"/>
      <w:lvlJc w:val="left"/>
      <w:pPr>
        <w:ind w:left="5760" w:hanging="360"/>
      </w:pPr>
      <w:rPr>
        <w:rFonts w:ascii="Courier New" w:hAnsi="Courier New" w:cs="Courier New" w:hint="default"/>
      </w:rPr>
    </w:lvl>
    <w:lvl w:ilvl="8" w:tplc="5134B1A8" w:tentative="1">
      <w:start w:val="1"/>
      <w:numFmt w:val="bullet"/>
      <w:lvlText w:val=""/>
      <w:lvlJc w:val="left"/>
      <w:pPr>
        <w:ind w:left="6480" w:hanging="360"/>
      </w:pPr>
      <w:rPr>
        <w:rFonts w:ascii="Wingdings" w:hAnsi="Wingdings" w:hint="default"/>
      </w:rPr>
    </w:lvl>
  </w:abstractNum>
  <w:abstractNum w:abstractNumId="2" w15:restartNumberingAfterBreak="0">
    <w:nsid w:val="0FFC5FEC"/>
    <w:multiLevelType w:val="hybridMultilevel"/>
    <w:tmpl w:val="521EA386"/>
    <w:lvl w:ilvl="0" w:tplc="4A307F04">
      <w:start w:val="1"/>
      <w:numFmt w:val="bullet"/>
      <w:lvlText w:val=""/>
      <w:lvlJc w:val="left"/>
      <w:pPr>
        <w:ind w:left="720" w:hanging="360"/>
      </w:pPr>
      <w:rPr>
        <w:rFonts w:ascii="Symbol" w:hAnsi="Symbol" w:hint="default"/>
      </w:rPr>
    </w:lvl>
    <w:lvl w:ilvl="1" w:tplc="62E2FCAC" w:tentative="1">
      <w:start w:val="1"/>
      <w:numFmt w:val="bullet"/>
      <w:lvlText w:val="o"/>
      <w:lvlJc w:val="left"/>
      <w:pPr>
        <w:ind w:left="1440" w:hanging="360"/>
      </w:pPr>
      <w:rPr>
        <w:rFonts w:ascii="Courier New" w:hAnsi="Courier New" w:cs="Courier New" w:hint="default"/>
      </w:rPr>
    </w:lvl>
    <w:lvl w:ilvl="2" w:tplc="2104EC26" w:tentative="1">
      <w:start w:val="1"/>
      <w:numFmt w:val="bullet"/>
      <w:lvlText w:val=""/>
      <w:lvlJc w:val="left"/>
      <w:pPr>
        <w:ind w:left="2160" w:hanging="360"/>
      </w:pPr>
      <w:rPr>
        <w:rFonts w:ascii="Wingdings" w:hAnsi="Wingdings" w:hint="default"/>
      </w:rPr>
    </w:lvl>
    <w:lvl w:ilvl="3" w:tplc="046607A6" w:tentative="1">
      <w:start w:val="1"/>
      <w:numFmt w:val="bullet"/>
      <w:lvlText w:val=""/>
      <w:lvlJc w:val="left"/>
      <w:pPr>
        <w:ind w:left="2880" w:hanging="360"/>
      </w:pPr>
      <w:rPr>
        <w:rFonts w:ascii="Symbol" w:hAnsi="Symbol" w:hint="default"/>
      </w:rPr>
    </w:lvl>
    <w:lvl w:ilvl="4" w:tplc="DB9A4D7E" w:tentative="1">
      <w:start w:val="1"/>
      <w:numFmt w:val="bullet"/>
      <w:lvlText w:val="o"/>
      <w:lvlJc w:val="left"/>
      <w:pPr>
        <w:ind w:left="3600" w:hanging="360"/>
      </w:pPr>
      <w:rPr>
        <w:rFonts w:ascii="Courier New" w:hAnsi="Courier New" w:cs="Courier New" w:hint="default"/>
      </w:rPr>
    </w:lvl>
    <w:lvl w:ilvl="5" w:tplc="723A9C40" w:tentative="1">
      <w:start w:val="1"/>
      <w:numFmt w:val="bullet"/>
      <w:lvlText w:val=""/>
      <w:lvlJc w:val="left"/>
      <w:pPr>
        <w:ind w:left="4320" w:hanging="360"/>
      </w:pPr>
      <w:rPr>
        <w:rFonts w:ascii="Wingdings" w:hAnsi="Wingdings" w:hint="default"/>
      </w:rPr>
    </w:lvl>
    <w:lvl w:ilvl="6" w:tplc="EFF88040" w:tentative="1">
      <w:start w:val="1"/>
      <w:numFmt w:val="bullet"/>
      <w:lvlText w:val=""/>
      <w:lvlJc w:val="left"/>
      <w:pPr>
        <w:ind w:left="5040" w:hanging="360"/>
      </w:pPr>
      <w:rPr>
        <w:rFonts w:ascii="Symbol" w:hAnsi="Symbol" w:hint="default"/>
      </w:rPr>
    </w:lvl>
    <w:lvl w:ilvl="7" w:tplc="A12A406C" w:tentative="1">
      <w:start w:val="1"/>
      <w:numFmt w:val="bullet"/>
      <w:lvlText w:val="o"/>
      <w:lvlJc w:val="left"/>
      <w:pPr>
        <w:ind w:left="5760" w:hanging="360"/>
      </w:pPr>
      <w:rPr>
        <w:rFonts w:ascii="Courier New" w:hAnsi="Courier New" w:cs="Courier New" w:hint="default"/>
      </w:rPr>
    </w:lvl>
    <w:lvl w:ilvl="8" w:tplc="FD78A016" w:tentative="1">
      <w:start w:val="1"/>
      <w:numFmt w:val="bullet"/>
      <w:lvlText w:val=""/>
      <w:lvlJc w:val="left"/>
      <w:pPr>
        <w:ind w:left="6480" w:hanging="360"/>
      </w:pPr>
      <w:rPr>
        <w:rFonts w:ascii="Wingdings" w:hAnsi="Wingdings" w:hint="default"/>
      </w:rPr>
    </w:lvl>
  </w:abstractNum>
  <w:abstractNum w:abstractNumId="3" w15:restartNumberingAfterBreak="0">
    <w:nsid w:val="11B86F9F"/>
    <w:multiLevelType w:val="hybridMultilevel"/>
    <w:tmpl w:val="DFB23534"/>
    <w:lvl w:ilvl="0" w:tplc="0ECACC2E">
      <w:start w:val="1"/>
      <w:numFmt w:val="decimal"/>
      <w:lvlText w:val="%1."/>
      <w:lvlJc w:val="left"/>
      <w:pPr>
        <w:ind w:left="720" w:hanging="360"/>
      </w:pPr>
    </w:lvl>
    <w:lvl w:ilvl="1" w:tplc="78A8330C" w:tentative="1">
      <w:start w:val="1"/>
      <w:numFmt w:val="lowerLetter"/>
      <w:lvlText w:val="%2."/>
      <w:lvlJc w:val="left"/>
      <w:pPr>
        <w:ind w:left="1440" w:hanging="360"/>
      </w:pPr>
    </w:lvl>
    <w:lvl w:ilvl="2" w:tplc="9FD2B74C" w:tentative="1">
      <w:start w:val="1"/>
      <w:numFmt w:val="lowerRoman"/>
      <w:lvlText w:val="%3."/>
      <w:lvlJc w:val="right"/>
      <w:pPr>
        <w:ind w:left="2160" w:hanging="180"/>
      </w:pPr>
    </w:lvl>
    <w:lvl w:ilvl="3" w:tplc="90BABB5A" w:tentative="1">
      <w:start w:val="1"/>
      <w:numFmt w:val="decimal"/>
      <w:lvlText w:val="%4."/>
      <w:lvlJc w:val="left"/>
      <w:pPr>
        <w:ind w:left="2880" w:hanging="360"/>
      </w:pPr>
    </w:lvl>
    <w:lvl w:ilvl="4" w:tplc="0A3031BA" w:tentative="1">
      <w:start w:val="1"/>
      <w:numFmt w:val="lowerLetter"/>
      <w:lvlText w:val="%5."/>
      <w:lvlJc w:val="left"/>
      <w:pPr>
        <w:ind w:left="3600" w:hanging="360"/>
      </w:pPr>
    </w:lvl>
    <w:lvl w:ilvl="5" w:tplc="22AED568" w:tentative="1">
      <w:start w:val="1"/>
      <w:numFmt w:val="lowerRoman"/>
      <w:lvlText w:val="%6."/>
      <w:lvlJc w:val="right"/>
      <w:pPr>
        <w:ind w:left="4320" w:hanging="180"/>
      </w:pPr>
    </w:lvl>
    <w:lvl w:ilvl="6" w:tplc="7C00688A" w:tentative="1">
      <w:start w:val="1"/>
      <w:numFmt w:val="decimal"/>
      <w:lvlText w:val="%7."/>
      <w:lvlJc w:val="left"/>
      <w:pPr>
        <w:ind w:left="5040" w:hanging="360"/>
      </w:pPr>
    </w:lvl>
    <w:lvl w:ilvl="7" w:tplc="F6886BFE" w:tentative="1">
      <w:start w:val="1"/>
      <w:numFmt w:val="lowerLetter"/>
      <w:lvlText w:val="%8."/>
      <w:lvlJc w:val="left"/>
      <w:pPr>
        <w:ind w:left="5760" w:hanging="360"/>
      </w:pPr>
    </w:lvl>
    <w:lvl w:ilvl="8" w:tplc="671E680E" w:tentative="1">
      <w:start w:val="1"/>
      <w:numFmt w:val="lowerRoman"/>
      <w:lvlText w:val="%9."/>
      <w:lvlJc w:val="right"/>
      <w:pPr>
        <w:ind w:left="6480" w:hanging="180"/>
      </w:pPr>
    </w:lvl>
  </w:abstractNum>
  <w:abstractNum w:abstractNumId="4" w15:restartNumberingAfterBreak="0">
    <w:nsid w:val="132B7B89"/>
    <w:multiLevelType w:val="hybridMultilevel"/>
    <w:tmpl w:val="119C03DE"/>
    <w:lvl w:ilvl="0" w:tplc="7BD66866">
      <w:start w:val="1"/>
      <w:numFmt w:val="bullet"/>
      <w:lvlText w:val=""/>
      <w:lvlJc w:val="left"/>
      <w:pPr>
        <w:ind w:left="720" w:hanging="360"/>
      </w:pPr>
      <w:rPr>
        <w:rFonts w:ascii="Symbol" w:hAnsi="Symbol" w:hint="default"/>
      </w:rPr>
    </w:lvl>
    <w:lvl w:ilvl="1" w:tplc="945E72C0" w:tentative="1">
      <w:start w:val="1"/>
      <w:numFmt w:val="bullet"/>
      <w:lvlText w:val="o"/>
      <w:lvlJc w:val="left"/>
      <w:pPr>
        <w:ind w:left="1440" w:hanging="360"/>
      </w:pPr>
      <w:rPr>
        <w:rFonts w:ascii="Courier New" w:hAnsi="Courier New" w:cs="Courier New" w:hint="default"/>
      </w:rPr>
    </w:lvl>
    <w:lvl w:ilvl="2" w:tplc="A02C5D78" w:tentative="1">
      <w:start w:val="1"/>
      <w:numFmt w:val="bullet"/>
      <w:lvlText w:val=""/>
      <w:lvlJc w:val="left"/>
      <w:pPr>
        <w:ind w:left="2160" w:hanging="360"/>
      </w:pPr>
      <w:rPr>
        <w:rFonts w:ascii="Wingdings" w:hAnsi="Wingdings" w:hint="default"/>
      </w:rPr>
    </w:lvl>
    <w:lvl w:ilvl="3" w:tplc="2EA4DA20" w:tentative="1">
      <w:start w:val="1"/>
      <w:numFmt w:val="bullet"/>
      <w:lvlText w:val=""/>
      <w:lvlJc w:val="left"/>
      <w:pPr>
        <w:ind w:left="2880" w:hanging="360"/>
      </w:pPr>
      <w:rPr>
        <w:rFonts w:ascii="Symbol" w:hAnsi="Symbol" w:hint="default"/>
      </w:rPr>
    </w:lvl>
    <w:lvl w:ilvl="4" w:tplc="983E2BFE" w:tentative="1">
      <w:start w:val="1"/>
      <w:numFmt w:val="bullet"/>
      <w:lvlText w:val="o"/>
      <w:lvlJc w:val="left"/>
      <w:pPr>
        <w:ind w:left="3600" w:hanging="360"/>
      </w:pPr>
      <w:rPr>
        <w:rFonts w:ascii="Courier New" w:hAnsi="Courier New" w:cs="Courier New" w:hint="default"/>
      </w:rPr>
    </w:lvl>
    <w:lvl w:ilvl="5" w:tplc="3120FF82" w:tentative="1">
      <w:start w:val="1"/>
      <w:numFmt w:val="bullet"/>
      <w:lvlText w:val=""/>
      <w:lvlJc w:val="left"/>
      <w:pPr>
        <w:ind w:left="4320" w:hanging="360"/>
      </w:pPr>
      <w:rPr>
        <w:rFonts w:ascii="Wingdings" w:hAnsi="Wingdings" w:hint="default"/>
      </w:rPr>
    </w:lvl>
    <w:lvl w:ilvl="6" w:tplc="BEF2E78C" w:tentative="1">
      <w:start w:val="1"/>
      <w:numFmt w:val="bullet"/>
      <w:lvlText w:val=""/>
      <w:lvlJc w:val="left"/>
      <w:pPr>
        <w:ind w:left="5040" w:hanging="360"/>
      </w:pPr>
      <w:rPr>
        <w:rFonts w:ascii="Symbol" w:hAnsi="Symbol" w:hint="default"/>
      </w:rPr>
    </w:lvl>
    <w:lvl w:ilvl="7" w:tplc="8F16CC04" w:tentative="1">
      <w:start w:val="1"/>
      <w:numFmt w:val="bullet"/>
      <w:lvlText w:val="o"/>
      <w:lvlJc w:val="left"/>
      <w:pPr>
        <w:ind w:left="5760" w:hanging="360"/>
      </w:pPr>
      <w:rPr>
        <w:rFonts w:ascii="Courier New" w:hAnsi="Courier New" w:cs="Courier New" w:hint="default"/>
      </w:rPr>
    </w:lvl>
    <w:lvl w:ilvl="8" w:tplc="3980615E" w:tentative="1">
      <w:start w:val="1"/>
      <w:numFmt w:val="bullet"/>
      <w:lvlText w:val=""/>
      <w:lvlJc w:val="left"/>
      <w:pPr>
        <w:ind w:left="6480" w:hanging="360"/>
      </w:pPr>
      <w:rPr>
        <w:rFonts w:ascii="Wingdings" w:hAnsi="Wingdings" w:hint="default"/>
      </w:rPr>
    </w:lvl>
  </w:abstractNum>
  <w:abstractNum w:abstractNumId="5" w15:restartNumberingAfterBreak="0">
    <w:nsid w:val="1B9272D3"/>
    <w:multiLevelType w:val="hybridMultilevel"/>
    <w:tmpl w:val="ED3CD1B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02A31DF"/>
    <w:multiLevelType w:val="multilevel"/>
    <w:tmpl w:val="0714087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5770F2F"/>
    <w:multiLevelType w:val="multilevel"/>
    <w:tmpl w:val="6DD87252"/>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E6129C"/>
    <w:multiLevelType w:val="hybridMultilevel"/>
    <w:tmpl w:val="22B4C476"/>
    <w:lvl w:ilvl="0" w:tplc="51DA9F62">
      <w:start w:val="1"/>
      <w:numFmt w:val="bullet"/>
      <w:lvlText w:val=""/>
      <w:lvlJc w:val="left"/>
      <w:pPr>
        <w:ind w:left="720" w:hanging="360"/>
      </w:pPr>
      <w:rPr>
        <w:rFonts w:ascii="Symbol" w:hAnsi="Symbol" w:hint="default"/>
      </w:rPr>
    </w:lvl>
    <w:lvl w:ilvl="1" w:tplc="23942D88">
      <w:start w:val="1"/>
      <w:numFmt w:val="bullet"/>
      <w:lvlText w:val="o"/>
      <w:lvlJc w:val="left"/>
      <w:pPr>
        <w:ind w:left="1440" w:hanging="360"/>
      </w:pPr>
      <w:rPr>
        <w:rFonts w:ascii="Courier New" w:hAnsi="Courier New" w:cs="Courier New" w:hint="default"/>
      </w:rPr>
    </w:lvl>
    <w:lvl w:ilvl="2" w:tplc="32C2BCF6" w:tentative="1">
      <w:start w:val="1"/>
      <w:numFmt w:val="bullet"/>
      <w:lvlText w:val=""/>
      <w:lvlJc w:val="left"/>
      <w:pPr>
        <w:ind w:left="2160" w:hanging="360"/>
      </w:pPr>
      <w:rPr>
        <w:rFonts w:ascii="Wingdings" w:hAnsi="Wingdings" w:hint="default"/>
      </w:rPr>
    </w:lvl>
    <w:lvl w:ilvl="3" w:tplc="C8E458B4" w:tentative="1">
      <w:start w:val="1"/>
      <w:numFmt w:val="bullet"/>
      <w:lvlText w:val=""/>
      <w:lvlJc w:val="left"/>
      <w:pPr>
        <w:ind w:left="2880" w:hanging="360"/>
      </w:pPr>
      <w:rPr>
        <w:rFonts w:ascii="Symbol" w:hAnsi="Symbol" w:hint="default"/>
      </w:rPr>
    </w:lvl>
    <w:lvl w:ilvl="4" w:tplc="69A8C09C" w:tentative="1">
      <w:start w:val="1"/>
      <w:numFmt w:val="bullet"/>
      <w:lvlText w:val="o"/>
      <w:lvlJc w:val="left"/>
      <w:pPr>
        <w:ind w:left="3600" w:hanging="360"/>
      </w:pPr>
      <w:rPr>
        <w:rFonts w:ascii="Courier New" w:hAnsi="Courier New" w:cs="Courier New" w:hint="default"/>
      </w:rPr>
    </w:lvl>
    <w:lvl w:ilvl="5" w:tplc="B7A86190" w:tentative="1">
      <w:start w:val="1"/>
      <w:numFmt w:val="bullet"/>
      <w:lvlText w:val=""/>
      <w:lvlJc w:val="left"/>
      <w:pPr>
        <w:ind w:left="4320" w:hanging="360"/>
      </w:pPr>
      <w:rPr>
        <w:rFonts w:ascii="Wingdings" w:hAnsi="Wingdings" w:hint="default"/>
      </w:rPr>
    </w:lvl>
    <w:lvl w:ilvl="6" w:tplc="3E22317C" w:tentative="1">
      <w:start w:val="1"/>
      <w:numFmt w:val="bullet"/>
      <w:lvlText w:val=""/>
      <w:lvlJc w:val="left"/>
      <w:pPr>
        <w:ind w:left="5040" w:hanging="360"/>
      </w:pPr>
      <w:rPr>
        <w:rFonts w:ascii="Symbol" w:hAnsi="Symbol" w:hint="default"/>
      </w:rPr>
    </w:lvl>
    <w:lvl w:ilvl="7" w:tplc="C054040A" w:tentative="1">
      <w:start w:val="1"/>
      <w:numFmt w:val="bullet"/>
      <w:lvlText w:val="o"/>
      <w:lvlJc w:val="left"/>
      <w:pPr>
        <w:ind w:left="5760" w:hanging="360"/>
      </w:pPr>
      <w:rPr>
        <w:rFonts w:ascii="Courier New" w:hAnsi="Courier New" w:cs="Courier New" w:hint="default"/>
      </w:rPr>
    </w:lvl>
    <w:lvl w:ilvl="8" w:tplc="63D8B140" w:tentative="1">
      <w:start w:val="1"/>
      <w:numFmt w:val="bullet"/>
      <w:lvlText w:val=""/>
      <w:lvlJc w:val="left"/>
      <w:pPr>
        <w:ind w:left="6480" w:hanging="360"/>
      </w:pPr>
      <w:rPr>
        <w:rFonts w:ascii="Wingdings" w:hAnsi="Wingdings" w:hint="default"/>
      </w:rPr>
    </w:lvl>
  </w:abstractNum>
  <w:abstractNum w:abstractNumId="9" w15:restartNumberingAfterBreak="0">
    <w:nsid w:val="3F3D5453"/>
    <w:multiLevelType w:val="hybridMultilevel"/>
    <w:tmpl w:val="518E145E"/>
    <w:lvl w:ilvl="0" w:tplc="0E44A4BA">
      <w:start w:val="1"/>
      <w:numFmt w:val="bullet"/>
      <w:lvlText w:val=""/>
      <w:lvlJc w:val="left"/>
      <w:pPr>
        <w:ind w:left="720" w:hanging="360"/>
      </w:pPr>
      <w:rPr>
        <w:rFonts w:ascii="Symbol" w:hAnsi="Symbol" w:hint="default"/>
      </w:rPr>
    </w:lvl>
    <w:lvl w:ilvl="1" w:tplc="FD286C2A" w:tentative="1">
      <w:start w:val="1"/>
      <w:numFmt w:val="bullet"/>
      <w:lvlText w:val="o"/>
      <w:lvlJc w:val="left"/>
      <w:pPr>
        <w:ind w:left="1440" w:hanging="360"/>
      </w:pPr>
      <w:rPr>
        <w:rFonts w:ascii="Courier New" w:hAnsi="Courier New" w:cs="Courier New" w:hint="default"/>
      </w:rPr>
    </w:lvl>
    <w:lvl w:ilvl="2" w:tplc="12886402" w:tentative="1">
      <w:start w:val="1"/>
      <w:numFmt w:val="bullet"/>
      <w:lvlText w:val=""/>
      <w:lvlJc w:val="left"/>
      <w:pPr>
        <w:ind w:left="2160" w:hanging="360"/>
      </w:pPr>
      <w:rPr>
        <w:rFonts w:ascii="Wingdings" w:hAnsi="Wingdings" w:hint="default"/>
      </w:rPr>
    </w:lvl>
    <w:lvl w:ilvl="3" w:tplc="3BC8B45C" w:tentative="1">
      <w:start w:val="1"/>
      <w:numFmt w:val="bullet"/>
      <w:lvlText w:val=""/>
      <w:lvlJc w:val="left"/>
      <w:pPr>
        <w:ind w:left="2880" w:hanging="360"/>
      </w:pPr>
      <w:rPr>
        <w:rFonts w:ascii="Symbol" w:hAnsi="Symbol" w:hint="default"/>
      </w:rPr>
    </w:lvl>
    <w:lvl w:ilvl="4" w:tplc="D9E23784" w:tentative="1">
      <w:start w:val="1"/>
      <w:numFmt w:val="bullet"/>
      <w:lvlText w:val="o"/>
      <w:lvlJc w:val="left"/>
      <w:pPr>
        <w:ind w:left="3600" w:hanging="360"/>
      </w:pPr>
      <w:rPr>
        <w:rFonts w:ascii="Courier New" w:hAnsi="Courier New" w:cs="Courier New" w:hint="default"/>
      </w:rPr>
    </w:lvl>
    <w:lvl w:ilvl="5" w:tplc="211C8896" w:tentative="1">
      <w:start w:val="1"/>
      <w:numFmt w:val="bullet"/>
      <w:lvlText w:val=""/>
      <w:lvlJc w:val="left"/>
      <w:pPr>
        <w:ind w:left="4320" w:hanging="360"/>
      </w:pPr>
      <w:rPr>
        <w:rFonts w:ascii="Wingdings" w:hAnsi="Wingdings" w:hint="default"/>
      </w:rPr>
    </w:lvl>
    <w:lvl w:ilvl="6" w:tplc="49BACB48" w:tentative="1">
      <w:start w:val="1"/>
      <w:numFmt w:val="bullet"/>
      <w:lvlText w:val=""/>
      <w:lvlJc w:val="left"/>
      <w:pPr>
        <w:ind w:left="5040" w:hanging="360"/>
      </w:pPr>
      <w:rPr>
        <w:rFonts w:ascii="Symbol" w:hAnsi="Symbol" w:hint="default"/>
      </w:rPr>
    </w:lvl>
    <w:lvl w:ilvl="7" w:tplc="312A640A" w:tentative="1">
      <w:start w:val="1"/>
      <w:numFmt w:val="bullet"/>
      <w:lvlText w:val="o"/>
      <w:lvlJc w:val="left"/>
      <w:pPr>
        <w:ind w:left="5760" w:hanging="360"/>
      </w:pPr>
      <w:rPr>
        <w:rFonts w:ascii="Courier New" w:hAnsi="Courier New" w:cs="Courier New" w:hint="default"/>
      </w:rPr>
    </w:lvl>
    <w:lvl w:ilvl="8" w:tplc="38CA2372" w:tentative="1">
      <w:start w:val="1"/>
      <w:numFmt w:val="bullet"/>
      <w:lvlText w:val=""/>
      <w:lvlJc w:val="left"/>
      <w:pPr>
        <w:ind w:left="6480" w:hanging="360"/>
      </w:pPr>
      <w:rPr>
        <w:rFonts w:ascii="Wingdings" w:hAnsi="Wingdings" w:hint="default"/>
      </w:rPr>
    </w:lvl>
  </w:abstractNum>
  <w:abstractNum w:abstractNumId="10" w15:restartNumberingAfterBreak="0">
    <w:nsid w:val="44D13D16"/>
    <w:multiLevelType w:val="multilevel"/>
    <w:tmpl w:val="55BECB14"/>
    <w:lvl w:ilvl="0">
      <w:start w:val="6"/>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E074E5"/>
    <w:multiLevelType w:val="hybridMultilevel"/>
    <w:tmpl w:val="7C74FD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81F09FC"/>
    <w:multiLevelType w:val="hybridMultilevel"/>
    <w:tmpl w:val="6DFCEBAE"/>
    <w:lvl w:ilvl="0" w:tplc="342038AA">
      <w:start w:val="1"/>
      <w:numFmt w:val="bullet"/>
      <w:lvlText w:val=""/>
      <w:lvlJc w:val="left"/>
      <w:pPr>
        <w:ind w:left="720" w:hanging="360"/>
      </w:pPr>
      <w:rPr>
        <w:rFonts w:ascii="Symbol" w:hAnsi="Symbol" w:hint="default"/>
      </w:rPr>
    </w:lvl>
    <w:lvl w:ilvl="1" w:tplc="63B6AD28" w:tentative="1">
      <w:start w:val="1"/>
      <w:numFmt w:val="bullet"/>
      <w:lvlText w:val="o"/>
      <w:lvlJc w:val="left"/>
      <w:pPr>
        <w:ind w:left="1440" w:hanging="360"/>
      </w:pPr>
      <w:rPr>
        <w:rFonts w:ascii="Courier New" w:hAnsi="Courier New" w:cs="Courier New" w:hint="default"/>
      </w:rPr>
    </w:lvl>
    <w:lvl w:ilvl="2" w:tplc="7006F5F2" w:tentative="1">
      <w:start w:val="1"/>
      <w:numFmt w:val="bullet"/>
      <w:lvlText w:val=""/>
      <w:lvlJc w:val="left"/>
      <w:pPr>
        <w:ind w:left="2160" w:hanging="360"/>
      </w:pPr>
      <w:rPr>
        <w:rFonts w:ascii="Wingdings" w:hAnsi="Wingdings" w:hint="default"/>
      </w:rPr>
    </w:lvl>
    <w:lvl w:ilvl="3" w:tplc="008A1DDC" w:tentative="1">
      <w:start w:val="1"/>
      <w:numFmt w:val="bullet"/>
      <w:lvlText w:val=""/>
      <w:lvlJc w:val="left"/>
      <w:pPr>
        <w:ind w:left="2880" w:hanging="360"/>
      </w:pPr>
      <w:rPr>
        <w:rFonts w:ascii="Symbol" w:hAnsi="Symbol" w:hint="default"/>
      </w:rPr>
    </w:lvl>
    <w:lvl w:ilvl="4" w:tplc="D06689F0" w:tentative="1">
      <w:start w:val="1"/>
      <w:numFmt w:val="bullet"/>
      <w:lvlText w:val="o"/>
      <w:lvlJc w:val="left"/>
      <w:pPr>
        <w:ind w:left="3600" w:hanging="360"/>
      </w:pPr>
      <w:rPr>
        <w:rFonts w:ascii="Courier New" w:hAnsi="Courier New" w:cs="Courier New" w:hint="default"/>
      </w:rPr>
    </w:lvl>
    <w:lvl w:ilvl="5" w:tplc="3EF0E742" w:tentative="1">
      <w:start w:val="1"/>
      <w:numFmt w:val="bullet"/>
      <w:lvlText w:val=""/>
      <w:lvlJc w:val="left"/>
      <w:pPr>
        <w:ind w:left="4320" w:hanging="360"/>
      </w:pPr>
      <w:rPr>
        <w:rFonts w:ascii="Wingdings" w:hAnsi="Wingdings" w:hint="default"/>
      </w:rPr>
    </w:lvl>
    <w:lvl w:ilvl="6" w:tplc="74987A2E" w:tentative="1">
      <w:start w:val="1"/>
      <w:numFmt w:val="bullet"/>
      <w:lvlText w:val=""/>
      <w:lvlJc w:val="left"/>
      <w:pPr>
        <w:ind w:left="5040" w:hanging="360"/>
      </w:pPr>
      <w:rPr>
        <w:rFonts w:ascii="Symbol" w:hAnsi="Symbol" w:hint="default"/>
      </w:rPr>
    </w:lvl>
    <w:lvl w:ilvl="7" w:tplc="CD3E4442" w:tentative="1">
      <w:start w:val="1"/>
      <w:numFmt w:val="bullet"/>
      <w:lvlText w:val="o"/>
      <w:lvlJc w:val="left"/>
      <w:pPr>
        <w:ind w:left="5760" w:hanging="360"/>
      </w:pPr>
      <w:rPr>
        <w:rFonts w:ascii="Courier New" w:hAnsi="Courier New" w:cs="Courier New" w:hint="default"/>
      </w:rPr>
    </w:lvl>
    <w:lvl w:ilvl="8" w:tplc="FC005396" w:tentative="1">
      <w:start w:val="1"/>
      <w:numFmt w:val="bullet"/>
      <w:lvlText w:val=""/>
      <w:lvlJc w:val="left"/>
      <w:pPr>
        <w:ind w:left="6480" w:hanging="360"/>
      </w:pPr>
      <w:rPr>
        <w:rFonts w:ascii="Wingdings" w:hAnsi="Wingdings" w:hint="default"/>
      </w:rPr>
    </w:lvl>
  </w:abstractNum>
  <w:abstractNum w:abstractNumId="13" w15:restartNumberingAfterBreak="0">
    <w:nsid w:val="4AAC5D3B"/>
    <w:multiLevelType w:val="hybridMultilevel"/>
    <w:tmpl w:val="C524B2F8"/>
    <w:lvl w:ilvl="0" w:tplc="F85CA2FC">
      <w:start w:val="1"/>
      <w:numFmt w:val="bullet"/>
      <w:lvlText w:val=""/>
      <w:lvlJc w:val="left"/>
      <w:pPr>
        <w:ind w:left="720" w:hanging="360"/>
      </w:pPr>
      <w:rPr>
        <w:rFonts w:ascii="Symbol" w:hAnsi="Symbol" w:hint="default"/>
      </w:rPr>
    </w:lvl>
    <w:lvl w:ilvl="1" w:tplc="182822AA" w:tentative="1">
      <w:start w:val="1"/>
      <w:numFmt w:val="bullet"/>
      <w:lvlText w:val="o"/>
      <w:lvlJc w:val="left"/>
      <w:pPr>
        <w:ind w:left="1440" w:hanging="360"/>
      </w:pPr>
      <w:rPr>
        <w:rFonts w:ascii="Courier New" w:hAnsi="Courier New" w:cs="Courier New" w:hint="default"/>
      </w:rPr>
    </w:lvl>
    <w:lvl w:ilvl="2" w:tplc="3B4C39F8" w:tentative="1">
      <w:start w:val="1"/>
      <w:numFmt w:val="bullet"/>
      <w:lvlText w:val=""/>
      <w:lvlJc w:val="left"/>
      <w:pPr>
        <w:ind w:left="2160" w:hanging="360"/>
      </w:pPr>
      <w:rPr>
        <w:rFonts w:ascii="Wingdings" w:hAnsi="Wingdings" w:hint="default"/>
      </w:rPr>
    </w:lvl>
    <w:lvl w:ilvl="3" w:tplc="478C4532" w:tentative="1">
      <w:start w:val="1"/>
      <w:numFmt w:val="bullet"/>
      <w:lvlText w:val=""/>
      <w:lvlJc w:val="left"/>
      <w:pPr>
        <w:ind w:left="2880" w:hanging="360"/>
      </w:pPr>
      <w:rPr>
        <w:rFonts w:ascii="Symbol" w:hAnsi="Symbol" w:hint="default"/>
      </w:rPr>
    </w:lvl>
    <w:lvl w:ilvl="4" w:tplc="0C461BD6" w:tentative="1">
      <w:start w:val="1"/>
      <w:numFmt w:val="bullet"/>
      <w:lvlText w:val="o"/>
      <w:lvlJc w:val="left"/>
      <w:pPr>
        <w:ind w:left="3600" w:hanging="360"/>
      </w:pPr>
      <w:rPr>
        <w:rFonts w:ascii="Courier New" w:hAnsi="Courier New" w:cs="Courier New" w:hint="default"/>
      </w:rPr>
    </w:lvl>
    <w:lvl w:ilvl="5" w:tplc="3E52384E" w:tentative="1">
      <w:start w:val="1"/>
      <w:numFmt w:val="bullet"/>
      <w:lvlText w:val=""/>
      <w:lvlJc w:val="left"/>
      <w:pPr>
        <w:ind w:left="4320" w:hanging="360"/>
      </w:pPr>
      <w:rPr>
        <w:rFonts w:ascii="Wingdings" w:hAnsi="Wingdings" w:hint="default"/>
      </w:rPr>
    </w:lvl>
    <w:lvl w:ilvl="6" w:tplc="66AA096E" w:tentative="1">
      <w:start w:val="1"/>
      <w:numFmt w:val="bullet"/>
      <w:lvlText w:val=""/>
      <w:lvlJc w:val="left"/>
      <w:pPr>
        <w:ind w:left="5040" w:hanging="360"/>
      </w:pPr>
      <w:rPr>
        <w:rFonts w:ascii="Symbol" w:hAnsi="Symbol" w:hint="default"/>
      </w:rPr>
    </w:lvl>
    <w:lvl w:ilvl="7" w:tplc="44C4A460" w:tentative="1">
      <w:start w:val="1"/>
      <w:numFmt w:val="bullet"/>
      <w:lvlText w:val="o"/>
      <w:lvlJc w:val="left"/>
      <w:pPr>
        <w:ind w:left="5760" w:hanging="360"/>
      </w:pPr>
      <w:rPr>
        <w:rFonts w:ascii="Courier New" w:hAnsi="Courier New" w:cs="Courier New" w:hint="default"/>
      </w:rPr>
    </w:lvl>
    <w:lvl w:ilvl="8" w:tplc="6B7AA2CE" w:tentative="1">
      <w:start w:val="1"/>
      <w:numFmt w:val="bullet"/>
      <w:lvlText w:val=""/>
      <w:lvlJc w:val="left"/>
      <w:pPr>
        <w:ind w:left="6480" w:hanging="360"/>
      </w:pPr>
      <w:rPr>
        <w:rFonts w:ascii="Wingdings" w:hAnsi="Wingdings" w:hint="default"/>
      </w:rPr>
    </w:lvl>
  </w:abstractNum>
  <w:abstractNum w:abstractNumId="14" w15:restartNumberingAfterBreak="0">
    <w:nsid w:val="4E88791A"/>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4980B92"/>
    <w:multiLevelType w:val="multilevel"/>
    <w:tmpl w:val="3DB49D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84D4BBC"/>
    <w:multiLevelType w:val="multilevel"/>
    <w:tmpl w:val="7F2A0AD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D2567C"/>
    <w:multiLevelType w:val="hybridMultilevel"/>
    <w:tmpl w:val="3BC2CF84"/>
    <w:lvl w:ilvl="0" w:tplc="6B5053EA">
      <w:start w:val="1"/>
      <w:numFmt w:val="bullet"/>
      <w:lvlText w:val=""/>
      <w:lvlJc w:val="left"/>
      <w:pPr>
        <w:ind w:left="720" w:hanging="360"/>
      </w:pPr>
      <w:rPr>
        <w:rFonts w:ascii="Symbol" w:hAnsi="Symbol" w:hint="default"/>
      </w:rPr>
    </w:lvl>
    <w:lvl w:ilvl="1" w:tplc="BFDE4AD8" w:tentative="1">
      <w:start w:val="1"/>
      <w:numFmt w:val="bullet"/>
      <w:lvlText w:val="o"/>
      <w:lvlJc w:val="left"/>
      <w:pPr>
        <w:ind w:left="1440" w:hanging="360"/>
      </w:pPr>
      <w:rPr>
        <w:rFonts w:ascii="Courier New" w:hAnsi="Courier New" w:cs="Courier New" w:hint="default"/>
      </w:rPr>
    </w:lvl>
    <w:lvl w:ilvl="2" w:tplc="92C6634E" w:tentative="1">
      <w:start w:val="1"/>
      <w:numFmt w:val="bullet"/>
      <w:lvlText w:val=""/>
      <w:lvlJc w:val="left"/>
      <w:pPr>
        <w:ind w:left="2160" w:hanging="360"/>
      </w:pPr>
      <w:rPr>
        <w:rFonts w:ascii="Wingdings" w:hAnsi="Wingdings" w:hint="default"/>
      </w:rPr>
    </w:lvl>
    <w:lvl w:ilvl="3" w:tplc="0A70EA0C" w:tentative="1">
      <w:start w:val="1"/>
      <w:numFmt w:val="bullet"/>
      <w:lvlText w:val=""/>
      <w:lvlJc w:val="left"/>
      <w:pPr>
        <w:ind w:left="2880" w:hanging="360"/>
      </w:pPr>
      <w:rPr>
        <w:rFonts w:ascii="Symbol" w:hAnsi="Symbol" w:hint="default"/>
      </w:rPr>
    </w:lvl>
    <w:lvl w:ilvl="4" w:tplc="76228E14" w:tentative="1">
      <w:start w:val="1"/>
      <w:numFmt w:val="bullet"/>
      <w:lvlText w:val="o"/>
      <w:lvlJc w:val="left"/>
      <w:pPr>
        <w:ind w:left="3600" w:hanging="360"/>
      </w:pPr>
      <w:rPr>
        <w:rFonts w:ascii="Courier New" w:hAnsi="Courier New" w:cs="Courier New" w:hint="default"/>
      </w:rPr>
    </w:lvl>
    <w:lvl w:ilvl="5" w:tplc="26481D4A" w:tentative="1">
      <w:start w:val="1"/>
      <w:numFmt w:val="bullet"/>
      <w:lvlText w:val=""/>
      <w:lvlJc w:val="left"/>
      <w:pPr>
        <w:ind w:left="4320" w:hanging="360"/>
      </w:pPr>
      <w:rPr>
        <w:rFonts w:ascii="Wingdings" w:hAnsi="Wingdings" w:hint="default"/>
      </w:rPr>
    </w:lvl>
    <w:lvl w:ilvl="6" w:tplc="005E8514" w:tentative="1">
      <w:start w:val="1"/>
      <w:numFmt w:val="bullet"/>
      <w:lvlText w:val=""/>
      <w:lvlJc w:val="left"/>
      <w:pPr>
        <w:ind w:left="5040" w:hanging="360"/>
      </w:pPr>
      <w:rPr>
        <w:rFonts w:ascii="Symbol" w:hAnsi="Symbol" w:hint="default"/>
      </w:rPr>
    </w:lvl>
    <w:lvl w:ilvl="7" w:tplc="BAE6B5E2" w:tentative="1">
      <w:start w:val="1"/>
      <w:numFmt w:val="bullet"/>
      <w:lvlText w:val="o"/>
      <w:lvlJc w:val="left"/>
      <w:pPr>
        <w:ind w:left="5760" w:hanging="360"/>
      </w:pPr>
      <w:rPr>
        <w:rFonts w:ascii="Courier New" w:hAnsi="Courier New" w:cs="Courier New" w:hint="default"/>
      </w:rPr>
    </w:lvl>
    <w:lvl w:ilvl="8" w:tplc="25221220" w:tentative="1">
      <w:start w:val="1"/>
      <w:numFmt w:val="bullet"/>
      <w:lvlText w:val=""/>
      <w:lvlJc w:val="left"/>
      <w:pPr>
        <w:ind w:left="6480" w:hanging="360"/>
      </w:pPr>
      <w:rPr>
        <w:rFonts w:ascii="Wingdings" w:hAnsi="Wingdings" w:hint="default"/>
      </w:rPr>
    </w:lvl>
  </w:abstractNum>
  <w:abstractNum w:abstractNumId="18" w15:restartNumberingAfterBreak="0">
    <w:nsid w:val="729057D6"/>
    <w:multiLevelType w:val="hybridMultilevel"/>
    <w:tmpl w:val="60A29CA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7ADC29CD"/>
    <w:multiLevelType w:val="hybridMultilevel"/>
    <w:tmpl w:val="B5E21A64"/>
    <w:lvl w:ilvl="0" w:tplc="D8667DBA">
      <w:start w:val="1"/>
      <w:numFmt w:val="bullet"/>
      <w:lvlText w:val=""/>
      <w:lvlJc w:val="left"/>
      <w:pPr>
        <w:ind w:left="720" w:hanging="360"/>
      </w:pPr>
      <w:rPr>
        <w:rFonts w:ascii="Symbol" w:hAnsi="Symbol" w:hint="default"/>
      </w:rPr>
    </w:lvl>
    <w:lvl w:ilvl="1" w:tplc="D30C1CAE" w:tentative="1">
      <w:start w:val="1"/>
      <w:numFmt w:val="bullet"/>
      <w:lvlText w:val="o"/>
      <w:lvlJc w:val="left"/>
      <w:pPr>
        <w:ind w:left="1440" w:hanging="360"/>
      </w:pPr>
      <w:rPr>
        <w:rFonts w:ascii="Courier New" w:hAnsi="Courier New" w:cs="Courier New" w:hint="default"/>
      </w:rPr>
    </w:lvl>
    <w:lvl w:ilvl="2" w:tplc="B07E7564" w:tentative="1">
      <w:start w:val="1"/>
      <w:numFmt w:val="bullet"/>
      <w:lvlText w:val=""/>
      <w:lvlJc w:val="left"/>
      <w:pPr>
        <w:ind w:left="2160" w:hanging="360"/>
      </w:pPr>
      <w:rPr>
        <w:rFonts w:ascii="Wingdings" w:hAnsi="Wingdings" w:hint="default"/>
      </w:rPr>
    </w:lvl>
    <w:lvl w:ilvl="3" w:tplc="FEF6E280" w:tentative="1">
      <w:start w:val="1"/>
      <w:numFmt w:val="bullet"/>
      <w:lvlText w:val=""/>
      <w:lvlJc w:val="left"/>
      <w:pPr>
        <w:ind w:left="2880" w:hanging="360"/>
      </w:pPr>
      <w:rPr>
        <w:rFonts w:ascii="Symbol" w:hAnsi="Symbol" w:hint="default"/>
      </w:rPr>
    </w:lvl>
    <w:lvl w:ilvl="4" w:tplc="F9EA2FB0" w:tentative="1">
      <w:start w:val="1"/>
      <w:numFmt w:val="bullet"/>
      <w:lvlText w:val="o"/>
      <w:lvlJc w:val="left"/>
      <w:pPr>
        <w:ind w:left="3600" w:hanging="360"/>
      </w:pPr>
      <w:rPr>
        <w:rFonts w:ascii="Courier New" w:hAnsi="Courier New" w:cs="Courier New" w:hint="default"/>
      </w:rPr>
    </w:lvl>
    <w:lvl w:ilvl="5" w:tplc="C7F4881C" w:tentative="1">
      <w:start w:val="1"/>
      <w:numFmt w:val="bullet"/>
      <w:lvlText w:val=""/>
      <w:lvlJc w:val="left"/>
      <w:pPr>
        <w:ind w:left="4320" w:hanging="360"/>
      </w:pPr>
      <w:rPr>
        <w:rFonts w:ascii="Wingdings" w:hAnsi="Wingdings" w:hint="default"/>
      </w:rPr>
    </w:lvl>
    <w:lvl w:ilvl="6" w:tplc="04F23A92" w:tentative="1">
      <w:start w:val="1"/>
      <w:numFmt w:val="bullet"/>
      <w:lvlText w:val=""/>
      <w:lvlJc w:val="left"/>
      <w:pPr>
        <w:ind w:left="5040" w:hanging="360"/>
      </w:pPr>
      <w:rPr>
        <w:rFonts w:ascii="Symbol" w:hAnsi="Symbol" w:hint="default"/>
      </w:rPr>
    </w:lvl>
    <w:lvl w:ilvl="7" w:tplc="4DFC230C" w:tentative="1">
      <w:start w:val="1"/>
      <w:numFmt w:val="bullet"/>
      <w:lvlText w:val="o"/>
      <w:lvlJc w:val="left"/>
      <w:pPr>
        <w:ind w:left="5760" w:hanging="360"/>
      </w:pPr>
      <w:rPr>
        <w:rFonts w:ascii="Courier New" w:hAnsi="Courier New" w:cs="Courier New" w:hint="default"/>
      </w:rPr>
    </w:lvl>
    <w:lvl w:ilvl="8" w:tplc="F85CA9CE" w:tentative="1">
      <w:start w:val="1"/>
      <w:numFmt w:val="bullet"/>
      <w:lvlText w:val=""/>
      <w:lvlJc w:val="left"/>
      <w:pPr>
        <w:ind w:left="6480" w:hanging="360"/>
      </w:pPr>
      <w:rPr>
        <w:rFonts w:ascii="Wingdings" w:hAnsi="Wingdings" w:hint="default"/>
      </w:rPr>
    </w:lvl>
  </w:abstractNum>
  <w:abstractNum w:abstractNumId="20" w15:restartNumberingAfterBreak="0">
    <w:nsid w:val="7AF84077"/>
    <w:multiLevelType w:val="hybridMultilevel"/>
    <w:tmpl w:val="CF5C95A6"/>
    <w:lvl w:ilvl="0" w:tplc="1EF05150">
      <w:start w:val="1"/>
      <w:numFmt w:val="bullet"/>
      <w:lvlText w:val=""/>
      <w:lvlJc w:val="left"/>
      <w:pPr>
        <w:ind w:left="720" w:hanging="360"/>
      </w:pPr>
      <w:rPr>
        <w:rFonts w:ascii="Symbol" w:hAnsi="Symbol" w:hint="default"/>
      </w:rPr>
    </w:lvl>
    <w:lvl w:ilvl="1" w:tplc="E6C0DB64" w:tentative="1">
      <w:start w:val="1"/>
      <w:numFmt w:val="bullet"/>
      <w:lvlText w:val="o"/>
      <w:lvlJc w:val="left"/>
      <w:pPr>
        <w:ind w:left="1440" w:hanging="360"/>
      </w:pPr>
      <w:rPr>
        <w:rFonts w:ascii="Courier New" w:hAnsi="Courier New" w:cs="Courier New" w:hint="default"/>
      </w:rPr>
    </w:lvl>
    <w:lvl w:ilvl="2" w:tplc="4A6ED2D2" w:tentative="1">
      <w:start w:val="1"/>
      <w:numFmt w:val="bullet"/>
      <w:lvlText w:val=""/>
      <w:lvlJc w:val="left"/>
      <w:pPr>
        <w:ind w:left="2160" w:hanging="360"/>
      </w:pPr>
      <w:rPr>
        <w:rFonts w:ascii="Wingdings" w:hAnsi="Wingdings" w:hint="default"/>
      </w:rPr>
    </w:lvl>
    <w:lvl w:ilvl="3" w:tplc="506A859C" w:tentative="1">
      <w:start w:val="1"/>
      <w:numFmt w:val="bullet"/>
      <w:lvlText w:val=""/>
      <w:lvlJc w:val="left"/>
      <w:pPr>
        <w:ind w:left="2880" w:hanging="360"/>
      </w:pPr>
      <w:rPr>
        <w:rFonts w:ascii="Symbol" w:hAnsi="Symbol" w:hint="default"/>
      </w:rPr>
    </w:lvl>
    <w:lvl w:ilvl="4" w:tplc="297ABA9C" w:tentative="1">
      <w:start w:val="1"/>
      <w:numFmt w:val="bullet"/>
      <w:lvlText w:val="o"/>
      <w:lvlJc w:val="left"/>
      <w:pPr>
        <w:ind w:left="3600" w:hanging="360"/>
      </w:pPr>
      <w:rPr>
        <w:rFonts w:ascii="Courier New" w:hAnsi="Courier New" w:cs="Courier New" w:hint="default"/>
      </w:rPr>
    </w:lvl>
    <w:lvl w:ilvl="5" w:tplc="6E44A50E" w:tentative="1">
      <w:start w:val="1"/>
      <w:numFmt w:val="bullet"/>
      <w:lvlText w:val=""/>
      <w:lvlJc w:val="left"/>
      <w:pPr>
        <w:ind w:left="4320" w:hanging="360"/>
      </w:pPr>
      <w:rPr>
        <w:rFonts w:ascii="Wingdings" w:hAnsi="Wingdings" w:hint="default"/>
      </w:rPr>
    </w:lvl>
    <w:lvl w:ilvl="6" w:tplc="84040368" w:tentative="1">
      <w:start w:val="1"/>
      <w:numFmt w:val="bullet"/>
      <w:lvlText w:val=""/>
      <w:lvlJc w:val="left"/>
      <w:pPr>
        <w:ind w:left="5040" w:hanging="360"/>
      </w:pPr>
      <w:rPr>
        <w:rFonts w:ascii="Symbol" w:hAnsi="Symbol" w:hint="default"/>
      </w:rPr>
    </w:lvl>
    <w:lvl w:ilvl="7" w:tplc="062E830A" w:tentative="1">
      <w:start w:val="1"/>
      <w:numFmt w:val="bullet"/>
      <w:lvlText w:val="o"/>
      <w:lvlJc w:val="left"/>
      <w:pPr>
        <w:ind w:left="5760" w:hanging="360"/>
      </w:pPr>
      <w:rPr>
        <w:rFonts w:ascii="Courier New" w:hAnsi="Courier New" w:cs="Courier New" w:hint="default"/>
      </w:rPr>
    </w:lvl>
    <w:lvl w:ilvl="8" w:tplc="B6B0EBBC" w:tentative="1">
      <w:start w:val="1"/>
      <w:numFmt w:val="bullet"/>
      <w:lvlText w:val=""/>
      <w:lvlJc w:val="left"/>
      <w:pPr>
        <w:ind w:left="6480" w:hanging="360"/>
      </w:pPr>
      <w:rPr>
        <w:rFonts w:ascii="Wingdings" w:hAnsi="Wingdings" w:hint="default"/>
      </w:rPr>
    </w:lvl>
  </w:abstractNum>
  <w:abstractNum w:abstractNumId="21" w15:restartNumberingAfterBreak="0">
    <w:nsid w:val="7B7165F2"/>
    <w:multiLevelType w:val="hybridMultilevel"/>
    <w:tmpl w:val="6FE2BE86"/>
    <w:lvl w:ilvl="0" w:tplc="4156CDA2">
      <w:start w:val="1"/>
      <w:numFmt w:val="bullet"/>
      <w:lvlText w:val=""/>
      <w:lvlJc w:val="left"/>
      <w:pPr>
        <w:ind w:left="720" w:hanging="360"/>
      </w:pPr>
      <w:rPr>
        <w:rFonts w:ascii="Symbol" w:hAnsi="Symbol" w:hint="default"/>
      </w:rPr>
    </w:lvl>
    <w:lvl w:ilvl="1" w:tplc="5DDA109A" w:tentative="1">
      <w:start w:val="1"/>
      <w:numFmt w:val="bullet"/>
      <w:lvlText w:val="o"/>
      <w:lvlJc w:val="left"/>
      <w:pPr>
        <w:ind w:left="1440" w:hanging="360"/>
      </w:pPr>
      <w:rPr>
        <w:rFonts w:ascii="Courier New" w:hAnsi="Courier New" w:cs="Courier New" w:hint="default"/>
      </w:rPr>
    </w:lvl>
    <w:lvl w:ilvl="2" w:tplc="2774E21E" w:tentative="1">
      <w:start w:val="1"/>
      <w:numFmt w:val="bullet"/>
      <w:lvlText w:val=""/>
      <w:lvlJc w:val="left"/>
      <w:pPr>
        <w:ind w:left="2160" w:hanging="360"/>
      </w:pPr>
      <w:rPr>
        <w:rFonts w:ascii="Wingdings" w:hAnsi="Wingdings" w:hint="default"/>
      </w:rPr>
    </w:lvl>
    <w:lvl w:ilvl="3" w:tplc="541E97BA" w:tentative="1">
      <w:start w:val="1"/>
      <w:numFmt w:val="bullet"/>
      <w:lvlText w:val=""/>
      <w:lvlJc w:val="left"/>
      <w:pPr>
        <w:ind w:left="2880" w:hanging="360"/>
      </w:pPr>
      <w:rPr>
        <w:rFonts w:ascii="Symbol" w:hAnsi="Symbol" w:hint="default"/>
      </w:rPr>
    </w:lvl>
    <w:lvl w:ilvl="4" w:tplc="207205FA" w:tentative="1">
      <w:start w:val="1"/>
      <w:numFmt w:val="bullet"/>
      <w:lvlText w:val="o"/>
      <w:lvlJc w:val="left"/>
      <w:pPr>
        <w:ind w:left="3600" w:hanging="360"/>
      </w:pPr>
      <w:rPr>
        <w:rFonts w:ascii="Courier New" w:hAnsi="Courier New" w:cs="Courier New" w:hint="default"/>
      </w:rPr>
    </w:lvl>
    <w:lvl w:ilvl="5" w:tplc="B22EFDAA" w:tentative="1">
      <w:start w:val="1"/>
      <w:numFmt w:val="bullet"/>
      <w:lvlText w:val=""/>
      <w:lvlJc w:val="left"/>
      <w:pPr>
        <w:ind w:left="4320" w:hanging="360"/>
      </w:pPr>
      <w:rPr>
        <w:rFonts w:ascii="Wingdings" w:hAnsi="Wingdings" w:hint="default"/>
      </w:rPr>
    </w:lvl>
    <w:lvl w:ilvl="6" w:tplc="E794DDDA" w:tentative="1">
      <w:start w:val="1"/>
      <w:numFmt w:val="bullet"/>
      <w:lvlText w:val=""/>
      <w:lvlJc w:val="left"/>
      <w:pPr>
        <w:ind w:left="5040" w:hanging="360"/>
      </w:pPr>
      <w:rPr>
        <w:rFonts w:ascii="Symbol" w:hAnsi="Symbol" w:hint="default"/>
      </w:rPr>
    </w:lvl>
    <w:lvl w:ilvl="7" w:tplc="9EBAF4B2" w:tentative="1">
      <w:start w:val="1"/>
      <w:numFmt w:val="bullet"/>
      <w:lvlText w:val="o"/>
      <w:lvlJc w:val="left"/>
      <w:pPr>
        <w:ind w:left="5760" w:hanging="360"/>
      </w:pPr>
      <w:rPr>
        <w:rFonts w:ascii="Courier New" w:hAnsi="Courier New" w:cs="Courier New" w:hint="default"/>
      </w:rPr>
    </w:lvl>
    <w:lvl w:ilvl="8" w:tplc="0400B5C6" w:tentative="1">
      <w:start w:val="1"/>
      <w:numFmt w:val="bullet"/>
      <w:lvlText w:val=""/>
      <w:lvlJc w:val="left"/>
      <w:pPr>
        <w:ind w:left="6480" w:hanging="360"/>
      </w:pPr>
      <w:rPr>
        <w:rFonts w:ascii="Wingdings" w:hAnsi="Wingdings" w:hint="default"/>
      </w:rPr>
    </w:lvl>
  </w:abstractNum>
  <w:abstractNum w:abstractNumId="22" w15:restartNumberingAfterBreak="0">
    <w:nsid w:val="7DC66D3D"/>
    <w:multiLevelType w:val="hybridMultilevel"/>
    <w:tmpl w:val="0F466D2C"/>
    <w:lvl w:ilvl="0" w:tplc="4FF01EB4">
      <w:start w:val="1"/>
      <w:numFmt w:val="bullet"/>
      <w:lvlText w:val=""/>
      <w:lvlJc w:val="left"/>
      <w:pPr>
        <w:ind w:left="720" w:hanging="360"/>
      </w:pPr>
      <w:rPr>
        <w:rFonts w:ascii="Symbol" w:hAnsi="Symbol" w:hint="default"/>
      </w:rPr>
    </w:lvl>
    <w:lvl w:ilvl="1" w:tplc="2B42F444" w:tentative="1">
      <w:start w:val="1"/>
      <w:numFmt w:val="bullet"/>
      <w:lvlText w:val="o"/>
      <w:lvlJc w:val="left"/>
      <w:pPr>
        <w:ind w:left="1440" w:hanging="360"/>
      </w:pPr>
      <w:rPr>
        <w:rFonts w:ascii="Courier New" w:hAnsi="Courier New" w:cs="Courier New" w:hint="default"/>
      </w:rPr>
    </w:lvl>
    <w:lvl w:ilvl="2" w:tplc="76D8DF44" w:tentative="1">
      <w:start w:val="1"/>
      <w:numFmt w:val="bullet"/>
      <w:lvlText w:val=""/>
      <w:lvlJc w:val="left"/>
      <w:pPr>
        <w:ind w:left="2160" w:hanging="360"/>
      </w:pPr>
      <w:rPr>
        <w:rFonts w:ascii="Wingdings" w:hAnsi="Wingdings" w:hint="default"/>
      </w:rPr>
    </w:lvl>
    <w:lvl w:ilvl="3" w:tplc="AD368C42" w:tentative="1">
      <w:start w:val="1"/>
      <w:numFmt w:val="bullet"/>
      <w:lvlText w:val=""/>
      <w:lvlJc w:val="left"/>
      <w:pPr>
        <w:ind w:left="2880" w:hanging="360"/>
      </w:pPr>
      <w:rPr>
        <w:rFonts w:ascii="Symbol" w:hAnsi="Symbol" w:hint="default"/>
      </w:rPr>
    </w:lvl>
    <w:lvl w:ilvl="4" w:tplc="47E8EC92" w:tentative="1">
      <w:start w:val="1"/>
      <w:numFmt w:val="bullet"/>
      <w:lvlText w:val="o"/>
      <w:lvlJc w:val="left"/>
      <w:pPr>
        <w:ind w:left="3600" w:hanging="360"/>
      </w:pPr>
      <w:rPr>
        <w:rFonts w:ascii="Courier New" w:hAnsi="Courier New" w:cs="Courier New" w:hint="default"/>
      </w:rPr>
    </w:lvl>
    <w:lvl w:ilvl="5" w:tplc="5BCAE642" w:tentative="1">
      <w:start w:val="1"/>
      <w:numFmt w:val="bullet"/>
      <w:lvlText w:val=""/>
      <w:lvlJc w:val="left"/>
      <w:pPr>
        <w:ind w:left="4320" w:hanging="360"/>
      </w:pPr>
      <w:rPr>
        <w:rFonts w:ascii="Wingdings" w:hAnsi="Wingdings" w:hint="default"/>
      </w:rPr>
    </w:lvl>
    <w:lvl w:ilvl="6" w:tplc="F7CCFA4E" w:tentative="1">
      <w:start w:val="1"/>
      <w:numFmt w:val="bullet"/>
      <w:lvlText w:val=""/>
      <w:lvlJc w:val="left"/>
      <w:pPr>
        <w:ind w:left="5040" w:hanging="360"/>
      </w:pPr>
      <w:rPr>
        <w:rFonts w:ascii="Symbol" w:hAnsi="Symbol" w:hint="default"/>
      </w:rPr>
    </w:lvl>
    <w:lvl w:ilvl="7" w:tplc="2BC0BD1A" w:tentative="1">
      <w:start w:val="1"/>
      <w:numFmt w:val="bullet"/>
      <w:lvlText w:val="o"/>
      <w:lvlJc w:val="left"/>
      <w:pPr>
        <w:ind w:left="5760" w:hanging="360"/>
      </w:pPr>
      <w:rPr>
        <w:rFonts w:ascii="Courier New" w:hAnsi="Courier New" w:cs="Courier New" w:hint="default"/>
      </w:rPr>
    </w:lvl>
    <w:lvl w:ilvl="8" w:tplc="1CE84220" w:tentative="1">
      <w:start w:val="1"/>
      <w:numFmt w:val="bullet"/>
      <w:lvlText w:val=""/>
      <w:lvlJc w:val="left"/>
      <w:pPr>
        <w:ind w:left="6480" w:hanging="360"/>
      </w:pPr>
      <w:rPr>
        <w:rFonts w:ascii="Wingdings" w:hAnsi="Wingdings" w:hint="default"/>
      </w:rPr>
    </w:lvl>
  </w:abstractNum>
  <w:num w:numId="1">
    <w:abstractNumId w:val="13"/>
  </w:num>
  <w:num w:numId="2">
    <w:abstractNumId w:val="21"/>
  </w:num>
  <w:num w:numId="3">
    <w:abstractNumId w:val="9"/>
  </w:num>
  <w:num w:numId="4">
    <w:abstractNumId w:val="4"/>
  </w:num>
  <w:num w:numId="5">
    <w:abstractNumId w:val="2"/>
  </w:num>
  <w:num w:numId="6">
    <w:abstractNumId w:val="20"/>
  </w:num>
  <w:num w:numId="7">
    <w:abstractNumId w:val="19"/>
  </w:num>
  <w:num w:numId="8">
    <w:abstractNumId w:val="3"/>
  </w:num>
  <w:num w:numId="9">
    <w:abstractNumId w:val="6"/>
  </w:num>
  <w:num w:numId="10">
    <w:abstractNumId w:val="16"/>
  </w:num>
  <w:num w:numId="11">
    <w:abstractNumId w:val="1"/>
  </w:num>
  <w:num w:numId="12">
    <w:abstractNumId w:val="0"/>
  </w:num>
  <w:num w:numId="13">
    <w:abstractNumId w:val="8"/>
  </w:num>
  <w:num w:numId="14">
    <w:abstractNumId w:val="12"/>
  </w:num>
  <w:num w:numId="15">
    <w:abstractNumId w:val="22"/>
  </w:num>
  <w:num w:numId="16">
    <w:abstractNumId w:val="17"/>
  </w:num>
  <w:num w:numId="17">
    <w:abstractNumId w:val="18"/>
  </w:num>
  <w:num w:numId="18">
    <w:abstractNumId w:val="5"/>
  </w:num>
  <w:num w:numId="19">
    <w:abstractNumId w:val="15"/>
  </w:num>
  <w:num w:numId="20">
    <w:abstractNumId w:val="14"/>
  </w:num>
  <w:num w:numId="21">
    <w:abstractNumId w:val="11"/>
  </w:num>
  <w:num w:numId="22">
    <w:abstractNumId w:val="10"/>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FFD"/>
    <w:rsid w:val="0000410D"/>
    <w:rsid w:val="000170B2"/>
    <w:rsid w:val="000220C3"/>
    <w:rsid w:val="0002341E"/>
    <w:rsid w:val="000240FC"/>
    <w:rsid w:val="000307FC"/>
    <w:rsid w:val="0004125C"/>
    <w:rsid w:val="0004439C"/>
    <w:rsid w:val="0004726B"/>
    <w:rsid w:val="000531E4"/>
    <w:rsid w:val="000621C0"/>
    <w:rsid w:val="00065E8A"/>
    <w:rsid w:val="000870A9"/>
    <w:rsid w:val="000934E9"/>
    <w:rsid w:val="000975B1"/>
    <w:rsid w:val="000A11EA"/>
    <w:rsid w:val="000A1944"/>
    <w:rsid w:val="000A7F1E"/>
    <w:rsid w:val="000D4A98"/>
    <w:rsid w:val="000F06D2"/>
    <w:rsid w:val="000F2E81"/>
    <w:rsid w:val="000F5433"/>
    <w:rsid w:val="001003AB"/>
    <w:rsid w:val="00122AA7"/>
    <w:rsid w:val="00123C9E"/>
    <w:rsid w:val="001266A2"/>
    <w:rsid w:val="001431DC"/>
    <w:rsid w:val="00146BAA"/>
    <w:rsid w:val="001546B3"/>
    <w:rsid w:val="00157D89"/>
    <w:rsid w:val="00183F39"/>
    <w:rsid w:val="00184AE7"/>
    <w:rsid w:val="00187384"/>
    <w:rsid w:val="001944EC"/>
    <w:rsid w:val="001A4689"/>
    <w:rsid w:val="001B146C"/>
    <w:rsid w:val="001C0E85"/>
    <w:rsid w:val="001F72FF"/>
    <w:rsid w:val="00200F1E"/>
    <w:rsid w:val="002032C9"/>
    <w:rsid w:val="00206F54"/>
    <w:rsid w:val="002107C6"/>
    <w:rsid w:val="002153E4"/>
    <w:rsid w:val="00220685"/>
    <w:rsid w:val="00232C67"/>
    <w:rsid w:val="00232F04"/>
    <w:rsid w:val="00241902"/>
    <w:rsid w:val="00254B5E"/>
    <w:rsid w:val="0027596E"/>
    <w:rsid w:val="0029301E"/>
    <w:rsid w:val="002A416C"/>
    <w:rsid w:val="002B4CA7"/>
    <w:rsid w:val="002C58AB"/>
    <w:rsid w:val="002D3D96"/>
    <w:rsid w:val="00311659"/>
    <w:rsid w:val="00316404"/>
    <w:rsid w:val="00330C88"/>
    <w:rsid w:val="00341069"/>
    <w:rsid w:val="00361172"/>
    <w:rsid w:val="003667C7"/>
    <w:rsid w:val="0037618F"/>
    <w:rsid w:val="00390F53"/>
    <w:rsid w:val="00395E13"/>
    <w:rsid w:val="003A4417"/>
    <w:rsid w:val="003B45E3"/>
    <w:rsid w:val="003E0901"/>
    <w:rsid w:val="003E45BE"/>
    <w:rsid w:val="003F1716"/>
    <w:rsid w:val="003F5147"/>
    <w:rsid w:val="003F6DDE"/>
    <w:rsid w:val="00400B0E"/>
    <w:rsid w:val="004146D1"/>
    <w:rsid w:val="00416448"/>
    <w:rsid w:val="004423B1"/>
    <w:rsid w:val="00460092"/>
    <w:rsid w:val="00463741"/>
    <w:rsid w:val="00464EC9"/>
    <w:rsid w:val="004973DD"/>
    <w:rsid w:val="0049768A"/>
    <w:rsid w:val="004B19E9"/>
    <w:rsid w:val="004B4398"/>
    <w:rsid w:val="004B6944"/>
    <w:rsid w:val="004D76A8"/>
    <w:rsid w:val="004E7BEF"/>
    <w:rsid w:val="004F0B97"/>
    <w:rsid w:val="004F11A5"/>
    <w:rsid w:val="005001CB"/>
    <w:rsid w:val="0050132F"/>
    <w:rsid w:val="00510CFA"/>
    <w:rsid w:val="00531DEE"/>
    <w:rsid w:val="005522A9"/>
    <w:rsid w:val="00554606"/>
    <w:rsid w:val="00564F80"/>
    <w:rsid w:val="00565869"/>
    <w:rsid w:val="00574F1A"/>
    <w:rsid w:val="005760FE"/>
    <w:rsid w:val="00592875"/>
    <w:rsid w:val="00593C28"/>
    <w:rsid w:val="005B5B0A"/>
    <w:rsid w:val="005C77BB"/>
    <w:rsid w:val="005D2FE5"/>
    <w:rsid w:val="005D6511"/>
    <w:rsid w:val="005E0025"/>
    <w:rsid w:val="005E097A"/>
    <w:rsid w:val="005F1A1C"/>
    <w:rsid w:val="00610C6F"/>
    <w:rsid w:val="00613C67"/>
    <w:rsid w:val="00615092"/>
    <w:rsid w:val="00616B47"/>
    <w:rsid w:val="00622B63"/>
    <w:rsid w:val="00644491"/>
    <w:rsid w:val="00657441"/>
    <w:rsid w:val="006577CF"/>
    <w:rsid w:val="006661B5"/>
    <w:rsid w:val="00680EE0"/>
    <w:rsid w:val="0069057A"/>
    <w:rsid w:val="006B1C76"/>
    <w:rsid w:val="006B3190"/>
    <w:rsid w:val="006C1440"/>
    <w:rsid w:val="006D5064"/>
    <w:rsid w:val="006D534F"/>
    <w:rsid w:val="006D569A"/>
    <w:rsid w:val="006D633D"/>
    <w:rsid w:val="00707F13"/>
    <w:rsid w:val="00743C14"/>
    <w:rsid w:val="0075026E"/>
    <w:rsid w:val="00750822"/>
    <w:rsid w:val="0075501A"/>
    <w:rsid w:val="0076550C"/>
    <w:rsid w:val="007704A8"/>
    <w:rsid w:val="007A7092"/>
    <w:rsid w:val="007C0953"/>
    <w:rsid w:val="007C10B9"/>
    <w:rsid w:val="007D70DA"/>
    <w:rsid w:val="007E7FFD"/>
    <w:rsid w:val="008041CA"/>
    <w:rsid w:val="0080535C"/>
    <w:rsid w:val="00823E64"/>
    <w:rsid w:val="00837648"/>
    <w:rsid w:val="008440DB"/>
    <w:rsid w:val="0085655C"/>
    <w:rsid w:val="00864DD6"/>
    <w:rsid w:val="00870ED9"/>
    <w:rsid w:val="00871657"/>
    <w:rsid w:val="008733E9"/>
    <w:rsid w:val="00891B1C"/>
    <w:rsid w:val="008944EA"/>
    <w:rsid w:val="008A019D"/>
    <w:rsid w:val="008A0FFA"/>
    <w:rsid w:val="008D7E7A"/>
    <w:rsid w:val="008F21E8"/>
    <w:rsid w:val="008F57AD"/>
    <w:rsid w:val="009013FA"/>
    <w:rsid w:val="009407BD"/>
    <w:rsid w:val="00965E25"/>
    <w:rsid w:val="009744B8"/>
    <w:rsid w:val="009774B9"/>
    <w:rsid w:val="00980A3D"/>
    <w:rsid w:val="00981737"/>
    <w:rsid w:val="0098362F"/>
    <w:rsid w:val="0098489E"/>
    <w:rsid w:val="00987D13"/>
    <w:rsid w:val="00990931"/>
    <w:rsid w:val="00995173"/>
    <w:rsid w:val="009959A0"/>
    <w:rsid w:val="009974AF"/>
    <w:rsid w:val="009A1EEF"/>
    <w:rsid w:val="009A2A50"/>
    <w:rsid w:val="009D464B"/>
    <w:rsid w:val="009D7011"/>
    <w:rsid w:val="009E26AB"/>
    <w:rsid w:val="009F4E91"/>
    <w:rsid w:val="00A07ADF"/>
    <w:rsid w:val="00A34BE6"/>
    <w:rsid w:val="00A44535"/>
    <w:rsid w:val="00A565A9"/>
    <w:rsid w:val="00A6095B"/>
    <w:rsid w:val="00A609C1"/>
    <w:rsid w:val="00A63458"/>
    <w:rsid w:val="00A674F1"/>
    <w:rsid w:val="00A70F27"/>
    <w:rsid w:val="00A91ABD"/>
    <w:rsid w:val="00AA5FF7"/>
    <w:rsid w:val="00AB0A15"/>
    <w:rsid w:val="00AC1FEC"/>
    <w:rsid w:val="00B033E5"/>
    <w:rsid w:val="00B077AE"/>
    <w:rsid w:val="00B11255"/>
    <w:rsid w:val="00B16EE3"/>
    <w:rsid w:val="00B24895"/>
    <w:rsid w:val="00B31AF0"/>
    <w:rsid w:val="00B32DC1"/>
    <w:rsid w:val="00B50DDF"/>
    <w:rsid w:val="00B548B5"/>
    <w:rsid w:val="00B553A6"/>
    <w:rsid w:val="00B76FD2"/>
    <w:rsid w:val="00B82E53"/>
    <w:rsid w:val="00B92943"/>
    <w:rsid w:val="00B961D5"/>
    <w:rsid w:val="00BA12DF"/>
    <w:rsid w:val="00BA2A5F"/>
    <w:rsid w:val="00BA506E"/>
    <w:rsid w:val="00BA71BD"/>
    <w:rsid w:val="00BB5BE9"/>
    <w:rsid w:val="00BC0C8C"/>
    <w:rsid w:val="00BF0F83"/>
    <w:rsid w:val="00BF41B3"/>
    <w:rsid w:val="00C05EE3"/>
    <w:rsid w:val="00C32E4C"/>
    <w:rsid w:val="00C368FB"/>
    <w:rsid w:val="00C46C10"/>
    <w:rsid w:val="00C71D41"/>
    <w:rsid w:val="00C85989"/>
    <w:rsid w:val="00C90AEA"/>
    <w:rsid w:val="00CA1E63"/>
    <w:rsid w:val="00CA3A68"/>
    <w:rsid w:val="00CA7A13"/>
    <w:rsid w:val="00CB0B9A"/>
    <w:rsid w:val="00CB754F"/>
    <w:rsid w:val="00CC1BD3"/>
    <w:rsid w:val="00CD3B9D"/>
    <w:rsid w:val="00CE41F5"/>
    <w:rsid w:val="00CF30C7"/>
    <w:rsid w:val="00CF4061"/>
    <w:rsid w:val="00D00B54"/>
    <w:rsid w:val="00D22EC8"/>
    <w:rsid w:val="00D270B9"/>
    <w:rsid w:val="00D373DF"/>
    <w:rsid w:val="00D418A7"/>
    <w:rsid w:val="00D47E03"/>
    <w:rsid w:val="00D52D1D"/>
    <w:rsid w:val="00D664EC"/>
    <w:rsid w:val="00D721A6"/>
    <w:rsid w:val="00D80E09"/>
    <w:rsid w:val="00DA0063"/>
    <w:rsid w:val="00DA4B4C"/>
    <w:rsid w:val="00DA66A6"/>
    <w:rsid w:val="00DB0657"/>
    <w:rsid w:val="00DD4C2E"/>
    <w:rsid w:val="00DD728C"/>
    <w:rsid w:val="00DE3F4C"/>
    <w:rsid w:val="00DF10B0"/>
    <w:rsid w:val="00E03683"/>
    <w:rsid w:val="00E07109"/>
    <w:rsid w:val="00E16299"/>
    <w:rsid w:val="00E216FF"/>
    <w:rsid w:val="00E21ADB"/>
    <w:rsid w:val="00E35165"/>
    <w:rsid w:val="00E37195"/>
    <w:rsid w:val="00E379F1"/>
    <w:rsid w:val="00E53557"/>
    <w:rsid w:val="00E62E4B"/>
    <w:rsid w:val="00E66061"/>
    <w:rsid w:val="00E7188B"/>
    <w:rsid w:val="00E729C2"/>
    <w:rsid w:val="00E85727"/>
    <w:rsid w:val="00EA521D"/>
    <w:rsid w:val="00EA64C8"/>
    <w:rsid w:val="00EB19F3"/>
    <w:rsid w:val="00EB1ED8"/>
    <w:rsid w:val="00ED3411"/>
    <w:rsid w:val="00EE750C"/>
    <w:rsid w:val="00EF26DB"/>
    <w:rsid w:val="00EF5B10"/>
    <w:rsid w:val="00EF6155"/>
    <w:rsid w:val="00F0103D"/>
    <w:rsid w:val="00F10F7A"/>
    <w:rsid w:val="00F26938"/>
    <w:rsid w:val="00F34D43"/>
    <w:rsid w:val="00F42D69"/>
    <w:rsid w:val="00F47C37"/>
    <w:rsid w:val="00F51DA1"/>
    <w:rsid w:val="00F7000F"/>
    <w:rsid w:val="00F71E10"/>
    <w:rsid w:val="00F87C06"/>
    <w:rsid w:val="00F91D22"/>
    <w:rsid w:val="00FA4C13"/>
    <w:rsid w:val="00FB0E00"/>
    <w:rsid w:val="00FB31F7"/>
    <w:rsid w:val="00FC48C0"/>
    <w:rsid w:val="00FC5781"/>
    <w:rsid w:val="00FC5BA3"/>
    <w:rsid w:val="00FD30D5"/>
    <w:rsid w:val="00FD5070"/>
    <w:rsid w:val="00FD5277"/>
    <w:rsid w:val="00FF0E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B3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E8A"/>
  </w:style>
  <w:style w:type="paragraph" w:styleId="Heading2">
    <w:name w:val="heading 2"/>
    <w:basedOn w:val="Normal"/>
    <w:link w:val="Heading2Char"/>
    <w:uiPriority w:val="9"/>
    <w:qFormat/>
    <w:rsid w:val="005E097A"/>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7FF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7E7FFD"/>
    <w:rPr>
      <w:color w:val="0563C1" w:themeColor="hyperlink"/>
      <w:u w:val="single"/>
    </w:rPr>
  </w:style>
  <w:style w:type="paragraph" w:styleId="ListParagraph">
    <w:name w:val="List Paragraph"/>
    <w:basedOn w:val="Normal"/>
    <w:uiPriority w:val="34"/>
    <w:qFormat/>
    <w:rsid w:val="007E7FFD"/>
    <w:pPr>
      <w:ind w:left="720"/>
      <w:contextualSpacing/>
    </w:pPr>
  </w:style>
  <w:style w:type="paragraph" w:styleId="BalloonText">
    <w:name w:val="Balloon Text"/>
    <w:basedOn w:val="Normal"/>
    <w:link w:val="BalloonTextChar"/>
    <w:uiPriority w:val="99"/>
    <w:semiHidden/>
    <w:unhideWhenUsed/>
    <w:rsid w:val="005D2F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FE5"/>
    <w:rPr>
      <w:rFonts w:ascii="Segoe UI" w:hAnsi="Segoe UI" w:cs="Segoe UI"/>
      <w:sz w:val="18"/>
      <w:szCs w:val="18"/>
    </w:rPr>
  </w:style>
  <w:style w:type="table" w:styleId="TableGrid">
    <w:name w:val="Table Grid"/>
    <w:basedOn w:val="TableNormal"/>
    <w:uiPriority w:val="59"/>
    <w:rsid w:val="00DD4C2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E097A"/>
    <w:rPr>
      <w:rFonts w:ascii="Times New Roman" w:eastAsia="Times New Roman" w:hAnsi="Times New Roman" w:cs="Times New Roman"/>
      <w:b/>
      <w:bCs/>
      <w:sz w:val="36"/>
      <w:szCs w:val="36"/>
      <w:lang w:eastAsia="en-IN"/>
    </w:rPr>
  </w:style>
  <w:style w:type="character" w:customStyle="1" w:styleId="katex">
    <w:name w:val="katex"/>
    <w:basedOn w:val="DefaultParagraphFont"/>
    <w:rsid w:val="005E097A"/>
  </w:style>
  <w:style w:type="character" w:customStyle="1" w:styleId="mord">
    <w:name w:val="mord"/>
    <w:basedOn w:val="DefaultParagraphFont"/>
    <w:rsid w:val="00610C6F"/>
  </w:style>
  <w:style w:type="character" w:customStyle="1" w:styleId="vlist-s">
    <w:name w:val="vlist-s"/>
    <w:basedOn w:val="DefaultParagraphFont"/>
    <w:rsid w:val="00610C6F"/>
  </w:style>
  <w:style w:type="character" w:customStyle="1" w:styleId="mrel">
    <w:name w:val="mrel"/>
    <w:basedOn w:val="DefaultParagraphFont"/>
    <w:rsid w:val="000F06D2"/>
  </w:style>
  <w:style w:type="character" w:customStyle="1" w:styleId="mbin">
    <w:name w:val="mbin"/>
    <w:basedOn w:val="DefaultParagraphFont"/>
    <w:rsid w:val="000F06D2"/>
  </w:style>
  <w:style w:type="paragraph" w:customStyle="1" w:styleId="pdq2pgselectionanchorcontainer">
    <w:name w:val="pdq2pg_selectionanchorcontainer"/>
    <w:basedOn w:val="Normal"/>
    <w:rsid w:val="001A468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FollowedHyperlink">
    <w:name w:val="FollowedHyperlink"/>
    <w:basedOn w:val="DefaultParagraphFont"/>
    <w:uiPriority w:val="99"/>
    <w:semiHidden/>
    <w:unhideWhenUsed/>
    <w:rsid w:val="0069057A"/>
    <w:rPr>
      <w:color w:val="954F72" w:themeColor="followedHyperlink"/>
      <w:u w:val="single"/>
    </w:rPr>
  </w:style>
  <w:style w:type="character" w:styleId="LineNumber">
    <w:name w:val="line number"/>
    <w:basedOn w:val="DefaultParagraphFont"/>
    <w:uiPriority w:val="99"/>
    <w:semiHidden/>
    <w:unhideWhenUsed/>
    <w:rsid w:val="00184AE7"/>
  </w:style>
  <w:style w:type="character" w:customStyle="1" w:styleId="UnresolvedMention1">
    <w:name w:val="Unresolved Mention1"/>
    <w:basedOn w:val="DefaultParagraphFont"/>
    <w:uiPriority w:val="99"/>
    <w:semiHidden/>
    <w:unhideWhenUsed/>
    <w:rsid w:val="00184AE7"/>
    <w:rPr>
      <w:color w:val="605E5C"/>
      <w:shd w:val="clear" w:color="auto" w:fill="E1DFDD"/>
    </w:rPr>
  </w:style>
  <w:style w:type="character" w:styleId="CommentReference">
    <w:name w:val="annotation reference"/>
    <w:basedOn w:val="DefaultParagraphFont"/>
    <w:uiPriority w:val="99"/>
    <w:semiHidden/>
    <w:unhideWhenUsed/>
    <w:rsid w:val="00FC5781"/>
    <w:rPr>
      <w:sz w:val="16"/>
      <w:szCs w:val="16"/>
    </w:rPr>
  </w:style>
  <w:style w:type="paragraph" w:styleId="CommentText">
    <w:name w:val="annotation text"/>
    <w:basedOn w:val="Normal"/>
    <w:link w:val="CommentTextChar"/>
    <w:uiPriority w:val="99"/>
    <w:unhideWhenUsed/>
    <w:rsid w:val="00FC5781"/>
    <w:pPr>
      <w:spacing w:line="240" w:lineRule="auto"/>
    </w:pPr>
    <w:rPr>
      <w:sz w:val="20"/>
      <w:szCs w:val="20"/>
    </w:rPr>
  </w:style>
  <w:style w:type="character" w:customStyle="1" w:styleId="CommentTextChar">
    <w:name w:val="Comment Text Char"/>
    <w:basedOn w:val="DefaultParagraphFont"/>
    <w:link w:val="CommentText"/>
    <w:uiPriority w:val="99"/>
    <w:rsid w:val="00FC5781"/>
    <w:rPr>
      <w:sz w:val="20"/>
      <w:szCs w:val="20"/>
    </w:rPr>
  </w:style>
  <w:style w:type="paragraph" w:styleId="CommentSubject">
    <w:name w:val="annotation subject"/>
    <w:basedOn w:val="CommentText"/>
    <w:next w:val="CommentText"/>
    <w:link w:val="CommentSubjectChar"/>
    <w:uiPriority w:val="99"/>
    <w:semiHidden/>
    <w:unhideWhenUsed/>
    <w:rsid w:val="00FC5781"/>
    <w:rPr>
      <w:b/>
      <w:bCs/>
    </w:rPr>
  </w:style>
  <w:style w:type="character" w:customStyle="1" w:styleId="CommentSubjectChar">
    <w:name w:val="Comment Subject Char"/>
    <w:basedOn w:val="CommentTextChar"/>
    <w:link w:val="CommentSubject"/>
    <w:uiPriority w:val="99"/>
    <w:semiHidden/>
    <w:rsid w:val="00FC5781"/>
    <w:rPr>
      <w:b/>
      <w:bCs/>
      <w:sz w:val="20"/>
      <w:szCs w:val="20"/>
    </w:rPr>
  </w:style>
  <w:style w:type="paragraph" w:styleId="Revision">
    <w:name w:val="Revision"/>
    <w:hidden/>
    <w:uiPriority w:val="99"/>
    <w:semiHidden/>
    <w:rsid w:val="00FC5781"/>
    <w:pPr>
      <w:spacing w:after="0" w:line="240" w:lineRule="auto"/>
    </w:pPr>
  </w:style>
  <w:style w:type="character" w:styleId="PlaceholderText">
    <w:name w:val="Placeholder Text"/>
    <w:basedOn w:val="DefaultParagraphFont"/>
    <w:uiPriority w:val="99"/>
    <w:semiHidden/>
    <w:rsid w:val="00E03683"/>
    <w:rPr>
      <w:color w:val="666666"/>
    </w:rPr>
  </w:style>
  <w:style w:type="character" w:styleId="Strong">
    <w:name w:val="Strong"/>
    <w:basedOn w:val="DefaultParagraphFont"/>
    <w:uiPriority w:val="22"/>
    <w:qFormat/>
    <w:rsid w:val="000A7F1E"/>
    <w:rPr>
      <w:b/>
      <w:bCs/>
    </w:rPr>
  </w:style>
  <w:style w:type="character" w:customStyle="1" w:styleId="UnresolvedMention">
    <w:name w:val="Unresolved Mention"/>
    <w:basedOn w:val="DefaultParagraphFont"/>
    <w:uiPriority w:val="99"/>
    <w:semiHidden/>
    <w:unhideWhenUsed/>
    <w:rsid w:val="00FD3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3168">
      <w:bodyDiv w:val="1"/>
      <w:marLeft w:val="0"/>
      <w:marRight w:val="0"/>
      <w:marTop w:val="0"/>
      <w:marBottom w:val="0"/>
      <w:divBdr>
        <w:top w:val="none" w:sz="0" w:space="0" w:color="auto"/>
        <w:left w:val="none" w:sz="0" w:space="0" w:color="auto"/>
        <w:bottom w:val="none" w:sz="0" w:space="0" w:color="auto"/>
        <w:right w:val="none" w:sz="0" w:space="0" w:color="auto"/>
      </w:divBdr>
    </w:div>
    <w:div w:id="278800872">
      <w:bodyDiv w:val="1"/>
      <w:marLeft w:val="0"/>
      <w:marRight w:val="0"/>
      <w:marTop w:val="0"/>
      <w:marBottom w:val="0"/>
      <w:divBdr>
        <w:top w:val="none" w:sz="0" w:space="0" w:color="auto"/>
        <w:left w:val="none" w:sz="0" w:space="0" w:color="auto"/>
        <w:bottom w:val="none" w:sz="0" w:space="0" w:color="auto"/>
        <w:right w:val="none" w:sz="0" w:space="0" w:color="auto"/>
      </w:divBdr>
    </w:div>
    <w:div w:id="6608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7A7D5-D60D-44D4-89F4-67B63179B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9689</Words>
  <Characters>55230</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2026-09-21T11:37:00Z</dcterms:created>
  <dcterms:modified xsi:type="dcterms:W3CDTF">2026-09-21T11:37:00Z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b2eddb12-bb76-483e-93d1-e0db1845dbb8</vt:lpwstr>
  </property>
</Properties>
</file>