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4D429" w14:textId="0AFD9023" w:rsidR="0006743D"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TITLE:</w:t>
      </w:r>
    </w:p>
    <w:p w14:paraId="0BF2ED40" w14:textId="2A4C01BE" w:rsidR="00655041"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Nutrition </w:t>
      </w:r>
      <w:r w:rsidR="0006743D" w:rsidRPr="005D29E2">
        <w:rPr>
          <w:rFonts w:ascii="Calibri" w:hAnsi="Calibri" w:cs="Calibri"/>
          <w:sz w:val="24"/>
          <w:szCs w:val="24"/>
          <w:lang w:val="en-US"/>
        </w:rPr>
        <w:t>I</w:t>
      </w:r>
      <w:r w:rsidRPr="005D29E2">
        <w:rPr>
          <w:rFonts w:ascii="Calibri" w:hAnsi="Calibri" w:cs="Calibri"/>
          <w:sz w:val="24"/>
          <w:szCs w:val="24"/>
          <w:lang w:val="en-US"/>
        </w:rPr>
        <w:t xml:space="preserve">ntake and </w:t>
      </w:r>
      <w:r w:rsidR="0006743D" w:rsidRPr="005D29E2">
        <w:rPr>
          <w:rFonts w:ascii="Calibri" w:hAnsi="Calibri" w:cs="Calibri"/>
          <w:sz w:val="24"/>
          <w:szCs w:val="24"/>
          <w:lang w:val="en-US"/>
        </w:rPr>
        <w:t>C</w:t>
      </w:r>
      <w:r w:rsidRPr="005D29E2">
        <w:rPr>
          <w:rFonts w:ascii="Calibri" w:hAnsi="Calibri" w:cs="Calibri"/>
          <w:sz w:val="24"/>
          <w:szCs w:val="24"/>
          <w:lang w:val="en-US"/>
        </w:rPr>
        <w:t xml:space="preserve">ompliance with </w:t>
      </w:r>
      <w:r w:rsidR="0006743D" w:rsidRPr="005D29E2">
        <w:rPr>
          <w:rFonts w:ascii="Calibri" w:hAnsi="Calibri" w:cs="Calibri"/>
          <w:sz w:val="24"/>
          <w:szCs w:val="24"/>
          <w:lang w:val="en-US"/>
        </w:rPr>
        <w:t>D</w:t>
      </w:r>
      <w:r w:rsidRPr="005D29E2">
        <w:rPr>
          <w:rFonts w:ascii="Calibri" w:hAnsi="Calibri" w:cs="Calibri"/>
          <w:sz w:val="24"/>
          <w:szCs w:val="24"/>
          <w:lang w:val="en-US"/>
        </w:rPr>
        <w:t xml:space="preserve">ietary </w:t>
      </w:r>
      <w:r w:rsidR="0006743D" w:rsidRPr="005D29E2">
        <w:rPr>
          <w:rFonts w:ascii="Calibri" w:hAnsi="Calibri" w:cs="Calibri"/>
          <w:sz w:val="24"/>
          <w:szCs w:val="24"/>
          <w:lang w:val="en-US"/>
        </w:rPr>
        <w:t>G</w:t>
      </w:r>
      <w:r w:rsidRPr="005D29E2">
        <w:rPr>
          <w:rFonts w:ascii="Calibri" w:hAnsi="Calibri" w:cs="Calibri"/>
          <w:sz w:val="24"/>
          <w:szCs w:val="24"/>
          <w:lang w:val="en-US"/>
        </w:rPr>
        <w:t xml:space="preserve">uidelines among Israeli </w:t>
      </w:r>
      <w:r w:rsidR="0006743D" w:rsidRPr="005D29E2">
        <w:rPr>
          <w:rFonts w:ascii="Calibri" w:hAnsi="Calibri" w:cs="Calibri"/>
          <w:sz w:val="24"/>
          <w:szCs w:val="24"/>
          <w:lang w:val="en-US"/>
        </w:rPr>
        <w:t>H</w:t>
      </w:r>
      <w:r w:rsidRPr="005D29E2">
        <w:rPr>
          <w:rFonts w:ascii="Calibri" w:hAnsi="Calibri" w:cs="Calibri"/>
          <w:sz w:val="24"/>
          <w:szCs w:val="24"/>
          <w:lang w:val="en-US"/>
        </w:rPr>
        <w:t xml:space="preserve">emodialysis </w:t>
      </w:r>
      <w:r w:rsidR="0006743D" w:rsidRPr="005D29E2">
        <w:rPr>
          <w:rFonts w:ascii="Calibri" w:hAnsi="Calibri" w:cs="Calibri"/>
          <w:sz w:val="24"/>
          <w:szCs w:val="24"/>
          <w:lang w:val="en-US"/>
        </w:rPr>
        <w:t>P</w:t>
      </w:r>
      <w:r w:rsidRPr="005D29E2">
        <w:rPr>
          <w:rFonts w:ascii="Calibri" w:hAnsi="Calibri" w:cs="Calibri"/>
          <w:sz w:val="24"/>
          <w:szCs w:val="24"/>
          <w:lang w:val="en-US"/>
        </w:rPr>
        <w:t xml:space="preserve">atients, </w:t>
      </w:r>
      <w:r w:rsidR="0006743D" w:rsidRPr="005D29E2">
        <w:rPr>
          <w:rFonts w:ascii="Calibri" w:hAnsi="Calibri" w:cs="Calibri"/>
          <w:sz w:val="24"/>
          <w:szCs w:val="24"/>
          <w:lang w:val="en-US"/>
        </w:rPr>
        <w:t>C</w:t>
      </w:r>
      <w:r w:rsidRPr="005D29E2">
        <w:rPr>
          <w:rFonts w:ascii="Calibri" w:hAnsi="Calibri" w:cs="Calibri"/>
          <w:sz w:val="24"/>
          <w:szCs w:val="24"/>
          <w:lang w:val="en-US"/>
        </w:rPr>
        <w:t xml:space="preserve">ompared by </w:t>
      </w:r>
      <w:r w:rsidR="0006743D" w:rsidRPr="005D29E2">
        <w:rPr>
          <w:rFonts w:ascii="Calibri" w:hAnsi="Calibri" w:cs="Calibri"/>
          <w:sz w:val="24"/>
          <w:szCs w:val="24"/>
          <w:lang w:val="en-US"/>
        </w:rPr>
        <w:t>E</w:t>
      </w:r>
      <w:r w:rsidRPr="005D29E2">
        <w:rPr>
          <w:rFonts w:ascii="Calibri" w:hAnsi="Calibri" w:cs="Calibri"/>
          <w:sz w:val="24"/>
          <w:szCs w:val="24"/>
          <w:lang w:val="en-US"/>
        </w:rPr>
        <w:t>thnicity</w:t>
      </w:r>
      <w:r w:rsidR="00CA76B0" w:rsidRPr="005D29E2">
        <w:rPr>
          <w:rFonts w:ascii="Calibri" w:hAnsi="Calibri" w:cs="Calibri"/>
          <w:sz w:val="24"/>
          <w:szCs w:val="24"/>
          <w:lang w:val="en-US"/>
        </w:rPr>
        <w:t xml:space="preserve">: A </w:t>
      </w:r>
      <w:r w:rsidR="00FE496C" w:rsidRPr="005D29E2">
        <w:rPr>
          <w:rFonts w:ascii="Calibri" w:hAnsi="Calibri" w:cs="Calibri"/>
          <w:sz w:val="24"/>
          <w:szCs w:val="24"/>
          <w:lang w:val="en-US"/>
        </w:rPr>
        <w:t>C</w:t>
      </w:r>
      <w:r w:rsidR="00CA76B0" w:rsidRPr="005D29E2">
        <w:rPr>
          <w:rFonts w:ascii="Calibri" w:hAnsi="Calibri" w:cs="Calibri"/>
          <w:sz w:val="24"/>
          <w:szCs w:val="24"/>
          <w:lang w:val="en-US"/>
        </w:rPr>
        <w:t>ross-</w:t>
      </w:r>
      <w:r w:rsidR="00FE496C" w:rsidRPr="005D29E2">
        <w:rPr>
          <w:rFonts w:ascii="Calibri" w:hAnsi="Calibri" w:cs="Calibri"/>
          <w:sz w:val="24"/>
          <w:szCs w:val="24"/>
          <w:lang w:val="en-US"/>
        </w:rPr>
        <w:t>S</w:t>
      </w:r>
      <w:r w:rsidR="00CA76B0" w:rsidRPr="005D29E2">
        <w:rPr>
          <w:rFonts w:ascii="Calibri" w:hAnsi="Calibri" w:cs="Calibri"/>
          <w:sz w:val="24"/>
          <w:szCs w:val="24"/>
          <w:lang w:val="en-US"/>
        </w:rPr>
        <w:t xml:space="preserve">ectional </w:t>
      </w:r>
      <w:r w:rsidR="00FE496C" w:rsidRPr="005D29E2">
        <w:rPr>
          <w:rFonts w:ascii="Calibri" w:hAnsi="Calibri" w:cs="Calibri"/>
          <w:sz w:val="24"/>
          <w:szCs w:val="24"/>
          <w:lang w:val="en-US"/>
        </w:rPr>
        <w:t>S</w:t>
      </w:r>
      <w:r w:rsidR="00CA76B0" w:rsidRPr="005D29E2">
        <w:rPr>
          <w:rFonts w:ascii="Calibri" w:hAnsi="Calibri" w:cs="Calibri"/>
          <w:sz w:val="24"/>
          <w:szCs w:val="24"/>
          <w:lang w:val="en-US"/>
        </w:rPr>
        <w:t>tudy</w:t>
      </w:r>
    </w:p>
    <w:p w14:paraId="7B6A9CF9" w14:textId="77777777" w:rsidR="006D54A1" w:rsidRPr="005D29E2" w:rsidRDefault="006D54A1" w:rsidP="005D29E2">
      <w:pPr>
        <w:spacing w:after="0" w:line="240" w:lineRule="auto"/>
        <w:jc w:val="both"/>
        <w:rPr>
          <w:rFonts w:ascii="Calibri" w:hAnsi="Calibri" w:cs="Calibri"/>
          <w:sz w:val="24"/>
          <w:szCs w:val="24"/>
          <w:lang w:val="en-US"/>
        </w:rPr>
      </w:pPr>
    </w:p>
    <w:p w14:paraId="0C47BA0B" w14:textId="0D4DD686" w:rsidR="0006743D"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AUTHORS AND AFFILIATIONS:</w:t>
      </w:r>
    </w:p>
    <w:p w14:paraId="01846E98" w14:textId="7C30E914" w:rsidR="00655041" w:rsidRPr="005D29E2" w:rsidRDefault="00FB2742" w:rsidP="005D29E2">
      <w:pPr>
        <w:spacing w:after="0" w:line="240" w:lineRule="auto"/>
        <w:jc w:val="both"/>
        <w:rPr>
          <w:rFonts w:ascii="Calibri" w:hAnsi="Calibri" w:cs="Calibri"/>
          <w:sz w:val="24"/>
          <w:szCs w:val="24"/>
          <w:vertAlign w:val="superscript"/>
          <w:lang w:val="en-US"/>
        </w:rPr>
      </w:pPr>
      <w:r w:rsidRPr="005D29E2">
        <w:rPr>
          <w:rFonts w:ascii="Calibri" w:hAnsi="Calibri" w:cs="Calibri"/>
          <w:sz w:val="24"/>
          <w:szCs w:val="24"/>
          <w:lang w:val="en-US"/>
        </w:rPr>
        <w:t>Najib Abid</w:t>
      </w:r>
      <w:r w:rsidRPr="005D29E2">
        <w:rPr>
          <w:rFonts w:ascii="Calibri" w:hAnsi="Calibri" w:cs="Calibri"/>
          <w:sz w:val="24"/>
          <w:szCs w:val="24"/>
          <w:vertAlign w:val="superscript"/>
          <w:lang w:val="en-US"/>
        </w:rPr>
        <w:t>1</w:t>
      </w:r>
      <w:r w:rsidRPr="005D29E2">
        <w:rPr>
          <w:rFonts w:ascii="Calibri" w:hAnsi="Calibri" w:cs="Calibri"/>
          <w:sz w:val="24"/>
          <w:szCs w:val="24"/>
          <w:lang w:val="en-US"/>
        </w:rPr>
        <w:t>, Younes Bathish</w:t>
      </w:r>
      <w:r w:rsidRPr="005D29E2">
        <w:rPr>
          <w:rFonts w:ascii="Calibri" w:hAnsi="Calibri" w:cs="Calibri"/>
          <w:sz w:val="24"/>
          <w:szCs w:val="24"/>
          <w:vertAlign w:val="superscript"/>
          <w:lang w:val="en-US"/>
        </w:rPr>
        <w:t>2,3</w:t>
      </w:r>
      <w:r w:rsidRPr="005D29E2">
        <w:rPr>
          <w:rFonts w:ascii="Calibri" w:hAnsi="Calibri" w:cs="Calibri"/>
          <w:sz w:val="24"/>
          <w:szCs w:val="24"/>
          <w:lang w:val="en-US"/>
        </w:rPr>
        <w:t>, Talia Weinstein</w:t>
      </w:r>
      <w:r w:rsidRPr="005D29E2">
        <w:rPr>
          <w:rFonts w:ascii="Calibri" w:hAnsi="Calibri" w:cs="Calibri"/>
          <w:sz w:val="24"/>
          <w:szCs w:val="24"/>
          <w:vertAlign w:val="superscript"/>
          <w:lang w:val="en-US"/>
        </w:rPr>
        <w:t>4</w:t>
      </w:r>
      <w:r w:rsidRPr="005D29E2">
        <w:rPr>
          <w:rFonts w:ascii="Calibri" w:hAnsi="Calibri" w:cs="Calibri"/>
          <w:sz w:val="24"/>
          <w:szCs w:val="24"/>
          <w:lang w:val="en-US"/>
        </w:rPr>
        <w:t>,</w:t>
      </w:r>
      <w:r w:rsidRPr="005D29E2">
        <w:rPr>
          <w:rFonts w:ascii="Calibri" w:hAnsi="Calibri" w:cs="Calibri"/>
          <w:sz w:val="24"/>
          <w:szCs w:val="24"/>
          <w:vertAlign w:val="superscript"/>
          <w:lang w:val="en-US"/>
        </w:rPr>
        <w:t xml:space="preserve"> </w:t>
      </w:r>
      <w:r w:rsidRPr="005D29E2">
        <w:rPr>
          <w:rFonts w:ascii="Calibri" w:hAnsi="Calibri" w:cs="Calibri"/>
          <w:sz w:val="24"/>
          <w:szCs w:val="24"/>
          <w:lang w:val="en-US"/>
        </w:rPr>
        <w:t>Etty Kruzel-Davilla</w:t>
      </w:r>
      <w:r w:rsidRPr="005D29E2">
        <w:rPr>
          <w:rFonts w:ascii="Calibri" w:hAnsi="Calibri" w:cs="Calibri"/>
          <w:sz w:val="24"/>
          <w:szCs w:val="24"/>
          <w:vertAlign w:val="superscript"/>
          <w:lang w:val="en-US"/>
        </w:rPr>
        <w:t>2,5</w:t>
      </w:r>
      <w:r w:rsidRPr="005D29E2">
        <w:rPr>
          <w:rFonts w:ascii="Calibri" w:hAnsi="Calibri" w:cs="Calibri"/>
          <w:sz w:val="24"/>
          <w:szCs w:val="24"/>
          <w:lang w:val="en-US"/>
        </w:rPr>
        <w:t>, Mona Boaz</w:t>
      </w:r>
      <w:r w:rsidRPr="005D29E2">
        <w:rPr>
          <w:rFonts w:ascii="Calibri" w:hAnsi="Calibri" w:cs="Calibri"/>
          <w:sz w:val="24"/>
          <w:szCs w:val="24"/>
          <w:vertAlign w:val="superscript"/>
          <w:lang w:val="en-US"/>
        </w:rPr>
        <w:t>1</w:t>
      </w:r>
    </w:p>
    <w:p w14:paraId="68D1A6AA" w14:textId="77777777" w:rsidR="0006743D" w:rsidRPr="005D29E2" w:rsidRDefault="0006743D" w:rsidP="005D29E2">
      <w:pPr>
        <w:spacing w:after="0" w:line="240" w:lineRule="auto"/>
        <w:jc w:val="both"/>
        <w:rPr>
          <w:rFonts w:ascii="Calibri" w:hAnsi="Calibri" w:cs="Calibri"/>
          <w:sz w:val="24"/>
          <w:szCs w:val="24"/>
          <w:vertAlign w:val="superscript"/>
          <w:lang w:val="en-US"/>
        </w:rPr>
      </w:pPr>
    </w:p>
    <w:p w14:paraId="190F1F4A" w14:textId="6BC1884D" w:rsidR="0006743D"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vertAlign w:val="superscript"/>
          <w:lang w:val="en-US"/>
        </w:rPr>
        <w:t>1</w:t>
      </w:r>
      <w:r w:rsidRPr="005D29E2">
        <w:rPr>
          <w:rFonts w:ascii="Calibri" w:hAnsi="Calibri" w:cs="Calibri"/>
          <w:sz w:val="24"/>
          <w:szCs w:val="24"/>
          <w:lang w:val="en-US"/>
        </w:rPr>
        <w:t>Department of Nutrition Sciences, Ariel University, Ariel, Israel</w:t>
      </w:r>
    </w:p>
    <w:p w14:paraId="72101901" w14:textId="1D9A2753" w:rsidR="0006743D"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vertAlign w:val="superscript"/>
          <w:lang w:val="en-US"/>
        </w:rPr>
        <w:t>2</w:t>
      </w:r>
      <w:r w:rsidRPr="005D29E2">
        <w:rPr>
          <w:rFonts w:ascii="Calibri" w:hAnsi="Calibri" w:cs="Calibri"/>
          <w:sz w:val="24"/>
          <w:szCs w:val="24"/>
          <w:lang w:val="en-US"/>
        </w:rPr>
        <w:t xml:space="preserve">Azrieli School of Medicine, </w:t>
      </w:r>
      <w:r w:rsidR="009F6052" w:rsidRPr="005D29E2">
        <w:rPr>
          <w:rFonts w:ascii="Calibri" w:hAnsi="Calibri" w:cs="Calibri"/>
          <w:sz w:val="24"/>
          <w:szCs w:val="24"/>
          <w:lang w:val="en-US"/>
        </w:rPr>
        <w:t xml:space="preserve">Safed, </w:t>
      </w:r>
      <w:r w:rsidRPr="005D29E2">
        <w:rPr>
          <w:rFonts w:ascii="Calibri" w:hAnsi="Calibri" w:cs="Calibri"/>
          <w:sz w:val="24"/>
          <w:szCs w:val="24"/>
          <w:lang w:val="en-US"/>
        </w:rPr>
        <w:t>Israel</w:t>
      </w:r>
    </w:p>
    <w:p w14:paraId="7B0D76C3" w14:textId="029A2410" w:rsidR="0006743D"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vertAlign w:val="superscript"/>
          <w:lang w:val="en-US"/>
        </w:rPr>
        <w:t>3</w:t>
      </w:r>
      <w:r w:rsidRPr="005D29E2">
        <w:rPr>
          <w:rFonts w:ascii="Calibri" w:hAnsi="Calibri" w:cs="Calibri"/>
          <w:sz w:val="24"/>
          <w:szCs w:val="24"/>
          <w:lang w:val="en-US"/>
        </w:rPr>
        <w:t xml:space="preserve">Nephrology Department, Ziv Medical Center, </w:t>
      </w:r>
      <w:r w:rsidR="00B301BD" w:rsidRPr="005D29E2">
        <w:rPr>
          <w:rFonts w:ascii="Calibri" w:hAnsi="Calibri" w:cs="Calibri"/>
          <w:sz w:val="24"/>
          <w:szCs w:val="24"/>
          <w:lang w:val="en-US"/>
        </w:rPr>
        <w:t xml:space="preserve">Safed, </w:t>
      </w:r>
      <w:r w:rsidRPr="005D29E2">
        <w:rPr>
          <w:rFonts w:ascii="Calibri" w:hAnsi="Calibri" w:cs="Calibri"/>
          <w:sz w:val="24"/>
          <w:szCs w:val="24"/>
          <w:lang w:val="en-US"/>
        </w:rPr>
        <w:t>Israel</w:t>
      </w:r>
    </w:p>
    <w:p w14:paraId="574B3E91" w14:textId="7A55222D" w:rsidR="0006743D" w:rsidRPr="005D29E2" w:rsidRDefault="00FB2742" w:rsidP="005D29E2">
      <w:pPr>
        <w:spacing w:after="0" w:line="240" w:lineRule="auto"/>
        <w:jc w:val="both"/>
        <w:rPr>
          <w:rFonts w:ascii="Calibri" w:hAnsi="Calibri" w:cs="Calibri"/>
          <w:sz w:val="24"/>
          <w:szCs w:val="24"/>
          <w:vertAlign w:val="superscript"/>
          <w:lang w:val="en-US"/>
        </w:rPr>
      </w:pPr>
      <w:r w:rsidRPr="005D29E2">
        <w:rPr>
          <w:rFonts w:ascii="Calibri" w:hAnsi="Calibri" w:cs="Calibri"/>
          <w:sz w:val="24"/>
          <w:szCs w:val="24"/>
          <w:vertAlign w:val="superscript"/>
          <w:lang w:val="en-US"/>
        </w:rPr>
        <w:t>4</w:t>
      </w:r>
      <w:r w:rsidRPr="005D29E2">
        <w:rPr>
          <w:rFonts w:ascii="Calibri" w:hAnsi="Calibri" w:cs="Calibri"/>
          <w:sz w:val="24"/>
          <w:szCs w:val="24"/>
          <w:lang w:val="en-US"/>
        </w:rPr>
        <w:t>Sackler School of Medicine, Tel Aviv University, Tel Aviv, Israel</w:t>
      </w:r>
    </w:p>
    <w:p w14:paraId="5093757D" w14:textId="3B37FA1E" w:rsidR="00655041"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vertAlign w:val="superscript"/>
          <w:lang w:val="en-US"/>
        </w:rPr>
        <w:t>5</w:t>
      </w:r>
      <w:r w:rsidRPr="005D29E2">
        <w:rPr>
          <w:rFonts w:ascii="Calibri" w:hAnsi="Calibri" w:cs="Calibri"/>
          <w:sz w:val="24"/>
          <w:szCs w:val="24"/>
          <w:lang w:val="en-US"/>
        </w:rPr>
        <w:t>Medical Center of the Galilee</w:t>
      </w:r>
      <w:r w:rsidR="0006743D" w:rsidRPr="005D29E2">
        <w:rPr>
          <w:rFonts w:ascii="Calibri" w:hAnsi="Calibri" w:cs="Calibri"/>
          <w:sz w:val="24"/>
          <w:szCs w:val="24"/>
          <w:lang w:val="en-US"/>
        </w:rPr>
        <w:t xml:space="preserve">, </w:t>
      </w:r>
      <w:r w:rsidR="00B301BD" w:rsidRPr="005D29E2">
        <w:rPr>
          <w:rFonts w:ascii="Calibri" w:hAnsi="Calibri" w:cs="Calibri"/>
          <w:sz w:val="24"/>
          <w:szCs w:val="24"/>
          <w:lang w:val="en-US"/>
        </w:rPr>
        <w:t xml:space="preserve">Nahariya, </w:t>
      </w:r>
      <w:r w:rsidR="0006743D" w:rsidRPr="005D29E2">
        <w:rPr>
          <w:rFonts w:ascii="Calibri" w:hAnsi="Calibri" w:cs="Calibri"/>
          <w:sz w:val="24"/>
          <w:szCs w:val="24"/>
          <w:lang w:val="en-US"/>
        </w:rPr>
        <w:t>Israel</w:t>
      </w:r>
    </w:p>
    <w:p w14:paraId="233FCEF5" w14:textId="77777777" w:rsidR="00655041" w:rsidRPr="005D29E2" w:rsidRDefault="00655041" w:rsidP="005D29E2">
      <w:pPr>
        <w:spacing w:after="0" w:line="240" w:lineRule="auto"/>
        <w:jc w:val="both"/>
        <w:rPr>
          <w:rFonts w:ascii="Calibri" w:hAnsi="Calibri" w:cs="Calibri"/>
          <w:sz w:val="24"/>
          <w:szCs w:val="24"/>
          <w:lang w:val="en-US"/>
        </w:rPr>
      </w:pPr>
    </w:p>
    <w:p w14:paraId="285D2376" w14:textId="477ABB91" w:rsidR="004B51F2"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Email addresses of the co-authors:</w:t>
      </w:r>
    </w:p>
    <w:p w14:paraId="350581AC" w14:textId="05DD494F" w:rsidR="004B51F2"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Najib Abid</w:t>
      </w:r>
      <w:r w:rsidRPr="005D29E2">
        <w:rPr>
          <w:rFonts w:ascii="Calibri" w:hAnsi="Calibri" w:cs="Calibri"/>
          <w:sz w:val="24"/>
          <w:szCs w:val="24"/>
          <w:lang w:val="en-US"/>
        </w:rPr>
        <w:tab/>
      </w:r>
      <w:r w:rsidRPr="005D29E2">
        <w:rPr>
          <w:rFonts w:ascii="Calibri" w:hAnsi="Calibri" w:cs="Calibri"/>
          <w:sz w:val="24"/>
          <w:szCs w:val="24"/>
          <w:lang w:val="en-US"/>
        </w:rPr>
        <w:tab/>
      </w:r>
      <w:r w:rsidRPr="005D29E2">
        <w:rPr>
          <w:rFonts w:ascii="Calibri" w:hAnsi="Calibri" w:cs="Calibri"/>
          <w:sz w:val="24"/>
          <w:szCs w:val="24"/>
          <w:lang w:val="en-US"/>
        </w:rPr>
        <w:tab/>
      </w:r>
      <w:r w:rsidRPr="005D29E2">
        <w:rPr>
          <w:rFonts w:ascii="Calibri" w:hAnsi="Calibri" w:cs="Calibri"/>
          <w:sz w:val="24"/>
          <w:szCs w:val="24"/>
          <w:lang w:val="en-US"/>
        </w:rPr>
        <w:tab/>
        <w:t>nagiba@ariel.ac.il</w:t>
      </w:r>
    </w:p>
    <w:p w14:paraId="25877E48" w14:textId="3C3841DC" w:rsidR="004B51F2"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Younes </w:t>
      </w:r>
      <w:proofErr w:type="spellStart"/>
      <w:r w:rsidRPr="005D29E2">
        <w:rPr>
          <w:rFonts w:ascii="Calibri" w:hAnsi="Calibri" w:cs="Calibri"/>
          <w:sz w:val="24"/>
          <w:szCs w:val="24"/>
          <w:lang w:val="en-US"/>
        </w:rPr>
        <w:t>Bathish</w:t>
      </w:r>
      <w:proofErr w:type="spellEnd"/>
      <w:r w:rsidRPr="005D29E2">
        <w:rPr>
          <w:rFonts w:ascii="Calibri" w:hAnsi="Calibri" w:cs="Calibri"/>
          <w:sz w:val="24"/>
          <w:szCs w:val="24"/>
          <w:lang w:val="en-US"/>
        </w:rPr>
        <w:tab/>
      </w:r>
      <w:r w:rsidRPr="005D29E2">
        <w:rPr>
          <w:rFonts w:ascii="Calibri" w:hAnsi="Calibri" w:cs="Calibri"/>
          <w:sz w:val="24"/>
          <w:szCs w:val="24"/>
          <w:lang w:val="en-US"/>
        </w:rPr>
        <w:tab/>
      </w:r>
      <w:r w:rsidRPr="005D29E2">
        <w:rPr>
          <w:rFonts w:ascii="Calibri" w:hAnsi="Calibri" w:cs="Calibri"/>
          <w:sz w:val="24"/>
          <w:szCs w:val="24"/>
          <w:lang w:val="en-US"/>
        </w:rPr>
        <w:tab/>
        <w:t>drbathish@gmail.com</w:t>
      </w:r>
    </w:p>
    <w:p w14:paraId="73E7E9E3" w14:textId="2CC6D4B4" w:rsidR="004B51F2" w:rsidRPr="005D29E2" w:rsidRDefault="00FB2742" w:rsidP="005D29E2">
      <w:pPr>
        <w:spacing w:after="0" w:line="240" w:lineRule="auto"/>
        <w:jc w:val="both"/>
        <w:rPr>
          <w:rFonts w:ascii="Calibri" w:hAnsi="Calibri" w:cs="Calibri"/>
          <w:sz w:val="24"/>
          <w:szCs w:val="24"/>
          <w:vertAlign w:val="superscript"/>
          <w:lang w:val="en-US"/>
        </w:rPr>
      </w:pPr>
      <w:r w:rsidRPr="005D29E2">
        <w:rPr>
          <w:rFonts w:ascii="Calibri" w:hAnsi="Calibri" w:cs="Calibri"/>
          <w:sz w:val="24"/>
          <w:szCs w:val="24"/>
          <w:lang w:val="en-US"/>
        </w:rPr>
        <w:t>Talia Weinstein</w:t>
      </w:r>
      <w:r w:rsidRPr="005D29E2">
        <w:rPr>
          <w:rFonts w:ascii="Calibri" w:hAnsi="Calibri" w:cs="Calibri"/>
          <w:sz w:val="24"/>
          <w:szCs w:val="24"/>
          <w:lang w:val="en-US"/>
        </w:rPr>
        <w:tab/>
      </w:r>
      <w:r w:rsidRPr="005D29E2">
        <w:rPr>
          <w:rFonts w:ascii="Calibri" w:hAnsi="Calibri" w:cs="Calibri"/>
          <w:sz w:val="24"/>
          <w:szCs w:val="24"/>
          <w:lang w:val="en-US"/>
        </w:rPr>
        <w:tab/>
      </w:r>
      <w:r w:rsidRPr="005D29E2">
        <w:rPr>
          <w:rFonts w:ascii="Calibri" w:hAnsi="Calibri" w:cs="Calibri"/>
          <w:sz w:val="24"/>
          <w:szCs w:val="24"/>
          <w:lang w:val="en-US"/>
        </w:rPr>
        <w:tab/>
        <w:t>tweinste@tauex.tau.ac.il</w:t>
      </w:r>
    </w:p>
    <w:p w14:paraId="035E48C6" w14:textId="2DCBE71E" w:rsidR="004B51F2"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Etty Kruzel-Davilla</w:t>
      </w:r>
      <w:r w:rsidRPr="005D29E2">
        <w:rPr>
          <w:rFonts w:ascii="Calibri" w:hAnsi="Calibri" w:cs="Calibri"/>
          <w:sz w:val="24"/>
          <w:szCs w:val="24"/>
          <w:lang w:val="en-US"/>
        </w:rPr>
        <w:tab/>
      </w:r>
      <w:r w:rsidRPr="005D29E2">
        <w:rPr>
          <w:rFonts w:ascii="Calibri" w:hAnsi="Calibri" w:cs="Calibri"/>
          <w:sz w:val="24"/>
          <w:szCs w:val="24"/>
          <w:lang w:val="en-US"/>
        </w:rPr>
        <w:tab/>
      </w:r>
      <w:r w:rsidRPr="005D29E2">
        <w:rPr>
          <w:rFonts w:ascii="Calibri" w:hAnsi="Calibri" w:cs="Calibri"/>
          <w:sz w:val="24"/>
          <w:szCs w:val="24"/>
          <w:lang w:val="en-US"/>
        </w:rPr>
        <w:tab/>
        <w:t>ETTYK@gmc.gov.il</w:t>
      </w:r>
    </w:p>
    <w:p w14:paraId="5692519A" w14:textId="77777777" w:rsidR="004B51F2" w:rsidRPr="005D29E2" w:rsidRDefault="004B51F2" w:rsidP="005D29E2">
      <w:pPr>
        <w:spacing w:after="0" w:line="240" w:lineRule="auto"/>
        <w:jc w:val="both"/>
        <w:rPr>
          <w:rFonts w:ascii="Calibri" w:hAnsi="Calibri" w:cs="Calibri"/>
          <w:sz w:val="24"/>
          <w:szCs w:val="24"/>
          <w:lang w:val="en-US"/>
        </w:rPr>
      </w:pPr>
    </w:p>
    <w:p w14:paraId="42177691" w14:textId="77777777" w:rsidR="004B51F2"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 xml:space="preserve">Corresponding author: </w:t>
      </w:r>
    </w:p>
    <w:p w14:paraId="4706CC2C" w14:textId="38B2E28A" w:rsidR="00655041"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Mona Boaz</w:t>
      </w:r>
      <w:r w:rsidR="004B51F2" w:rsidRPr="005D29E2">
        <w:rPr>
          <w:rFonts w:ascii="Calibri" w:hAnsi="Calibri" w:cs="Calibri"/>
          <w:sz w:val="24"/>
          <w:szCs w:val="24"/>
          <w:lang w:val="en-US"/>
        </w:rPr>
        <w:tab/>
      </w:r>
      <w:r w:rsidR="004B51F2" w:rsidRPr="005D29E2">
        <w:rPr>
          <w:rFonts w:ascii="Calibri" w:hAnsi="Calibri" w:cs="Calibri"/>
          <w:sz w:val="24"/>
          <w:szCs w:val="24"/>
          <w:lang w:val="en-US"/>
        </w:rPr>
        <w:tab/>
      </w:r>
      <w:r w:rsidR="004B51F2" w:rsidRPr="005D29E2">
        <w:rPr>
          <w:rFonts w:ascii="Calibri" w:hAnsi="Calibri" w:cs="Calibri"/>
          <w:sz w:val="24"/>
          <w:szCs w:val="24"/>
          <w:lang w:val="en-US"/>
        </w:rPr>
        <w:tab/>
      </w:r>
      <w:r w:rsidR="004B51F2" w:rsidRPr="005D29E2">
        <w:rPr>
          <w:rFonts w:ascii="Calibri" w:hAnsi="Calibri" w:cs="Calibri"/>
          <w:sz w:val="24"/>
          <w:szCs w:val="24"/>
          <w:lang w:val="en-US"/>
        </w:rPr>
        <w:tab/>
      </w:r>
      <w:hyperlink r:id="rId7" w:history="1">
        <w:r w:rsidR="004B51F2" w:rsidRPr="005D29E2">
          <w:rPr>
            <w:rStyle w:val="Hyperlink"/>
            <w:rFonts w:ascii="Calibri" w:hAnsi="Calibri" w:cs="Calibri"/>
            <w:color w:val="auto"/>
            <w:sz w:val="24"/>
            <w:szCs w:val="24"/>
            <w:lang w:val="en-US"/>
          </w:rPr>
          <w:t>monabo@ariel.ac.il</w:t>
        </w:r>
      </w:hyperlink>
    </w:p>
    <w:p w14:paraId="6291C8CC" w14:textId="77777777" w:rsidR="008128F0" w:rsidRPr="005D29E2" w:rsidRDefault="008128F0" w:rsidP="005D29E2">
      <w:pPr>
        <w:spacing w:after="0" w:line="240" w:lineRule="auto"/>
        <w:jc w:val="both"/>
        <w:rPr>
          <w:rFonts w:ascii="Calibri" w:hAnsi="Calibri" w:cs="Calibri"/>
          <w:sz w:val="24"/>
          <w:szCs w:val="24"/>
          <w:lang w:val="en-US"/>
        </w:rPr>
      </w:pPr>
    </w:p>
    <w:p w14:paraId="24ABF423" w14:textId="6A88F3CC" w:rsidR="004B51F2"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 xml:space="preserve">SUMMARY: </w:t>
      </w:r>
    </w:p>
    <w:p w14:paraId="4429F7EC" w14:textId="4436D271" w:rsidR="00A069A0"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This study examined ethnic differences in dietary intake and adherence to ISRNM guidelines among hemodialysis patients in Israel. Arabic-speaking minorities had higher energy intake but lower protein proportion than Jewish patients. Despite </w:t>
      </w:r>
      <w:r w:rsidR="00E47D24" w:rsidRPr="005D29E2">
        <w:rPr>
          <w:rFonts w:ascii="Calibri" w:hAnsi="Calibri" w:cs="Calibri"/>
          <w:sz w:val="24"/>
          <w:szCs w:val="24"/>
          <w:lang w:val="en-US"/>
        </w:rPr>
        <w:t>differences in intake</w:t>
      </w:r>
      <w:r w:rsidRPr="005D29E2">
        <w:rPr>
          <w:rFonts w:ascii="Calibri" w:hAnsi="Calibri" w:cs="Calibri"/>
          <w:sz w:val="24"/>
          <w:szCs w:val="24"/>
          <w:lang w:val="en-US"/>
        </w:rPr>
        <w:t>, malnutrition risk was similar, underscoring the need for culturally tailored nutritional interventions.</w:t>
      </w:r>
    </w:p>
    <w:p w14:paraId="2BDFA175" w14:textId="1918E6AA" w:rsidR="008128F0" w:rsidRPr="005D29E2" w:rsidRDefault="008128F0" w:rsidP="005D29E2">
      <w:pPr>
        <w:spacing w:after="0" w:line="240" w:lineRule="auto"/>
        <w:jc w:val="both"/>
        <w:rPr>
          <w:rFonts w:ascii="Calibri" w:hAnsi="Calibri" w:cs="Calibri"/>
          <w:sz w:val="24"/>
          <w:szCs w:val="24"/>
          <w:lang w:val="en-US"/>
        </w:rPr>
      </w:pPr>
    </w:p>
    <w:p w14:paraId="25769452" w14:textId="17524091" w:rsidR="00AE3190"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A</w:t>
      </w:r>
      <w:r w:rsidR="004B51F2" w:rsidRPr="005D29E2">
        <w:rPr>
          <w:rFonts w:ascii="Calibri" w:hAnsi="Calibri" w:cs="Calibri"/>
          <w:b/>
          <w:bCs/>
          <w:sz w:val="24"/>
          <w:szCs w:val="24"/>
          <w:lang w:val="en-US"/>
        </w:rPr>
        <w:t>BSTRACT:</w:t>
      </w:r>
    </w:p>
    <w:p w14:paraId="6E284B53" w14:textId="13ACFF80" w:rsidR="00AE3190"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Protein–energy wasting (PEW) is common in hemodialysis (HD) and is associated with poor clinical outcomes. Although adequate dietary intake improves survival, many patients fail to meet recommended targets. Ethnic disparities in diet and PEW suggest cultural influences. Israel’s diverse population provides a unique setting to examine ethnicity-related differences in dietary intake and malnutrition risk among HD patients.</w:t>
      </w:r>
      <w:r w:rsidR="004B51F2" w:rsidRPr="005D29E2">
        <w:rPr>
          <w:rFonts w:ascii="Calibri" w:hAnsi="Calibri" w:cs="Calibri"/>
          <w:sz w:val="24"/>
          <w:szCs w:val="24"/>
          <w:lang w:val="en-US"/>
        </w:rPr>
        <w:t xml:space="preserve"> This study sought t</w:t>
      </w:r>
      <w:r w:rsidRPr="005D29E2">
        <w:rPr>
          <w:rFonts w:ascii="Calibri" w:hAnsi="Calibri" w:cs="Calibri"/>
          <w:sz w:val="24"/>
          <w:szCs w:val="24"/>
          <w:lang w:val="en-US"/>
        </w:rPr>
        <w:t>o compare dietary intake and adherence to International Society for Renal Nutrition and Metabolism (ISRNM) nutrition guidelines in HD patients by ethnicity.</w:t>
      </w:r>
      <w:r w:rsidR="004B51F2" w:rsidRPr="005D29E2">
        <w:rPr>
          <w:rFonts w:ascii="Calibri" w:hAnsi="Calibri" w:cs="Calibri"/>
          <w:sz w:val="24"/>
          <w:szCs w:val="24"/>
          <w:lang w:val="en-US"/>
        </w:rPr>
        <w:t xml:space="preserve"> </w:t>
      </w:r>
      <w:r w:rsidRPr="005D29E2">
        <w:rPr>
          <w:rFonts w:ascii="Calibri" w:hAnsi="Calibri" w:cs="Calibri"/>
          <w:sz w:val="24"/>
          <w:szCs w:val="24"/>
          <w:lang w:val="en-US"/>
        </w:rPr>
        <w:t>All HD patients at Galilee Medical Center (Nahariya) and Ziv Medical Center (Tzfat), Israel, who provided informed consent were included. Participants completed a 24</w:t>
      </w:r>
      <w:r w:rsidR="006E790F" w:rsidRPr="005D29E2">
        <w:rPr>
          <w:rFonts w:ascii="Calibri" w:hAnsi="Calibri" w:cs="Calibri"/>
          <w:sz w:val="24"/>
          <w:szCs w:val="24"/>
          <w:lang w:val="en-US"/>
        </w:rPr>
        <w:t xml:space="preserve"> h</w:t>
      </w:r>
      <w:r w:rsidRPr="005D29E2">
        <w:rPr>
          <w:rFonts w:ascii="Calibri" w:hAnsi="Calibri" w:cs="Calibri"/>
          <w:sz w:val="24"/>
          <w:szCs w:val="24"/>
          <w:lang w:val="en-US"/>
        </w:rPr>
        <w:t xml:space="preserve"> dietary recall in their preferred language. Nutrient intake was analyzed</w:t>
      </w:r>
      <w:r w:rsidR="00E47D24" w:rsidRPr="005D29E2">
        <w:rPr>
          <w:rFonts w:ascii="Calibri" w:hAnsi="Calibri" w:cs="Calibri"/>
          <w:sz w:val="24"/>
          <w:szCs w:val="24"/>
          <w:lang w:val="en-US"/>
        </w:rPr>
        <w:t>,</w:t>
      </w:r>
      <w:r w:rsidRPr="005D29E2">
        <w:rPr>
          <w:rFonts w:ascii="Calibri" w:hAnsi="Calibri" w:cs="Calibri"/>
          <w:sz w:val="24"/>
          <w:szCs w:val="24"/>
          <w:lang w:val="en-US"/>
        </w:rPr>
        <w:t xml:space="preserve"> </w:t>
      </w:r>
      <w:r w:rsidR="00FE496C" w:rsidRPr="005D29E2">
        <w:rPr>
          <w:rFonts w:ascii="Calibri" w:hAnsi="Calibri" w:cs="Calibri"/>
          <w:sz w:val="24"/>
          <w:szCs w:val="24"/>
          <w:lang w:val="en-US"/>
        </w:rPr>
        <w:t>and m</w:t>
      </w:r>
      <w:r w:rsidRPr="005D29E2">
        <w:rPr>
          <w:rFonts w:ascii="Calibri" w:hAnsi="Calibri" w:cs="Calibri"/>
          <w:sz w:val="24"/>
          <w:szCs w:val="24"/>
          <w:lang w:val="en-US"/>
        </w:rPr>
        <w:t xml:space="preserve">edical and demographic data were extracted from electronic records. Analyses </w:t>
      </w:r>
      <w:r w:rsidR="00E47D24" w:rsidRPr="005D29E2">
        <w:rPr>
          <w:rFonts w:ascii="Calibri" w:hAnsi="Calibri" w:cs="Calibri"/>
          <w:sz w:val="24"/>
          <w:szCs w:val="24"/>
          <w:lang w:val="en-US"/>
        </w:rPr>
        <w:t>include</w:t>
      </w:r>
      <w:r w:rsidRPr="005D29E2">
        <w:rPr>
          <w:rFonts w:ascii="Calibri" w:hAnsi="Calibri" w:cs="Calibri"/>
          <w:sz w:val="24"/>
          <w:szCs w:val="24"/>
          <w:lang w:val="en-US"/>
        </w:rPr>
        <w:t xml:space="preserve"> logistic regression models for energy intake (per kg ideal body weight) and malnutrition risk.</w:t>
      </w:r>
      <w:r w:rsidR="004B51F2" w:rsidRPr="005D29E2">
        <w:rPr>
          <w:rFonts w:ascii="Calibri" w:hAnsi="Calibri" w:cs="Calibri"/>
          <w:sz w:val="24"/>
          <w:szCs w:val="24"/>
          <w:lang w:val="en-US"/>
        </w:rPr>
        <w:t xml:space="preserve"> </w:t>
      </w:r>
      <w:r w:rsidRPr="005D29E2">
        <w:rPr>
          <w:rFonts w:ascii="Calibri" w:hAnsi="Calibri" w:cs="Calibri"/>
          <w:sz w:val="24"/>
          <w:szCs w:val="24"/>
          <w:lang w:val="en-US"/>
        </w:rPr>
        <w:t xml:space="preserve">A total of 132 patients participated (35 Druze, 32 Arabs, 65 Jews). Druze and Arabs were grouped as Arabic-speaking minorities (ASM). Compared with Jewish patients, ASM patients had higher energy intake per kg ideal body weight but lower protein as a proportion of total energy, and higher intake of riboflavin, niacin, potassium, and sodium. Adherence to ISRNM energy recommendations was higher in ASM patients, though overall adherence remained low. Malnutrition risk did not differ significantly between groups; however, eating alone was more common among Jewish patients and was associated with </w:t>
      </w:r>
      <w:r w:rsidRPr="005D29E2">
        <w:rPr>
          <w:rFonts w:ascii="Calibri" w:hAnsi="Calibri" w:cs="Calibri"/>
          <w:sz w:val="24"/>
          <w:szCs w:val="24"/>
          <w:lang w:val="en-US"/>
        </w:rPr>
        <w:lastRenderedPageBreak/>
        <w:t>increased malnutrition risk.</w:t>
      </w:r>
      <w:r w:rsidR="004B51F2" w:rsidRPr="005D29E2">
        <w:rPr>
          <w:rFonts w:ascii="Calibri" w:hAnsi="Calibri" w:cs="Calibri"/>
          <w:sz w:val="24"/>
          <w:szCs w:val="24"/>
          <w:lang w:val="en-US"/>
        </w:rPr>
        <w:t xml:space="preserve"> </w:t>
      </w:r>
      <w:r w:rsidRPr="005D29E2">
        <w:rPr>
          <w:rFonts w:ascii="Calibri" w:hAnsi="Calibri" w:cs="Calibri"/>
          <w:sz w:val="24"/>
          <w:szCs w:val="24"/>
          <w:lang w:val="en-US"/>
        </w:rPr>
        <w:t>Ethnicity-related differences in dietary intake and adherence to energy guidelines were observed</w:t>
      </w:r>
      <w:r w:rsidR="006E790F" w:rsidRPr="005D29E2">
        <w:rPr>
          <w:rFonts w:ascii="Calibri" w:hAnsi="Calibri" w:cs="Calibri"/>
          <w:sz w:val="24"/>
          <w:szCs w:val="24"/>
          <w:lang w:val="en-US"/>
        </w:rPr>
        <w:t>, but no differences in malnutrition risk were found</w:t>
      </w:r>
      <w:r w:rsidRPr="005D29E2">
        <w:rPr>
          <w:rFonts w:ascii="Calibri" w:hAnsi="Calibri" w:cs="Calibri"/>
          <w:sz w:val="24"/>
          <w:szCs w:val="24"/>
          <w:lang w:val="en-US"/>
        </w:rPr>
        <w:t xml:space="preserve">. These findings </w:t>
      </w:r>
      <w:r w:rsidR="00035F4A" w:rsidRPr="005D29E2">
        <w:rPr>
          <w:rFonts w:ascii="Calibri" w:hAnsi="Calibri" w:cs="Calibri"/>
          <w:sz w:val="24"/>
          <w:szCs w:val="24"/>
          <w:lang w:val="en-US"/>
        </w:rPr>
        <w:t xml:space="preserve">indicate ethnic differences in dietary intake patterns that may respond to culturally adapted recommendations. </w:t>
      </w:r>
      <w:r w:rsidRPr="005D29E2">
        <w:rPr>
          <w:rFonts w:ascii="Calibri" w:hAnsi="Calibri" w:cs="Calibri"/>
          <w:sz w:val="24"/>
          <w:szCs w:val="24"/>
          <w:lang w:val="en-US"/>
        </w:rPr>
        <w:t xml:space="preserve"> </w:t>
      </w:r>
    </w:p>
    <w:p w14:paraId="212ADF44" w14:textId="77777777" w:rsidR="004B51F2" w:rsidRPr="005D29E2" w:rsidRDefault="004B51F2" w:rsidP="005D29E2">
      <w:pPr>
        <w:spacing w:after="0" w:line="240" w:lineRule="auto"/>
        <w:jc w:val="both"/>
        <w:rPr>
          <w:rFonts w:ascii="Calibri" w:hAnsi="Calibri" w:cs="Calibri"/>
          <w:sz w:val="24"/>
          <w:szCs w:val="24"/>
          <w:lang w:val="en-US"/>
        </w:rPr>
      </w:pPr>
    </w:p>
    <w:p w14:paraId="71139B5F" w14:textId="7FB184A3" w:rsidR="001F3C35"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INTRODUCTION:</w:t>
      </w:r>
    </w:p>
    <w:p w14:paraId="183C8D24" w14:textId="2D112444"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In people with chronic kidney disease (CKD) receiving hemodialysis (HD) as their kidney replacement therapy, protein–energy wasting (PEW) is frequently observed and can be defined by diminished protein and energy reserves driven by inadequate dietary intake, inflammation, metabolic derangements, together with dialysis-related nutrient losses</w:t>
      </w:r>
      <w:r w:rsidRPr="005D29E2">
        <w:rPr>
          <w:rFonts w:ascii="Calibri" w:hAnsi="Calibri" w:cs="Calibri"/>
          <w:sz w:val="24"/>
          <w:szCs w:val="24"/>
          <w:vertAlign w:val="superscript"/>
          <w:lang w:val="en-US"/>
        </w:rPr>
        <w:t>1</w:t>
      </w:r>
      <w:r w:rsidRPr="005D29E2">
        <w:rPr>
          <w:rFonts w:ascii="Calibri" w:hAnsi="Calibri" w:cs="Calibri"/>
          <w:sz w:val="24"/>
          <w:szCs w:val="24"/>
          <w:lang w:val="en-US"/>
        </w:rPr>
        <w:t>.</w:t>
      </w:r>
      <w:r w:rsidR="006E790F" w:rsidRPr="005D29E2">
        <w:rPr>
          <w:rFonts w:ascii="Calibri" w:hAnsi="Calibri" w:cs="Calibri"/>
          <w:sz w:val="24"/>
          <w:szCs w:val="24"/>
          <w:lang w:val="en-US"/>
        </w:rPr>
        <w:t xml:space="preserve"> </w:t>
      </w:r>
      <w:r w:rsidRPr="005D29E2">
        <w:rPr>
          <w:rFonts w:ascii="Calibri" w:hAnsi="Calibri" w:cs="Calibri"/>
          <w:sz w:val="24"/>
          <w:szCs w:val="24"/>
          <w:lang w:val="en-US"/>
        </w:rPr>
        <w:t>Inadequate dietary intake increases risk of inflammation, sarcopenia, functional decline</w:t>
      </w:r>
      <w:r w:rsidR="005D29E2">
        <w:rPr>
          <w:rFonts w:ascii="Calibri" w:hAnsi="Calibri" w:cs="Calibri"/>
          <w:sz w:val="24"/>
          <w:szCs w:val="24"/>
          <w:lang w:val="en-US"/>
        </w:rPr>
        <w:t>,</w:t>
      </w:r>
      <w:r w:rsidRPr="005D29E2">
        <w:rPr>
          <w:rFonts w:ascii="Calibri" w:hAnsi="Calibri" w:cs="Calibri"/>
          <w:sz w:val="24"/>
          <w:szCs w:val="24"/>
          <w:lang w:val="en-US"/>
        </w:rPr>
        <w:t xml:space="preserve"> and mortality</w:t>
      </w:r>
      <w:r w:rsidRPr="005D29E2">
        <w:rPr>
          <w:rFonts w:ascii="Calibri" w:hAnsi="Calibri" w:cs="Calibri"/>
          <w:sz w:val="24"/>
          <w:szCs w:val="24"/>
          <w:vertAlign w:val="superscript"/>
          <w:lang w:val="en-US"/>
        </w:rPr>
        <w:t>2</w:t>
      </w:r>
      <w:r w:rsidRPr="005D29E2">
        <w:rPr>
          <w:rFonts w:ascii="Calibri" w:hAnsi="Calibri" w:cs="Calibri"/>
          <w:sz w:val="24"/>
          <w:szCs w:val="24"/>
          <w:lang w:val="en-US"/>
        </w:rPr>
        <w:t>. Conversely, dietary intake aligning with recommended ranges is associated with improved nutritional status and survival among people on HD</w:t>
      </w:r>
      <w:r w:rsidRPr="005D29E2">
        <w:rPr>
          <w:rFonts w:ascii="Calibri" w:hAnsi="Calibri" w:cs="Calibri"/>
          <w:sz w:val="24"/>
          <w:szCs w:val="24"/>
          <w:vertAlign w:val="superscript"/>
          <w:lang w:val="en-US"/>
        </w:rPr>
        <w:t>3</w:t>
      </w:r>
      <w:r w:rsidRPr="005D29E2">
        <w:rPr>
          <w:rFonts w:ascii="Calibri" w:hAnsi="Calibri" w:cs="Calibri"/>
          <w:sz w:val="24"/>
          <w:szCs w:val="24"/>
          <w:lang w:val="en-US"/>
        </w:rPr>
        <w:t>. The International Society for Renal Nutrition and Metabolism (ISRNM) has identified adequate dietary energy and protein</w:t>
      </w:r>
      <w:r w:rsidR="00FE496C" w:rsidRPr="005D29E2">
        <w:rPr>
          <w:rFonts w:ascii="Calibri" w:hAnsi="Calibri" w:cs="Calibri"/>
          <w:sz w:val="24"/>
          <w:szCs w:val="24"/>
          <w:lang w:val="en-US"/>
        </w:rPr>
        <w:t>.</w:t>
      </w:r>
      <w:r w:rsidRPr="005D29E2">
        <w:rPr>
          <w:rFonts w:ascii="Calibri" w:hAnsi="Calibri" w:cs="Calibri"/>
          <w:sz w:val="24"/>
          <w:szCs w:val="24"/>
          <w:lang w:val="en-US"/>
        </w:rPr>
        <w:t xml:space="preserve"> Inadequate dietary intake, a key contributor to PEW, increases risk of inflammation, sarcopenia, functional decline</w:t>
      </w:r>
      <w:r w:rsidR="00FE496C" w:rsidRPr="005D29E2">
        <w:rPr>
          <w:rFonts w:ascii="Calibri" w:hAnsi="Calibri" w:cs="Calibri"/>
          <w:sz w:val="24"/>
          <w:szCs w:val="24"/>
          <w:lang w:val="en-US"/>
        </w:rPr>
        <w:t>,</w:t>
      </w:r>
      <w:r w:rsidRPr="005D29E2">
        <w:rPr>
          <w:rFonts w:ascii="Calibri" w:hAnsi="Calibri" w:cs="Calibri"/>
          <w:sz w:val="24"/>
          <w:szCs w:val="24"/>
          <w:lang w:val="en-US"/>
        </w:rPr>
        <w:t xml:space="preserve"> and mortality; conversely, dietary intake aligning with</w:t>
      </w:r>
      <w:r w:rsidR="006E790F" w:rsidRPr="005D29E2">
        <w:rPr>
          <w:rFonts w:ascii="Calibri" w:hAnsi="Calibri" w:cs="Calibri"/>
          <w:sz w:val="24"/>
          <w:szCs w:val="24"/>
          <w:lang w:val="en-US"/>
        </w:rPr>
        <w:t xml:space="preserve"> </w:t>
      </w:r>
      <w:r w:rsidRPr="005D29E2">
        <w:rPr>
          <w:rFonts w:ascii="Calibri" w:hAnsi="Calibri" w:cs="Calibri"/>
          <w:sz w:val="24"/>
          <w:szCs w:val="24"/>
          <w:lang w:val="en-US"/>
        </w:rPr>
        <w:t>recommended ranges is associated with improved nutritional status and survival among people on HD.</w:t>
      </w:r>
      <w:r w:rsidR="00081D41" w:rsidRPr="005D29E2">
        <w:rPr>
          <w:rFonts w:ascii="Calibri" w:hAnsi="Calibri" w:cs="Calibri"/>
          <w:sz w:val="24"/>
          <w:szCs w:val="24"/>
          <w:lang w:val="en-US"/>
        </w:rPr>
        <w:t xml:space="preserve"> Nutrition</w:t>
      </w:r>
      <w:r w:rsidRPr="005D29E2">
        <w:rPr>
          <w:rFonts w:ascii="Calibri" w:hAnsi="Calibri" w:cs="Calibri"/>
          <w:sz w:val="24"/>
          <w:szCs w:val="24"/>
          <w:lang w:val="en-US"/>
        </w:rPr>
        <w:t xml:space="preserve"> intake </w:t>
      </w:r>
      <w:r w:rsidR="00081D41" w:rsidRPr="005D29E2">
        <w:rPr>
          <w:rFonts w:ascii="Calibri" w:hAnsi="Calibri" w:cs="Calibri"/>
          <w:sz w:val="24"/>
          <w:szCs w:val="24"/>
          <w:lang w:val="en-US"/>
        </w:rPr>
        <w:t xml:space="preserve">has been identified </w:t>
      </w:r>
      <w:r w:rsidRPr="005D29E2">
        <w:rPr>
          <w:rFonts w:ascii="Calibri" w:hAnsi="Calibri" w:cs="Calibri"/>
          <w:sz w:val="24"/>
          <w:szCs w:val="24"/>
          <w:lang w:val="en-US"/>
        </w:rPr>
        <w:t xml:space="preserve">as </w:t>
      </w:r>
      <w:r w:rsidR="00081D41" w:rsidRPr="005D29E2">
        <w:rPr>
          <w:rFonts w:ascii="Calibri" w:hAnsi="Calibri" w:cs="Calibri"/>
          <w:sz w:val="24"/>
          <w:szCs w:val="24"/>
          <w:lang w:val="en-US"/>
        </w:rPr>
        <w:t xml:space="preserve">a </w:t>
      </w:r>
      <w:r w:rsidRPr="005D29E2">
        <w:rPr>
          <w:rFonts w:ascii="Calibri" w:hAnsi="Calibri" w:cs="Calibri"/>
          <w:sz w:val="24"/>
          <w:szCs w:val="24"/>
          <w:lang w:val="en-US"/>
        </w:rPr>
        <w:t>modifiable target in the prevention and management of PEW</w:t>
      </w:r>
      <w:r w:rsidRPr="005D29E2">
        <w:rPr>
          <w:rFonts w:ascii="Calibri" w:hAnsi="Calibri" w:cs="Calibri"/>
          <w:sz w:val="24"/>
          <w:szCs w:val="24"/>
          <w:vertAlign w:val="superscript"/>
          <w:lang w:val="en-US"/>
        </w:rPr>
        <w:t>4</w:t>
      </w:r>
      <w:r w:rsidRPr="005D29E2">
        <w:rPr>
          <w:rFonts w:ascii="Calibri" w:hAnsi="Calibri" w:cs="Calibri"/>
          <w:sz w:val="24"/>
          <w:szCs w:val="24"/>
          <w:lang w:val="en-US"/>
        </w:rPr>
        <w:t>.</w:t>
      </w:r>
    </w:p>
    <w:p w14:paraId="396578D6" w14:textId="77777777" w:rsidR="006E790F" w:rsidRPr="005D29E2" w:rsidRDefault="006E790F" w:rsidP="005D29E2">
      <w:pPr>
        <w:spacing w:after="0" w:line="240" w:lineRule="auto"/>
        <w:jc w:val="both"/>
        <w:rPr>
          <w:rFonts w:ascii="Calibri" w:hAnsi="Calibri" w:cs="Calibri"/>
          <w:sz w:val="24"/>
          <w:szCs w:val="24"/>
          <w:lang w:val="en-US"/>
        </w:rPr>
      </w:pPr>
    </w:p>
    <w:p w14:paraId="65FF5AD8" w14:textId="73691AB6"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Treating PEW in HD patients can be challenging. Adherence to dietary recommendations among HD patients is associated with finances, complicated diet instructions, dietary restrictions, personal food preferences</w:t>
      </w:r>
      <w:r w:rsidR="00F613A3" w:rsidRPr="005D29E2">
        <w:rPr>
          <w:rFonts w:ascii="Calibri" w:hAnsi="Calibri" w:cs="Calibri"/>
          <w:sz w:val="24"/>
          <w:szCs w:val="24"/>
          <w:lang w:val="en-US"/>
        </w:rPr>
        <w:t>,</w:t>
      </w:r>
      <w:r w:rsidRPr="005D29E2">
        <w:rPr>
          <w:rFonts w:ascii="Calibri" w:hAnsi="Calibri" w:cs="Calibri"/>
          <w:sz w:val="24"/>
          <w:szCs w:val="24"/>
          <w:lang w:val="en-US"/>
        </w:rPr>
        <w:t xml:space="preserve"> and uremic symptoms</w:t>
      </w:r>
      <w:r w:rsidRPr="005D29E2">
        <w:rPr>
          <w:rFonts w:ascii="Calibri" w:hAnsi="Calibri" w:cs="Calibri"/>
          <w:sz w:val="24"/>
          <w:szCs w:val="24"/>
          <w:vertAlign w:val="superscript"/>
          <w:lang w:val="en-US"/>
        </w:rPr>
        <w:t>5</w:t>
      </w:r>
      <w:r w:rsidRPr="005D29E2">
        <w:rPr>
          <w:rFonts w:ascii="Calibri" w:hAnsi="Calibri" w:cs="Calibri"/>
          <w:sz w:val="24"/>
          <w:szCs w:val="24"/>
          <w:lang w:val="en-US"/>
        </w:rPr>
        <w:t>.</w:t>
      </w:r>
      <w:r w:rsidR="006E790F" w:rsidRPr="005D29E2">
        <w:rPr>
          <w:rFonts w:ascii="Calibri" w:hAnsi="Calibri" w:cs="Calibri"/>
          <w:sz w:val="24"/>
          <w:szCs w:val="24"/>
          <w:lang w:val="en-US"/>
        </w:rPr>
        <w:t xml:space="preserve"> </w:t>
      </w:r>
      <w:r w:rsidRPr="005D29E2">
        <w:rPr>
          <w:rFonts w:ascii="Calibri" w:hAnsi="Calibri" w:cs="Calibri"/>
          <w:sz w:val="24"/>
          <w:szCs w:val="24"/>
          <w:lang w:val="en-US"/>
        </w:rPr>
        <w:t xml:space="preserve">A substantial proportion of HD patients fail to </w:t>
      </w:r>
      <w:r w:rsidR="00E47D24" w:rsidRPr="005D29E2">
        <w:rPr>
          <w:rFonts w:ascii="Calibri" w:hAnsi="Calibri" w:cs="Calibri"/>
          <w:sz w:val="24"/>
          <w:szCs w:val="24"/>
          <w:lang w:val="en-US"/>
        </w:rPr>
        <w:t>adhere to dietary recommendations,</w:t>
      </w:r>
      <w:r w:rsidR="00F613A3" w:rsidRPr="005D29E2">
        <w:rPr>
          <w:rFonts w:ascii="Calibri" w:hAnsi="Calibri" w:cs="Calibri"/>
          <w:sz w:val="24"/>
          <w:szCs w:val="24"/>
          <w:lang w:val="en-US"/>
        </w:rPr>
        <w:t xml:space="preserve"> even in settings with routine nutrition counseling</w:t>
      </w:r>
      <w:r w:rsidRPr="005D29E2">
        <w:rPr>
          <w:rFonts w:ascii="Calibri" w:hAnsi="Calibri" w:cs="Calibri"/>
          <w:sz w:val="24"/>
          <w:szCs w:val="24"/>
          <w:vertAlign w:val="superscript"/>
          <w:lang w:val="en-US"/>
        </w:rPr>
        <w:t>6</w:t>
      </w:r>
      <w:r w:rsidRPr="005D29E2">
        <w:rPr>
          <w:rFonts w:ascii="Calibri" w:hAnsi="Calibri" w:cs="Calibri"/>
          <w:sz w:val="24"/>
          <w:szCs w:val="24"/>
          <w:lang w:val="en-US"/>
        </w:rPr>
        <w:t xml:space="preserve">. </w:t>
      </w:r>
    </w:p>
    <w:p w14:paraId="25C811C1" w14:textId="77777777" w:rsidR="006E790F" w:rsidRPr="005D29E2" w:rsidRDefault="006E790F" w:rsidP="005D29E2">
      <w:pPr>
        <w:spacing w:after="0" w:line="240" w:lineRule="auto"/>
        <w:jc w:val="both"/>
        <w:rPr>
          <w:rFonts w:ascii="Calibri" w:hAnsi="Calibri" w:cs="Calibri"/>
          <w:sz w:val="24"/>
          <w:szCs w:val="24"/>
          <w:lang w:val="en-US"/>
        </w:rPr>
      </w:pPr>
    </w:p>
    <w:p w14:paraId="104CF639" w14:textId="74EF50C7"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Ethnic differences in PEW risk have been identified in </w:t>
      </w:r>
      <w:proofErr w:type="gramStart"/>
      <w:r w:rsidRPr="005D29E2">
        <w:rPr>
          <w:rFonts w:ascii="Calibri" w:hAnsi="Calibri" w:cs="Calibri"/>
          <w:sz w:val="24"/>
          <w:szCs w:val="24"/>
          <w:lang w:val="en-US"/>
        </w:rPr>
        <w:t>a US</w:t>
      </w:r>
      <w:proofErr w:type="gramEnd"/>
      <w:r w:rsidRPr="005D29E2">
        <w:rPr>
          <w:rFonts w:ascii="Calibri" w:hAnsi="Calibri" w:cs="Calibri"/>
          <w:sz w:val="24"/>
          <w:szCs w:val="24"/>
          <w:lang w:val="en-US"/>
        </w:rPr>
        <w:t xml:space="preserve"> population of HD patients, though the mechanism explaining these differences has not been</w:t>
      </w:r>
      <w:r w:rsidR="006E790F" w:rsidRPr="005D29E2">
        <w:rPr>
          <w:rFonts w:ascii="Calibri" w:hAnsi="Calibri" w:cs="Calibri"/>
          <w:sz w:val="24"/>
          <w:szCs w:val="24"/>
          <w:lang w:val="en-US"/>
        </w:rPr>
        <w:t xml:space="preserve"> </w:t>
      </w:r>
      <w:r w:rsidRPr="005D29E2">
        <w:rPr>
          <w:rFonts w:ascii="Calibri" w:hAnsi="Calibri" w:cs="Calibri"/>
          <w:sz w:val="24"/>
          <w:szCs w:val="24"/>
          <w:lang w:val="en-US"/>
        </w:rPr>
        <w:t>definitively pinpointed</w:t>
      </w:r>
      <w:r w:rsidRPr="005D29E2">
        <w:rPr>
          <w:rFonts w:ascii="Calibri" w:hAnsi="Calibri" w:cs="Calibri"/>
          <w:sz w:val="24"/>
          <w:szCs w:val="24"/>
          <w:vertAlign w:val="superscript"/>
          <w:lang w:val="en-US"/>
        </w:rPr>
        <w:t>7</w:t>
      </w:r>
      <w:r w:rsidRPr="005D29E2">
        <w:rPr>
          <w:rFonts w:ascii="Calibri" w:hAnsi="Calibri" w:cs="Calibri"/>
          <w:sz w:val="24"/>
          <w:szCs w:val="24"/>
          <w:lang w:val="en-US"/>
        </w:rPr>
        <w:t>. Ethnicity has also been shown to be associated with diet quality in Malaysian HD patients</w:t>
      </w:r>
      <w:r w:rsidRPr="005D29E2">
        <w:rPr>
          <w:rFonts w:ascii="Calibri" w:hAnsi="Calibri" w:cs="Calibri"/>
          <w:sz w:val="24"/>
          <w:szCs w:val="24"/>
          <w:vertAlign w:val="superscript"/>
          <w:lang w:val="en-US"/>
        </w:rPr>
        <w:t>8</w:t>
      </w:r>
      <w:r w:rsidRPr="005D29E2">
        <w:rPr>
          <w:rFonts w:ascii="Calibri" w:hAnsi="Calibri" w:cs="Calibri"/>
          <w:sz w:val="24"/>
          <w:szCs w:val="24"/>
          <w:lang w:val="en-US"/>
        </w:rPr>
        <w:t xml:space="preserve">. Due to its cultural heterogeneity, Israel provides a unique context </w:t>
      </w:r>
      <w:r w:rsidR="00F613A3" w:rsidRPr="005D29E2">
        <w:rPr>
          <w:rFonts w:ascii="Calibri" w:hAnsi="Calibri" w:cs="Calibri"/>
          <w:sz w:val="24"/>
          <w:szCs w:val="24"/>
          <w:lang w:val="en-US"/>
        </w:rPr>
        <w:t>for examining the relationships among ethnicity, dietary intake, and health outcomes among</w:t>
      </w:r>
      <w:r w:rsidRPr="005D29E2">
        <w:rPr>
          <w:rFonts w:ascii="Calibri" w:hAnsi="Calibri" w:cs="Calibri"/>
          <w:sz w:val="24"/>
          <w:szCs w:val="24"/>
          <w:lang w:val="en-US"/>
        </w:rPr>
        <w:t xml:space="preserve"> people on HD. Dialysis care is delivered within a universal healthcare system, reducing disparities in access to renal replacement therapy and allied health services. At the same time, the population is characterized by discrete ethnic groups, consisting primarily of Jewish individuals alongside Arabic-speaking minority groups (ASM), including Arabs and Druze. These populations differ in language, cultural norms, dietary traditions, and socioeconomic characteristics, all of which are known determinants of dietary intake and health behaviors</w:t>
      </w:r>
      <w:r w:rsidRPr="005D29E2">
        <w:rPr>
          <w:rFonts w:ascii="Calibri" w:hAnsi="Calibri" w:cs="Calibri"/>
          <w:sz w:val="24"/>
          <w:szCs w:val="24"/>
          <w:vertAlign w:val="superscript"/>
          <w:lang w:val="en-US"/>
        </w:rPr>
        <w:t>9</w:t>
      </w:r>
      <w:r w:rsidRPr="005D29E2">
        <w:rPr>
          <w:rFonts w:ascii="Calibri" w:hAnsi="Calibri" w:cs="Calibri"/>
          <w:sz w:val="24"/>
          <w:szCs w:val="24"/>
          <w:lang w:val="en-US"/>
        </w:rPr>
        <w:t>. Prior research in the general Israeli population has documented ethnic disparities in diet quality, chronic disease burden, and metabolic health</w:t>
      </w:r>
      <w:r w:rsidRPr="005D29E2">
        <w:rPr>
          <w:rFonts w:ascii="Calibri" w:hAnsi="Calibri" w:cs="Calibri"/>
          <w:sz w:val="24"/>
          <w:szCs w:val="24"/>
          <w:vertAlign w:val="superscript"/>
          <w:lang w:val="en-US"/>
        </w:rPr>
        <w:t>10</w:t>
      </w:r>
      <w:r w:rsidRPr="005D29E2">
        <w:rPr>
          <w:rFonts w:ascii="Calibri" w:hAnsi="Calibri" w:cs="Calibri"/>
          <w:sz w:val="24"/>
          <w:szCs w:val="24"/>
          <w:lang w:val="en-US"/>
        </w:rPr>
        <w:t xml:space="preserve">. </w:t>
      </w:r>
      <w:r w:rsidR="001E1927" w:rsidRPr="005D29E2">
        <w:rPr>
          <w:rFonts w:ascii="Calibri" w:hAnsi="Calibri" w:cs="Calibri"/>
          <w:sz w:val="24"/>
          <w:szCs w:val="24"/>
          <w:lang w:val="en-US"/>
        </w:rPr>
        <w:t xml:space="preserve">Despite </w:t>
      </w:r>
      <w:r w:rsidR="00E47D24" w:rsidRPr="005D29E2">
        <w:rPr>
          <w:rFonts w:ascii="Calibri" w:hAnsi="Calibri" w:cs="Calibri"/>
          <w:sz w:val="24"/>
          <w:szCs w:val="24"/>
          <w:lang w:val="en-US"/>
        </w:rPr>
        <w:t xml:space="preserve">a </w:t>
      </w:r>
      <w:r w:rsidR="001E1927" w:rsidRPr="005D29E2">
        <w:rPr>
          <w:rFonts w:ascii="Calibri" w:hAnsi="Calibri" w:cs="Calibri"/>
          <w:sz w:val="24"/>
          <w:szCs w:val="24"/>
          <w:lang w:val="en-US"/>
        </w:rPr>
        <w:t>greater comorbidity burden, Arab HD patients have been shown to have improved survival compared to Jewish HD patients; however, the underlying mechanism for this association has not been determined</w:t>
      </w:r>
      <w:r w:rsidR="001E1927" w:rsidRPr="005D29E2">
        <w:rPr>
          <w:rFonts w:ascii="Calibri" w:hAnsi="Calibri" w:cs="Calibri"/>
          <w:sz w:val="24"/>
          <w:szCs w:val="24"/>
          <w:vertAlign w:val="superscript"/>
          <w:lang w:val="en-US"/>
        </w:rPr>
        <w:t>11</w:t>
      </w:r>
      <w:r w:rsidR="001E1927" w:rsidRPr="005D29E2">
        <w:rPr>
          <w:rFonts w:ascii="Calibri" w:hAnsi="Calibri" w:cs="Calibri"/>
          <w:sz w:val="24"/>
          <w:szCs w:val="24"/>
          <w:lang w:val="en-US"/>
        </w:rPr>
        <w:t xml:space="preserve">. </w:t>
      </w:r>
      <w:r w:rsidRPr="005D29E2">
        <w:rPr>
          <w:rFonts w:ascii="Calibri" w:hAnsi="Calibri" w:cs="Calibri"/>
          <w:sz w:val="24"/>
          <w:szCs w:val="24"/>
          <w:lang w:val="en-US"/>
        </w:rPr>
        <w:t xml:space="preserve">Whether these differences </w:t>
      </w:r>
      <w:r w:rsidR="007420E2" w:rsidRPr="005D29E2">
        <w:rPr>
          <w:rFonts w:ascii="Calibri" w:hAnsi="Calibri" w:cs="Calibri"/>
          <w:sz w:val="24"/>
          <w:szCs w:val="24"/>
          <w:lang w:val="en-US"/>
        </w:rPr>
        <w:t>are attributable to</w:t>
      </w:r>
      <w:r w:rsidRPr="005D29E2">
        <w:rPr>
          <w:rFonts w:ascii="Calibri" w:hAnsi="Calibri" w:cs="Calibri"/>
          <w:sz w:val="24"/>
          <w:szCs w:val="24"/>
          <w:lang w:val="en-US"/>
        </w:rPr>
        <w:t xml:space="preserve"> variability in dietary intake, adherence to dietary guidelines, metabolic markers</w:t>
      </w:r>
      <w:r w:rsidR="00E47D24" w:rsidRPr="005D29E2">
        <w:rPr>
          <w:rFonts w:ascii="Calibri" w:hAnsi="Calibri" w:cs="Calibri"/>
          <w:sz w:val="24"/>
          <w:szCs w:val="24"/>
          <w:lang w:val="en-US"/>
        </w:rPr>
        <w:t>,</w:t>
      </w:r>
      <w:r w:rsidRPr="005D29E2">
        <w:rPr>
          <w:rFonts w:ascii="Calibri" w:hAnsi="Calibri" w:cs="Calibri"/>
          <w:sz w:val="24"/>
          <w:szCs w:val="24"/>
          <w:lang w:val="en-US"/>
        </w:rPr>
        <w:t xml:space="preserve"> or malnutrition risk among </w:t>
      </w:r>
      <w:r w:rsidR="007420E2" w:rsidRPr="005D29E2">
        <w:rPr>
          <w:rFonts w:ascii="Calibri" w:hAnsi="Calibri" w:cs="Calibri"/>
          <w:sz w:val="24"/>
          <w:szCs w:val="24"/>
          <w:lang w:val="en-US"/>
        </w:rPr>
        <w:t xml:space="preserve">subgroups of </w:t>
      </w:r>
      <w:r w:rsidRPr="005D29E2">
        <w:rPr>
          <w:rFonts w:ascii="Calibri" w:hAnsi="Calibri" w:cs="Calibri"/>
          <w:sz w:val="24"/>
          <w:szCs w:val="24"/>
          <w:lang w:val="en-US"/>
        </w:rPr>
        <w:t>patients receiving HD remains undetermined.</w:t>
      </w:r>
    </w:p>
    <w:p w14:paraId="0AEBDB1B" w14:textId="77777777" w:rsidR="006E790F" w:rsidRPr="005D29E2" w:rsidRDefault="006E790F" w:rsidP="005D29E2">
      <w:pPr>
        <w:spacing w:after="0" w:line="240" w:lineRule="auto"/>
        <w:jc w:val="both"/>
        <w:rPr>
          <w:rFonts w:ascii="Calibri" w:hAnsi="Calibri" w:cs="Calibri"/>
          <w:sz w:val="24"/>
          <w:szCs w:val="24"/>
          <w:lang w:val="en-US"/>
        </w:rPr>
      </w:pPr>
    </w:p>
    <w:p w14:paraId="738EB5CE" w14:textId="42679ECB"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Given the central role of dietary intake in the pathogenesis of PEW and its strong association with dialysis outcomes, understanding whether ethnicity is associated with differences in </w:t>
      </w:r>
      <w:r w:rsidRPr="005D29E2">
        <w:rPr>
          <w:rFonts w:ascii="Calibri" w:hAnsi="Calibri" w:cs="Calibri"/>
          <w:sz w:val="24"/>
          <w:szCs w:val="24"/>
          <w:lang w:val="en-US"/>
        </w:rPr>
        <w:lastRenderedPageBreak/>
        <w:t xml:space="preserve">dietary intake and malnutrition risk is of substantial clinical importance. Identifying ethnicity-related disparities could inform the development of culturally tailored nutritional interventions aligned with ISRNM principles, </w:t>
      </w:r>
      <w:r w:rsidR="005D29E2">
        <w:rPr>
          <w:rFonts w:ascii="Calibri" w:hAnsi="Calibri" w:cs="Calibri"/>
          <w:sz w:val="24"/>
          <w:szCs w:val="24"/>
          <w:lang w:val="en-US"/>
        </w:rPr>
        <w:t>thereby improving</w:t>
      </w:r>
      <w:r w:rsidRPr="005D29E2">
        <w:rPr>
          <w:rFonts w:ascii="Calibri" w:hAnsi="Calibri" w:cs="Calibri"/>
          <w:sz w:val="24"/>
          <w:szCs w:val="24"/>
          <w:lang w:val="en-US"/>
        </w:rPr>
        <w:t xml:space="preserve"> nutritional status and outcomes in vulnerable patient groups.</w:t>
      </w:r>
    </w:p>
    <w:p w14:paraId="06F78617" w14:textId="77777777" w:rsidR="006E790F" w:rsidRPr="005D29E2" w:rsidRDefault="006E790F" w:rsidP="005D29E2">
      <w:pPr>
        <w:spacing w:after="0" w:line="240" w:lineRule="auto"/>
        <w:jc w:val="both"/>
        <w:rPr>
          <w:rFonts w:ascii="Calibri" w:hAnsi="Calibri" w:cs="Calibri"/>
          <w:sz w:val="24"/>
          <w:szCs w:val="24"/>
          <w:lang w:val="en-US"/>
        </w:rPr>
      </w:pPr>
    </w:p>
    <w:p w14:paraId="1E3E5763" w14:textId="6E496E17"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Against this background, the present study had two main objectives: 1) to determine if nutrition intake differed by ethnicity in terms of adherence to ISRNM dietary guidelines and</w:t>
      </w:r>
      <w:r w:rsidR="006E790F" w:rsidRPr="005D29E2">
        <w:rPr>
          <w:rFonts w:ascii="Calibri" w:hAnsi="Calibri" w:cs="Calibri"/>
          <w:sz w:val="24"/>
          <w:szCs w:val="24"/>
          <w:lang w:val="en-US"/>
        </w:rPr>
        <w:t xml:space="preserve"> </w:t>
      </w:r>
      <w:r w:rsidRPr="005D29E2">
        <w:rPr>
          <w:rFonts w:ascii="Calibri" w:hAnsi="Calibri" w:cs="Calibri"/>
          <w:sz w:val="24"/>
          <w:szCs w:val="24"/>
          <w:lang w:val="en-US"/>
        </w:rPr>
        <w:t>nutrient intake; and 2) to evaluate whether malnutrition risk metabolic indicators relevant to PEW differed between the two groups.</w:t>
      </w:r>
    </w:p>
    <w:p w14:paraId="0583A76B" w14:textId="77777777" w:rsidR="006E790F" w:rsidRPr="005D29E2" w:rsidRDefault="006E790F" w:rsidP="005D29E2">
      <w:pPr>
        <w:spacing w:after="0" w:line="240" w:lineRule="auto"/>
        <w:jc w:val="both"/>
        <w:rPr>
          <w:rFonts w:ascii="Calibri" w:hAnsi="Calibri" w:cs="Calibri"/>
          <w:sz w:val="24"/>
          <w:szCs w:val="24"/>
          <w:lang w:val="en-US"/>
        </w:rPr>
      </w:pPr>
    </w:p>
    <w:p w14:paraId="58AB25DD" w14:textId="58E92DE3" w:rsidR="001F3C35"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PROTOCOL:</w:t>
      </w:r>
    </w:p>
    <w:p w14:paraId="78943AAD" w14:textId="77777777" w:rsidR="006E790F" w:rsidRPr="005D29E2" w:rsidRDefault="006E790F" w:rsidP="005D29E2">
      <w:pPr>
        <w:spacing w:after="0" w:line="240" w:lineRule="auto"/>
        <w:jc w:val="both"/>
        <w:rPr>
          <w:rFonts w:ascii="Calibri" w:hAnsi="Calibri" w:cs="Calibri"/>
          <w:sz w:val="24"/>
          <w:szCs w:val="24"/>
          <w:lang w:val="en-US"/>
        </w:rPr>
      </w:pPr>
    </w:p>
    <w:p w14:paraId="335ECD15" w14:textId="20E4E3DA" w:rsidR="00845B31"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 xml:space="preserve">Study </w:t>
      </w:r>
      <w:r w:rsidR="006E790F" w:rsidRPr="005D29E2">
        <w:rPr>
          <w:rFonts w:ascii="Calibri" w:hAnsi="Calibri" w:cs="Calibri"/>
          <w:b/>
          <w:bCs/>
          <w:sz w:val="24"/>
          <w:szCs w:val="24"/>
          <w:lang w:val="en-US"/>
        </w:rPr>
        <w:t>d</w:t>
      </w:r>
      <w:r w:rsidRPr="005D29E2">
        <w:rPr>
          <w:rFonts w:ascii="Calibri" w:hAnsi="Calibri" w:cs="Calibri"/>
          <w:b/>
          <w:bCs/>
          <w:sz w:val="24"/>
          <w:szCs w:val="24"/>
          <w:lang w:val="en-US"/>
        </w:rPr>
        <w:t>esign</w:t>
      </w:r>
    </w:p>
    <w:p w14:paraId="38D87244" w14:textId="2AF7E551"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This cross-sectional, multi-center study included Jewish and ASM adults receiving HD as their kidney replacement therapy at either Ziv Medical Center or Galilee Medical Center in northern Israel. Dietary intake and </w:t>
      </w:r>
      <w:r w:rsidR="006E790F" w:rsidRPr="005D29E2">
        <w:rPr>
          <w:rFonts w:ascii="Calibri" w:hAnsi="Calibri" w:cs="Calibri"/>
          <w:sz w:val="24"/>
          <w:szCs w:val="24"/>
          <w:lang w:val="en-US"/>
        </w:rPr>
        <w:t>food-related behaviors were obtained through patient interviews</w:t>
      </w:r>
      <w:r w:rsidRPr="005D29E2">
        <w:rPr>
          <w:rFonts w:ascii="Calibri" w:hAnsi="Calibri" w:cs="Calibri"/>
          <w:sz w:val="24"/>
          <w:szCs w:val="24"/>
          <w:lang w:val="en-US"/>
        </w:rPr>
        <w:t>. Dialysis adequacy (Kt/V), demographic</w:t>
      </w:r>
      <w:r w:rsidR="00E47D24" w:rsidRPr="005D29E2">
        <w:rPr>
          <w:rFonts w:ascii="Calibri" w:hAnsi="Calibri" w:cs="Calibri"/>
          <w:sz w:val="24"/>
          <w:szCs w:val="24"/>
          <w:lang w:val="en-US"/>
        </w:rPr>
        <w:t xml:space="preserve"> and anthropometric parameters, biochemical parameters, medical history, and prescribed medications were extracted from patients'</w:t>
      </w:r>
      <w:r w:rsidRPr="005D29E2">
        <w:rPr>
          <w:rFonts w:ascii="Calibri" w:hAnsi="Calibri" w:cs="Calibri"/>
          <w:sz w:val="24"/>
          <w:szCs w:val="24"/>
          <w:lang w:val="en-US"/>
        </w:rPr>
        <w:t xml:space="preserve"> medical records at the time of the interview.</w:t>
      </w:r>
    </w:p>
    <w:p w14:paraId="62A47284" w14:textId="73BFA657"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br/>
        <w:t xml:space="preserve">This study was approved by the Helsinki Committees at each participating dialysis center: approval no. NHR-0087-22 from the Galilee Medical Center in Nahariya, and approval no. 0062-22-ZIV from Ziv Medical Center in Safed. Prior to enrollment, each participant received a detailed informed consent information sheet in Hebrew or Arabic per his/her preferred language, and participation was predicated on providing signed informed consent. </w:t>
      </w:r>
    </w:p>
    <w:p w14:paraId="3C4681F7" w14:textId="48093522"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br/>
        <w:t xml:space="preserve">The target population included both ASM and Jewish Israeli patients with chronic kidney disease (CKD) undergoing HD as their kidney replacement therapy. The study included all adult HD patients, both Jewish and ASM, treated at Ziv Medical Center or Galilee Medical Center in northern Israel, who signed informed consent between August 2022 and August 2023. Northern HD centers were selected </w:t>
      </w:r>
      <w:r w:rsidR="00F613A3" w:rsidRPr="005D29E2">
        <w:rPr>
          <w:rFonts w:ascii="Calibri" w:hAnsi="Calibri" w:cs="Calibri"/>
          <w:sz w:val="24"/>
          <w:szCs w:val="24"/>
          <w:lang w:val="en-US"/>
        </w:rPr>
        <w:t>because they had a</w:t>
      </w:r>
      <w:r w:rsidRPr="005D29E2">
        <w:rPr>
          <w:rFonts w:ascii="Calibri" w:hAnsi="Calibri" w:cs="Calibri"/>
          <w:sz w:val="24"/>
          <w:szCs w:val="24"/>
          <w:lang w:val="en-US"/>
        </w:rPr>
        <w:t xml:space="preserve"> relatively high proportion of ASM patients.</w:t>
      </w:r>
    </w:p>
    <w:p w14:paraId="5167FCD5" w14:textId="77777777" w:rsidR="006E790F" w:rsidRPr="005D29E2" w:rsidRDefault="006E790F" w:rsidP="005D29E2">
      <w:pPr>
        <w:spacing w:after="0" w:line="240" w:lineRule="auto"/>
        <w:jc w:val="both"/>
        <w:rPr>
          <w:rFonts w:ascii="Calibri" w:hAnsi="Calibri" w:cs="Calibri"/>
          <w:sz w:val="24"/>
          <w:szCs w:val="24"/>
          <w:lang w:val="en-US"/>
        </w:rPr>
      </w:pPr>
    </w:p>
    <w:p w14:paraId="77F4A4D6" w14:textId="3B3CC643"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b/>
          <w:bCs/>
          <w:sz w:val="24"/>
          <w:szCs w:val="24"/>
          <w:lang w:val="en-US"/>
        </w:rPr>
        <w:t>Inclusion/</w:t>
      </w:r>
      <w:r w:rsidR="002C681C" w:rsidRPr="005D29E2">
        <w:rPr>
          <w:rFonts w:ascii="Calibri" w:hAnsi="Calibri" w:cs="Calibri"/>
          <w:b/>
          <w:bCs/>
          <w:sz w:val="24"/>
          <w:szCs w:val="24"/>
          <w:lang w:val="en-US"/>
        </w:rPr>
        <w:t>e</w:t>
      </w:r>
      <w:r w:rsidRPr="005D29E2">
        <w:rPr>
          <w:rFonts w:ascii="Calibri" w:hAnsi="Calibri" w:cs="Calibri"/>
          <w:b/>
          <w:bCs/>
          <w:sz w:val="24"/>
          <w:szCs w:val="24"/>
          <w:lang w:val="en-US"/>
        </w:rPr>
        <w:t xml:space="preserve">xclusion </w:t>
      </w:r>
      <w:r w:rsidR="006E790F" w:rsidRPr="005D29E2">
        <w:rPr>
          <w:rFonts w:ascii="Calibri" w:hAnsi="Calibri" w:cs="Calibri"/>
          <w:b/>
          <w:bCs/>
          <w:sz w:val="24"/>
          <w:szCs w:val="24"/>
          <w:lang w:val="en-US"/>
        </w:rPr>
        <w:t>c</w:t>
      </w:r>
      <w:r w:rsidRPr="005D29E2">
        <w:rPr>
          <w:rFonts w:ascii="Calibri" w:hAnsi="Calibri" w:cs="Calibri"/>
          <w:b/>
          <w:bCs/>
          <w:sz w:val="24"/>
          <w:szCs w:val="24"/>
          <w:lang w:val="en-US"/>
        </w:rPr>
        <w:t>riteria</w:t>
      </w:r>
      <w:r w:rsidRPr="005D29E2">
        <w:rPr>
          <w:rFonts w:ascii="Calibri" w:hAnsi="Calibri" w:cs="Calibri"/>
          <w:sz w:val="24"/>
          <w:szCs w:val="24"/>
          <w:lang w:val="en-US"/>
        </w:rPr>
        <w:br/>
        <w:t xml:space="preserve">HD patients were eligible if they received dialysis at </w:t>
      </w:r>
      <w:r w:rsidR="00F613A3" w:rsidRPr="005D29E2">
        <w:rPr>
          <w:rFonts w:ascii="Calibri" w:hAnsi="Calibri" w:cs="Calibri"/>
          <w:sz w:val="24"/>
          <w:szCs w:val="24"/>
          <w:lang w:val="en-US"/>
        </w:rPr>
        <w:t>a participating center</w:t>
      </w:r>
      <w:r w:rsidRPr="005D29E2">
        <w:rPr>
          <w:rFonts w:ascii="Calibri" w:hAnsi="Calibri" w:cs="Calibri"/>
          <w:sz w:val="24"/>
          <w:szCs w:val="24"/>
          <w:lang w:val="en-US"/>
        </w:rPr>
        <w:t xml:space="preserve"> and provided signed informed consent. Patients receiving total parenteral nutrition or feeding via gastro-/jejunostomy tube were excluded (although none met these criteria at the participating centers).</w:t>
      </w:r>
    </w:p>
    <w:p w14:paraId="277E3935" w14:textId="77777777" w:rsidR="00C074DD" w:rsidRPr="005D29E2" w:rsidRDefault="00C074DD" w:rsidP="005D29E2">
      <w:pPr>
        <w:spacing w:after="0" w:line="240" w:lineRule="auto"/>
        <w:jc w:val="both"/>
        <w:rPr>
          <w:rFonts w:ascii="Calibri" w:hAnsi="Calibri" w:cs="Calibri"/>
          <w:sz w:val="24"/>
          <w:szCs w:val="24"/>
          <w:lang w:val="en-US"/>
        </w:rPr>
      </w:pPr>
    </w:p>
    <w:p w14:paraId="2218F2A4" w14:textId="0C7DF8D1" w:rsidR="00C074DD" w:rsidRPr="005D29E2" w:rsidRDefault="00C074DD"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 xml:space="preserve">Participant </w:t>
      </w:r>
      <w:r w:rsidR="00FE496C" w:rsidRPr="005D29E2">
        <w:rPr>
          <w:rFonts w:ascii="Calibri" w:hAnsi="Calibri" w:cs="Calibri"/>
          <w:b/>
          <w:bCs/>
          <w:sz w:val="24"/>
          <w:szCs w:val="24"/>
          <w:lang w:val="en-US"/>
        </w:rPr>
        <w:t>r</w:t>
      </w:r>
      <w:r w:rsidRPr="005D29E2">
        <w:rPr>
          <w:rFonts w:ascii="Calibri" w:hAnsi="Calibri" w:cs="Calibri"/>
          <w:b/>
          <w:bCs/>
          <w:sz w:val="24"/>
          <w:szCs w:val="24"/>
          <w:lang w:val="en-US"/>
        </w:rPr>
        <w:t>ecruitment</w:t>
      </w:r>
    </w:p>
    <w:p w14:paraId="3C8740A9" w14:textId="1ACCBBAF" w:rsidR="006E790F" w:rsidRPr="005D29E2" w:rsidRDefault="00125021"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The HD patient list was prepared by the physician managing the specific HD center. Patients </w:t>
      </w:r>
      <w:r w:rsidR="005D29E2">
        <w:rPr>
          <w:rFonts w:ascii="Calibri" w:hAnsi="Calibri" w:cs="Calibri"/>
          <w:sz w:val="24"/>
          <w:szCs w:val="24"/>
          <w:lang w:val="en-US"/>
        </w:rPr>
        <w:t>who met the</w:t>
      </w:r>
      <w:r w:rsidRPr="005D29E2">
        <w:rPr>
          <w:rFonts w:ascii="Calibri" w:hAnsi="Calibri" w:cs="Calibri"/>
          <w:sz w:val="24"/>
          <w:szCs w:val="24"/>
          <w:lang w:val="en-US"/>
        </w:rPr>
        <w:t xml:space="preserve"> exclusion criteria were </w:t>
      </w:r>
      <w:r w:rsidRPr="005D29E2">
        <w:rPr>
          <w:rFonts w:ascii="Calibri" w:hAnsi="Calibri" w:cs="Calibri"/>
          <w:i/>
          <w:iCs/>
          <w:sz w:val="24"/>
          <w:szCs w:val="24"/>
          <w:lang w:val="en-US"/>
        </w:rPr>
        <w:t>a priori</w:t>
      </w:r>
      <w:r w:rsidRPr="005D29E2">
        <w:rPr>
          <w:rFonts w:ascii="Calibri" w:hAnsi="Calibri" w:cs="Calibri"/>
          <w:sz w:val="24"/>
          <w:szCs w:val="24"/>
          <w:lang w:val="en-US"/>
        </w:rPr>
        <w:t xml:space="preserve"> omitted from the list. Both nurses and physicians directed the investigator responsible for data acquisition (NA) to eligible patients </w:t>
      </w:r>
      <w:r w:rsidR="00D45C32" w:rsidRPr="005D29E2">
        <w:rPr>
          <w:rFonts w:ascii="Calibri" w:hAnsi="Calibri" w:cs="Calibri"/>
          <w:sz w:val="24"/>
          <w:szCs w:val="24"/>
          <w:lang w:val="en-US"/>
        </w:rPr>
        <w:t>who indicated an interest in study participation and were willing to provide signed informed consent. Study enrollment commenced only after signed informed consent was obtained.</w:t>
      </w:r>
    </w:p>
    <w:p w14:paraId="5A164DB3" w14:textId="77777777" w:rsidR="001C5D87" w:rsidRPr="005D29E2" w:rsidRDefault="001C5D87" w:rsidP="005D29E2">
      <w:pPr>
        <w:spacing w:after="0" w:line="240" w:lineRule="auto"/>
        <w:jc w:val="both"/>
        <w:rPr>
          <w:rFonts w:ascii="Calibri" w:hAnsi="Calibri" w:cs="Calibri"/>
          <w:sz w:val="24"/>
          <w:szCs w:val="24"/>
          <w:lang w:val="en-US"/>
        </w:rPr>
      </w:pPr>
    </w:p>
    <w:p w14:paraId="7F64AA36" w14:textId="450D51B5" w:rsidR="001F3C35" w:rsidRPr="00465AA7" w:rsidRDefault="00FB2742" w:rsidP="005D29E2">
      <w:pPr>
        <w:spacing w:after="0" w:line="240" w:lineRule="auto"/>
        <w:jc w:val="both"/>
        <w:rPr>
          <w:rFonts w:ascii="Calibri" w:hAnsi="Calibri" w:cs="Calibri"/>
          <w:b/>
          <w:bCs/>
          <w:sz w:val="24"/>
          <w:szCs w:val="24"/>
          <w:highlight w:val="yellow"/>
          <w:lang w:val="en-US"/>
        </w:rPr>
      </w:pPr>
      <w:r w:rsidRPr="00465AA7">
        <w:rPr>
          <w:rFonts w:ascii="Calibri" w:hAnsi="Calibri" w:cs="Calibri"/>
          <w:b/>
          <w:bCs/>
          <w:sz w:val="24"/>
          <w:szCs w:val="24"/>
          <w:highlight w:val="yellow"/>
          <w:lang w:val="en-US"/>
        </w:rPr>
        <w:t xml:space="preserve">Nutrition </w:t>
      </w:r>
      <w:r w:rsidR="006E790F" w:rsidRPr="00465AA7">
        <w:rPr>
          <w:rFonts w:ascii="Calibri" w:hAnsi="Calibri" w:cs="Calibri"/>
          <w:b/>
          <w:bCs/>
          <w:sz w:val="24"/>
          <w:szCs w:val="24"/>
          <w:highlight w:val="yellow"/>
          <w:lang w:val="en-US"/>
        </w:rPr>
        <w:t>i</w:t>
      </w:r>
      <w:r w:rsidRPr="00465AA7">
        <w:rPr>
          <w:rFonts w:ascii="Calibri" w:hAnsi="Calibri" w:cs="Calibri"/>
          <w:b/>
          <w:bCs/>
          <w:sz w:val="24"/>
          <w:szCs w:val="24"/>
          <w:highlight w:val="yellow"/>
          <w:lang w:val="en-US"/>
        </w:rPr>
        <w:t>ntake</w:t>
      </w:r>
    </w:p>
    <w:p w14:paraId="419A15B9" w14:textId="28E441D9" w:rsidR="001F3C35" w:rsidRPr="00465AA7" w:rsidRDefault="00FB2742" w:rsidP="005D29E2">
      <w:pPr>
        <w:spacing w:after="0" w:line="240" w:lineRule="auto"/>
        <w:jc w:val="both"/>
        <w:rPr>
          <w:rFonts w:ascii="Calibri" w:hAnsi="Calibri" w:cs="Calibri"/>
          <w:sz w:val="24"/>
          <w:szCs w:val="24"/>
          <w:highlight w:val="yellow"/>
          <w:lang w:val="en-US"/>
        </w:rPr>
      </w:pPr>
      <w:r w:rsidRPr="00465AA7">
        <w:rPr>
          <w:rFonts w:ascii="Calibri" w:hAnsi="Calibri" w:cs="Calibri"/>
          <w:sz w:val="24"/>
          <w:szCs w:val="24"/>
          <w:highlight w:val="yellow"/>
          <w:lang w:val="en-US"/>
        </w:rPr>
        <w:lastRenderedPageBreak/>
        <w:t>Dietary intake was assessed using a structured multi-pass 24</w:t>
      </w:r>
      <w:r w:rsidR="006E790F" w:rsidRPr="00465AA7">
        <w:rPr>
          <w:rFonts w:ascii="Calibri" w:hAnsi="Calibri" w:cs="Calibri"/>
          <w:sz w:val="24"/>
          <w:szCs w:val="24"/>
          <w:highlight w:val="yellow"/>
          <w:lang w:val="en-US"/>
        </w:rPr>
        <w:t xml:space="preserve"> h</w:t>
      </w:r>
      <w:r w:rsidRPr="00465AA7">
        <w:rPr>
          <w:rFonts w:ascii="Calibri" w:hAnsi="Calibri" w:cs="Calibri"/>
          <w:sz w:val="24"/>
          <w:szCs w:val="24"/>
          <w:highlight w:val="yellow"/>
          <w:lang w:val="en-US"/>
        </w:rPr>
        <w:t xml:space="preserve"> recall interview, beginning with the most recent meal and working backward over the preceding 24 h</w:t>
      </w:r>
      <w:r w:rsidR="00C54BFC" w:rsidRPr="00465AA7">
        <w:rPr>
          <w:rFonts w:ascii="Calibri" w:hAnsi="Calibri" w:cs="Calibri"/>
          <w:sz w:val="24"/>
          <w:szCs w:val="24"/>
          <w:highlight w:val="yellow"/>
          <w:vertAlign w:val="superscript"/>
          <w:lang w:val="en-US"/>
        </w:rPr>
        <w:t>12</w:t>
      </w:r>
      <w:r w:rsidRPr="00465AA7">
        <w:rPr>
          <w:rFonts w:ascii="Calibri" w:hAnsi="Calibri" w:cs="Calibri"/>
          <w:sz w:val="24"/>
          <w:szCs w:val="24"/>
          <w:highlight w:val="yellow"/>
          <w:lang w:val="en-US"/>
        </w:rPr>
        <w:t>. Interviews were conducted in Hebrew or Arabic according to patient preference.</w:t>
      </w:r>
      <w:r w:rsidR="006E790F" w:rsidRPr="00465AA7">
        <w:rPr>
          <w:rFonts w:ascii="Calibri" w:hAnsi="Calibri" w:cs="Calibri"/>
          <w:sz w:val="24"/>
          <w:szCs w:val="24"/>
          <w:highlight w:val="yellow"/>
          <w:lang w:val="en-US"/>
        </w:rPr>
        <w:t xml:space="preserve"> </w:t>
      </w:r>
      <w:r w:rsidRPr="00465AA7">
        <w:rPr>
          <w:rFonts w:ascii="Calibri" w:hAnsi="Calibri" w:cs="Calibri"/>
          <w:sz w:val="24"/>
          <w:szCs w:val="24"/>
          <w:highlight w:val="yellow"/>
          <w:lang w:val="en-US"/>
        </w:rPr>
        <w:t xml:space="preserve">Dietary data </w:t>
      </w:r>
      <w:r w:rsidR="00F613A3" w:rsidRPr="00465AA7">
        <w:rPr>
          <w:rFonts w:ascii="Calibri" w:hAnsi="Calibri" w:cs="Calibri"/>
          <w:sz w:val="24"/>
          <w:szCs w:val="24"/>
          <w:highlight w:val="yellow"/>
          <w:lang w:val="en-US"/>
        </w:rPr>
        <w:t>were collected</w:t>
      </w:r>
      <w:r w:rsidRPr="00465AA7">
        <w:rPr>
          <w:rFonts w:ascii="Calibri" w:hAnsi="Calibri" w:cs="Calibri"/>
          <w:sz w:val="24"/>
          <w:szCs w:val="24"/>
          <w:highlight w:val="yellow"/>
          <w:lang w:val="en-US"/>
        </w:rPr>
        <w:t xml:space="preserve"> on dialysis treatment days. The day of recall (midweek or weekend) was randomly assigned for each patient.</w:t>
      </w:r>
    </w:p>
    <w:p w14:paraId="01C402A0" w14:textId="77777777" w:rsidR="006E790F" w:rsidRPr="00465AA7" w:rsidRDefault="006E790F" w:rsidP="005D29E2">
      <w:pPr>
        <w:spacing w:after="0" w:line="240" w:lineRule="auto"/>
        <w:jc w:val="both"/>
        <w:rPr>
          <w:rFonts w:ascii="Calibri" w:hAnsi="Calibri" w:cs="Calibri"/>
          <w:sz w:val="24"/>
          <w:szCs w:val="24"/>
          <w:highlight w:val="yellow"/>
          <w:lang w:val="en-US"/>
        </w:rPr>
      </w:pPr>
    </w:p>
    <w:p w14:paraId="4F4044C1" w14:textId="622E2115" w:rsidR="001F3C35" w:rsidRPr="005D29E2" w:rsidRDefault="00FB2742" w:rsidP="005D29E2">
      <w:pPr>
        <w:spacing w:after="0" w:line="240" w:lineRule="auto"/>
        <w:jc w:val="both"/>
        <w:rPr>
          <w:rFonts w:ascii="Calibri" w:hAnsi="Calibri" w:cs="Calibri"/>
          <w:strike/>
          <w:sz w:val="24"/>
          <w:szCs w:val="24"/>
          <w:lang w:val="en-US"/>
        </w:rPr>
      </w:pPr>
      <w:r w:rsidRPr="00465AA7">
        <w:rPr>
          <w:rFonts w:ascii="Calibri" w:hAnsi="Calibri" w:cs="Calibri"/>
          <w:sz w:val="24"/>
          <w:szCs w:val="24"/>
          <w:highlight w:val="yellow"/>
          <w:lang w:val="en-US"/>
        </w:rPr>
        <w:t>Nutrients analyzed included energy, protein, carbohydrates, total fat, saturated fat, monounsaturated fat, polyunsaturated fat, vitamins (beta-carotene, thiamine, niacin, riboflavin, vitamins A, B12, B6, folic acid, C, D), calcium, iron, phosphorus, and potassium.</w:t>
      </w:r>
    </w:p>
    <w:p w14:paraId="4F101EE8" w14:textId="77777777" w:rsidR="00F613A3" w:rsidRPr="005D29E2" w:rsidRDefault="00F613A3" w:rsidP="005D29E2">
      <w:pPr>
        <w:spacing w:after="0" w:line="240" w:lineRule="auto"/>
        <w:jc w:val="both"/>
        <w:rPr>
          <w:rFonts w:ascii="Calibri" w:hAnsi="Calibri" w:cs="Calibri"/>
          <w:sz w:val="24"/>
          <w:szCs w:val="24"/>
          <w:lang w:val="en-US"/>
        </w:rPr>
      </w:pPr>
    </w:p>
    <w:p w14:paraId="6F9A8530" w14:textId="657A0075" w:rsidR="001F3C35" w:rsidRPr="00D96CA3" w:rsidRDefault="00FB2742" w:rsidP="005D29E2">
      <w:pPr>
        <w:spacing w:after="0" w:line="240" w:lineRule="auto"/>
        <w:jc w:val="both"/>
        <w:rPr>
          <w:rFonts w:ascii="Calibri" w:hAnsi="Calibri" w:cs="Calibri"/>
          <w:b/>
          <w:bCs/>
          <w:sz w:val="24"/>
          <w:szCs w:val="24"/>
          <w:highlight w:val="yellow"/>
          <w:lang w:val="en-US"/>
        </w:rPr>
      </w:pPr>
      <w:r w:rsidRPr="00D96CA3">
        <w:rPr>
          <w:rFonts w:ascii="Calibri" w:hAnsi="Calibri" w:cs="Calibri"/>
          <w:b/>
          <w:bCs/>
          <w:sz w:val="24"/>
          <w:szCs w:val="24"/>
          <w:highlight w:val="yellow"/>
          <w:lang w:val="en-US"/>
        </w:rPr>
        <w:t xml:space="preserve">Nutritional </w:t>
      </w:r>
      <w:r w:rsidR="00F613A3" w:rsidRPr="00D96CA3">
        <w:rPr>
          <w:rFonts w:ascii="Calibri" w:hAnsi="Calibri" w:cs="Calibri"/>
          <w:b/>
          <w:bCs/>
          <w:sz w:val="24"/>
          <w:szCs w:val="24"/>
          <w:highlight w:val="yellow"/>
          <w:lang w:val="en-US"/>
        </w:rPr>
        <w:t>s</w:t>
      </w:r>
      <w:r w:rsidRPr="00D96CA3">
        <w:rPr>
          <w:rFonts w:ascii="Calibri" w:hAnsi="Calibri" w:cs="Calibri"/>
          <w:b/>
          <w:bCs/>
          <w:sz w:val="24"/>
          <w:szCs w:val="24"/>
          <w:highlight w:val="yellow"/>
          <w:lang w:val="en-US"/>
        </w:rPr>
        <w:t xml:space="preserve">tatus and </w:t>
      </w:r>
      <w:r w:rsidR="00F613A3" w:rsidRPr="00D96CA3">
        <w:rPr>
          <w:rFonts w:ascii="Calibri" w:hAnsi="Calibri" w:cs="Calibri"/>
          <w:b/>
          <w:bCs/>
          <w:sz w:val="24"/>
          <w:szCs w:val="24"/>
          <w:highlight w:val="yellow"/>
          <w:lang w:val="en-US"/>
        </w:rPr>
        <w:t>m</w:t>
      </w:r>
      <w:r w:rsidRPr="00D96CA3">
        <w:rPr>
          <w:rFonts w:ascii="Calibri" w:hAnsi="Calibri" w:cs="Calibri"/>
          <w:b/>
          <w:bCs/>
          <w:sz w:val="24"/>
          <w:szCs w:val="24"/>
          <w:highlight w:val="yellow"/>
          <w:lang w:val="en-US"/>
        </w:rPr>
        <w:t xml:space="preserve">alnutrition </w:t>
      </w:r>
      <w:r w:rsidR="00F613A3" w:rsidRPr="00D96CA3">
        <w:rPr>
          <w:rFonts w:ascii="Calibri" w:hAnsi="Calibri" w:cs="Calibri"/>
          <w:b/>
          <w:bCs/>
          <w:sz w:val="24"/>
          <w:szCs w:val="24"/>
          <w:highlight w:val="yellow"/>
          <w:lang w:val="en-US"/>
        </w:rPr>
        <w:t>r</w:t>
      </w:r>
      <w:r w:rsidRPr="00D96CA3">
        <w:rPr>
          <w:rFonts w:ascii="Calibri" w:hAnsi="Calibri" w:cs="Calibri"/>
          <w:b/>
          <w:bCs/>
          <w:sz w:val="24"/>
          <w:szCs w:val="24"/>
          <w:highlight w:val="yellow"/>
          <w:lang w:val="en-US"/>
        </w:rPr>
        <w:t>isk</w:t>
      </w:r>
    </w:p>
    <w:p w14:paraId="15F483EB" w14:textId="2AAA45D4" w:rsidR="001F3C35" w:rsidRPr="00D96CA3" w:rsidRDefault="00FB2742" w:rsidP="005D29E2">
      <w:pPr>
        <w:spacing w:after="0" w:line="240" w:lineRule="auto"/>
        <w:jc w:val="both"/>
        <w:rPr>
          <w:rFonts w:ascii="Calibri" w:hAnsi="Calibri" w:cs="Calibri"/>
          <w:sz w:val="24"/>
          <w:szCs w:val="24"/>
          <w:highlight w:val="yellow"/>
          <w:lang w:val="en-US"/>
        </w:rPr>
      </w:pPr>
      <w:r w:rsidRPr="00D96CA3">
        <w:rPr>
          <w:rFonts w:ascii="Calibri" w:hAnsi="Calibri" w:cs="Calibri"/>
          <w:sz w:val="24"/>
          <w:szCs w:val="24"/>
          <w:highlight w:val="yellow"/>
          <w:lang w:val="en-US"/>
        </w:rPr>
        <w:t xml:space="preserve">Nutrient intake was assessed </w:t>
      </w:r>
      <w:r w:rsidR="00F613A3" w:rsidRPr="00D96CA3">
        <w:rPr>
          <w:rFonts w:ascii="Calibri" w:hAnsi="Calibri" w:cs="Calibri"/>
          <w:sz w:val="24"/>
          <w:szCs w:val="24"/>
          <w:highlight w:val="yellow"/>
          <w:lang w:val="en-US"/>
        </w:rPr>
        <w:t>against</w:t>
      </w:r>
      <w:r w:rsidRPr="00D96CA3">
        <w:rPr>
          <w:rFonts w:ascii="Calibri" w:hAnsi="Calibri" w:cs="Calibri"/>
          <w:sz w:val="24"/>
          <w:szCs w:val="24"/>
          <w:highlight w:val="yellow"/>
          <w:lang w:val="en-US"/>
        </w:rPr>
        <w:t xml:space="preserve"> the International Society of Renal Nutrition and Metabolism (ISRNM) dietary recommendations</w:t>
      </w:r>
      <w:r w:rsidRPr="00D96CA3">
        <w:rPr>
          <w:rFonts w:ascii="Calibri" w:hAnsi="Calibri" w:cs="Calibri"/>
          <w:sz w:val="24"/>
          <w:szCs w:val="24"/>
          <w:highlight w:val="yellow"/>
          <w:vertAlign w:val="superscript"/>
          <w:lang w:val="en-US"/>
        </w:rPr>
        <w:t>3</w:t>
      </w:r>
      <w:r w:rsidRPr="00D96CA3">
        <w:rPr>
          <w:rFonts w:ascii="Calibri" w:hAnsi="Calibri" w:cs="Calibri"/>
          <w:sz w:val="24"/>
          <w:szCs w:val="24"/>
          <w:highlight w:val="yellow"/>
          <w:lang w:val="en-US"/>
        </w:rPr>
        <w:t xml:space="preserve">. For each participant, </w:t>
      </w:r>
      <w:r w:rsidR="0011017D" w:rsidRPr="00D96CA3">
        <w:rPr>
          <w:rFonts w:ascii="Calibri" w:hAnsi="Calibri" w:cs="Calibri"/>
          <w:sz w:val="24"/>
          <w:szCs w:val="24"/>
          <w:highlight w:val="yellow"/>
          <w:lang w:val="en-US"/>
        </w:rPr>
        <w:t xml:space="preserve">energy and protein intake </w:t>
      </w:r>
      <w:r w:rsidR="00E47D24" w:rsidRPr="00D96CA3">
        <w:rPr>
          <w:rFonts w:ascii="Calibri" w:hAnsi="Calibri" w:cs="Calibri"/>
          <w:sz w:val="24"/>
          <w:szCs w:val="24"/>
          <w:highlight w:val="yellow"/>
          <w:lang w:val="en-US"/>
        </w:rPr>
        <w:t>were</w:t>
      </w:r>
      <w:r w:rsidRPr="00D96CA3">
        <w:rPr>
          <w:rFonts w:ascii="Calibri" w:hAnsi="Calibri" w:cs="Calibri"/>
          <w:sz w:val="24"/>
          <w:szCs w:val="24"/>
          <w:highlight w:val="yellow"/>
          <w:lang w:val="en-US"/>
        </w:rPr>
        <w:t xml:space="preserve"> calculated based on ideal body weight (IBW), with recommended levels of 30–35 kcal/kg IBW/day and 1.2–1.4 g/kg IBW/day, respectively. ISRNM recommended sodium intake is 80–100 mmol/day and phosphorus intake is 800–1</w:t>
      </w:r>
      <w:r w:rsidR="00F75E85" w:rsidRPr="00D96CA3">
        <w:rPr>
          <w:rFonts w:ascii="Calibri" w:hAnsi="Calibri" w:cs="Calibri"/>
          <w:sz w:val="24"/>
          <w:szCs w:val="24"/>
          <w:highlight w:val="yellow"/>
          <w:lang w:val="en-US"/>
        </w:rPr>
        <w:t>,</w:t>
      </w:r>
      <w:r w:rsidRPr="00D96CA3">
        <w:rPr>
          <w:rFonts w:ascii="Calibri" w:hAnsi="Calibri" w:cs="Calibri"/>
          <w:sz w:val="24"/>
          <w:szCs w:val="24"/>
          <w:highlight w:val="yellow"/>
          <w:lang w:val="en-US"/>
        </w:rPr>
        <w:t>000 mg/day</w:t>
      </w:r>
      <w:r w:rsidR="00F613A3" w:rsidRPr="00D96CA3">
        <w:rPr>
          <w:rFonts w:ascii="Calibri" w:hAnsi="Calibri" w:cs="Calibri"/>
          <w:sz w:val="24"/>
          <w:szCs w:val="24"/>
          <w:highlight w:val="yellow"/>
          <w:lang w:val="en-US"/>
        </w:rPr>
        <w:t>,</w:t>
      </w:r>
      <w:r w:rsidRPr="00D96CA3">
        <w:rPr>
          <w:rFonts w:ascii="Calibri" w:hAnsi="Calibri" w:cs="Calibri"/>
          <w:sz w:val="24"/>
          <w:szCs w:val="24"/>
          <w:highlight w:val="yellow"/>
          <w:lang w:val="en-US"/>
        </w:rPr>
        <w:t xml:space="preserve"> regardless of body weight.</w:t>
      </w:r>
    </w:p>
    <w:p w14:paraId="1B45A708" w14:textId="77777777" w:rsidR="00F613A3" w:rsidRPr="00D96CA3" w:rsidRDefault="00F613A3" w:rsidP="005D29E2">
      <w:pPr>
        <w:spacing w:after="0" w:line="240" w:lineRule="auto"/>
        <w:jc w:val="both"/>
        <w:rPr>
          <w:rFonts w:ascii="Calibri" w:hAnsi="Calibri" w:cs="Calibri"/>
          <w:sz w:val="24"/>
          <w:szCs w:val="24"/>
          <w:highlight w:val="yellow"/>
          <w:lang w:val="en-US"/>
        </w:rPr>
      </w:pPr>
    </w:p>
    <w:p w14:paraId="60757D0D" w14:textId="4DF80E04" w:rsidR="001F3C35" w:rsidRPr="00D96CA3" w:rsidRDefault="00FB2742" w:rsidP="005D29E2">
      <w:pPr>
        <w:spacing w:after="0" w:line="240" w:lineRule="auto"/>
        <w:jc w:val="both"/>
        <w:rPr>
          <w:rFonts w:ascii="Calibri" w:hAnsi="Calibri" w:cs="Calibri"/>
          <w:sz w:val="24"/>
          <w:szCs w:val="24"/>
          <w:highlight w:val="yellow"/>
          <w:lang w:val="en-US"/>
        </w:rPr>
      </w:pPr>
      <w:r w:rsidRPr="00D96CA3">
        <w:rPr>
          <w:rFonts w:ascii="Calibri" w:hAnsi="Calibri" w:cs="Calibri"/>
          <w:sz w:val="24"/>
          <w:szCs w:val="24"/>
          <w:highlight w:val="yellow"/>
          <w:lang w:val="en-US"/>
        </w:rPr>
        <w:t xml:space="preserve">Adherence to ISRNM guidelines was defined as meeting the following criteria for each </w:t>
      </w:r>
      <w:r w:rsidR="00F613A3" w:rsidRPr="00D96CA3">
        <w:rPr>
          <w:rFonts w:ascii="Calibri" w:hAnsi="Calibri" w:cs="Calibri"/>
          <w:sz w:val="24"/>
          <w:szCs w:val="24"/>
          <w:highlight w:val="yellow"/>
          <w:lang w:val="en-US"/>
        </w:rPr>
        <w:t>included nutrient</w:t>
      </w:r>
      <w:r w:rsidRPr="00D96CA3">
        <w:rPr>
          <w:rFonts w:ascii="Calibri" w:hAnsi="Calibri" w:cs="Calibri"/>
          <w:sz w:val="24"/>
          <w:szCs w:val="24"/>
          <w:highlight w:val="yellow"/>
          <w:lang w:val="en-US"/>
        </w:rPr>
        <w:t>: energy ≥</w:t>
      </w:r>
      <w:r w:rsidR="00B61B21" w:rsidRPr="00D96CA3">
        <w:rPr>
          <w:rFonts w:ascii="Calibri" w:hAnsi="Calibri" w:cs="Calibri"/>
          <w:sz w:val="24"/>
          <w:szCs w:val="24"/>
          <w:highlight w:val="yellow"/>
          <w:lang w:val="en-US"/>
        </w:rPr>
        <w:t xml:space="preserve"> </w:t>
      </w:r>
      <w:r w:rsidRPr="00D96CA3">
        <w:rPr>
          <w:rFonts w:ascii="Calibri" w:hAnsi="Calibri" w:cs="Calibri"/>
          <w:sz w:val="24"/>
          <w:szCs w:val="24"/>
          <w:highlight w:val="yellow"/>
          <w:lang w:val="en-US"/>
        </w:rPr>
        <w:t>30 kcal/kg/day; protein ≥</w:t>
      </w:r>
      <w:r w:rsidR="00B61B21" w:rsidRPr="00D96CA3">
        <w:rPr>
          <w:rFonts w:ascii="Calibri" w:hAnsi="Calibri" w:cs="Calibri"/>
          <w:sz w:val="24"/>
          <w:szCs w:val="24"/>
          <w:highlight w:val="yellow"/>
          <w:lang w:val="en-US"/>
        </w:rPr>
        <w:t xml:space="preserve"> </w:t>
      </w:r>
      <w:r w:rsidRPr="00D96CA3">
        <w:rPr>
          <w:rFonts w:ascii="Calibri" w:hAnsi="Calibri" w:cs="Calibri"/>
          <w:sz w:val="24"/>
          <w:szCs w:val="24"/>
          <w:highlight w:val="yellow"/>
          <w:lang w:val="en-US"/>
        </w:rPr>
        <w:t>1.2 g/kg/day; sodium ≤</w:t>
      </w:r>
      <w:r w:rsidR="00B61B21" w:rsidRPr="00D96CA3">
        <w:rPr>
          <w:rFonts w:ascii="Calibri" w:hAnsi="Calibri" w:cs="Calibri"/>
          <w:sz w:val="24"/>
          <w:szCs w:val="24"/>
          <w:highlight w:val="yellow"/>
          <w:lang w:val="en-US"/>
        </w:rPr>
        <w:t xml:space="preserve"> </w:t>
      </w:r>
      <w:r w:rsidRPr="00D96CA3">
        <w:rPr>
          <w:rFonts w:ascii="Calibri" w:hAnsi="Calibri" w:cs="Calibri"/>
          <w:sz w:val="24"/>
          <w:szCs w:val="24"/>
          <w:highlight w:val="yellow"/>
          <w:lang w:val="en-US"/>
        </w:rPr>
        <w:t>100 mmol/day; and phosphorus ≤</w:t>
      </w:r>
      <w:r w:rsidR="00B61B21" w:rsidRPr="00D96CA3">
        <w:rPr>
          <w:rFonts w:ascii="Calibri" w:hAnsi="Calibri" w:cs="Calibri"/>
          <w:sz w:val="24"/>
          <w:szCs w:val="24"/>
          <w:highlight w:val="yellow"/>
          <w:lang w:val="en-US"/>
        </w:rPr>
        <w:t xml:space="preserve"> </w:t>
      </w:r>
      <w:r w:rsidRPr="00D96CA3">
        <w:rPr>
          <w:rFonts w:ascii="Calibri" w:hAnsi="Calibri" w:cs="Calibri"/>
          <w:sz w:val="24"/>
          <w:szCs w:val="24"/>
          <w:highlight w:val="yellow"/>
          <w:lang w:val="en-US"/>
        </w:rPr>
        <w:t>1</w:t>
      </w:r>
      <w:r w:rsidR="00F613A3" w:rsidRPr="00D96CA3">
        <w:rPr>
          <w:rFonts w:ascii="Calibri" w:hAnsi="Calibri" w:cs="Calibri"/>
          <w:sz w:val="24"/>
          <w:szCs w:val="24"/>
          <w:highlight w:val="yellow"/>
          <w:lang w:val="en-US"/>
        </w:rPr>
        <w:t>,</w:t>
      </w:r>
      <w:r w:rsidRPr="00D96CA3">
        <w:rPr>
          <w:rFonts w:ascii="Calibri" w:hAnsi="Calibri" w:cs="Calibri"/>
          <w:sz w:val="24"/>
          <w:szCs w:val="24"/>
          <w:highlight w:val="yellow"/>
          <w:lang w:val="en-US"/>
        </w:rPr>
        <w:t>000 mg/day. Adherence was coded as a binary variable (1 = adherent, 0 = non-adherent).</w:t>
      </w:r>
    </w:p>
    <w:p w14:paraId="1B6CCCF1" w14:textId="77777777" w:rsidR="00F613A3" w:rsidRPr="00D96CA3" w:rsidRDefault="00F613A3" w:rsidP="005D29E2">
      <w:pPr>
        <w:spacing w:after="0" w:line="240" w:lineRule="auto"/>
        <w:jc w:val="both"/>
        <w:rPr>
          <w:rFonts w:ascii="Calibri" w:hAnsi="Calibri" w:cs="Calibri"/>
          <w:sz w:val="24"/>
          <w:szCs w:val="24"/>
          <w:highlight w:val="yellow"/>
          <w:lang w:val="en-US"/>
        </w:rPr>
      </w:pPr>
    </w:p>
    <w:p w14:paraId="164B3BC9" w14:textId="73E207C2" w:rsidR="001F3C35" w:rsidRPr="00D96CA3" w:rsidRDefault="00FB2742" w:rsidP="005D29E2">
      <w:pPr>
        <w:spacing w:after="0" w:line="240" w:lineRule="auto"/>
        <w:jc w:val="both"/>
        <w:rPr>
          <w:rFonts w:ascii="Calibri" w:hAnsi="Calibri" w:cs="Calibri"/>
          <w:sz w:val="24"/>
          <w:szCs w:val="24"/>
          <w:highlight w:val="yellow"/>
          <w:lang w:val="en-US"/>
        </w:rPr>
      </w:pPr>
      <w:r w:rsidRPr="00D96CA3">
        <w:rPr>
          <w:rFonts w:ascii="Calibri" w:hAnsi="Calibri" w:cs="Calibri"/>
          <w:sz w:val="24"/>
          <w:szCs w:val="24"/>
          <w:highlight w:val="yellow"/>
          <w:lang w:val="en-US"/>
        </w:rPr>
        <w:t>Malnutrition risk was assessed using categories developed in the Israeli National Survey of Nutrition in Hemodialysis Patients (SNIPS)</w:t>
      </w:r>
      <w:r w:rsidR="00664568" w:rsidRPr="00D96CA3">
        <w:rPr>
          <w:rFonts w:ascii="Calibri" w:hAnsi="Calibri" w:cs="Calibri"/>
          <w:sz w:val="24"/>
          <w:szCs w:val="24"/>
          <w:highlight w:val="yellow"/>
          <w:vertAlign w:val="superscript"/>
          <w:lang w:val="en-US"/>
        </w:rPr>
        <w:t>13</w:t>
      </w:r>
      <w:r w:rsidRPr="00D96CA3">
        <w:rPr>
          <w:rFonts w:ascii="Calibri" w:hAnsi="Calibri" w:cs="Calibri"/>
          <w:sz w:val="24"/>
          <w:szCs w:val="24"/>
          <w:highlight w:val="yellow"/>
          <w:lang w:val="en-US"/>
        </w:rPr>
        <w:t xml:space="preserve">, which defined </w:t>
      </w:r>
      <w:r w:rsidR="00F613A3" w:rsidRPr="00D96CA3">
        <w:rPr>
          <w:rFonts w:ascii="Calibri" w:hAnsi="Calibri" w:cs="Calibri"/>
          <w:sz w:val="24"/>
          <w:szCs w:val="24"/>
          <w:highlight w:val="yellow"/>
          <w:lang w:val="en-US"/>
        </w:rPr>
        <w:t>it based on</w:t>
      </w:r>
      <w:r w:rsidRPr="00D96CA3">
        <w:rPr>
          <w:rFonts w:ascii="Calibri" w:hAnsi="Calibri" w:cs="Calibri"/>
          <w:sz w:val="24"/>
          <w:szCs w:val="24"/>
          <w:highlight w:val="yellow"/>
          <w:lang w:val="en-US"/>
        </w:rPr>
        <w:t xml:space="preserve"> serum albumin levels and BMI. </w:t>
      </w:r>
      <w:r w:rsidR="004377E1" w:rsidRPr="00D96CA3">
        <w:rPr>
          <w:rFonts w:ascii="Calibri" w:hAnsi="Calibri" w:cs="Calibri"/>
          <w:sz w:val="24"/>
          <w:szCs w:val="24"/>
          <w:highlight w:val="yellow"/>
          <w:lang w:val="en-US"/>
        </w:rPr>
        <w:t>The method has been described in detail elsewhere</w:t>
      </w:r>
      <w:r w:rsidR="004377E1" w:rsidRPr="00D96CA3">
        <w:rPr>
          <w:rFonts w:ascii="Calibri" w:hAnsi="Calibri" w:cs="Calibri"/>
          <w:sz w:val="24"/>
          <w:szCs w:val="24"/>
          <w:highlight w:val="yellow"/>
          <w:vertAlign w:val="superscript"/>
          <w:lang w:val="en-US"/>
        </w:rPr>
        <w:t>14</w:t>
      </w:r>
      <w:r w:rsidR="004377E1" w:rsidRPr="00D96CA3">
        <w:rPr>
          <w:rFonts w:ascii="Calibri" w:hAnsi="Calibri" w:cs="Calibri"/>
          <w:sz w:val="24"/>
          <w:szCs w:val="24"/>
          <w:highlight w:val="yellow"/>
          <w:lang w:val="en-US"/>
        </w:rPr>
        <w:t xml:space="preserve">. Briefly, </w:t>
      </w:r>
      <w:r w:rsidRPr="00D96CA3">
        <w:rPr>
          <w:rFonts w:ascii="Calibri" w:hAnsi="Calibri" w:cs="Calibri"/>
          <w:sz w:val="24"/>
          <w:szCs w:val="24"/>
          <w:highlight w:val="yellow"/>
          <w:lang w:val="en-US"/>
        </w:rPr>
        <w:t>this method</w:t>
      </w:r>
      <w:r w:rsidR="004377E1" w:rsidRPr="00D96CA3">
        <w:rPr>
          <w:rFonts w:ascii="Calibri" w:hAnsi="Calibri" w:cs="Calibri"/>
          <w:sz w:val="24"/>
          <w:szCs w:val="24"/>
          <w:highlight w:val="yellow"/>
          <w:lang w:val="en-US"/>
        </w:rPr>
        <w:t xml:space="preserve"> categorizes patients into one of </w:t>
      </w:r>
      <w:r w:rsidRPr="00D96CA3">
        <w:rPr>
          <w:rFonts w:ascii="Calibri" w:hAnsi="Calibri" w:cs="Calibri"/>
          <w:sz w:val="24"/>
          <w:szCs w:val="24"/>
          <w:highlight w:val="yellow"/>
          <w:lang w:val="en-US"/>
        </w:rPr>
        <w:t>the following categories of malnutrition risk: minimal risk: BMI ≥</w:t>
      </w:r>
      <w:r w:rsidR="00F613A3" w:rsidRPr="00D96CA3">
        <w:rPr>
          <w:rFonts w:ascii="Calibri" w:hAnsi="Calibri" w:cs="Calibri"/>
          <w:sz w:val="24"/>
          <w:szCs w:val="24"/>
          <w:highlight w:val="yellow"/>
          <w:lang w:val="en-US"/>
        </w:rPr>
        <w:t xml:space="preserve"> </w:t>
      </w:r>
      <w:r w:rsidRPr="00D96CA3">
        <w:rPr>
          <w:rFonts w:ascii="Calibri" w:hAnsi="Calibri" w:cs="Calibri"/>
          <w:sz w:val="24"/>
          <w:szCs w:val="24"/>
          <w:highlight w:val="yellow"/>
          <w:lang w:val="en-US"/>
        </w:rPr>
        <w:t>23 kg/m² and serum albumin ≥</w:t>
      </w:r>
      <w:r w:rsidR="00F613A3" w:rsidRPr="00D96CA3">
        <w:rPr>
          <w:rFonts w:ascii="Calibri" w:hAnsi="Calibri" w:cs="Calibri"/>
          <w:sz w:val="24"/>
          <w:szCs w:val="24"/>
          <w:highlight w:val="yellow"/>
          <w:lang w:val="en-US"/>
        </w:rPr>
        <w:t xml:space="preserve"> </w:t>
      </w:r>
      <w:r w:rsidRPr="00D96CA3">
        <w:rPr>
          <w:rFonts w:ascii="Calibri" w:hAnsi="Calibri" w:cs="Calibri"/>
          <w:sz w:val="24"/>
          <w:szCs w:val="24"/>
          <w:highlight w:val="yellow"/>
          <w:lang w:val="en-US"/>
        </w:rPr>
        <w:t>3</w:t>
      </w:r>
      <w:r w:rsidR="0065108A" w:rsidRPr="00D96CA3">
        <w:rPr>
          <w:rFonts w:ascii="Calibri" w:hAnsi="Calibri" w:cs="Calibri"/>
          <w:sz w:val="24"/>
          <w:szCs w:val="24"/>
          <w:highlight w:val="yellow"/>
          <w:lang w:val="en-US"/>
        </w:rPr>
        <w:t>.</w:t>
      </w:r>
      <w:r w:rsidRPr="00D96CA3">
        <w:rPr>
          <w:rFonts w:ascii="Calibri" w:hAnsi="Calibri" w:cs="Calibri"/>
          <w:sz w:val="24"/>
          <w:szCs w:val="24"/>
          <w:highlight w:val="yellow"/>
          <w:lang w:val="en-US"/>
        </w:rPr>
        <w:t xml:space="preserve">8 </w:t>
      </w:r>
      <w:r w:rsidR="0065108A" w:rsidRPr="00D96CA3">
        <w:rPr>
          <w:rFonts w:ascii="Calibri" w:hAnsi="Calibri" w:cs="Calibri"/>
          <w:sz w:val="24"/>
          <w:szCs w:val="24"/>
          <w:highlight w:val="yellow"/>
          <w:lang w:val="en-US"/>
        </w:rPr>
        <w:t>g</w:t>
      </w:r>
      <w:r w:rsidRPr="00D96CA3">
        <w:rPr>
          <w:rFonts w:ascii="Calibri" w:hAnsi="Calibri" w:cs="Calibri"/>
          <w:sz w:val="24"/>
          <w:szCs w:val="24"/>
          <w:highlight w:val="yellow"/>
          <w:lang w:val="en-US"/>
        </w:rPr>
        <w:t>/</w:t>
      </w:r>
      <w:r w:rsidR="0065108A" w:rsidRPr="00D96CA3">
        <w:rPr>
          <w:rFonts w:ascii="Calibri" w:hAnsi="Calibri" w:cs="Calibri"/>
          <w:sz w:val="24"/>
          <w:szCs w:val="24"/>
          <w:highlight w:val="yellow"/>
          <w:lang w:val="en-US"/>
        </w:rPr>
        <w:t>d</w:t>
      </w:r>
      <w:r w:rsidRPr="00D96CA3">
        <w:rPr>
          <w:rFonts w:ascii="Calibri" w:hAnsi="Calibri" w:cs="Calibri"/>
          <w:sz w:val="24"/>
          <w:szCs w:val="24"/>
          <w:highlight w:val="yellow"/>
          <w:lang w:val="en-US"/>
        </w:rPr>
        <w:t>L; mild risk: BMI &lt;</w:t>
      </w:r>
      <w:r w:rsidR="00F613A3" w:rsidRPr="00D96CA3">
        <w:rPr>
          <w:rFonts w:ascii="Calibri" w:hAnsi="Calibri" w:cs="Calibri"/>
          <w:sz w:val="24"/>
          <w:szCs w:val="24"/>
          <w:highlight w:val="yellow"/>
          <w:lang w:val="en-US"/>
        </w:rPr>
        <w:t xml:space="preserve"> </w:t>
      </w:r>
      <w:r w:rsidRPr="00D96CA3">
        <w:rPr>
          <w:rFonts w:ascii="Calibri" w:hAnsi="Calibri" w:cs="Calibri"/>
          <w:sz w:val="24"/>
          <w:szCs w:val="24"/>
          <w:highlight w:val="yellow"/>
          <w:lang w:val="en-US"/>
        </w:rPr>
        <w:t>23 kg/m² and serum albumin ≥3</w:t>
      </w:r>
      <w:r w:rsidR="0065108A" w:rsidRPr="00D96CA3">
        <w:rPr>
          <w:rFonts w:ascii="Calibri" w:hAnsi="Calibri" w:cs="Calibri"/>
          <w:sz w:val="24"/>
          <w:szCs w:val="24"/>
          <w:highlight w:val="yellow"/>
          <w:lang w:val="en-US"/>
        </w:rPr>
        <w:t>.</w:t>
      </w:r>
      <w:r w:rsidRPr="00D96CA3">
        <w:rPr>
          <w:rFonts w:ascii="Calibri" w:hAnsi="Calibri" w:cs="Calibri"/>
          <w:sz w:val="24"/>
          <w:szCs w:val="24"/>
          <w:highlight w:val="yellow"/>
          <w:lang w:val="en-US"/>
        </w:rPr>
        <w:t xml:space="preserve">8 </w:t>
      </w:r>
      <w:r w:rsidR="0065108A" w:rsidRPr="00D96CA3">
        <w:rPr>
          <w:rFonts w:ascii="Calibri" w:hAnsi="Calibri" w:cs="Calibri"/>
          <w:sz w:val="24"/>
          <w:szCs w:val="24"/>
          <w:highlight w:val="yellow"/>
          <w:lang w:val="en-US"/>
        </w:rPr>
        <w:t>g</w:t>
      </w:r>
      <w:r w:rsidRPr="00D96CA3">
        <w:rPr>
          <w:rFonts w:ascii="Calibri" w:hAnsi="Calibri" w:cs="Calibri"/>
          <w:sz w:val="24"/>
          <w:szCs w:val="24"/>
          <w:highlight w:val="yellow"/>
          <w:lang w:val="en-US"/>
        </w:rPr>
        <w:t>/</w:t>
      </w:r>
      <w:r w:rsidR="0065108A" w:rsidRPr="00D96CA3">
        <w:rPr>
          <w:rFonts w:ascii="Calibri" w:hAnsi="Calibri" w:cs="Calibri"/>
          <w:sz w:val="24"/>
          <w:szCs w:val="24"/>
          <w:highlight w:val="yellow"/>
          <w:lang w:val="en-US"/>
        </w:rPr>
        <w:t>d</w:t>
      </w:r>
      <w:r w:rsidRPr="00D96CA3">
        <w:rPr>
          <w:rFonts w:ascii="Calibri" w:hAnsi="Calibri" w:cs="Calibri"/>
          <w:sz w:val="24"/>
          <w:szCs w:val="24"/>
          <w:highlight w:val="yellow"/>
          <w:lang w:val="en-US"/>
        </w:rPr>
        <w:t>L; moderate risk: BMI ≥</w:t>
      </w:r>
      <w:r w:rsidR="00F613A3" w:rsidRPr="00D96CA3">
        <w:rPr>
          <w:rFonts w:ascii="Calibri" w:hAnsi="Calibri" w:cs="Calibri"/>
          <w:sz w:val="24"/>
          <w:szCs w:val="24"/>
          <w:highlight w:val="yellow"/>
          <w:lang w:val="en-US"/>
        </w:rPr>
        <w:t xml:space="preserve"> </w:t>
      </w:r>
      <w:r w:rsidRPr="00D96CA3">
        <w:rPr>
          <w:rFonts w:ascii="Calibri" w:hAnsi="Calibri" w:cs="Calibri"/>
          <w:sz w:val="24"/>
          <w:szCs w:val="24"/>
          <w:highlight w:val="yellow"/>
          <w:lang w:val="en-US"/>
        </w:rPr>
        <w:t>23 kg/m² and serum albumin &lt;</w:t>
      </w:r>
      <w:r w:rsidR="00F613A3" w:rsidRPr="00D96CA3">
        <w:rPr>
          <w:rFonts w:ascii="Calibri" w:hAnsi="Calibri" w:cs="Calibri"/>
          <w:sz w:val="24"/>
          <w:szCs w:val="24"/>
          <w:highlight w:val="yellow"/>
          <w:lang w:val="en-US"/>
        </w:rPr>
        <w:t xml:space="preserve"> </w:t>
      </w:r>
      <w:r w:rsidRPr="00D96CA3">
        <w:rPr>
          <w:rFonts w:ascii="Calibri" w:hAnsi="Calibri" w:cs="Calibri"/>
          <w:sz w:val="24"/>
          <w:szCs w:val="24"/>
          <w:highlight w:val="yellow"/>
          <w:lang w:val="en-US"/>
        </w:rPr>
        <w:t>3</w:t>
      </w:r>
      <w:r w:rsidR="0065108A" w:rsidRPr="00D96CA3">
        <w:rPr>
          <w:rFonts w:ascii="Calibri" w:hAnsi="Calibri" w:cs="Calibri"/>
          <w:sz w:val="24"/>
          <w:szCs w:val="24"/>
          <w:highlight w:val="yellow"/>
          <w:lang w:val="en-US"/>
        </w:rPr>
        <w:t>.</w:t>
      </w:r>
      <w:r w:rsidRPr="00D96CA3">
        <w:rPr>
          <w:rFonts w:ascii="Calibri" w:hAnsi="Calibri" w:cs="Calibri"/>
          <w:sz w:val="24"/>
          <w:szCs w:val="24"/>
          <w:highlight w:val="yellow"/>
          <w:lang w:val="en-US"/>
        </w:rPr>
        <w:t xml:space="preserve">8 </w:t>
      </w:r>
      <w:r w:rsidR="0065108A" w:rsidRPr="00D96CA3">
        <w:rPr>
          <w:rFonts w:ascii="Calibri" w:hAnsi="Calibri" w:cs="Calibri"/>
          <w:sz w:val="24"/>
          <w:szCs w:val="24"/>
          <w:highlight w:val="yellow"/>
          <w:lang w:val="en-US"/>
        </w:rPr>
        <w:t>g</w:t>
      </w:r>
      <w:r w:rsidRPr="00D96CA3">
        <w:rPr>
          <w:rFonts w:ascii="Calibri" w:hAnsi="Calibri" w:cs="Calibri"/>
          <w:sz w:val="24"/>
          <w:szCs w:val="24"/>
          <w:highlight w:val="yellow"/>
          <w:lang w:val="en-US"/>
        </w:rPr>
        <w:t>/</w:t>
      </w:r>
      <w:r w:rsidR="0065108A" w:rsidRPr="00D96CA3">
        <w:rPr>
          <w:rFonts w:ascii="Calibri" w:hAnsi="Calibri" w:cs="Calibri"/>
          <w:sz w:val="24"/>
          <w:szCs w:val="24"/>
          <w:highlight w:val="yellow"/>
          <w:lang w:val="en-US"/>
        </w:rPr>
        <w:t>d</w:t>
      </w:r>
      <w:r w:rsidRPr="00D96CA3">
        <w:rPr>
          <w:rFonts w:ascii="Calibri" w:hAnsi="Calibri" w:cs="Calibri"/>
          <w:sz w:val="24"/>
          <w:szCs w:val="24"/>
          <w:highlight w:val="yellow"/>
          <w:lang w:val="en-US"/>
        </w:rPr>
        <w:t>L; severe risk: BMI &lt;</w:t>
      </w:r>
      <w:r w:rsidR="00F613A3" w:rsidRPr="00D96CA3">
        <w:rPr>
          <w:rFonts w:ascii="Calibri" w:hAnsi="Calibri" w:cs="Calibri"/>
          <w:sz w:val="24"/>
          <w:szCs w:val="24"/>
          <w:highlight w:val="yellow"/>
          <w:lang w:val="en-US"/>
        </w:rPr>
        <w:t xml:space="preserve"> </w:t>
      </w:r>
      <w:r w:rsidRPr="00D96CA3">
        <w:rPr>
          <w:rFonts w:ascii="Calibri" w:hAnsi="Calibri" w:cs="Calibri"/>
          <w:sz w:val="24"/>
          <w:szCs w:val="24"/>
          <w:highlight w:val="yellow"/>
          <w:lang w:val="en-US"/>
        </w:rPr>
        <w:t>23 kg/m² and serum albumin &lt;</w:t>
      </w:r>
      <w:r w:rsidR="00F613A3" w:rsidRPr="00D96CA3">
        <w:rPr>
          <w:rFonts w:ascii="Calibri" w:hAnsi="Calibri" w:cs="Calibri"/>
          <w:sz w:val="24"/>
          <w:szCs w:val="24"/>
          <w:highlight w:val="yellow"/>
          <w:lang w:val="en-US"/>
        </w:rPr>
        <w:t xml:space="preserve"> </w:t>
      </w:r>
      <w:r w:rsidRPr="00D96CA3">
        <w:rPr>
          <w:rFonts w:ascii="Calibri" w:hAnsi="Calibri" w:cs="Calibri"/>
          <w:sz w:val="24"/>
          <w:szCs w:val="24"/>
          <w:highlight w:val="yellow"/>
          <w:lang w:val="en-US"/>
        </w:rPr>
        <w:t>3</w:t>
      </w:r>
      <w:r w:rsidR="0065108A" w:rsidRPr="00D96CA3">
        <w:rPr>
          <w:rFonts w:ascii="Calibri" w:hAnsi="Calibri" w:cs="Calibri"/>
          <w:sz w:val="24"/>
          <w:szCs w:val="24"/>
          <w:highlight w:val="yellow"/>
          <w:lang w:val="en-US"/>
        </w:rPr>
        <w:t>.</w:t>
      </w:r>
      <w:r w:rsidRPr="00D96CA3">
        <w:rPr>
          <w:rFonts w:ascii="Calibri" w:hAnsi="Calibri" w:cs="Calibri"/>
          <w:sz w:val="24"/>
          <w:szCs w:val="24"/>
          <w:highlight w:val="yellow"/>
          <w:lang w:val="en-US"/>
        </w:rPr>
        <w:t xml:space="preserve">8 </w:t>
      </w:r>
      <w:r w:rsidR="0065108A" w:rsidRPr="00D96CA3">
        <w:rPr>
          <w:rFonts w:ascii="Calibri" w:hAnsi="Calibri" w:cs="Calibri"/>
          <w:sz w:val="24"/>
          <w:szCs w:val="24"/>
          <w:highlight w:val="yellow"/>
          <w:lang w:val="en-US"/>
        </w:rPr>
        <w:t>g</w:t>
      </w:r>
      <w:r w:rsidRPr="00D96CA3">
        <w:rPr>
          <w:rFonts w:ascii="Calibri" w:hAnsi="Calibri" w:cs="Calibri"/>
          <w:sz w:val="24"/>
          <w:szCs w:val="24"/>
          <w:highlight w:val="yellow"/>
          <w:lang w:val="en-US"/>
        </w:rPr>
        <w:t>/</w:t>
      </w:r>
      <w:r w:rsidR="0065108A" w:rsidRPr="00D96CA3">
        <w:rPr>
          <w:rFonts w:ascii="Calibri" w:hAnsi="Calibri" w:cs="Calibri"/>
          <w:sz w:val="24"/>
          <w:szCs w:val="24"/>
          <w:highlight w:val="yellow"/>
          <w:lang w:val="en-US"/>
        </w:rPr>
        <w:t>d</w:t>
      </w:r>
      <w:r w:rsidRPr="00D96CA3">
        <w:rPr>
          <w:rFonts w:ascii="Calibri" w:hAnsi="Calibri" w:cs="Calibri"/>
          <w:sz w:val="24"/>
          <w:szCs w:val="24"/>
          <w:highlight w:val="yellow"/>
          <w:lang w:val="en-US"/>
        </w:rPr>
        <w:t xml:space="preserve">L. This classification method identified </w:t>
      </w:r>
      <w:r w:rsidR="0011017D" w:rsidRPr="00D96CA3">
        <w:rPr>
          <w:rFonts w:ascii="Calibri" w:hAnsi="Calibri" w:cs="Calibri"/>
          <w:sz w:val="24"/>
          <w:szCs w:val="24"/>
          <w:highlight w:val="yellow"/>
          <w:lang w:val="en-US"/>
        </w:rPr>
        <w:t xml:space="preserve">an increased risk of malnutrition </w:t>
      </w:r>
      <w:r w:rsidRPr="00D96CA3">
        <w:rPr>
          <w:rFonts w:ascii="Calibri" w:hAnsi="Calibri" w:cs="Calibri"/>
          <w:sz w:val="24"/>
          <w:szCs w:val="24"/>
          <w:highlight w:val="yellow"/>
          <w:lang w:val="en-US"/>
        </w:rPr>
        <w:t>in approximately 50% of HD patients, including those with normal or high BMI.</w:t>
      </w:r>
    </w:p>
    <w:p w14:paraId="367EDB74" w14:textId="77777777" w:rsidR="00F613A3" w:rsidRPr="00D96CA3" w:rsidRDefault="00F613A3" w:rsidP="005D29E2">
      <w:pPr>
        <w:spacing w:after="0" w:line="240" w:lineRule="auto"/>
        <w:jc w:val="both"/>
        <w:rPr>
          <w:rFonts w:ascii="Calibri" w:hAnsi="Calibri" w:cs="Calibri"/>
          <w:sz w:val="24"/>
          <w:szCs w:val="24"/>
          <w:highlight w:val="yellow"/>
          <w:lang w:val="en-US"/>
        </w:rPr>
      </w:pPr>
    </w:p>
    <w:p w14:paraId="5F413C40" w14:textId="1147E463" w:rsidR="001F3C35" w:rsidRPr="005D29E2" w:rsidRDefault="00FB2742" w:rsidP="005D29E2">
      <w:pPr>
        <w:spacing w:after="0" w:line="240" w:lineRule="auto"/>
        <w:jc w:val="both"/>
        <w:rPr>
          <w:rFonts w:ascii="Calibri" w:hAnsi="Calibri" w:cs="Calibri"/>
          <w:sz w:val="24"/>
          <w:szCs w:val="24"/>
          <w:lang w:val="en-US"/>
        </w:rPr>
      </w:pPr>
      <w:r w:rsidRPr="00D96CA3">
        <w:rPr>
          <w:rFonts w:ascii="Calibri" w:hAnsi="Calibri" w:cs="Calibri"/>
          <w:sz w:val="24"/>
          <w:szCs w:val="24"/>
          <w:highlight w:val="yellow"/>
          <w:lang w:val="en-US"/>
        </w:rPr>
        <w:t xml:space="preserve">Body weight was calculated as the average of three post-dialysis measurements: one </w:t>
      </w:r>
      <w:r w:rsidR="00F613A3" w:rsidRPr="00D96CA3">
        <w:rPr>
          <w:rFonts w:ascii="Calibri" w:hAnsi="Calibri" w:cs="Calibri"/>
          <w:sz w:val="24"/>
          <w:szCs w:val="24"/>
          <w:highlight w:val="yellow"/>
          <w:lang w:val="en-US"/>
        </w:rPr>
        <w:t>taken on the day of the interview and the two prior measurements most closely preceding it</w:t>
      </w:r>
      <w:r w:rsidRPr="00D96CA3">
        <w:rPr>
          <w:rFonts w:ascii="Calibri" w:hAnsi="Calibri" w:cs="Calibri"/>
          <w:sz w:val="24"/>
          <w:szCs w:val="24"/>
          <w:highlight w:val="yellow"/>
          <w:lang w:val="en-US"/>
        </w:rPr>
        <w:t>. Height was taken from records, and BMI was calculated. Ideal body weight was calculated as:</w:t>
      </w:r>
      <w:r w:rsidR="006E790F" w:rsidRPr="00D96CA3">
        <w:rPr>
          <w:rFonts w:ascii="Calibri" w:hAnsi="Calibri" w:cs="Calibri"/>
          <w:sz w:val="24"/>
          <w:szCs w:val="24"/>
          <w:highlight w:val="yellow"/>
          <w:lang w:val="en-US"/>
        </w:rPr>
        <w:t xml:space="preserve"> </w:t>
      </w:r>
      <w:r w:rsidRPr="00D96CA3">
        <w:rPr>
          <w:rFonts w:ascii="Calibri" w:hAnsi="Calibri" w:cs="Calibri"/>
          <w:sz w:val="24"/>
          <w:szCs w:val="24"/>
          <w:highlight w:val="yellow"/>
          <w:lang w:val="en-US"/>
        </w:rPr>
        <w:t>0.9 × height (cm) – 88 in men and 0.9 × height (cm) – 92 in women</w:t>
      </w:r>
      <w:r w:rsidR="00664568" w:rsidRPr="00D96CA3">
        <w:rPr>
          <w:rFonts w:ascii="Calibri" w:hAnsi="Calibri" w:cs="Calibri"/>
          <w:sz w:val="24"/>
          <w:szCs w:val="24"/>
          <w:highlight w:val="yellow"/>
          <w:vertAlign w:val="superscript"/>
          <w:lang w:val="en-US"/>
        </w:rPr>
        <w:t>15</w:t>
      </w:r>
      <w:r w:rsidRPr="00D96CA3">
        <w:rPr>
          <w:rFonts w:ascii="Calibri" w:hAnsi="Calibri" w:cs="Calibri"/>
          <w:sz w:val="24"/>
          <w:szCs w:val="24"/>
          <w:highlight w:val="yellow"/>
          <w:lang w:val="en-US"/>
        </w:rPr>
        <w:t>.</w:t>
      </w:r>
    </w:p>
    <w:p w14:paraId="1E27B301" w14:textId="77777777" w:rsidR="00F613A3" w:rsidRPr="005D29E2" w:rsidRDefault="00F613A3" w:rsidP="005D29E2">
      <w:pPr>
        <w:spacing w:after="0" w:line="240" w:lineRule="auto"/>
        <w:jc w:val="both"/>
        <w:rPr>
          <w:rFonts w:ascii="Calibri" w:hAnsi="Calibri" w:cs="Calibri"/>
          <w:sz w:val="24"/>
          <w:szCs w:val="24"/>
          <w:lang w:val="en-US"/>
        </w:rPr>
      </w:pPr>
    </w:p>
    <w:p w14:paraId="64B13FDC" w14:textId="3BD3B3BE" w:rsidR="001F3C35"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 xml:space="preserve">Demographics, </w:t>
      </w:r>
      <w:r w:rsidR="00F613A3" w:rsidRPr="005D29E2">
        <w:rPr>
          <w:rFonts w:ascii="Calibri" w:hAnsi="Calibri" w:cs="Calibri"/>
          <w:b/>
          <w:bCs/>
          <w:sz w:val="24"/>
          <w:szCs w:val="24"/>
          <w:lang w:val="en-US"/>
        </w:rPr>
        <w:t>m</w:t>
      </w:r>
      <w:r w:rsidRPr="005D29E2">
        <w:rPr>
          <w:rFonts w:ascii="Calibri" w:hAnsi="Calibri" w:cs="Calibri"/>
          <w:b/>
          <w:bCs/>
          <w:sz w:val="24"/>
          <w:szCs w:val="24"/>
          <w:lang w:val="en-US"/>
        </w:rPr>
        <w:t xml:space="preserve">edical </w:t>
      </w:r>
      <w:r w:rsidR="00F613A3" w:rsidRPr="005D29E2">
        <w:rPr>
          <w:rFonts w:ascii="Calibri" w:hAnsi="Calibri" w:cs="Calibri"/>
          <w:b/>
          <w:bCs/>
          <w:sz w:val="24"/>
          <w:szCs w:val="24"/>
          <w:lang w:val="en-US"/>
        </w:rPr>
        <w:t>h</w:t>
      </w:r>
      <w:r w:rsidRPr="005D29E2">
        <w:rPr>
          <w:rFonts w:ascii="Calibri" w:hAnsi="Calibri" w:cs="Calibri"/>
          <w:b/>
          <w:bCs/>
          <w:sz w:val="24"/>
          <w:szCs w:val="24"/>
          <w:lang w:val="en-US"/>
        </w:rPr>
        <w:t xml:space="preserve">istory, </w:t>
      </w:r>
      <w:r w:rsidR="00F613A3" w:rsidRPr="005D29E2">
        <w:rPr>
          <w:rFonts w:ascii="Calibri" w:hAnsi="Calibri" w:cs="Calibri"/>
          <w:b/>
          <w:bCs/>
          <w:sz w:val="24"/>
          <w:szCs w:val="24"/>
          <w:lang w:val="en-US"/>
        </w:rPr>
        <w:t>p</w:t>
      </w:r>
      <w:r w:rsidRPr="005D29E2">
        <w:rPr>
          <w:rFonts w:ascii="Calibri" w:hAnsi="Calibri" w:cs="Calibri"/>
          <w:b/>
          <w:bCs/>
          <w:sz w:val="24"/>
          <w:szCs w:val="24"/>
          <w:lang w:val="en-US"/>
        </w:rPr>
        <w:t xml:space="preserve">rescribed </w:t>
      </w:r>
      <w:r w:rsidR="00F613A3" w:rsidRPr="005D29E2">
        <w:rPr>
          <w:rFonts w:ascii="Calibri" w:hAnsi="Calibri" w:cs="Calibri"/>
          <w:b/>
          <w:bCs/>
          <w:sz w:val="24"/>
          <w:szCs w:val="24"/>
          <w:lang w:val="en-US"/>
        </w:rPr>
        <w:t>m</w:t>
      </w:r>
      <w:r w:rsidRPr="005D29E2">
        <w:rPr>
          <w:rFonts w:ascii="Calibri" w:hAnsi="Calibri" w:cs="Calibri"/>
          <w:b/>
          <w:bCs/>
          <w:sz w:val="24"/>
          <w:szCs w:val="24"/>
          <w:lang w:val="en-US"/>
        </w:rPr>
        <w:t xml:space="preserve">edications, </w:t>
      </w:r>
      <w:r w:rsidR="00F613A3" w:rsidRPr="005D29E2">
        <w:rPr>
          <w:rFonts w:ascii="Calibri" w:hAnsi="Calibri" w:cs="Calibri"/>
          <w:b/>
          <w:bCs/>
          <w:sz w:val="24"/>
          <w:szCs w:val="24"/>
          <w:lang w:val="en-US"/>
        </w:rPr>
        <w:t>h</w:t>
      </w:r>
      <w:r w:rsidRPr="005D29E2">
        <w:rPr>
          <w:rFonts w:ascii="Calibri" w:hAnsi="Calibri" w:cs="Calibri"/>
          <w:b/>
          <w:bCs/>
          <w:sz w:val="24"/>
          <w:szCs w:val="24"/>
          <w:lang w:val="en-US"/>
        </w:rPr>
        <w:t>emodynamic</w:t>
      </w:r>
      <w:r w:rsidR="00E47D24" w:rsidRPr="005D29E2">
        <w:rPr>
          <w:rFonts w:ascii="Calibri" w:hAnsi="Calibri" w:cs="Calibri"/>
          <w:b/>
          <w:bCs/>
          <w:sz w:val="24"/>
          <w:szCs w:val="24"/>
          <w:lang w:val="en-US"/>
        </w:rPr>
        <w:t>,</w:t>
      </w:r>
      <w:r w:rsidRPr="005D29E2">
        <w:rPr>
          <w:rFonts w:ascii="Calibri" w:hAnsi="Calibri" w:cs="Calibri"/>
          <w:b/>
          <w:bCs/>
          <w:sz w:val="24"/>
          <w:szCs w:val="24"/>
          <w:lang w:val="en-US"/>
        </w:rPr>
        <w:t xml:space="preserve"> and </w:t>
      </w:r>
      <w:r w:rsidR="00F613A3" w:rsidRPr="005D29E2">
        <w:rPr>
          <w:rFonts w:ascii="Calibri" w:hAnsi="Calibri" w:cs="Calibri"/>
          <w:b/>
          <w:bCs/>
          <w:sz w:val="24"/>
          <w:szCs w:val="24"/>
          <w:lang w:val="en-US"/>
        </w:rPr>
        <w:t>l</w:t>
      </w:r>
      <w:r w:rsidRPr="005D29E2">
        <w:rPr>
          <w:rFonts w:ascii="Calibri" w:hAnsi="Calibri" w:cs="Calibri"/>
          <w:b/>
          <w:bCs/>
          <w:sz w:val="24"/>
          <w:szCs w:val="24"/>
          <w:lang w:val="en-US"/>
        </w:rPr>
        <w:t xml:space="preserve">aboratory </w:t>
      </w:r>
      <w:r w:rsidR="00F613A3" w:rsidRPr="005D29E2">
        <w:rPr>
          <w:rFonts w:ascii="Calibri" w:hAnsi="Calibri" w:cs="Calibri"/>
          <w:b/>
          <w:bCs/>
          <w:sz w:val="24"/>
          <w:szCs w:val="24"/>
          <w:lang w:val="en-US"/>
        </w:rPr>
        <w:t>v</w:t>
      </w:r>
      <w:r w:rsidRPr="005D29E2">
        <w:rPr>
          <w:rFonts w:ascii="Calibri" w:hAnsi="Calibri" w:cs="Calibri"/>
          <w:b/>
          <w:bCs/>
          <w:sz w:val="24"/>
          <w:szCs w:val="24"/>
          <w:lang w:val="en-US"/>
        </w:rPr>
        <w:t>alues</w:t>
      </w:r>
    </w:p>
    <w:p w14:paraId="366DCCE3" w14:textId="787E6F8F"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Demographic data</w:t>
      </w:r>
      <w:r w:rsidR="00F613A3" w:rsidRPr="005D29E2">
        <w:rPr>
          <w:rFonts w:ascii="Calibri" w:hAnsi="Calibri" w:cs="Calibri"/>
          <w:sz w:val="24"/>
          <w:szCs w:val="24"/>
          <w:lang w:val="en-US"/>
        </w:rPr>
        <w:t>, including age, sex, marital status,</w:t>
      </w:r>
      <w:r w:rsidRPr="005D29E2">
        <w:rPr>
          <w:rFonts w:ascii="Calibri" w:hAnsi="Calibri" w:cs="Calibri"/>
          <w:sz w:val="24"/>
          <w:szCs w:val="24"/>
          <w:lang w:val="en-US"/>
        </w:rPr>
        <w:t xml:space="preserve"> and ethnicity, were extracted from medical records. Lifestyle factors (smoking and physical activity) were obtained from patient interviews.</w:t>
      </w:r>
      <w:r w:rsidR="00F613A3" w:rsidRPr="005D29E2">
        <w:rPr>
          <w:rFonts w:ascii="Calibri" w:hAnsi="Calibri" w:cs="Calibri"/>
          <w:sz w:val="24"/>
          <w:szCs w:val="24"/>
          <w:lang w:val="en-US"/>
        </w:rPr>
        <w:t xml:space="preserve"> </w:t>
      </w:r>
      <w:r w:rsidRPr="005D29E2">
        <w:rPr>
          <w:rFonts w:ascii="Calibri" w:hAnsi="Calibri" w:cs="Calibri"/>
          <w:sz w:val="24"/>
          <w:szCs w:val="24"/>
          <w:lang w:val="en-US"/>
        </w:rPr>
        <w:t xml:space="preserve">Medical history data included dialysis vintage, dialysis center, dialysis modality changes, comorbidities, and prescribed medications, all of which were extracted from the </w:t>
      </w:r>
      <w:r w:rsidR="00F613A3" w:rsidRPr="005D29E2">
        <w:rPr>
          <w:rFonts w:ascii="Calibri" w:hAnsi="Calibri" w:cs="Calibri"/>
          <w:sz w:val="24"/>
          <w:szCs w:val="24"/>
          <w:lang w:val="en-US"/>
        </w:rPr>
        <w:t>patient's</w:t>
      </w:r>
      <w:r w:rsidRPr="005D29E2">
        <w:rPr>
          <w:rFonts w:ascii="Calibri" w:hAnsi="Calibri" w:cs="Calibri"/>
          <w:sz w:val="24"/>
          <w:szCs w:val="24"/>
          <w:lang w:val="en-US"/>
        </w:rPr>
        <w:t xml:space="preserve"> electronic medical record.</w:t>
      </w:r>
    </w:p>
    <w:p w14:paraId="068A561A" w14:textId="77777777" w:rsidR="00F613A3" w:rsidRPr="005D29E2" w:rsidRDefault="00F613A3" w:rsidP="005D29E2">
      <w:pPr>
        <w:spacing w:after="0" w:line="240" w:lineRule="auto"/>
        <w:jc w:val="both"/>
        <w:rPr>
          <w:rFonts w:ascii="Calibri" w:hAnsi="Calibri" w:cs="Calibri"/>
          <w:sz w:val="24"/>
          <w:szCs w:val="24"/>
          <w:lang w:val="en-US"/>
        </w:rPr>
      </w:pPr>
    </w:p>
    <w:p w14:paraId="70404FDE" w14:textId="4AF202A6" w:rsidR="001F3C35" w:rsidRPr="005D29E2" w:rsidRDefault="00B47051"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Three </w:t>
      </w:r>
      <w:proofErr w:type="spellStart"/>
      <w:r w:rsidRPr="005D29E2">
        <w:rPr>
          <w:rFonts w:ascii="Calibri" w:hAnsi="Calibri" w:cs="Calibri"/>
          <w:sz w:val="24"/>
          <w:szCs w:val="24"/>
          <w:lang w:val="en-US"/>
        </w:rPr>
        <w:t>postdialysis</w:t>
      </w:r>
      <w:proofErr w:type="spellEnd"/>
      <w:r w:rsidRPr="005D29E2">
        <w:rPr>
          <w:rFonts w:ascii="Calibri" w:hAnsi="Calibri" w:cs="Calibri"/>
          <w:sz w:val="24"/>
          <w:szCs w:val="24"/>
          <w:lang w:val="en-US"/>
        </w:rPr>
        <w:t xml:space="preserve"> measurements were averaged to </w:t>
      </w:r>
      <w:r w:rsidR="005D29E2">
        <w:rPr>
          <w:rFonts w:ascii="Calibri" w:hAnsi="Calibri" w:cs="Calibri"/>
          <w:sz w:val="24"/>
          <w:szCs w:val="24"/>
          <w:lang w:val="en-US"/>
        </w:rPr>
        <w:t>obtain each systolic and diastolic blood pressure value: the reading taken on the interview day, along with the two most recent</w:t>
      </w:r>
      <w:r w:rsidRPr="005D29E2">
        <w:rPr>
          <w:rFonts w:ascii="Calibri" w:hAnsi="Calibri" w:cs="Calibri"/>
          <w:sz w:val="24"/>
          <w:szCs w:val="24"/>
          <w:lang w:val="en-US"/>
        </w:rPr>
        <w:t xml:space="preserve"> prior readings. </w:t>
      </w:r>
      <w:r w:rsidR="00F75E85" w:rsidRPr="005D29E2">
        <w:rPr>
          <w:rFonts w:ascii="Calibri" w:hAnsi="Calibri" w:cs="Calibri"/>
          <w:sz w:val="24"/>
          <w:szCs w:val="24"/>
          <w:lang w:val="en-US"/>
        </w:rPr>
        <w:t xml:space="preserve">The complete blood count included hemoglobin, hematocrit, white blood cell count, </w:t>
      </w:r>
      <w:r w:rsidR="00F75E85" w:rsidRPr="005D29E2">
        <w:rPr>
          <w:rFonts w:ascii="Calibri" w:hAnsi="Calibri" w:cs="Calibri"/>
          <w:sz w:val="24"/>
          <w:szCs w:val="24"/>
          <w:lang w:val="en-US"/>
        </w:rPr>
        <w:lastRenderedPageBreak/>
        <w:t>and platelet count</w:t>
      </w:r>
      <w:r w:rsidR="00FB2742" w:rsidRPr="005D29E2">
        <w:rPr>
          <w:rFonts w:ascii="Calibri" w:hAnsi="Calibri" w:cs="Calibri"/>
          <w:sz w:val="24"/>
          <w:szCs w:val="24"/>
          <w:lang w:val="en-US"/>
        </w:rPr>
        <w:t xml:space="preserve">. Blood chemistry included: glucose, urea, creatinine, phosphorus, calcium, potassium, transferrin, albumin, iron, and C-reactive protein. Lipid profile included total cholesterol, triglycerides, HDL, and LDL. The most recent parathyroid hormone (PTH) value was recorded. All values were extracted from the electronic medical record for the </w:t>
      </w:r>
      <w:r w:rsidR="00F613A3" w:rsidRPr="005D29E2">
        <w:rPr>
          <w:rFonts w:ascii="Calibri" w:hAnsi="Calibri" w:cs="Calibri"/>
          <w:sz w:val="24"/>
          <w:szCs w:val="24"/>
          <w:lang w:val="en-US"/>
        </w:rPr>
        <w:t>most recent values</w:t>
      </w:r>
      <w:r w:rsidR="00FB2742" w:rsidRPr="005D29E2">
        <w:rPr>
          <w:rFonts w:ascii="Calibri" w:hAnsi="Calibri" w:cs="Calibri"/>
          <w:sz w:val="24"/>
          <w:szCs w:val="24"/>
          <w:lang w:val="en-US"/>
        </w:rPr>
        <w:t xml:space="preserve"> to the day of the interview. The calcium–phosphorus product was calculated.</w:t>
      </w:r>
    </w:p>
    <w:p w14:paraId="55FB941B" w14:textId="77777777" w:rsidR="00F613A3" w:rsidRPr="005D29E2" w:rsidRDefault="00F613A3" w:rsidP="005D29E2">
      <w:pPr>
        <w:spacing w:after="0" w:line="240" w:lineRule="auto"/>
        <w:jc w:val="both"/>
        <w:rPr>
          <w:rFonts w:ascii="Calibri" w:hAnsi="Calibri" w:cs="Calibri"/>
          <w:sz w:val="24"/>
          <w:szCs w:val="24"/>
          <w:lang w:val="en-US"/>
        </w:rPr>
      </w:pPr>
    </w:p>
    <w:p w14:paraId="48B755AD" w14:textId="10E7F581" w:rsidR="00F613A3"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b/>
          <w:bCs/>
          <w:sz w:val="24"/>
          <w:szCs w:val="24"/>
          <w:lang w:val="en-US"/>
        </w:rPr>
        <w:t xml:space="preserve">Data </w:t>
      </w:r>
      <w:r w:rsidR="00F613A3" w:rsidRPr="005D29E2">
        <w:rPr>
          <w:rFonts w:ascii="Calibri" w:hAnsi="Calibri" w:cs="Calibri"/>
          <w:b/>
          <w:bCs/>
          <w:sz w:val="24"/>
          <w:szCs w:val="24"/>
          <w:lang w:val="en-US"/>
        </w:rPr>
        <w:t>q</w:t>
      </w:r>
      <w:r w:rsidRPr="005D29E2">
        <w:rPr>
          <w:rFonts w:ascii="Calibri" w:hAnsi="Calibri" w:cs="Calibri"/>
          <w:b/>
          <w:bCs/>
          <w:sz w:val="24"/>
          <w:szCs w:val="24"/>
          <w:lang w:val="en-US"/>
        </w:rPr>
        <w:t xml:space="preserve">uality </w:t>
      </w:r>
      <w:r w:rsidR="00F613A3" w:rsidRPr="005D29E2">
        <w:rPr>
          <w:rFonts w:ascii="Calibri" w:hAnsi="Calibri" w:cs="Calibri"/>
          <w:b/>
          <w:bCs/>
          <w:sz w:val="24"/>
          <w:szCs w:val="24"/>
          <w:lang w:val="en-US"/>
        </w:rPr>
        <w:t>a</w:t>
      </w:r>
      <w:r w:rsidRPr="005D29E2">
        <w:rPr>
          <w:rFonts w:ascii="Calibri" w:hAnsi="Calibri" w:cs="Calibri"/>
          <w:b/>
          <w:bCs/>
          <w:sz w:val="24"/>
          <w:szCs w:val="24"/>
          <w:lang w:val="en-US"/>
        </w:rPr>
        <w:t>ssurance</w:t>
      </w:r>
      <w:r w:rsidR="00F613A3" w:rsidRPr="005D29E2">
        <w:rPr>
          <w:rFonts w:ascii="Calibri" w:hAnsi="Calibri" w:cs="Calibri"/>
          <w:b/>
          <w:bCs/>
          <w:sz w:val="24"/>
          <w:szCs w:val="24"/>
          <w:lang w:val="en-US"/>
        </w:rPr>
        <w:t xml:space="preserve"> and patient privacy </w:t>
      </w:r>
      <w:r w:rsidRPr="005D29E2">
        <w:rPr>
          <w:rFonts w:ascii="Calibri" w:hAnsi="Calibri" w:cs="Calibri"/>
          <w:sz w:val="24"/>
          <w:szCs w:val="24"/>
          <w:lang w:val="en-US"/>
        </w:rPr>
        <w:br/>
        <w:t>All study records were open for review by investigators. Acceptable ranges were defined, and out-of-range values were verified against original records.</w:t>
      </w:r>
      <w:r w:rsidR="00F613A3" w:rsidRPr="005D29E2">
        <w:rPr>
          <w:rFonts w:ascii="Calibri" w:hAnsi="Calibri" w:cs="Calibri"/>
          <w:sz w:val="24"/>
          <w:szCs w:val="24"/>
          <w:lang w:val="en-US"/>
        </w:rPr>
        <w:t xml:space="preserve"> </w:t>
      </w:r>
      <w:r w:rsidR="00A84420" w:rsidRPr="005D29E2">
        <w:rPr>
          <w:rFonts w:ascii="Calibri" w:hAnsi="Calibri" w:cs="Calibri"/>
          <w:sz w:val="24"/>
          <w:szCs w:val="24"/>
          <w:lang w:val="en-US"/>
        </w:rPr>
        <w:t>All data were anonymized prior to study database entry, with a unique study ID number assigned to each participant.</w:t>
      </w:r>
    </w:p>
    <w:p w14:paraId="012927B2" w14:textId="77777777" w:rsidR="00A84420" w:rsidRPr="005D29E2" w:rsidRDefault="00A84420" w:rsidP="005D29E2">
      <w:pPr>
        <w:spacing w:after="0" w:line="240" w:lineRule="auto"/>
        <w:jc w:val="both"/>
        <w:rPr>
          <w:rFonts w:ascii="Calibri" w:hAnsi="Calibri" w:cs="Calibri"/>
          <w:sz w:val="24"/>
          <w:szCs w:val="24"/>
          <w:lang w:val="en-US"/>
        </w:rPr>
      </w:pPr>
    </w:p>
    <w:p w14:paraId="6F5CD621" w14:textId="18DD7F62" w:rsidR="001F3C35"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 xml:space="preserve">Statistical </w:t>
      </w:r>
      <w:r w:rsidR="00F613A3" w:rsidRPr="005D29E2">
        <w:rPr>
          <w:rFonts w:ascii="Calibri" w:hAnsi="Calibri" w:cs="Calibri"/>
          <w:b/>
          <w:bCs/>
          <w:sz w:val="24"/>
          <w:szCs w:val="24"/>
          <w:lang w:val="en-US"/>
        </w:rPr>
        <w:t>m</w:t>
      </w:r>
      <w:r w:rsidRPr="005D29E2">
        <w:rPr>
          <w:rFonts w:ascii="Calibri" w:hAnsi="Calibri" w:cs="Calibri"/>
          <w:b/>
          <w:bCs/>
          <w:sz w:val="24"/>
          <w:szCs w:val="24"/>
          <w:lang w:val="en-US"/>
        </w:rPr>
        <w:t>ethods</w:t>
      </w:r>
    </w:p>
    <w:p w14:paraId="578F9DFB" w14:textId="1C4E2C46"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b/>
          <w:bCs/>
          <w:i/>
          <w:iCs/>
          <w:sz w:val="24"/>
          <w:szCs w:val="24"/>
          <w:lang w:val="en-US"/>
        </w:rPr>
        <w:t xml:space="preserve">Sample </w:t>
      </w:r>
      <w:r w:rsidR="00F07FAD" w:rsidRPr="005D29E2">
        <w:rPr>
          <w:rFonts w:ascii="Calibri" w:hAnsi="Calibri" w:cs="Calibri"/>
          <w:b/>
          <w:bCs/>
          <w:i/>
          <w:iCs/>
          <w:sz w:val="24"/>
          <w:szCs w:val="24"/>
          <w:lang w:val="en-US"/>
        </w:rPr>
        <w:t>s</w:t>
      </w:r>
      <w:r w:rsidRPr="005D29E2">
        <w:rPr>
          <w:rFonts w:ascii="Calibri" w:hAnsi="Calibri" w:cs="Calibri"/>
          <w:b/>
          <w:bCs/>
          <w:i/>
          <w:iCs/>
          <w:sz w:val="24"/>
          <w:szCs w:val="24"/>
          <w:lang w:val="en-US"/>
        </w:rPr>
        <w:t>ize</w:t>
      </w:r>
      <w:r w:rsidRPr="005D29E2">
        <w:rPr>
          <w:rFonts w:ascii="Calibri" w:hAnsi="Calibri" w:cs="Calibri"/>
          <w:sz w:val="24"/>
          <w:szCs w:val="24"/>
          <w:lang w:val="en-US"/>
        </w:rPr>
        <w:br/>
        <w:t>With a sample size of 124 participants (n</w:t>
      </w:r>
      <w:r w:rsidR="00F07FAD" w:rsidRPr="005D29E2">
        <w:rPr>
          <w:rFonts w:ascii="Calibri" w:hAnsi="Calibri" w:cs="Calibri"/>
          <w:sz w:val="24"/>
          <w:szCs w:val="24"/>
          <w:lang w:val="en-US"/>
        </w:rPr>
        <w:t xml:space="preserve"> </w:t>
      </w:r>
      <w:r w:rsidRPr="005D29E2">
        <w:rPr>
          <w:rFonts w:ascii="Calibri" w:hAnsi="Calibri" w:cs="Calibri"/>
          <w:sz w:val="24"/>
          <w:szCs w:val="24"/>
          <w:lang w:val="en-US"/>
        </w:rPr>
        <w:t>=</w:t>
      </w:r>
      <w:r w:rsidR="00F07FAD" w:rsidRPr="005D29E2">
        <w:rPr>
          <w:rFonts w:ascii="Calibri" w:hAnsi="Calibri" w:cs="Calibri"/>
          <w:sz w:val="24"/>
          <w:szCs w:val="24"/>
          <w:lang w:val="en-US"/>
        </w:rPr>
        <w:t xml:space="preserve"> </w:t>
      </w:r>
      <w:r w:rsidRPr="005D29E2">
        <w:rPr>
          <w:rFonts w:ascii="Calibri" w:hAnsi="Calibri" w:cs="Calibri"/>
          <w:sz w:val="24"/>
          <w:szCs w:val="24"/>
          <w:lang w:val="en-US"/>
        </w:rPr>
        <w:t>62 in each group), the present study was designed to have 80% power to detect a true, by ethnicity (Jewish vs. ASM) difference of 25% in the proportion of participants with any elevation in malnutrition risk (minimal risk vs. any increase in risk)</w:t>
      </w:r>
      <w:r w:rsidR="00F07FAD" w:rsidRPr="005D29E2">
        <w:rPr>
          <w:rFonts w:ascii="Calibri" w:hAnsi="Calibri" w:cs="Calibri"/>
          <w:sz w:val="24"/>
          <w:szCs w:val="24"/>
          <w:lang w:val="en-US"/>
        </w:rPr>
        <w:t>,</w:t>
      </w:r>
      <w:r w:rsidRPr="005D29E2">
        <w:rPr>
          <w:rFonts w:ascii="Calibri" w:hAnsi="Calibri" w:cs="Calibri"/>
          <w:sz w:val="24"/>
          <w:szCs w:val="24"/>
          <w:lang w:val="en-US"/>
        </w:rPr>
        <w:t xml:space="preserve"> assuming a two-sided alpha of 0.05. Ultimately, 132 participants (65 Jewish and 67 ASM) were recruited.</w:t>
      </w:r>
    </w:p>
    <w:p w14:paraId="2A7870D9" w14:textId="77777777" w:rsidR="00F07FAD" w:rsidRPr="005D29E2" w:rsidRDefault="00F07FAD" w:rsidP="005D29E2">
      <w:pPr>
        <w:spacing w:after="0" w:line="240" w:lineRule="auto"/>
        <w:jc w:val="both"/>
        <w:rPr>
          <w:rFonts w:ascii="Calibri" w:hAnsi="Calibri" w:cs="Calibri"/>
          <w:sz w:val="24"/>
          <w:szCs w:val="24"/>
          <w:lang w:val="en-US"/>
        </w:rPr>
      </w:pPr>
    </w:p>
    <w:p w14:paraId="6DBDED50" w14:textId="4F131AA1" w:rsidR="00F07FAD"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b/>
          <w:bCs/>
          <w:i/>
          <w:iCs/>
          <w:sz w:val="24"/>
          <w:szCs w:val="24"/>
          <w:lang w:val="en-US"/>
        </w:rPr>
        <w:t xml:space="preserve">Data </w:t>
      </w:r>
      <w:r w:rsidR="00F07FAD" w:rsidRPr="005D29E2">
        <w:rPr>
          <w:rFonts w:ascii="Calibri" w:hAnsi="Calibri" w:cs="Calibri"/>
          <w:b/>
          <w:bCs/>
          <w:i/>
          <w:iCs/>
          <w:sz w:val="24"/>
          <w:szCs w:val="24"/>
          <w:lang w:val="en-US"/>
        </w:rPr>
        <w:t>a</w:t>
      </w:r>
      <w:r w:rsidRPr="005D29E2">
        <w:rPr>
          <w:rFonts w:ascii="Calibri" w:hAnsi="Calibri" w:cs="Calibri"/>
          <w:b/>
          <w:bCs/>
          <w:i/>
          <w:iCs/>
          <w:sz w:val="24"/>
          <w:szCs w:val="24"/>
          <w:lang w:val="en-US"/>
        </w:rPr>
        <w:t>nalysis</w:t>
      </w:r>
      <w:r w:rsidRPr="005D29E2">
        <w:rPr>
          <w:rFonts w:ascii="Calibri" w:hAnsi="Calibri" w:cs="Calibri"/>
          <w:sz w:val="24"/>
          <w:szCs w:val="24"/>
          <w:lang w:val="en-US"/>
        </w:rPr>
        <w:br/>
      </w:r>
      <w:r w:rsidR="008465CD" w:rsidRPr="005D29E2">
        <w:rPr>
          <w:rFonts w:ascii="Calibri" w:hAnsi="Calibri" w:cs="Calibri"/>
          <w:sz w:val="24"/>
          <w:szCs w:val="24"/>
          <w:lang w:val="en-US"/>
        </w:rPr>
        <w:t xml:space="preserve">To evaluate variable normality, the Kolmogorov-Smirnov test was applied to all continuous data. Summary metrics were chosen based on distribution type: normally distributed continuous variables </w:t>
      </w:r>
      <w:r w:rsidR="005D29E2">
        <w:rPr>
          <w:rFonts w:ascii="Calibri" w:hAnsi="Calibri" w:cs="Calibri"/>
          <w:sz w:val="24"/>
          <w:szCs w:val="24"/>
          <w:lang w:val="en-US"/>
        </w:rPr>
        <w:t>are reported as mean ± standard deviation, non-normally distributed continuous variables are reported</w:t>
      </w:r>
      <w:r w:rsidR="008465CD" w:rsidRPr="005D29E2">
        <w:rPr>
          <w:rFonts w:ascii="Calibri" w:hAnsi="Calibri" w:cs="Calibri"/>
          <w:sz w:val="24"/>
          <w:szCs w:val="24"/>
          <w:lang w:val="en-US"/>
        </w:rPr>
        <w:t xml:space="preserve"> as median (interquartile range), and categorical variables are reported as n (%). Ethnicity-based comparisons between ASM and Jewish HD patients were conducted using the independent t-test for normal continuous data, the Mann–Whitney U test for non-normal continuous data, and the chi-square test (or Fisher’s exact test when indicated) for categorical data. Compliance with ISRNM guidelines regarding real nutrient intake (energy, protein, sodium, and phosphorus) was evaluated using either the one-sample t-test or the Wilcoxon signed-rank test according to distributional fit. Predictors of adherence to individual ISRNM guidelines were analyzed via logistic regression to yield odds ratios with 95% confidence intervals. Two-sided hypothesis testing was maintained throughout, with p &lt; 0.05 defining statistical significance.</w:t>
      </w:r>
    </w:p>
    <w:p w14:paraId="76DCB1DC" w14:textId="77777777" w:rsidR="008465CD" w:rsidRPr="005D29E2" w:rsidRDefault="008465CD" w:rsidP="005D29E2">
      <w:pPr>
        <w:spacing w:after="0" w:line="240" w:lineRule="auto"/>
        <w:jc w:val="both"/>
        <w:rPr>
          <w:rFonts w:ascii="Calibri" w:hAnsi="Calibri" w:cs="Calibri"/>
          <w:sz w:val="24"/>
          <w:szCs w:val="24"/>
          <w:lang w:val="en-US"/>
        </w:rPr>
      </w:pPr>
    </w:p>
    <w:p w14:paraId="67728CEA" w14:textId="0BD50488" w:rsidR="001F3C35"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R</w:t>
      </w:r>
      <w:r w:rsidR="00F07FAD" w:rsidRPr="005D29E2">
        <w:rPr>
          <w:rFonts w:ascii="Calibri" w:hAnsi="Calibri" w:cs="Calibri"/>
          <w:b/>
          <w:bCs/>
          <w:sz w:val="24"/>
          <w:szCs w:val="24"/>
          <w:lang w:val="en-US"/>
        </w:rPr>
        <w:t>ESULTS:</w:t>
      </w:r>
    </w:p>
    <w:p w14:paraId="05B34C21" w14:textId="6BF719E6" w:rsidR="00A40FDD"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 xml:space="preserve">Patient </w:t>
      </w:r>
      <w:r w:rsidR="00F07FAD" w:rsidRPr="005D29E2">
        <w:rPr>
          <w:rFonts w:ascii="Calibri" w:hAnsi="Calibri" w:cs="Calibri"/>
          <w:b/>
          <w:bCs/>
          <w:sz w:val="24"/>
          <w:szCs w:val="24"/>
          <w:lang w:val="en-US"/>
        </w:rPr>
        <w:t>c</w:t>
      </w:r>
      <w:r w:rsidRPr="005D29E2">
        <w:rPr>
          <w:rFonts w:ascii="Calibri" w:hAnsi="Calibri" w:cs="Calibri"/>
          <w:b/>
          <w:bCs/>
          <w:sz w:val="24"/>
          <w:szCs w:val="24"/>
          <w:lang w:val="en-US"/>
        </w:rPr>
        <w:t>haracteristics</w:t>
      </w:r>
    </w:p>
    <w:p w14:paraId="587A6F09" w14:textId="5BC9D6DA"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The study population included 132 HD patients: 65 Jewish HD patients and 67 ASM patients: 35 Druze, 32 Arabs (Muslims and Christians).</w:t>
      </w:r>
      <w:r w:rsidR="00F07FAD" w:rsidRPr="005D29E2">
        <w:rPr>
          <w:rFonts w:ascii="Calibri" w:hAnsi="Calibri" w:cs="Calibri"/>
          <w:sz w:val="24"/>
          <w:szCs w:val="24"/>
          <w:lang w:val="en-US"/>
        </w:rPr>
        <w:t xml:space="preserve"> </w:t>
      </w:r>
      <w:r w:rsidRPr="005D29E2">
        <w:rPr>
          <w:rFonts w:ascii="Calibri" w:hAnsi="Calibri" w:cs="Calibri"/>
          <w:b/>
          <w:bCs/>
          <w:sz w:val="24"/>
          <w:szCs w:val="24"/>
          <w:lang w:val="en-US"/>
        </w:rPr>
        <w:t>Table 1</w:t>
      </w:r>
      <w:r w:rsidRPr="005D29E2">
        <w:rPr>
          <w:rFonts w:ascii="Calibri" w:hAnsi="Calibri" w:cs="Calibri"/>
          <w:sz w:val="24"/>
          <w:szCs w:val="24"/>
          <w:lang w:val="en-US"/>
        </w:rPr>
        <w:t xml:space="preserve"> presents the characteristics of the study population by ethnicity (ASM vs. Jewish patients). Compared with ASM patients, Jewish patients were significantly older, slightly less likely to be female, and more likely to identify as secular rather than traditional or religious. They were less likely to be married, more likely to be divorced or widowed, and had significantly fewer children. Despite the age difference, no significant differences in comorbidities were observed between the groups.</w:t>
      </w:r>
    </w:p>
    <w:p w14:paraId="7D421114" w14:textId="77777777" w:rsidR="00F07FAD" w:rsidRPr="005D29E2" w:rsidRDefault="00F07FAD" w:rsidP="005D29E2">
      <w:pPr>
        <w:spacing w:after="0" w:line="240" w:lineRule="auto"/>
        <w:jc w:val="both"/>
        <w:rPr>
          <w:rFonts w:ascii="Calibri" w:hAnsi="Calibri" w:cs="Calibri"/>
          <w:sz w:val="24"/>
          <w:szCs w:val="24"/>
          <w:lang w:val="en-US"/>
        </w:rPr>
      </w:pPr>
    </w:p>
    <w:p w14:paraId="6C028C1A" w14:textId="1FAA7888" w:rsidR="001F3C35"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 xml:space="preserve">Dialysis </w:t>
      </w:r>
      <w:r w:rsidR="00F07FAD" w:rsidRPr="005D29E2">
        <w:rPr>
          <w:rFonts w:ascii="Calibri" w:hAnsi="Calibri" w:cs="Calibri"/>
          <w:b/>
          <w:bCs/>
          <w:sz w:val="24"/>
          <w:szCs w:val="24"/>
          <w:lang w:val="en-US"/>
        </w:rPr>
        <w:t>c</w:t>
      </w:r>
      <w:r w:rsidRPr="005D29E2">
        <w:rPr>
          <w:rFonts w:ascii="Calibri" w:hAnsi="Calibri" w:cs="Calibri"/>
          <w:b/>
          <w:bCs/>
          <w:sz w:val="24"/>
          <w:szCs w:val="24"/>
          <w:lang w:val="en-US"/>
        </w:rPr>
        <w:t>haracteristics</w:t>
      </w:r>
    </w:p>
    <w:p w14:paraId="38C5A780" w14:textId="77777777"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b/>
          <w:bCs/>
          <w:sz w:val="24"/>
          <w:szCs w:val="24"/>
          <w:lang w:val="en-US"/>
        </w:rPr>
        <w:t xml:space="preserve">Table 2 </w:t>
      </w:r>
      <w:r w:rsidRPr="005D29E2">
        <w:rPr>
          <w:rFonts w:ascii="Calibri" w:hAnsi="Calibri" w:cs="Calibri"/>
          <w:sz w:val="24"/>
          <w:szCs w:val="24"/>
          <w:lang w:val="en-US"/>
        </w:rPr>
        <w:t xml:space="preserve">presents HD characteristics by ethnicity. Despite being younger on average, ASM patients had been on dialysis significantly longer. Compared with Jewish patients, a </w:t>
      </w:r>
      <w:r w:rsidRPr="005D29E2">
        <w:rPr>
          <w:rFonts w:ascii="Calibri" w:hAnsi="Calibri" w:cs="Calibri"/>
          <w:sz w:val="24"/>
          <w:szCs w:val="24"/>
          <w:lang w:val="en-US"/>
        </w:rPr>
        <w:lastRenderedPageBreak/>
        <w:t>significantly greater proportion of ASM patients were accompanied by a caregiver to their dialysis sessions.</w:t>
      </w:r>
    </w:p>
    <w:p w14:paraId="1FC8FE32" w14:textId="77777777" w:rsidR="00F07FAD" w:rsidRPr="005D29E2" w:rsidRDefault="00F07FAD" w:rsidP="005D29E2">
      <w:pPr>
        <w:spacing w:after="0" w:line="240" w:lineRule="auto"/>
        <w:jc w:val="both"/>
        <w:rPr>
          <w:rFonts w:ascii="Calibri" w:hAnsi="Calibri" w:cs="Calibri"/>
          <w:sz w:val="24"/>
          <w:szCs w:val="24"/>
          <w:lang w:val="en-US"/>
        </w:rPr>
      </w:pPr>
    </w:p>
    <w:p w14:paraId="11B79C44" w14:textId="4F2A114E" w:rsidR="001F3C35"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 xml:space="preserve">Prescribed </w:t>
      </w:r>
      <w:r w:rsidR="00F07FAD" w:rsidRPr="005D29E2">
        <w:rPr>
          <w:rFonts w:ascii="Calibri" w:hAnsi="Calibri" w:cs="Calibri"/>
          <w:b/>
          <w:bCs/>
          <w:sz w:val="24"/>
          <w:szCs w:val="24"/>
          <w:lang w:val="en-US"/>
        </w:rPr>
        <w:t>m</w:t>
      </w:r>
      <w:r w:rsidRPr="005D29E2">
        <w:rPr>
          <w:rFonts w:ascii="Calibri" w:hAnsi="Calibri" w:cs="Calibri"/>
          <w:b/>
          <w:bCs/>
          <w:sz w:val="24"/>
          <w:szCs w:val="24"/>
          <w:lang w:val="en-US"/>
        </w:rPr>
        <w:t>edications</w:t>
      </w:r>
    </w:p>
    <w:p w14:paraId="4BF28A1C" w14:textId="77777777"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b/>
          <w:bCs/>
          <w:sz w:val="24"/>
          <w:szCs w:val="24"/>
          <w:lang w:val="en-US"/>
        </w:rPr>
        <w:t>Table 3</w:t>
      </w:r>
      <w:r w:rsidRPr="005D29E2">
        <w:rPr>
          <w:rFonts w:ascii="Calibri" w:hAnsi="Calibri" w:cs="Calibri"/>
          <w:sz w:val="24"/>
          <w:szCs w:val="24"/>
          <w:lang w:val="en-US"/>
        </w:rPr>
        <w:t xml:space="preserve"> presents prescribed medications by ethnicity. No significant by-ethnicity differences were observed in the proportion of patients prescribed these medications. Oral nutrition supplements were not widely prescribed, and intradialytic parenteral nutrition (IDPN) was not prescribed to any patient at either center.</w:t>
      </w:r>
    </w:p>
    <w:p w14:paraId="7D084B46" w14:textId="77777777" w:rsidR="00F07FAD" w:rsidRPr="005D29E2" w:rsidRDefault="00F07FAD" w:rsidP="005D29E2">
      <w:pPr>
        <w:spacing w:after="0" w:line="240" w:lineRule="auto"/>
        <w:jc w:val="both"/>
        <w:rPr>
          <w:rFonts w:ascii="Calibri" w:hAnsi="Calibri" w:cs="Calibri"/>
          <w:sz w:val="24"/>
          <w:szCs w:val="24"/>
          <w:lang w:val="en-US"/>
        </w:rPr>
      </w:pPr>
    </w:p>
    <w:p w14:paraId="32A930DC" w14:textId="6B8879BE" w:rsidR="001F3C35"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 xml:space="preserve">Laboratory and </w:t>
      </w:r>
      <w:r w:rsidR="00F07FAD" w:rsidRPr="005D29E2">
        <w:rPr>
          <w:rFonts w:ascii="Calibri" w:hAnsi="Calibri" w:cs="Calibri"/>
          <w:b/>
          <w:bCs/>
          <w:sz w:val="24"/>
          <w:szCs w:val="24"/>
          <w:lang w:val="en-US"/>
        </w:rPr>
        <w:t>h</w:t>
      </w:r>
      <w:r w:rsidRPr="005D29E2">
        <w:rPr>
          <w:rFonts w:ascii="Calibri" w:hAnsi="Calibri" w:cs="Calibri"/>
          <w:b/>
          <w:bCs/>
          <w:sz w:val="24"/>
          <w:szCs w:val="24"/>
          <w:lang w:val="en-US"/>
        </w:rPr>
        <w:t xml:space="preserve">emodynamic </w:t>
      </w:r>
      <w:r w:rsidR="00F07FAD" w:rsidRPr="005D29E2">
        <w:rPr>
          <w:rFonts w:ascii="Calibri" w:hAnsi="Calibri" w:cs="Calibri"/>
          <w:b/>
          <w:bCs/>
          <w:sz w:val="24"/>
          <w:szCs w:val="24"/>
          <w:lang w:val="en-US"/>
        </w:rPr>
        <w:t>m</w:t>
      </w:r>
      <w:r w:rsidRPr="005D29E2">
        <w:rPr>
          <w:rFonts w:ascii="Calibri" w:hAnsi="Calibri" w:cs="Calibri"/>
          <w:b/>
          <w:bCs/>
          <w:sz w:val="24"/>
          <w:szCs w:val="24"/>
          <w:lang w:val="en-US"/>
        </w:rPr>
        <w:t>easures</w:t>
      </w:r>
    </w:p>
    <w:p w14:paraId="1FC435D9" w14:textId="44F4D995"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b/>
          <w:bCs/>
          <w:sz w:val="24"/>
          <w:szCs w:val="24"/>
          <w:lang w:val="en-US"/>
        </w:rPr>
        <w:t xml:space="preserve">Table 4 </w:t>
      </w:r>
      <w:r w:rsidRPr="005D29E2">
        <w:rPr>
          <w:rFonts w:ascii="Calibri" w:hAnsi="Calibri" w:cs="Calibri"/>
          <w:sz w:val="24"/>
          <w:szCs w:val="24"/>
          <w:lang w:val="en-US"/>
        </w:rPr>
        <w:t xml:space="preserve">presents blood chemistry, lipid profile, and hemodynamic measures by ethnicity. Blood urea nitrogen and low-density lipoprotein (LDL) cholesterol were significantly lower in ASM than </w:t>
      </w:r>
      <w:r w:rsidR="00F07FAD" w:rsidRPr="005D29E2">
        <w:rPr>
          <w:rFonts w:ascii="Calibri" w:hAnsi="Calibri" w:cs="Calibri"/>
          <w:sz w:val="24"/>
          <w:szCs w:val="24"/>
          <w:lang w:val="en-US"/>
        </w:rPr>
        <w:t xml:space="preserve">in </w:t>
      </w:r>
      <w:r w:rsidRPr="005D29E2">
        <w:rPr>
          <w:rFonts w:ascii="Calibri" w:hAnsi="Calibri" w:cs="Calibri"/>
          <w:sz w:val="24"/>
          <w:szCs w:val="24"/>
          <w:lang w:val="en-US"/>
        </w:rPr>
        <w:t>Jewish patients, while triglyceride levels were significantly higher. C-reactive protein levels were slightly higher among ASM patients.</w:t>
      </w:r>
    </w:p>
    <w:p w14:paraId="126594A0" w14:textId="77777777" w:rsidR="00F07FAD" w:rsidRPr="005D29E2" w:rsidRDefault="00F07FAD" w:rsidP="005D29E2">
      <w:pPr>
        <w:spacing w:after="0" w:line="240" w:lineRule="auto"/>
        <w:jc w:val="both"/>
        <w:rPr>
          <w:rFonts w:ascii="Calibri" w:hAnsi="Calibri" w:cs="Calibri"/>
          <w:sz w:val="24"/>
          <w:szCs w:val="24"/>
          <w:lang w:val="en-US"/>
        </w:rPr>
      </w:pPr>
    </w:p>
    <w:p w14:paraId="45529C13" w14:textId="26CB8819" w:rsidR="001F3C35"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 xml:space="preserve">Nutrient </w:t>
      </w:r>
      <w:r w:rsidR="00F07FAD" w:rsidRPr="005D29E2">
        <w:rPr>
          <w:rFonts w:ascii="Calibri" w:hAnsi="Calibri" w:cs="Calibri"/>
          <w:b/>
          <w:bCs/>
          <w:sz w:val="24"/>
          <w:szCs w:val="24"/>
          <w:lang w:val="en-US"/>
        </w:rPr>
        <w:t>i</w:t>
      </w:r>
      <w:r w:rsidRPr="005D29E2">
        <w:rPr>
          <w:rFonts w:ascii="Calibri" w:hAnsi="Calibri" w:cs="Calibri"/>
          <w:b/>
          <w:bCs/>
          <w:sz w:val="24"/>
          <w:szCs w:val="24"/>
          <w:lang w:val="en-US"/>
        </w:rPr>
        <w:t>ntake</w:t>
      </w:r>
    </w:p>
    <w:p w14:paraId="0D3A615E" w14:textId="141F2AAA"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b/>
          <w:bCs/>
          <w:sz w:val="24"/>
          <w:szCs w:val="24"/>
          <w:lang w:val="en-US"/>
        </w:rPr>
        <w:t>Table 5</w:t>
      </w:r>
      <w:r w:rsidRPr="005D29E2">
        <w:rPr>
          <w:rFonts w:ascii="Calibri" w:hAnsi="Calibri" w:cs="Calibri"/>
          <w:sz w:val="24"/>
          <w:szCs w:val="24"/>
          <w:lang w:val="en-US"/>
        </w:rPr>
        <w:t xml:space="preserve"> presents nutrient intake by ethnicity. Compared with Jewish participants, ASM patients consumed significantly more energy/kg IBW, but a smaller proportion of energy from protein. ASM patients had higher </w:t>
      </w:r>
      <w:r w:rsidR="00F07FAD" w:rsidRPr="005D29E2">
        <w:rPr>
          <w:rFonts w:ascii="Calibri" w:hAnsi="Calibri" w:cs="Calibri"/>
          <w:sz w:val="24"/>
          <w:szCs w:val="24"/>
          <w:lang w:val="en-US"/>
        </w:rPr>
        <w:t>riboflavin and niacin intakes, while other B vitamin intakes were</w:t>
      </w:r>
      <w:r w:rsidRPr="005D29E2">
        <w:rPr>
          <w:rFonts w:ascii="Calibri" w:hAnsi="Calibri" w:cs="Calibri"/>
          <w:sz w:val="24"/>
          <w:szCs w:val="24"/>
          <w:lang w:val="en-US"/>
        </w:rPr>
        <w:t xml:space="preserve"> similar between groups. Intake of potassium, sodium, and iron was significantly higher among ASM patients.</w:t>
      </w:r>
    </w:p>
    <w:p w14:paraId="14233BC5" w14:textId="77777777" w:rsidR="00F07FAD" w:rsidRPr="005D29E2" w:rsidRDefault="00F07FAD" w:rsidP="005D29E2">
      <w:pPr>
        <w:spacing w:after="0" w:line="240" w:lineRule="auto"/>
        <w:jc w:val="both"/>
        <w:rPr>
          <w:rFonts w:ascii="Calibri" w:hAnsi="Calibri" w:cs="Calibri"/>
          <w:sz w:val="24"/>
          <w:szCs w:val="24"/>
          <w:lang w:val="en-US"/>
        </w:rPr>
      </w:pPr>
    </w:p>
    <w:p w14:paraId="13B60C2C" w14:textId="5F3CF0D8" w:rsidR="001F3C35"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 xml:space="preserve">Anthropometry, </w:t>
      </w:r>
      <w:r w:rsidR="00F07FAD" w:rsidRPr="005D29E2">
        <w:rPr>
          <w:rFonts w:ascii="Calibri" w:hAnsi="Calibri" w:cs="Calibri"/>
          <w:b/>
          <w:bCs/>
          <w:sz w:val="24"/>
          <w:szCs w:val="24"/>
          <w:lang w:val="en-US"/>
        </w:rPr>
        <w:t>m</w:t>
      </w:r>
      <w:r w:rsidRPr="005D29E2">
        <w:rPr>
          <w:rFonts w:ascii="Calibri" w:hAnsi="Calibri" w:cs="Calibri"/>
          <w:b/>
          <w:bCs/>
          <w:sz w:val="24"/>
          <w:szCs w:val="24"/>
          <w:lang w:val="en-US"/>
        </w:rPr>
        <w:t xml:space="preserve">alnutrition </w:t>
      </w:r>
      <w:r w:rsidR="00F07FAD" w:rsidRPr="005D29E2">
        <w:rPr>
          <w:rFonts w:ascii="Calibri" w:hAnsi="Calibri" w:cs="Calibri"/>
          <w:b/>
          <w:bCs/>
          <w:sz w:val="24"/>
          <w:szCs w:val="24"/>
          <w:lang w:val="en-US"/>
        </w:rPr>
        <w:t>r</w:t>
      </w:r>
      <w:r w:rsidRPr="005D29E2">
        <w:rPr>
          <w:rFonts w:ascii="Calibri" w:hAnsi="Calibri" w:cs="Calibri"/>
          <w:b/>
          <w:bCs/>
          <w:sz w:val="24"/>
          <w:szCs w:val="24"/>
          <w:lang w:val="en-US"/>
        </w:rPr>
        <w:t xml:space="preserve">isk, and ISRNM </w:t>
      </w:r>
      <w:r w:rsidR="00F07FAD" w:rsidRPr="005D29E2">
        <w:rPr>
          <w:rFonts w:ascii="Calibri" w:hAnsi="Calibri" w:cs="Calibri"/>
          <w:b/>
          <w:bCs/>
          <w:sz w:val="24"/>
          <w:szCs w:val="24"/>
          <w:lang w:val="en-US"/>
        </w:rPr>
        <w:t>a</w:t>
      </w:r>
      <w:r w:rsidRPr="005D29E2">
        <w:rPr>
          <w:rFonts w:ascii="Calibri" w:hAnsi="Calibri" w:cs="Calibri"/>
          <w:b/>
          <w:bCs/>
          <w:sz w:val="24"/>
          <w:szCs w:val="24"/>
          <w:lang w:val="en-US"/>
        </w:rPr>
        <w:t>dherence</w:t>
      </w:r>
    </w:p>
    <w:p w14:paraId="57D78BBB" w14:textId="12CC876E" w:rsidR="001F3C35" w:rsidRPr="005D29E2" w:rsidRDefault="006805D7"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Anthropometric measures, malnutrition risk, eating behaviors, and </w:t>
      </w:r>
      <w:r w:rsidR="005D29E2">
        <w:rPr>
          <w:rFonts w:ascii="Calibri" w:hAnsi="Calibri" w:cs="Calibri"/>
          <w:sz w:val="24"/>
          <w:szCs w:val="24"/>
          <w:lang w:val="en-US"/>
        </w:rPr>
        <w:t>adherence to ISRNM guidelines, grouped by ethnicity,</w:t>
      </w:r>
      <w:r w:rsidRPr="005D29E2">
        <w:rPr>
          <w:rFonts w:ascii="Calibri" w:hAnsi="Calibri" w:cs="Calibri"/>
          <w:sz w:val="24"/>
          <w:szCs w:val="24"/>
          <w:lang w:val="en-US"/>
        </w:rPr>
        <w:t xml:space="preserve"> are summarized in </w:t>
      </w:r>
      <w:r w:rsidRPr="005D29E2">
        <w:rPr>
          <w:rFonts w:ascii="Calibri" w:hAnsi="Calibri" w:cs="Calibri"/>
          <w:b/>
          <w:bCs/>
          <w:sz w:val="24"/>
          <w:szCs w:val="24"/>
          <w:lang w:val="en-US"/>
        </w:rPr>
        <w:t>Table 6</w:t>
      </w:r>
      <w:r w:rsidRPr="005D29E2">
        <w:rPr>
          <w:rFonts w:ascii="Calibri" w:hAnsi="Calibri" w:cs="Calibri"/>
          <w:sz w:val="24"/>
          <w:szCs w:val="24"/>
          <w:lang w:val="en-US"/>
        </w:rPr>
        <w:t>. Neither malnutrition risk nor anthropometric parameters (BMI and %IBW) differed significantly across ethnic groups.</w:t>
      </w:r>
      <w:r w:rsidR="00F07FAD" w:rsidRPr="005D29E2">
        <w:rPr>
          <w:rFonts w:ascii="Calibri" w:hAnsi="Calibri" w:cs="Calibri"/>
          <w:sz w:val="24"/>
          <w:szCs w:val="24"/>
          <w:lang w:val="en-US"/>
        </w:rPr>
        <w:t xml:space="preserve"> </w:t>
      </w:r>
      <w:r w:rsidR="00FB2742" w:rsidRPr="005D29E2">
        <w:rPr>
          <w:rFonts w:ascii="Calibri" w:hAnsi="Calibri" w:cs="Calibri"/>
          <w:sz w:val="24"/>
          <w:szCs w:val="24"/>
          <w:lang w:val="en-US"/>
        </w:rPr>
        <w:t xml:space="preserve">A greater proportion of ASM than Jewish patients met ISRNM recommendations for energy intake (≥30 kcal/kg/day); however, overall adherence was low in both groups. No significant differences were observed in adherence to protein </w:t>
      </w:r>
      <w:r w:rsidR="009A34A1" w:rsidRPr="005D29E2">
        <w:rPr>
          <w:rFonts w:ascii="Calibri" w:hAnsi="Calibri" w:cs="Calibri"/>
          <w:sz w:val="24"/>
          <w:szCs w:val="24"/>
          <w:lang w:val="en-US"/>
        </w:rPr>
        <w:t xml:space="preserve">or </w:t>
      </w:r>
      <w:r w:rsidR="00FB2742" w:rsidRPr="005D29E2">
        <w:rPr>
          <w:rFonts w:ascii="Calibri" w:hAnsi="Calibri" w:cs="Calibri"/>
          <w:sz w:val="24"/>
          <w:szCs w:val="24"/>
          <w:lang w:val="en-US"/>
        </w:rPr>
        <w:t>sodium recommendations, with adherence rates</w:t>
      </w:r>
      <w:r w:rsidR="009A34A1" w:rsidRPr="005D29E2">
        <w:rPr>
          <w:rFonts w:ascii="Calibri" w:hAnsi="Calibri" w:cs="Calibri"/>
          <w:sz w:val="24"/>
          <w:szCs w:val="24"/>
          <w:lang w:val="en-US"/>
        </w:rPr>
        <w:t xml:space="preserve"> to sodium recommendations</w:t>
      </w:r>
      <w:r w:rsidR="00FB2742" w:rsidRPr="005D29E2">
        <w:rPr>
          <w:rFonts w:ascii="Calibri" w:hAnsi="Calibri" w:cs="Calibri"/>
          <w:sz w:val="24"/>
          <w:szCs w:val="24"/>
          <w:lang w:val="en-US"/>
        </w:rPr>
        <w:t xml:space="preserve"> below 20% in the overall population. Phosphorus recommendations showed the highest adherence (~65%) in both groups, with no ethnic differences.</w:t>
      </w:r>
      <w:r w:rsidR="00F07FAD" w:rsidRPr="005D29E2">
        <w:rPr>
          <w:rFonts w:ascii="Calibri" w:hAnsi="Calibri" w:cs="Calibri"/>
          <w:sz w:val="24"/>
          <w:szCs w:val="24"/>
          <w:lang w:val="en-US"/>
        </w:rPr>
        <w:t xml:space="preserve"> </w:t>
      </w:r>
      <w:r w:rsidR="00FB2742" w:rsidRPr="005D29E2">
        <w:rPr>
          <w:rFonts w:ascii="Calibri" w:hAnsi="Calibri" w:cs="Calibri"/>
          <w:sz w:val="24"/>
          <w:szCs w:val="24"/>
          <w:lang w:val="en-US"/>
        </w:rPr>
        <w:t>A significant difference was observed in eating behavior: approximately 20% of Jewish patients reported eating meals alone compared to 3.1% of ASM patients.</w:t>
      </w:r>
    </w:p>
    <w:p w14:paraId="09603B61" w14:textId="77777777" w:rsidR="00F07FAD" w:rsidRPr="005D29E2" w:rsidRDefault="00F07FAD" w:rsidP="005D29E2">
      <w:pPr>
        <w:spacing w:after="0" w:line="240" w:lineRule="auto"/>
        <w:jc w:val="both"/>
        <w:rPr>
          <w:rFonts w:ascii="Calibri" w:hAnsi="Calibri" w:cs="Calibri"/>
          <w:sz w:val="24"/>
          <w:szCs w:val="24"/>
          <w:lang w:val="en-US"/>
        </w:rPr>
      </w:pPr>
    </w:p>
    <w:p w14:paraId="031858A2" w14:textId="6D6E2D80" w:rsidR="001F3C35"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 xml:space="preserve">Regression </w:t>
      </w:r>
      <w:r w:rsidR="00F07FAD" w:rsidRPr="005D29E2">
        <w:rPr>
          <w:rFonts w:ascii="Calibri" w:hAnsi="Calibri" w:cs="Calibri"/>
          <w:b/>
          <w:bCs/>
          <w:sz w:val="24"/>
          <w:szCs w:val="24"/>
          <w:lang w:val="en-US"/>
        </w:rPr>
        <w:t>a</w:t>
      </w:r>
      <w:r w:rsidRPr="005D29E2">
        <w:rPr>
          <w:rFonts w:ascii="Calibri" w:hAnsi="Calibri" w:cs="Calibri"/>
          <w:b/>
          <w:bCs/>
          <w:sz w:val="24"/>
          <w:szCs w:val="24"/>
          <w:lang w:val="en-US"/>
        </w:rPr>
        <w:t>nalyses</w:t>
      </w:r>
    </w:p>
    <w:p w14:paraId="580CEE35" w14:textId="6CDAE388"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b/>
          <w:bCs/>
          <w:sz w:val="24"/>
          <w:szCs w:val="24"/>
          <w:lang w:val="en-US"/>
        </w:rPr>
        <w:t>Figure 1</w:t>
      </w:r>
      <w:r w:rsidRPr="005D29E2">
        <w:rPr>
          <w:rFonts w:ascii="Calibri" w:hAnsi="Calibri" w:cs="Calibri"/>
          <w:sz w:val="24"/>
          <w:szCs w:val="24"/>
          <w:lang w:val="en-US"/>
        </w:rPr>
        <w:t xml:space="preserve"> presents a logistic regression model for adherence to ISRNM energy recommendations (≥30 kcal/kg IBW/day). Being Jewish was associated with a 70% reduction in </w:t>
      </w:r>
      <w:r w:rsidR="00F07FAD" w:rsidRPr="005D29E2">
        <w:rPr>
          <w:rFonts w:ascii="Calibri" w:hAnsi="Calibri" w:cs="Calibri"/>
          <w:sz w:val="24"/>
          <w:szCs w:val="24"/>
          <w:lang w:val="en-US"/>
        </w:rPr>
        <w:t xml:space="preserve">the </w:t>
      </w:r>
      <w:r w:rsidRPr="005D29E2">
        <w:rPr>
          <w:rFonts w:ascii="Calibri" w:hAnsi="Calibri" w:cs="Calibri"/>
          <w:sz w:val="24"/>
          <w:szCs w:val="24"/>
          <w:lang w:val="en-US"/>
        </w:rPr>
        <w:t>likelihood of meeting the recommendation (OR = 0.301; 95% CI: 0.114–0.792; p = 0.02), even after adjustment for age and sex. This model was significant (p</w:t>
      </w:r>
      <w:r w:rsidR="00F07FAD" w:rsidRPr="005D29E2">
        <w:rPr>
          <w:rFonts w:ascii="Calibri" w:hAnsi="Calibri" w:cs="Calibri"/>
          <w:sz w:val="24"/>
          <w:szCs w:val="24"/>
          <w:lang w:val="en-US"/>
        </w:rPr>
        <w:t xml:space="preserve"> </w:t>
      </w:r>
      <w:r w:rsidR="000562CA" w:rsidRPr="005D29E2">
        <w:rPr>
          <w:rFonts w:ascii="Calibri" w:hAnsi="Calibri" w:cs="Calibri"/>
          <w:sz w:val="24"/>
          <w:szCs w:val="24"/>
          <w:lang w:val="en-US"/>
        </w:rPr>
        <w:t xml:space="preserve">= </w:t>
      </w:r>
      <w:r w:rsidRPr="005D29E2">
        <w:rPr>
          <w:rFonts w:ascii="Calibri" w:hAnsi="Calibri" w:cs="Calibri"/>
          <w:sz w:val="24"/>
          <w:szCs w:val="24"/>
          <w:lang w:val="en-US"/>
        </w:rPr>
        <w:t>0.00</w:t>
      </w:r>
      <w:r w:rsidR="000562CA" w:rsidRPr="005D29E2">
        <w:rPr>
          <w:rFonts w:ascii="Calibri" w:hAnsi="Calibri" w:cs="Calibri"/>
          <w:sz w:val="24"/>
          <w:szCs w:val="24"/>
          <w:lang w:val="en-US"/>
        </w:rPr>
        <w:t>0</w:t>
      </w:r>
      <w:r w:rsidR="00CD5828" w:rsidRPr="005D29E2">
        <w:rPr>
          <w:rFonts w:ascii="Calibri" w:hAnsi="Calibri" w:cs="Calibri"/>
          <w:sz w:val="24"/>
          <w:szCs w:val="24"/>
          <w:lang w:val="en-US"/>
        </w:rPr>
        <w:t>09</w:t>
      </w:r>
      <w:r w:rsidRPr="005D29E2">
        <w:rPr>
          <w:rFonts w:ascii="Calibri" w:hAnsi="Calibri" w:cs="Calibri"/>
          <w:sz w:val="24"/>
          <w:szCs w:val="24"/>
          <w:lang w:val="en-US"/>
        </w:rPr>
        <w:t>) and correctly classified 78% of participants for this outcome. On the other hand, in a logistic regression of any malnutrition risk (minimal risk vs. mild, moderate or severe risk), ethnicity was only marginally associated with this outcome (OR 0.434, 95% CI 0.181</w:t>
      </w:r>
      <w:r w:rsidR="00F07FAD" w:rsidRPr="005D29E2">
        <w:rPr>
          <w:rFonts w:ascii="Calibri" w:hAnsi="Calibri" w:cs="Calibri"/>
          <w:sz w:val="24"/>
          <w:szCs w:val="24"/>
          <w:lang w:val="en-US"/>
        </w:rPr>
        <w:t>–</w:t>
      </w:r>
      <w:r w:rsidRPr="005D29E2">
        <w:rPr>
          <w:rFonts w:ascii="Calibri" w:hAnsi="Calibri" w:cs="Calibri"/>
          <w:sz w:val="24"/>
          <w:szCs w:val="24"/>
          <w:lang w:val="en-US"/>
        </w:rPr>
        <w:t>1.045, p</w:t>
      </w:r>
      <w:r w:rsidR="00F07FAD" w:rsidRPr="005D29E2">
        <w:rPr>
          <w:rFonts w:ascii="Calibri" w:hAnsi="Calibri" w:cs="Calibri"/>
          <w:sz w:val="24"/>
          <w:szCs w:val="24"/>
          <w:lang w:val="en-US"/>
        </w:rPr>
        <w:t xml:space="preserve"> </w:t>
      </w:r>
      <w:r w:rsidRPr="005D29E2">
        <w:rPr>
          <w:rFonts w:ascii="Calibri" w:hAnsi="Calibri" w:cs="Calibri"/>
          <w:sz w:val="24"/>
          <w:szCs w:val="24"/>
          <w:lang w:val="en-US"/>
        </w:rPr>
        <w:t>=</w:t>
      </w:r>
      <w:r w:rsidR="00F07FAD" w:rsidRPr="005D29E2">
        <w:rPr>
          <w:rFonts w:ascii="Calibri" w:hAnsi="Calibri" w:cs="Calibri"/>
          <w:sz w:val="24"/>
          <w:szCs w:val="24"/>
          <w:lang w:val="en-US"/>
        </w:rPr>
        <w:t xml:space="preserve"> </w:t>
      </w:r>
      <w:r w:rsidRPr="005D29E2">
        <w:rPr>
          <w:rFonts w:ascii="Calibri" w:hAnsi="Calibri" w:cs="Calibri"/>
          <w:sz w:val="24"/>
          <w:szCs w:val="24"/>
          <w:lang w:val="en-US"/>
        </w:rPr>
        <w:t>0.063), but CRP (1.015, 95% CI 1.001</w:t>
      </w:r>
      <w:r w:rsidR="00F07FAD" w:rsidRPr="005D29E2">
        <w:rPr>
          <w:rFonts w:ascii="Calibri" w:hAnsi="Calibri" w:cs="Calibri"/>
          <w:sz w:val="24"/>
          <w:szCs w:val="24"/>
          <w:lang w:val="en-US"/>
        </w:rPr>
        <w:t>–</w:t>
      </w:r>
      <w:r w:rsidRPr="005D29E2">
        <w:rPr>
          <w:rFonts w:ascii="Calibri" w:hAnsi="Calibri" w:cs="Calibri"/>
          <w:sz w:val="24"/>
          <w:szCs w:val="24"/>
          <w:lang w:val="en-US"/>
        </w:rPr>
        <w:t>1.029, p</w:t>
      </w:r>
      <w:r w:rsidR="00F07FAD" w:rsidRPr="005D29E2">
        <w:rPr>
          <w:rFonts w:ascii="Calibri" w:hAnsi="Calibri" w:cs="Calibri"/>
          <w:sz w:val="24"/>
          <w:szCs w:val="24"/>
          <w:lang w:val="en-US"/>
        </w:rPr>
        <w:t xml:space="preserve"> </w:t>
      </w:r>
      <w:r w:rsidRPr="005D29E2">
        <w:rPr>
          <w:rFonts w:ascii="Calibri" w:hAnsi="Calibri" w:cs="Calibri"/>
          <w:sz w:val="24"/>
          <w:szCs w:val="24"/>
          <w:lang w:val="en-US"/>
        </w:rPr>
        <w:t>=</w:t>
      </w:r>
      <w:r w:rsidR="00F07FAD" w:rsidRPr="005D29E2">
        <w:rPr>
          <w:rFonts w:ascii="Calibri" w:hAnsi="Calibri" w:cs="Calibri"/>
          <w:sz w:val="24"/>
          <w:szCs w:val="24"/>
          <w:lang w:val="en-US"/>
        </w:rPr>
        <w:t xml:space="preserve"> </w:t>
      </w:r>
      <w:r w:rsidRPr="005D29E2">
        <w:rPr>
          <w:rFonts w:ascii="Calibri" w:hAnsi="Calibri" w:cs="Calibri"/>
          <w:sz w:val="24"/>
          <w:szCs w:val="24"/>
          <w:lang w:val="en-US"/>
        </w:rPr>
        <w:t>0.035) and eating alone (OR 6.410, 95% 1.542</w:t>
      </w:r>
      <w:r w:rsidR="00F07FAD" w:rsidRPr="005D29E2">
        <w:rPr>
          <w:rFonts w:ascii="Calibri" w:hAnsi="Calibri" w:cs="Calibri"/>
          <w:sz w:val="24"/>
          <w:szCs w:val="24"/>
          <w:lang w:val="en-US"/>
        </w:rPr>
        <w:t>–</w:t>
      </w:r>
      <w:r w:rsidRPr="005D29E2">
        <w:rPr>
          <w:rFonts w:ascii="Calibri" w:hAnsi="Calibri" w:cs="Calibri"/>
          <w:sz w:val="24"/>
          <w:szCs w:val="24"/>
          <w:lang w:val="en-US"/>
        </w:rPr>
        <w:t>26.651, p</w:t>
      </w:r>
      <w:r w:rsidR="00F07FAD" w:rsidRPr="005D29E2">
        <w:rPr>
          <w:rFonts w:ascii="Calibri" w:hAnsi="Calibri" w:cs="Calibri"/>
          <w:sz w:val="24"/>
          <w:szCs w:val="24"/>
          <w:lang w:val="en-US"/>
        </w:rPr>
        <w:t xml:space="preserve"> </w:t>
      </w:r>
      <w:r w:rsidRPr="005D29E2">
        <w:rPr>
          <w:rFonts w:ascii="Calibri" w:hAnsi="Calibri" w:cs="Calibri"/>
          <w:sz w:val="24"/>
          <w:szCs w:val="24"/>
          <w:lang w:val="en-US"/>
        </w:rPr>
        <w:t>=</w:t>
      </w:r>
      <w:r w:rsidR="00F07FAD" w:rsidRPr="005D29E2">
        <w:rPr>
          <w:rFonts w:ascii="Calibri" w:hAnsi="Calibri" w:cs="Calibri"/>
          <w:sz w:val="24"/>
          <w:szCs w:val="24"/>
          <w:lang w:val="en-US"/>
        </w:rPr>
        <w:t xml:space="preserve"> </w:t>
      </w:r>
      <w:r w:rsidRPr="005D29E2">
        <w:rPr>
          <w:rFonts w:ascii="Calibri" w:hAnsi="Calibri" w:cs="Calibri"/>
          <w:sz w:val="24"/>
          <w:szCs w:val="24"/>
          <w:lang w:val="en-US"/>
        </w:rPr>
        <w:t>0.011) predicted odds of this outcome, even after controlling for sex (which was not significantly associated with malnutrition risk) and age: OR 1.039, 95% CI 1.003</w:t>
      </w:r>
      <w:r w:rsidR="00F07FAD" w:rsidRPr="005D29E2">
        <w:rPr>
          <w:rFonts w:ascii="Calibri" w:hAnsi="Calibri" w:cs="Calibri"/>
          <w:sz w:val="24"/>
          <w:szCs w:val="24"/>
          <w:lang w:val="en-US"/>
        </w:rPr>
        <w:t>–</w:t>
      </w:r>
      <w:r w:rsidRPr="005D29E2">
        <w:rPr>
          <w:rFonts w:ascii="Calibri" w:hAnsi="Calibri" w:cs="Calibri"/>
          <w:sz w:val="24"/>
          <w:szCs w:val="24"/>
          <w:lang w:val="en-US"/>
        </w:rPr>
        <w:t>1.076, p</w:t>
      </w:r>
      <w:r w:rsidR="00F07FAD" w:rsidRPr="005D29E2">
        <w:rPr>
          <w:rFonts w:ascii="Calibri" w:hAnsi="Calibri" w:cs="Calibri"/>
          <w:sz w:val="24"/>
          <w:szCs w:val="24"/>
          <w:lang w:val="en-US"/>
        </w:rPr>
        <w:t xml:space="preserve"> </w:t>
      </w:r>
      <w:r w:rsidRPr="005D29E2">
        <w:rPr>
          <w:rFonts w:ascii="Calibri" w:hAnsi="Calibri" w:cs="Calibri"/>
          <w:sz w:val="24"/>
          <w:szCs w:val="24"/>
          <w:lang w:val="en-US"/>
        </w:rPr>
        <w:t>=</w:t>
      </w:r>
      <w:r w:rsidR="00F07FAD" w:rsidRPr="005D29E2">
        <w:rPr>
          <w:rFonts w:ascii="Calibri" w:hAnsi="Calibri" w:cs="Calibri"/>
          <w:sz w:val="24"/>
          <w:szCs w:val="24"/>
          <w:lang w:val="en-US"/>
        </w:rPr>
        <w:t xml:space="preserve"> </w:t>
      </w:r>
      <w:r w:rsidRPr="005D29E2">
        <w:rPr>
          <w:rFonts w:ascii="Calibri" w:hAnsi="Calibri" w:cs="Calibri"/>
          <w:sz w:val="24"/>
          <w:szCs w:val="24"/>
          <w:lang w:val="en-US"/>
        </w:rPr>
        <w:t>0.033. The regression is significant (p</w:t>
      </w:r>
      <w:r w:rsidR="00F07FAD" w:rsidRPr="005D29E2">
        <w:rPr>
          <w:rFonts w:ascii="Calibri" w:hAnsi="Calibri" w:cs="Calibri"/>
          <w:sz w:val="24"/>
          <w:szCs w:val="24"/>
          <w:lang w:val="en-US"/>
        </w:rPr>
        <w:t xml:space="preserve"> </w:t>
      </w:r>
      <w:r w:rsidRPr="005D29E2">
        <w:rPr>
          <w:rFonts w:ascii="Calibri" w:hAnsi="Calibri" w:cs="Calibri"/>
          <w:sz w:val="24"/>
          <w:szCs w:val="24"/>
          <w:lang w:val="en-US"/>
        </w:rPr>
        <w:t>=</w:t>
      </w:r>
      <w:r w:rsidR="00F07FAD" w:rsidRPr="005D29E2">
        <w:rPr>
          <w:rFonts w:ascii="Calibri" w:hAnsi="Calibri" w:cs="Calibri"/>
          <w:sz w:val="24"/>
          <w:szCs w:val="24"/>
          <w:lang w:val="en-US"/>
        </w:rPr>
        <w:t xml:space="preserve"> </w:t>
      </w:r>
      <w:r w:rsidRPr="005D29E2">
        <w:rPr>
          <w:rFonts w:ascii="Calibri" w:hAnsi="Calibri" w:cs="Calibri"/>
          <w:sz w:val="24"/>
          <w:szCs w:val="24"/>
          <w:lang w:val="en-US"/>
        </w:rPr>
        <w:t xml:space="preserve">0.002) and correctly classified more than 66% of participants </w:t>
      </w:r>
      <w:r w:rsidR="00E47D24" w:rsidRPr="005D29E2">
        <w:rPr>
          <w:rFonts w:ascii="Calibri" w:hAnsi="Calibri" w:cs="Calibri"/>
          <w:sz w:val="24"/>
          <w:szCs w:val="24"/>
          <w:lang w:val="en-US"/>
        </w:rPr>
        <w:t>as having a</w:t>
      </w:r>
      <w:r w:rsidRPr="005D29E2">
        <w:rPr>
          <w:rFonts w:ascii="Calibri" w:hAnsi="Calibri" w:cs="Calibri"/>
          <w:sz w:val="24"/>
          <w:szCs w:val="24"/>
          <w:lang w:val="en-US"/>
        </w:rPr>
        <w:t xml:space="preserve"> malnutrition risk.</w:t>
      </w:r>
    </w:p>
    <w:p w14:paraId="2C75B9AE" w14:textId="77777777" w:rsidR="00F07FAD" w:rsidRPr="005D29E2" w:rsidRDefault="00F07FAD" w:rsidP="005D29E2">
      <w:pPr>
        <w:spacing w:after="0" w:line="240" w:lineRule="auto"/>
        <w:jc w:val="both"/>
        <w:rPr>
          <w:rFonts w:ascii="Calibri" w:hAnsi="Calibri" w:cs="Calibri"/>
          <w:sz w:val="24"/>
          <w:szCs w:val="24"/>
          <w:lang w:val="en-US"/>
        </w:rPr>
      </w:pPr>
    </w:p>
    <w:p w14:paraId="6E745873" w14:textId="77777777" w:rsidR="0011017D"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 xml:space="preserve">Data Availability Statement: </w:t>
      </w:r>
    </w:p>
    <w:p w14:paraId="2931874B" w14:textId="0C8E9F9C" w:rsidR="00F14690" w:rsidRPr="005D29E2" w:rsidRDefault="000F2C64" w:rsidP="005D29E2">
      <w:pPr>
        <w:spacing w:after="0" w:line="240" w:lineRule="auto"/>
        <w:jc w:val="both"/>
        <w:rPr>
          <w:rFonts w:ascii="Calibri" w:hAnsi="Calibri" w:cs="Calibri"/>
          <w:b/>
          <w:bCs/>
          <w:sz w:val="24"/>
          <w:szCs w:val="24"/>
          <w:lang w:val="en-US"/>
        </w:rPr>
      </w:pPr>
      <w:r w:rsidRPr="005D29E2">
        <w:rPr>
          <w:rFonts w:ascii="Calibri" w:hAnsi="Calibri" w:cs="Calibri"/>
          <w:sz w:val="24"/>
          <w:szCs w:val="24"/>
          <w:lang w:val="en-US"/>
        </w:rPr>
        <w:t xml:space="preserve">Data are available at </w:t>
      </w:r>
      <w:proofErr w:type="spellStart"/>
      <w:r w:rsidRPr="005D29E2">
        <w:rPr>
          <w:rFonts w:ascii="Calibri" w:hAnsi="Calibri" w:cs="Calibri"/>
          <w:sz w:val="24"/>
          <w:szCs w:val="24"/>
          <w:lang w:val="en-US"/>
        </w:rPr>
        <w:t>Zenodo</w:t>
      </w:r>
      <w:proofErr w:type="spellEnd"/>
      <w:r w:rsidRPr="005D29E2">
        <w:rPr>
          <w:rFonts w:ascii="Calibri" w:hAnsi="Calibri" w:cs="Calibri"/>
          <w:sz w:val="24"/>
          <w:szCs w:val="24"/>
          <w:lang w:val="en-US"/>
        </w:rPr>
        <w:t>, DOI 10.5281/zenodo.22172438</w:t>
      </w:r>
      <w:r w:rsidR="005D29E2">
        <w:rPr>
          <w:rFonts w:ascii="Calibri" w:hAnsi="Calibri" w:cs="Calibri"/>
          <w:sz w:val="24"/>
          <w:szCs w:val="24"/>
          <w:lang w:val="en-US"/>
        </w:rPr>
        <w:t>.</w:t>
      </w:r>
    </w:p>
    <w:p w14:paraId="0E3E8A8C" w14:textId="77777777" w:rsidR="00F14690" w:rsidRPr="005D29E2" w:rsidRDefault="00F14690" w:rsidP="005D29E2">
      <w:pPr>
        <w:spacing w:after="0" w:line="240" w:lineRule="auto"/>
        <w:jc w:val="both"/>
        <w:rPr>
          <w:rFonts w:ascii="Calibri" w:hAnsi="Calibri" w:cs="Calibri"/>
          <w:sz w:val="24"/>
          <w:szCs w:val="24"/>
          <w:lang w:val="en-US"/>
        </w:rPr>
      </w:pPr>
    </w:p>
    <w:p w14:paraId="467F8C6A" w14:textId="7BCEFC33" w:rsidR="00F14690"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 xml:space="preserve">FIGURE AND TABLE LEGENDS: </w:t>
      </w:r>
    </w:p>
    <w:p w14:paraId="78D5AEE5" w14:textId="77777777" w:rsidR="00F14690" w:rsidRPr="005D29E2" w:rsidRDefault="00F14690" w:rsidP="005D29E2">
      <w:pPr>
        <w:spacing w:after="0" w:line="240" w:lineRule="auto"/>
        <w:jc w:val="both"/>
        <w:rPr>
          <w:rFonts w:ascii="Calibri" w:hAnsi="Calibri" w:cs="Calibri"/>
          <w:sz w:val="24"/>
          <w:szCs w:val="24"/>
          <w:lang w:val="en-US"/>
        </w:rPr>
      </w:pPr>
    </w:p>
    <w:p w14:paraId="38A38B97" w14:textId="0427EB4F" w:rsidR="00F14690"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 xml:space="preserve">Figure 1. </w:t>
      </w:r>
      <w:r w:rsidR="00CF226F" w:rsidRPr="005D29E2">
        <w:rPr>
          <w:rFonts w:ascii="Calibri" w:hAnsi="Calibri" w:cs="Calibri"/>
          <w:b/>
          <w:bCs/>
          <w:sz w:val="24"/>
          <w:szCs w:val="24"/>
          <w:lang w:val="en-US"/>
        </w:rPr>
        <w:t>Logistic regression model of adherence to the International Society for Renal Nutrition and Metabolism guideline for energy intake, including ethnicity, age</w:t>
      </w:r>
      <w:r w:rsidR="008B7D85" w:rsidRPr="005D29E2">
        <w:rPr>
          <w:rFonts w:ascii="Calibri" w:hAnsi="Calibri" w:cs="Calibri"/>
          <w:b/>
          <w:bCs/>
          <w:sz w:val="24"/>
          <w:szCs w:val="24"/>
          <w:lang w:val="en-US"/>
        </w:rPr>
        <w:t>,</w:t>
      </w:r>
      <w:r w:rsidR="00CF226F" w:rsidRPr="005D29E2">
        <w:rPr>
          <w:rFonts w:ascii="Calibri" w:hAnsi="Calibri" w:cs="Calibri"/>
          <w:b/>
          <w:bCs/>
          <w:sz w:val="24"/>
          <w:szCs w:val="24"/>
          <w:lang w:val="en-US"/>
        </w:rPr>
        <w:t xml:space="preserve"> and sex.</w:t>
      </w:r>
    </w:p>
    <w:p w14:paraId="752EF831" w14:textId="77777777" w:rsidR="00F14690" w:rsidRPr="005D29E2" w:rsidRDefault="00F14690" w:rsidP="005D29E2">
      <w:pPr>
        <w:spacing w:after="0" w:line="240" w:lineRule="auto"/>
        <w:jc w:val="both"/>
        <w:rPr>
          <w:rFonts w:ascii="Calibri" w:hAnsi="Calibri" w:cs="Calibri"/>
          <w:sz w:val="24"/>
          <w:szCs w:val="24"/>
          <w:lang w:val="en-US"/>
        </w:rPr>
      </w:pPr>
    </w:p>
    <w:p w14:paraId="5DE1C918" w14:textId="0580F381" w:rsidR="005E6DD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b/>
          <w:bCs/>
          <w:sz w:val="24"/>
          <w:szCs w:val="24"/>
          <w:lang w:val="en-US"/>
        </w:rPr>
        <w:t xml:space="preserve">Table 1. Participant characteristics by ethnicity. </w:t>
      </w:r>
      <w:r w:rsidR="00FF5333" w:rsidRPr="005D29E2">
        <w:rPr>
          <w:rFonts w:ascii="Calibri" w:hAnsi="Calibri" w:cs="Calibri"/>
          <w:sz w:val="24"/>
          <w:szCs w:val="24"/>
          <w:lang w:val="en-US"/>
        </w:rPr>
        <w:t>All continuous data are presented as median (IQR) because their distributions significantly deviated from normality. Cardiovascular disease is defined as documented intermittent claudication or amputation (peripheral vascular disease), myocardial infarction, percutaneous transluminal coronary angioplasty, coronary artery bypass graft, or stroke history. Abbreviation: IQR = interquartile range.</w:t>
      </w:r>
    </w:p>
    <w:p w14:paraId="0D9CF402" w14:textId="77777777" w:rsidR="00FF5333" w:rsidRPr="005D29E2" w:rsidRDefault="00FF5333" w:rsidP="005D29E2">
      <w:pPr>
        <w:spacing w:after="0" w:line="240" w:lineRule="auto"/>
        <w:jc w:val="both"/>
        <w:rPr>
          <w:rFonts w:ascii="Calibri" w:hAnsi="Calibri" w:cs="Calibri"/>
          <w:sz w:val="24"/>
          <w:szCs w:val="24"/>
          <w:lang w:val="en-US"/>
        </w:rPr>
      </w:pPr>
    </w:p>
    <w:p w14:paraId="1010E317" w14:textId="54D38CF3" w:rsidR="00A31096" w:rsidRPr="005D29E2" w:rsidRDefault="00FB2742" w:rsidP="005D29E2">
      <w:pPr>
        <w:spacing w:after="0" w:line="240" w:lineRule="auto"/>
        <w:jc w:val="both"/>
        <w:rPr>
          <w:rFonts w:ascii="Calibri" w:hAnsi="Calibri" w:cs="Calibri"/>
          <w:iCs/>
          <w:sz w:val="24"/>
          <w:szCs w:val="24"/>
          <w:lang w:val="en-US"/>
        </w:rPr>
      </w:pPr>
      <w:r w:rsidRPr="005D29E2">
        <w:rPr>
          <w:rFonts w:ascii="Calibri" w:hAnsi="Calibri" w:cs="Calibri"/>
          <w:b/>
          <w:bCs/>
          <w:sz w:val="24"/>
          <w:szCs w:val="24"/>
          <w:lang w:val="en-US"/>
        </w:rPr>
        <w:t>Table 2. Characteristics of dialysis treatment in the study population by ethnicity.</w:t>
      </w:r>
      <w:r w:rsidRPr="005D29E2">
        <w:rPr>
          <w:rFonts w:ascii="Calibri" w:hAnsi="Calibri" w:cs="Calibri"/>
          <w:sz w:val="24"/>
          <w:szCs w:val="24"/>
          <w:lang w:val="en-US"/>
        </w:rPr>
        <w:t xml:space="preserve"> </w:t>
      </w:r>
      <w:r w:rsidRPr="005D29E2">
        <w:rPr>
          <w:rFonts w:ascii="Calibri" w:hAnsi="Calibri" w:cs="Calibri"/>
          <w:iCs/>
          <w:sz w:val="24"/>
          <w:szCs w:val="24"/>
          <w:lang w:val="en-US"/>
        </w:rPr>
        <w:t>*</w:t>
      </w:r>
      <w:r w:rsidR="009441C9" w:rsidRPr="005D29E2">
        <w:rPr>
          <w:rFonts w:ascii="Calibri" w:hAnsi="Calibri" w:cs="Calibri"/>
          <w:iCs/>
          <w:sz w:val="24"/>
          <w:szCs w:val="24"/>
          <w:lang w:val="en-US"/>
        </w:rPr>
        <w:t xml:space="preserve">All continuous data are presented as median (IQR) owing to distributions that significantly deviate from normal, </w:t>
      </w:r>
      <w:proofErr w:type="gramStart"/>
      <w:r w:rsidR="009441C9" w:rsidRPr="005D29E2">
        <w:rPr>
          <w:rFonts w:ascii="Calibri" w:hAnsi="Calibri" w:cs="Calibri"/>
          <w:iCs/>
          <w:sz w:val="24"/>
          <w:szCs w:val="24"/>
          <w:lang w:val="en-US"/>
        </w:rPr>
        <w:t>with the exception of</w:t>
      </w:r>
      <w:proofErr w:type="gramEnd"/>
      <w:r w:rsidR="009441C9" w:rsidRPr="005D29E2">
        <w:rPr>
          <w:rFonts w:ascii="Calibri" w:hAnsi="Calibri" w:cs="Calibri"/>
          <w:iCs/>
          <w:sz w:val="24"/>
          <w:szCs w:val="24"/>
          <w:lang w:val="en-US"/>
        </w:rPr>
        <w:t xml:space="preserve"> Kt/V, which is reported as mean ± standard </w:t>
      </w:r>
      <w:proofErr w:type="gramStart"/>
      <w:r w:rsidR="009441C9" w:rsidRPr="005D29E2">
        <w:rPr>
          <w:rFonts w:ascii="Calibri" w:hAnsi="Calibri" w:cs="Calibri"/>
          <w:iCs/>
          <w:sz w:val="24"/>
          <w:szCs w:val="24"/>
          <w:lang w:val="en-US"/>
        </w:rPr>
        <w:t>deviation.*</w:t>
      </w:r>
      <w:proofErr w:type="gramEnd"/>
      <w:r w:rsidR="009441C9" w:rsidRPr="005D29E2">
        <w:rPr>
          <w:rFonts w:ascii="Calibri" w:hAnsi="Calibri" w:cs="Calibri"/>
          <w:iCs/>
          <w:sz w:val="24"/>
          <w:szCs w:val="24"/>
          <w:lang w:val="en-US"/>
        </w:rPr>
        <w:t xml:space="preserve"> Abbreviation: IQR = interquartile range.</w:t>
      </w:r>
    </w:p>
    <w:p w14:paraId="2A8DFE48" w14:textId="77777777" w:rsidR="005E6DD5" w:rsidRPr="005D29E2" w:rsidRDefault="005E6DD5" w:rsidP="005D29E2">
      <w:pPr>
        <w:spacing w:after="0" w:line="240" w:lineRule="auto"/>
        <w:jc w:val="both"/>
        <w:rPr>
          <w:rFonts w:ascii="Calibri" w:hAnsi="Calibri" w:cs="Calibri"/>
          <w:sz w:val="24"/>
          <w:szCs w:val="24"/>
          <w:lang w:val="en-US"/>
        </w:rPr>
      </w:pPr>
    </w:p>
    <w:p w14:paraId="3E7FCBBF" w14:textId="25353C49" w:rsidR="005E6DD5" w:rsidRPr="005D29E2" w:rsidRDefault="00FB2742" w:rsidP="005D29E2">
      <w:pPr>
        <w:spacing w:after="0" w:line="240" w:lineRule="auto"/>
        <w:jc w:val="both"/>
        <w:rPr>
          <w:rFonts w:ascii="Calibri" w:hAnsi="Calibri" w:cs="Calibri"/>
          <w:iCs/>
          <w:sz w:val="24"/>
          <w:szCs w:val="24"/>
          <w:lang w:val="en-US"/>
        </w:rPr>
      </w:pPr>
      <w:r w:rsidRPr="005D29E2">
        <w:rPr>
          <w:rFonts w:ascii="Calibri" w:hAnsi="Calibri" w:cs="Calibri"/>
          <w:b/>
          <w:bCs/>
          <w:sz w:val="24"/>
          <w:szCs w:val="24"/>
          <w:lang w:val="en-US"/>
        </w:rPr>
        <w:t>Table 3. Prescribed medications by ethnicity</w:t>
      </w:r>
      <w:r w:rsidR="00A31096" w:rsidRPr="005D29E2">
        <w:rPr>
          <w:rFonts w:ascii="Calibri" w:hAnsi="Calibri" w:cs="Calibri"/>
          <w:b/>
          <w:bCs/>
          <w:sz w:val="24"/>
          <w:szCs w:val="24"/>
          <w:lang w:val="en-US"/>
        </w:rPr>
        <w:t xml:space="preserve">. </w:t>
      </w:r>
      <w:r w:rsidR="00925113" w:rsidRPr="005D29E2">
        <w:rPr>
          <w:rFonts w:ascii="Calibri" w:hAnsi="Calibri" w:cs="Calibri"/>
          <w:b/>
          <w:bCs/>
          <w:sz w:val="24"/>
          <w:szCs w:val="24"/>
          <w:lang w:val="en-US"/>
        </w:rPr>
        <w:t xml:space="preserve">*B-vitamin supplements comprise individual or combined vitamins B1, B2, B3, B6, or B12. </w:t>
      </w:r>
      <w:r w:rsidR="00A31096" w:rsidRPr="005D29E2">
        <w:rPr>
          <w:rFonts w:ascii="Calibri" w:hAnsi="Calibri" w:cs="Calibri"/>
          <w:iCs/>
          <w:sz w:val="24"/>
          <w:szCs w:val="24"/>
          <w:lang w:val="en-US"/>
        </w:rPr>
        <w:t xml:space="preserve">Abbreviation </w:t>
      </w:r>
      <w:r w:rsidRPr="005D29E2">
        <w:rPr>
          <w:rFonts w:ascii="Calibri" w:hAnsi="Calibri" w:cs="Calibri"/>
          <w:iCs/>
          <w:sz w:val="24"/>
          <w:szCs w:val="24"/>
          <w:lang w:val="en-US"/>
        </w:rPr>
        <w:t>**IDPN = intradialytic parenteral nutrition</w:t>
      </w:r>
    </w:p>
    <w:p w14:paraId="47B8378D" w14:textId="77777777" w:rsidR="005E6DD5" w:rsidRPr="005D29E2" w:rsidRDefault="005E6DD5" w:rsidP="005D29E2">
      <w:pPr>
        <w:spacing w:after="0" w:line="240" w:lineRule="auto"/>
        <w:jc w:val="both"/>
        <w:rPr>
          <w:rFonts w:ascii="Calibri" w:hAnsi="Calibri" w:cs="Calibri"/>
          <w:sz w:val="24"/>
          <w:szCs w:val="24"/>
          <w:lang w:val="en-US"/>
        </w:rPr>
      </w:pPr>
    </w:p>
    <w:p w14:paraId="1AD2D2E9" w14:textId="628D9E69" w:rsidR="005E6DD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b/>
          <w:bCs/>
          <w:sz w:val="24"/>
          <w:szCs w:val="24"/>
          <w:lang w:val="en-US"/>
        </w:rPr>
        <w:t>Table 4. Blood chemistry, blood count, lipid profile</w:t>
      </w:r>
      <w:r w:rsidR="00A31096" w:rsidRPr="005D29E2">
        <w:rPr>
          <w:rFonts w:ascii="Calibri" w:hAnsi="Calibri" w:cs="Calibri"/>
          <w:b/>
          <w:bCs/>
          <w:sz w:val="24"/>
          <w:szCs w:val="24"/>
          <w:lang w:val="en-US"/>
        </w:rPr>
        <w:t>,</w:t>
      </w:r>
      <w:r w:rsidRPr="005D29E2">
        <w:rPr>
          <w:rFonts w:ascii="Calibri" w:hAnsi="Calibri" w:cs="Calibri"/>
          <w:b/>
          <w:bCs/>
          <w:sz w:val="24"/>
          <w:szCs w:val="24"/>
          <w:lang w:val="en-US"/>
        </w:rPr>
        <w:t xml:space="preserve"> and hemodynamic measurements by ethnicity</w:t>
      </w:r>
      <w:r w:rsidR="00A31096" w:rsidRPr="005D29E2">
        <w:rPr>
          <w:rFonts w:ascii="Calibri" w:hAnsi="Calibri" w:cs="Calibri"/>
          <w:b/>
          <w:bCs/>
          <w:sz w:val="24"/>
          <w:szCs w:val="24"/>
          <w:lang w:val="en-US"/>
        </w:rPr>
        <w:t xml:space="preserve">. </w:t>
      </w:r>
      <w:r w:rsidR="00F851F5" w:rsidRPr="005D29E2">
        <w:rPr>
          <w:rFonts w:ascii="Calibri" w:hAnsi="Calibri" w:cs="Calibri"/>
          <w:sz w:val="24"/>
          <w:szCs w:val="24"/>
          <w:lang w:val="en-US"/>
        </w:rPr>
        <w:t>Mean ± standard deviation is used to express normally distributed measures (potassium, phosphorus, and systolic and diastolic blood pressure). Medians (IQRs) are used for all remaining measures, as their distributions significantly deviate from normal.</w:t>
      </w:r>
      <w:r w:rsidR="00A31096" w:rsidRPr="005D29E2">
        <w:rPr>
          <w:rFonts w:ascii="Calibri" w:hAnsi="Calibri" w:cs="Calibri"/>
          <w:sz w:val="24"/>
          <w:szCs w:val="24"/>
          <w:lang w:val="en-US"/>
        </w:rPr>
        <w:t xml:space="preserve"> Abbreviations: </w:t>
      </w:r>
      <w:r w:rsidRPr="005D29E2">
        <w:rPr>
          <w:rFonts w:ascii="Calibri" w:hAnsi="Calibri" w:cs="Calibri"/>
          <w:sz w:val="24"/>
          <w:szCs w:val="24"/>
          <w:lang w:val="en-US"/>
        </w:rPr>
        <w:t>HDL</w:t>
      </w:r>
      <w:r w:rsidR="00A31096" w:rsidRPr="005D29E2">
        <w:rPr>
          <w:rFonts w:ascii="Calibri" w:hAnsi="Calibri" w:cs="Calibri"/>
          <w:sz w:val="24"/>
          <w:szCs w:val="24"/>
          <w:lang w:val="en-US"/>
        </w:rPr>
        <w:t xml:space="preserve"> </w:t>
      </w:r>
      <w:r w:rsidRPr="005D29E2">
        <w:rPr>
          <w:rFonts w:ascii="Calibri" w:hAnsi="Calibri" w:cs="Calibri"/>
          <w:sz w:val="24"/>
          <w:szCs w:val="24"/>
          <w:lang w:val="en-US"/>
        </w:rPr>
        <w:t>=</w:t>
      </w:r>
      <w:r w:rsidR="00A31096" w:rsidRPr="005D29E2">
        <w:rPr>
          <w:rFonts w:ascii="Calibri" w:hAnsi="Calibri" w:cs="Calibri"/>
          <w:sz w:val="24"/>
          <w:szCs w:val="24"/>
          <w:lang w:val="en-US"/>
        </w:rPr>
        <w:t xml:space="preserve"> </w:t>
      </w:r>
      <w:r w:rsidR="002341DF" w:rsidRPr="005D29E2">
        <w:rPr>
          <w:rFonts w:ascii="Calibri" w:hAnsi="Calibri" w:cs="Calibri"/>
          <w:sz w:val="24"/>
          <w:szCs w:val="24"/>
          <w:lang w:val="en-US"/>
        </w:rPr>
        <w:t>high-density lipoprotein cholesterol; LDL = low-density</w:t>
      </w:r>
      <w:r w:rsidRPr="005D29E2">
        <w:rPr>
          <w:rFonts w:ascii="Calibri" w:hAnsi="Calibri" w:cs="Calibri"/>
          <w:sz w:val="24"/>
          <w:szCs w:val="24"/>
          <w:lang w:val="en-US"/>
        </w:rPr>
        <w:t xml:space="preserve"> lipoprotein cholesterol</w:t>
      </w:r>
      <w:r w:rsidR="00A31096" w:rsidRPr="005D29E2">
        <w:rPr>
          <w:rFonts w:ascii="Calibri" w:hAnsi="Calibri" w:cs="Calibri"/>
          <w:sz w:val="24"/>
          <w:szCs w:val="24"/>
          <w:lang w:val="en-US"/>
        </w:rPr>
        <w:t xml:space="preserve">; IQR = interquartile range. </w:t>
      </w:r>
    </w:p>
    <w:p w14:paraId="24F20532" w14:textId="77777777" w:rsidR="005E6DD5" w:rsidRPr="005D29E2" w:rsidRDefault="005E6DD5" w:rsidP="005D29E2">
      <w:pPr>
        <w:spacing w:after="0" w:line="240" w:lineRule="auto"/>
        <w:jc w:val="both"/>
        <w:rPr>
          <w:rFonts w:ascii="Calibri" w:hAnsi="Calibri" w:cs="Calibri"/>
          <w:i/>
          <w:sz w:val="24"/>
          <w:szCs w:val="24"/>
          <w:lang w:val="en-US"/>
        </w:rPr>
      </w:pPr>
    </w:p>
    <w:p w14:paraId="051C6F4C" w14:textId="4BE233FC" w:rsidR="005E6DD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b/>
          <w:bCs/>
          <w:sz w:val="24"/>
          <w:szCs w:val="24"/>
          <w:lang w:val="en-US"/>
        </w:rPr>
        <w:t>Table 5. Nutrient intake by ethnicity</w:t>
      </w:r>
      <w:r w:rsidR="002341DF" w:rsidRPr="005D29E2">
        <w:rPr>
          <w:rFonts w:ascii="Calibri" w:hAnsi="Calibri" w:cs="Calibri"/>
          <w:b/>
          <w:bCs/>
          <w:sz w:val="24"/>
          <w:szCs w:val="24"/>
          <w:lang w:val="en-US"/>
        </w:rPr>
        <w:t>.</w:t>
      </w:r>
      <w:r w:rsidR="002341DF" w:rsidRPr="005D29E2">
        <w:rPr>
          <w:rFonts w:ascii="Calibri" w:hAnsi="Calibri" w:cs="Calibri"/>
          <w:sz w:val="24"/>
          <w:szCs w:val="24"/>
          <w:lang w:val="en-US"/>
        </w:rPr>
        <w:t xml:space="preserve"> </w:t>
      </w:r>
      <w:r w:rsidR="00FE6BA2" w:rsidRPr="005D29E2">
        <w:rPr>
          <w:rFonts w:ascii="Calibri" w:hAnsi="Calibri" w:cs="Calibri"/>
          <w:sz w:val="24"/>
          <w:szCs w:val="24"/>
          <w:lang w:val="en-US"/>
        </w:rPr>
        <w:t>Normally distributed nutrients—protein (g/day), fat (% total kcal), and phosphorus (mg/day)—are reported as mean ± standard deviation. Because the remaining nutrients had distributions that significantly deviated from normality, they are presented as medians (IQRs).</w:t>
      </w:r>
      <w:r w:rsidR="002341DF" w:rsidRPr="005D29E2">
        <w:rPr>
          <w:rFonts w:ascii="Calibri" w:hAnsi="Calibri" w:cs="Calibri"/>
          <w:sz w:val="24"/>
          <w:szCs w:val="24"/>
          <w:lang w:val="en-US"/>
        </w:rPr>
        <w:t xml:space="preserve"> Abbreviations: </w:t>
      </w:r>
      <w:r w:rsidRPr="005D29E2">
        <w:rPr>
          <w:rFonts w:ascii="Calibri" w:hAnsi="Calibri" w:cs="Calibri"/>
          <w:sz w:val="24"/>
          <w:szCs w:val="24"/>
          <w:lang w:val="en-US"/>
        </w:rPr>
        <w:t>IBW</w:t>
      </w:r>
      <w:r w:rsidR="002341DF" w:rsidRPr="005D29E2">
        <w:rPr>
          <w:rFonts w:ascii="Calibri" w:hAnsi="Calibri" w:cs="Calibri"/>
          <w:sz w:val="24"/>
          <w:szCs w:val="24"/>
          <w:lang w:val="en-US"/>
        </w:rPr>
        <w:t xml:space="preserve"> </w:t>
      </w:r>
      <w:r w:rsidRPr="005D29E2">
        <w:rPr>
          <w:rFonts w:ascii="Calibri" w:hAnsi="Calibri" w:cs="Calibri"/>
          <w:sz w:val="24"/>
          <w:szCs w:val="24"/>
          <w:lang w:val="en-US"/>
        </w:rPr>
        <w:t>= ideal body weig</w:t>
      </w:r>
      <w:r w:rsidR="002341DF" w:rsidRPr="005D29E2">
        <w:rPr>
          <w:rFonts w:ascii="Calibri" w:hAnsi="Calibri" w:cs="Calibri"/>
          <w:sz w:val="24"/>
          <w:szCs w:val="24"/>
          <w:lang w:val="en-US"/>
        </w:rPr>
        <w:t>ht; IQRs = interquartile ranges.</w:t>
      </w:r>
    </w:p>
    <w:p w14:paraId="686960F2" w14:textId="77777777" w:rsidR="00881B4D" w:rsidRPr="005D29E2" w:rsidRDefault="00881B4D" w:rsidP="005D29E2">
      <w:pPr>
        <w:spacing w:after="0" w:line="240" w:lineRule="auto"/>
        <w:jc w:val="both"/>
        <w:rPr>
          <w:rFonts w:ascii="Calibri" w:hAnsi="Calibri" w:cs="Calibri"/>
          <w:sz w:val="24"/>
          <w:szCs w:val="24"/>
          <w:lang w:val="en-US"/>
        </w:rPr>
      </w:pPr>
    </w:p>
    <w:p w14:paraId="0842C797" w14:textId="769B64A4" w:rsidR="00F14690" w:rsidRPr="005D29E2" w:rsidRDefault="00FB2742" w:rsidP="005D29E2">
      <w:pPr>
        <w:spacing w:after="0" w:line="240" w:lineRule="auto"/>
        <w:jc w:val="both"/>
        <w:rPr>
          <w:rFonts w:ascii="Calibri" w:hAnsi="Calibri" w:cs="Calibri"/>
          <w:iCs/>
          <w:sz w:val="24"/>
          <w:szCs w:val="24"/>
          <w:lang w:val="en-US"/>
        </w:rPr>
      </w:pPr>
      <w:r w:rsidRPr="005D29E2">
        <w:rPr>
          <w:rFonts w:ascii="Calibri" w:hAnsi="Calibri" w:cs="Calibri"/>
          <w:b/>
          <w:bCs/>
          <w:sz w:val="24"/>
          <w:szCs w:val="24"/>
          <w:lang w:val="en-US"/>
        </w:rPr>
        <w:t>Table 6. Anthropometric measures, malnutrition risk</w:t>
      </w:r>
      <w:r w:rsidR="00881B4D" w:rsidRPr="005D29E2">
        <w:rPr>
          <w:rFonts w:ascii="Calibri" w:hAnsi="Calibri" w:cs="Calibri"/>
          <w:b/>
          <w:bCs/>
          <w:sz w:val="24"/>
          <w:szCs w:val="24"/>
          <w:lang w:val="en-US"/>
        </w:rPr>
        <w:t>,</w:t>
      </w:r>
      <w:r w:rsidRPr="005D29E2">
        <w:rPr>
          <w:rFonts w:ascii="Calibri" w:hAnsi="Calibri" w:cs="Calibri"/>
          <w:b/>
          <w:bCs/>
          <w:sz w:val="24"/>
          <w:szCs w:val="24"/>
          <w:lang w:val="en-US"/>
        </w:rPr>
        <w:t xml:space="preserve"> and adherence to ISRNM die</w:t>
      </w:r>
      <w:r w:rsidR="006F4252" w:rsidRPr="005D29E2">
        <w:rPr>
          <w:rFonts w:ascii="Calibri" w:hAnsi="Calibri" w:cs="Calibri"/>
          <w:b/>
          <w:bCs/>
          <w:sz w:val="24"/>
          <w:szCs w:val="24"/>
          <w:lang w:val="en-US"/>
        </w:rPr>
        <w:t xml:space="preserve">tary </w:t>
      </w:r>
      <w:r w:rsidRPr="005D29E2">
        <w:rPr>
          <w:rFonts w:ascii="Calibri" w:hAnsi="Calibri" w:cs="Calibri"/>
          <w:b/>
          <w:bCs/>
          <w:sz w:val="24"/>
          <w:szCs w:val="24"/>
          <w:lang w:val="en-US"/>
        </w:rPr>
        <w:t>guidelines by ethnicity</w:t>
      </w:r>
      <w:r w:rsidR="00881B4D" w:rsidRPr="005D29E2">
        <w:rPr>
          <w:rFonts w:ascii="Calibri" w:hAnsi="Calibri" w:cs="Calibri"/>
          <w:b/>
          <w:bCs/>
          <w:sz w:val="24"/>
          <w:szCs w:val="24"/>
          <w:lang w:val="en-US"/>
        </w:rPr>
        <w:t>.</w:t>
      </w:r>
      <w:r w:rsidR="006F4252" w:rsidRPr="005D29E2">
        <w:rPr>
          <w:rFonts w:ascii="Calibri" w:hAnsi="Calibri" w:cs="Calibri"/>
          <w:sz w:val="24"/>
          <w:szCs w:val="24"/>
          <w:lang w:val="en-US"/>
        </w:rPr>
        <w:t xml:space="preserve"> </w:t>
      </w:r>
      <w:r w:rsidR="00FE6BA2" w:rsidRPr="005D29E2">
        <w:rPr>
          <w:rFonts w:ascii="Calibri" w:hAnsi="Calibri" w:cs="Calibri"/>
          <w:iCs/>
          <w:sz w:val="24"/>
          <w:szCs w:val="24"/>
          <w:lang w:val="en-US"/>
        </w:rPr>
        <w:t>*For guidelines presented as a range, the cutoff applied for sodium and phosphorus was the upper range limit, while the cutoff for energy and protein was the lower range limit.</w:t>
      </w:r>
    </w:p>
    <w:p w14:paraId="0537D223" w14:textId="77777777" w:rsidR="00FE6BA2" w:rsidRPr="005D29E2" w:rsidRDefault="00FE6BA2" w:rsidP="005D29E2">
      <w:pPr>
        <w:spacing w:after="0" w:line="240" w:lineRule="auto"/>
        <w:jc w:val="both"/>
        <w:rPr>
          <w:rFonts w:ascii="Calibri" w:hAnsi="Calibri" w:cs="Calibri"/>
          <w:sz w:val="24"/>
          <w:szCs w:val="24"/>
          <w:lang w:val="en-US"/>
        </w:rPr>
      </w:pPr>
    </w:p>
    <w:p w14:paraId="031B394F" w14:textId="03317B18" w:rsidR="001F3C35"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D</w:t>
      </w:r>
      <w:r w:rsidR="00597C42" w:rsidRPr="005D29E2">
        <w:rPr>
          <w:rFonts w:ascii="Calibri" w:hAnsi="Calibri" w:cs="Calibri"/>
          <w:b/>
          <w:bCs/>
          <w:sz w:val="24"/>
          <w:szCs w:val="24"/>
          <w:lang w:val="en-US"/>
        </w:rPr>
        <w:t>ISCUSSION:</w:t>
      </w:r>
    </w:p>
    <w:p w14:paraId="2508D464" w14:textId="3490C628"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Overall, the present study identified </w:t>
      </w:r>
      <w:r w:rsidR="00597C42" w:rsidRPr="005D29E2">
        <w:rPr>
          <w:rFonts w:ascii="Calibri" w:hAnsi="Calibri" w:cs="Calibri"/>
          <w:sz w:val="24"/>
          <w:szCs w:val="24"/>
          <w:lang w:val="en-US"/>
        </w:rPr>
        <w:t xml:space="preserve">ethnic differences in nutrient intake, ISRNM adherence, and some metabolic markers of nutritional status, but no differences in anthropometric measures or malnutrition risk were </w:t>
      </w:r>
      <w:r w:rsidRPr="005D29E2">
        <w:rPr>
          <w:rFonts w:ascii="Calibri" w:hAnsi="Calibri" w:cs="Calibri"/>
          <w:sz w:val="24"/>
          <w:szCs w:val="24"/>
          <w:lang w:val="en-US"/>
        </w:rPr>
        <w:t xml:space="preserve">observed. Important sociodemographic differences were also detected. First, Jewish patients were older, less likely to be married, and had fewer </w:t>
      </w:r>
      <w:r w:rsidRPr="005D29E2">
        <w:rPr>
          <w:rFonts w:ascii="Calibri" w:hAnsi="Calibri" w:cs="Calibri"/>
          <w:sz w:val="24"/>
          <w:szCs w:val="24"/>
          <w:lang w:val="en-US"/>
        </w:rPr>
        <w:lastRenderedPageBreak/>
        <w:t xml:space="preserve">children, reflecting potential differences in social structure and family support systems. In contrast, </w:t>
      </w:r>
      <w:r w:rsidR="00597C42" w:rsidRPr="005D29E2">
        <w:rPr>
          <w:rFonts w:ascii="Calibri" w:hAnsi="Calibri" w:cs="Calibri"/>
          <w:sz w:val="24"/>
          <w:szCs w:val="24"/>
          <w:lang w:val="en-US"/>
        </w:rPr>
        <w:t>younger ASM patients</w:t>
      </w:r>
      <w:r w:rsidRPr="005D29E2">
        <w:rPr>
          <w:rFonts w:ascii="Calibri" w:hAnsi="Calibri" w:cs="Calibri"/>
          <w:sz w:val="24"/>
          <w:szCs w:val="24"/>
          <w:lang w:val="en-US"/>
        </w:rPr>
        <w:t xml:space="preserve"> were more frequently accompanied by caregivers and less likely to eat alone. These findings are consistent with prior reports</w:t>
      </w:r>
      <w:r w:rsidR="00D84E31" w:rsidRPr="005D29E2">
        <w:rPr>
          <w:rFonts w:ascii="Calibri" w:hAnsi="Calibri" w:cs="Calibri"/>
          <w:sz w:val="24"/>
          <w:szCs w:val="24"/>
          <w:vertAlign w:val="superscript"/>
          <w:lang w:val="en-US"/>
        </w:rPr>
        <w:t>16</w:t>
      </w:r>
      <w:r w:rsidRPr="005D29E2">
        <w:rPr>
          <w:rFonts w:ascii="Calibri" w:hAnsi="Calibri" w:cs="Calibri"/>
          <w:sz w:val="24"/>
          <w:szCs w:val="24"/>
          <w:lang w:val="en-US"/>
        </w:rPr>
        <w:t xml:space="preserve"> and may suggest stronger family and social support networks among ASM patients. Social support has been previously associated with better dietary adherence and improved clinical outcomes in other </w:t>
      </w:r>
      <w:r w:rsidR="00597C42" w:rsidRPr="005D29E2">
        <w:rPr>
          <w:rFonts w:ascii="Calibri" w:hAnsi="Calibri" w:cs="Calibri"/>
          <w:sz w:val="24"/>
          <w:szCs w:val="24"/>
          <w:lang w:val="en-US"/>
        </w:rPr>
        <w:t>Middle Eastern</w:t>
      </w:r>
      <w:r w:rsidRPr="005D29E2">
        <w:rPr>
          <w:rFonts w:ascii="Calibri" w:hAnsi="Calibri" w:cs="Calibri"/>
          <w:sz w:val="24"/>
          <w:szCs w:val="24"/>
          <w:lang w:val="en-US"/>
        </w:rPr>
        <w:t xml:space="preserve"> populations</w:t>
      </w:r>
      <w:r w:rsidR="00D84E31" w:rsidRPr="005D29E2">
        <w:rPr>
          <w:rFonts w:ascii="Calibri" w:hAnsi="Calibri" w:cs="Calibri"/>
          <w:sz w:val="24"/>
          <w:szCs w:val="24"/>
          <w:vertAlign w:val="superscript"/>
          <w:lang w:val="en-US"/>
        </w:rPr>
        <w:t>17</w:t>
      </w:r>
      <w:r w:rsidRPr="005D29E2">
        <w:rPr>
          <w:rFonts w:ascii="Calibri" w:hAnsi="Calibri" w:cs="Calibri"/>
          <w:sz w:val="24"/>
          <w:szCs w:val="24"/>
          <w:lang w:val="en-US"/>
        </w:rPr>
        <w:t>, and family and social support have been identified as important facilitators of dietary adherence among people with chronic kidney disease</w:t>
      </w:r>
      <w:r w:rsidR="00D84E31" w:rsidRPr="005D29E2">
        <w:rPr>
          <w:rFonts w:ascii="Calibri" w:hAnsi="Calibri" w:cs="Calibri"/>
          <w:sz w:val="24"/>
          <w:szCs w:val="24"/>
          <w:vertAlign w:val="superscript"/>
          <w:lang w:val="en-US"/>
        </w:rPr>
        <w:t>18</w:t>
      </w:r>
      <w:r w:rsidRPr="005D29E2">
        <w:rPr>
          <w:rFonts w:ascii="Calibri" w:hAnsi="Calibri" w:cs="Calibri"/>
          <w:sz w:val="24"/>
          <w:szCs w:val="24"/>
          <w:lang w:val="en-US"/>
        </w:rPr>
        <w:t xml:space="preserve">. </w:t>
      </w:r>
    </w:p>
    <w:p w14:paraId="272AFE90" w14:textId="77777777" w:rsidR="00597C42" w:rsidRPr="005D29E2" w:rsidRDefault="00597C42" w:rsidP="005D29E2">
      <w:pPr>
        <w:spacing w:after="0" w:line="240" w:lineRule="auto"/>
        <w:jc w:val="both"/>
        <w:rPr>
          <w:rFonts w:ascii="Calibri" w:hAnsi="Calibri" w:cs="Calibri"/>
          <w:sz w:val="24"/>
          <w:szCs w:val="24"/>
          <w:lang w:val="en-US"/>
        </w:rPr>
      </w:pPr>
    </w:p>
    <w:p w14:paraId="5EC8BF6B" w14:textId="7C6B93D8"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Despite being younger, ASM patients had a significantly longer dialysis vintage, likely reflecting </w:t>
      </w:r>
      <w:r w:rsidR="00597C42" w:rsidRPr="005D29E2">
        <w:rPr>
          <w:rFonts w:ascii="Calibri" w:hAnsi="Calibri" w:cs="Calibri"/>
          <w:sz w:val="24"/>
          <w:szCs w:val="24"/>
          <w:lang w:val="en-US"/>
        </w:rPr>
        <w:t>ethnicity</w:t>
      </w:r>
      <w:r w:rsidRPr="005D29E2">
        <w:rPr>
          <w:rFonts w:ascii="Calibri" w:hAnsi="Calibri" w:cs="Calibri"/>
          <w:sz w:val="24"/>
          <w:szCs w:val="24"/>
          <w:lang w:val="en-US"/>
        </w:rPr>
        <w:t xml:space="preserve"> differences in chronic disease patterns. For example, diabetes is almost twice as prevalent in Arab vs. Jewish Israelis (18.4% vs. 10.3%)</w:t>
      </w:r>
      <w:r w:rsidR="00107CF5" w:rsidRPr="005D29E2">
        <w:rPr>
          <w:rFonts w:ascii="Calibri" w:hAnsi="Calibri" w:cs="Calibri"/>
          <w:sz w:val="24"/>
          <w:szCs w:val="24"/>
          <w:vertAlign w:val="superscript"/>
          <w:lang w:val="en-US"/>
        </w:rPr>
        <w:t>19</w:t>
      </w:r>
      <w:r w:rsidRPr="005D29E2">
        <w:rPr>
          <w:rFonts w:ascii="Calibri" w:hAnsi="Calibri" w:cs="Calibri"/>
          <w:sz w:val="24"/>
          <w:szCs w:val="24"/>
          <w:lang w:val="en-US"/>
        </w:rPr>
        <w:t>.</w:t>
      </w:r>
      <w:r w:rsidR="006E790F" w:rsidRPr="005D29E2">
        <w:rPr>
          <w:rFonts w:ascii="Calibri" w:hAnsi="Calibri" w:cs="Calibri"/>
          <w:sz w:val="24"/>
          <w:szCs w:val="24"/>
          <w:lang w:val="en-US"/>
        </w:rPr>
        <w:t xml:space="preserve"> </w:t>
      </w:r>
      <w:r w:rsidRPr="005D29E2">
        <w:rPr>
          <w:rFonts w:ascii="Calibri" w:hAnsi="Calibri" w:cs="Calibri"/>
          <w:sz w:val="24"/>
          <w:szCs w:val="24"/>
          <w:lang w:val="en-US"/>
        </w:rPr>
        <w:t>Hypertension and obesity are also more prevalent among Israeli Arabs than Jews</w:t>
      </w:r>
      <w:r w:rsidR="00107CF5" w:rsidRPr="005D29E2">
        <w:rPr>
          <w:rFonts w:ascii="Calibri" w:hAnsi="Calibri" w:cs="Calibri"/>
          <w:sz w:val="24"/>
          <w:szCs w:val="24"/>
          <w:vertAlign w:val="superscript"/>
          <w:lang w:val="en-US"/>
        </w:rPr>
        <w:t>20</w:t>
      </w:r>
      <w:r w:rsidRPr="005D29E2">
        <w:rPr>
          <w:rFonts w:ascii="Calibri" w:hAnsi="Calibri" w:cs="Calibri"/>
          <w:sz w:val="24"/>
          <w:szCs w:val="24"/>
          <w:lang w:val="en-US"/>
        </w:rPr>
        <w:t>.</w:t>
      </w:r>
      <w:r w:rsidR="006E790F" w:rsidRPr="005D29E2">
        <w:rPr>
          <w:rFonts w:ascii="Calibri" w:hAnsi="Calibri" w:cs="Calibri"/>
          <w:sz w:val="24"/>
          <w:szCs w:val="24"/>
          <w:lang w:val="en-US"/>
        </w:rPr>
        <w:t xml:space="preserve"> </w:t>
      </w:r>
      <w:r w:rsidRPr="005D29E2">
        <w:rPr>
          <w:rFonts w:ascii="Calibri" w:hAnsi="Calibri" w:cs="Calibri"/>
          <w:sz w:val="24"/>
          <w:szCs w:val="24"/>
          <w:lang w:val="en-US"/>
        </w:rPr>
        <w:t>All of these are identified as risk factors for chronic kidney disease</w:t>
      </w:r>
      <w:r w:rsidR="00107CF5" w:rsidRPr="005D29E2">
        <w:rPr>
          <w:rFonts w:ascii="Calibri" w:hAnsi="Calibri" w:cs="Calibri"/>
          <w:sz w:val="24"/>
          <w:szCs w:val="24"/>
          <w:vertAlign w:val="superscript"/>
          <w:lang w:val="en-US"/>
        </w:rPr>
        <w:t>21</w:t>
      </w:r>
      <w:r w:rsidRPr="005D29E2">
        <w:rPr>
          <w:rFonts w:ascii="Calibri" w:hAnsi="Calibri" w:cs="Calibri"/>
          <w:sz w:val="24"/>
          <w:szCs w:val="24"/>
          <w:lang w:val="en-US"/>
        </w:rPr>
        <w:t xml:space="preserve">. Nevertheless, the absence of differences in comorbidity </w:t>
      </w:r>
      <w:r w:rsidR="00597C42" w:rsidRPr="005D29E2">
        <w:rPr>
          <w:rFonts w:ascii="Calibri" w:hAnsi="Calibri" w:cs="Calibri"/>
          <w:sz w:val="24"/>
          <w:szCs w:val="24"/>
          <w:lang w:val="en-US"/>
        </w:rPr>
        <w:t>distributions implies that disease burden at the time of assessment was similar across</w:t>
      </w:r>
      <w:r w:rsidRPr="005D29E2">
        <w:rPr>
          <w:rFonts w:ascii="Calibri" w:hAnsi="Calibri" w:cs="Calibri"/>
          <w:sz w:val="24"/>
          <w:szCs w:val="24"/>
          <w:lang w:val="en-US"/>
        </w:rPr>
        <w:t xml:space="preserve"> ethnic groups. But the significantly younger age and greater dialysis vintage in ASM participants </w:t>
      </w:r>
      <w:r w:rsidR="00597C42" w:rsidRPr="005D29E2">
        <w:rPr>
          <w:rFonts w:ascii="Calibri" w:hAnsi="Calibri" w:cs="Calibri"/>
          <w:sz w:val="24"/>
          <w:szCs w:val="24"/>
          <w:lang w:val="en-US"/>
        </w:rPr>
        <w:t>indicate</w:t>
      </w:r>
      <w:r w:rsidRPr="005D29E2">
        <w:rPr>
          <w:rFonts w:ascii="Calibri" w:hAnsi="Calibri" w:cs="Calibri"/>
          <w:sz w:val="24"/>
          <w:szCs w:val="24"/>
          <w:lang w:val="en-US"/>
        </w:rPr>
        <w:t xml:space="preserve"> earlier disease onset and more prolonged exposure to risk factors.</w:t>
      </w:r>
    </w:p>
    <w:p w14:paraId="285FC4A6" w14:textId="77777777" w:rsidR="00597C42" w:rsidRPr="005D29E2" w:rsidRDefault="00597C42" w:rsidP="005D29E2">
      <w:pPr>
        <w:spacing w:after="0" w:line="240" w:lineRule="auto"/>
        <w:jc w:val="both"/>
        <w:rPr>
          <w:rFonts w:ascii="Calibri" w:hAnsi="Calibri" w:cs="Calibri"/>
          <w:sz w:val="24"/>
          <w:szCs w:val="24"/>
          <w:lang w:val="en-US"/>
        </w:rPr>
      </w:pPr>
    </w:p>
    <w:p w14:paraId="56644376" w14:textId="55684880"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In terms of biomarkers, ASM patients demonstrated lower blood urea nitrogen (BUN) and LDL </w:t>
      </w:r>
      <w:r w:rsidR="00597C42" w:rsidRPr="005D29E2">
        <w:rPr>
          <w:rFonts w:ascii="Calibri" w:hAnsi="Calibri" w:cs="Calibri"/>
          <w:sz w:val="24"/>
          <w:szCs w:val="24"/>
          <w:lang w:val="en-US"/>
        </w:rPr>
        <w:t xml:space="preserve">levels but significantly higher serum triglyceride levels and marginally higher CRP levels, all of which are associated with </w:t>
      </w:r>
      <w:proofErr w:type="gramStart"/>
      <w:r w:rsidR="00597C42" w:rsidRPr="005D29E2">
        <w:rPr>
          <w:rFonts w:ascii="Calibri" w:hAnsi="Calibri" w:cs="Calibri"/>
          <w:sz w:val="24"/>
          <w:szCs w:val="24"/>
          <w:lang w:val="en-US"/>
        </w:rPr>
        <w:t>a pro</w:t>
      </w:r>
      <w:proofErr w:type="gramEnd"/>
      <w:r w:rsidR="00597C42" w:rsidRPr="005D29E2">
        <w:rPr>
          <w:rFonts w:ascii="Calibri" w:hAnsi="Calibri" w:cs="Calibri"/>
          <w:sz w:val="24"/>
          <w:szCs w:val="24"/>
          <w:lang w:val="en-US"/>
        </w:rPr>
        <w:t>-inflammatory milieu</w:t>
      </w:r>
      <w:r w:rsidR="00107CF5" w:rsidRPr="005D29E2">
        <w:rPr>
          <w:rFonts w:ascii="Calibri" w:hAnsi="Calibri" w:cs="Calibri"/>
          <w:sz w:val="24"/>
          <w:szCs w:val="24"/>
          <w:vertAlign w:val="superscript"/>
          <w:lang w:val="en-US"/>
        </w:rPr>
        <w:t>22</w:t>
      </w:r>
      <w:r w:rsidR="00597C42" w:rsidRPr="005D29E2">
        <w:rPr>
          <w:rFonts w:ascii="Calibri" w:hAnsi="Calibri" w:cs="Calibri"/>
          <w:sz w:val="24"/>
          <w:szCs w:val="24"/>
          <w:lang w:val="en-US"/>
        </w:rPr>
        <w:t xml:space="preserve"> and a greater risk of malnutrition</w:t>
      </w:r>
      <w:r w:rsidR="00107CF5" w:rsidRPr="005D29E2">
        <w:rPr>
          <w:rFonts w:ascii="Calibri" w:hAnsi="Calibri" w:cs="Calibri"/>
          <w:sz w:val="24"/>
          <w:szCs w:val="24"/>
          <w:vertAlign w:val="superscript"/>
          <w:lang w:val="en-US"/>
        </w:rPr>
        <w:t>23-25</w:t>
      </w:r>
      <w:r w:rsidRPr="005D29E2">
        <w:rPr>
          <w:rFonts w:ascii="Calibri" w:hAnsi="Calibri" w:cs="Calibri"/>
          <w:sz w:val="24"/>
          <w:szCs w:val="24"/>
          <w:lang w:val="en-US"/>
        </w:rPr>
        <w:t xml:space="preserve">. The lower BUN levels may reflect differences in protein intake or metabolism, consistent with the finding that ASM patients consumed a lower proportion of energy from protein. </w:t>
      </w:r>
    </w:p>
    <w:p w14:paraId="16F83791" w14:textId="77777777" w:rsidR="00597C42" w:rsidRPr="005D29E2" w:rsidRDefault="00597C42" w:rsidP="005D29E2">
      <w:pPr>
        <w:spacing w:after="0" w:line="240" w:lineRule="auto"/>
        <w:jc w:val="both"/>
        <w:rPr>
          <w:rFonts w:ascii="Calibri" w:hAnsi="Calibri" w:cs="Calibri"/>
          <w:sz w:val="24"/>
          <w:szCs w:val="24"/>
          <w:lang w:val="en-US"/>
        </w:rPr>
      </w:pPr>
    </w:p>
    <w:p w14:paraId="5F7CECAB" w14:textId="4AEAC4D5"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An association between malnutrition, inflammation, and atherosclerosis (MIA syndrome) has long been recognized and accepted as an explanatory mechanism for the elevated cardiovascular disease burden observed in HD patients</w:t>
      </w:r>
      <w:r w:rsidR="00107CF5" w:rsidRPr="005D29E2">
        <w:rPr>
          <w:rFonts w:ascii="Calibri" w:hAnsi="Calibri" w:cs="Calibri"/>
          <w:sz w:val="24"/>
          <w:szCs w:val="24"/>
          <w:vertAlign w:val="superscript"/>
          <w:lang w:val="en-US"/>
        </w:rPr>
        <w:t>26</w:t>
      </w:r>
      <w:r w:rsidRPr="005D29E2">
        <w:rPr>
          <w:rFonts w:ascii="Calibri" w:hAnsi="Calibri" w:cs="Calibri"/>
          <w:sz w:val="24"/>
          <w:szCs w:val="24"/>
          <w:lang w:val="en-US"/>
        </w:rPr>
        <w:t>. In this patient population, PEW is often accompanied by chronic low-grade inflammation driven by uremia and oxidative stress, continuously worsened by dialysis exposure</w:t>
      </w:r>
      <w:r w:rsidRPr="005D29E2">
        <w:rPr>
          <w:rFonts w:ascii="Calibri" w:hAnsi="Calibri" w:cs="Calibri"/>
          <w:sz w:val="24"/>
          <w:szCs w:val="24"/>
          <w:vertAlign w:val="superscript"/>
          <w:lang w:val="en-US"/>
        </w:rPr>
        <w:t>3</w:t>
      </w:r>
      <w:r w:rsidRPr="005D29E2">
        <w:rPr>
          <w:rFonts w:ascii="Calibri" w:hAnsi="Calibri" w:cs="Calibri"/>
          <w:sz w:val="24"/>
          <w:szCs w:val="24"/>
          <w:lang w:val="en-US"/>
        </w:rPr>
        <w:t>. This promotes production of inflammatory cytokines (e.g., IL-6, TNF-α), leading to increased catabolism, reduced appetite, and impaired protein synthesis, worsening malnutrition</w:t>
      </w:r>
      <w:r w:rsidR="00107CF5" w:rsidRPr="005D29E2">
        <w:rPr>
          <w:rFonts w:ascii="Calibri" w:hAnsi="Calibri" w:cs="Calibri"/>
          <w:sz w:val="24"/>
          <w:szCs w:val="24"/>
          <w:vertAlign w:val="superscript"/>
          <w:lang w:val="en-US"/>
        </w:rPr>
        <w:t>27</w:t>
      </w:r>
      <w:r w:rsidRPr="005D29E2">
        <w:rPr>
          <w:rFonts w:ascii="Calibri" w:hAnsi="Calibri" w:cs="Calibri"/>
          <w:sz w:val="24"/>
          <w:szCs w:val="24"/>
          <w:lang w:val="en-US"/>
        </w:rPr>
        <w:t>. Simultaneously, inflammation contributes to endothelial dysfunction, lipid abnormalities, and plaque formation</w:t>
      </w:r>
      <w:r w:rsidR="00107CF5" w:rsidRPr="005D29E2">
        <w:rPr>
          <w:rFonts w:ascii="Calibri" w:hAnsi="Calibri" w:cs="Calibri"/>
          <w:sz w:val="24"/>
          <w:szCs w:val="24"/>
          <w:vertAlign w:val="superscript"/>
          <w:lang w:val="en-US"/>
        </w:rPr>
        <w:t>28</w:t>
      </w:r>
      <w:r w:rsidRPr="005D29E2">
        <w:rPr>
          <w:rFonts w:ascii="Calibri" w:hAnsi="Calibri" w:cs="Calibri"/>
          <w:sz w:val="24"/>
          <w:szCs w:val="24"/>
          <w:lang w:val="en-US"/>
        </w:rPr>
        <w:t xml:space="preserve">. Together, these mechanisms create a self-perpetuating cycle in which inflammation and malnutrition reinforce each other and accelerate atherogenesis. </w:t>
      </w:r>
    </w:p>
    <w:p w14:paraId="67861665" w14:textId="77777777" w:rsidR="00597C42" w:rsidRPr="005D29E2" w:rsidRDefault="00597C42" w:rsidP="005D29E2">
      <w:pPr>
        <w:spacing w:after="0" w:line="240" w:lineRule="auto"/>
        <w:jc w:val="both"/>
        <w:rPr>
          <w:rFonts w:ascii="Calibri" w:hAnsi="Calibri" w:cs="Calibri"/>
          <w:sz w:val="24"/>
          <w:szCs w:val="24"/>
          <w:lang w:val="en-US"/>
        </w:rPr>
      </w:pPr>
    </w:p>
    <w:p w14:paraId="56903E0D" w14:textId="48699852"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Intake of some nutrients differed significantly between groups. ASM patients consumed more total energy per kg IBW, yet a smaller proportion of this energy came from protein. While higher energy </w:t>
      </w:r>
      <w:r w:rsidR="00597C42" w:rsidRPr="005D29E2">
        <w:rPr>
          <w:rFonts w:ascii="Calibri" w:hAnsi="Calibri" w:cs="Calibri"/>
          <w:sz w:val="24"/>
          <w:szCs w:val="24"/>
          <w:lang w:val="en-US"/>
        </w:rPr>
        <w:t>intake may help prevent PEW, the lower proportion of energy from protein raises concerns, especially in a population at high risk of</w:t>
      </w:r>
      <w:r w:rsidRPr="005D29E2">
        <w:rPr>
          <w:rFonts w:ascii="Calibri" w:hAnsi="Calibri" w:cs="Calibri"/>
          <w:sz w:val="24"/>
          <w:szCs w:val="24"/>
          <w:lang w:val="en-US"/>
        </w:rPr>
        <w:t xml:space="preserve"> malnutrition. </w:t>
      </w:r>
      <w:r w:rsidR="00597C42" w:rsidRPr="005D29E2">
        <w:rPr>
          <w:rFonts w:ascii="Calibri" w:hAnsi="Calibri" w:cs="Calibri"/>
          <w:sz w:val="24"/>
          <w:szCs w:val="24"/>
          <w:lang w:val="en-US"/>
        </w:rPr>
        <w:t>Carbohydrates are</w:t>
      </w:r>
      <w:r w:rsidRPr="005D29E2">
        <w:rPr>
          <w:rFonts w:ascii="Calibri" w:hAnsi="Calibri" w:cs="Calibri"/>
          <w:sz w:val="24"/>
          <w:szCs w:val="24"/>
          <w:lang w:val="en-US"/>
        </w:rPr>
        <w:t xml:space="preserve"> similar between groups. Fat intake approached 40% in the ASM group, </w:t>
      </w:r>
      <w:r w:rsidR="00597C42" w:rsidRPr="005D29E2">
        <w:rPr>
          <w:rFonts w:ascii="Calibri" w:hAnsi="Calibri" w:cs="Calibri"/>
          <w:sz w:val="24"/>
          <w:szCs w:val="24"/>
          <w:lang w:val="en-US"/>
        </w:rPr>
        <w:t>7% higher</w:t>
      </w:r>
      <w:r w:rsidRPr="005D29E2">
        <w:rPr>
          <w:rFonts w:ascii="Calibri" w:hAnsi="Calibri" w:cs="Calibri"/>
          <w:sz w:val="24"/>
          <w:szCs w:val="24"/>
          <w:lang w:val="en-US"/>
        </w:rPr>
        <w:t xml:space="preserve"> than the percentage of energy consumed as fat </w:t>
      </w:r>
      <w:r w:rsidR="00597C42" w:rsidRPr="005D29E2">
        <w:rPr>
          <w:rFonts w:ascii="Calibri" w:hAnsi="Calibri" w:cs="Calibri"/>
          <w:sz w:val="24"/>
          <w:szCs w:val="24"/>
          <w:lang w:val="en-US"/>
        </w:rPr>
        <w:t xml:space="preserve">in the </w:t>
      </w:r>
      <w:r w:rsidRPr="005D29E2">
        <w:rPr>
          <w:rFonts w:ascii="Calibri" w:hAnsi="Calibri" w:cs="Calibri"/>
          <w:sz w:val="24"/>
          <w:szCs w:val="24"/>
          <w:lang w:val="en-US"/>
        </w:rPr>
        <w:t>Jewish group; however, this difference was not statistically significant.</w:t>
      </w:r>
    </w:p>
    <w:p w14:paraId="5029F7AF" w14:textId="77777777" w:rsidR="00597C42" w:rsidRPr="005D29E2" w:rsidRDefault="00597C42" w:rsidP="005D29E2">
      <w:pPr>
        <w:spacing w:after="0" w:line="240" w:lineRule="auto"/>
        <w:jc w:val="both"/>
        <w:rPr>
          <w:rFonts w:ascii="Calibri" w:hAnsi="Calibri" w:cs="Calibri"/>
          <w:sz w:val="24"/>
          <w:szCs w:val="24"/>
          <w:lang w:val="en-US"/>
        </w:rPr>
      </w:pPr>
    </w:p>
    <w:p w14:paraId="76A96212" w14:textId="78C1C9A7"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In addition to </w:t>
      </w:r>
      <w:r w:rsidR="00F75E85" w:rsidRPr="005D29E2">
        <w:rPr>
          <w:rFonts w:ascii="Calibri" w:hAnsi="Calibri" w:cs="Calibri"/>
          <w:sz w:val="24"/>
          <w:szCs w:val="24"/>
          <w:lang w:val="en-US"/>
        </w:rPr>
        <w:t xml:space="preserve">a </w:t>
      </w:r>
      <w:r w:rsidRPr="005D29E2">
        <w:rPr>
          <w:rFonts w:ascii="Calibri" w:hAnsi="Calibri" w:cs="Calibri"/>
          <w:sz w:val="24"/>
          <w:szCs w:val="24"/>
          <w:lang w:val="en-US"/>
        </w:rPr>
        <w:t xml:space="preserve">greater </w:t>
      </w:r>
      <w:r w:rsidR="00E47D24" w:rsidRPr="005D29E2">
        <w:rPr>
          <w:rFonts w:ascii="Calibri" w:hAnsi="Calibri" w:cs="Calibri"/>
          <w:sz w:val="24"/>
          <w:szCs w:val="24"/>
          <w:lang w:val="en-US"/>
        </w:rPr>
        <w:t>kcal/kg IBW intake, diets of ASM participants contained</w:t>
      </w:r>
      <w:r w:rsidRPr="005D29E2">
        <w:rPr>
          <w:rFonts w:ascii="Calibri" w:hAnsi="Calibri" w:cs="Calibri"/>
          <w:sz w:val="24"/>
          <w:szCs w:val="24"/>
          <w:lang w:val="en-US"/>
        </w:rPr>
        <w:t xml:space="preserve"> significantly more riboflavin, niacin</w:t>
      </w:r>
      <w:r w:rsidR="00597C42" w:rsidRPr="005D29E2">
        <w:rPr>
          <w:rFonts w:ascii="Calibri" w:hAnsi="Calibri" w:cs="Calibri"/>
          <w:sz w:val="24"/>
          <w:szCs w:val="24"/>
          <w:lang w:val="en-US"/>
        </w:rPr>
        <w:t>,</w:t>
      </w:r>
      <w:r w:rsidRPr="005D29E2">
        <w:rPr>
          <w:rFonts w:ascii="Calibri" w:hAnsi="Calibri" w:cs="Calibri"/>
          <w:sz w:val="24"/>
          <w:szCs w:val="24"/>
          <w:lang w:val="en-US"/>
        </w:rPr>
        <w:t xml:space="preserve"> and iron. In many countries</w:t>
      </w:r>
      <w:r w:rsidR="00597C42" w:rsidRPr="005D29E2">
        <w:rPr>
          <w:rFonts w:ascii="Calibri" w:hAnsi="Calibri" w:cs="Calibri"/>
          <w:sz w:val="24"/>
          <w:szCs w:val="24"/>
          <w:lang w:val="en-US"/>
        </w:rPr>
        <w:t>,</w:t>
      </w:r>
      <w:r w:rsidRPr="005D29E2">
        <w:rPr>
          <w:rFonts w:ascii="Calibri" w:hAnsi="Calibri" w:cs="Calibri"/>
          <w:sz w:val="24"/>
          <w:szCs w:val="24"/>
          <w:lang w:val="en-US"/>
        </w:rPr>
        <w:t xml:space="preserve"> this could suggest greater intake of fortified cereals and flour</w:t>
      </w:r>
      <w:r w:rsidR="00107CF5" w:rsidRPr="005D29E2">
        <w:rPr>
          <w:rFonts w:ascii="Calibri" w:hAnsi="Calibri" w:cs="Calibri"/>
          <w:sz w:val="24"/>
          <w:szCs w:val="24"/>
          <w:vertAlign w:val="superscript"/>
          <w:lang w:val="en-US"/>
        </w:rPr>
        <w:t>29</w:t>
      </w:r>
      <w:r w:rsidRPr="005D29E2">
        <w:rPr>
          <w:rFonts w:ascii="Calibri" w:hAnsi="Calibri" w:cs="Calibri"/>
          <w:sz w:val="24"/>
          <w:szCs w:val="24"/>
          <w:lang w:val="en-US"/>
        </w:rPr>
        <w:t>; however, fortification is not mandated in Israel</w:t>
      </w:r>
      <w:r w:rsidR="00107CF5" w:rsidRPr="005D29E2">
        <w:rPr>
          <w:rFonts w:ascii="Calibri" w:hAnsi="Calibri" w:cs="Calibri"/>
          <w:sz w:val="24"/>
          <w:szCs w:val="24"/>
          <w:vertAlign w:val="superscript"/>
          <w:lang w:val="en-US"/>
        </w:rPr>
        <w:t>30</w:t>
      </w:r>
      <w:r w:rsidRPr="005D29E2">
        <w:rPr>
          <w:rFonts w:ascii="Calibri" w:hAnsi="Calibri" w:cs="Calibri"/>
          <w:sz w:val="24"/>
          <w:szCs w:val="24"/>
          <w:lang w:val="en-US"/>
        </w:rPr>
        <w:t>.</w:t>
      </w:r>
      <w:r w:rsidR="006E790F" w:rsidRPr="005D29E2">
        <w:rPr>
          <w:rFonts w:ascii="Calibri" w:hAnsi="Calibri" w:cs="Calibri"/>
          <w:sz w:val="24"/>
          <w:szCs w:val="24"/>
          <w:lang w:val="en-US"/>
        </w:rPr>
        <w:t xml:space="preserve"> </w:t>
      </w:r>
      <w:r w:rsidRPr="005D29E2">
        <w:rPr>
          <w:rFonts w:ascii="Calibri" w:hAnsi="Calibri" w:cs="Calibri"/>
          <w:sz w:val="24"/>
          <w:szCs w:val="24"/>
          <w:lang w:val="en-US"/>
        </w:rPr>
        <w:t>Sodium intake was also elevated in ASM participants</w:t>
      </w:r>
      <w:r w:rsidR="00597C42" w:rsidRPr="005D29E2">
        <w:rPr>
          <w:rFonts w:ascii="Calibri" w:hAnsi="Calibri" w:cs="Calibri"/>
          <w:sz w:val="24"/>
          <w:szCs w:val="24"/>
          <w:lang w:val="en-US"/>
        </w:rPr>
        <w:t>,</w:t>
      </w:r>
      <w:r w:rsidRPr="005D29E2">
        <w:rPr>
          <w:rFonts w:ascii="Calibri" w:hAnsi="Calibri" w:cs="Calibri"/>
          <w:sz w:val="24"/>
          <w:szCs w:val="24"/>
          <w:lang w:val="en-US"/>
        </w:rPr>
        <w:t xml:space="preserve"> possibly reflecting greater consumption of ultra-processed food</w:t>
      </w:r>
      <w:r w:rsidR="00107CF5" w:rsidRPr="005D29E2">
        <w:rPr>
          <w:rFonts w:ascii="Calibri" w:hAnsi="Calibri" w:cs="Calibri"/>
          <w:sz w:val="24"/>
          <w:szCs w:val="24"/>
          <w:vertAlign w:val="superscript"/>
          <w:lang w:val="en-US"/>
        </w:rPr>
        <w:t>31</w:t>
      </w:r>
      <w:r w:rsidRPr="005D29E2">
        <w:rPr>
          <w:rFonts w:ascii="Calibri" w:hAnsi="Calibri" w:cs="Calibri"/>
          <w:sz w:val="24"/>
          <w:szCs w:val="24"/>
          <w:lang w:val="en-US"/>
        </w:rPr>
        <w:t>. Management of dietary sodium intake is vital in HD patients</w:t>
      </w:r>
      <w:r w:rsidR="00597C42" w:rsidRPr="005D29E2">
        <w:rPr>
          <w:rFonts w:ascii="Calibri" w:hAnsi="Calibri" w:cs="Calibri"/>
          <w:sz w:val="24"/>
          <w:szCs w:val="24"/>
          <w:lang w:val="en-US"/>
        </w:rPr>
        <w:t xml:space="preserve"> due to its </w:t>
      </w:r>
      <w:r w:rsidR="00597C42" w:rsidRPr="005D29E2">
        <w:rPr>
          <w:rFonts w:ascii="Calibri" w:hAnsi="Calibri" w:cs="Calibri"/>
          <w:sz w:val="24"/>
          <w:szCs w:val="24"/>
          <w:lang w:val="en-US"/>
        </w:rPr>
        <w:lastRenderedPageBreak/>
        <w:t>association with fluid and sodium overload</w:t>
      </w:r>
      <w:r w:rsidR="00107CF5" w:rsidRPr="005D29E2">
        <w:rPr>
          <w:rFonts w:ascii="Calibri" w:hAnsi="Calibri" w:cs="Calibri"/>
          <w:sz w:val="24"/>
          <w:szCs w:val="24"/>
          <w:vertAlign w:val="superscript"/>
          <w:lang w:val="en-US"/>
        </w:rPr>
        <w:t>32</w:t>
      </w:r>
      <w:r w:rsidRPr="005D29E2">
        <w:rPr>
          <w:rFonts w:ascii="Calibri" w:hAnsi="Calibri" w:cs="Calibri"/>
          <w:sz w:val="24"/>
          <w:szCs w:val="24"/>
          <w:lang w:val="en-US"/>
        </w:rPr>
        <w:t xml:space="preserve">. Potassium intake, largely </w:t>
      </w:r>
      <w:r w:rsidR="00597C42" w:rsidRPr="005D29E2">
        <w:rPr>
          <w:rFonts w:ascii="Calibri" w:hAnsi="Calibri" w:cs="Calibri"/>
          <w:sz w:val="24"/>
          <w:szCs w:val="24"/>
          <w:lang w:val="en-US"/>
        </w:rPr>
        <w:t>derived from</w:t>
      </w:r>
      <w:r w:rsidRPr="005D29E2">
        <w:rPr>
          <w:rFonts w:ascii="Calibri" w:hAnsi="Calibri" w:cs="Calibri"/>
          <w:sz w:val="24"/>
          <w:szCs w:val="24"/>
          <w:lang w:val="en-US"/>
        </w:rPr>
        <w:t xml:space="preserve"> fresh fruits and vegetables, has long been targeted for restriction in HD diets due to concerns about hyperkalemia</w:t>
      </w:r>
      <w:r w:rsidR="00107CF5" w:rsidRPr="005D29E2">
        <w:rPr>
          <w:rFonts w:ascii="Calibri" w:hAnsi="Calibri" w:cs="Calibri"/>
          <w:sz w:val="24"/>
          <w:szCs w:val="24"/>
          <w:vertAlign w:val="superscript"/>
          <w:lang w:val="en-US"/>
        </w:rPr>
        <w:t>33</w:t>
      </w:r>
      <w:r w:rsidRPr="005D29E2">
        <w:rPr>
          <w:rFonts w:ascii="Calibri" w:hAnsi="Calibri" w:cs="Calibri"/>
          <w:sz w:val="24"/>
          <w:szCs w:val="24"/>
          <w:lang w:val="en-US"/>
        </w:rPr>
        <w:t xml:space="preserve">. </w:t>
      </w:r>
      <w:r w:rsidR="00597C42" w:rsidRPr="005D29E2">
        <w:rPr>
          <w:rFonts w:ascii="Calibri" w:hAnsi="Calibri" w:cs="Calibri"/>
          <w:sz w:val="24"/>
          <w:szCs w:val="24"/>
          <w:lang w:val="en-US"/>
        </w:rPr>
        <w:t>Although intake of this mineral was higher in ASM than in Jewish HD patients in this study, this</w:t>
      </w:r>
      <w:r w:rsidRPr="005D29E2">
        <w:rPr>
          <w:rFonts w:ascii="Calibri" w:hAnsi="Calibri" w:cs="Calibri"/>
          <w:sz w:val="24"/>
          <w:szCs w:val="24"/>
          <w:lang w:val="en-US"/>
        </w:rPr>
        <w:t xml:space="preserve"> was not reflected in blood potassium levels. Further, it has recently been shown that HD patients consuming a diet rich in fruits, vegetables</w:t>
      </w:r>
      <w:r w:rsidR="00597C42" w:rsidRPr="005D29E2">
        <w:rPr>
          <w:rFonts w:ascii="Calibri" w:hAnsi="Calibri" w:cs="Calibri"/>
          <w:sz w:val="24"/>
          <w:szCs w:val="24"/>
          <w:lang w:val="en-US"/>
        </w:rPr>
        <w:t>, and fiber had reduced mortality and improved well-</w:t>
      </w:r>
      <w:proofErr w:type="gramStart"/>
      <w:r w:rsidR="00597C42" w:rsidRPr="005D29E2">
        <w:rPr>
          <w:rFonts w:ascii="Calibri" w:hAnsi="Calibri" w:cs="Calibri"/>
          <w:sz w:val="24"/>
          <w:szCs w:val="24"/>
          <w:lang w:val="en-US"/>
        </w:rPr>
        <w:t>being</w:t>
      </w:r>
      <w:r w:rsidR="00107CF5" w:rsidRPr="005D29E2">
        <w:rPr>
          <w:rFonts w:ascii="Calibri" w:hAnsi="Calibri" w:cs="Calibri"/>
          <w:sz w:val="24"/>
          <w:szCs w:val="24"/>
          <w:vertAlign w:val="superscript"/>
          <w:lang w:val="en-US"/>
        </w:rPr>
        <w:t>34</w:t>
      </w:r>
      <w:proofErr w:type="gramEnd"/>
      <w:r w:rsidRPr="005D29E2">
        <w:rPr>
          <w:rFonts w:ascii="Calibri" w:hAnsi="Calibri" w:cs="Calibri"/>
          <w:sz w:val="24"/>
          <w:szCs w:val="24"/>
          <w:lang w:val="en-US"/>
        </w:rPr>
        <w:t xml:space="preserve">. </w:t>
      </w:r>
    </w:p>
    <w:p w14:paraId="0A686B9E" w14:textId="77777777" w:rsidR="00597C42" w:rsidRPr="005D29E2" w:rsidRDefault="00597C42" w:rsidP="005D29E2">
      <w:pPr>
        <w:spacing w:after="0" w:line="240" w:lineRule="auto"/>
        <w:jc w:val="both"/>
        <w:rPr>
          <w:rFonts w:ascii="Calibri" w:hAnsi="Calibri" w:cs="Calibri"/>
          <w:sz w:val="24"/>
          <w:szCs w:val="24"/>
          <w:lang w:val="en-US"/>
        </w:rPr>
      </w:pPr>
    </w:p>
    <w:p w14:paraId="5B243536" w14:textId="3FE06F49"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Adherence to </w:t>
      </w:r>
      <w:r w:rsidR="00305767">
        <w:rPr>
          <w:rFonts w:ascii="Calibri" w:hAnsi="Calibri" w:cs="Calibri"/>
          <w:sz w:val="24"/>
          <w:szCs w:val="24"/>
          <w:lang w:val="en-US"/>
        </w:rPr>
        <w:t xml:space="preserve">the </w:t>
      </w:r>
      <w:r w:rsidRPr="005D29E2">
        <w:rPr>
          <w:rFonts w:ascii="Calibri" w:hAnsi="Calibri" w:cs="Calibri"/>
          <w:sz w:val="24"/>
          <w:szCs w:val="24"/>
          <w:lang w:val="en-US"/>
        </w:rPr>
        <w:t>International Society of Renal Nutrition and Metabolism (ISRNM) guidelines was suboptimal across the entire cohort, consistent with prior literature</w:t>
      </w:r>
      <w:r w:rsidR="00107CF5" w:rsidRPr="005D29E2">
        <w:rPr>
          <w:rFonts w:ascii="Calibri" w:hAnsi="Calibri" w:cs="Calibri"/>
          <w:sz w:val="24"/>
          <w:szCs w:val="24"/>
          <w:vertAlign w:val="superscript"/>
          <w:lang w:val="en-US"/>
        </w:rPr>
        <w:t>14</w:t>
      </w:r>
      <w:r w:rsidRPr="005D29E2">
        <w:rPr>
          <w:rFonts w:ascii="Calibri" w:hAnsi="Calibri" w:cs="Calibri"/>
          <w:sz w:val="24"/>
          <w:szCs w:val="24"/>
          <w:lang w:val="en-US"/>
        </w:rPr>
        <w:t xml:space="preserve">. Although ASM patients were more likely to meet energy recommendations, </w:t>
      </w:r>
      <w:r w:rsidR="00597C42" w:rsidRPr="005D29E2">
        <w:rPr>
          <w:rFonts w:ascii="Calibri" w:hAnsi="Calibri" w:cs="Calibri"/>
          <w:sz w:val="24"/>
          <w:szCs w:val="24"/>
          <w:lang w:val="en-US"/>
        </w:rPr>
        <w:t>overall adherence rates remained low</w:t>
      </w:r>
      <w:r w:rsidRPr="005D29E2">
        <w:rPr>
          <w:rFonts w:ascii="Calibri" w:hAnsi="Calibri" w:cs="Calibri"/>
          <w:sz w:val="24"/>
          <w:szCs w:val="24"/>
          <w:lang w:val="en-US"/>
        </w:rPr>
        <w:t xml:space="preserve">. Importantly, </w:t>
      </w:r>
      <w:r w:rsidR="00597C42" w:rsidRPr="005D29E2">
        <w:rPr>
          <w:rFonts w:ascii="Calibri" w:hAnsi="Calibri" w:cs="Calibri"/>
          <w:sz w:val="24"/>
          <w:szCs w:val="24"/>
          <w:lang w:val="en-US"/>
        </w:rPr>
        <w:t>adherence to protein and sodium guidelines</w:t>
      </w:r>
      <w:r w:rsidRPr="005D29E2">
        <w:rPr>
          <w:rFonts w:ascii="Calibri" w:hAnsi="Calibri" w:cs="Calibri"/>
          <w:sz w:val="24"/>
          <w:szCs w:val="24"/>
          <w:lang w:val="en-US"/>
        </w:rPr>
        <w:t xml:space="preserve"> was particularly poor in both groups, highlighting a widespread gap between recommendations and real-world dietary practices. Phosphorus adherence was comparatively better, possibly reflecting stronger patient education or stricter clinical monitoring of phosphorus levels.</w:t>
      </w:r>
    </w:p>
    <w:p w14:paraId="75BA24E1" w14:textId="77777777" w:rsidR="00597C42" w:rsidRPr="005D29E2" w:rsidRDefault="00597C42" w:rsidP="005D29E2">
      <w:pPr>
        <w:spacing w:after="0" w:line="240" w:lineRule="auto"/>
        <w:jc w:val="both"/>
        <w:rPr>
          <w:rFonts w:ascii="Calibri" w:hAnsi="Calibri" w:cs="Calibri"/>
          <w:sz w:val="24"/>
          <w:szCs w:val="24"/>
          <w:lang w:val="en-US"/>
        </w:rPr>
      </w:pPr>
    </w:p>
    <w:p w14:paraId="171A4F62" w14:textId="5E27B494"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The regression analysis of meeting the ISRNM recommendation for energy intake further underscored ethnic disparities, demonstrating that Jewish patients were significantly less likely to meet energy intake recommendations, independent of age and sex. On the other hand, ethnicity was only marginally associated with </w:t>
      </w:r>
      <w:r w:rsidR="00597C42" w:rsidRPr="005D29E2">
        <w:rPr>
          <w:rFonts w:ascii="Calibri" w:hAnsi="Calibri" w:cs="Calibri"/>
          <w:sz w:val="24"/>
          <w:szCs w:val="24"/>
          <w:lang w:val="en-US"/>
        </w:rPr>
        <w:t>the risk of malnutrition</w:t>
      </w:r>
      <w:r w:rsidRPr="005D29E2">
        <w:rPr>
          <w:rFonts w:ascii="Calibri" w:hAnsi="Calibri" w:cs="Calibri"/>
          <w:sz w:val="24"/>
          <w:szCs w:val="24"/>
          <w:lang w:val="en-US"/>
        </w:rPr>
        <w:t xml:space="preserve">. This outcome was associated with CRP, age, and eating alone. CRP and age have </w:t>
      </w:r>
      <w:r w:rsidR="00305767">
        <w:rPr>
          <w:rFonts w:ascii="Calibri" w:hAnsi="Calibri" w:cs="Calibri"/>
          <w:sz w:val="24"/>
          <w:szCs w:val="24"/>
          <w:lang w:val="en-US"/>
        </w:rPr>
        <w:t>previously been identified as predictors of malnutrition risk</w:t>
      </w:r>
      <w:r w:rsidR="00305767" w:rsidRPr="00305767">
        <w:rPr>
          <w:rFonts w:ascii="Calibri" w:hAnsi="Calibri" w:cs="Calibri"/>
          <w:sz w:val="24"/>
          <w:szCs w:val="24"/>
          <w:vertAlign w:val="superscript"/>
          <w:lang w:val="en-US"/>
        </w:rPr>
        <w:t>35</w:t>
      </w:r>
      <w:r w:rsidRPr="005D29E2">
        <w:rPr>
          <w:rFonts w:ascii="Calibri" w:hAnsi="Calibri" w:cs="Calibri"/>
          <w:sz w:val="24"/>
          <w:szCs w:val="24"/>
          <w:lang w:val="en-US"/>
        </w:rPr>
        <w:t xml:space="preserve">. While social isolation and loneliness were not directly </w:t>
      </w:r>
      <w:r w:rsidR="00E47D24" w:rsidRPr="005D29E2">
        <w:rPr>
          <w:rFonts w:ascii="Calibri" w:hAnsi="Calibri" w:cs="Calibri"/>
          <w:sz w:val="24"/>
          <w:szCs w:val="24"/>
          <w:lang w:val="en-US"/>
        </w:rPr>
        <w:t>assessed in the present study, both have been linked to eating alone, and all three have been associated with poor nutritional</w:t>
      </w:r>
      <w:r w:rsidRPr="005D29E2">
        <w:rPr>
          <w:rFonts w:ascii="Calibri" w:hAnsi="Calibri" w:cs="Calibri"/>
          <w:sz w:val="24"/>
          <w:szCs w:val="24"/>
          <w:lang w:val="en-US"/>
        </w:rPr>
        <w:t xml:space="preserve"> outcomes in other </w:t>
      </w:r>
      <w:proofErr w:type="gramStart"/>
      <w:r w:rsidRPr="005D29E2">
        <w:rPr>
          <w:rFonts w:ascii="Calibri" w:hAnsi="Calibri" w:cs="Calibri"/>
          <w:sz w:val="24"/>
          <w:szCs w:val="24"/>
          <w:lang w:val="en-US"/>
        </w:rPr>
        <w:t>populations</w:t>
      </w:r>
      <w:r w:rsidR="00107CF5" w:rsidRPr="005D29E2">
        <w:rPr>
          <w:rFonts w:ascii="Calibri" w:hAnsi="Calibri" w:cs="Calibri"/>
          <w:sz w:val="24"/>
          <w:szCs w:val="24"/>
          <w:vertAlign w:val="superscript"/>
          <w:lang w:val="en-US"/>
        </w:rPr>
        <w:t>36</w:t>
      </w:r>
      <w:proofErr w:type="gramEnd"/>
      <w:r w:rsidRPr="005D29E2">
        <w:rPr>
          <w:rFonts w:ascii="Calibri" w:hAnsi="Calibri" w:cs="Calibri"/>
          <w:sz w:val="24"/>
          <w:szCs w:val="24"/>
          <w:lang w:val="en-US"/>
        </w:rPr>
        <w:t>.</w:t>
      </w:r>
      <w:r w:rsidR="006E790F" w:rsidRPr="005D29E2">
        <w:rPr>
          <w:rFonts w:ascii="Calibri" w:hAnsi="Calibri" w:cs="Calibri"/>
          <w:sz w:val="24"/>
          <w:szCs w:val="24"/>
          <w:lang w:val="en-US"/>
        </w:rPr>
        <w:t xml:space="preserve"> </w:t>
      </w:r>
    </w:p>
    <w:p w14:paraId="3C14EF57" w14:textId="77777777" w:rsidR="00597C42" w:rsidRPr="005D29E2" w:rsidRDefault="00597C42" w:rsidP="005D29E2">
      <w:pPr>
        <w:spacing w:after="0" w:line="240" w:lineRule="auto"/>
        <w:jc w:val="both"/>
        <w:rPr>
          <w:rFonts w:ascii="Calibri" w:hAnsi="Calibri" w:cs="Calibri"/>
          <w:sz w:val="24"/>
          <w:szCs w:val="24"/>
          <w:lang w:val="en-US"/>
        </w:rPr>
      </w:pPr>
    </w:p>
    <w:p w14:paraId="67641241" w14:textId="02080F5F"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Findings of the present study must be considered in the framework of its limitations. First, the cross-sectional study design precludes causal inferences. Additionally, the study population deliberately oversampled ASM HD patients to permit meaningful comparisons with the Jewish population. The study population does represent the HD population in </w:t>
      </w:r>
      <w:r w:rsidR="00597C42" w:rsidRPr="005D29E2">
        <w:rPr>
          <w:rFonts w:ascii="Calibri" w:hAnsi="Calibri" w:cs="Calibri"/>
          <w:sz w:val="24"/>
          <w:szCs w:val="24"/>
          <w:lang w:val="en-US"/>
        </w:rPr>
        <w:t>northern Israel, but it does not reflect the national demographic distribution of the HD population</w:t>
      </w:r>
      <w:r w:rsidR="00107CF5" w:rsidRPr="005D29E2">
        <w:rPr>
          <w:rFonts w:ascii="Calibri" w:hAnsi="Calibri" w:cs="Calibri"/>
          <w:sz w:val="24"/>
          <w:szCs w:val="24"/>
          <w:vertAlign w:val="superscript"/>
          <w:lang w:val="en-US"/>
        </w:rPr>
        <w:t>37</w:t>
      </w:r>
      <w:r w:rsidRPr="005D29E2">
        <w:rPr>
          <w:rFonts w:ascii="Calibri" w:hAnsi="Calibri" w:cs="Calibri"/>
          <w:sz w:val="24"/>
          <w:szCs w:val="24"/>
          <w:lang w:val="en-US"/>
        </w:rPr>
        <w:t xml:space="preserve">. Another limitation is the use of the </w:t>
      </w:r>
      <w:r w:rsidR="00E47D24" w:rsidRPr="005D29E2">
        <w:rPr>
          <w:rFonts w:ascii="Calibri" w:hAnsi="Calibri" w:cs="Calibri"/>
          <w:sz w:val="24"/>
          <w:szCs w:val="24"/>
          <w:lang w:val="en-US"/>
        </w:rPr>
        <w:t>24</w:t>
      </w:r>
      <w:r w:rsidR="00A65720" w:rsidRPr="005D29E2">
        <w:rPr>
          <w:rFonts w:ascii="Calibri" w:hAnsi="Calibri" w:cs="Calibri"/>
          <w:sz w:val="24"/>
          <w:szCs w:val="24"/>
          <w:lang w:val="en-US"/>
        </w:rPr>
        <w:t xml:space="preserve"> </w:t>
      </w:r>
      <w:r w:rsidR="00E47D24" w:rsidRPr="005D29E2">
        <w:rPr>
          <w:rFonts w:ascii="Calibri" w:hAnsi="Calibri" w:cs="Calibri"/>
          <w:sz w:val="24"/>
          <w:szCs w:val="24"/>
          <w:lang w:val="en-US"/>
        </w:rPr>
        <w:t>h recall method to assess</w:t>
      </w:r>
      <w:r w:rsidRPr="005D29E2">
        <w:rPr>
          <w:rFonts w:ascii="Calibri" w:hAnsi="Calibri" w:cs="Calibri"/>
          <w:sz w:val="24"/>
          <w:szCs w:val="24"/>
          <w:lang w:val="en-US"/>
        </w:rPr>
        <w:t xml:space="preserve"> dietary intake. This method has been shown to accurately estimate mean population intake but to exaggerate the standard deviation, making it more difficult to identify associations between measured nutrient intake and outcomes</w:t>
      </w:r>
      <w:r w:rsidR="00107CF5" w:rsidRPr="005D29E2">
        <w:rPr>
          <w:rFonts w:ascii="Calibri" w:hAnsi="Calibri" w:cs="Calibri"/>
          <w:sz w:val="24"/>
          <w:szCs w:val="24"/>
          <w:vertAlign w:val="superscript"/>
          <w:lang w:val="en-US"/>
        </w:rPr>
        <w:t>38</w:t>
      </w:r>
      <w:r w:rsidRPr="005D29E2">
        <w:rPr>
          <w:rFonts w:ascii="Calibri" w:hAnsi="Calibri" w:cs="Calibri"/>
          <w:sz w:val="24"/>
          <w:szCs w:val="24"/>
          <w:lang w:val="en-US"/>
        </w:rPr>
        <w:t>.</w:t>
      </w:r>
    </w:p>
    <w:p w14:paraId="0CDCB8F9" w14:textId="77777777" w:rsidR="00597C42" w:rsidRPr="005D29E2" w:rsidRDefault="00597C42" w:rsidP="005D29E2">
      <w:pPr>
        <w:spacing w:after="0" w:line="240" w:lineRule="auto"/>
        <w:jc w:val="both"/>
        <w:rPr>
          <w:rFonts w:ascii="Calibri" w:hAnsi="Calibri" w:cs="Calibri"/>
          <w:sz w:val="24"/>
          <w:szCs w:val="24"/>
          <w:lang w:val="en-US"/>
        </w:rPr>
      </w:pPr>
    </w:p>
    <w:p w14:paraId="051D3589" w14:textId="3EEC463F"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Despite its limitations, the study also has strengths</w:t>
      </w:r>
      <w:r w:rsidR="00597C42" w:rsidRPr="005D29E2">
        <w:rPr>
          <w:rFonts w:ascii="Calibri" w:hAnsi="Calibri" w:cs="Calibri"/>
          <w:sz w:val="24"/>
          <w:szCs w:val="24"/>
          <w:lang w:val="en-US"/>
        </w:rPr>
        <w:t>, as it captured by-ethnicity differences in dietary intake and ISRNM adherence,</w:t>
      </w:r>
      <w:r w:rsidRPr="005D29E2">
        <w:rPr>
          <w:rFonts w:ascii="Calibri" w:hAnsi="Calibri" w:cs="Calibri"/>
          <w:sz w:val="24"/>
          <w:szCs w:val="24"/>
          <w:lang w:val="en-US"/>
        </w:rPr>
        <w:t xml:space="preserve"> though only marginal associations were observed between ethnicity and malnutrition risk. It is important to highlight that while ASM participants were significantly younger than their Jewish counterparts, they had nevertheless acquired longer time on dialysis treatment, and despite their relative youth, their comorbidity profile was </w:t>
      </w:r>
      <w:proofErr w:type="gramStart"/>
      <w:r w:rsidRPr="005D29E2">
        <w:rPr>
          <w:rFonts w:ascii="Calibri" w:hAnsi="Calibri" w:cs="Calibri"/>
          <w:sz w:val="24"/>
          <w:szCs w:val="24"/>
          <w:lang w:val="en-US"/>
        </w:rPr>
        <w:t>similar to</w:t>
      </w:r>
      <w:proofErr w:type="gramEnd"/>
      <w:r w:rsidRPr="005D29E2">
        <w:rPr>
          <w:rFonts w:ascii="Calibri" w:hAnsi="Calibri" w:cs="Calibri"/>
          <w:sz w:val="24"/>
          <w:szCs w:val="24"/>
          <w:lang w:val="en-US"/>
        </w:rPr>
        <w:t xml:space="preserve"> that of Jewish patients. </w:t>
      </w:r>
    </w:p>
    <w:p w14:paraId="506080E8" w14:textId="77777777" w:rsidR="00597C42" w:rsidRPr="005D29E2" w:rsidRDefault="00597C42" w:rsidP="005D29E2">
      <w:pPr>
        <w:spacing w:after="0" w:line="240" w:lineRule="auto"/>
        <w:jc w:val="both"/>
        <w:rPr>
          <w:rFonts w:ascii="Calibri" w:hAnsi="Calibri" w:cs="Calibri"/>
          <w:sz w:val="24"/>
          <w:szCs w:val="24"/>
          <w:lang w:val="en-US"/>
        </w:rPr>
      </w:pPr>
    </w:p>
    <w:p w14:paraId="4C9B8E27" w14:textId="0F24BD53" w:rsidR="001F3C35" w:rsidRPr="005D29E2" w:rsidRDefault="00FB2742"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In conclusion, ASM patients are less likely to eat </w:t>
      </w:r>
      <w:r w:rsidR="00597C42" w:rsidRPr="005D29E2">
        <w:rPr>
          <w:rFonts w:ascii="Calibri" w:hAnsi="Calibri" w:cs="Calibri"/>
          <w:sz w:val="24"/>
          <w:szCs w:val="24"/>
          <w:lang w:val="en-US"/>
        </w:rPr>
        <w:t>alone, more likely to adhere to the ISRNM energy intake guideline,</w:t>
      </w:r>
      <w:r w:rsidRPr="005D29E2">
        <w:rPr>
          <w:rFonts w:ascii="Calibri" w:hAnsi="Calibri" w:cs="Calibri"/>
          <w:sz w:val="24"/>
          <w:szCs w:val="24"/>
          <w:lang w:val="en-US"/>
        </w:rPr>
        <w:t xml:space="preserve"> and in fact consume more energy per kg IBW than Jewish HD patients. On the other hand, the proportion of energy consumed as protein was lower among ASM patients, </w:t>
      </w:r>
      <w:r w:rsidR="00597C42" w:rsidRPr="005D29E2">
        <w:rPr>
          <w:rFonts w:ascii="Calibri" w:hAnsi="Calibri" w:cs="Calibri"/>
          <w:sz w:val="24"/>
          <w:szCs w:val="24"/>
          <w:lang w:val="en-US"/>
        </w:rPr>
        <w:t xml:space="preserve">although no between-group difference in malnutrition risk was </w:t>
      </w:r>
      <w:r w:rsidRPr="005D29E2">
        <w:rPr>
          <w:rFonts w:ascii="Calibri" w:hAnsi="Calibri" w:cs="Calibri"/>
          <w:sz w:val="24"/>
          <w:szCs w:val="24"/>
          <w:lang w:val="en-US"/>
        </w:rPr>
        <w:t>detected.</w:t>
      </w:r>
      <w:r w:rsidR="006E790F" w:rsidRPr="005D29E2">
        <w:rPr>
          <w:rFonts w:ascii="Calibri" w:hAnsi="Calibri" w:cs="Calibri"/>
          <w:sz w:val="24"/>
          <w:szCs w:val="24"/>
          <w:lang w:val="en-US"/>
        </w:rPr>
        <w:t xml:space="preserve"> </w:t>
      </w:r>
      <w:r w:rsidRPr="005D29E2">
        <w:rPr>
          <w:rFonts w:ascii="Calibri" w:hAnsi="Calibri" w:cs="Calibri"/>
          <w:sz w:val="24"/>
          <w:szCs w:val="24"/>
          <w:lang w:val="en-US"/>
        </w:rPr>
        <w:t>These findings underscore the need for culturally tailored nutrition interventions that address both dietary quality and the social context of eating in diverse HD populations.</w:t>
      </w:r>
    </w:p>
    <w:p w14:paraId="3649FD9B" w14:textId="77777777" w:rsidR="00597C42" w:rsidRPr="005D29E2" w:rsidRDefault="00597C42" w:rsidP="005D29E2">
      <w:pPr>
        <w:spacing w:after="0" w:line="240" w:lineRule="auto"/>
        <w:jc w:val="both"/>
        <w:rPr>
          <w:rFonts w:ascii="Calibri" w:hAnsi="Calibri" w:cs="Calibri"/>
          <w:sz w:val="24"/>
          <w:szCs w:val="24"/>
          <w:lang w:val="en-US"/>
        </w:rPr>
      </w:pPr>
    </w:p>
    <w:p w14:paraId="50DB798B" w14:textId="77777777" w:rsidR="008B7D85"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ACKNOWLEDGMENTS:</w:t>
      </w:r>
      <w:r w:rsidR="0014647D" w:rsidRPr="005D29E2">
        <w:rPr>
          <w:rFonts w:ascii="Calibri" w:hAnsi="Calibri" w:cs="Calibri"/>
          <w:b/>
          <w:bCs/>
          <w:sz w:val="24"/>
          <w:szCs w:val="24"/>
          <w:lang w:val="en-US"/>
        </w:rPr>
        <w:t xml:space="preserve"> </w:t>
      </w:r>
    </w:p>
    <w:p w14:paraId="61BE2FB8" w14:textId="053DD41F" w:rsidR="00DF0B0D" w:rsidRPr="005D29E2" w:rsidRDefault="008B7D85" w:rsidP="005D29E2">
      <w:pPr>
        <w:spacing w:after="0" w:line="240" w:lineRule="auto"/>
        <w:jc w:val="both"/>
        <w:rPr>
          <w:rFonts w:ascii="Calibri" w:hAnsi="Calibri" w:cs="Calibri"/>
          <w:b/>
          <w:bCs/>
          <w:sz w:val="24"/>
          <w:szCs w:val="24"/>
          <w:lang w:val="en-US"/>
        </w:rPr>
      </w:pPr>
      <w:r w:rsidRPr="005D29E2">
        <w:rPr>
          <w:rFonts w:ascii="Calibri" w:hAnsi="Calibri" w:cs="Calibri"/>
          <w:sz w:val="24"/>
          <w:szCs w:val="24"/>
          <w:lang w:val="en-US"/>
        </w:rPr>
        <w:t>None</w:t>
      </w:r>
    </w:p>
    <w:p w14:paraId="2C385C57" w14:textId="77777777" w:rsidR="00DF0B0D" w:rsidRPr="005D29E2" w:rsidRDefault="00DF0B0D" w:rsidP="005D29E2">
      <w:pPr>
        <w:spacing w:after="0" w:line="240" w:lineRule="auto"/>
        <w:jc w:val="both"/>
        <w:rPr>
          <w:rFonts w:ascii="Calibri" w:hAnsi="Calibri" w:cs="Calibri"/>
          <w:sz w:val="24"/>
          <w:szCs w:val="24"/>
          <w:lang w:val="en-US"/>
        </w:rPr>
      </w:pPr>
    </w:p>
    <w:p w14:paraId="28C8795A" w14:textId="77777777" w:rsidR="008B7D85"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DISCLOSURES:</w:t>
      </w:r>
      <w:r w:rsidR="00766049" w:rsidRPr="005D29E2">
        <w:rPr>
          <w:rFonts w:ascii="Calibri" w:hAnsi="Calibri" w:cs="Calibri"/>
          <w:b/>
          <w:bCs/>
          <w:sz w:val="24"/>
          <w:szCs w:val="24"/>
          <w:lang w:val="en-US"/>
        </w:rPr>
        <w:t xml:space="preserve"> </w:t>
      </w:r>
    </w:p>
    <w:p w14:paraId="433B5BE6" w14:textId="39FF7B43" w:rsidR="00DF0B0D" w:rsidRPr="005D29E2" w:rsidRDefault="008B7D85" w:rsidP="005D29E2">
      <w:pPr>
        <w:spacing w:after="0" w:line="240" w:lineRule="auto"/>
        <w:jc w:val="both"/>
        <w:rPr>
          <w:rFonts w:ascii="Calibri" w:hAnsi="Calibri" w:cs="Calibri"/>
          <w:b/>
          <w:bCs/>
          <w:sz w:val="24"/>
          <w:szCs w:val="24"/>
          <w:lang w:val="en-US"/>
        </w:rPr>
      </w:pPr>
      <w:r w:rsidRPr="005D29E2">
        <w:rPr>
          <w:rFonts w:ascii="Calibri" w:hAnsi="Calibri" w:cs="Calibri"/>
          <w:sz w:val="24"/>
          <w:szCs w:val="24"/>
          <w:lang w:val="en-US"/>
        </w:rPr>
        <w:t xml:space="preserve">The authors have no conflicts of interest to declare. </w:t>
      </w:r>
    </w:p>
    <w:p w14:paraId="0DDF3E33" w14:textId="77777777" w:rsidR="00F14690" w:rsidRPr="005D29E2" w:rsidRDefault="00F14690" w:rsidP="005D29E2">
      <w:pPr>
        <w:spacing w:after="0" w:line="240" w:lineRule="auto"/>
        <w:jc w:val="both"/>
        <w:rPr>
          <w:rFonts w:ascii="Calibri" w:hAnsi="Calibri" w:cs="Calibri"/>
          <w:sz w:val="24"/>
          <w:szCs w:val="24"/>
          <w:lang w:val="en-US"/>
        </w:rPr>
      </w:pPr>
    </w:p>
    <w:p w14:paraId="2AE8398B" w14:textId="77777777" w:rsidR="008B7D85" w:rsidRPr="005D29E2" w:rsidRDefault="00FB2742" w:rsidP="005D29E2">
      <w:pPr>
        <w:spacing w:after="0" w:line="240" w:lineRule="auto"/>
        <w:jc w:val="both"/>
        <w:rPr>
          <w:rFonts w:ascii="Calibri" w:hAnsi="Calibri" w:cs="Calibri"/>
          <w:b/>
          <w:bCs/>
          <w:sz w:val="24"/>
          <w:szCs w:val="24"/>
          <w:lang w:val="en-US"/>
        </w:rPr>
      </w:pPr>
      <w:r w:rsidRPr="005D29E2">
        <w:rPr>
          <w:rFonts w:ascii="Calibri" w:hAnsi="Calibri" w:cs="Calibri"/>
          <w:b/>
          <w:bCs/>
          <w:sz w:val="24"/>
          <w:szCs w:val="24"/>
          <w:lang w:val="en-US"/>
        </w:rPr>
        <w:t xml:space="preserve">Author Contributions: </w:t>
      </w:r>
    </w:p>
    <w:p w14:paraId="7023C04A" w14:textId="243F4935" w:rsidR="00F14690" w:rsidRPr="005D29E2" w:rsidRDefault="00465DE3" w:rsidP="005D29E2">
      <w:pPr>
        <w:spacing w:after="0" w:line="240" w:lineRule="auto"/>
        <w:jc w:val="both"/>
        <w:rPr>
          <w:rFonts w:ascii="Calibri" w:hAnsi="Calibri" w:cs="Calibri"/>
          <w:sz w:val="24"/>
          <w:szCs w:val="24"/>
          <w:lang w:val="en-US"/>
        </w:rPr>
      </w:pPr>
      <w:r w:rsidRPr="005D29E2">
        <w:rPr>
          <w:rFonts w:ascii="Calibri" w:hAnsi="Calibri" w:cs="Calibri"/>
          <w:sz w:val="24"/>
          <w:szCs w:val="24"/>
          <w:lang w:val="en-US"/>
        </w:rPr>
        <w:t xml:space="preserve">N.A.: conception, data acquisition; </w:t>
      </w:r>
      <w:r w:rsidR="005A2F70" w:rsidRPr="005D29E2">
        <w:rPr>
          <w:rFonts w:ascii="Calibri" w:hAnsi="Calibri" w:cs="Calibri"/>
          <w:sz w:val="24"/>
          <w:szCs w:val="24"/>
          <w:lang w:val="en-US"/>
        </w:rPr>
        <w:t xml:space="preserve">Y.B.: data acquisition, critical review; </w:t>
      </w:r>
      <w:r w:rsidR="00632FB9" w:rsidRPr="005D29E2">
        <w:rPr>
          <w:rFonts w:ascii="Calibri" w:hAnsi="Calibri" w:cs="Calibri"/>
          <w:sz w:val="24"/>
          <w:szCs w:val="24"/>
          <w:lang w:val="en-US"/>
        </w:rPr>
        <w:t xml:space="preserve">T.W.: design, data acquisition; </w:t>
      </w:r>
      <w:r w:rsidR="007B52B9" w:rsidRPr="005D29E2">
        <w:rPr>
          <w:rFonts w:ascii="Calibri" w:hAnsi="Calibri" w:cs="Calibri"/>
          <w:sz w:val="24"/>
          <w:szCs w:val="24"/>
          <w:lang w:val="en-US"/>
        </w:rPr>
        <w:t xml:space="preserve">E.K.-D.: design, data acquisition; </w:t>
      </w:r>
      <w:r w:rsidR="00DA758F" w:rsidRPr="005D29E2">
        <w:rPr>
          <w:rFonts w:ascii="Calibri" w:hAnsi="Calibri" w:cs="Calibri"/>
          <w:sz w:val="24"/>
          <w:szCs w:val="24"/>
          <w:lang w:val="en-US"/>
        </w:rPr>
        <w:t xml:space="preserve">M.B.: conception, data analysis, </w:t>
      </w:r>
      <w:r w:rsidR="0014647D" w:rsidRPr="005D29E2">
        <w:rPr>
          <w:rFonts w:ascii="Calibri" w:hAnsi="Calibri" w:cs="Calibri"/>
          <w:sz w:val="24"/>
          <w:szCs w:val="24"/>
          <w:lang w:val="en-US"/>
        </w:rPr>
        <w:t>interpretation, drafted article. All authors have read and approved the final version of the manuscript.</w:t>
      </w:r>
    </w:p>
    <w:p w14:paraId="02937B1E" w14:textId="77777777" w:rsidR="00DF0B0D" w:rsidRPr="005D29E2" w:rsidRDefault="00DF0B0D" w:rsidP="005D29E2">
      <w:pPr>
        <w:spacing w:after="0" w:line="240" w:lineRule="auto"/>
        <w:jc w:val="both"/>
        <w:rPr>
          <w:rFonts w:ascii="Calibri" w:hAnsi="Calibri" w:cs="Calibri"/>
          <w:sz w:val="24"/>
          <w:szCs w:val="24"/>
          <w:lang w:val="en-US"/>
        </w:rPr>
      </w:pPr>
    </w:p>
    <w:p w14:paraId="06A94FA7" w14:textId="23B4A702" w:rsidR="001F3C35" w:rsidRPr="005D29E2" w:rsidRDefault="00FB2742" w:rsidP="005D29E2">
      <w:pPr>
        <w:spacing w:after="0" w:line="240" w:lineRule="auto"/>
        <w:jc w:val="both"/>
        <w:rPr>
          <w:rFonts w:ascii="Calibri" w:hAnsi="Calibri" w:cs="Calibri"/>
          <w:b/>
          <w:bCs/>
          <w:sz w:val="24"/>
          <w:szCs w:val="24"/>
          <w:lang w:val="en-US"/>
        </w:rPr>
      </w:pPr>
      <w:proofErr w:type="gramStart"/>
      <w:r w:rsidRPr="005D29E2">
        <w:rPr>
          <w:rFonts w:ascii="Calibri" w:hAnsi="Calibri" w:cs="Calibri"/>
          <w:b/>
          <w:bCs/>
          <w:sz w:val="24"/>
          <w:szCs w:val="24"/>
          <w:lang w:val="en-US"/>
        </w:rPr>
        <w:t>R</w:t>
      </w:r>
      <w:r w:rsidR="00DF0B0D" w:rsidRPr="005D29E2">
        <w:rPr>
          <w:rFonts w:ascii="Calibri" w:hAnsi="Calibri" w:cs="Calibri"/>
          <w:b/>
          <w:bCs/>
          <w:sz w:val="24"/>
          <w:szCs w:val="24"/>
          <w:lang w:val="en-US"/>
        </w:rPr>
        <w:t>EFERENCES</w:t>
      </w:r>
      <w:proofErr w:type="gramEnd"/>
      <w:r w:rsidR="00DF0B0D" w:rsidRPr="005D29E2">
        <w:rPr>
          <w:rFonts w:ascii="Calibri" w:hAnsi="Calibri" w:cs="Calibri"/>
          <w:b/>
          <w:bCs/>
          <w:sz w:val="24"/>
          <w:szCs w:val="24"/>
          <w:lang w:val="en-US"/>
        </w:rPr>
        <w:t>:</w:t>
      </w:r>
    </w:p>
    <w:p w14:paraId="7AA58023" w14:textId="79C84504"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Koppe L, </w:t>
      </w:r>
      <w:proofErr w:type="spellStart"/>
      <w:r w:rsidRPr="005D29E2">
        <w:rPr>
          <w:rFonts w:ascii="Calibri" w:eastAsia="Times New Roman" w:hAnsi="Calibri" w:cs="Calibri"/>
          <w:kern w:val="0"/>
          <w:sz w:val="24"/>
          <w:szCs w:val="24"/>
          <w:lang w:val="en-US" w:eastAsia="en-IN" w:bidi="ar-SA"/>
          <w14:ligatures w14:val="none"/>
        </w:rPr>
        <w:t>Fouque</w:t>
      </w:r>
      <w:proofErr w:type="spellEnd"/>
      <w:r w:rsidRPr="005D29E2">
        <w:rPr>
          <w:rFonts w:ascii="Calibri" w:eastAsia="Times New Roman" w:hAnsi="Calibri" w:cs="Calibri"/>
          <w:kern w:val="0"/>
          <w:sz w:val="24"/>
          <w:szCs w:val="24"/>
          <w:lang w:val="en-US" w:eastAsia="en-IN" w:bidi="ar-SA"/>
          <w14:ligatures w14:val="none"/>
        </w:rPr>
        <w:t xml:space="preserve"> D, Kalantar-Zadeh K. Kidney cachexia or protein-energy wasting in chronic kidney disease: facts and numbers. </w:t>
      </w:r>
      <w:r w:rsidRPr="005D29E2">
        <w:rPr>
          <w:rFonts w:ascii="Calibri" w:eastAsia="Times New Roman" w:hAnsi="Calibri" w:cs="Calibri"/>
          <w:i/>
          <w:iCs/>
          <w:kern w:val="0"/>
          <w:sz w:val="24"/>
          <w:szCs w:val="24"/>
          <w:lang w:val="en-US" w:eastAsia="en-IN" w:bidi="ar-SA"/>
          <w14:ligatures w14:val="none"/>
        </w:rPr>
        <w:t>J Cachexia Sarcopenia Muscle.</w:t>
      </w:r>
      <w:r w:rsidRPr="005D29E2">
        <w:rPr>
          <w:rFonts w:ascii="Calibri" w:eastAsia="Times New Roman" w:hAnsi="Calibri" w:cs="Calibri"/>
          <w:kern w:val="0"/>
          <w:sz w:val="24"/>
          <w:szCs w:val="24"/>
          <w:lang w:val="en-US" w:eastAsia="en-IN" w:bidi="ar-SA"/>
          <w14:ligatures w14:val="none"/>
        </w:rPr>
        <w:t xml:space="preserve"> 2019;</w:t>
      </w:r>
      <w:r w:rsidRPr="005D29E2">
        <w:rPr>
          <w:rFonts w:ascii="Calibri" w:eastAsia="Times New Roman" w:hAnsi="Calibri" w:cs="Calibri"/>
          <w:b/>
          <w:bCs/>
          <w:kern w:val="0"/>
          <w:sz w:val="24"/>
          <w:szCs w:val="24"/>
          <w:lang w:val="en-US" w:eastAsia="en-IN" w:bidi="ar-SA"/>
          <w14:ligatures w14:val="none"/>
        </w:rPr>
        <w:t>10</w:t>
      </w:r>
      <w:r w:rsidRPr="005D29E2">
        <w:rPr>
          <w:rFonts w:ascii="Calibri" w:eastAsia="Times New Roman" w:hAnsi="Calibri" w:cs="Calibri"/>
          <w:kern w:val="0"/>
          <w:sz w:val="24"/>
          <w:szCs w:val="24"/>
          <w:lang w:val="en-US" w:eastAsia="en-IN" w:bidi="ar-SA"/>
          <w14:ligatures w14:val="none"/>
        </w:rPr>
        <w:t xml:space="preserve">(3):479-84. </w:t>
      </w:r>
    </w:p>
    <w:p w14:paraId="3A31C18A" w14:textId="3E834933"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Yajima T, Yajima K. Nutritional Risk Index for Japanese Hemodialysis Patients, protein-energy wasting, and mortality associations in patients undergoing hemodialysis. </w:t>
      </w:r>
      <w:r w:rsidRPr="005D29E2">
        <w:rPr>
          <w:rFonts w:ascii="Calibri" w:eastAsia="Times New Roman" w:hAnsi="Calibri" w:cs="Calibri"/>
          <w:i/>
          <w:iCs/>
          <w:kern w:val="0"/>
          <w:sz w:val="24"/>
          <w:szCs w:val="24"/>
          <w:lang w:val="en-US" w:eastAsia="en-IN" w:bidi="ar-SA"/>
          <w14:ligatures w14:val="none"/>
        </w:rPr>
        <w:t>BMC Nephrol.</w:t>
      </w:r>
      <w:r w:rsidRPr="005D29E2">
        <w:rPr>
          <w:rFonts w:ascii="Calibri" w:eastAsia="Times New Roman" w:hAnsi="Calibri" w:cs="Calibri"/>
          <w:kern w:val="0"/>
          <w:sz w:val="24"/>
          <w:szCs w:val="24"/>
          <w:lang w:val="en-US" w:eastAsia="en-IN" w:bidi="ar-SA"/>
          <w14:ligatures w14:val="none"/>
        </w:rPr>
        <w:t xml:space="preserve"> 2026;</w:t>
      </w:r>
      <w:r w:rsidRPr="005D29E2">
        <w:rPr>
          <w:rFonts w:ascii="Calibri" w:eastAsia="Times New Roman" w:hAnsi="Calibri" w:cs="Calibri"/>
          <w:b/>
          <w:bCs/>
          <w:kern w:val="0"/>
          <w:sz w:val="24"/>
          <w:szCs w:val="24"/>
          <w:lang w:val="en-US" w:eastAsia="en-IN" w:bidi="ar-SA"/>
          <w14:ligatures w14:val="none"/>
        </w:rPr>
        <w:t>27</w:t>
      </w:r>
      <w:r w:rsidRPr="005D29E2">
        <w:rPr>
          <w:rFonts w:ascii="Calibri" w:eastAsia="Times New Roman" w:hAnsi="Calibri" w:cs="Calibri"/>
          <w:kern w:val="0"/>
          <w:sz w:val="24"/>
          <w:szCs w:val="24"/>
          <w:lang w:val="en-US" w:eastAsia="en-IN" w:bidi="ar-SA"/>
          <w14:ligatures w14:val="none"/>
        </w:rPr>
        <w:t xml:space="preserve">(1):249. </w:t>
      </w:r>
    </w:p>
    <w:p w14:paraId="21DAAAAB" w14:textId="5B92B2B5"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proofErr w:type="spellStart"/>
      <w:r w:rsidRPr="005D29E2">
        <w:rPr>
          <w:rFonts w:ascii="Calibri" w:eastAsia="Times New Roman" w:hAnsi="Calibri" w:cs="Calibri"/>
          <w:kern w:val="0"/>
          <w:sz w:val="24"/>
          <w:szCs w:val="24"/>
          <w:lang w:val="en-US" w:eastAsia="en-IN" w:bidi="ar-SA"/>
          <w14:ligatures w14:val="none"/>
        </w:rPr>
        <w:t>Ikizler</w:t>
      </w:r>
      <w:proofErr w:type="spellEnd"/>
      <w:r w:rsidRPr="005D29E2">
        <w:rPr>
          <w:rFonts w:ascii="Calibri" w:eastAsia="Times New Roman" w:hAnsi="Calibri" w:cs="Calibri"/>
          <w:kern w:val="0"/>
          <w:sz w:val="24"/>
          <w:szCs w:val="24"/>
          <w:lang w:val="en-US" w:eastAsia="en-IN" w:bidi="ar-SA"/>
          <w14:ligatures w14:val="none"/>
        </w:rPr>
        <w:t xml:space="preserve"> TA, et al. Prevention and treatment of protein energy wasting in chronic kidney disease patients: a consensus statement by the International Society of Renal Nutrition and Metabolism. </w:t>
      </w:r>
      <w:r w:rsidRPr="005D29E2">
        <w:rPr>
          <w:rFonts w:ascii="Calibri" w:eastAsia="Times New Roman" w:hAnsi="Calibri" w:cs="Calibri"/>
          <w:i/>
          <w:iCs/>
          <w:kern w:val="0"/>
          <w:sz w:val="24"/>
          <w:szCs w:val="24"/>
          <w:lang w:val="en-US" w:eastAsia="en-IN" w:bidi="ar-SA"/>
          <w14:ligatures w14:val="none"/>
        </w:rPr>
        <w:t>Kidney Int.</w:t>
      </w:r>
      <w:r w:rsidRPr="005D29E2">
        <w:rPr>
          <w:rFonts w:ascii="Calibri" w:eastAsia="Times New Roman" w:hAnsi="Calibri" w:cs="Calibri"/>
          <w:kern w:val="0"/>
          <w:sz w:val="24"/>
          <w:szCs w:val="24"/>
          <w:lang w:val="en-US" w:eastAsia="en-IN" w:bidi="ar-SA"/>
          <w14:ligatures w14:val="none"/>
        </w:rPr>
        <w:t xml:space="preserve"> 2013;</w:t>
      </w:r>
      <w:r w:rsidRPr="005D29E2">
        <w:rPr>
          <w:rFonts w:ascii="Calibri" w:eastAsia="Times New Roman" w:hAnsi="Calibri" w:cs="Calibri"/>
          <w:b/>
          <w:bCs/>
          <w:kern w:val="0"/>
          <w:sz w:val="24"/>
          <w:szCs w:val="24"/>
          <w:lang w:val="en-US" w:eastAsia="en-IN" w:bidi="ar-SA"/>
          <w14:ligatures w14:val="none"/>
        </w:rPr>
        <w:t>84</w:t>
      </w:r>
      <w:r w:rsidRPr="005D29E2">
        <w:rPr>
          <w:rFonts w:ascii="Calibri" w:eastAsia="Times New Roman" w:hAnsi="Calibri" w:cs="Calibri"/>
          <w:kern w:val="0"/>
          <w:sz w:val="24"/>
          <w:szCs w:val="24"/>
          <w:lang w:val="en-US" w:eastAsia="en-IN" w:bidi="ar-SA"/>
          <w14:ligatures w14:val="none"/>
        </w:rPr>
        <w:t xml:space="preserve">(6):1096-107. </w:t>
      </w:r>
    </w:p>
    <w:p w14:paraId="5CD22C4C" w14:textId="08AAA355"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Jadeja YP, Kher V. Protein energy </w:t>
      </w:r>
      <w:proofErr w:type="gramStart"/>
      <w:r w:rsidRPr="005D29E2">
        <w:rPr>
          <w:rFonts w:ascii="Calibri" w:eastAsia="Times New Roman" w:hAnsi="Calibri" w:cs="Calibri"/>
          <w:kern w:val="0"/>
          <w:sz w:val="24"/>
          <w:szCs w:val="24"/>
          <w:lang w:val="en-US" w:eastAsia="en-IN" w:bidi="ar-SA"/>
          <w14:ligatures w14:val="none"/>
        </w:rPr>
        <w:t>wasting in</w:t>
      </w:r>
      <w:proofErr w:type="gramEnd"/>
      <w:r w:rsidRPr="005D29E2">
        <w:rPr>
          <w:rFonts w:ascii="Calibri" w:eastAsia="Times New Roman" w:hAnsi="Calibri" w:cs="Calibri"/>
          <w:kern w:val="0"/>
          <w:sz w:val="24"/>
          <w:szCs w:val="24"/>
          <w:lang w:val="en-US" w:eastAsia="en-IN" w:bidi="ar-SA"/>
          <w14:ligatures w14:val="none"/>
        </w:rPr>
        <w:t xml:space="preserve"> chronic kidney disease: an update with focus on nutritional interventions to improve outcomes. </w:t>
      </w:r>
      <w:r w:rsidRPr="005D29E2">
        <w:rPr>
          <w:rFonts w:ascii="Calibri" w:eastAsia="Times New Roman" w:hAnsi="Calibri" w:cs="Calibri"/>
          <w:i/>
          <w:iCs/>
          <w:kern w:val="0"/>
          <w:sz w:val="24"/>
          <w:szCs w:val="24"/>
          <w:lang w:val="en-US" w:eastAsia="en-IN" w:bidi="ar-SA"/>
          <w14:ligatures w14:val="none"/>
        </w:rPr>
        <w:t xml:space="preserve">Indian J Endocrinol </w:t>
      </w:r>
      <w:proofErr w:type="spellStart"/>
      <w:r w:rsidRPr="005D29E2">
        <w:rPr>
          <w:rFonts w:ascii="Calibri" w:eastAsia="Times New Roman" w:hAnsi="Calibri" w:cs="Calibri"/>
          <w:i/>
          <w:iCs/>
          <w:kern w:val="0"/>
          <w:sz w:val="24"/>
          <w:szCs w:val="24"/>
          <w:lang w:val="en-US" w:eastAsia="en-IN" w:bidi="ar-SA"/>
          <w14:ligatures w14:val="none"/>
        </w:rPr>
        <w:t>Metab</w:t>
      </w:r>
      <w:proofErr w:type="spellEnd"/>
      <w:r w:rsidRPr="005D29E2">
        <w:rPr>
          <w:rFonts w:ascii="Calibri" w:eastAsia="Times New Roman" w:hAnsi="Calibri" w:cs="Calibri"/>
          <w:i/>
          <w:iCs/>
          <w:kern w:val="0"/>
          <w:sz w:val="24"/>
          <w:szCs w:val="24"/>
          <w:lang w:val="en-US" w:eastAsia="en-IN" w:bidi="ar-SA"/>
          <w14:ligatures w14:val="none"/>
        </w:rPr>
        <w:t>.</w:t>
      </w:r>
      <w:r w:rsidRPr="005D29E2">
        <w:rPr>
          <w:rFonts w:ascii="Calibri" w:eastAsia="Times New Roman" w:hAnsi="Calibri" w:cs="Calibri"/>
          <w:kern w:val="0"/>
          <w:sz w:val="24"/>
          <w:szCs w:val="24"/>
          <w:lang w:val="en-US" w:eastAsia="en-IN" w:bidi="ar-SA"/>
          <w14:ligatures w14:val="none"/>
        </w:rPr>
        <w:t xml:space="preserve"> 2012;</w:t>
      </w:r>
      <w:r w:rsidRPr="005D29E2">
        <w:rPr>
          <w:rFonts w:ascii="Calibri" w:eastAsia="Times New Roman" w:hAnsi="Calibri" w:cs="Calibri"/>
          <w:b/>
          <w:bCs/>
          <w:kern w:val="0"/>
          <w:sz w:val="24"/>
          <w:szCs w:val="24"/>
          <w:lang w:val="en-US" w:eastAsia="en-IN" w:bidi="ar-SA"/>
          <w14:ligatures w14:val="none"/>
        </w:rPr>
        <w:t>16</w:t>
      </w:r>
      <w:r w:rsidRPr="005D29E2">
        <w:rPr>
          <w:rFonts w:ascii="Calibri" w:eastAsia="Times New Roman" w:hAnsi="Calibri" w:cs="Calibri"/>
          <w:kern w:val="0"/>
          <w:sz w:val="24"/>
          <w:szCs w:val="24"/>
          <w:lang w:val="en-US" w:eastAsia="en-IN" w:bidi="ar-SA"/>
          <w14:ligatures w14:val="none"/>
        </w:rPr>
        <w:t xml:space="preserve">(2):246-51. </w:t>
      </w:r>
    </w:p>
    <w:p w14:paraId="05FA5912" w14:textId="0D9BBCA4"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Trigueros-Flores XB, et al. Barriers and facilitators to adherence to a healthy diet across the spectrum of chronic kidney disease. </w:t>
      </w:r>
      <w:r w:rsidRPr="005D29E2">
        <w:rPr>
          <w:rFonts w:ascii="Calibri" w:eastAsia="Times New Roman" w:hAnsi="Calibri" w:cs="Calibri"/>
          <w:i/>
          <w:iCs/>
          <w:kern w:val="0"/>
          <w:sz w:val="24"/>
          <w:szCs w:val="24"/>
          <w:lang w:val="en-US" w:eastAsia="en-IN" w:bidi="ar-SA"/>
          <w14:ligatures w14:val="none"/>
        </w:rPr>
        <w:t>Patient Prefer Adherence.</w:t>
      </w:r>
      <w:r w:rsidRPr="005D29E2">
        <w:rPr>
          <w:rFonts w:ascii="Calibri" w:eastAsia="Times New Roman" w:hAnsi="Calibri" w:cs="Calibri"/>
          <w:kern w:val="0"/>
          <w:sz w:val="24"/>
          <w:szCs w:val="24"/>
          <w:lang w:val="en-US" w:eastAsia="en-IN" w:bidi="ar-SA"/>
          <w14:ligatures w14:val="none"/>
        </w:rPr>
        <w:t xml:space="preserve"> </w:t>
      </w:r>
      <w:proofErr w:type="gramStart"/>
      <w:r w:rsidRPr="005D29E2">
        <w:rPr>
          <w:rFonts w:ascii="Calibri" w:eastAsia="Times New Roman" w:hAnsi="Calibri" w:cs="Calibri"/>
          <w:kern w:val="0"/>
          <w:sz w:val="24"/>
          <w:szCs w:val="24"/>
          <w:lang w:val="en-US" w:eastAsia="en-IN" w:bidi="ar-SA"/>
          <w14:ligatures w14:val="none"/>
        </w:rPr>
        <w:t>2025;</w:t>
      </w:r>
      <w:r w:rsidRPr="005D29E2">
        <w:rPr>
          <w:rFonts w:ascii="Calibri" w:eastAsia="Times New Roman" w:hAnsi="Calibri" w:cs="Calibri"/>
          <w:b/>
          <w:bCs/>
          <w:kern w:val="0"/>
          <w:sz w:val="24"/>
          <w:szCs w:val="24"/>
          <w:lang w:val="en-US" w:eastAsia="en-IN" w:bidi="ar-SA"/>
          <w14:ligatures w14:val="none"/>
        </w:rPr>
        <w:t>19</w:t>
      </w:r>
      <w:r w:rsidRPr="005D29E2">
        <w:rPr>
          <w:rFonts w:ascii="Calibri" w:eastAsia="Times New Roman" w:hAnsi="Calibri" w:cs="Calibri"/>
          <w:kern w:val="0"/>
          <w:sz w:val="24"/>
          <w:szCs w:val="24"/>
          <w:lang w:val="en-US" w:eastAsia="en-IN" w:bidi="ar-SA"/>
          <w14:ligatures w14:val="none"/>
        </w:rPr>
        <w:t>:123</w:t>
      </w:r>
      <w:proofErr w:type="gramEnd"/>
      <w:r w:rsidRPr="005D29E2">
        <w:rPr>
          <w:rFonts w:ascii="Calibri" w:eastAsia="Times New Roman" w:hAnsi="Calibri" w:cs="Calibri"/>
          <w:kern w:val="0"/>
          <w:sz w:val="24"/>
          <w:szCs w:val="24"/>
          <w:lang w:val="en-US" w:eastAsia="en-IN" w:bidi="ar-SA"/>
          <w14:ligatures w14:val="none"/>
        </w:rPr>
        <w:t xml:space="preserve">-37. </w:t>
      </w:r>
    </w:p>
    <w:p w14:paraId="7037CBDF" w14:textId="30725E4E"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Clark-Cutaia MN, et al. Perceived barriers to adherence to hemodialysis dietary recommendations. </w:t>
      </w:r>
      <w:r w:rsidRPr="005D29E2">
        <w:rPr>
          <w:rFonts w:ascii="Calibri" w:eastAsia="Times New Roman" w:hAnsi="Calibri" w:cs="Calibri"/>
          <w:i/>
          <w:iCs/>
          <w:kern w:val="0"/>
          <w:sz w:val="24"/>
          <w:szCs w:val="24"/>
          <w:lang w:val="en-US" w:eastAsia="en-IN" w:bidi="ar-SA"/>
          <w14:ligatures w14:val="none"/>
        </w:rPr>
        <w:t>Clin Nurs Res.</w:t>
      </w:r>
      <w:r w:rsidRPr="005D29E2">
        <w:rPr>
          <w:rFonts w:ascii="Calibri" w:eastAsia="Times New Roman" w:hAnsi="Calibri" w:cs="Calibri"/>
          <w:kern w:val="0"/>
          <w:sz w:val="24"/>
          <w:szCs w:val="24"/>
          <w:lang w:val="en-US" w:eastAsia="en-IN" w:bidi="ar-SA"/>
          <w14:ligatures w14:val="none"/>
        </w:rPr>
        <w:t xml:space="preserve"> 2019;</w:t>
      </w:r>
      <w:r w:rsidRPr="005D29E2">
        <w:rPr>
          <w:rFonts w:ascii="Calibri" w:eastAsia="Times New Roman" w:hAnsi="Calibri" w:cs="Calibri"/>
          <w:b/>
          <w:bCs/>
          <w:kern w:val="0"/>
          <w:sz w:val="24"/>
          <w:szCs w:val="24"/>
          <w:lang w:val="en-US" w:eastAsia="en-IN" w:bidi="ar-SA"/>
          <w14:ligatures w14:val="none"/>
        </w:rPr>
        <w:t>28</w:t>
      </w:r>
      <w:r w:rsidRPr="005D29E2">
        <w:rPr>
          <w:rFonts w:ascii="Calibri" w:eastAsia="Times New Roman" w:hAnsi="Calibri" w:cs="Calibri"/>
          <w:kern w:val="0"/>
          <w:sz w:val="24"/>
          <w:szCs w:val="24"/>
          <w:lang w:val="en-US" w:eastAsia="en-IN" w:bidi="ar-SA"/>
          <w14:ligatures w14:val="none"/>
        </w:rPr>
        <w:t xml:space="preserve">(8):1009-29. </w:t>
      </w:r>
    </w:p>
    <w:p w14:paraId="27951D07" w14:textId="12287F9B"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Kleine CE, Moradi H, </w:t>
      </w:r>
      <w:proofErr w:type="spellStart"/>
      <w:r w:rsidRPr="005D29E2">
        <w:rPr>
          <w:rFonts w:ascii="Calibri" w:eastAsia="Times New Roman" w:hAnsi="Calibri" w:cs="Calibri"/>
          <w:kern w:val="0"/>
          <w:sz w:val="24"/>
          <w:szCs w:val="24"/>
          <w:lang w:val="en-US" w:eastAsia="en-IN" w:bidi="ar-SA"/>
          <w14:ligatures w14:val="none"/>
        </w:rPr>
        <w:t>Streja</w:t>
      </w:r>
      <w:proofErr w:type="spellEnd"/>
      <w:r w:rsidRPr="005D29E2">
        <w:rPr>
          <w:rFonts w:ascii="Calibri" w:eastAsia="Times New Roman" w:hAnsi="Calibri" w:cs="Calibri"/>
          <w:kern w:val="0"/>
          <w:sz w:val="24"/>
          <w:szCs w:val="24"/>
          <w:lang w:val="en-US" w:eastAsia="en-IN" w:bidi="ar-SA"/>
          <w14:ligatures w14:val="none"/>
        </w:rPr>
        <w:t xml:space="preserve"> E, Kalantar-Zadeh K. Racial and ethnic disparities in the obesity paradox. </w:t>
      </w:r>
      <w:r w:rsidRPr="005D29E2">
        <w:rPr>
          <w:rFonts w:ascii="Calibri" w:eastAsia="Times New Roman" w:hAnsi="Calibri" w:cs="Calibri"/>
          <w:i/>
          <w:iCs/>
          <w:kern w:val="0"/>
          <w:sz w:val="24"/>
          <w:szCs w:val="24"/>
          <w:lang w:val="en-US" w:eastAsia="en-IN" w:bidi="ar-SA"/>
          <w14:ligatures w14:val="none"/>
        </w:rPr>
        <w:t>Am J Kidney Dis.</w:t>
      </w:r>
      <w:r w:rsidRPr="005D29E2">
        <w:rPr>
          <w:rFonts w:ascii="Calibri" w:eastAsia="Times New Roman" w:hAnsi="Calibri" w:cs="Calibri"/>
          <w:kern w:val="0"/>
          <w:sz w:val="24"/>
          <w:szCs w:val="24"/>
          <w:lang w:val="en-US" w:eastAsia="en-IN" w:bidi="ar-SA"/>
          <w14:ligatures w14:val="none"/>
        </w:rPr>
        <w:t xml:space="preserve"> 2018;</w:t>
      </w:r>
      <w:r w:rsidRPr="005D29E2">
        <w:rPr>
          <w:rFonts w:ascii="Calibri" w:eastAsia="Times New Roman" w:hAnsi="Calibri" w:cs="Calibri"/>
          <w:b/>
          <w:bCs/>
          <w:kern w:val="0"/>
          <w:sz w:val="24"/>
          <w:szCs w:val="24"/>
          <w:lang w:val="en-US" w:eastAsia="en-IN" w:bidi="ar-SA"/>
          <w14:ligatures w14:val="none"/>
        </w:rPr>
        <w:t>72</w:t>
      </w:r>
      <w:r w:rsidRPr="005D29E2">
        <w:rPr>
          <w:rFonts w:ascii="Calibri" w:eastAsia="Times New Roman" w:hAnsi="Calibri" w:cs="Calibri"/>
          <w:kern w:val="0"/>
          <w:sz w:val="24"/>
          <w:szCs w:val="24"/>
          <w:lang w:val="en-US" w:eastAsia="en-IN" w:bidi="ar-SA"/>
          <w14:ligatures w14:val="none"/>
        </w:rPr>
        <w:t>(5 Suppl 1</w:t>
      </w:r>
      <w:proofErr w:type="gramStart"/>
      <w:r w:rsidRPr="005D29E2">
        <w:rPr>
          <w:rFonts w:ascii="Calibri" w:eastAsia="Times New Roman" w:hAnsi="Calibri" w:cs="Calibri"/>
          <w:kern w:val="0"/>
          <w:sz w:val="24"/>
          <w:szCs w:val="24"/>
          <w:lang w:val="en-US" w:eastAsia="en-IN" w:bidi="ar-SA"/>
          <w14:ligatures w14:val="none"/>
        </w:rPr>
        <w:t>):S</w:t>
      </w:r>
      <w:proofErr w:type="gramEnd"/>
      <w:r w:rsidRPr="005D29E2">
        <w:rPr>
          <w:rFonts w:ascii="Calibri" w:eastAsia="Times New Roman" w:hAnsi="Calibri" w:cs="Calibri"/>
          <w:kern w:val="0"/>
          <w:sz w:val="24"/>
          <w:szCs w:val="24"/>
          <w:lang w:val="en-US" w:eastAsia="en-IN" w:bidi="ar-SA"/>
          <w14:ligatures w14:val="none"/>
        </w:rPr>
        <w:t xml:space="preserve">26-32. </w:t>
      </w:r>
    </w:p>
    <w:p w14:paraId="1E87687E" w14:textId="419182F7"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proofErr w:type="spellStart"/>
      <w:r w:rsidRPr="005D29E2">
        <w:rPr>
          <w:rFonts w:ascii="Calibri" w:eastAsia="Times New Roman" w:hAnsi="Calibri" w:cs="Calibri"/>
          <w:kern w:val="0"/>
          <w:sz w:val="24"/>
          <w:szCs w:val="24"/>
          <w:lang w:val="en-US" w:eastAsia="en-IN" w:bidi="ar-SA"/>
          <w14:ligatures w14:val="none"/>
        </w:rPr>
        <w:t>Sualeheen</w:t>
      </w:r>
      <w:proofErr w:type="spellEnd"/>
      <w:r w:rsidRPr="005D29E2">
        <w:rPr>
          <w:rFonts w:ascii="Calibri" w:eastAsia="Times New Roman" w:hAnsi="Calibri" w:cs="Calibri"/>
          <w:kern w:val="0"/>
          <w:sz w:val="24"/>
          <w:szCs w:val="24"/>
          <w:lang w:val="en-US" w:eastAsia="en-IN" w:bidi="ar-SA"/>
          <w14:ligatures w14:val="none"/>
        </w:rPr>
        <w:t xml:space="preserve"> A, et al. Benchmarking diet quality to assess nutritional risk in hemodialysis patients: applying adequacy and moderation metrics of the Hemodialysis-Healthy Eating Index. </w:t>
      </w:r>
      <w:r w:rsidRPr="005D29E2">
        <w:rPr>
          <w:rFonts w:ascii="Calibri" w:eastAsia="Times New Roman" w:hAnsi="Calibri" w:cs="Calibri"/>
          <w:i/>
          <w:iCs/>
          <w:kern w:val="0"/>
          <w:sz w:val="24"/>
          <w:szCs w:val="24"/>
          <w:lang w:val="en-US" w:eastAsia="en-IN" w:bidi="ar-SA"/>
          <w14:ligatures w14:val="none"/>
        </w:rPr>
        <w:t>J Ren Nutr.</w:t>
      </w:r>
      <w:r w:rsidRPr="005D29E2">
        <w:rPr>
          <w:rFonts w:ascii="Calibri" w:eastAsia="Times New Roman" w:hAnsi="Calibri" w:cs="Calibri"/>
          <w:kern w:val="0"/>
          <w:sz w:val="24"/>
          <w:szCs w:val="24"/>
          <w:lang w:val="en-US" w:eastAsia="en-IN" w:bidi="ar-SA"/>
          <w14:ligatures w14:val="none"/>
        </w:rPr>
        <w:t xml:space="preserve"> 2022;</w:t>
      </w:r>
      <w:r w:rsidRPr="005D29E2">
        <w:rPr>
          <w:rFonts w:ascii="Calibri" w:eastAsia="Times New Roman" w:hAnsi="Calibri" w:cs="Calibri"/>
          <w:b/>
          <w:bCs/>
          <w:kern w:val="0"/>
          <w:sz w:val="24"/>
          <w:szCs w:val="24"/>
          <w:lang w:val="en-US" w:eastAsia="en-IN" w:bidi="ar-SA"/>
          <w14:ligatures w14:val="none"/>
        </w:rPr>
        <w:t>32</w:t>
      </w:r>
      <w:r w:rsidRPr="005D29E2">
        <w:rPr>
          <w:rFonts w:ascii="Calibri" w:eastAsia="Times New Roman" w:hAnsi="Calibri" w:cs="Calibri"/>
          <w:kern w:val="0"/>
          <w:sz w:val="24"/>
          <w:szCs w:val="24"/>
          <w:lang w:val="en-US" w:eastAsia="en-IN" w:bidi="ar-SA"/>
          <w14:ligatures w14:val="none"/>
        </w:rPr>
        <w:t xml:space="preserve">(6):726-38. </w:t>
      </w:r>
    </w:p>
    <w:p w14:paraId="4BC0602C" w14:textId="3A12D5AE"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proofErr w:type="spellStart"/>
      <w:r w:rsidRPr="005D29E2">
        <w:rPr>
          <w:rFonts w:ascii="Calibri" w:eastAsia="Times New Roman" w:hAnsi="Calibri" w:cs="Calibri"/>
          <w:kern w:val="0"/>
          <w:sz w:val="24"/>
          <w:szCs w:val="24"/>
          <w:lang w:val="en-US" w:eastAsia="en-IN" w:bidi="ar-SA"/>
          <w14:ligatures w14:val="none"/>
        </w:rPr>
        <w:t>Bilney</w:t>
      </w:r>
      <w:proofErr w:type="spellEnd"/>
      <w:r w:rsidRPr="005D29E2">
        <w:rPr>
          <w:rFonts w:ascii="Calibri" w:eastAsia="Times New Roman" w:hAnsi="Calibri" w:cs="Calibri"/>
          <w:kern w:val="0"/>
          <w:sz w:val="24"/>
          <w:szCs w:val="24"/>
          <w:lang w:val="en-US" w:eastAsia="en-IN" w:bidi="ar-SA"/>
          <w14:ligatures w14:val="none"/>
        </w:rPr>
        <w:t xml:space="preserve"> EVM, et al. Applying intersectionality theory to health outcomes and healthcare </w:t>
      </w:r>
      <w:proofErr w:type="spellStart"/>
      <w:r w:rsidRPr="005D29E2">
        <w:rPr>
          <w:rFonts w:ascii="Calibri" w:eastAsia="Times New Roman" w:hAnsi="Calibri" w:cs="Calibri"/>
          <w:kern w:val="0"/>
          <w:sz w:val="24"/>
          <w:szCs w:val="24"/>
          <w:lang w:val="en-US" w:eastAsia="en-IN" w:bidi="ar-SA"/>
          <w14:ligatures w14:val="none"/>
        </w:rPr>
        <w:t>utilisation</w:t>
      </w:r>
      <w:proofErr w:type="spellEnd"/>
      <w:r w:rsidRPr="005D29E2">
        <w:rPr>
          <w:rFonts w:ascii="Calibri" w:eastAsia="Times New Roman" w:hAnsi="Calibri" w:cs="Calibri"/>
          <w:kern w:val="0"/>
          <w:sz w:val="24"/>
          <w:szCs w:val="24"/>
          <w:lang w:val="en-US" w:eastAsia="en-IN" w:bidi="ar-SA"/>
          <w14:ligatures w14:val="none"/>
        </w:rPr>
        <w:t xml:space="preserve"> of ethnic minority populations: a systematic review protocol. </w:t>
      </w:r>
      <w:r w:rsidRPr="005D29E2">
        <w:rPr>
          <w:rFonts w:ascii="Calibri" w:eastAsia="Times New Roman" w:hAnsi="Calibri" w:cs="Calibri"/>
          <w:i/>
          <w:iCs/>
          <w:kern w:val="0"/>
          <w:sz w:val="24"/>
          <w:szCs w:val="24"/>
          <w:lang w:val="en-US" w:eastAsia="en-IN" w:bidi="ar-SA"/>
          <w14:ligatures w14:val="none"/>
        </w:rPr>
        <w:t>BMJ Open.</w:t>
      </w:r>
      <w:r w:rsidRPr="005D29E2">
        <w:rPr>
          <w:rFonts w:ascii="Calibri" w:eastAsia="Times New Roman" w:hAnsi="Calibri" w:cs="Calibri"/>
          <w:kern w:val="0"/>
          <w:sz w:val="24"/>
          <w:szCs w:val="24"/>
          <w:lang w:val="en-US" w:eastAsia="en-IN" w:bidi="ar-SA"/>
          <w14:ligatures w14:val="none"/>
        </w:rPr>
        <w:t xml:space="preserve"> 2026;</w:t>
      </w:r>
      <w:r w:rsidRPr="005D29E2">
        <w:rPr>
          <w:rFonts w:ascii="Calibri" w:eastAsia="Times New Roman" w:hAnsi="Calibri" w:cs="Calibri"/>
          <w:b/>
          <w:bCs/>
          <w:kern w:val="0"/>
          <w:sz w:val="24"/>
          <w:szCs w:val="24"/>
          <w:lang w:val="en-US" w:eastAsia="en-IN" w:bidi="ar-SA"/>
          <w14:ligatures w14:val="none"/>
        </w:rPr>
        <w:t>16</w:t>
      </w:r>
      <w:r w:rsidRPr="005D29E2">
        <w:rPr>
          <w:rFonts w:ascii="Calibri" w:eastAsia="Times New Roman" w:hAnsi="Calibri" w:cs="Calibri"/>
          <w:kern w:val="0"/>
          <w:sz w:val="24"/>
          <w:szCs w:val="24"/>
          <w:lang w:val="en-US" w:eastAsia="en-IN" w:bidi="ar-SA"/>
          <w14:ligatures w14:val="none"/>
        </w:rPr>
        <w:t>(5</w:t>
      </w:r>
      <w:proofErr w:type="gramStart"/>
      <w:r w:rsidRPr="005D29E2">
        <w:rPr>
          <w:rFonts w:ascii="Calibri" w:eastAsia="Times New Roman" w:hAnsi="Calibri" w:cs="Calibri"/>
          <w:kern w:val="0"/>
          <w:sz w:val="24"/>
          <w:szCs w:val="24"/>
          <w:lang w:val="en-US" w:eastAsia="en-IN" w:bidi="ar-SA"/>
          <w14:ligatures w14:val="none"/>
        </w:rPr>
        <w:t>):e</w:t>
      </w:r>
      <w:proofErr w:type="gramEnd"/>
      <w:r w:rsidRPr="005D29E2">
        <w:rPr>
          <w:rFonts w:ascii="Calibri" w:eastAsia="Times New Roman" w:hAnsi="Calibri" w:cs="Calibri"/>
          <w:kern w:val="0"/>
          <w:sz w:val="24"/>
          <w:szCs w:val="24"/>
          <w:lang w:val="en-US" w:eastAsia="en-IN" w:bidi="ar-SA"/>
          <w14:ligatures w14:val="none"/>
        </w:rPr>
        <w:t xml:space="preserve">117588. </w:t>
      </w:r>
    </w:p>
    <w:p w14:paraId="2E364CE1" w14:textId="2F1E33BE"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Treister-</w:t>
      </w:r>
      <w:proofErr w:type="spellStart"/>
      <w:r w:rsidRPr="005D29E2">
        <w:rPr>
          <w:rFonts w:ascii="Calibri" w:eastAsia="Times New Roman" w:hAnsi="Calibri" w:cs="Calibri"/>
          <w:kern w:val="0"/>
          <w:sz w:val="24"/>
          <w:szCs w:val="24"/>
          <w:lang w:val="en-US" w:eastAsia="en-IN" w:bidi="ar-SA"/>
          <w14:ligatures w14:val="none"/>
        </w:rPr>
        <w:t>Goltzman</w:t>
      </w:r>
      <w:proofErr w:type="spellEnd"/>
      <w:r w:rsidRPr="005D29E2">
        <w:rPr>
          <w:rFonts w:ascii="Calibri" w:eastAsia="Times New Roman" w:hAnsi="Calibri" w:cs="Calibri"/>
          <w:kern w:val="0"/>
          <w:sz w:val="24"/>
          <w:szCs w:val="24"/>
          <w:lang w:val="en-US" w:eastAsia="en-IN" w:bidi="ar-SA"/>
          <w14:ligatures w14:val="none"/>
        </w:rPr>
        <w:t xml:space="preserve"> Y. Late-adolescent weight categories and early kidney disease in young adulthood: a nationwide study of Arab and Jewish Israelis. </w:t>
      </w:r>
      <w:proofErr w:type="spellStart"/>
      <w:r w:rsidRPr="005D29E2">
        <w:rPr>
          <w:rFonts w:ascii="Calibri" w:eastAsia="Times New Roman" w:hAnsi="Calibri" w:cs="Calibri"/>
          <w:i/>
          <w:iCs/>
          <w:kern w:val="0"/>
          <w:sz w:val="24"/>
          <w:szCs w:val="24"/>
          <w:lang w:val="en-US" w:eastAsia="en-IN" w:bidi="ar-SA"/>
          <w14:ligatures w14:val="none"/>
        </w:rPr>
        <w:t>Pediatr</w:t>
      </w:r>
      <w:proofErr w:type="spellEnd"/>
      <w:r w:rsidRPr="005D29E2">
        <w:rPr>
          <w:rFonts w:ascii="Calibri" w:eastAsia="Times New Roman" w:hAnsi="Calibri" w:cs="Calibri"/>
          <w:i/>
          <w:iCs/>
          <w:kern w:val="0"/>
          <w:sz w:val="24"/>
          <w:szCs w:val="24"/>
          <w:lang w:val="en-US" w:eastAsia="en-IN" w:bidi="ar-SA"/>
          <w14:ligatures w14:val="none"/>
        </w:rPr>
        <w:t xml:space="preserve"> Nephrol.</w:t>
      </w:r>
      <w:r w:rsidRPr="005D29E2">
        <w:rPr>
          <w:rFonts w:ascii="Calibri" w:eastAsia="Times New Roman" w:hAnsi="Calibri" w:cs="Calibri"/>
          <w:kern w:val="0"/>
          <w:sz w:val="24"/>
          <w:szCs w:val="24"/>
          <w:lang w:val="en-US" w:eastAsia="en-IN" w:bidi="ar-SA"/>
          <w14:ligatures w14:val="none"/>
        </w:rPr>
        <w:t xml:space="preserve"> 2026;</w:t>
      </w:r>
      <w:r w:rsidRPr="005D29E2">
        <w:rPr>
          <w:rFonts w:ascii="Calibri" w:eastAsia="Times New Roman" w:hAnsi="Calibri" w:cs="Calibri"/>
          <w:b/>
          <w:bCs/>
          <w:kern w:val="0"/>
          <w:sz w:val="24"/>
          <w:szCs w:val="24"/>
          <w:lang w:val="en-US" w:eastAsia="en-IN" w:bidi="ar-SA"/>
          <w14:ligatures w14:val="none"/>
        </w:rPr>
        <w:t>41</w:t>
      </w:r>
      <w:r w:rsidRPr="005D29E2">
        <w:rPr>
          <w:rFonts w:ascii="Calibri" w:eastAsia="Times New Roman" w:hAnsi="Calibri" w:cs="Calibri"/>
          <w:kern w:val="0"/>
          <w:sz w:val="24"/>
          <w:szCs w:val="24"/>
          <w:lang w:val="en-US" w:eastAsia="en-IN" w:bidi="ar-SA"/>
          <w14:ligatures w14:val="none"/>
        </w:rPr>
        <w:t xml:space="preserve">(7):2131-43. </w:t>
      </w:r>
    </w:p>
    <w:p w14:paraId="743025DB" w14:textId="41CC2F83"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465AA7">
        <w:rPr>
          <w:rFonts w:ascii="Calibri" w:eastAsia="Times New Roman" w:hAnsi="Calibri" w:cs="Calibri"/>
          <w:kern w:val="0"/>
          <w:sz w:val="24"/>
          <w:szCs w:val="24"/>
          <w:lang w:val="de-DE" w:eastAsia="en-IN" w:bidi="ar-SA"/>
          <w14:ligatures w14:val="none"/>
        </w:rPr>
        <w:t xml:space="preserve">Kalantar-Zadeh K, et al. </w:t>
      </w:r>
      <w:r w:rsidRPr="005D29E2">
        <w:rPr>
          <w:rFonts w:ascii="Calibri" w:eastAsia="Times New Roman" w:hAnsi="Calibri" w:cs="Calibri"/>
          <w:kern w:val="0"/>
          <w:sz w:val="24"/>
          <w:szCs w:val="24"/>
          <w:lang w:val="en-US" w:eastAsia="en-IN" w:bidi="ar-SA"/>
          <w14:ligatures w14:val="none"/>
        </w:rPr>
        <w:t xml:space="preserve">Survival disparities within American and Israeli dialysis populations: learning from similarities and distinctions across race and ethnicity. </w:t>
      </w:r>
      <w:r w:rsidRPr="005D29E2">
        <w:rPr>
          <w:rFonts w:ascii="Calibri" w:eastAsia="Times New Roman" w:hAnsi="Calibri" w:cs="Calibri"/>
          <w:i/>
          <w:iCs/>
          <w:kern w:val="0"/>
          <w:sz w:val="24"/>
          <w:szCs w:val="24"/>
          <w:lang w:val="en-US" w:eastAsia="en-IN" w:bidi="ar-SA"/>
          <w14:ligatures w14:val="none"/>
        </w:rPr>
        <w:t>Semin Dial.</w:t>
      </w:r>
      <w:r w:rsidRPr="005D29E2">
        <w:rPr>
          <w:rFonts w:ascii="Calibri" w:eastAsia="Times New Roman" w:hAnsi="Calibri" w:cs="Calibri"/>
          <w:kern w:val="0"/>
          <w:sz w:val="24"/>
          <w:szCs w:val="24"/>
          <w:lang w:val="en-US" w:eastAsia="en-IN" w:bidi="ar-SA"/>
          <w14:ligatures w14:val="none"/>
        </w:rPr>
        <w:t xml:space="preserve"> 2010;</w:t>
      </w:r>
      <w:r w:rsidRPr="005D29E2">
        <w:rPr>
          <w:rFonts w:ascii="Calibri" w:eastAsia="Times New Roman" w:hAnsi="Calibri" w:cs="Calibri"/>
          <w:b/>
          <w:bCs/>
          <w:kern w:val="0"/>
          <w:sz w:val="24"/>
          <w:szCs w:val="24"/>
          <w:lang w:val="en-US" w:eastAsia="en-IN" w:bidi="ar-SA"/>
          <w14:ligatures w14:val="none"/>
        </w:rPr>
        <w:t>23</w:t>
      </w:r>
      <w:r w:rsidRPr="005D29E2">
        <w:rPr>
          <w:rFonts w:ascii="Calibri" w:eastAsia="Times New Roman" w:hAnsi="Calibri" w:cs="Calibri"/>
          <w:kern w:val="0"/>
          <w:sz w:val="24"/>
          <w:szCs w:val="24"/>
          <w:lang w:val="en-US" w:eastAsia="en-IN" w:bidi="ar-SA"/>
          <w14:ligatures w14:val="none"/>
        </w:rPr>
        <w:t xml:space="preserve">(6):586-94. </w:t>
      </w:r>
    </w:p>
    <w:p w14:paraId="762945C1" w14:textId="2AE865B6"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465AA7">
        <w:rPr>
          <w:rFonts w:ascii="Calibri" w:eastAsia="Times New Roman" w:hAnsi="Calibri" w:cs="Calibri"/>
          <w:kern w:val="0"/>
          <w:sz w:val="24"/>
          <w:szCs w:val="24"/>
          <w:lang w:val="de-DE" w:eastAsia="en-IN" w:bidi="ar-SA"/>
          <w14:ligatures w14:val="none"/>
        </w:rPr>
        <w:t xml:space="preserve">Keinan-Boker L, et al. </w:t>
      </w:r>
      <w:r w:rsidRPr="005D29E2">
        <w:rPr>
          <w:rFonts w:ascii="Calibri" w:eastAsia="Times New Roman" w:hAnsi="Calibri" w:cs="Calibri"/>
          <w:i/>
          <w:iCs/>
          <w:kern w:val="0"/>
          <w:sz w:val="24"/>
          <w:szCs w:val="24"/>
          <w:lang w:val="en-US" w:eastAsia="en-IN" w:bidi="ar-SA"/>
          <w14:ligatures w14:val="none"/>
        </w:rPr>
        <w:t>Rav Mabat Adult: Second National Health and Nutrition Survey, Ages 18-64, 2014-2016.</w:t>
      </w:r>
      <w:r w:rsidRPr="005D29E2">
        <w:rPr>
          <w:rFonts w:ascii="Calibri" w:eastAsia="Times New Roman" w:hAnsi="Calibri" w:cs="Calibri"/>
          <w:kern w:val="0"/>
          <w:sz w:val="24"/>
          <w:szCs w:val="24"/>
          <w:lang w:val="en-US" w:eastAsia="en-IN" w:bidi="ar-SA"/>
          <w14:ligatures w14:val="none"/>
        </w:rPr>
        <w:t xml:space="preserve"> Israel Center for Disease Control, Ministry of Health; Israel; 2019. Publication No. 383. </w:t>
      </w:r>
    </w:p>
    <w:p w14:paraId="2865FF6A" w14:textId="0123E4E7"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Boaz M, et al. Malnutrition risk in hemodialysis patients in Israel: results of the Status of Nutrition </w:t>
      </w:r>
      <w:proofErr w:type="gramStart"/>
      <w:r w:rsidRPr="005D29E2">
        <w:rPr>
          <w:rFonts w:ascii="Calibri" w:eastAsia="Times New Roman" w:hAnsi="Calibri" w:cs="Calibri"/>
          <w:kern w:val="0"/>
          <w:sz w:val="24"/>
          <w:szCs w:val="24"/>
          <w:lang w:val="en-US" w:eastAsia="en-IN" w:bidi="ar-SA"/>
          <w14:ligatures w14:val="none"/>
        </w:rPr>
        <w:t>In</w:t>
      </w:r>
      <w:proofErr w:type="gramEnd"/>
      <w:r w:rsidRPr="005D29E2">
        <w:rPr>
          <w:rFonts w:ascii="Calibri" w:eastAsia="Times New Roman" w:hAnsi="Calibri" w:cs="Calibri"/>
          <w:kern w:val="0"/>
          <w:sz w:val="24"/>
          <w:szCs w:val="24"/>
          <w:lang w:val="en-US" w:eastAsia="en-IN" w:bidi="ar-SA"/>
          <w14:ligatures w14:val="none"/>
        </w:rPr>
        <w:t xml:space="preserve"> Hemodialysis Patients Survey Study. </w:t>
      </w:r>
      <w:r w:rsidRPr="005D29E2">
        <w:rPr>
          <w:rFonts w:ascii="Calibri" w:eastAsia="Times New Roman" w:hAnsi="Calibri" w:cs="Calibri"/>
          <w:i/>
          <w:iCs/>
          <w:kern w:val="0"/>
          <w:sz w:val="24"/>
          <w:szCs w:val="24"/>
          <w:lang w:val="en-US" w:eastAsia="en-IN" w:bidi="ar-SA"/>
          <w14:ligatures w14:val="none"/>
        </w:rPr>
        <w:t>Nephron.</w:t>
      </w:r>
      <w:r w:rsidRPr="005D29E2">
        <w:rPr>
          <w:rFonts w:ascii="Calibri" w:eastAsia="Times New Roman" w:hAnsi="Calibri" w:cs="Calibri"/>
          <w:kern w:val="0"/>
          <w:sz w:val="24"/>
          <w:szCs w:val="24"/>
          <w:lang w:val="en-US" w:eastAsia="en-IN" w:bidi="ar-SA"/>
          <w14:ligatures w14:val="none"/>
        </w:rPr>
        <w:t xml:space="preserve"> 2019;</w:t>
      </w:r>
      <w:r w:rsidRPr="005D29E2">
        <w:rPr>
          <w:rFonts w:ascii="Calibri" w:eastAsia="Times New Roman" w:hAnsi="Calibri" w:cs="Calibri"/>
          <w:b/>
          <w:bCs/>
          <w:kern w:val="0"/>
          <w:sz w:val="24"/>
          <w:szCs w:val="24"/>
          <w:lang w:val="en-US" w:eastAsia="en-IN" w:bidi="ar-SA"/>
          <w14:ligatures w14:val="none"/>
        </w:rPr>
        <w:t>141</w:t>
      </w:r>
      <w:r w:rsidRPr="005D29E2">
        <w:rPr>
          <w:rFonts w:ascii="Calibri" w:eastAsia="Times New Roman" w:hAnsi="Calibri" w:cs="Calibri"/>
          <w:kern w:val="0"/>
          <w:sz w:val="24"/>
          <w:szCs w:val="24"/>
          <w:lang w:val="en-US" w:eastAsia="en-IN" w:bidi="ar-SA"/>
          <w14:ligatures w14:val="none"/>
        </w:rPr>
        <w:t xml:space="preserve">(3):166-76. </w:t>
      </w:r>
    </w:p>
    <w:p w14:paraId="6C045A8D" w14:textId="41F6A20A"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lastRenderedPageBreak/>
        <w:t xml:space="preserve">Boaz M, Kaufman-Shriqui V, Azoulay O, Weinstein T. Status of Nutrition in Hemodialysis Patients Survey (SNIPS): nutrition intake in obese and overweight vs. healthy weight patients. </w:t>
      </w:r>
      <w:r w:rsidRPr="005D29E2">
        <w:rPr>
          <w:rFonts w:ascii="Calibri" w:eastAsia="Times New Roman" w:hAnsi="Calibri" w:cs="Calibri"/>
          <w:i/>
          <w:iCs/>
          <w:kern w:val="0"/>
          <w:sz w:val="24"/>
          <w:szCs w:val="24"/>
          <w:lang w:val="en-US" w:eastAsia="en-IN" w:bidi="ar-SA"/>
          <w14:ligatures w14:val="none"/>
        </w:rPr>
        <w:t>Life (Basel).</w:t>
      </w:r>
      <w:r w:rsidRPr="005D29E2">
        <w:rPr>
          <w:rFonts w:ascii="Calibri" w:eastAsia="Times New Roman" w:hAnsi="Calibri" w:cs="Calibri"/>
          <w:kern w:val="0"/>
          <w:sz w:val="24"/>
          <w:szCs w:val="24"/>
          <w:lang w:val="en-US" w:eastAsia="en-IN" w:bidi="ar-SA"/>
          <w14:ligatures w14:val="none"/>
        </w:rPr>
        <w:t xml:space="preserve"> 2021;</w:t>
      </w:r>
      <w:r w:rsidRPr="005D29E2">
        <w:rPr>
          <w:rFonts w:ascii="Calibri" w:eastAsia="Times New Roman" w:hAnsi="Calibri" w:cs="Calibri"/>
          <w:b/>
          <w:bCs/>
          <w:kern w:val="0"/>
          <w:sz w:val="24"/>
          <w:szCs w:val="24"/>
          <w:lang w:val="en-US" w:eastAsia="en-IN" w:bidi="ar-SA"/>
          <w14:ligatures w14:val="none"/>
        </w:rPr>
        <w:t>11</w:t>
      </w:r>
      <w:r w:rsidRPr="005D29E2">
        <w:rPr>
          <w:rFonts w:ascii="Calibri" w:eastAsia="Times New Roman" w:hAnsi="Calibri" w:cs="Calibri"/>
          <w:kern w:val="0"/>
          <w:sz w:val="24"/>
          <w:szCs w:val="24"/>
          <w:lang w:val="en-US" w:eastAsia="en-IN" w:bidi="ar-SA"/>
          <w14:ligatures w14:val="none"/>
        </w:rPr>
        <w:t xml:space="preserve">(2):166. </w:t>
      </w:r>
    </w:p>
    <w:p w14:paraId="7E12B347" w14:textId="4755AC7C"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Bonner M, Wright D. </w:t>
      </w:r>
      <w:r w:rsidRPr="005D29E2">
        <w:rPr>
          <w:rFonts w:ascii="Calibri" w:eastAsia="Times New Roman" w:hAnsi="Calibri" w:cs="Calibri"/>
          <w:i/>
          <w:iCs/>
          <w:kern w:val="0"/>
          <w:sz w:val="24"/>
          <w:szCs w:val="24"/>
          <w:lang w:val="en-US" w:eastAsia="en-IN" w:bidi="ar-SA"/>
          <w14:ligatures w14:val="none"/>
        </w:rPr>
        <w:t>Practical Pharmaceutical Calculations.</w:t>
      </w:r>
      <w:r w:rsidRPr="005D29E2">
        <w:rPr>
          <w:rFonts w:ascii="Calibri" w:eastAsia="Times New Roman" w:hAnsi="Calibri" w:cs="Calibri"/>
          <w:kern w:val="0"/>
          <w:sz w:val="24"/>
          <w:szCs w:val="24"/>
          <w:lang w:val="en-US" w:eastAsia="en-IN" w:bidi="ar-SA"/>
          <w14:ligatures w14:val="none"/>
        </w:rPr>
        <w:t xml:space="preserve"> Routledge; London; 2017. </w:t>
      </w:r>
    </w:p>
    <w:p w14:paraId="2E74A5E7" w14:textId="28587D49"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465AA7">
        <w:rPr>
          <w:rFonts w:ascii="Calibri" w:eastAsia="Times New Roman" w:hAnsi="Calibri" w:cs="Calibri"/>
          <w:kern w:val="0"/>
          <w:sz w:val="24"/>
          <w:szCs w:val="24"/>
          <w:lang w:val="de-DE" w:eastAsia="en-IN" w:bidi="ar-SA"/>
          <w14:ligatures w14:val="none"/>
        </w:rPr>
        <w:t xml:space="preserve">Cohen-Hagai K, et al. </w:t>
      </w:r>
      <w:r w:rsidRPr="005D29E2">
        <w:rPr>
          <w:rFonts w:ascii="Calibri" w:eastAsia="Times New Roman" w:hAnsi="Calibri" w:cs="Calibri"/>
          <w:kern w:val="0"/>
          <w:sz w:val="24"/>
          <w:szCs w:val="24"/>
          <w:lang w:val="en-US" w:eastAsia="en-IN" w:bidi="ar-SA"/>
          <w14:ligatures w14:val="none"/>
        </w:rPr>
        <w:t xml:space="preserve">Ethnicity, patient satisfaction, and clinical outcomes among Israeli dialysis recipients. </w:t>
      </w:r>
      <w:r w:rsidRPr="005D29E2">
        <w:rPr>
          <w:rFonts w:ascii="Calibri" w:eastAsia="Times New Roman" w:hAnsi="Calibri" w:cs="Calibri"/>
          <w:i/>
          <w:iCs/>
          <w:kern w:val="0"/>
          <w:sz w:val="24"/>
          <w:szCs w:val="24"/>
          <w:lang w:val="en-US" w:eastAsia="en-IN" w:bidi="ar-SA"/>
          <w14:ligatures w14:val="none"/>
        </w:rPr>
        <w:t>Kidney360.</w:t>
      </w:r>
      <w:r w:rsidRPr="005D29E2">
        <w:rPr>
          <w:rFonts w:ascii="Calibri" w:eastAsia="Times New Roman" w:hAnsi="Calibri" w:cs="Calibri"/>
          <w:kern w:val="0"/>
          <w:sz w:val="24"/>
          <w:szCs w:val="24"/>
          <w:lang w:val="en-US" w:eastAsia="en-IN" w:bidi="ar-SA"/>
          <w14:ligatures w14:val="none"/>
        </w:rPr>
        <w:t xml:space="preserve"> 2025;</w:t>
      </w:r>
      <w:r w:rsidRPr="005D29E2">
        <w:rPr>
          <w:rFonts w:ascii="Calibri" w:eastAsia="Times New Roman" w:hAnsi="Calibri" w:cs="Calibri"/>
          <w:b/>
          <w:bCs/>
          <w:kern w:val="0"/>
          <w:sz w:val="24"/>
          <w:szCs w:val="24"/>
          <w:lang w:val="en-US" w:eastAsia="en-IN" w:bidi="ar-SA"/>
          <w14:ligatures w14:val="none"/>
        </w:rPr>
        <w:t>6</w:t>
      </w:r>
      <w:r w:rsidRPr="005D29E2">
        <w:rPr>
          <w:rFonts w:ascii="Calibri" w:eastAsia="Times New Roman" w:hAnsi="Calibri" w:cs="Calibri"/>
          <w:kern w:val="0"/>
          <w:sz w:val="24"/>
          <w:szCs w:val="24"/>
          <w:lang w:val="en-US" w:eastAsia="en-IN" w:bidi="ar-SA"/>
          <w14:ligatures w14:val="none"/>
        </w:rPr>
        <w:t xml:space="preserve">(6):968-74. </w:t>
      </w:r>
    </w:p>
    <w:p w14:paraId="4C0D532D" w14:textId="26F41CB6"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Ali HI, et al. The role of outcome expectancies and social support in adherence to nutrition counseling: perspectives of Emirati adults with diabetes. </w:t>
      </w:r>
      <w:r w:rsidRPr="005D29E2">
        <w:rPr>
          <w:rFonts w:ascii="Calibri" w:eastAsia="Times New Roman" w:hAnsi="Calibri" w:cs="Calibri"/>
          <w:i/>
          <w:iCs/>
          <w:kern w:val="0"/>
          <w:sz w:val="24"/>
          <w:szCs w:val="24"/>
          <w:lang w:val="en-US" w:eastAsia="en-IN" w:bidi="ar-SA"/>
          <w14:ligatures w14:val="none"/>
        </w:rPr>
        <w:t>Front Public Health.</w:t>
      </w:r>
      <w:r w:rsidRPr="005D29E2">
        <w:rPr>
          <w:rFonts w:ascii="Calibri" w:eastAsia="Times New Roman" w:hAnsi="Calibri" w:cs="Calibri"/>
          <w:kern w:val="0"/>
          <w:sz w:val="24"/>
          <w:szCs w:val="24"/>
          <w:lang w:val="en-US" w:eastAsia="en-IN" w:bidi="ar-SA"/>
          <w14:ligatures w14:val="none"/>
        </w:rPr>
        <w:t xml:space="preserve"> </w:t>
      </w:r>
      <w:proofErr w:type="gramStart"/>
      <w:r w:rsidRPr="005D29E2">
        <w:rPr>
          <w:rFonts w:ascii="Calibri" w:eastAsia="Times New Roman" w:hAnsi="Calibri" w:cs="Calibri"/>
          <w:kern w:val="0"/>
          <w:sz w:val="24"/>
          <w:szCs w:val="24"/>
          <w:lang w:val="en-US" w:eastAsia="en-IN" w:bidi="ar-SA"/>
          <w14:ligatures w14:val="none"/>
        </w:rPr>
        <w:t>2026;</w:t>
      </w:r>
      <w:r w:rsidRPr="005D29E2">
        <w:rPr>
          <w:rFonts w:ascii="Calibri" w:eastAsia="Times New Roman" w:hAnsi="Calibri" w:cs="Calibri"/>
          <w:b/>
          <w:bCs/>
          <w:kern w:val="0"/>
          <w:sz w:val="24"/>
          <w:szCs w:val="24"/>
          <w:lang w:val="en-US" w:eastAsia="en-IN" w:bidi="ar-SA"/>
          <w14:ligatures w14:val="none"/>
        </w:rPr>
        <w:t>14</w:t>
      </w:r>
      <w:r w:rsidRPr="005D29E2">
        <w:rPr>
          <w:rFonts w:ascii="Calibri" w:eastAsia="Times New Roman" w:hAnsi="Calibri" w:cs="Calibri"/>
          <w:kern w:val="0"/>
          <w:sz w:val="24"/>
          <w:szCs w:val="24"/>
          <w:lang w:val="en-US" w:eastAsia="en-IN" w:bidi="ar-SA"/>
          <w14:ligatures w14:val="none"/>
        </w:rPr>
        <w:t>:1805632</w:t>
      </w:r>
      <w:proofErr w:type="gramEnd"/>
      <w:r w:rsidRPr="005D29E2">
        <w:rPr>
          <w:rFonts w:ascii="Calibri" w:eastAsia="Times New Roman" w:hAnsi="Calibri" w:cs="Calibri"/>
          <w:kern w:val="0"/>
          <w:sz w:val="24"/>
          <w:szCs w:val="24"/>
          <w:lang w:val="en-US" w:eastAsia="en-IN" w:bidi="ar-SA"/>
          <w14:ligatures w14:val="none"/>
        </w:rPr>
        <w:t xml:space="preserve">. </w:t>
      </w:r>
    </w:p>
    <w:p w14:paraId="363CD165" w14:textId="6D81B498"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Tyson CC, et al. Self-perceived barriers and facilitators to Dietary Approaches to Stop Hypertension diet adherence among Black Americans with chronic kidney disease: a qualitative study. </w:t>
      </w:r>
      <w:r w:rsidRPr="005D29E2">
        <w:rPr>
          <w:rFonts w:ascii="Calibri" w:eastAsia="Times New Roman" w:hAnsi="Calibri" w:cs="Calibri"/>
          <w:i/>
          <w:iCs/>
          <w:kern w:val="0"/>
          <w:sz w:val="24"/>
          <w:szCs w:val="24"/>
          <w:lang w:val="en-US" w:eastAsia="en-IN" w:bidi="ar-SA"/>
          <w14:ligatures w14:val="none"/>
        </w:rPr>
        <w:t>J Ren Nutr.</w:t>
      </w:r>
      <w:r w:rsidRPr="005D29E2">
        <w:rPr>
          <w:rFonts w:ascii="Calibri" w:eastAsia="Times New Roman" w:hAnsi="Calibri" w:cs="Calibri"/>
          <w:kern w:val="0"/>
          <w:sz w:val="24"/>
          <w:szCs w:val="24"/>
          <w:lang w:val="en-US" w:eastAsia="en-IN" w:bidi="ar-SA"/>
          <w14:ligatures w14:val="none"/>
        </w:rPr>
        <w:t xml:space="preserve"> 2023;</w:t>
      </w:r>
      <w:r w:rsidRPr="005D29E2">
        <w:rPr>
          <w:rFonts w:ascii="Calibri" w:eastAsia="Times New Roman" w:hAnsi="Calibri" w:cs="Calibri"/>
          <w:b/>
          <w:bCs/>
          <w:kern w:val="0"/>
          <w:sz w:val="24"/>
          <w:szCs w:val="24"/>
          <w:lang w:val="en-US" w:eastAsia="en-IN" w:bidi="ar-SA"/>
          <w14:ligatures w14:val="none"/>
        </w:rPr>
        <w:t>33</w:t>
      </w:r>
      <w:r w:rsidRPr="005D29E2">
        <w:rPr>
          <w:rFonts w:ascii="Calibri" w:eastAsia="Times New Roman" w:hAnsi="Calibri" w:cs="Calibri"/>
          <w:kern w:val="0"/>
          <w:sz w:val="24"/>
          <w:szCs w:val="24"/>
          <w:lang w:val="en-US" w:eastAsia="en-IN" w:bidi="ar-SA"/>
          <w14:ligatures w14:val="none"/>
        </w:rPr>
        <w:t xml:space="preserve">(1):59-68. </w:t>
      </w:r>
    </w:p>
    <w:p w14:paraId="5639E6AF" w14:textId="04816804"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Peleg O. The relationship between type 2 diabetes, differentiation of self, and emotional distress: Jews and Arabs in Israel. </w:t>
      </w:r>
      <w:r w:rsidRPr="005D29E2">
        <w:rPr>
          <w:rFonts w:ascii="Calibri" w:eastAsia="Times New Roman" w:hAnsi="Calibri" w:cs="Calibri"/>
          <w:i/>
          <w:iCs/>
          <w:kern w:val="0"/>
          <w:sz w:val="24"/>
          <w:szCs w:val="24"/>
          <w:lang w:val="en-US" w:eastAsia="en-IN" w:bidi="ar-SA"/>
          <w14:ligatures w14:val="none"/>
        </w:rPr>
        <w:t>Nutrients.</w:t>
      </w:r>
      <w:r w:rsidRPr="005D29E2">
        <w:rPr>
          <w:rFonts w:ascii="Calibri" w:eastAsia="Times New Roman" w:hAnsi="Calibri" w:cs="Calibri"/>
          <w:kern w:val="0"/>
          <w:sz w:val="24"/>
          <w:szCs w:val="24"/>
          <w:lang w:val="en-US" w:eastAsia="en-IN" w:bidi="ar-SA"/>
          <w14:ligatures w14:val="none"/>
        </w:rPr>
        <w:t xml:space="preserve"> 2022;</w:t>
      </w:r>
      <w:r w:rsidRPr="005D29E2">
        <w:rPr>
          <w:rFonts w:ascii="Calibri" w:eastAsia="Times New Roman" w:hAnsi="Calibri" w:cs="Calibri"/>
          <w:b/>
          <w:bCs/>
          <w:kern w:val="0"/>
          <w:sz w:val="24"/>
          <w:szCs w:val="24"/>
          <w:lang w:val="en-US" w:eastAsia="en-IN" w:bidi="ar-SA"/>
          <w14:ligatures w14:val="none"/>
        </w:rPr>
        <w:t>14</w:t>
      </w:r>
      <w:r w:rsidRPr="005D29E2">
        <w:rPr>
          <w:rFonts w:ascii="Calibri" w:eastAsia="Times New Roman" w:hAnsi="Calibri" w:cs="Calibri"/>
          <w:kern w:val="0"/>
          <w:sz w:val="24"/>
          <w:szCs w:val="24"/>
          <w:lang w:val="en-US" w:eastAsia="en-IN" w:bidi="ar-SA"/>
          <w14:ligatures w14:val="none"/>
        </w:rPr>
        <w:t xml:space="preserve">(1):39. </w:t>
      </w:r>
    </w:p>
    <w:p w14:paraId="06539CFF" w14:textId="1CCE13AA"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Abu-</w:t>
      </w:r>
      <w:proofErr w:type="spellStart"/>
      <w:r w:rsidRPr="005D29E2">
        <w:rPr>
          <w:rFonts w:ascii="Calibri" w:eastAsia="Times New Roman" w:hAnsi="Calibri" w:cs="Calibri"/>
          <w:kern w:val="0"/>
          <w:sz w:val="24"/>
          <w:szCs w:val="24"/>
          <w:lang w:val="en-US" w:eastAsia="en-IN" w:bidi="ar-SA"/>
          <w14:ligatures w14:val="none"/>
        </w:rPr>
        <w:t>Freha</w:t>
      </w:r>
      <w:proofErr w:type="spellEnd"/>
      <w:r w:rsidRPr="005D29E2">
        <w:rPr>
          <w:rFonts w:ascii="Calibri" w:eastAsia="Times New Roman" w:hAnsi="Calibri" w:cs="Calibri"/>
          <w:kern w:val="0"/>
          <w:sz w:val="24"/>
          <w:szCs w:val="24"/>
          <w:lang w:val="en-US" w:eastAsia="en-IN" w:bidi="ar-SA"/>
          <w14:ligatures w14:val="none"/>
        </w:rPr>
        <w:t xml:space="preserve"> N, et al. Ethnic disparities in chronic diseases: comparison between Arabs and Jews in Israel. </w:t>
      </w:r>
      <w:proofErr w:type="spellStart"/>
      <w:r w:rsidRPr="005D29E2">
        <w:rPr>
          <w:rFonts w:ascii="Calibri" w:eastAsia="Times New Roman" w:hAnsi="Calibri" w:cs="Calibri"/>
          <w:i/>
          <w:iCs/>
          <w:kern w:val="0"/>
          <w:sz w:val="24"/>
          <w:szCs w:val="24"/>
          <w:lang w:val="en-US" w:eastAsia="en-IN" w:bidi="ar-SA"/>
          <w14:ligatures w14:val="none"/>
        </w:rPr>
        <w:t>Isr</w:t>
      </w:r>
      <w:proofErr w:type="spellEnd"/>
      <w:r w:rsidRPr="005D29E2">
        <w:rPr>
          <w:rFonts w:ascii="Calibri" w:eastAsia="Times New Roman" w:hAnsi="Calibri" w:cs="Calibri"/>
          <w:i/>
          <w:iCs/>
          <w:kern w:val="0"/>
          <w:sz w:val="24"/>
          <w:szCs w:val="24"/>
          <w:lang w:val="en-US" w:eastAsia="en-IN" w:bidi="ar-SA"/>
          <w14:ligatures w14:val="none"/>
        </w:rPr>
        <w:t xml:space="preserve"> Med Assoc J.</w:t>
      </w:r>
      <w:r w:rsidRPr="005D29E2">
        <w:rPr>
          <w:rFonts w:ascii="Calibri" w:eastAsia="Times New Roman" w:hAnsi="Calibri" w:cs="Calibri"/>
          <w:kern w:val="0"/>
          <w:sz w:val="24"/>
          <w:szCs w:val="24"/>
          <w:lang w:val="en-US" w:eastAsia="en-IN" w:bidi="ar-SA"/>
          <w14:ligatures w14:val="none"/>
        </w:rPr>
        <w:t xml:space="preserve"> 2024;</w:t>
      </w:r>
      <w:r w:rsidRPr="005D29E2">
        <w:rPr>
          <w:rFonts w:ascii="Calibri" w:eastAsia="Times New Roman" w:hAnsi="Calibri" w:cs="Calibri"/>
          <w:b/>
          <w:bCs/>
          <w:kern w:val="0"/>
          <w:sz w:val="24"/>
          <w:szCs w:val="24"/>
          <w:lang w:val="en-US" w:eastAsia="en-IN" w:bidi="ar-SA"/>
          <w14:ligatures w14:val="none"/>
        </w:rPr>
        <w:t>26</w:t>
      </w:r>
      <w:r w:rsidRPr="005D29E2">
        <w:rPr>
          <w:rFonts w:ascii="Calibri" w:eastAsia="Times New Roman" w:hAnsi="Calibri" w:cs="Calibri"/>
          <w:kern w:val="0"/>
          <w:sz w:val="24"/>
          <w:szCs w:val="24"/>
          <w:lang w:val="en-US" w:eastAsia="en-IN" w:bidi="ar-SA"/>
          <w14:ligatures w14:val="none"/>
        </w:rPr>
        <w:t xml:space="preserve">(11):694-700. </w:t>
      </w:r>
    </w:p>
    <w:p w14:paraId="50BA98CF" w14:textId="608F67D4"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Centers for Disease Control and Prevention. Risk factors for chronic kidney disease [Internet]. Centers for Disease Control and Prevention; 2024 May 15. Available from: </w:t>
      </w:r>
      <w:hyperlink r:id="rId8" w:tgtFrame="_new" w:history="1">
        <w:r w:rsidRPr="005D29E2">
          <w:rPr>
            <w:rFonts w:ascii="Calibri" w:eastAsia="Times New Roman" w:hAnsi="Calibri" w:cs="Calibri"/>
            <w:kern w:val="0"/>
            <w:sz w:val="24"/>
            <w:szCs w:val="24"/>
            <w:u w:val="single"/>
            <w:lang w:val="en-US" w:eastAsia="en-IN" w:bidi="ar-SA"/>
            <w14:ligatures w14:val="none"/>
          </w:rPr>
          <w:t>https://www.cdc.gov/kidney-disease/risk-factors/index.html</w:t>
        </w:r>
      </w:hyperlink>
      <w:r w:rsidRPr="005D29E2">
        <w:rPr>
          <w:rFonts w:ascii="Calibri" w:eastAsia="Times New Roman" w:hAnsi="Calibri" w:cs="Calibri"/>
          <w:kern w:val="0"/>
          <w:sz w:val="24"/>
          <w:szCs w:val="24"/>
          <w:lang w:val="en-US" w:eastAsia="en-IN" w:bidi="ar-SA"/>
          <w14:ligatures w14:val="none"/>
        </w:rPr>
        <w:t xml:space="preserve"> </w:t>
      </w:r>
    </w:p>
    <w:p w14:paraId="2185238E" w14:textId="5F761B44"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Chen L, et al. Decoding inflammation: novel biomarkers illuminate CRP dynamics in peritoneal dialysis patients. </w:t>
      </w:r>
      <w:r w:rsidRPr="005D29E2">
        <w:rPr>
          <w:rFonts w:ascii="Calibri" w:eastAsia="Times New Roman" w:hAnsi="Calibri" w:cs="Calibri"/>
          <w:i/>
          <w:iCs/>
          <w:kern w:val="0"/>
          <w:sz w:val="24"/>
          <w:szCs w:val="24"/>
          <w:lang w:val="en-US" w:eastAsia="en-IN" w:bidi="ar-SA"/>
          <w14:ligatures w14:val="none"/>
        </w:rPr>
        <w:t>Clin Nephrol.</w:t>
      </w:r>
      <w:r w:rsidRPr="005D29E2">
        <w:rPr>
          <w:rFonts w:ascii="Calibri" w:eastAsia="Times New Roman" w:hAnsi="Calibri" w:cs="Calibri"/>
          <w:kern w:val="0"/>
          <w:sz w:val="24"/>
          <w:szCs w:val="24"/>
          <w:lang w:val="en-US" w:eastAsia="en-IN" w:bidi="ar-SA"/>
          <w14:ligatures w14:val="none"/>
        </w:rPr>
        <w:t xml:space="preserve"> 2026;</w:t>
      </w:r>
      <w:r w:rsidRPr="005D29E2">
        <w:rPr>
          <w:rFonts w:ascii="Calibri" w:eastAsia="Times New Roman" w:hAnsi="Calibri" w:cs="Calibri"/>
          <w:b/>
          <w:bCs/>
          <w:kern w:val="0"/>
          <w:sz w:val="24"/>
          <w:szCs w:val="24"/>
          <w:lang w:val="en-US" w:eastAsia="en-IN" w:bidi="ar-SA"/>
          <w14:ligatures w14:val="none"/>
        </w:rPr>
        <w:t>105</w:t>
      </w:r>
      <w:r w:rsidRPr="005D29E2">
        <w:rPr>
          <w:rFonts w:ascii="Calibri" w:eastAsia="Times New Roman" w:hAnsi="Calibri" w:cs="Calibri"/>
          <w:kern w:val="0"/>
          <w:sz w:val="24"/>
          <w:szCs w:val="24"/>
          <w:lang w:val="en-US" w:eastAsia="en-IN" w:bidi="ar-SA"/>
          <w14:ligatures w14:val="none"/>
        </w:rPr>
        <w:t xml:space="preserve">(6):361-9. </w:t>
      </w:r>
    </w:p>
    <w:p w14:paraId="0BB1B6B6" w14:textId="0E6875FD"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Bowden RG, Wilson RL. Malnutrition, inflammation, and lipids in a cohort of dialysis patients. </w:t>
      </w:r>
      <w:r w:rsidRPr="005D29E2">
        <w:rPr>
          <w:rFonts w:ascii="Calibri" w:eastAsia="Times New Roman" w:hAnsi="Calibri" w:cs="Calibri"/>
          <w:i/>
          <w:iCs/>
          <w:kern w:val="0"/>
          <w:sz w:val="24"/>
          <w:szCs w:val="24"/>
          <w:lang w:val="en-US" w:eastAsia="en-IN" w:bidi="ar-SA"/>
          <w14:ligatures w14:val="none"/>
        </w:rPr>
        <w:t>Postgrad Med.</w:t>
      </w:r>
      <w:r w:rsidRPr="005D29E2">
        <w:rPr>
          <w:rFonts w:ascii="Calibri" w:eastAsia="Times New Roman" w:hAnsi="Calibri" w:cs="Calibri"/>
          <w:kern w:val="0"/>
          <w:sz w:val="24"/>
          <w:szCs w:val="24"/>
          <w:lang w:val="en-US" w:eastAsia="en-IN" w:bidi="ar-SA"/>
          <w14:ligatures w14:val="none"/>
        </w:rPr>
        <w:t xml:space="preserve"> 2010;</w:t>
      </w:r>
      <w:r w:rsidRPr="005D29E2">
        <w:rPr>
          <w:rFonts w:ascii="Calibri" w:eastAsia="Times New Roman" w:hAnsi="Calibri" w:cs="Calibri"/>
          <w:b/>
          <w:bCs/>
          <w:kern w:val="0"/>
          <w:sz w:val="24"/>
          <w:szCs w:val="24"/>
          <w:lang w:val="en-US" w:eastAsia="en-IN" w:bidi="ar-SA"/>
          <w14:ligatures w14:val="none"/>
        </w:rPr>
        <w:t>122</w:t>
      </w:r>
      <w:r w:rsidRPr="005D29E2">
        <w:rPr>
          <w:rFonts w:ascii="Calibri" w:eastAsia="Times New Roman" w:hAnsi="Calibri" w:cs="Calibri"/>
          <w:kern w:val="0"/>
          <w:sz w:val="24"/>
          <w:szCs w:val="24"/>
          <w:lang w:val="en-US" w:eastAsia="en-IN" w:bidi="ar-SA"/>
          <w14:ligatures w14:val="none"/>
        </w:rPr>
        <w:t xml:space="preserve">(3):196-202. </w:t>
      </w:r>
    </w:p>
    <w:p w14:paraId="3BBB1977" w14:textId="05714DDE"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Roy LG, Shetty MS, Urooj A. Effect of nutritional intervention on malnutrition indicators in patients on </w:t>
      </w:r>
      <w:proofErr w:type="spellStart"/>
      <w:r w:rsidRPr="005D29E2">
        <w:rPr>
          <w:rFonts w:ascii="Calibri" w:eastAsia="Times New Roman" w:hAnsi="Calibri" w:cs="Calibri"/>
          <w:kern w:val="0"/>
          <w:sz w:val="24"/>
          <w:szCs w:val="24"/>
          <w:lang w:val="en-US" w:eastAsia="en-IN" w:bidi="ar-SA"/>
          <w14:ligatures w14:val="none"/>
        </w:rPr>
        <w:t>haemodialysis</w:t>
      </w:r>
      <w:proofErr w:type="spellEnd"/>
      <w:r w:rsidRPr="005D29E2">
        <w:rPr>
          <w:rFonts w:ascii="Calibri" w:eastAsia="Times New Roman" w:hAnsi="Calibri" w:cs="Calibri"/>
          <w:kern w:val="0"/>
          <w:sz w:val="24"/>
          <w:szCs w:val="24"/>
          <w:lang w:val="en-US" w:eastAsia="en-IN" w:bidi="ar-SA"/>
          <w14:ligatures w14:val="none"/>
        </w:rPr>
        <w:t xml:space="preserve">. </w:t>
      </w:r>
      <w:r w:rsidRPr="005D29E2">
        <w:rPr>
          <w:rFonts w:ascii="Calibri" w:eastAsia="Times New Roman" w:hAnsi="Calibri" w:cs="Calibri"/>
          <w:i/>
          <w:iCs/>
          <w:kern w:val="0"/>
          <w:sz w:val="24"/>
          <w:szCs w:val="24"/>
          <w:lang w:val="en-US" w:eastAsia="en-IN" w:bidi="ar-SA"/>
          <w14:ligatures w14:val="none"/>
        </w:rPr>
        <w:t>J Ren Care.</w:t>
      </w:r>
      <w:r w:rsidRPr="005D29E2">
        <w:rPr>
          <w:rFonts w:ascii="Calibri" w:eastAsia="Times New Roman" w:hAnsi="Calibri" w:cs="Calibri"/>
          <w:kern w:val="0"/>
          <w:sz w:val="24"/>
          <w:szCs w:val="24"/>
          <w:lang w:val="en-US" w:eastAsia="en-IN" w:bidi="ar-SA"/>
          <w14:ligatures w14:val="none"/>
        </w:rPr>
        <w:t xml:space="preserve"> 2013;</w:t>
      </w:r>
      <w:r w:rsidRPr="005D29E2">
        <w:rPr>
          <w:rFonts w:ascii="Calibri" w:eastAsia="Times New Roman" w:hAnsi="Calibri" w:cs="Calibri"/>
          <w:b/>
          <w:bCs/>
          <w:kern w:val="0"/>
          <w:sz w:val="24"/>
          <w:szCs w:val="24"/>
          <w:lang w:val="en-US" w:eastAsia="en-IN" w:bidi="ar-SA"/>
          <w14:ligatures w14:val="none"/>
        </w:rPr>
        <w:t>39</w:t>
      </w:r>
      <w:r w:rsidRPr="005D29E2">
        <w:rPr>
          <w:rFonts w:ascii="Calibri" w:eastAsia="Times New Roman" w:hAnsi="Calibri" w:cs="Calibri"/>
          <w:kern w:val="0"/>
          <w:sz w:val="24"/>
          <w:szCs w:val="24"/>
          <w:lang w:val="en-US" w:eastAsia="en-IN" w:bidi="ar-SA"/>
          <w14:ligatures w14:val="none"/>
        </w:rPr>
        <w:t xml:space="preserve">(1):39-46. </w:t>
      </w:r>
    </w:p>
    <w:p w14:paraId="13CCD0A9" w14:textId="36E2E904"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Sayed AA, El Sayed HME, </w:t>
      </w:r>
      <w:proofErr w:type="spellStart"/>
      <w:r w:rsidRPr="005D29E2">
        <w:rPr>
          <w:rFonts w:ascii="Calibri" w:eastAsia="Times New Roman" w:hAnsi="Calibri" w:cs="Calibri"/>
          <w:kern w:val="0"/>
          <w:sz w:val="24"/>
          <w:szCs w:val="24"/>
          <w:lang w:val="en-US" w:eastAsia="en-IN" w:bidi="ar-SA"/>
          <w14:ligatures w14:val="none"/>
        </w:rPr>
        <w:t>Abdelhameid</w:t>
      </w:r>
      <w:proofErr w:type="spellEnd"/>
      <w:r w:rsidRPr="005D29E2">
        <w:rPr>
          <w:rFonts w:ascii="Calibri" w:eastAsia="Times New Roman" w:hAnsi="Calibri" w:cs="Calibri"/>
          <w:kern w:val="0"/>
          <w:sz w:val="24"/>
          <w:szCs w:val="24"/>
          <w:lang w:val="en-US" w:eastAsia="en-IN" w:bidi="ar-SA"/>
          <w14:ligatures w14:val="none"/>
        </w:rPr>
        <w:t xml:space="preserve"> MA. Assessment of nutritional status and quality of life among hemodialysis patients in Aswan. </w:t>
      </w:r>
      <w:r w:rsidRPr="005D29E2">
        <w:rPr>
          <w:rFonts w:ascii="Calibri" w:eastAsia="Times New Roman" w:hAnsi="Calibri" w:cs="Calibri"/>
          <w:i/>
          <w:iCs/>
          <w:kern w:val="0"/>
          <w:sz w:val="24"/>
          <w:szCs w:val="24"/>
          <w:lang w:val="en-US" w:eastAsia="en-IN" w:bidi="ar-SA"/>
          <w14:ligatures w14:val="none"/>
        </w:rPr>
        <w:t>BMC Nephrol.</w:t>
      </w:r>
      <w:r w:rsidRPr="005D29E2">
        <w:rPr>
          <w:rFonts w:ascii="Calibri" w:eastAsia="Times New Roman" w:hAnsi="Calibri" w:cs="Calibri"/>
          <w:kern w:val="0"/>
          <w:sz w:val="24"/>
          <w:szCs w:val="24"/>
          <w:lang w:val="en-US" w:eastAsia="en-IN" w:bidi="ar-SA"/>
          <w14:ligatures w14:val="none"/>
        </w:rPr>
        <w:t xml:space="preserve"> 2025;</w:t>
      </w:r>
      <w:r w:rsidRPr="005D29E2">
        <w:rPr>
          <w:rFonts w:ascii="Calibri" w:eastAsia="Times New Roman" w:hAnsi="Calibri" w:cs="Calibri"/>
          <w:b/>
          <w:bCs/>
          <w:kern w:val="0"/>
          <w:sz w:val="24"/>
          <w:szCs w:val="24"/>
          <w:lang w:val="en-US" w:eastAsia="en-IN" w:bidi="ar-SA"/>
          <w14:ligatures w14:val="none"/>
        </w:rPr>
        <w:t>26</w:t>
      </w:r>
      <w:r w:rsidRPr="005D29E2">
        <w:rPr>
          <w:rFonts w:ascii="Calibri" w:eastAsia="Times New Roman" w:hAnsi="Calibri" w:cs="Calibri"/>
          <w:kern w:val="0"/>
          <w:sz w:val="24"/>
          <w:szCs w:val="24"/>
          <w:lang w:val="en-US" w:eastAsia="en-IN" w:bidi="ar-SA"/>
          <w14:ligatures w14:val="none"/>
        </w:rPr>
        <w:t xml:space="preserve">(1):679. </w:t>
      </w:r>
    </w:p>
    <w:p w14:paraId="336DA27C" w14:textId="1ACE299C"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proofErr w:type="spellStart"/>
      <w:r w:rsidRPr="005D29E2">
        <w:rPr>
          <w:rFonts w:ascii="Calibri" w:eastAsia="Times New Roman" w:hAnsi="Calibri" w:cs="Calibri"/>
          <w:kern w:val="0"/>
          <w:sz w:val="24"/>
          <w:szCs w:val="24"/>
          <w:lang w:val="en-US" w:eastAsia="en-IN" w:bidi="ar-SA"/>
          <w14:ligatures w14:val="none"/>
        </w:rPr>
        <w:t>Pecoits</w:t>
      </w:r>
      <w:proofErr w:type="spellEnd"/>
      <w:r w:rsidRPr="005D29E2">
        <w:rPr>
          <w:rFonts w:ascii="Calibri" w:eastAsia="Times New Roman" w:hAnsi="Calibri" w:cs="Calibri"/>
          <w:kern w:val="0"/>
          <w:sz w:val="24"/>
          <w:szCs w:val="24"/>
          <w:lang w:val="en-US" w:eastAsia="en-IN" w:bidi="ar-SA"/>
          <w14:ligatures w14:val="none"/>
        </w:rPr>
        <w:t xml:space="preserve">-Filho R, Lindholm B, </w:t>
      </w:r>
      <w:proofErr w:type="spellStart"/>
      <w:r w:rsidRPr="005D29E2">
        <w:rPr>
          <w:rFonts w:ascii="Calibri" w:eastAsia="Times New Roman" w:hAnsi="Calibri" w:cs="Calibri"/>
          <w:kern w:val="0"/>
          <w:sz w:val="24"/>
          <w:szCs w:val="24"/>
          <w:lang w:val="en-US" w:eastAsia="en-IN" w:bidi="ar-SA"/>
          <w14:ligatures w14:val="none"/>
        </w:rPr>
        <w:t>Stenvinkel</w:t>
      </w:r>
      <w:proofErr w:type="spellEnd"/>
      <w:r w:rsidRPr="005D29E2">
        <w:rPr>
          <w:rFonts w:ascii="Calibri" w:eastAsia="Times New Roman" w:hAnsi="Calibri" w:cs="Calibri"/>
          <w:kern w:val="0"/>
          <w:sz w:val="24"/>
          <w:szCs w:val="24"/>
          <w:lang w:val="en-US" w:eastAsia="en-IN" w:bidi="ar-SA"/>
          <w14:ligatures w14:val="none"/>
        </w:rPr>
        <w:t xml:space="preserve"> P. The malnutrition, inflammation, and atherosclerosis (MIA) syndrome—the heart of the matter. </w:t>
      </w:r>
      <w:r w:rsidRPr="005D29E2">
        <w:rPr>
          <w:rFonts w:ascii="Calibri" w:eastAsia="Times New Roman" w:hAnsi="Calibri" w:cs="Calibri"/>
          <w:i/>
          <w:iCs/>
          <w:kern w:val="0"/>
          <w:sz w:val="24"/>
          <w:szCs w:val="24"/>
          <w:lang w:val="en-US" w:eastAsia="en-IN" w:bidi="ar-SA"/>
          <w14:ligatures w14:val="none"/>
        </w:rPr>
        <w:t>Nephrol Dial Transplant.</w:t>
      </w:r>
      <w:r w:rsidRPr="005D29E2">
        <w:rPr>
          <w:rFonts w:ascii="Calibri" w:eastAsia="Times New Roman" w:hAnsi="Calibri" w:cs="Calibri"/>
          <w:kern w:val="0"/>
          <w:sz w:val="24"/>
          <w:szCs w:val="24"/>
          <w:lang w:val="en-US" w:eastAsia="en-IN" w:bidi="ar-SA"/>
          <w14:ligatures w14:val="none"/>
        </w:rPr>
        <w:t xml:space="preserve"> 2002;</w:t>
      </w:r>
      <w:r w:rsidRPr="005D29E2">
        <w:rPr>
          <w:rFonts w:ascii="Calibri" w:eastAsia="Times New Roman" w:hAnsi="Calibri" w:cs="Calibri"/>
          <w:b/>
          <w:bCs/>
          <w:kern w:val="0"/>
          <w:sz w:val="24"/>
          <w:szCs w:val="24"/>
          <w:lang w:val="en-US" w:eastAsia="en-IN" w:bidi="ar-SA"/>
          <w14:ligatures w14:val="none"/>
        </w:rPr>
        <w:t>17</w:t>
      </w:r>
      <w:r w:rsidRPr="005D29E2">
        <w:rPr>
          <w:rFonts w:ascii="Calibri" w:eastAsia="Times New Roman" w:hAnsi="Calibri" w:cs="Calibri"/>
          <w:kern w:val="0"/>
          <w:sz w:val="24"/>
          <w:szCs w:val="24"/>
          <w:lang w:val="en-US" w:eastAsia="en-IN" w:bidi="ar-SA"/>
          <w14:ligatures w14:val="none"/>
        </w:rPr>
        <w:t xml:space="preserve">(Suppl 11):28-31. </w:t>
      </w:r>
    </w:p>
    <w:p w14:paraId="0FFF46A4" w14:textId="59B78F10"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Graterol Torres F, et al. Evolving concepts on inflammatory biomarkers and malnutrition in chronic kidney disease. </w:t>
      </w:r>
      <w:r w:rsidRPr="005D29E2">
        <w:rPr>
          <w:rFonts w:ascii="Calibri" w:eastAsia="Times New Roman" w:hAnsi="Calibri" w:cs="Calibri"/>
          <w:i/>
          <w:iCs/>
          <w:kern w:val="0"/>
          <w:sz w:val="24"/>
          <w:szCs w:val="24"/>
          <w:lang w:val="en-US" w:eastAsia="en-IN" w:bidi="ar-SA"/>
          <w14:ligatures w14:val="none"/>
        </w:rPr>
        <w:t>Nutrients.</w:t>
      </w:r>
      <w:r w:rsidRPr="005D29E2">
        <w:rPr>
          <w:rFonts w:ascii="Calibri" w:eastAsia="Times New Roman" w:hAnsi="Calibri" w:cs="Calibri"/>
          <w:kern w:val="0"/>
          <w:sz w:val="24"/>
          <w:szCs w:val="24"/>
          <w:lang w:val="en-US" w:eastAsia="en-IN" w:bidi="ar-SA"/>
          <w14:ligatures w14:val="none"/>
        </w:rPr>
        <w:t xml:space="preserve"> 2022;</w:t>
      </w:r>
      <w:r w:rsidRPr="005D29E2">
        <w:rPr>
          <w:rFonts w:ascii="Calibri" w:eastAsia="Times New Roman" w:hAnsi="Calibri" w:cs="Calibri"/>
          <w:b/>
          <w:bCs/>
          <w:kern w:val="0"/>
          <w:sz w:val="24"/>
          <w:szCs w:val="24"/>
          <w:lang w:val="en-US" w:eastAsia="en-IN" w:bidi="ar-SA"/>
          <w14:ligatures w14:val="none"/>
        </w:rPr>
        <w:t>14</w:t>
      </w:r>
      <w:r w:rsidRPr="005D29E2">
        <w:rPr>
          <w:rFonts w:ascii="Calibri" w:eastAsia="Times New Roman" w:hAnsi="Calibri" w:cs="Calibri"/>
          <w:kern w:val="0"/>
          <w:sz w:val="24"/>
          <w:szCs w:val="24"/>
          <w:lang w:val="en-US" w:eastAsia="en-IN" w:bidi="ar-SA"/>
          <w14:ligatures w14:val="none"/>
        </w:rPr>
        <w:t xml:space="preserve">(20):4297. </w:t>
      </w:r>
    </w:p>
    <w:p w14:paraId="4F45C204" w14:textId="671F40AA"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de Oliveira IM, et al. Oral vitamin C supplementation decreased low-density lipoprotein in adults on hemodialysis: a systematic review and meta-analysis. </w:t>
      </w:r>
      <w:proofErr w:type="spellStart"/>
      <w:r w:rsidRPr="005D29E2">
        <w:rPr>
          <w:rFonts w:ascii="Calibri" w:eastAsia="Times New Roman" w:hAnsi="Calibri" w:cs="Calibri"/>
          <w:i/>
          <w:iCs/>
          <w:kern w:val="0"/>
          <w:sz w:val="24"/>
          <w:szCs w:val="24"/>
          <w:lang w:val="en-US" w:eastAsia="en-IN" w:bidi="ar-SA"/>
          <w14:ligatures w14:val="none"/>
        </w:rPr>
        <w:t>Nutr</w:t>
      </w:r>
      <w:proofErr w:type="spellEnd"/>
      <w:r w:rsidRPr="005D29E2">
        <w:rPr>
          <w:rFonts w:ascii="Calibri" w:eastAsia="Times New Roman" w:hAnsi="Calibri" w:cs="Calibri"/>
          <w:i/>
          <w:iCs/>
          <w:kern w:val="0"/>
          <w:sz w:val="24"/>
          <w:szCs w:val="24"/>
          <w:lang w:val="en-US" w:eastAsia="en-IN" w:bidi="ar-SA"/>
          <w14:ligatures w14:val="none"/>
        </w:rPr>
        <w:t xml:space="preserve"> Res.</w:t>
      </w:r>
      <w:r w:rsidRPr="005D29E2">
        <w:rPr>
          <w:rFonts w:ascii="Calibri" w:eastAsia="Times New Roman" w:hAnsi="Calibri" w:cs="Calibri"/>
          <w:kern w:val="0"/>
          <w:sz w:val="24"/>
          <w:szCs w:val="24"/>
          <w:lang w:val="en-US" w:eastAsia="en-IN" w:bidi="ar-SA"/>
          <w14:ligatures w14:val="none"/>
        </w:rPr>
        <w:t xml:space="preserve"> </w:t>
      </w:r>
      <w:proofErr w:type="gramStart"/>
      <w:r w:rsidRPr="005D29E2">
        <w:rPr>
          <w:rFonts w:ascii="Calibri" w:eastAsia="Times New Roman" w:hAnsi="Calibri" w:cs="Calibri"/>
          <w:kern w:val="0"/>
          <w:sz w:val="24"/>
          <w:szCs w:val="24"/>
          <w:lang w:val="en-US" w:eastAsia="en-IN" w:bidi="ar-SA"/>
          <w14:ligatures w14:val="none"/>
        </w:rPr>
        <w:t>2025;</w:t>
      </w:r>
      <w:r w:rsidRPr="005D29E2">
        <w:rPr>
          <w:rFonts w:ascii="Calibri" w:eastAsia="Times New Roman" w:hAnsi="Calibri" w:cs="Calibri"/>
          <w:b/>
          <w:bCs/>
          <w:kern w:val="0"/>
          <w:sz w:val="24"/>
          <w:szCs w:val="24"/>
          <w:lang w:val="en-US" w:eastAsia="en-IN" w:bidi="ar-SA"/>
          <w14:ligatures w14:val="none"/>
        </w:rPr>
        <w:t>139</w:t>
      </w:r>
      <w:r w:rsidRPr="005D29E2">
        <w:rPr>
          <w:rFonts w:ascii="Calibri" w:eastAsia="Times New Roman" w:hAnsi="Calibri" w:cs="Calibri"/>
          <w:kern w:val="0"/>
          <w:sz w:val="24"/>
          <w:szCs w:val="24"/>
          <w:lang w:val="en-US" w:eastAsia="en-IN" w:bidi="ar-SA"/>
          <w14:ligatures w14:val="none"/>
        </w:rPr>
        <w:t>:124</w:t>
      </w:r>
      <w:proofErr w:type="gramEnd"/>
      <w:r w:rsidRPr="005D29E2">
        <w:rPr>
          <w:rFonts w:ascii="Calibri" w:eastAsia="Times New Roman" w:hAnsi="Calibri" w:cs="Calibri"/>
          <w:kern w:val="0"/>
          <w:sz w:val="24"/>
          <w:szCs w:val="24"/>
          <w:lang w:val="en-US" w:eastAsia="en-IN" w:bidi="ar-SA"/>
          <w14:ligatures w14:val="none"/>
        </w:rPr>
        <w:t xml:space="preserve">-35. </w:t>
      </w:r>
    </w:p>
    <w:p w14:paraId="4230F562" w14:textId="59E38FB0"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Hossain S, et al. Fortified and functional foods: trends, innovations, and their public health impact for future nutrient enrichment. </w:t>
      </w:r>
      <w:r w:rsidRPr="005D29E2">
        <w:rPr>
          <w:rFonts w:ascii="Calibri" w:eastAsia="Times New Roman" w:hAnsi="Calibri" w:cs="Calibri"/>
          <w:i/>
          <w:iCs/>
          <w:kern w:val="0"/>
          <w:sz w:val="24"/>
          <w:szCs w:val="24"/>
          <w:lang w:val="en-US" w:eastAsia="en-IN" w:bidi="ar-SA"/>
          <w14:ligatures w14:val="none"/>
        </w:rPr>
        <w:t>J Agric Food Res.</w:t>
      </w:r>
      <w:r w:rsidRPr="005D29E2">
        <w:rPr>
          <w:rFonts w:ascii="Calibri" w:eastAsia="Times New Roman" w:hAnsi="Calibri" w:cs="Calibri"/>
          <w:kern w:val="0"/>
          <w:sz w:val="24"/>
          <w:szCs w:val="24"/>
          <w:lang w:val="en-US" w:eastAsia="en-IN" w:bidi="ar-SA"/>
          <w14:ligatures w14:val="none"/>
        </w:rPr>
        <w:t xml:space="preserve"> </w:t>
      </w:r>
      <w:proofErr w:type="gramStart"/>
      <w:r w:rsidRPr="005D29E2">
        <w:rPr>
          <w:rFonts w:ascii="Calibri" w:eastAsia="Times New Roman" w:hAnsi="Calibri" w:cs="Calibri"/>
          <w:kern w:val="0"/>
          <w:sz w:val="24"/>
          <w:szCs w:val="24"/>
          <w:lang w:val="en-US" w:eastAsia="en-IN" w:bidi="ar-SA"/>
          <w14:ligatures w14:val="none"/>
        </w:rPr>
        <w:t>2025;</w:t>
      </w:r>
      <w:r w:rsidRPr="005D29E2">
        <w:rPr>
          <w:rFonts w:ascii="Calibri" w:eastAsia="Times New Roman" w:hAnsi="Calibri" w:cs="Calibri"/>
          <w:b/>
          <w:bCs/>
          <w:kern w:val="0"/>
          <w:sz w:val="24"/>
          <w:szCs w:val="24"/>
          <w:lang w:val="en-US" w:eastAsia="en-IN" w:bidi="ar-SA"/>
          <w14:ligatures w14:val="none"/>
        </w:rPr>
        <w:t>23</w:t>
      </w:r>
      <w:r w:rsidRPr="005D29E2">
        <w:rPr>
          <w:rFonts w:ascii="Calibri" w:eastAsia="Times New Roman" w:hAnsi="Calibri" w:cs="Calibri"/>
          <w:kern w:val="0"/>
          <w:sz w:val="24"/>
          <w:szCs w:val="24"/>
          <w:lang w:val="en-US" w:eastAsia="en-IN" w:bidi="ar-SA"/>
          <w14:ligatures w14:val="none"/>
        </w:rPr>
        <w:t>:102275</w:t>
      </w:r>
      <w:proofErr w:type="gramEnd"/>
      <w:r w:rsidRPr="005D29E2">
        <w:rPr>
          <w:rFonts w:ascii="Calibri" w:eastAsia="Times New Roman" w:hAnsi="Calibri" w:cs="Calibri"/>
          <w:kern w:val="0"/>
          <w:sz w:val="24"/>
          <w:szCs w:val="24"/>
          <w:lang w:val="en-US" w:eastAsia="en-IN" w:bidi="ar-SA"/>
          <w14:ligatures w14:val="none"/>
        </w:rPr>
        <w:t xml:space="preserve">. </w:t>
      </w:r>
    </w:p>
    <w:p w14:paraId="6B4299F3" w14:textId="24971903"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proofErr w:type="spellStart"/>
      <w:r w:rsidRPr="005D29E2">
        <w:rPr>
          <w:rFonts w:ascii="Calibri" w:eastAsia="Times New Roman" w:hAnsi="Calibri" w:cs="Calibri"/>
          <w:kern w:val="0"/>
          <w:sz w:val="24"/>
          <w:szCs w:val="24"/>
          <w:lang w:val="en-US" w:eastAsia="en-IN" w:bidi="ar-SA"/>
          <w14:ligatures w14:val="none"/>
        </w:rPr>
        <w:t>Endevelt</w:t>
      </w:r>
      <w:proofErr w:type="spellEnd"/>
      <w:r w:rsidRPr="005D29E2">
        <w:rPr>
          <w:rFonts w:ascii="Calibri" w:eastAsia="Times New Roman" w:hAnsi="Calibri" w:cs="Calibri"/>
          <w:kern w:val="0"/>
          <w:sz w:val="24"/>
          <w:szCs w:val="24"/>
          <w:lang w:val="en-US" w:eastAsia="en-IN" w:bidi="ar-SA"/>
          <w14:ligatures w14:val="none"/>
        </w:rPr>
        <w:t xml:space="preserve"> R, et al. Challenges and obstacles implementing evidence-based food fortification policy in a high-income country. </w:t>
      </w:r>
      <w:r w:rsidRPr="005D29E2">
        <w:rPr>
          <w:rFonts w:ascii="Calibri" w:eastAsia="Times New Roman" w:hAnsi="Calibri" w:cs="Calibri"/>
          <w:i/>
          <w:iCs/>
          <w:kern w:val="0"/>
          <w:sz w:val="24"/>
          <w:szCs w:val="24"/>
          <w:lang w:val="en-US" w:eastAsia="en-IN" w:bidi="ar-SA"/>
          <w14:ligatures w14:val="none"/>
        </w:rPr>
        <w:t>Front Public Health.</w:t>
      </w:r>
      <w:r w:rsidRPr="005D29E2">
        <w:rPr>
          <w:rFonts w:ascii="Calibri" w:eastAsia="Times New Roman" w:hAnsi="Calibri" w:cs="Calibri"/>
          <w:kern w:val="0"/>
          <w:sz w:val="24"/>
          <w:szCs w:val="24"/>
          <w:lang w:val="en-US" w:eastAsia="en-IN" w:bidi="ar-SA"/>
          <w14:ligatures w14:val="none"/>
        </w:rPr>
        <w:t xml:space="preserve"> </w:t>
      </w:r>
      <w:proofErr w:type="gramStart"/>
      <w:r w:rsidRPr="005D29E2">
        <w:rPr>
          <w:rFonts w:ascii="Calibri" w:eastAsia="Times New Roman" w:hAnsi="Calibri" w:cs="Calibri"/>
          <w:kern w:val="0"/>
          <w:sz w:val="24"/>
          <w:szCs w:val="24"/>
          <w:lang w:val="en-US" w:eastAsia="en-IN" w:bidi="ar-SA"/>
          <w14:ligatures w14:val="none"/>
        </w:rPr>
        <w:t>2023;</w:t>
      </w:r>
      <w:r w:rsidRPr="005D29E2">
        <w:rPr>
          <w:rFonts w:ascii="Calibri" w:eastAsia="Times New Roman" w:hAnsi="Calibri" w:cs="Calibri"/>
          <w:b/>
          <w:bCs/>
          <w:kern w:val="0"/>
          <w:sz w:val="24"/>
          <w:szCs w:val="24"/>
          <w:lang w:val="en-US" w:eastAsia="en-IN" w:bidi="ar-SA"/>
          <w14:ligatures w14:val="none"/>
        </w:rPr>
        <w:t>11</w:t>
      </w:r>
      <w:r w:rsidRPr="005D29E2">
        <w:rPr>
          <w:rFonts w:ascii="Calibri" w:eastAsia="Times New Roman" w:hAnsi="Calibri" w:cs="Calibri"/>
          <w:kern w:val="0"/>
          <w:sz w:val="24"/>
          <w:szCs w:val="24"/>
          <w:lang w:val="en-US" w:eastAsia="en-IN" w:bidi="ar-SA"/>
          <w14:ligatures w14:val="none"/>
        </w:rPr>
        <w:t>:1052314</w:t>
      </w:r>
      <w:proofErr w:type="gramEnd"/>
      <w:r w:rsidRPr="005D29E2">
        <w:rPr>
          <w:rFonts w:ascii="Calibri" w:eastAsia="Times New Roman" w:hAnsi="Calibri" w:cs="Calibri"/>
          <w:kern w:val="0"/>
          <w:sz w:val="24"/>
          <w:szCs w:val="24"/>
          <w:lang w:val="en-US" w:eastAsia="en-IN" w:bidi="ar-SA"/>
          <w14:ligatures w14:val="none"/>
        </w:rPr>
        <w:t xml:space="preserve">. </w:t>
      </w:r>
    </w:p>
    <w:p w14:paraId="7518E7F3" w14:textId="2474A1CC"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Tseng M, Neill DB, Teaford SF, Nazmi A. Alternative MyPlate menus: effects of ultra-processed foods on saturated fat, sugar, and sodium content. </w:t>
      </w:r>
      <w:r w:rsidRPr="005D29E2">
        <w:rPr>
          <w:rFonts w:ascii="Calibri" w:eastAsia="Times New Roman" w:hAnsi="Calibri" w:cs="Calibri"/>
          <w:i/>
          <w:iCs/>
          <w:kern w:val="0"/>
          <w:sz w:val="24"/>
          <w:szCs w:val="24"/>
          <w:lang w:val="en-US" w:eastAsia="en-IN" w:bidi="ar-SA"/>
          <w14:ligatures w14:val="none"/>
        </w:rPr>
        <w:t xml:space="preserve">J </w:t>
      </w:r>
      <w:proofErr w:type="spellStart"/>
      <w:r w:rsidRPr="005D29E2">
        <w:rPr>
          <w:rFonts w:ascii="Calibri" w:eastAsia="Times New Roman" w:hAnsi="Calibri" w:cs="Calibri"/>
          <w:i/>
          <w:iCs/>
          <w:kern w:val="0"/>
          <w:sz w:val="24"/>
          <w:szCs w:val="24"/>
          <w:lang w:val="en-US" w:eastAsia="en-IN" w:bidi="ar-SA"/>
          <w14:ligatures w14:val="none"/>
        </w:rPr>
        <w:t>Nutr</w:t>
      </w:r>
      <w:proofErr w:type="spellEnd"/>
      <w:r w:rsidRPr="005D29E2">
        <w:rPr>
          <w:rFonts w:ascii="Calibri" w:eastAsia="Times New Roman" w:hAnsi="Calibri" w:cs="Calibri"/>
          <w:i/>
          <w:iCs/>
          <w:kern w:val="0"/>
          <w:sz w:val="24"/>
          <w:szCs w:val="24"/>
          <w:lang w:val="en-US" w:eastAsia="en-IN" w:bidi="ar-SA"/>
          <w14:ligatures w14:val="none"/>
        </w:rPr>
        <w:t xml:space="preserve"> Educ Behav.</w:t>
      </w:r>
      <w:r w:rsidRPr="005D29E2">
        <w:rPr>
          <w:rFonts w:ascii="Calibri" w:eastAsia="Times New Roman" w:hAnsi="Calibri" w:cs="Calibri"/>
          <w:kern w:val="0"/>
          <w:sz w:val="24"/>
          <w:szCs w:val="24"/>
          <w:lang w:val="en-US" w:eastAsia="en-IN" w:bidi="ar-SA"/>
          <w14:ligatures w14:val="none"/>
        </w:rPr>
        <w:t xml:space="preserve"> 2018;</w:t>
      </w:r>
      <w:r w:rsidRPr="005D29E2">
        <w:rPr>
          <w:rFonts w:ascii="Calibri" w:eastAsia="Times New Roman" w:hAnsi="Calibri" w:cs="Calibri"/>
          <w:b/>
          <w:bCs/>
          <w:kern w:val="0"/>
          <w:sz w:val="24"/>
          <w:szCs w:val="24"/>
          <w:lang w:val="en-US" w:eastAsia="en-IN" w:bidi="ar-SA"/>
          <w14:ligatures w14:val="none"/>
        </w:rPr>
        <w:t>50</w:t>
      </w:r>
      <w:r w:rsidRPr="005D29E2">
        <w:rPr>
          <w:rFonts w:ascii="Calibri" w:eastAsia="Times New Roman" w:hAnsi="Calibri" w:cs="Calibri"/>
          <w:kern w:val="0"/>
          <w:sz w:val="24"/>
          <w:szCs w:val="24"/>
          <w:lang w:val="en-US" w:eastAsia="en-IN" w:bidi="ar-SA"/>
          <w14:ligatures w14:val="none"/>
        </w:rPr>
        <w:t>(3):258-</w:t>
      </w:r>
      <w:proofErr w:type="gramStart"/>
      <w:r w:rsidRPr="005D29E2">
        <w:rPr>
          <w:rFonts w:ascii="Calibri" w:eastAsia="Times New Roman" w:hAnsi="Calibri" w:cs="Calibri"/>
          <w:kern w:val="0"/>
          <w:sz w:val="24"/>
          <w:szCs w:val="24"/>
          <w:lang w:val="en-US" w:eastAsia="en-IN" w:bidi="ar-SA"/>
          <w14:ligatures w14:val="none"/>
        </w:rPr>
        <w:t>66.e</w:t>
      </w:r>
      <w:proofErr w:type="gramEnd"/>
      <w:r w:rsidRPr="005D29E2">
        <w:rPr>
          <w:rFonts w:ascii="Calibri" w:eastAsia="Times New Roman" w:hAnsi="Calibri" w:cs="Calibri"/>
          <w:kern w:val="0"/>
          <w:sz w:val="24"/>
          <w:szCs w:val="24"/>
          <w:lang w:val="en-US" w:eastAsia="en-IN" w:bidi="ar-SA"/>
          <w14:ligatures w14:val="none"/>
        </w:rPr>
        <w:t xml:space="preserve">1. </w:t>
      </w:r>
    </w:p>
    <w:p w14:paraId="57874C0A" w14:textId="521ADE54"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proofErr w:type="spellStart"/>
      <w:r w:rsidRPr="005D29E2">
        <w:rPr>
          <w:rFonts w:ascii="Calibri" w:eastAsia="Times New Roman" w:hAnsi="Calibri" w:cs="Calibri"/>
          <w:kern w:val="0"/>
          <w:sz w:val="24"/>
          <w:szCs w:val="24"/>
          <w:lang w:val="en-US" w:eastAsia="en-IN" w:bidi="ar-SA"/>
          <w14:ligatures w14:val="none"/>
        </w:rPr>
        <w:t>Loutradis</w:t>
      </w:r>
      <w:proofErr w:type="spellEnd"/>
      <w:r w:rsidRPr="005D29E2">
        <w:rPr>
          <w:rFonts w:ascii="Calibri" w:eastAsia="Times New Roman" w:hAnsi="Calibri" w:cs="Calibri"/>
          <w:kern w:val="0"/>
          <w:sz w:val="24"/>
          <w:szCs w:val="24"/>
          <w:lang w:val="en-US" w:eastAsia="en-IN" w:bidi="ar-SA"/>
          <w14:ligatures w14:val="none"/>
        </w:rPr>
        <w:t xml:space="preserve"> CN, </w:t>
      </w:r>
      <w:proofErr w:type="spellStart"/>
      <w:r w:rsidRPr="005D29E2">
        <w:rPr>
          <w:rFonts w:ascii="Calibri" w:eastAsia="Times New Roman" w:hAnsi="Calibri" w:cs="Calibri"/>
          <w:kern w:val="0"/>
          <w:sz w:val="24"/>
          <w:szCs w:val="24"/>
          <w:lang w:val="en-US" w:eastAsia="en-IN" w:bidi="ar-SA"/>
          <w14:ligatures w14:val="none"/>
        </w:rPr>
        <w:t>Tsioufis</w:t>
      </w:r>
      <w:proofErr w:type="spellEnd"/>
      <w:r w:rsidRPr="005D29E2">
        <w:rPr>
          <w:rFonts w:ascii="Calibri" w:eastAsia="Times New Roman" w:hAnsi="Calibri" w:cs="Calibri"/>
          <w:kern w:val="0"/>
          <w:sz w:val="24"/>
          <w:szCs w:val="24"/>
          <w:lang w:val="en-US" w:eastAsia="en-IN" w:bidi="ar-SA"/>
          <w14:ligatures w14:val="none"/>
        </w:rPr>
        <w:t xml:space="preserve"> C, </w:t>
      </w:r>
      <w:proofErr w:type="spellStart"/>
      <w:r w:rsidRPr="005D29E2">
        <w:rPr>
          <w:rFonts w:ascii="Calibri" w:eastAsia="Times New Roman" w:hAnsi="Calibri" w:cs="Calibri"/>
          <w:kern w:val="0"/>
          <w:sz w:val="24"/>
          <w:szCs w:val="24"/>
          <w:lang w:val="en-US" w:eastAsia="en-IN" w:bidi="ar-SA"/>
          <w14:ligatures w14:val="none"/>
        </w:rPr>
        <w:t>Sarafidis</w:t>
      </w:r>
      <w:proofErr w:type="spellEnd"/>
      <w:r w:rsidRPr="005D29E2">
        <w:rPr>
          <w:rFonts w:ascii="Calibri" w:eastAsia="Times New Roman" w:hAnsi="Calibri" w:cs="Calibri"/>
          <w:kern w:val="0"/>
          <w:sz w:val="24"/>
          <w:szCs w:val="24"/>
          <w:lang w:val="en-US" w:eastAsia="en-IN" w:bidi="ar-SA"/>
          <w14:ligatures w14:val="none"/>
        </w:rPr>
        <w:t xml:space="preserve"> PA. The clinical problems of hypertension treatment in hemodialysis patients. </w:t>
      </w:r>
      <w:r w:rsidRPr="005D29E2">
        <w:rPr>
          <w:rFonts w:ascii="Calibri" w:eastAsia="Times New Roman" w:hAnsi="Calibri" w:cs="Calibri"/>
          <w:i/>
          <w:iCs/>
          <w:kern w:val="0"/>
          <w:sz w:val="24"/>
          <w:szCs w:val="24"/>
          <w:lang w:val="en-US" w:eastAsia="en-IN" w:bidi="ar-SA"/>
          <w14:ligatures w14:val="none"/>
        </w:rPr>
        <w:t xml:space="preserve">Curr </w:t>
      </w:r>
      <w:proofErr w:type="spellStart"/>
      <w:r w:rsidRPr="005D29E2">
        <w:rPr>
          <w:rFonts w:ascii="Calibri" w:eastAsia="Times New Roman" w:hAnsi="Calibri" w:cs="Calibri"/>
          <w:i/>
          <w:iCs/>
          <w:kern w:val="0"/>
          <w:sz w:val="24"/>
          <w:szCs w:val="24"/>
          <w:lang w:val="en-US" w:eastAsia="en-IN" w:bidi="ar-SA"/>
          <w14:ligatures w14:val="none"/>
        </w:rPr>
        <w:t>Vasc</w:t>
      </w:r>
      <w:proofErr w:type="spellEnd"/>
      <w:r w:rsidRPr="005D29E2">
        <w:rPr>
          <w:rFonts w:ascii="Calibri" w:eastAsia="Times New Roman" w:hAnsi="Calibri" w:cs="Calibri"/>
          <w:i/>
          <w:iCs/>
          <w:kern w:val="0"/>
          <w:sz w:val="24"/>
          <w:szCs w:val="24"/>
          <w:lang w:val="en-US" w:eastAsia="en-IN" w:bidi="ar-SA"/>
          <w14:ligatures w14:val="none"/>
        </w:rPr>
        <w:t xml:space="preserve"> </w:t>
      </w:r>
      <w:proofErr w:type="spellStart"/>
      <w:r w:rsidRPr="005D29E2">
        <w:rPr>
          <w:rFonts w:ascii="Calibri" w:eastAsia="Times New Roman" w:hAnsi="Calibri" w:cs="Calibri"/>
          <w:i/>
          <w:iCs/>
          <w:kern w:val="0"/>
          <w:sz w:val="24"/>
          <w:szCs w:val="24"/>
          <w:lang w:val="en-US" w:eastAsia="en-IN" w:bidi="ar-SA"/>
          <w14:ligatures w14:val="none"/>
        </w:rPr>
        <w:t>Pharmacol</w:t>
      </w:r>
      <w:proofErr w:type="spellEnd"/>
      <w:r w:rsidRPr="005D29E2">
        <w:rPr>
          <w:rFonts w:ascii="Calibri" w:eastAsia="Times New Roman" w:hAnsi="Calibri" w:cs="Calibri"/>
          <w:i/>
          <w:iCs/>
          <w:kern w:val="0"/>
          <w:sz w:val="24"/>
          <w:szCs w:val="24"/>
          <w:lang w:val="en-US" w:eastAsia="en-IN" w:bidi="ar-SA"/>
          <w14:ligatures w14:val="none"/>
        </w:rPr>
        <w:t>.</w:t>
      </w:r>
      <w:r w:rsidRPr="005D29E2">
        <w:rPr>
          <w:rFonts w:ascii="Calibri" w:eastAsia="Times New Roman" w:hAnsi="Calibri" w:cs="Calibri"/>
          <w:kern w:val="0"/>
          <w:sz w:val="24"/>
          <w:szCs w:val="24"/>
          <w:lang w:val="en-US" w:eastAsia="en-IN" w:bidi="ar-SA"/>
          <w14:ligatures w14:val="none"/>
        </w:rPr>
        <w:t xml:space="preserve"> 2018;</w:t>
      </w:r>
      <w:r w:rsidRPr="005D29E2">
        <w:rPr>
          <w:rFonts w:ascii="Calibri" w:eastAsia="Times New Roman" w:hAnsi="Calibri" w:cs="Calibri"/>
          <w:b/>
          <w:bCs/>
          <w:kern w:val="0"/>
          <w:sz w:val="24"/>
          <w:szCs w:val="24"/>
          <w:lang w:val="en-US" w:eastAsia="en-IN" w:bidi="ar-SA"/>
          <w14:ligatures w14:val="none"/>
        </w:rPr>
        <w:t>16</w:t>
      </w:r>
      <w:r w:rsidRPr="005D29E2">
        <w:rPr>
          <w:rFonts w:ascii="Calibri" w:eastAsia="Times New Roman" w:hAnsi="Calibri" w:cs="Calibri"/>
          <w:kern w:val="0"/>
          <w:sz w:val="24"/>
          <w:szCs w:val="24"/>
          <w:lang w:val="en-US" w:eastAsia="en-IN" w:bidi="ar-SA"/>
          <w14:ligatures w14:val="none"/>
        </w:rPr>
        <w:t xml:space="preserve">(1):54-60. </w:t>
      </w:r>
    </w:p>
    <w:p w14:paraId="7C7CF1B9" w14:textId="12C36030"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Akter M, et al. A systematic evaluation of online guidance for managing hyperkalemia through dietary approaches in individuals with chronic kidney disease. </w:t>
      </w:r>
      <w:r w:rsidRPr="005D29E2">
        <w:rPr>
          <w:rFonts w:ascii="Calibri" w:eastAsia="Times New Roman" w:hAnsi="Calibri" w:cs="Calibri"/>
          <w:i/>
          <w:iCs/>
          <w:kern w:val="0"/>
          <w:sz w:val="24"/>
          <w:szCs w:val="24"/>
          <w:lang w:val="en-US" w:eastAsia="en-IN" w:bidi="ar-SA"/>
          <w14:ligatures w14:val="none"/>
        </w:rPr>
        <w:t>J Ren Nutr.</w:t>
      </w:r>
      <w:r w:rsidRPr="005D29E2">
        <w:rPr>
          <w:rFonts w:ascii="Calibri" w:eastAsia="Times New Roman" w:hAnsi="Calibri" w:cs="Calibri"/>
          <w:kern w:val="0"/>
          <w:sz w:val="24"/>
          <w:szCs w:val="24"/>
          <w:lang w:val="en-US" w:eastAsia="en-IN" w:bidi="ar-SA"/>
          <w14:ligatures w14:val="none"/>
        </w:rPr>
        <w:t xml:space="preserve"> 2026;</w:t>
      </w:r>
      <w:r w:rsidRPr="005D29E2">
        <w:rPr>
          <w:rFonts w:ascii="Calibri" w:eastAsia="Times New Roman" w:hAnsi="Calibri" w:cs="Calibri"/>
          <w:b/>
          <w:bCs/>
          <w:kern w:val="0"/>
          <w:sz w:val="24"/>
          <w:szCs w:val="24"/>
          <w:lang w:val="en-US" w:eastAsia="en-IN" w:bidi="ar-SA"/>
          <w14:ligatures w14:val="none"/>
        </w:rPr>
        <w:t>36</w:t>
      </w:r>
      <w:r w:rsidRPr="005D29E2">
        <w:rPr>
          <w:rFonts w:ascii="Calibri" w:eastAsia="Times New Roman" w:hAnsi="Calibri" w:cs="Calibri"/>
          <w:kern w:val="0"/>
          <w:sz w:val="24"/>
          <w:szCs w:val="24"/>
          <w:lang w:val="en-US" w:eastAsia="en-IN" w:bidi="ar-SA"/>
          <w14:ligatures w14:val="none"/>
        </w:rPr>
        <w:t xml:space="preserve">(4):594-601. </w:t>
      </w:r>
    </w:p>
    <w:p w14:paraId="60523B18" w14:textId="44EAA4A3"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lastRenderedPageBreak/>
        <w:t xml:space="preserve">Narasaki Y, et al. Dietary potassium and fiber intake, survival, and health-related quality of life, in a prospective multi-center hemodialysis cohort. </w:t>
      </w:r>
      <w:r w:rsidRPr="005D29E2">
        <w:rPr>
          <w:rFonts w:ascii="Calibri" w:eastAsia="Times New Roman" w:hAnsi="Calibri" w:cs="Calibri"/>
          <w:i/>
          <w:iCs/>
          <w:kern w:val="0"/>
          <w:sz w:val="24"/>
          <w:szCs w:val="24"/>
          <w:lang w:val="en-US" w:eastAsia="en-IN" w:bidi="ar-SA"/>
          <w14:ligatures w14:val="none"/>
        </w:rPr>
        <w:t xml:space="preserve">Clin </w:t>
      </w:r>
      <w:proofErr w:type="spellStart"/>
      <w:r w:rsidRPr="005D29E2">
        <w:rPr>
          <w:rFonts w:ascii="Calibri" w:eastAsia="Times New Roman" w:hAnsi="Calibri" w:cs="Calibri"/>
          <w:i/>
          <w:iCs/>
          <w:kern w:val="0"/>
          <w:sz w:val="24"/>
          <w:szCs w:val="24"/>
          <w:lang w:val="en-US" w:eastAsia="en-IN" w:bidi="ar-SA"/>
          <w14:ligatures w14:val="none"/>
        </w:rPr>
        <w:t>Nutr</w:t>
      </w:r>
      <w:proofErr w:type="spellEnd"/>
      <w:r w:rsidRPr="005D29E2">
        <w:rPr>
          <w:rFonts w:ascii="Calibri" w:eastAsia="Times New Roman" w:hAnsi="Calibri" w:cs="Calibri"/>
          <w:i/>
          <w:iCs/>
          <w:kern w:val="0"/>
          <w:sz w:val="24"/>
          <w:szCs w:val="24"/>
          <w:lang w:val="en-US" w:eastAsia="en-IN" w:bidi="ar-SA"/>
          <w14:ligatures w14:val="none"/>
        </w:rPr>
        <w:t>.</w:t>
      </w:r>
      <w:r w:rsidRPr="005D29E2">
        <w:rPr>
          <w:rFonts w:ascii="Calibri" w:eastAsia="Times New Roman" w:hAnsi="Calibri" w:cs="Calibri"/>
          <w:kern w:val="0"/>
          <w:sz w:val="24"/>
          <w:szCs w:val="24"/>
          <w:lang w:val="en-US" w:eastAsia="en-IN" w:bidi="ar-SA"/>
          <w14:ligatures w14:val="none"/>
        </w:rPr>
        <w:t xml:space="preserve"> </w:t>
      </w:r>
      <w:proofErr w:type="gramStart"/>
      <w:r w:rsidRPr="005D29E2">
        <w:rPr>
          <w:rFonts w:ascii="Calibri" w:eastAsia="Times New Roman" w:hAnsi="Calibri" w:cs="Calibri"/>
          <w:kern w:val="0"/>
          <w:sz w:val="24"/>
          <w:szCs w:val="24"/>
          <w:lang w:val="en-US" w:eastAsia="en-IN" w:bidi="ar-SA"/>
          <w14:ligatures w14:val="none"/>
        </w:rPr>
        <w:t>2026;</w:t>
      </w:r>
      <w:r w:rsidRPr="005D29E2">
        <w:rPr>
          <w:rFonts w:ascii="Calibri" w:eastAsia="Times New Roman" w:hAnsi="Calibri" w:cs="Calibri"/>
          <w:b/>
          <w:bCs/>
          <w:kern w:val="0"/>
          <w:sz w:val="24"/>
          <w:szCs w:val="24"/>
          <w:lang w:val="en-US" w:eastAsia="en-IN" w:bidi="ar-SA"/>
          <w14:ligatures w14:val="none"/>
        </w:rPr>
        <w:t>59</w:t>
      </w:r>
      <w:r w:rsidRPr="005D29E2">
        <w:rPr>
          <w:rFonts w:ascii="Calibri" w:eastAsia="Times New Roman" w:hAnsi="Calibri" w:cs="Calibri"/>
          <w:kern w:val="0"/>
          <w:sz w:val="24"/>
          <w:szCs w:val="24"/>
          <w:lang w:val="en-US" w:eastAsia="en-IN" w:bidi="ar-SA"/>
          <w14:ligatures w14:val="none"/>
        </w:rPr>
        <w:t>:106599</w:t>
      </w:r>
      <w:proofErr w:type="gramEnd"/>
      <w:r w:rsidRPr="005D29E2">
        <w:rPr>
          <w:rFonts w:ascii="Calibri" w:eastAsia="Times New Roman" w:hAnsi="Calibri" w:cs="Calibri"/>
          <w:kern w:val="0"/>
          <w:sz w:val="24"/>
          <w:szCs w:val="24"/>
          <w:lang w:val="en-US" w:eastAsia="en-IN" w:bidi="ar-SA"/>
          <w14:ligatures w14:val="none"/>
        </w:rPr>
        <w:t xml:space="preserve">. </w:t>
      </w:r>
    </w:p>
    <w:p w14:paraId="4DB1EF58" w14:textId="1848CF0B"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Ban Y, et al. Prevalence and influencing factors of malnutrition in maintenance hemodialysis patients in China: a systematic review. </w:t>
      </w:r>
      <w:r w:rsidRPr="005D29E2">
        <w:rPr>
          <w:rFonts w:ascii="Calibri" w:eastAsia="Times New Roman" w:hAnsi="Calibri" w:cs="Calibri"/>
          <w:i/>
          <w:iCs/>
          <w:kern w:val="0"/>
          <w:sz w:val="24"/>
          <w:szCs w:val="24"/>
          <w:lang w:val="en-US" w:eastAsia="en-IN" w:bidi="ar-SA"/>
          <w14:ligatures w14:val="none"/>
        </w:rPr>
        <w:t>Front Public Health.</w:t>
      </w:r>
      <w:r w:rsidRPr="005D29E2">
        <w:rPr>
          <w:rFonts w:ascii="Calibri" w:eastAsia="Times New Roman" w:hAnsi="Calibri" w:cs="Calibri"/>
          <w:kern w:val="0"/>
          <w:sz w:val="24"/>
          <w:szCs w:val="24"/>
          <w:lang w:val="en-US" w:eastAsia="en-IN" w:bidi="ar-SA"/>
          <w14:ligatures w14:val="none"/>
        </w:rPr>
        <w:t xml:space="preserve"> </w:t>
      </w:r>
      <w:proofErr w:type="gramStart"/>
      <w:r w:rsidRPr="005D29E2">
        <w:rPr>
          <w:rFonts w:ascii="Calibri" w:eastAsia="Times New Roman" w:hAnsi="Calibri" w:cs="Calibri"/>
          <w:kern w:val="0"/>
          <w:sz w:val="24"/>
          <w:szCs w:val="24"/>
          <w:lang w:val="en-US" w:eastAsia="en-IN" w:bidi="ar-SA"/>
          <w14:ligatures w14:val="none"/>
        </w:rPr>
        <w:t>2026;</w:t>
      </w:r>
      <w:r w:rsidRPr="005D29E2">
        <w:rPr>
          <w:rFonts w:ascii="Calibri" w:eastAsia="Times New Roman" w:hAnsi="Calibri" w:cs="Calibri"/>
          <w:b/>
          <w:bCs/>
          <w:kern w:val="0"/>
          <w:sz w:val="24"/>
          <w:szCs w:val="24"/>
          <w:lang w:val="en-US" w:eastAsia="en-IN" w:bidi="ar-SA"/>
          <w14:ligatures w14:val="none"/>
        </w:rPr>
        <w:t>14</w:t>
      </w:r>
      <w:r w:rsidRPr="005D29E2">
        <w:rPr>
          <w:rFonts w:ascii="Calibri" w:eastAsia="Times New Roman" w:hAnsi="Calibri" w:cs="Calibri"/>
          <w:kern w:val="0"/>
          <w:sz w:val="24"/>
          <w:szCs w:val="24"/>
          <w:lang w:val="en-US" w:eastAsia="en-IN" w:bidi="ar-SA"/>
          <w14:ligatures w14:val="none"/>
        </w:rPr>
        <w:t>:1771997</w:t>
      </w:r>
      <w:proofErr w:type="gramEnd"/>
      <w:r w:rsidRPr="005D29E2">
        <w:rPr>
          <w:rFonts w:ascii="Calibri" w:eastAsia="Times New Roman" w:hAnsi="Calibri" w:cs="Calibri"/>
          <w:kern w:val="0"/>
          <w:sz w:val="24"/>
          <w:szCs w:val="24"/>
          <w:lang w:val="en-US" w:eastAsia="en-IN" w:bidi="ar-SA"/>
          <w14:ligatures w14:val="none"/>
        </w:rPr>
        <w:t xml:space="preserve">. </w:t>
      </w:r>
    </w:p>
    <w:p w14:paraId="3E37E4D3" w14:textId="55B298C2"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465AA7">
        <w:rPr>
          <w:rFonts w:ascii="Calibri" w:eastAsia="Times New Roman" w:hAnsi="Calibri" w:cs="Calibri"/>
          <w:kern w:val="0"/>
          <w:sz w:val="24"/>
          <w:szCs w:val="24"/>
          <w:lang w:val="de-DE" w:eastAsia="en-IN" w:bidi="ar-SA"/>
          <w14:ligatures w14:val="none"/>
        </w:rPr>
        <w:t xml:space="preserve">Tsang JPY, Cheung DSK, Liu JYW. </w:t>
      </w:r>
      <w:r w:rsidRPr="005D29E2">
        <w:rPr>
          <w:rFonts w:ascii="Calibri" w:eastAsia="Times New Roman" w:hAnsi="Calibri" w:cs="Calibri"/>
          <w:kern w:val="0"/>
          <w:sz w:val="24"/>
          <w:szCs w:val="24"/>
          <w:lang w:val="en-US" w:eastAsia="en-IN" w:bidi="ar-SA"/>
          <w14:ligatures w14:val="none"/>
        </w:rPr>
        <w:t xml:space="preserve">Social factors, dietary intake and the nutritional status of community-dwelling Chinese older adults: a scoping review. </w:t>
      </w:r>
      <w:r w:rsidRPr="005D29E2">
        <w:rPr>
          <w:rFonts w:ascii="Calibri" w:eastAsia="Times New Roman" w:hAnsi="Calibri" w:cs="Calibri"/>
          <w:i/>
          <w:iCs/>
          <w:kern w:val="0"/>
          <w:sz w:val="24"/>
          <w:szCs w:val="24"/>
          <w:lang w:val="en-US" w:eastAsia="en-IN" w:bidi="ar-SA"/>
          <w14:ligatures w14:val="none"/>
        </w:rPr>
        <w:t>Nutrients.</w:t>
      </w:r>
      <w:r w:rsidRPr="005D29E2">
        <w:rPr>
          <w:rFonts w:ascii="Calibri" w:eastAsia="Times New Roman" w:hAnsi="Calibri" w:cs="Calibri"/>
          <w:kern w:val="0"/>
          <w:sz w:val="24"/>
          <w:szCs w:val="24"/>
          <w:lang w:val="en-US" w:eastAsia="en-IN" w:bidi="ar-SA"/>
          <w14:ligatures w14:val="none"/>
        </w:rPr>
        <w:t xml:space="preserve"> 2025;</w:t>
      </w:r>
      <w:r w:rsidRPr="005D29E2">
        <w:rPr>
          <w:rFonts w:ascii="Calibri" w:eastAsia="Times New Roman" w:hAnsi="Calibri" w:cs="Calibri"/>
          <w:b/>
          <w:bCs/>
          <w:kern w:val="0"/>
          <w:sz w:val="24"/>
          <w:szCs w:val="24"/>
          <w:lang w:val="en-US" w:eastAsia="en-IN" w:bidi="ar-SA"/>
          <w14:ligatures w14:val="none"/>
        </w:rPr>
        <w:t>17</w:t>
      </w:r>
      <w:r w:rsidRPr="005D29E2">
        <w:rPr>
          <w:rFonts w:ascii="Calibri" w:eastAsia="Times New Roman" w:hAnsi="Calibri" w:cs="Calibri"/>
          <w:kern w:val="0"/>
          <w:sz w:val="24"/>
          <w:szCs w:val="24"/>
          <w:lang w:val="en-US" w:eastAsia="en-IN" w:bidi="ar-SA"/>
          <w14:ligatures w14:val="none"/>
        </w:rPr>
        <w:t xml:space="preserve">(12):2019. </w:t>
      </w:r>
    </w:p>
    <w:p w14:paraId="0152550A" w14:textId="71F96EF8" w:rsidR="00F60A06" w:rsidRPr="005D29E2" w:rsidRDefault="00F60A06" w:rsidP="005D29E2">
      <w:pPr>
        <w:pStyle w:val="ListParagraph"/>
        <w:numPr>
          <w:ilvl w:val="0"/>
          <w:numId w:val="4"/>
        </w:numPr>
        <w:spacing w:after="0" w:line="240" w:lineRule="auto"/>
        <w:ind w:left="0" w:firstLine="0"/>
        <w:jc w:val="both"/>
        <w:rPr>
          <w:rFonts w:ascii="Calibri" w:eastAsia="Times New Roman" w:hAnsi="Calibri" w:cs="Calibri"/>
          <w:kern w:val="0"/>
          <w:sz w:val="24"/>
          <w:szCs w:val="24"/>
          <w:lang w:val="en-US" w:eastAsia="en-IN" w:bidi="ar-SA"/>
          <w14:ligatures w14:val="none"/>
        </w:rPr>
      </w:pPr>
      <w:r w:rsidRPr="005D29E2">
        <w:rPr>
          <w:rFonts w:ascii="Calibri" w:eastAsia="Times New Roman" w:hAnsi="Calibri" w:cs="Calibri"/>
          <w:kern w:val="0"/>
          <w:sz w:val="24"/>
          <w:szCs w:val="24"/>
          <w:lang w:val="en-US" w:eastAsia="en-IN" w:bidi="ar-SA"/>
          <w14:ligatures w14:val="none"/>
        </w:rPr>
        <w:t xml:space="preserve">Shohat T, et al. </w:t>
      </w:r>
      <w:r w:rsidRPr="005D29E2">
        <w:rPr>
          <w:rFonts w:ascii="Calibri" w:eastAsia="Times New Roman" w:hAnsi="Calibri" w:cs="Calibri"/>
          <w:i/>
          <w:iCs/>
          <w:kern w:val="0"/>
          <w:sz w:val="24"/>
          <w:szCs w:val="24"/>
          <w:lang w:val="en-US" w:eastAsia="en-IN" w:bidi="ar-SA"/>
          <w14:ligatures w14:val="none"/>
        </w:rPr>
        <w:t>Renal Replacement Therapy in Israel 1990-2015.</w:t>
      </w:r>
      <w:r w:rsidRPr="005D29E2">
        <w:rPr>
          <w:rFonts w:ascii="Calibri" w:eastAsia="Times New Roman" w:hAnsi="Calibri" w:cs="Calibri"/>
          <w:kern w:val="0"/>
          <w:sz w:val="24"/>
          <w:szCs w:val="24"/>
          <w:lang w:val="en-US" w:eastAsia="en-IN" w:bidi="ar-SA"/>
          <w14:ligatures w14:val="none"/>
        </w:rPr>
        <w:t xml:space="preserve"> Israel Ministry of Health, Israel Society for Nephrology and Hypertension; Jerusalem, Israel; 2018. ICDC Publication No. 367. </w:t>
      </w:r>
    </w:p>
    <w:p w14:paraId="7536DE0F" w14:textId="6C30D64E" w:rsidR="0006743D" w:rsidRPr="005D29E2" w:rsidRDefault="00F60A06" w:rsidP="005D29E2">
      <w:pPr>
        <w:pStyle w:val="ListParagraph"/>
        <w:numPr>
          <w:ilvl w:val="0"/>
          <w:numId w:val="4"/>
        </w:numPr>
        <w:spacing w:after="0" w:line="240" w:lineRule="auto"/>
        <w:ind w:left="0" w:firstLine="0"/>
        <w:jc w:val="both"/>
        <w:rPr>
          <w:rFonts w:ascii="Calibri" w:hAnsi="Calibri" w:cs="Calibri"/>
          <w:sz w:val="24"/>
          <w:szCs w:val="24"/>
          <w:lang w:val="en-US"/>
        </w:rPr>
      </w:pPr>
      <w:r w:rsidRPr="005D29E2">
        <w:rPr>
          <w:rFonts w:ascii="Calibri" w:eastAsia="Times New Roman" w:hAnsi="Calibri" w:cs="Calibri"/>
          <w:kern w:val="0"/>
          <w:sz w:val="24"/>
          <w:szCs w:val="24"/>
          <w:lang w:val="en-US" w:eastAsia="en-IN" w:bidi="ar-SA"/>
          <w14:ligatures w14:val="none"/>
        </w:rPr>
        <w:t xml:space="preserve">Freedman LS, et al. Evaluation of the 24-hour recall as a reference instrument for calibrating other self-report instruments in nutritional cohort studies: evidence from the Validation Studies Pooling Project. </w:t>
      </w:r>
      <w:r w:rsidRPr="005D29E2">
        <w:rPr>
          <w:rFonts w:ascii="Calibri" w:eastAsia="Times New Roman" w:hAnsi="Calibri" w:cs="Calibri"/>
          <w:i/>
          <w:iCs/>
          <w:kern w:val="0"/>
          <w:sz w:val="24"/>
          <w:szCs w:val="24"/>
          <w:lang w:val="en-US" w:eastAsia="en-IN" w:bidi="ar-SA"/>
          <w14:ligatures w14:val="none"/>
        </w:rPr>
        <w:t>Am J Epidemiol.</w:t>
      </w:r>
      <w:r w:rsidRPr="005D29E2">
        <w:rPr>
          <w:rFonts w:ascii="Calibri" w:eastAsia="Times New Roman" w:hAnsi="Calibri" w:cs="Calibri"/>
          <w:kern w:val="0"/>
          <w:sz w:val="24"/>
          <w:szCs w:val="24"/>
          <w:lang w:val="en-US" w:eastAsia="en-IN" w:bidi="ar-SA"/>
          <w14:ligatures w14:val="none"/>
        </w:rPr>
        <w:t xml:space="preserve"> 2017;</w:t>
      </w:r>
      <w:r w:rsidRPr="005D29E2">
        <w:rPr>
          <w:rFonts w:ascii="Calibri" w:eastAsia="Times New Roman" w:hAnsi="Calibri" w:cs="Calibri"/>
          <w:b/>
          <w:bCs/>
          <w:kern w:val="0"/>
          <w:sz w:val="24"/>
          <w:szCs w:val="24"/>
          <w:lang w:val="en-US" w:eastAsia="en-IN" w:bidi="ar-SA"/>
          <w14:ligatures w14:val="none"/>
        </w:rPr>
        <w:t>186</w:t>
      </w:r>
      <w:r w:rsidRPr="005D29E2">
        <w:rPr>
          <w:rFonts w:ascii="Calibri" w:eastAsia="Times New Roman" w:hAnsi="Calibri" w:cs="Calibri"/>
          <w:kern w:val="0"/>
          <w:sz w:val="24"/>
          <w:szCs w:val="24"/>
          <w:lang w:val="en-US" w:eastAsia="en-IN" w:bidi="ar-SA"/>
          <w14:ligatures w14:val="none"/>
        </w:rPr>
        <w:t>(1):73-82.</w:t>
      </w:r>
    </w:p>
    <w:sectPr w:rsidR="0006743D" w:rsidRPr="005D29E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76EDB" w14:textId="77777777" w:rsidR="0083133C" w:rsidRDefault="0083133C">
      <w:pPr>
        <w:spacing w:after="0" w:line="240" w:lineRule="auto"/>
      </w:pPr>
      <w:r>
        <w:separator/>
      </w:r>
    </w:p>
  </w:endnote>
  <w:endnote w:type="continuationSeparator" w:id="0">
    <w:p w14:paraId="77864D10" w14:textId="77777777" w:rsidR="0083133C" w:rsidRDefault="00831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7F0D4" w14:textId="77777777" w:rsidR="0083133C" w:rsidRDefault="0083133C">
      <w:pPr>
        <w:spacing w:after="0" w:line="240" w:lineRule="auto"/>
      </w:pPr>
      <w:r>
        <w:separator/>
      </w:r>
    </w:p>
  </w:footnote>
  <w:footnote w:type="continuationSeparator" w:id="0">
    <w:p w14:paraId="763AAD04" w14:textId="77777777" w:rsidR="0083133C" w:rsidRDefault="008313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46845"/>
      <w:docPartObj>
        <w:docPartGallery w:val="Page Numbers (Top of Page)"/>
        <w:docPartUnique/>
      </w:docPartObj>
    </w:sdtPr>
    <w:sdtEndPr>
      <w:rPr>
        <w:noProof/>
      </w:rPr>
    </w:sdtEndPr>
    <w:sdtContent>
      <w:p w14:paraId="5105DF90" w14:textId="45FC91D7" w:rsidR="00EF4B4D" w:rsidRDefault="00FB274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7DA68FF" w14:textId="77777777" w:rsidR="00EF4B4D" w:rsidRDefault="00EF4B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17F0D"/>
    <w:multiLevelType w:val="hybridMultilevel"/>
    <w:tmpl w:val="1D384630"/>
    <w:lvl w:ilvl="0" w:tplc="94504F7C">
      <w:numFmt w:val="bullet"/>
      <w:lvlText w:val=""/>
      <w:lvlJc w:val="left"/>
      <w:pPr>
        <w:ind w:left="720" w:hanging="360"/>
      </w:pPr>
      <w:rPr>
        <w:rFonts w:ascii="Symbol" w:eastAsia="Times New Roman" w:hAnsi="Symbol" w:cs="Times New Roman" w:hint="default"/>
      </w:rPr>
    </w:lvl>
    <w:lvl w:ilvl="1" w:tplc="B7DE6D9A" w:tentative="1">
      <w:start w:val="1"/>
      <w:numFmt w:val="bullet"/>
      <w:lvlText w:val="o"/>
      <w:lvlJc w:val="left"/>
      <w:pPr>
        <w:ind w:left="1440" w:hanging="360"/>
      </w:pPr>
      <w:rPr>
        <w:rFonts w:ascii="Courier New" w:hAnsi="Courier New" w:cs="Courier New" w:hint="default"/>
      </w:rPr>
    </w:lvl>
    <w:lvl w:ilvl="2" w:tplc="30C8D7E8" w:tentative="1">
      <w:start w:val="1"/>
      <w:numFmt w:val="bullet"/>
      <w:lvlText w:val=""/>
      <w:lvlJc w:val="left"/>
      <w:pPr>
        <w:ind w:left="2160" w:hanging="360"/>
      </w:pPr>
      <w:rPr>
        <w:rFonts w:ascii="Wingdings" w:hAnsi="Wingdings" w:hint="default"/>
      </w:rPr>
    </w:lvl>
    <w:lvl w:ilvl="3" w:tplc="6F6E561A" w:tentative="1">
      <w:start w:val="1"/>
      <w:numFmt w:val="bullet"/>
      <w:lvlText w:val=""/>
      <w:lvlJc w:val="left"/>
      <w:pPr>
        <w:ind w:left="2880" w:hanging="360"/>
      </w:pPr>
      <w:rPr>
        <w:rFonts w:ascii="Symbol" w:hAnsi="Symbol" w:hint="default"/>
      </w:rPr>
    </w:lvl>
    <w:lvl w:ilvl="4" w:tplc="B6FC8B98" w:tentative="1">
      <w:start w:val="1"/>
      <w:numFmt w:val="bullet"/>
      <w:lvlText w:val="o"/>
      <w:lvlJc w:val="left"/>
      <w:pPr>
        <w:ind w:left="3600" w:hanging="360"/>
      </w:pPr>
      <w:rPr>
        <w:rFonts w:ascii="Courier New" w:hAnsi="Courier New" w:cs="Courier New" w:hint="default"/>
      </w:rPr>
    </w:lvl>
    <w:lvl w:ilvl="5" w:tplc="ED846922" w:tentative="1">
      <w:start w:val="1"/>
      <w:numFmt w:val="bullet"/>
      <w:lvlText w:val=""/>
      <w:lvlJc w:val="left"/>
      <w:pPr>
        <w:ind w:left="4320" w:hanging="360"/>
      </w:pPr>
      <w:rPr>
        <w:rFonts w:ascii="Wingdings" w:hAnsi="Wingdings" w:hint="default"/>
      </w:rPr>
    </w:lvl>
    <w:lvl w:ilvl="6" w:tplc="BBF89628" w:tentative="1">
      <w:start w:val="1"/>
      <w:numFmt w:val="bullet"/>
      <w:lvlText w:val=""/>
      <w:lvlJc w:val="left"/>
      <w:pPr>
        <w:ind w:left="5040" w:hanging="360"/>
      </w:pPr>
      <w:rPr>
        <w:rFonts w:ascii="Symbol" w:hAnsi="Symbol" w:hint="default"/>
      </w:rPr>
    </w:lvl>
    <w:lvl w:ilvl="7" w:tplc="0554E394" w:tentative="1">
      <w:start w:val="1"/>
      <w:numFmt w:val="bullet"/>
      <w:lvlText w:val="o"/>
      <w:lvlJc w:val="left"/>
      <w:pPr>
        <w:ind w:left="5760" w:hanging="360"/>
      </w:pPr>
      <w:rPr>
        <w:rFonts w:ascii="Courier New" w:hAnsi="Courier New" w:cs="Courier New" w:hint="default"/>
      </w:rPr>
    </w:lvl>
    <w:lvl w:ilvl="8" w:tplc="6AFA8B96" w:tentative="1">
      <w:start w:val="1"/>
      <w:numFmt w:val="bullet"/>
      <w:lvlText w:val=""/>
      <w:lvlJc w:val="left"/>
      <w:pPr>
        <w:ind w:left="6480" w:hanging="360"/>
      </w:pPr>
      <w:rPr>
        <w:rFonts w:ascii="Wingdings" w:hAnsi="Wingdings" w:hint="default"/>
      </w:rPr>
    </w:lvl>
  </w:abstractNum>
  <w:abstractNum w:abstractNumId="1" w15:restartNumberingAfterBreak="0">
    <w:nsid w:val="42D0656F"/>
    <w:multiLevelType w:val="hybridMultilevel"/>
    <w:tmpl w:val="2D849F18"/>
    <w:lvl w:ilvl="0" w:tplc="387EC3B0">
      <w:start w:val="1"/>
      <w:numFmt w:val="decimal"/>
      <w:lvlText w:val="%1."/>
      <w:lvlJc w:val="left"/>
      <w:pPr>
        <w:ind w:left="720" w:hanging="360"/>
      </w:pPr>
    </w:lvl>
    <w:lvl w:ilvl="1" w:tplc="B558879E" w:tentative="1">
      <w:start w:val="1"/>
      <w:numFmt w:val="lowerLetter"/>
      <w:lvlText w:val="%2."/>
      <w:lvlJc w:val="left"/>
      <w:pPr>
        <w:ind w:left="1440" w:hanging="360"/>
      </w:pPr>
    </w:lvl>
    <w:lvl w:ilvl="2" w:tplc="2672668C" w:tentative="1">
      <w:start w:val="1"/>
      <w:numFmt w:val="lowerRoman"/>
      <w:lvlText w:val="%3."/>
      <w:lvlJc w:val="right"/>
      <w:pPr>
        <w:ind w:left="2160" w:hanging="180"/>
      </w:pPr>
    </w:lvl>
    <w:lvl w:ilvl="3" w:tplc="975E9EF0" w:tentative="1">
      <w:start w:val="1"/>
      <w:numFmt w:val="decimal"/>
      <w:lvlText w:val="%4."/>
      <w:lvlJc w:val="left"/>
      <w:pPr>
        <w:ind w:left="2880" w:hanging="360"/>
      </w:pPr>
    </w:lvl>
    <w:lvl w:ilvl="4" w:tplc="012C6F92" w:tentative="1">
      <w:start w:val="1"/>
      <w:numFmt w:val="lowerLetter"/>
      <w:lvlText w:val="%5."/>
      <w:lvlJc w:val="left"/>
      <w:pPr>
        <w:ind w:left="3600" w:hanging="360"/>
      </w:pPr>
    </w:lvl>
    <w:lvl w:ilvl="5" w:tplc="961AFD30" w:tentative="1">
      <w:start w:val="1"/>
      <w:numFmt w:val="lowerRoman"/>
      <w:lvlText w:val="%6."/>
      <w:lvlJc w:val="right"/>
      <w:pPr>
        <w:ind w:left="4320" w:hanging="180"/>
      </w:pPr>
    </w:lvl>
    <w:lvl w:ilvl="6" w:tplc="CC788F56" w:tentative="1">
      <w:start w:val="1"/>
      <w:numFmt w:val="decimal"/>
      <w:lvlText w:val="%7."/>
      <w:lvlJc w:val="left"/>
      <w:pPr>
        <w:ind w:left="5040" w:hanging="360"/>
      </w:pPr>
    </w:lvl>
    <w:lvl w:ilvl="7" w:tplc="66507CB6" w:tentative="1">
      <w:start w:val="1"/>
      <w:numFmt w:val="lowerLetter"/>
      <w:lvlText w:val="%8."/>
      <w:lvlJc w:val="left"/>
      <w:pPr>
        <w:ind w:left="5760" w:hanging="360"/>
      </w:pPr>
    </w:lvl>
    <w:lvl w:ilvl="8" w:tplc="EEB8B39A" w:tentative="1">
      <w:start w:val="1"/>
      <w:numFmt w:val="lowerRoman"/>
      <w:lvlText w:val="%9."/>
      <w:lvlJc w:val="right"/>
      <w:pPr>
        <w:ind w:left="6480" w:hanging="180"/>
      </w:pPr>
    </w:lvl>
  </w:abstractNum>
  <w:abstractNum w:abstractNumId="2" w15:restartNumberingAfterBreak="0">
    <w:nsid w:val="4A961D42"/>
    <w:multiLevelType w:val="hybridMultilevel"/>
    <w:tmpl w:val="78CED8CE"/>
    <w:lvl w:ilvl="0" w:tplc="5DA858C0">
      <w:start w:val="1"/>
      <w:numFmt w:val="decimal"/>
      <w:lvlText w:val="%1."/>
      <w:lvlJc w:val="left"/>
      <w:pPr>
        <w:ind w:left="720" w:hanging="360"/>
      </w:pPr>
    </w:lvl>
    <w:lvl w:ilvl="1" w:tplc="4558B040" w:tentative="1">
      <w:start w:val="1"/>
      <w:numFmt w:val="lowerLetter"/>
      <w:lvlText w:val="%2."/>
      <w:lvlJc w:val="left"/>
      <w:pPr>
        <w:ind w:left="1440" w:hanging="360"/>
      </w:pPr>
    </w:lvl>
    <w:lvl w:ilvl="2" w:tplc="F488BCE8" w:tentative="1">
      <w:start w:val="1"/>
      <w:numFmt w:val="lowerRoman"/>
      <w:lvlText w:val="%3."/>
      <w:lvlJc w:val="right"/>
      <w:pPr>
        <w:ind w:left="2160" w:hanging="180"/>
      </w:pPr>
    </w:lvl>
    <w:lvl w:ilvl="3" w:tplc="92DEC686" w:tentative="1">
      <w:start w:val="1"/>
      <w:numFmt w:val="decimal"/>
      <w:lvlText w:val="%4."/>
      <w:lvlJc w:val="left"/>
      <w:pPr>
        <w:ind w:left="2880" w:hanging="360"/>
      </w:pPr>
    </w:lvl>
    <w:lvl w:ilvl="4" w:tplc="902A00BC" w:tentative="1">
      <w:start w:val="1"/>
      <w:numFmt w:val="lowerLetter"/>
      <w:lvlText w:val="%5."/>
      <w:lvlJc w:val="left"/>
      <w:pPr>
        <w:ind w:left="3600" w:hanging="360"/>
      </w:pPr>
    </w:lvl>
    <w:lvl w:ilvl="5" w:tplc="8BC803C8" w:tentative="1">
      <w:start w:val="1"/>
      <w:numFmt w:val="lowerRoman"/>
      <w:lvlText w:val="%6."/>
      <w:lvlJc w:val="right"/>
      <w:pPr>
        <w:ind w:left="4320" w:hanging="180"/>
      </w:pPr>
    </w:lvl>
    <w:lvl w:ilvl="6" w:tplc="4BEE7D36" w:tentative="1">
      <w:start w:val="1"/>
      <w:numFmt w:val="decimal"/>
      <w:lvlText w:val="%7."/>
      <w:lvlJc w:val="left"/>
      <w:pPr>
        <w:ind w:left="5040" w:hanging="360"/>
      </w:pPr>
    </w:lvl>
    <w:lvl w:ilvl="7" w:tplc="EDF0AC4A" w:tentative="1">
      <w:start w:val="1"/>
      <w:numFmt w:val="lowerLetter"/>
      <w:lvlText w:val="%8."/>
      <w:lvlJc w:val="left"/>
      <w:pPr>
        <w:ind w:left="5760" w:hanging="360"/>
      </w:pPr>
    </w:lvl>
    <w:lvl w:ilvl="8" w:tplc="1E04D0D2" w:tentative="1">
      <w:start w:val="1"/>
      <w:numFmt w:val="lowerRoman"/>
      <w:lvlText w:val="%9."/>
      <w:lvlJc w:val="right"/>
      <w:pPr>
        <w:ind w:left="6480" w:hanging="180"/>
      </w:pPr>
    </w:lvl>
  </w:abstractNum>
  <w:abstractNum w:abstractNumId="3" w15:restartNumberingAfterBreak="0">
    <w:nsid w:val="4D2135E6"/>
    <w:multiLevelType w:val="hybridMultilevel"/>
    <w:tmpl w:val="E3B2AC24"/>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54ED4DE2"/>
    <w:multiLevelType w:val="hybridMultilevel"/>
    <w:tmpl w:val="56C2CB9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191504">
    <w:abstractNumId w:val="2"/>
  </w:num>
  <w:num w:numId="2" w16cid:durableId="1000621008">
    <w:abstractNumId w:val="1"/>
  </w:num>
  <w:num w:numId="3" w16cid:durableId="1332954927">
    <w:abstractNumId w:val="0"/>
  </w:num>
  <w:num w:numId="4" w16cid:durableId="1292446114">
    <w:abstractNumId w:val="4"/>
  </w:num>
  <w:num w:numId="5" w16cid:durableId="15332243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041"/>
    <w:rsid w:val="00002F67"/>
    <w:rsid w:val="00005041"/>
    <w:rsid w:val="00023A5B"/>
    <w:rsid w:val="00024AE7"/>
    <w:rsid w:val="00035F4A"/>
    <w:rsid w:val="000562CA"/>
    <w:rsid w:val="00066196"/>
    <w:rsid w:val="0006743D"/>
    <w:rsid w:val="00072F9E"/>
    <w:rsid w:val="00081D41"/>
    <w:rsid w:val="000C6631"/>
    <w:rsid w:val="000D6489"/>
    <w:rsid w:val="000F2C64"/>
    <w:rsid w:val="000F311F"/>
    <w:rsid w:val="00107CF5"/>
    <w:rsid w:val="00107D10"/>
    <w:rsid w:val="0011017D"/>
    <w:rsid w:val="00125021"/>
    <w:rsid w:val="0014647D"/>
    <w:rsid w:val="001C5D87"/>
    <w:rsid w:val="001E1927"/>
    <w:rsid w:val="001F3C35"/>
    <w:rsid w:val="00202CDE"/>
    <w:rsid w:val="002035E5"/>
    <w:rsid w:val="00204D90"/>
    <w:rsid w:val="002341DF"/>
    <w:rsid w:val="002635EE"/>
    <w:rsid w:val="00282148"/>
    <w:rsid w:val="0028394D"/>
    <w:rsid w:val="0028439F"/>
    <w:rsid w:val="00294E62"/>
    <w:rsid w:val="00295238"/>
    <w:rsid w:val="002C43F0"/>
    <w:rsid w:val="002C681C"/>
    <w:rsid w:val="00305767"/>
    <w:rsid w:val="00334FD9"/>
    <w:rsid w:val="003F1C65"/>
    <w:rsid w:val="003F5A87"/>
    <w:rsid w:val="004179BB"/>
    <w:rsid w:val="00420E42"/>
    <w:rsid w:val="004279E3"/>
    <w:rsid w:val="004377E1"/>
    <w:rsid w:val="00465AA7"/>
    <w:rsid w:val="00465DE3"/>
    <w:rsid w:val="00471F7F"/>
    <w:rsid w:val="00474666"/>
    <w:rsid w:val="00487368"/>
    <w:rsid w:val="004B51F2"/>
    <w:rsid w:val="005077DA"/>
    <w:rsid w:val="00544BE9"/>
    <w:rsid w:val="0055570A"/>
    <w:rsid w:val="00584EB4"/>
    <w:rsid w:val="00597C42"/>
    <w:rsid w:val="005A2F70"/>
    <w:rsid w:val="005D29E2"/>
    <w:rsid w:val="005E5439"/>
    <w:rsid w:val="005E6DD5"/>
    <w:rsid w:val="005F2950"/>
    <w:rsid w:val="00632FB9"/>
    <w:rsid w:val="0065108A"/>
    <w:rsid w:val="00653F5C"/>
    <w:rsid w:val="00655041"/>
    <w:rsid w:val="00664568"/>
    <w:rsid w:val="006805D7"/>
    <w:rsid w:val="0068599A"/>
    <w:rsid w:val="006861B3"/>
    <w:rsid w:val="00695C25"/>
    <w:rsid w:val="006B3AB6"/>
    <w:rsid w:val="006B5146"/>
    <w:rsid w:val="006C3CC6"/>
    <w:rsid w:val="006D1FFA"/>
    <w:rsid w:val="006D54A1"/>
    <w:rsid w:val="006E790F"/>
    <w:rsid w:val="006F4252"/>
    <w:rsid w:val="0073731D"/>
    <w:rsid w:val="007420E2"/>
    <w:rsid w:val="00766049"/>
    <w:rsid w:val="00782EDB"/>
    <w:rsid w:val="007B52B9"/>
    <w:rsid w:val="008128F0"/>
    <w:rsid w:val="0083133C"/>
    <w:rsid w:val="00845B31"/>
    <w:rsid w:val="008465CD"/>
    <w:rsid w:val="0086769F"/>
    <w:rsid w:val="00881B4D"/>
    <w:rsid w:val="008B7D85"/>
    <w:rsid w:val="008D23C0"/>
    <w:rsid w:val="008D3655"/>
    <w:rsid w:val="00925113"/>
    <w:rsid w:val="009441C9"/>
    <w:rsid w:val="0096021D"/>
    <w:rsid w:val="0097490D"/>
    <w:rsid w:val="009871F5"/>
    <w:rsid w:val="00990A99"/>
    <w:rsid w:val="009A34A1"/>
    <w:rsid w:val="009B587E"/>
    <w:rsid w:val="009B7458"/>
    <w:rsid w:val="009C3DD6"/>
    <w:rsid w:val="009F6052"/>
    <w:rsid w:val="00A066B9"/>
    <w:rsid w:val="00A069A0"/>
    <w:rsid w:val="00A31096"/>
    <w:rsid w:val="00A35065"/>
    <w:rsid w:val="00A37F4C"/>
    <w:rsid w:val="00A40FDD"/>
    <w:rsid w:val="00A4154C"/>
    <w:rsid w:val="00A4342C"/>
    <w:rsid w:val="00A65720"/>
    <w:rsid w:val="00A6584E"/>
    <w:rsid w:val="00A84420"/>
    <w:rsid w:val="00AB4EC5"/>
    <w:rsid w:val="00AB5A3D"/>
    <w:rsid w:val="00AD1DA2"/>
    <w:rsid w:val="00AE3190"/>
    <w:rsid w:val="00AE6F4A"/>
    <w:rsid w:val="00B301BD"/>
    <w:rsid w:val="00B47051"/>
    <w:rsid w:val="00B52B4D"/>
    <w:rsid w:val="00B61B21"/>
    <w:rsid w:val="00B62CF5"/>
    <w:rsid w:val="00B803C5"/>
    <w:rsid w:val="00B94191"/>
    <w:rsid w:val="00BF3DCF"/>
    <w:rsid w:val="00C074DD"/>
    <w:rsid w:val="00C30E1D"/>
    <w:rsid w:val="00C54BFC"/>
    <w:rsid w:val="00C915C1"/>
    <w:rsid w:val="00CA76B0"/>
    <w:rsid w:val="00CC65D8"/>
    <w:rsid w:val="00CC66F9"/>
    <w:rsid w:val="00CD5828"/>
    <w:rsid w:val="00CF226F"/>
    <w:rsid w:val="00CF6D21"/>
    <w:rsid w:val="00D07D83"/>
    <w:rsid w:val="00D414B9"/>
    <w:rsid w:val="00D45C32"/>
    <w:rsid w:val="00D6080C"/>
    <w:rsid w:val="00D61BEB"/>
    <w:rsid w:val="00D824AD"/>
    <w:rsid w:val="00D84E31"/>
    <w:rsid w:val="00D96CA3"/>
    <w:rsid w:val="00D978B1"/>
    <w:rsid w:val="00DA2053"/>
    <w:rsid w:val="00DA758F"/>
    <w:rsid w:val="00DB770A"/>
    <w:rsid w:val="00DE21D3"/>
    <w:rsid w:val="00DF0B0D"/>
    <w:rsid w:val="00E25ADC"/>
    <w:rsid w:val="00E47D24"/>
    <w:rsid w:val="00EA32B4"/>
    <w:rsid w:val="00EF4B4D"/>
    <w:rsid w:val="00F07FAD"/>
    <w:rsid w:val="00F14690"/>
    <w:rsid w:val="00F163FA"/>
    <w:rsid w:val="00F60A06"/>
    <w:rsid w:val="00F613A3"/>
    <w:rsid w:val="00F655E8"/>
    <w:rsid w:val="00F72288"/>
    <w:rsid w:val="00F75E85"/>
    <w:rsid w:val="00F851F5"/>
    <w:rsid w:val="00F86340"/>
    <w:rsid w:val="00F93425"/>
    <w:rsid w:val="00FB2742"/>
    <w:rsid w:val="00FB33BF"/>
    <w:rsid w:val="00FE1A97"/>
    <w:rsid w:val="00FE496C"/>
    <w:rsid w:val="00FE6BA2"/>
    <w:rsid w:val="00FF5333"/>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169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096"/>
  </w:style>
  <w:style w:type="paragraph" w:styleId="Heading1">
    <w:name w:val="heading 1"/>
    <w:basedOn w:val="Normal"/>
    <w:next w:val="Normal"/>
    <w:link w:val="Heading1Char"/>
    <w:uiPriority w:val="9"/>
    <w:qFormat/>
    <w:rsid w:val="006550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50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50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50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50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50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50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50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50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0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50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50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50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50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50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50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50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5041"/>
    <w:rPr>
      <w:rFonts w:eastAsiaTheme="majorEastAsia" w:cstheme="majorBidi"/>
      <w:color w:val="272727" w:themeColor="text1" w:themeTint="D8"/>
    </w:rPr>
  </w:style>
  <w:style w:type="paragraph" w:styleId="Title">
    <w:name w:val="Title"/>
    <w:basedOn w:val="Normal"/>
    <w:next w:val="Normal"/>
    <w:link w:val="TitleChar"/>
    <w:uiPriority w:val="10"/>
    <w:qFormat/>
    <w:rsid w:val="006550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50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50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50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5041"/>
    <w:pPr>
      <w:spacing w:before="160"/>
      <w:jc w:val="center"/>
    </w:pPr>
    <w:rPr>
      <w:i/>
      <w:iCs/>
      <w:color w:val="404040" w:themeColor="text1" w:themeTint="BF"/>
    </w:rPr>
  </w:style>
  <w:style w:type="character" w:customStyle="1" w:styleId="QuoteChar">
    <w:name w:val="Quote Char"/>
    <w:basedOn w:val="DefaultParagraphFont"/>
    <w:link w:val="Quote"/>
    <w:uiPriority w:val="29"/>
    <w:rsid w:val="00655041"/>
    <w:rPr>
      <w:i/>
      <w:iCs/>
      <w:color w:val="404040" w:themeColor="text1" w:themeTint="BF"/>
    </w:rPr>
  </w:style>
  <w:style w:type="paragraph" w:styleId="ListParagraph">
    <w:name w:val="List Paragraph"/>
    <w:basedOn w:val="Normal"/>
    <w:uiPriority w:val="34"/>
    <w:qFormat/>
    <w:rsid w:val="00655041"/>
    <w:pPr>
      <w:ind w:left="720"/>
      <w:contextualSpacing/>
    </w:pPr>
  </w:style>
  <w:style w:type="character" w:styleId="IntenseEmphasis">
    <w:name w:val="Intense Emphasis"/>
    <w:basedOn w:val="DefaultParagraphFont"/>
    <w:uiPriority w:val="21"/>
    <w:qFormat/>
    <w:rsid w:val="00655041"/>
    <w:rPr>
      <w:i/>
      <w:iCs/>
      <w:color w:val="0F4761" w:themeColor="accent1" w:themeShade="BF"/>
    </w:rPr>
  </w:style>
  <w:style w:type="paragraph" w:styleId="IntenseQuote">
    <w:name w:val="Intense Quote"/>
    <w:basedOn w:val="Normal"/>
    <w:next w:val="Normal"/>
    <w:link w:val="IntenseQuoteChar"/>
    <w:uiPriority w:val="30"/>
    <w:qFormat/>
    <w:rsid w:val="006550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5041"/>
    <w:rPr>
      <w:i/>
      <w:iCs/>
      <w:color w:val="0F4761" w:themeColor="accent1" w:themeShade="BF"/>
    </w:rPr>
  </w:style>
  <w:style w:type="character" w:styleId="IntenseReference">
    <w:name w:val="Intense Reference"/>
    <w:basedOn w:val="DefaultParagraphFont"/>
    <w:uiPriority w:val="32"/>
    <w:qFormat/>
    <w:rsid w:val="00655041"/>
    <w:rPr>
      <w:b/>
      <w:bCs/>
      <w:smallCaps/>
      <w:color w:val="0F4761" w:themeColor="accent1" w:themeShade="BF"/>
      <w:spacing w:val="5"/>
    </w:rPr>
  </w:style>
  <w:style w:type="paragraph" w:customStyle="1" w:styleId="Style1">
    <w:name w:val="Style1"/>
    <w:basedOn w:val="Normal"/>
    <w:link w:val="Style1Char"/>
    <w:qFormat/>
    <w:rsid w:val="00655041"/>
    <w:pPr>
      <w:keepNext/>
      <w:widowControl w:val="0"/>
      <w:pBdr>
        <w:top w:val="nil"/>
        <w:left w:val="nil"/>
        <w:bottom w:val="nil"/>
        <w:right w:val="nil"/>
        <w:between w:val="nil"/>
      </w:pBdr>
      <w:bidi/>
      <w:spacing w:after="0" w:line="240" w:lineRule="auto"/>
    </w:pPr>
    <w:rPr>
      <w:rFonts w:ascii="Times New Roman" w:eastAsia="Times New Roman" w:hAnsi="Times New Roman" w:cs="Times New Roman"/>
      <w:bCs/>
      <w:color w:val="000000"/>
      <w:kern w:val="0"/>
      <w:sz w:val="28"/>
      <w:szCs w:val="28"/>
      <w:lang w:val="en-US"/>
      <w14:ligatures w14:val="none"/>
    </w:rPr>
  </w:style>
  <w:style w:type="character" w:customStyle="1" w:styleId="Style1Char">
    <w:name w:val="Style1 Char"/>
    <w:basedOn w:val="DefaultParagraphFont"/>
    <w:link w:val="Style1"/>
    <w:rsid w:val="00655041"/>
    <w:rPr>
      <w:rFonts w:ascii="Times New Roman" w:eastAsia="Times New Roman" w:hAnsi="Times New Roman" w:cs="Times New Roman"/>
      <w:bCs/>
      <w:color w:val="000000"/>
      <w:kern w:val="0"/>
      <w:sz w:val="28"/>
      <w:szCs w:val="28"/>
      <w:lang w:val="en-US"/>
      <w14:ligatures w14:val="none"/>
    </w:rPr>
  </w:style>
  <w:style w:type="character" w:styleId="Hyperlink">
    <w:name w:val="Hyperlink"/>
    <w:basedOn w:val="DefaultParagraphFont"/>
    <w:uiPriority w:val="99"/>
    <w:unhideWhenUsed/>
    <w:rsid w:val="00655041"/>
    <w:rPr>
      <w:color w:val="467886" w:themeColor="hyperlink"/>
      <w:u w:val="single"/>
    </w:rPr>
  </w:style>
  <w:style w:type="character" w:styleId="UnresolvedMention">
    <w:name w:val="Unresolved Mention"/>
    <w:basedOn w:val="DefaultParagraphFont"/>
    <w:uiPriority w:val="99"/>
    <w:semiHidden/>
    <w:unhideWhenUsed/>
    <w:rsid w:val="00655041"/>
    <w:rPr>
      <w:color w:val="605E5C"/>
      <w:shd w:val="clear" w:color="auto" w:fill="E1DFDD"/>
    </w:rPr>
  </w:style>
  <w:style w:type="paragraph" w:styleId="EndnoteText">
    <w:name w:val="endnote text"/>
    <w:basedOn w:val="Normal"/>
    <w:link w:val="EndnoteTextChar"/>
    <w:uiPriority w:val="99"/>
    <w:semiHidden/>
    <w:unhideWhenUsed/>
    <w:rsid w:val="001F3C3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F3C35"/>
    <w:rPr>
      <w:sz w:val="20"/>
      <w:szCs w:val="20"/>
    </w:rPr>
  </w:style>
  <w:style w:type="table" w:styleId="TableGrid">
    <w:name w:val="Table Grid"/>
    <w:basedOn w:val="TableNormal"/>
    <w:uiPriority w:val="39"/>
    <w:rsid w:val="00653F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4B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4B4D"/>
  </w:style>
  <w:style w:type="paragraph" w:styleId="Footer">
    <w:name w:val="footer"/>
    <w:basedOn w:val="Normal"/>
    <w:link w:val="FooterChar"/>
    <w:uiPriority w:val="99"/>
    <w:unhideWhenUsed/>
    <w:rsid w:val="00EF4B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4B4D"/>
  </w:style>
  <w:style w:type="character" w:styleId="CommentReference">
    <w:name w:val="annotation reference"/>
    <w:basedOn w:val="DefaultParagraphFont"/>
    <w:uiPriority w:val="99"/>
    <w:semiHidden/>
    <w:unhideWhenUsed/>
    <w:rsid w:val="0006743D"/>
    <w:rPr>
      <w:sz w:val="16"/>
      <w:szCs w:val="16"/>
    </w:rPr>
  </w:style>
  <w:style w:type="paragraph" w:styleId="CommentText">
    <w:name w:val="annotation text"/>
    <w:basedOn w:val="Normal"/>
    <w:link w:val="CommentTextChar"/>
    <w:uiPriority w:val="99"/>
    <w:unhideWhenUsed/>
    <w:rsid w:val="0006743D"/>
    <w:pPr>
      <w:spacing w:line="240" w:lineRule="auto"/>
    </w:pPr>
    <w:rPr>
      <w:sz w:val="20"/>
      <w:szCs w:val="20"/>
    </w:rPr>
  </w:style>
  <w:style w:type="character" w:customStyle="1" w:styleId="CommentTextChar">
    <w:name w:val="Comment Text Char"/>
    <w:basedOn w:val="DefaultParagraphFont"/>
    <w:link w:val="CommentText"/>
    <w:uiPriority w:val="99"/>
    <w:rsid w:val="0006743D"/>
    <w:rPr>
      <w:sz w:val="20"/>
      <w:szCs w:val="20"/>
    </w:rPr>
  </w:style>
  <w:style w:type="paragraph" w:styleId="CommentSubject">
    <w:name w:val="annotation subject"/>
    <w:basedOn w:val="CommentText"/>
    <w:next w:val="CommentText"/>
    <w:link w:val="CommentSubjectChar"/>
    <w:uiPriority w:val="99"/>
    <w:semiHidden/>
    <w:unhideWhenUsed/>
    <w:rsid w:val="0006743D"/>
    <w:rPr>
      <w:b/>
      <w:bCs/>
    </w:rPr>
  </w:style>
  <w:style w:type="character" w:customStyle="1" w:styleId="CommentSubjectChar">
    <w:name w:val="Comment Subject Char"/>
    <w:basedOn w:val="CommentTextChar"/>
    <w:link w:val="CommentSubject"/>
    <w:uiPriority w:val="99"/>
    <w:semiHidden/>
    <w:rsid w:val="0006743D"/>
    <w:rPr>
      <w:b/>
      <w:bCs/>
      <w:sz w:val="20"/>
      <w:szCs w:val="20"/>
    </w:rPr>
  </w:style>
  <w:style w:type="paragraph" w:styleId="Revision">
    <w:name w:val="Revision"/>
    <w:hidden/>
    <w:uiPriority w:val="99"/>
    <w:semiHidden/>
    <w:rsid w:val="000C66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kidney-disease/risk-factors/index.html" TargetMode="External"/><Relationship Id="rId3" Type="http://schemas.openxmlformats.org/officeDocument/2006/relationships/settings" Target="settings.xml"/><Relationship Id="rId7" Type="http://schemas.openxmlformats.org/officeDocument/2006/relationships/hyperlink" Target="mailto:monabo@ariel.ac.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5390</Words>
  <Characters>30726</Characters>
  <Application>Microsoft Office Word</Application>
  <DocSecurity>0</DocSecurity>
  <Lines>256</Lines>
  <Paragraphs>72</Paragraphs>
  <ScaleCrop>false</ScaleCrop>
  <Company/>
  <LinksUpToDate>false</LinksUpToDate>
  <CharactersWithSpaces>36044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2026-09-22T08:04:00Z</dcterms:created>
  <dcterms:modified xsi:type="dcterms:W3CDTF">2026-09-22T08:04:00Z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91d1cdd0-0186-47a4-b5bf-c970fe3bae18</vt:lpwstr>
  </property>
</Properties>
</file>