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35CDE6B1" w:rsidR="006E4797" w:rsidRPr="000522AA" w:rsidRDefault="00B136EE" w:rsidP="00941D7F">
      <w:pPr>
        <w:pBdr>
          <w:top w:val="nil"/>
          <w:left w:val="nil"/>
          <w:bottom w:val="nil"/>
          <w:right w:val="nil"/>
          <w:between w:val="nil"/>
        </w:pBdr>
        <w:contextualSpacing/>
        <w:rPr>
          <w:color w:val="000000"/>
        </w:rPr>
      </w:pPr>
      <w:r w:rsidRPr="000522AA">
        <w:rPr>
          <w:b/>
          <w:color w:val="000000"/>
        </w:rPr>
        <w:t>TITLE:</w:t>
      </w:r>
    </w:p>
    <w:p w14:paraId="75A1C5D2" w14:textId="77777777" w:rsidR="001204B1" w:rsidRPr="000522AA" w:rsidRDefault="00B136EE" w:rsidP="00941D7F">
      <w:pPr>
        <w:contextualSpacing/>
      </w:pPr>
      <w:r w:rsidRPr="000522AA">
        <w:t>Quantifying Recovery After Anterior Cruciate Ligament Reconstruction Using the Torque- Velocity Relationship</w:t>
      </w:r>
    </w:p>
    <w:p w14:paraId="1D9422BD" w14:textId="77777777" w:rsidR="00286B61" w:rsidRPr="000522AA" w:rsidRDefault="00286B61" w:rsidP="00941D7F">
      <w:pPr>
        <w:contextualSpacing/>
        <w:rPr>
          <w:b/>
        </w:rPr>
      </w:pPr>
    </w:p>
    <w:p w14:paraId="2CD8481E" w14:textId="439901A9" w:rsidR="006E4797" w:rsidRPr="000522AA" w:rsidRDefault="00B136EE" w:rsidP="00941D7F">
      <w:pPr>
        <w:contextualSpacing/>
        <w:rPr>
          <w:color w:val="808080"/>
        </w:rPr>
      </w:pPr>
      <w:r w:rsidRPr="000522AA">
        <w:rPr>
          <w:b/>
        </w:rPr>
        <w:t>AUTHORS AND AFFILIATIONS:</w:t>
      </w:r>
    </w:p>
    <w:p w14:paraId="2889C6A2" w14:textId="3A1A4F0E" w:rsidR="00261A0F" w:rsidRPr="000522AA" w:rsidRDefault="00B136EE" w:rsidP="00941D7F">
      <w:pPr>
        <w:contextualSpacing/>
      </w:pPr>
      <w:r w:rsidRPr="000522AA">
        <w:t>Xavier D Thompson</w:t>
      </w:r>
      <w:r w:rsidR="00DF5872" w:rsidRPr="000522AA">
        <w:rPr>
          <w:vertAlign w:val="superscript"/>
        </w:rPr>
        <w:t>1</w:t>
      </w:r>
      <w:r w:rsidR="00EF3BEF" w:rsidRPr="000522AA">
        <w:rPr>
          <w:vertAlign w:val="superscript"/>
        </w:rPr>
        <w:t>*</w:t>
      </w:r>
      <w:r w:rsidR="00F04BEA" w:rsidRPr="000522AA">
        <w:t xml:space="preserve">, </w:t>
      </w:r>
      <w:r w:rsidR="00175AA4" w:rsidRPr="000522AA">
        <w:t>Devin K Kelly</w:t>
      </w:r>
      <w:r w:rsidR="00175AA4" w:rsidRPr="000522AA">
        <w:rPr>
          <w:vertAlign w:val="superscript"/>
        </w:rPr>
        <w:t>2</w:t>
      </w:r>
      <w:r w:rsidR="00175AA4" w:rsidRPr="000522AA">
        <w:t>,</w:t>
      </w:r>
      <w:r w:rsidR="00DF5872" w:rsidRPr="000522AA">
        <w:t xml:space="preserve"> </w:t>
      </w:r>
      <w:r w:rsidRPr="000522AA">
        <w:t>Kevin A Giordano</w:t>
      </w:r>
      <w:r w:rsidR="00175AA4" w:rsidRPr="000522AA">
        <w:rPr>
          <w:vertAlign w:val="superscript"/>
        </w:rPr>
        <w:t>3</w:t>
      </w:r>
      <w:r w:rsidR="00F04BEA" w:rsidRPr="000522AA">
        <w:t>,</w:t>
      </w:r>
      <w:r w:rsidR="00740E77" w:rsidRPr="000522AA">
        <w:t xml:space="preserve"> </w:t>
      </w:r>
      <w:r w:rsidRPr="000522AA">
        <w:t>Joe Hart</w:t>
      </w:r>
      <w:r w:rsidR="00175AA4" w:rsidRPr="000522AA">
        <w:rPr>
          <w:vertAlign w:val="superscript"/>
        </w:rPr>
        <w:t>2</w:t>
      </w:r>
    </w:p>
    <w:p w14:paraId="6EFD21C0" w14:textId="77777777" w:rsidR="00DF5872" w:rsidRPr="000522AA" w:rsidRDefault="00DF5872" w:rsidP="00941D7F">
      <w:pPr>
        <w:contextualSpacing/>
      </w:pPr>
    </w:p>
    <w:p w14:paraId="737027C3" w14:textId="37790A62" w:rsidR="00286B61" w:rsidRPr="000522AA" w:rsidRDefault="00B136EE" w:rsidP="00941D7F">
      <w:pPr>
        <w:contextualSpacing/>
      </w:pPr>
      <w:r w:rsidRPr="000522AA">
        <w:rPr>
          <w:vertAlign w:val="superscript"/>
        </w:rPr>
        <w:t>1</w:t>
      </w:r>
      <w:r w:rsidRPr="000522AA">
        <w:t>Louisiana State University</w:t>
      </w:r>
      <w:r w:rsidR="006B0DEC" w:rsidRPr="000522AA">
        <w:t>, School of Kinesiology, Baton Rouge, LA,</w:t>
      </w:r>
      <w:r w:rsidR="007D28C2" w:rsidRPr="000522AA">
        <w:t xml:space="preserve"> United States,</w:t>
      </w:r>
      <w:r w:rsidR="006B0DEC" w:rsidRPr="000522AA">
        <w:t xml:space="preserve"> 70803</w:t>
      </w:r>
    </w:p>
    <w:p w14:paraId="0A1FEA59" w14:textId="4D212210" w:rsidR="00DF5872" w:rsidRPr="000522AA" w:rsidRDefault="00B136EE" w:rsidP="00941D7F">
      <w:pPr>
        <w:contextualSpacing/>
      </w:pPr>
      <w:r w:rsidRPr="000522AA">
        <w:rPr>
          <w:vertAlign w:val="superscript"/>
        </w:rPr>
        <w:t>2</w:t>
      </w:r>
      <w:r w:rsidRPr="000522AA">
        <w:t>University of North Carolina</w:t>
      </w:r>
      <w:r w:rsidR="00FA2F17" w:rsidRPr="000522AA">
        <w:t>,</w:t>
      </w:r>
      <w:r w:rsidRPr="000522AA">
        <w:t xml:space="preserve"> </w:t>
      </w:r>
      <w:r w:rsidR="007D28C2" w:rsidRPr="000522AA">
        <w:t xml:space="preserve">Department of </w:t>
      </w:r>
      <w:r w:rsidR="007B39C6" w:rsidRPr="000522AA">
        <w:t>Orthopedics</w:t>
      </w:r>
      <w:r w:rsidR="007D28C2" w:rsidRPr="000522AA">
        <w:t xml:space="preserve">, </w:t>
      </w:r>
      <w:r w:rsidRPr="000522AA">
        <w:t>Chapel Hill</w:t>
      </w:r>
      <w:r w:rsidR="00E74274" w:rsidRPr="000522AA">
        <w:t>, N</w:t>
      </w:r>
      <w:r w:rsidR="0011781B" w:rsidRPr="000522AA">
        <w:t>C,</w:t>
      </w:r>
      <w:r w:rsidR="007D28C2" w:rsidRPr="000522AA">
        <w:t xml:space="preserve"> United States,</w:t>
      </w:r>
      <w:r w:rsidR="0011781B" w:rsidRPr="000522AA">
        <w:t xml:space="preserve"> 27599</w:t>
      </w:r>
    </w:p>
    <w:p w14:paraId="3BD73B4D" w14:textId="2FCC39A6" w:rsidR="00DF5872" w:rsidRPr="000522AA" w:rsidRDefault="00B136EE" w:rsidP="00941D7F">
      <w:pPr>
        <w:contextualSpacing/>
      </w:pPr>
      <w:r w:rsidRPr="000522AA">
        <w:rPr>
          <w:vertAlign w:val="superscript"/>
        </w:rPr>
        <w:t>3</w:t>
      </w:r>
      <w:r w:rsidRPr="000522AA">
        <w:t>Louisiana State University Health Sciences Center</w:t>
      </w:r>
      <w:r w:rsidR="00FA2F17" w:rsidRPr="000522AA">
        <w:t>,</w:t>
      </w:r>
      <w:r w:rsidRPr="000522AA">
        <w:t xml:space="preserve"> </w:t>
      </w:r>
      <w:r w:rsidR="007D28C2" w:rsidRPr="000522AA">
        <w:t xml:space="preserve">Department of Physical Therapy, </w:t>
      </w:r>
      <w:r w:rsidRPr="000522AA">
        <w:t>New Orleans</w:t>
      </w:r>
      <w:r w:rsidR="007D28C2" w:rsidRPr="000522AA">
        <w:t>, LA, United States, 70112</w:t>
      </w:r>
    </w:p>
    <w:p w14:paraId="77CFC002" w14:textId="77777777" w:rsidR="00FA2F17" w:rsidRPr="000522AA" w:rsidRDefault="00FA2F17" w:rsidP="00941D7F">
      <w:pPr>
        <w:contextualSpacing/>
      </w:pPr>
    </w:p>
    <w:p w14:paraId="10774290" w14:textId="04DE39AA" w:rsidR="004E3417" w:rsidRPr="000522AA" w:rsidRDefault="00B136EE" w:rsidP="00941D7F">
      <w:pPr>
        <w:contextualSpacing/>
        <w:rPr>
          <w:b/>
          <w:bCs/>
        </w:rPr>
      </w:pPr>
      <w:r w:rsidRPr="000522AA">
        <w:rPr>
          <w:b/>
          <w:bCs/>
        </w:rPr>
        <w:t>E-mail addresses of co-authors:</w:t>
      </w:r>
    </w:p>
    <w:p w14:paraId="3856C145" w14:textId="11361719" w:rsidR="00F50EE1" w:rsidRPr="000522AA" w:rsidRDefault="00B136EE" w:rsidP="00941D7F">
      <w:pPr>
        <w:contextualSpacing/>
        <w:rPr>
          <w:lang w:val="fr-FR"/>
        </w:rPr>
      </w:pPr>
      <w:r w:rsidRPr="000522AA">
        <w:rPr>
          <w:lang w:val="fr-FR"/>
        </w:rPr>
        <w:t>Devin K Kelly</w:t>
      </w:r>
      <w:r w:rsidR="006103AC" w:rsidRPr="000522AA">
        <w:rPr>
          <w:lang w:val="fr-FR"/>
        </w:rPr>
        <w:tab/>
      </w:r>
      <w:r w:rsidR="006103AC" w:rsidRPr="000522AA">
        <w:rPr>
          <w:lang w:val="fr-FR"/>
        </w:rPr>
        <w:tab/>
      </w:r>
      <w:r w:rsidR="006103AC" w:rsidRPr="000522AA">
        <w:rPr>
          <w:lang w:val="fr-FR"/>
        </w:rPr>
        <w:tab/>
        <w:t>(devin_kelly@med.unc.edu)</w:t>
      </w:r>
    </w:p>
    <w:p w14:paraId="541BC422" w14:textId="6483F897" w:rsidR="00F50EE1" w:rsidRPr="000522AA" w:rsidRDefault="00B136EE" w:rsidP="00941D7F">
      <w:pPr>
        <w:contextualSpacing/>
      </w:pPr>
      <w:r w:rsidRPr="000522AA">
        <w:t>Kevin A Giordano</w:t>
      </w:r>
      <w:r w:rsidR="006103AC" w:rsidRPr="000522AA">
        <w:tab/>
      </w:r>
      <w:r w:rsidR="006103AC" w:rsidRPr="000522AA">
        <w:tab/>
        <w:t>(kgior1@lsuhsc.edu)</w:t>
      </w:r>
    </w:p>
    <w:p w14:paraId="503CF483" w14:textId="4F0A9140" w:rsidR="00F50EE1" w:rsidRPr="000522AA" w:rsidRDefault="00B136EE" w:rsidP="00941D7F">
      <w:pPr>
        <w:contextualSpacing/>
        <w:rPr>
          <w:b/>
          <w:bCs/>
          <w:lang w:val="pt-BR"/>
        </w:rPr>
      </w:pPr>
      <w:r w:rsidRPr="000522AA">
        <w:rPr>
          <w:lang w:val="pt-BR"/>
        </w:rPr>
        <w:t>Joe Hart</w:t>
      </w:r>
      <w:r w:rsidR="006103AC" w:rsidRPr="000522AA">
        <w:rPr>
          <w:lang w:val="pt-BR"/>
        </w:rPr>
        <w:tab/>
      </w:r>
      <w:r w:rsidR="006103AC" w:rsidRPr="000522AA">
        <w:rPr>
          <w:lang w:val="pt-BR"/>
        </w:rPr>
        <w:tab/>
      </w:r>
      <w:r w:rsidR="006103AC" w:rsidRPr="000522AA">
        <w:rPr>
          <w:lang w:val="pt-BR"/>
        </w:rPr>
        <w:tab/>
        <w:t>(joe_hart@med.unc.edu)</w:t>
      </w:r>
    </w:p>
    <w:p w14:paraId="1A630A6B" w14:textId="77777777" w:rsidR="004E3417" w:rsidRPr="000522AA" w:rsidRDefault="004E3417" w:rsidP="00941D7F">
      <w:pPr>
        <w:contextualSpacing/>
        <w:rPr>
          <w:lang w:val="pt-BR"/>
        </w:rPr>
      </w:pPr>
    </w:p>
    <w:p w14:paraId="676411DD" w14:textId="60B28083" w:rsidR="004E3417" w:rsidRPr="000522AA" w:rsidRDefault="00B136EE" w:rsidP="00941D7F">
      <w:pPr>
        <w:contextualSpacing/>
        <w:rPr>
          <w:color w:val="000000"/>
        </w:rPr>
      </w:pPr>
      <w:r w:rsidRPr="000522AA">
        <w:rPr>
          <w:b/>
          <w:bCs/>
          <w:color w:val="000000"/>
        </w:rPr>
        <w:t>*</w:t>
      </w:r>
      <w:r w:rsidR="00D061C7" w:rsidRPr="000522AA">
        <w:rPr>
          <w:b/>
          <w:bCs/>
          <w:color w:val="000000"/>
        </w:rPr>
        <w:t>Corresponding author:</w:t>
      </w:r>
      <w:r w:rsidR="00D061C7" w:rsidRPr="000522AA">
        <w:rPr>
          <w:color w:val="000000"/>
        </w:rPr>
        <w:t xml:space="preserve"> </w:t>
      </w:r>
    </w:p>
    <w:p w14:paraId="141ABDE5" w14:textId="1EF7698E" w:rsidR="006E4797" w:rsidRPr="000522AA" w:rsidRDefault="00B136EE" w:rsidP="00941D7F">
      <w:pPr>
        <w:contextualSpacing/>
      </w:pPr>
      <w:r w:rsidRPr="000522AA">
        <w:t>Xavier D Thompson</w:t>
      </w:r>
      <w:r w:rsidR="00DF5872" w:rsidRPr="000522AA">
        <w:tab/>
      </w:r>
      <w:r w:rsidR="00DF5872" w:rsidRPr="000522AA">
        <w:tab/>
        <w:t>(</w:t>
      </w:r>
      <w:r w:rsidRPr="000522AA">
        <w:t>xthompson@lsu.edu</w:t>
      </w:r>
      <w:r w:rsidR="00DF5872" w:rsidRPr="000522AA">
        <w:t>)</w:t>
      </w:r>
    </w:p>
    <w:p w14:paraId="7AF7835D" w14:textId="77777777" w:rsidR="00D061C7" w:rsidRPr="000522AA" w:rsidRDefault="00D061C7" w:rsidP="00941D7F">
      <w:pPr>
        <w:contextualSpacing/>
      </w:pPr>
    </w:p>
    <w:p w14:paraId="60F3B8D4" w14:textId="387E91B9" w:rsidR="006E4797" w:rsidRPr="000522AA" w:rsidRDefault="00B136EE" w:rsidP="00941D7F">
      <w:pPr>
        <w:contextualSpacing/>
      </w:pPr>
      <w:r w:rsidRPr="000522AA">
        <w:rPr>
          <w:b/>
        </w:rPr>
        <w:t>SUMMARY:</w:t>
      </w:r>
    </w:p>
    <w:p w14:paraId="01069787" w14:textId="4DF6FD5B" w:rsidR="006E4797" w:rsidRPr="000522AA" w:rsidRDefault="00B136EE" w:rsidP="00941D7F">
      <w:pPr>
        <w:contextualSpacing/>
        <w:rPr>
          <w:bCs/>
        </w:rPr>
      </w:pPr>
      <w:r w:rsidRPr="000522AA">
        <w:t>This protocol is intended to</w:t>
      </w:r>
      <w:r w:rsidRPr="000522AA">
        <w:rPr>
          <w:b/>
        </w:rPr>
        <w:t xml:space="preserve"> </w:t>
      </w:r>
      <w:r w:rsidRPr="000522AA">
        <w:rPr>
          <w:bCs/>
        </w:rPr>
        <w:t>demonstrate how clinicians can evaluate the torque-velocity relationship following anterior cruciate ligament reconstruction.</w:t>
      </w:r>
    </w:p>
    <w:p w14:paraId="74EFC8D7" w14:textId="77777777" w:rsidR="006E4797" w:rsidRPr="000522AA" w:rsidRDefault="006E4797" w:rsidP="00941D7F">
      <w:pPr>
        <w:contextualSpacing/>
        <w:rPr>
          <w:b/>
        </w:rPr>
      </w:pPr>
    </w:p>
    <w:p w14:paraId="2DF8E628" w14:textId="2133D1E7" w:rsidR="006E4797" w:rsidRPr="000522AA" w:rsidRDefault="00B136EE" w:rsidP="00941D7F">
      <w:pPr>
        <w:contextualSpacing/>
        <w:rPr>
          <w:color w:val="808080"/>
        </w:rPr>
      </w:pPr>
      <w:r w:rsidRPr="000522AA">
        <w:rPr>
          <w:b/>
        </w:rPr>
        <w:t>ABSTRACT:</w:t>
      </w:r>
    </w:p>
    <w:p w14:paraId="1A7368FA" w14:textId="12CA1052" w:rsidR="005639F8" w:rsidRPr="000522AA" w:rsidRDefault="00B136EE" w:rsidP="0074624E">
      <w:pPr>
        <w:pBdr>
          <w:top w:val="nil"/>
          <w:left w:val="nil"/>
          <w:bottom w:val="nil"/>
          <w:right w:val="nil"/>
          <w:between w:val="nil"/>
        </w:pBdr>
        <w:contextualSpacing/>
      </w:pPr>
      <w:r w:rsidRPr="000522AA">
        <w:t>Following anterior cruciate ligament reconstruction (ACLR)</w:t>
      </w:r>
      <w:r w:rsidR="001A047F" w:rsidRPr="000522AA">
        <w:t>, patients often display persistent deficits in quadriceps muscle strength that reduce quality of life and lead to long-term</w:t>
      </w:r>
      <w:r w:rsidRPr="000522AA">
        <w:t xml:space="preserve"> functional impairment. </w:t>
      </w:r>
      <w:r w:rsidR="00A326FB" w:rsidRPr="000522AA">
        <w:t>H</w:t>
      </w:r>
      <w:r w:rsidRPr="000522AA">
        <w:t xml:space="preserve">istorically, </w:t>
      </w:r>
      <w:r w:rsidR="00756F1E" w:rsidRPr="000522AA">
        <w:t xml:space="preserve">post-operative </w:t>
      </w:r>
      <w:r w:rsidRPr="000522AA">
        <w:t xml:space="preserve">assessments of muscle function have focused on maximal isometric torque </w:t>
      </w:r>
      <w:r w:rsidR="00A961ED" w:rsidRPr="000522AA">
        <w:t>or peak torque at a single isokinetic velocity</w:t>
      </w:r>
      <w:r w:rsidR="00B04CC6" w:rsidRPr="000522AA">
        <w:t>, neglecting the variety of demands placed on a muscle group across</w:t>
      </w:r>
      <w:r w:rsidRPr="000522AA">
        <w:t xml:space="preserve"> activities</w:t>
      </w:r>
      <w:r w:rsidR="00756F1E" w:rsidRPr="000522AA">
        <w:t xml:space="preserve"> and </w:t>
      </w:r>
      <w:r w:rsidR="00B04CC6" w:rsidRPr="000522AA">
        <w:t xml:space="preserve">the </w:t>
      </w:r>
      <w:r w:rsidRPr="000522AA">
        <w:t xml:space="preserve">precision </w:t>
      </w:r>
      <w:r w:rsidR="00756F1E" w:rsidRPr="000522AA">
        <w:t xml:space="preserve">needed </w:t>
      </w:r>
      <w:r w:rsidRPr="000522AA">
        <w:t>to guide clinical decision</w:t>
      </w:r>
      <w:r w:rsidR="00A326FB" w:rsidRPr="000522AA">
        <w:t>-</w:t>
      </w:r>
      <w:r w:rsidRPr="000522AA">
        <w:t>making.</w:t>
      </w:r>
      <w:r w:rsidR="005639F8" w:rsidRPr="000522AA">
        <w:t xml:space="preserve"> </w:t>
      </w:r>
      <w:r w:rsidRPr="000522AA">
        <w:t>The goal of this demonstration is to illustrate how isokinetic testing at different angular velocities can be used to characterize the torque-velocity relationship following ACLR.</w:t>
      </w:r>
      <w:r w:rsidR="005639F8" w:rsidRPr="000522AA">
        <w:t xml:space="preserve"> </w:t>
      </w:r>
      <w:r w:rsidR="00B04CC6" w:rsidRPr="000522AA">
        <w:t xml:space="preserve">The protocol includes participant preparation, dynamometer setup, range-of-motion configuration, and alignment of key testing components, including chair position and dynamometer arm length. Strength assessment consists of isometric knee extension testing and concentric isokinetic knee extension and flexion testing at 60°/s, 180°/s, and 240°/s. For the two-point method, torque-velocity is calculated as the difference in normalized torque production between a slow and a </w:t>
      </w:r>
      <w:proofErr w:type="gramStart"/>
      <w:r w:rsidR="00B04CC6" w:rsidRPr="000522AA">
        <w:t>fast testing</w:t>
      </w:r>
      <w:proofErr w:type="gramEnd"/>
      <w:r w:rsidR="00B04CC6" w:rsidRPr="000522AA">
        <w:t xml:space="preserve"> velocity (e.g., 60°/s and 180°/s). For full multi-velocity characterization, peak torque values obtained at each velocity are exported to a spreadsheet or statistical software and analyzed using regression techniques.</w:t>
      </w:r>
      <w:r w:rsidR="0074624E" w:rsidRPr="000522AA">
        <w:t xml:space="preserve"> Previous results have demonstrated that patients following ACLR have </w:t>
      </w:r>
      <w:r w:rsidR="007B1C13">
        <w:t>knee extensor torque-velocity of the involved limb about half that of the contralateral limb, using the two-point method, and a lesser slope than the contralateral limb using</w:t>
      </w:r>
      <w:r w:rsidR="000535E1" w:rsidRPr="000522AA">
        <w:t xml:space="preserve"> multiple velocity characterization</w:t>
      </w:r>
      <w:r w:rsidR="0074624E" w:rsidRPr="000522AA">
        <w:t xml:space="preserve">. The torque-velocity relationship may identify persistent deficits not captured by </w:t>
      </w:r>
      <w:r w:rsidR="00B04CC6" w:rsidRPr="000522AA">
        <w:t xml:space="preserve">single-velocity testing and can be </w:t>
      </w:r>
      <w:r w:rsidR="00B04CC6" w:rsidRPr="000522AA">
        <w:lastRenderedPageBreak/>
        <w:t xml:space="preserve">used </w:t>
      </w:r>
      <w:r w:rsidR="0074624E" w:rsidRPr="000522AA">
        <w:t>to monitor recovery over time</w:t>
      </w:r>
      <w:r w:rsidR="003F1B6B" w:rsidRPr="000522AA">
        <w:t>.</w:t>
      </w:r>
    </w:p>
    <w:p w14:paraId="7AC0A038" w14:textId="77777777" w:rsidR="00A14BD1" w:rsidRPr="000522AA" w:rsidRDefault="00A14BD1" w:rsidP="00941D7F">
      <w:pPr>
        <w:contextualSpacing/>
        <w:rPr>
          <w:b/>
        </w:rPr>
      </w:pPr>
    </w:p>
    <w:p w14:paraId="7A6BD20C" w14:textId="1F9A3A70" w:rsidR="00FF31AC" w:rsidRPr="000522AA" w:rsidRDefault="00B136EE" w:rsidP="00941D7F">
      <w:pPr>
        <w:contextualSpacing/>
        <w:rPr>
          <w:color w:val="808080"/>
        </w:rPr>
      </w:pPr>
      <w:r w:rsidRPr="000522AA">
        <w:rPr>
          <w:b/>
        </w:rPr>
        <w:t>INTRODUCTION:</w:t>
      </w:r>
    </w:p>
    <w:p w14:paraId="210F735C" w14:textId="31ABB78E" w:rsidR="00B9359D" w:rsidRPr="000522AA" w:rsidRDefault="00B136EE" w:rsidP="00941D7F">
      <w:pPr>
        <w:contextualSpacing/>
      </w:pPr>
      <w:r w:rsidRPr="000522AA">
        <w:t>Anterior cruciate ligament injuries are among the most common in sports</w:t>
      </w:r>
      <w:r w:rsidR="00A961ED" w:rsidRPr="000522AA">
        <w:t>,</w:t>
      </w:r>
      <w:r w:rsidRPr="000522AA">
        <w:t xml:space="preserve"> resulting in billions </w:t>
      </w:r>
      <w:r w:rsidR="00AD6FC1" w:rsidRPr="000522AA">
        <w:t xml:space="preserve">of dollars </w:t>
      </w:r>
      <w:r w:rsidRPr="000522AA">
        <w:t>in healthcare costs in the US annually</w:t>
      </w:r>
      <w:r w:rsidRPr="000522AA">
        <w:fldChar w:fldCharType="begin"/>
      </w:r>
      <w:r w:rsidR="00E37B6F" w:rsidRPr="000522AA">
        <w:instrText xml:space="preserve"> ADDIN ZOTERO_ITEM CSL_CITATION {"citationID":"ZbUSXGa2","properties":{"formattedCitation":"\\super 1\\nosupersub{}","plainCitation":"1","noteIndex":0},"citationItems":[{"id":153,"uris":["http://zotero.org/users/6207158/items/ZUWJM9CC"],"itemData":{"id":153,"type":"article-journal","abstract":"Background:\nAn anterior cruciate ligament (ACL) tear is a common knee injury, particularly among young and active individuals. Little is known, however, about the societal impacts of ACL tears, which could be large given the typical patient age and increased lifetime risk of knee osteoarthritis. This study evaluates the cost-effectiveness of ACL reconstruction compared with structured rehabilitation only.\n\nMethods:\nA cost-utility analysis of ACL reconstruction compared with structured rehabilitation only was conducted with use of a Markov decision model over two time horizons: the short to intermediate term (six years), on the basis of Level-I evidence derived from the KANON Study and the Multicenter Orthopaedic Outcomes Network (MOON) database; and the lifetime, on the basis of a comprehensive literature review. Utilities were assessed with use of the SF-6D. Costs (in 2012 U.S. dollars) were estimated from the societal perspective and included the effects of the ACL tear on work status, earnings, and disability. Effectiveness was expressed as quality-adjusted life years (QALYs) gained.\n\nResults:\nIn the short to intermediate term, ACL reconstruction was both less costly (a cost reduction of $4503) and more effective (a QALY gain of 0.18) compared with rehabilitation. In the long term, the mean lifetime cost to society for a typical patient undergoing ACL reconstruction was $38,121 compared with $88,538 for rehabilitation. ACL reconstruction resulted in a mean incremental cost savings of $50,417 while providing an incremental QALY gain of 0.72 compared with rehabilitation. Effectiveness gains were driven by the higher probability of an unstable knee and associated lower utility in the rehabilitation group. Results were most sensitive to the rate of knee instability after initial rehabilitation.\n\nConclusions:\nACL reconstruction is the preferred cost-effective treatment strategy for ACL tears and yields reduced societal costs relative to rehabilitation once indirect cost factors, such as work status and earnings, are considered. The cost of an ACL tear over the lifetime of a patient is substantial, and resources should be directed to developing innovations for injury prevention and for altering the natural history of an ACL injury.","container-title":"The Journal of Bone and Joint Surgery. American volume","DOI":"10.2106/JBJS.L.01705","ISSN":"0021-9355","issue":"19","journalAbbreviation":"J Bone Joint Surg Am","page":"1751-1759","PMID":"24088967","PMCID":"PMC3779900","source":"PubMed Central","title":"Societal and Economic Impact of Anterior Cruciate Ligament Tears","volume":"95","author":[{"family":"Mather","given":"Richard C."},{"family":"Koenig","given":"Lane"},{"family":"Kocher","given":"Mininder S."},{"family":"Dall","given":"Timothy M."},{"family":"Gallo","given":"Paul"},{"family":"Scott","given":"Daniel J."},{"family":"Bach","given":"Bernard R."},{"family":"Spindler","given":"Kurt P."}],"issued":{"date-parts":[["2013",10,2]]}}}],"schema":"https://github.com/citation-style-language/schema/raw/master/csl-citation.json"} </w:instrText>
      </w:r>
      <w:r w:rsidRPr="000522AA">
        <w:fldChar w:fldCharType="separate"/>
      </w:r>
      <w:r w:rsidRPr="000522AA">
        <w:rPr>
          <w:vertAlign w:val="superscript"/>
        </w:rPr>
        <w:t>1</w:t>
      </w:r>
      <w:r w:rsidRPr="000522AA">
        <w:fldChar w:fldCharType="end"/>
      </w:r>
      <w:r w:rsidR="006A4A25" w:rsidRPr="000522AA">
        <w:t>.</w:t>
      </w:r>
      <w:r w:rsidRPr="000522AA">
        <w:t xml:space="preserve"> Despite advances in surgical technique and clinical care, following anterior cruciate ligament reconstruction (ACLR), patients regularly develop persistent quadriceps muscle weakness</w:t>
      </w:r>
      <w:r w:rsidRPr="000522AA">
        <w:fldChar w:fldCharType="begin"/>
      </w:r>
      <w:r w:rsidR="00E37B6F" w:rsidRPr="000522AA">
        <w:instrText xml:space="preserve"> ADDIN ZOTERO_ITEM CSL_CITATION {"citationID":"R07WWrCx","properties":{"formattedCitation":"\\super 2, 3\\nosupersub{}","plainCitation":"2, 3","noteIndex":0},"citationItems":[{"id":498,"uris":["http://zotero.org/users/6207158/items/IUJLNFWU"],"itemData":{"id":498,"type":"article-journal","abstract":"PURPOSE: To investigate relationships between quadriceps strength and neural activity, and to establish a clinical threshold of corticospinal excitability able to discriminate between patients with quadriceps strength indicative of satisfactory and unsatisfactory knee function after ACLR.\nMETHODS: A total of 29 patients following primary, unilateral ACL-reconstruction (11 female, 23.2 ± 8.1 years of age, 7.3 ± 2.5 months since surgery) participated. Subjective knee function was quantified using the International Knee Documentation Committee (IKDC) subjective evaluation. Peak isokinetic knee extensor torque was assessed at 90°/s. Quadriceps corticospinal excitability was quantified via active motor threshold (AMT, %2-Tesla) using transcranial magnetic stimulation during a 5% maximal voluntary isometric contraction of the quadriceps. Pearson's r correlations were used to assess the relationship between peak knee extensor torque and AMT. Receiver operating characteristic (ROC) curves were used to establish a threshold of (a) mass-normalized peak knee extensor torque to discriminate satisfactory knee function (IKDC ≥ 75.9%), and (b) AMT to discriminate quadriceps strength indicative of satisfactory knee function. Likelihood ratios (LR) and the magnitude of change in pre-post-test probability were calculated for each threshold.\nRESULTS: Active motor threshold was negatively correlated with mass-normalized peak knee extensor torque (r = -0.503, P = 0.005). Knee extensor torque ≥1.23 Nm/kg was an excellent discriminator of satisfactory knee function (AUC = 0.890, P = 0.002; (+)LR = 9.56). An AMT ≤50.5% was an excellent discriminator of quadriceps strength indicative of satisfactory knee function following ACLR (AUC = 0.839, P = 0.005; (+)LR = 23.75).\nCONCLUSION: Lower corticospinal excitability was associated with lower quadriceps strength. An AMT above 50.5% was found to decrease the probability of having satisfactory knee strength by over 62%.","container-title":"Scandinavian Journal of Medicine &amp; Science in Sports","DOI":"10.1111/sms.13394","ISSN":"1600-0838","issue":"5","journalAbbreviation":"Scand J Med Sci Sports","language":"eng","page":"716-724","PMID":"30672626","source":"PubMed","title":"Corticospinal excitability can discriminate quadriceps strength indicative of knee function after ACL-reconstruction","volume":"29","author":[{"family":"Bodkin","given":"Stephan G."},{"family":"Norte","given":"Grant E."},{"family":"Hart","given":"Joseph M."}],"issued":{"date-parts":[["2019",5]]}}},{"id":2839,"uris":["http://zotero.org/users/6207158/items/UKPQDXP6"],"itemData":{"id":2839,"type":"article-journal","abstract":"Purpose: Quadriceps weakness is common after anterior cruciate ligament reconstruction (ACLR). Limited neuromuscular activation may have a role in the weakness. The purpose of this study was to use peripheral magnetic stimulation to measure changes in quadriceps inhibition in patients during rehabilitation from ACLR.Methods: Ten patients (7M/3F; age 35 ± 8 years; BMI 26.0 ± 4.8 kg/m2) who had ACLR with patellar tendon autograft were recruited. At 3 and 6 months postoperatively, patients' knee extension peak torque was measured during maximum voluntary isometric contraction (MVIC), magnetic stimulation-evoked contraction, and MVIC augmented with superimposed burst magnetic stimulation to the femoral nerve. All tests were done bilaterally at 30° and 65° of knee flexion on a dynamometer. Central activation ratio was calculated by dividing the peak torque before stimulation by peak torque after stimulation.Results: Patients had marked deficits in MVIC, with improvement from 3 to 6 months that was more apparent at 65° versus 30° (P &lt; 0.05). There was significant deficit in stimulation-evoked torque on the involved side that diminished over time, and this change occurred differently between the two angles (P &lt; 0.05). Central activation ratio was lower on the involved side versus the noninvolved side and this effect was more prominent at 3 versus 6 months: combining the angles, mean central activation ratio on the involved and noninvolved sides, respectively, was 91.4 ± 7.6% and 97.5 ± 5.3% at 3 months, and 93.0 ± 7.8% and 95.8 ± 6.8% at 6 months.Conclusions: At 3 and 6 months after ACLR, there were significant deficits in quadriceps strength and activation. Quadriceps activation levels were high (&gt; 90%) for both sides at both time points. The substantial strength deficits at this postoperative period may be largely due to muscle atrophy with limited contribution from central inhibition. Rehabilitation interventions to normalize quadriceps strength should emphasize hypertrophic stimuli as opposed to neuromuscular activation strategies.Level Of Evidence: II, prospective cohort study.","archive":"CINAHL with Full Text","container-title":"Knee Surgery, Sports Traumatology, Arthroscopy","DOI":"10.1007/s00167-018-5166-1","ISSN":"0942-2056","issue":"2","journalAbbreviation":"Knee Surgery, Sports Traumatology, Arthroscopy","note":"publisher-place: ,","page":"573-579","publisher":"Springer Nature","source":"EBSCOhost","title":"Muscle hypotrophy, not inhibition, is responsible for quadriceps weakness during rehabilitation after anterior cruciate ligament reconstruction.","volume":"27","author":[{"family":"Fukunaga","given":"Takumi"},{"family":"Johnson","given":"Christopher D."},{"family":"Nicholas","given":"Stephen J."},{"family":"McHugh","given":"Malachy P."}],"issued":{"date-parts":[["2019",2]]}}}],"schema":"https://github.com/citation-style-language/schema/raw/master/csl-citation.json"} </w:instrText>
      </w:r>
      <w:r w:rsidRPr="000522AA">
        <w:fldChar w:fldCharType="separate"/>
      </w:r>
      <w:r w:rsidR="00E37B6F" w:rsidRPr="000522AA">
        <w:rPr>
          <w:vertAlign w:val="superscript"/>
        </w:rPr>
        <w:t>2,3</w:t>
      </w:r>
      <w:r w:rsidRPr="000522AA">
        <w:fldChar w:fldCharType="end"/>
      </w:r>
      <w:r w:rsidRPr="000522AA">
        <w:t>. Deficits in quadriceps muscle function are associated with decreased quality of life, decreased ability to complete activities of daily living, and decreased overall function</w:t>
      </w:r>
      <w:r w:rsidRPr="000522AA">
        <w:fldChar w:fldCharType="begin"/>
      </w:r>
      <w:r w:rsidR="00E37B6F" w:rsidRPr="000522AA">
        <w:instrText xml:space="preserve"> ADDIN ZOTERO_ITEM CSL_CITATION {"citationID":"lB1UHla7","properties":{"formattedCitation":"\\super 4\\uc0\\u8211{}7\\nosupersub{}","plainCitation":"4–7","noteIndex":0},"citationItems":[{"id":520,"uris":["http://zotero.org/users/6207158/items/J3QC3BXN"],"itemData":{"id":520,"type":"article-journal","abstract":"CONTEXT: Ultrasound imaging provides a cost-effective method of measuring quadriceps morphology, which may be related to self-reported function after anterior cruciate ligament reconstruction (ACLR).\nOBJECTIVE: To compare quadriceps morphology and strength between limbs in individuals with ACLR and matched control limbs and determine their associations with self-reported function.\nDESIGN: Cross-sectional study.\nSETTING: Research laboratory.\nPATIENTS OR OTHER PARTICIPANTS: Forty-two individuals with ACLR (females = 66%; age = 21.8 ± 2.6 years; time since ACLR = 50.5 ± 29.4 months) and 37 controls (females = 73%; age = 21.7 ± 1.2 years).\nMAIN OUTCOME MEASURE(S): Quadriceps peak torque (PT) and rate of torque development were assessed bilaterally. Ultrasonography was used to measure the cross-sectional area (CSA) and echo intensity (EI) of the rectus femoris, vastus lateralis (VL), and vastus medialis. Self-reported function was assessed via the International Knee Documentation Committee (IKDC) score and Knee Injury and Osteoarthritis Outcome Score (KOOS) subscales. Paired-samples t tests were calculated to compare involved and uninvolved limbs. Independent t tests were conducted to compare groups (α = .05). Linear regression was performed to analyze associations between quadriceps function and self-reported function after accounting for time since ACLR, activity level, and sex, and models for EI added subcutaneous fat as a covariate.\nRESULTS: Isometric PT did not differ between limbs or groups. Involved limbs had a lower rate of torque development compared with the control (P = .01) but not the uninvolved limbs (P = .08). Vastus lateralis CSA was smaller in the involved than in the uninvolved (P &lt; .01) but not the control limbs (P = .10). Larger VL CSA (ΔR2 = 0.103) and lower VL EI (ΔR2 = 0.076) were associated with a higher IKDC score (P &lt; .05). Larger VL CSA was associated with greater KOOS Symptoms (ΔR2 = 0.09, P = .043) and Sport and Recreation (ΔR2 = 0.125, P = .014) scores. Lower VL EI was associated with higher KOOS Symptoms (ΔR2 = 0.104, P = .03) and Quality of Life (ΔR2 = 0.113, P = .01) scores. Quadriceps PT and rate of torque development were not associated with IKDC or KOOS subscale scores.\nCONCLUSIONS: Quadriceps morphology was associated with self-reported function in individuals with ACLR and may provide unique assessments of quadriceps function.","container-title":"Journal of Athletic Training","DOI":"10.4085/1062-6050-38-19","ISSN":"1938-162X","issue":"3","journalAbbreviation":"J Athl Train","language":"eng","page":"246-254","PMID":"31951147","PMCID":"PMC7093934","source":"PubMed","title":"Quadriceps Muscle Size, Quality, and Strength and Self-Reported Function in Individuals With Anterior Cruciate Ligament Reconstruction","volume":"55","author":[{"family":"Garcia","given":"Steven A."},{"family":"Moffit","given":"Tyler J."},{"family":"Vakula","given":"Mike N."},{"family":"Holmes","given":"Skylar C."},{"family":"Montgomery","given":"Melissa M."},{"family":"Pamukoff","given":"Derek N."}],"issued":{"date-parts":[["2020",3]]}}},{"id":9048,"uris":["http://zotero.org/users/6207158/items/QHNG2MSH"],"itemData":{"id":9048,"type":"article-journal","abstract":"BACKGROUND: The longitudinal relationship between intramuscular adipose tissue of the quadriceps and activities of daily living (ADL) in older inpatients remains unclear. This study aimed to examine whether decrease of intramuscular adipose tissue of the quadriceps in older inpatients is related to the recovery of ADL than increase of muscle mass.\nMETHODS: This longitudinal study included 202 inpatients aged ≥65 years [median age: 83.0 (77.0-88.0), 56.4% female]. Recovery of ADL during hospital stay was assessed using the change in Barthel index (BI) score (i.e. BI score at discharge minus BI score at admission) and BI score at discharge. Intramuscular adipose tissue and muscle mass of the quadriceps were assessed using echo intensity and muscle thickness on ultrasound images, respectively. Higher echo intensity indicates greater intramuscular adipose tissue. Multiple regression analysis was performed to identify the factors independently associated with the change in BI score and BI score at discharge. Changes in quadriceps echo intensity and thickness and subcutaneous fat thickness of the thigh, quadriceps echo intensity and thickness, and subcutaneous fat thickness of the thigh at admission, age, sex, days from onset disease, BI score at admission, and disease were set as independent variables.\nRESULTS: The means of the change in quadriceps echo intensity and thickness were -2.3 ± 15.7 and 0.1 ± 0.4 cm, respectively. The median of the change in BI score was 15.0 (0.0-30.0). The quadriceps echo intensity at discharge was significantly lower than at admission (P = 0.043). The quadriceps thickness (P = 0.004) and BI score at discharge (P &lt; 0.001) were significantly higher than those at admission. Change in quadriceps echo intensity was independently and significantly associated with the change in BI score (β = -0.25, P = 0.006) and BI score at discharge (β = -0.18, P = 0.006). In contrast, change in quadriceps thickness was not independently and significantly associated with the change in BI score (β = 0.09, P = 0.244) and BI score at discharge (β = 0.06, P = 0.244).\nCONCLUSIONS: Our study indicates that a decrease of intramuscular adipose tissue of the quadriceps is related to the recovery of ADL than an increase of muscle mass in older inpatients. Intramuscular adipose tissue of the quadriceps in older inpatients is considered to be a predictor for the recovery of ADL, and intervening for intramuscular adipose tissue may be important for improving ADL in older inpatients.","container-title":"Journal of Cachexia, Sarcopenia and Muscle","DOI":"10.1002/jcsm.12842","ISSN":"2190-6009","issue":"6","journalAbbreviation":"J Cachexia Sarcopenia Muscle","language":"eng","page":"2231-2237","PMID":"34704384","PMCID":"PMC8718049","source":"PubMed","title":"Longitudinal relationship between intramuscular adipose tissue of the quadriceps and activities of daily living in older inpatients","volume":"12","author":[{"family":"Akazawa","given":"Naoki"},{"family":"Kishi","given":"Masaki"},{"family":"Hino","given":"Toshikazu"},{"family":"Tsuji","given":"Ryota"},{"family":"Tamura","given":"Kimiyuki"},{"family":"Hioka","given":"Akemi"},{"family":"Moriyama","given":"Hideki"}],"issued":{"date-parts":[["2021",12]]}}},{"id":537,"uris":["http://zotero.org/users/6207158/items/ECLBF6NG"],"itemData":{"id":537,"type":"article-journal","abstract":"CONTEXT: Persistent neuromuscular deficits in the surgical limb after anterior cruciate ligament reconstruction (ACLR) have been repeatedly described in the literature, yet little is known regarding their association with physical performance and patient-reported function.\nOBJECTIVE: To describe (1) interlimb differences in neuromuscular and functional outcomes and (2) the associations of neuromuscular outcomes with measures of physical and knee-related patient-reported function.\nDESIGN: Cross-sectional study.\nSETTING: Laboratory.\nPATIENTS OR OTHER PARTICIPANTS: Thirty individuals after primary, unilateral ACLR (19 males; age = 21.5 years [range, 14-41 years]; 8 months [range = 6-23 months] postsurgery).\nMAIN OUTCOME MEASURE(S): Knee-extensor isometric and isokinetic peak torque was measured with an isokinetic dynamometer. Cross-sectional area (CSA) was measured bilaterally for each of the quadriceps muscles via magnetic resonance imaging. We measured quadriceps central activation bilaterally via the superimposed-burst technique. Physical performance (single-legged hop tests, step length via spatiotemporal gait analysis) and patient-reported outcomes (International Knee Documentation Committee questionnaire and Knee Injury and Osteoarthritis Outcome Score Sport and Recreation subscale) were also recorded. We conducted Wilcoxon signed rank tests to identify interlimb differences. Spearman ρ correlation analyses revealed associations between limb symmetry and neuromuscular and functional outcomes, as well as with patient-reported function.\nRESULTS: Deficits in the surgical limb as compared with the nonsurgical limb were present for all outcomes (P values &lt; .05). Greater single-legged hop-test symmetry (83%) was significantly correlated with greater symmetry in knee-extensor isometric (63%; rs = 0.567, P = .002) and isokinetic (68%; rs = 0.540, P = .003) strength, as well as greater cross-sectional area of the vastus medialis (78%; rs = 0.519, P = .006) and vastus lateralis (82%; rs = 0.752, P &lt; .001). A higher International Knee Documentation Committee questionnaire score (82.2) was significantly correlated with greater symmetry in knee-extensor isokinetic strength (rs = 0.379, P = .039).\nCONCLUSIONS: Although deficits were observed in the surgical limb for all neuromuscular measures, greater symmetry in the size and strength of the quadriceps, rather than activation, was more strongly associated with physical performance after ACLR. Greater symmetry in strength was also more strongly associated with patient-reported function.","container-title":"Journal of Athletic Training","DOI":"10.4085/1062-6050-516-18","ISSN":"1938-162X","issue":"3","journalAbbreviation":"J Athl Train","language":"eng","page":"238-245","PMID":"31995392","PMCID":"PMC7093924","source":"PubMed","title":"Quadriceps Neuromuscular and Physical Function After Anterior Cruciate Ligament Reconstruction","volume":"55","author":[{"family":"Hunnicutt","given":"Jennifer L."},{"family":"McLeod","given":"Michelle M."},{"family":"Slone","given":"Harris S."},{"family":"Gregory","given":"Chris M."}],"issued":{"date-parts":[["2020",3]]}}},{"id":9051,"uris":["http://zotero.org/users/6207158/items/94FWI9YL"],"itemData":{"id":9051,"type":"article-journal","abstract":"BACKGROUND: Quadriceps dysfunction is common following anterior cruciate ligament reconstruction and contributes to aberrant gait biomechanics. Changes in quadriceps composition also occur in these patients including greater concentrations of non-contractile tissue. The purpose of this study was to evaluate associations between quadriceps composition, function, and gait biomechanics in individuals with anterior cruciate ligament reconstruction.\nMETHODS: Forty-eight volunteers with anterior cruciate ligament reconstruction completed gait biomechanics and quadriceps function and composition assessments. Gait biomechanics were sampled during downhill walking (-10° slope) on an instrumented treadmill. Quadriceps function (peak torque and rate of torque development) was assessed via maximal isometric contractions, while composition was evaluated via ultrasound echo intensity.\nFINDINGS: Greater quadriceps peak torque was associated with a greater peak knee extension moment (r = 0.365, p = 0.015). Greater vastus lateralis echo intensity (i.e. poorer muscle quality) was associated with less knee flexion displacement (r = -0.316, p = 0.032). Greater echo intensity of the vastus lateralis (r = -0.298, p = 0.044) and rectus femoris (r = -0.322, p = 0.029) was associated with a more abducted knee angle at heel strike. Quadriceps peak torque explained 11-16% of the variance in echo intensity.\nINTERPRETATION: Both quadriceps function and composition influence aberrant gait biomechanics following anterior cruciate ligament reconstruction. Quadriceps composition appears to provide insight into quadriceps dysfunction independent of muscle strength, as they associated with different gait biomechanics outcomes and shared minimal variance. Future research is necessary to determine the influence of changes in quadriceps composition on joint health outcomes.","container-title":"Clinical Biomechanics","DOI":"10.1016/j.clinbiomech.2024.106229","ISSN":"1879-1271","journalAbbreviation":"Clin Biomech (Bristol)","language":"eng","page":"106229","PMID":"38490072","publisher-place":"Bristol, Avon","source":"PubMed","title":"Quadriceps composition and function influence downhill gait biomechanics &gt;1 year following anterior cruciate ligament reconstruction","volume":"114","author":[{"family":"Nilius","given":"Alex"},{"family":"Dewig","given":"Derek R."},{"family":"Johnston","given":"Christopher D."},{"family":"Pietrosimone","given":"Brian G."},{"family":"Blackburn","given":"J. Troy"}],"issued":{"date-parts":[["2024",4]]}}}],"schema":"https://github.com/citation-style-language/schema/raw/master/csl-citation.json"} </w:instrText>
      </w:r>
      <w:r w:rsidRPr="000522AA">
        <w:fldChar w:fldCharType="separate"/>
      </w:r>
      <w:r w:rsidRPr="000522AA">
        <w:rPr>
          <w:vertAlign w:val="superscript"/>
        </w:rPr>
        <w:t>4–7</w:t>
      </w:r>
      <w:r w:rsidRPr="000522AA">
        <w:fldChar w:fldCharType="end"/>
      </w:r>
      <w:r w:rsidRPr="000522AA">
        <w:t xml:space="preserve">. Given the importance of quadriceps function, test batteries including objective assessment of quadriceps are a key piece of multidimensional test batteries used during return-to-sport </w:t>
      </w:r>
      <w:r w:rsidR="00AD6FC1" w:rsidRPr="000522AA">
        <w:t>decision-making</w:t>
      </w:r>
      <w:r w:rsidRPr="000522AA">
        <w:fldChar w:fldCharType="begin"/>
      </w:r>
      <w:r w:rsidR="00E37B6F" w:rsidRPr="000522AA">
        <w:instrText xml:space="preserve"> ADDIN ZOTERO_ITEM CSL_CITATION {"citationID":"yCRJ3uEL","properties":{"formattedCitation":"\\super 8\\nosupersub{}","plainCitation":"8","noteIndex":0},"citationItems":[{"id":2010,"uris":["http://zotero.org/users/6207158/items/UBP78MRW"],"itemData":{"id":2010,"type":"article-journal","abstract":"Barfod, KW, Feller, JA, Clark, R, Hartwig, T, Devitt, BM, and Webster, KE. Strength testing after anterior cruciate ligament reconstruction: A prospective cohort study investigating overlap of tests. J Strength Cond Res 33(11): 3145–3150, 2019—The purpose of the present study was to determine whether overlap (redundancy) exists between individual tests in a comprehensive strength testing protocol used after anterior cruciate ligament reconstruction (ACLR). If overlap is present, one or more components of the protocol could potentially be omitted to make the testing protocol more efficient, but without compromising the usefulness of the testing. Sixty-nine patients (46 male and 23 female patients; mean age 28 years) were strength tested at 6 and 12 months after ACLR as part of a prospective cohort study. The following knee flexor and extensor strength tests were performed: isokinetic concentric strength at 60 and 180°·s−1, isokinetic eccentric strength at 60°·s−1, and isometric knee flexor strength at 60° flexion. Peak and average torque values were extracted, and the ratio between the operated and non-operated limb was calculated as a limb symmetry index. Overlap of strength tests was investigated by fitting a linear regression model to the data with an R2 threshold of 0.56 used as an indication of overlap. Overlap between peak and mean torque was present for extensor and flexor concentric and eccentric measurements at 12 months and for concentric measurements at 6 months. Peak torque measurements were therefore used for subsequent analysis. Concentric extensor peak torque at 60 and 180°·s−1 showed overlap at 6 months (R2 = 0.73) but not at 12 months (R2 = 0.37). No other overlap was identified. In conclusion, there is little room for omission of individual strength testing protocol components because of the lack of overlap between tests. Isometric, eccentric, and concentric tests may all provide unique information and all, therefore, should be considered for inclusion.","container-title":"The Journal of Strength &amp; Conditioning Research","DOI":"10.1519/JSC.0000000000002491","ISSN":"1064-8011","issue":"11","language":"en-US","page":"3145–3150","source":"journals.lww.com","title":"Strength Testing After Anterior Cruciate Ligament Reconstruction: A Prospective Cohort Study Investigating Overlap of Tests","title-short":"Strength Testing After Anterior Cruciate Ligament Reconstruction","volume":"33","author":[{"family":"Barfod","given":"Kristoffer W."},{"family":"Feller","given":"Julian A."},{"family":"Clark","given":"Ross"},{"family":"Hartwig","given":"Taylor"},{"family":"Devitt","given":"Brian M."},{"family":"Webster","given":"Kate E."}],"issued":{"date-parts":[["2019",11]]}}}],"schema":"https://github.com/citation-style-language/schema/raw/master/csl-citation.json"} </w:instrText>
      </w:r>
      <w:r w:rsidRPr="000522AA">
        <w:fldChar w:fldCharType="separate"/>
      </w:r>
      <w:r w:rsidRPr="000522AA">
        <w:rPr>
          <w:vertAlign w:val="superscript"/>
        </w:rPr>
        <w:t>8</w:t>
      </w:r>
      <w:r w:rsidRPr="000522AA">
        <w:fldChar w:fldCharType="end"/>
      </w:r>
      <w:r w:rsidRPr="000522AA">
        <w:t>.</w:t>
      </w:r>
    </w:p>
    <w:p w14:paraId="68C96337" w14:textId="77777777" w:rsidR="00B9359D" w:rsidRPr="000522AA" w:rsidRDefault="00B9359D" w:rsidP="00941D7F">
      <w:pPr>
        <w:ind w:left="360"/>
        <w:contextualSpacing/>
      </w:pPr>
    </w:p>
    <w:p w14:paraId="10F02A2C" w14:textId="0F4DC935" w:rsidR="00B9359D" w:rsidRPr="000522AA" w:rsidRDefault="00B136EE" w:rsidP="00941D7F">
      <w:pPr>
        <w:contextualSpacing/>
      </w:pPr>
      <w:r w:rsidRPr="000522AA">
        <w:t>Current clinical assessments of muscle function evaluate maximal strength as a measure of muscle capacity, but muscle performance is also influenced by additional physiological principles</w:t>
      </w:r>
      <w:r w:rsidRPr="000522AA">
        <w:fldChar w:fldCharType="begin"/>
      </w:r>
      <w:r w:rsidR="00E37B6F" w:rsidRPr="000522AA">
        <w:instrText xml:space="preserve"> ADDIN ZOTERO_ITEM CSL_CITATION {"citationID":"iCCpA0ZN","properties":{"formattedCitation":"\\super 8\\uc0\\u8211{}10\\nosupersub{}","plainCitation":"8–10","noteIndex":0},"citationItems":[{"id":836,"uris":["http://zotero.org/users/6207158/items/6LINR67E"],"itemData":{"id":836,"type":"article-journal","abstract":"Unicompartmental knee replacement (UKR) is a commonly performed procedure, suitable for one in four patients requiring knee replacement for end-stage osteoarthritis. Recovery and return of function is quicker than with total knee replacement (TKR), but little information is known about the recovery of muscle power. We prospectively studied a cohort of forty four patients undergoing medial UKR to document their functional recovery and leg extensor power. Muscle power was measured using a Leg Extensor Power rig preoperatively and at 1 and 2 years after surgery. Function was self reported using the Oxford Knee Score (OKS) and Tegner Activity Scale (TAS). At 1 year all patients had made significant improvements on all functional measures, with a mean gain in OKS of 15.9 and TAS of 0.84. There were also significant increases in leg extensor power (LEP) of both legs. The mean change in LEP of the operated leg at 1 year was 0.50 W/kg and the non-operated leg was 0.10 W/kg. Between 1 and 2 years there were very slight improvements in strength in both legs, but these were not significant. Compared with healthy age matched normative values, the UKR LEP values at 2 years after surgery were decreased. The recovery of strength and function following UKR had stabilised by 1 year and during the following year further improvements were minimal.","container-title":"Knee","DOI":"10.1016/j.knee.2011.05.006","ISSN":"0968-0160","issue":"4","language":"eng","page":"360-4","title":"Muscle power and function two years after unicompartmental knee replacement","volume":"19","author":[{"family":"Barker","given":"K. L."},{"family":"Jenkins","given":"C."},{"family":"Pandit","given":"H."},{"family":"Murray","given":"D."}],"issued":{"date-parts":[["2012",8]]}}},{"id":2012,"uris":["http://zotero.org/users/6207158/items/LWUNBNCF"],"itemData":{"id":2012,"type":"article-journal","abstract":"Background and aims Whilst extensive research has detailed the loss of muscle strength with ageing for isolated single joint actions, there has been little attention to power production during more functionally relevant multiple joint movements. The extent to which force or velocity are responsible for the loss in power with ageing is also equivocal. The aim of this study was to evaluate the contribution of force and velocity to the differences in power with age by comparing the force–velocity and power–velocity relationships in young and older men during a multiple joint leg press movement.\nMethods Twenty-one older men (66 ± 3 years) and twenty-three young men (24 ± 2 years) completed a series of isometric (maximum and explosive) and dynamic contractions on a leg press dynamometer instrumented to record force and displacement.\nResults The force–velocity relationship was lower for the older men as reﬂected by their 19 % lower maximum isometric strength (p \\ 0.001). Explosive isometric strength (peak rate of force development) was 21 % lower for the older men (p \\ 0.05) but was similar between groups when normalised to maximum strength (p = 0.58). The power–velocity relationship was lower for the older men as shown by reduced maximum power (-28 %, p \\ 0.001) and lower force (-20 %, p \\ 0.001) and velocity (-11 %, p \\ 0.05).\nConclusions Whilst force and velocity were lower in older men, the decrement in force was greater and therefore","container-title":"Aging Clinical and Experimental Research","DOI":"10.1007/s40520-013-0024-y","ISSN":"1720-8319, 1720-8319","issue":"2","journalAbbreviation":"Aging Clin Exp Res","language":"en","page":"159-166","source":"DOI.org (Crossref)","title":"Multiple joint muscle function with ageing: the force–velocity and power–velocity relationships in young and older men","title-short":"Multiple joint muscle function with ageing","volume":"25","author":[{"family":"Allison","given":"Sarah J."},{"family":"Brooke-Wavell","given":"Katherine"},{"family":"Folland","given":"Jonathan P."}],"issued":{"date-parts":[["2013",5]]}}},{"id":2010,"uris":["http://zotero.org/users/6207158/items/UBP78MRW"],"itemData":{"id":2010,"type":"article-journal","abstract":"Barfod, KW, Feller, JA, Clark, R, Hartwig, T, Devitt, BM, and Webster, KE. Strength testing after anterior cruciate ligament reconstruction: A prospective cohort study investigating overlap of tests. J Strength Cond Res 33(11): 3145–3150, 2019—The purpose of the present study was to determine whether overlap (redundancy) exists between individual tests in a comprehensive strength testing protocol used after anterior cruciate ligament reconstruction (ACLR). If overlap is present, one or more components of the protocol could potentially be omitted to make the testing protocol more efficient, but without compromising the usefulness of the testing. Sixty-nine patients (46 male and 23 female patients; mean age 28 years) were strength tested at 6 and 12 months after ACLR as part of a prospective cohort study. The following knee flexor and extensor strength tests were performed: isokinetic concentric strength at 60 and 180°·s−1, isokinetic eccentric strength at 60°·s−1, and isometric knee flexor strength at 60° flexion. Peak and average torque values were extracted, and the ratio between the operated and non-operated limb was calculated as a limb symmetry index. Overlap of strength tests was investigated by fitting a linear regression model to the data with an R2 threshold of 0.56 used as an indication of overlap. Overlap between peak and mean torque was present for extensor and flexor concentric and eccentric measurements at 12 months and for concentric measurements at 6 months. Peak torque measurements were therefore used for subsequent analysis. Concentric extensor peak torque at 60 and 180°·s−1 showed overlap at 6 months (R2 = 0.73) but not at 12 months (R2 = 0.37). No other overlap was identified. In conclusion, there is little room for omission of individual strength testing protocol components because of the lack of overlap between tests. Isometric, eccentric, and concentric tests may all provide unique information and all, therefore, should be considered for inclusion.","container-title":"The Journal of Strength &amp; Conditioning Research","DOI":"10.1519/JSC.0000000000002491","ISSN":"1064-8011","issue":"11","language":"en-US","page":"3145–3150","source":"journals.lww.com","title":"Strength Testing After Anterior Cruciate Ligament Reconstruction: A Prospective Cohort Study Investigating Overlap of Tests","title-short":"Strength Testing After Anterior Cruciate Ligament Reconstruction","volume":"33","author":[{"family":"Barfod","given":"Kristoffer W."},{"family":"Feller","given":"Julian A."},{"family":"Clark","given":"Ross"},{"family":"Hartwig","given":"Taylor"},{"family":"Devitt","given":"Brian M."},{"family":"Webster","given":"Kate E."}],"issued":{"date-parts":[["2019",11]]}}}],"schema":"https://github.com/citation-style-language/schema/raw/master/csl-citation.json"} </w:instrText>
      </w:r>
      <w:r w:rsidRPr="000522AA">
        <w:fldChar w:fldCharType="separate"/>
      </w:r>
      <w:r w:rsidRPr="000522AA">
        <w:rPr>
          <w:vertAlign w:val="superscript"/>
        </w:rPr>
        <w:t>8–10</w:t>
      </w:r>
      <w:r w:rsidRPr="000522AA">
        <w:fldChar w:fldCharType="end"/>
      </w:r>
      <w:r w:rsidRPr="000522AA">
        <w:t>. The force-velocity relationship is a basic physiological principle defined by the inverse relationship between contraction velocity and force production</w:t>
      </w:r>
      <w:r w:rsidRPr="000522AA">
        <w:fldChar w:fldCharType="begin"/>
      </w:r>
      <w:r w:rsidR="00E37B6F" w:rsidRPr="000522AA">
        <w:instrText xml:space="preserve"> ADDIN ZOTERO_ITEM CSL_CITATION {"citationID":"pcMZIK2q","properties":{"formattedCitation":"\\super 11, 12\\nosupersub{}","plainCitation":"11, 12","noteIndex":0},"citationItems":[{"id":620,"uris":["http://zotero.org/users/6207158/items/B9J6MYEC"],"itemData":{"id":620,"type":"article-journal","abstract":"The hope was recently expressed (Hill 1937, p. 116) that with the development of a more accurate and rapid technique for muscle heat measurement, a much more consistent picture might emerge of the energy relations of muscles shortening (or lengthening) and doing positive (or negative) work. This hope has been realized, and some astonishingly simple and accurate relations have been found, relations, moreover, which (among other things) determine the effect of load on speed of shortening, allow the form of the isometric contraction to be predicted, and are the basis of the so-called “visco-elasticity” of skeletal muscle. This paper is divided into three parts. In Part I further developments of the technique are described: everything has depended on the technique, so no apology is needed for a rather full description of it and of the precautions necessary. In Part II the results themselves are described and discussed. In Part III the “visco-elastic” properties of active muscle are shown to be a consequence of the properties described in Part II.","container-title":"Proceedings of the Royal Society of London. Series B - Biological Sciences","DOI":"10.1098/rspb.1938.0050","issue":"843","journalAbbreviation":"Proceedings of the Royal Society of London. Series B - Biological Sciences","page":"136-195","publisher":"Royal Society","source":"royalsocietypublishing.org (Atypon)","title":"The heat of shortening and the dynamic constants of muscle","volume":"126","author":[{"family":"Hill","given":"Archibald Vivian"}],"issued":{"date-parts":[["1938",10,10]]}}},{"id":637,"uris":["http://zotero.org/users/6207158/items/FFPRLGGU"],"itemData":{"id":637,"type":"article-journal","abstract":"The shape of the force-velocity (F-V) relationship has important implications for different aspects of muscle physiology, such as muscle efficiency and fatigue, the understanding of the pathophysiology of several myopathies or the mechanisms of muscle contraction per se, and may be of relevance for other fields, such as the development of robotics and prosthetic applications featuring natural muscle-like properties. However, different opinions regarding the shape of the F-V relationship and the underlying mechanisms exist in the literature. In this review, we summarize relevant evidence on the shape of the F-V relationship obtained over the last century. Studies performed at multiple scales ranging from the sarcomere to the organism level have described the concentric F-V relationship as linear, hyperbolic or double-hyperbolic. While the F-V relationship has most frequently been described as a rectangular hyperbola, a large number of studies have found deviations from the hyperbolic function at both ends of the F-V relation. Indeed, current evidence suggests that the F-V relation in skeletal muscles follows a double-hyperbolic pattern, with a breakpoint located at very high forces/low velocities, which may be a direct consequence of the kinetic properties of myofilament cross-bridge formation. Deviations at low forces/high velocities, by contrast, may be related to a recently discovered, calcium-independent regulatory mechanism of muscle contraction, which may also explain the low metabolic cost of very fast muscle shortening contractions. Controversial results have also been reported regarding the eccentric F-V relationship, with studies in prepared muscle specimens suggesting that maximum eccentric force is substantially greater than isometric force, whereas in vivo studies in humans show only a modest increase, no change, or even a decrease in force in lengthening contractions. This review discusses possible reasons reported in the literature for these discrepant findings, including the testing procedures (familiarization, pre-load condition, and temperature) and a potential neural inhibition at higher lengthening velocities. Finally, some unresolved questions and recommendations for F-V testing in humans are reported at the end of this document.","container-title":"Frontiers in Physiology","DOI":"10.3389/fphys.2019.00769","ISSN":"1664-042X","journalAbbreviation":"Front Physiol","PMID":"31275173","PMCID":"PMC6593051","source":"PubMed Central","title":"On the Shape of the Force-Velocity Relationship in Skeletal Muscles: The Linear, the Hyperbolic, and the Double-Hyperbolic","title-short":"On the Shape of the Force-Velocity Relationship in Skeletal Muscles","URL":"https://www.ncbi.nlm.nih.gov/pmc/articles/PMC6593051/","volume":"10","author":[{"family":"Alcazar","given":"Julian"},{"family":"Csapo","given":"Robert"},{"family":"Ara","given":"Ignacio"},{"family":"Alegre","given":"Luis M."}],"accessed":{"date-parts":[["2021",2,13]]},"issued":{"date-parts":[["2019",6,19]]}}}],"schema":"https://github.com/citation-style-language/schema/raw/master/csl-citation.json"} </w:instrText>
      </w:r>
      <w:r w:rsidRPr="000522AA">
        <w:fldChar w:fldCharType="separate"/>
      </w:r>
      <w:r w:rsidR="00E37B6F" w:rsidRPr="000522AA">
        <w:rPr>
          <w:vertAlign w:val="superscript"/>
        </w:rPr>
        <w:t>11,12</w:t>
      </w:r>
      <w:r w:rsidRPr="000522AA">
        <w:fldChar w:fldCharType="end"/>
      </w:r>
      <w:r w:rsidRPr="000522AA">
        <w:t>. This model has been demonstrated in a number of different in vitro and in vivo studies</w:t>
      </w:r>
      <w:r w:rsidR="00AD6FC1" w:rsidRPr="000522AA">
        <w:t>,</w:t>
      </w:r>
      <w:r w:rsidRPr="000522AA">
        <w:t xml:space="preserve"> as well as in human whole muscle, via the torque-velocity relationship</w:t>
      </w:r>
      <w:r w:rsidRPr="000522AA">
        <w:fldChar w:fldCharType="begin"/>
      </w:r>
      <w:r w:rsidR="00E37B6F" w:rsidRPr="000522AA">
        <w:instrText xml:space="preserve"> ADDIN ZOTERO_ITEM CSL_CITATION {"citationID":"lkBL2MMB","properties":{"formattedCitation":"\\super 12, 13\\nosupersub{}","plainCitation":"12, 13","noteIndex":0},"citationItems":[{"id":637,"uris":["http://zotero.org/users/6207158/items/FFPRLGGU"],"itemData":{"id":637,"type":"article-journal","abstract":"The shape of the force-velocity (F-V) relationship has important implications for different aspects of muscle physiology, such as muscle efficiency and fatigue, the understanding of the pathophysiology of several myopathies or the mechanisms of muscle contraction per se, and may be of relevance for other fields, such as the development of robotics and prosthetic applications featuring natural muscle-like properties. However, different opinions regarding the shape of the F-V relationship and the underlying mechanisms exist in the literature. In this review, we summarize relevant evidence on the shape of the F-V relationship obtained over the last century. Studies performed at multiple scales ranging from the sarcomere to the organism level have described the concentric F-V relationship as linear, hyperbolic or double-hyperbolic. While the F-V relationship has most frequently been described as a rectangular hyperbola, a large number of studies have found deviations from the hyperbolic function at both ends of the F-V relation. Indeed, current evidence suggests that the F-V relation in skeletal muscles follows a double-hyperbolic pattern, with a breakpoint located at very high forces/low velocities, which may be a direct consequence of the kinetic properties of myofilament cross-bridge formation. Deviations at low forces/high velocities, by contrast, may be related to a recently discovered, calcium-independent regulatory mechanism of muscle contraction, which may also explain the low metabolic cost of very fast muscle shortening contractions. Controversial results have also been reported regarding the eccentric F-V relationship, with studies in prepared muscle specimens suggesting that maximum eccentric force is substantially greater than isometric force, whereas in vivo studies in humans show only a modest increase, no change, or even a decrease in force in lengthening contractions. This review discusses possible reasons reported in the literature for these discrepant findings, including the testing procedures (familiarization, pre-load condition, and temperature) and a potential neural inhibition at higher lengthening velocities. Finally, some unresolved questions and recommendations for F-V testing in humans are reported at the end of this document.","container-title":"Frontiers in Physiology","DOI":"10.3389/fphys.2019.00769","ISSN":"1664-042X","journalAbbreviation":"Front Physiol","PMID":"31275173","PMCID":"PMC6593051","source":"PubMed Central","title":"On the Shape of the Force-Velocity Relationship in Skeletal Muscles: The Linear, the Hyperbolic, and the Double-Hyperbolic","title-short":"On the Shape of the Force-Velocity Relationship in Skeletal Muscles","URL":"https://www.ncbi.nlm.nih.gov/pmc/articles/PMC6593051/","volume":"10","author":[{"family":"Alcazar","given":"Julian"},{"family":"Csapo","given":"Robert"},{"family":"Ara","given":"Ignacio"},{"family":"Alegre","given":"Luis M."}],"accessed":{"date-parts":[["2021",2,13]]},"issued":{"date-parts":[["2019",6,19]]}}},{"id":1978,"uris":["http://zotero.org/users/6207158/items/5NLWXFYA"],"itemData":{"id":1978,"type":"article-journal","abstract":"The relationship between torque-velocity characteristics of the knee extensors during isokinetic contractions and muscle fiber type of the vastus lateralis, determined from two muscle biopsy samples, was investigated in 12 male and 18 female subjects. Peak torque, corrected for the effect of gravity and impact artifact, was classified as corrected peak torque. The torque measured 30 degrees from full extension and, corrected for gravity, was classified as corrected torque at 30 degrees. No significant correlations were found between the percentage of fast-twitch fibers (%FT) or the relative area of FT fibers (%FTA) and corrected peak torque values for any of the velocities tested or the knee angles where corrected peak torques were measured. However, significant inverse relationships were determined for corrected torque at 30 degrees at all but the fastest velocity (270 degrees/s) and both %FT and %FTA for the male subjects. These results reveal that muscle fiber type of the vastus lateralis, based on duplicate muscle samples, is not related to the peak torque actually generated by the knee extensors but may influence the shape of the torque output for maximal contractions sustained over the entire range of motion.","container-title":"Journal of Applied Physiology","DOI":"10.1152/jappl.1985.59.2.309","ISSN":"8750-7587, 1522-1601","issue":"2","journalAbbreviation":"Journal of Applied Physiology","language":"en","page":"309-314","source":"DOI.org (Crossref)","title":"Torque-velocity characteristics and muscle fiber type in human vastus lateralis","volume":"59","author":[{"family":"Froese","given":"E. A."},{"family":"Houston","given":"M. E."}],"issued":{"date-parts":[["1985",8,1]]}}}],"schema":"https://github.com/citation-style-language/schema/raw/master/csl-citation.json"} </w:instrText>
      </w:r>
      <w:r w:rsidRPr="000522AA">
        <w:fldChar w:fldCharType="separate"/>
      </w:r>
      <w:r w:rsidR="00E37B6F" w:rsidRPr="000522AA">
        <w:rPr>
          <w:vertAlign w:val="superscript"/>
        </w:rPr>
        <w:t>12,13</w:t>
      </w:r>
      <w:r w:rsidRPr="000522AA">
        <w:fldChar w:fldCharType="end"/>
      </w:r>
      <w:r w:rsidR="006A4A25" w:rsidRPr="000522AA">
        <w:t>.</w:t>
      </w:r>
      <w:r w:rsidRPr="000522AA">
        <w:t xml:space="preserve"> The torque-velocity relationship has previously been characterized via isokinetic dynamometry and has been shown to be altered in patients with a history of ACLR as well as due to immobilization, aging, and other pathologies</w:t>
      </w:r>
      <w:r w:rsidRPr="000522AA">
        <w:fldChar w:fldCharType="begin"/>
      </w:r>
      <w:r w:rsidR="00E37B6F" w:rsidRPr="000522AA">
        <w:instrText xml:space="preserve"> ADDIN ZOTERO_ITEM CSL_CITATION {"citationID":"1EKQRhOs","properties":{"formattedCitation":"\\super 14\\uc0\\u8211{}18\\nosupersub{}","plainCitation":"14–18","noteIndex":0},"citationItems":[{"id":2409,"uris":["http://zotero.org/users/6207158/items/XKNKEZ2I"],"itemData":{"id":2409,"type":"article-journal","abstract":"Background: The inherent nature of the torque-velocity relationship is the inverse nature between the velocity of muscle contraction and torque production and is an indication of muscle function. The purpose of this study was to characterize the torque-velocity relationship in the quadriceps following anterior cruciate ligament recon­ struction compared to healthy limbs.","container-title":"Clinical Biomechanics","DOI":"10.1016/j.clinbiomech.2023.106058","ISSN":"02680033","journalAbbreviation":"Clinical Biomechanics","language":"en","page":"106058","source":"DOI.org (Crossref)","title":"Knee extensor torque-velocity relationships following anterior cruciate ligament reconstruction","volume":"108","author":[{"family":"Thompson","given":"Xavier D."},{"family":"Bruce Leicht","given":"Amelia S."},{"family":"Hopper","given":"Haleigh M."},{"family":"Kaur","given":"Mandeep"},{"family":"Diduch","given":"David R."},{"family":"Brockmeier","given":"Stephen F."},{"family":"Miller","given":"Mark D."},{"family":"Gwathmey","given":"F. Winston"},{"family":"Werner","given":"Brian C."},{"family":"Hart","given":"Joe M."}],"issued":{"date-parts":[["2023",8]]}}},{"id":9054,"uris":["http://zotero.org/users/6207158/items/HT8ID2GN"],"itemData":{"id":9054,"type":"article-journal","container-title":"Journal of Sport Rehabilitation","DOI":"10.1123/jsr.2025-0237","page":"1 - 6","publisher":"Human Kinetics","publisher-place":"Champaign IL, USA","title":"Torque–Velocity is Associated With Voluntary Activation and Corticospinal Excitability in Healthy Knees, but Not Following Anterior Cruciate Ligament Reconstruction","author":[{"family":"Thompson","given":"Xavier D."},{"family":"Resch","given":"Jacob E."},{"family":"Kuenze","given":"Chris"},{"family":"Brockmeier","given":"Stephen F."},{"family":"Hart","given":"Joe"}],"issued":{"date-parts":[["2026"]]}}},{"id":6,"uris":["http://zotero.org/users/6207158/items/J9ZYR7WD"],"itemData":{"id":6,"type":"article-journal","abstract":"Objective\nTo elucidate mechanisms of impaired force production in post-stroke hemiparesis.\nMethods\nKnee extensor torque–velocity and activation–velocity relationships were examined in seventeen persons with post-stroke hemiparesis (age 57.5, ±6.9) and thirteen non-disabled (age 63.0 ±10.4) persons.\nResults\nVelocity-dependent concentric torque impairment was exaggerated in subjects with hemiparesis relative to control subjects (p&lt;.001). Muscle power was also less in the group with hemiparesis (p&lt;.001), and plateaued at velocities </w:instrText>
      </w:r>
      <w:r w:rsidR="00E37B6F" w:rsidRPr="000522AA">
        <w:rPr>
          <w:rFonts w:ascii="Cambria Math" w:hAnsi="Cambria Math" w:cs="Cambria Math"/>
        </w:rPr>
        <w:instrText>⩾</w:instrText>
      </w:r>
      <w:r w:rsidR="00E37B6F" w:rsidRPr="000522AA">
        <w:instrText xml:space="preserve">90deg/s (p&gt;.05). In the control group agonist EMG during concentric actions exhibited a positive linear relationship as velocity increased (R2=.93, p&lt;.05). The group with hemiparesis produced 34–60% less agonist EMG than controls (p&lt;.02) and modulation was absent (p&gt;.05). Antagonist EMG was either greater in the control (biceps femoris, p&lt;.006) or similar between groups (semimembranosus, p=.95). Under eccentric testing conditions, torque normalized to peak isometric torque (p=.44) and rectus femoris activation (p=.33) were similar between groups, indicating a relative preservation of eccentric torque producing capacity post-stroke.\nConclusions\nCertain clinical perspectives assert that weakness following central nervous system injury stems from spastic antagonist restraint. Instead, absence of an antagonist restraint strongly suggests that impaired agonist activation is the principal determinant of hemiparetic weakness.\nSignificance\nThese findings have important implications for promoting optimal recovery of motor function in neuro-rehabilitation.","container-title":"Clinical Neurophysiology","DOI":"10.1016/j.clinph.2006.07.131","ISSN":"1388-2457","issue":"10","journalAbbreviation":"Clinical Neurophysiology","page":"2328-2337","source":"ScienceDirect","title":"Activation impairment alters muscle torque–velocity in the knee extensors of persons with post-stroke hemiparesis","volume":"117","author":[{"family":"Clark","given":"David J."},{"family":"Condliffe","given":"Elizabeth G."},{"family":"Patten","given":"Carolynn"}],"issued":{"date-parts":[["2006",10,1]]}}},{"id":1981,"uris":["http://zotero.org/users/6207158/items/87MI3QZW"],"itemData":{"id":1981,"type":"article-journal","abstract":"The effect of 2 weeks immobilization of the uninjured right knee and 10 weeks of retraining on muscle torque-velocity characteristics was investigated in nine young subjects. Left and right knee extension and flexion maximal voluntary isometric torque (Tmax) and dynamic torque at 60 degrees s(-1) (T60) and 180 degrees x s(-1) (T180) were measured before (PRE) and after immobilization (POST) and after 3 (R3) and 10 (R10) weeks of dynamic retraining. The torque-velocity relationship was quantified by expressing T60 and T180 relative to Tmax (NT60 and NT180, respectively). For the right extensor muscles, percutaneous biopsy samples were obtained from the vastus lateralis muscle and fibre type distribution was measured. POST extension and flexion torque (mean of Tmax, T60 and T180) decreased by 27% and 11%, respectively. During the course of the experiment, the changes in NT60 and NT180 were similar. POST extensor muscle NTV (mean of NT60 and NT180) was decreased significantly (12%, P&lt;0.05), but no significant change was found for flexor muscle NTV (+ 3%). At R3 Tmax, dynamic torque and NTV were restored to normal. Unlike isometric torque, NTV did not change from R3 to R10. No changes in fibre type distribution were found. The adaptation of muscle length is suggested as the mechanism to explain the change in NTV.","container-title":"European Journal of Applied Physiology","DOI":"10.1007/s00421-001-0530-z","ISSN":"1439-6319","issue":"3","journalAbbreviation":"Eur J Appl Physiol","language":"eng","page":"251-257","PMID":"11990735","source":"PubMed","title":"Effect of immobilization and retraining on torque-velocity relationship of human knee flexor and extensor muscles","volume":"86","author":[{"family":"Labarque","given":"V. L."},{"family":"Eijnde","given":"B. Op","dropping-particle":"'t"},{"family":"Van Leemputte","given":"M."}],"issued":{"date-parts":[["2002",1]]}}},{"id":3292,"uris":["http://zotero.org/users/6207158/items/EYLJLDS9"],"itemData":{"id":3292,"type":"article-journal","abstract":"Maximal isokinetic knee extensor strength was measured as torque in 17 young (mean age +/- SD, 21 +/- 3 years) and 16 elderly (68 +/- 5 years) women at 30 degrees (0.52 rad) before full extension, at angular velocities from 0 to 5.24 rad s-1, in 7 increments of 0.87 rad s-1. The elderly women were significantly weaker than the young women at all angular velocities. The rate of loss of absolute torque with increasing velocity was similar for both age groups, but when torque was standardised as a percentage of the individual's maximum, the elderly group showed a significantly greater rate of loss than the younger group. Quick-release from an isometric effort did not increase the recorded torques at 4.36 rad s-1 compared with the free-running method in either age group. The age differences are compatible with lower ratio of type II to type I fibre are in the older group.","container-title":"European Journal of Applied Physiology and Occupational Physiology","DOI":"10.1007/BF00839157","ISSN":"0301-5548","issue":"3","journalAbbreviation":"Eur J Appl Physiol Occup Physiol","language":"eng","page":"187-190","PMID":"2347320","source":"PubMed","title":"Torque-velocity relationships for the knee extensors in women in their 3rd and 7th decades","volume":"60","author":[{"family":"Harries","given":"U. J."},{"family":"Bassey","given":"E. J."}],"issued":{"date-parts":[["1990"]]}}}],"schema":"https://github.com/citation-style-language/schema/raw/master/csl-citation.json"} </w:instrText>
      </w:r>
      <w:r w:rsidRPr="000522AA">
        <w:fldChar w:fldCharType="separate"/>
      </w:r>
      <w:r w:rsidRPr="000522AA">
        <w:rPr>
          <w:vertAlign w:val="superscript"/>
        </w:rPr>
        <w:t>14–18</w:t>
      </w:r>
      <w:r w:rsidRPr="000522AA">
        <w:fldChar w:fldCharType="end"/>
      </w:r>
      <w:r w:rsidRPr="000522AA">
        <w:t>. Given the widespread use of testing at one or two velocities for clinical use, this method was developed to monitor changes in an underlying physiological principle of muscle.</w:t>
      </w:r>
    </w:p>
    <w:p w14:paraId="688E90C1" w14:textId="77777777" w:rsidR="00B9359D" w:rsidRPr="000522AA" w:rsidRDefault="00B9359D" w:rsidP="00941D7F">
      <w:pPr>
        <w:ind w:left="360"/>
        <w:contextualSpacing/>
      </w:pPr>
    </w:p>
    <w:p w14:paraId="405433D9" w14:textId="0CE5BBBB" w:rsidR="00B9359D" w:rsidRPr="000522AA" w:rsidRDefault="00B136EE" w:rsidP="00941D7F">
      <w:pPr>
        <w:contextualSpacing/>
      </w:pPr>
      <w:r w:rsidRPr="000522AA">
        <w:t>The use of isometric testing and isokinetic testing following ACLR is widespread and widely accepted</w:t>
      </w:r>
      <w:r w:rsidRPr="000522AA">
        <w:fldChar w:fldCharType="begin"/>
      </w:r>
      <w:r w:rsidR="00E37B6F" w:rsidRPr="000522AA">
        <w:instrText xml:space="preserve"> ADDIN ZOTERO_ITEM CSL_CITATION {"citationID":"N56iJwBA","properties":{"formattedCitation":"\\super 19, 20\\nosupersub{}","plainCitation":"19, 20","noteIndex":0},"citationItems":[{"id":9057,"uris":["http://zotero.org/users/6207158/items/TKFA5PRU"],"itemData":{"id":9057,"type":"article-journal","abstract":"Rehabilitation after an anterior cruciate ligament (ACL) reconstruction requires patience, devotion, and discipline. Rehabilitation should be individualized to each patient's specific need and sport. Return to sport is a continuum throughout the rehabilitation, and patients should not return to performance before passing a battery of muscle function tests and patient-reported outcomes, as well as change of direction-specific tests. Return to full participation should be an agreement between the patient, physical therapist, surgeon, and coach. For minimal risk for second ACL injury, patients should continue with maintenance and prevention training even after returning to sport.","container-title":"Clinics in Sports Medicine","DOI":"10.1016/j.csm.2023.07.004","ISSN":"1556-228X","issue":"3","journalAbbreviation":"Clin Sports Med","language":"eng","page":"513-533","PMID":"38811125","source":"PubMed","title":"Rehabilitation and Return to Sport After Anterior Cruciate Ligament Reconstruction","volume":"43","author":[{"family":"Simonsson","given":"Rebecca"},{"family":"Piussi","given":"Ramana"},{"family":"Högberg","given":"Johan"},{"family":"Sundberg","given":"Axel"},{"family":"Hamrin Senorski","given":"Eric"}],"issued":{"date-parts":[["2024",7]]}}},{"id":2887,"uris":["http://zotero.org/users/6207158/items/TXTMTMMR"],"itemData":{"id":2887,"type":"article-journal","abstract":"Purpose: To verify the validity and diagnostic accuracy of the hand-held dynamometer (HHD) with the isokinetic dynamometer for evaluating the quadriceps strength of subjects who have undergone ACL reconstruction (ACLR).Methods: This validity and diagnostic accuracy study was conducted prospectively by examining 70 consecutive participants who had undergone ACLR at least 6 months previously. All participants performed strength evaluation of the quadriceps muscle using the HHD and isokinetic dynamometer.Results: The HHD presented high test-retest reliability [intraclass correlation coefficient (ICC) = 0.98], moderate to good validity with the isokinetic dynamometer when compared for the quadriceps strength (r = 0.62), 100% perfect specificity [LR + infinity, 95% confidence interval (CI) 81.4%-100%] to identify those with LSI &gt; 10%, and a sensitivity of 63.4% (48.9%-76.3%).Conclusion: The HHD is an instrument valid and reliable of low cost and easy handling compared to the isokinetic dynamometer to evaluate the quadriceps torque and the limb symmetry index after the ACLR with high diagnostic accuracy.Level Of Evidence: I.","archive":"CINAHL with Full Text","container-title":"Knee Surgery, Sports Traumatology, Arthroscopy","DOI":"10.1007/s00167-018-5245-3","ISSN":"0942-2056","issue":"8","journalAbbreviation":"Knee Surgery, Sports Traumatology, Arthroscopy","note":"publisher-place: ,","page":"2494-2501","publisher":"Springer Nature","source":"EBSCOhost","title":"Hand-held dynamometer identifies asymmetries in torque of the quadriceps muscle after anterior cruciate ligament reconstruction.","volume":"27","author":[{"family":"Almeida","given":"Gabriel Peixoto Leão"},{"family":"Albano","given":"Thamyla Rocha"},{"family":"Melo","given":"Antônio Kayro Pereira"}],"issued":{"date-parts":[["2019",8]]}}}],"schema":"https://github.com/citation-style-language/schema/raw/master/csl-citation.json"} </w:instrText>
      </w:r>
      <w:r w:rsidRPr="000522AA">
        <w:fldChar w:fldCharType="separate"/>
      </w:r>
      <w:r w:rsidR="00E37B6F" w:rsidRPr="000522AA">
        <w:rPr>
          <w:vertAlign w:val="superscript"/>
        </w:rPr>
        <w:t>19,20</w:t>
      </w:r>
      <w:r w:rsidRPr="000522AA">
        <w:fldChar w:fldCharType="end"/>
      </w:r>
      <w:r w:rsidRPr="000522AA">
        <w:t xml:space="preserve">. Focusing solely on torque production at a single velocity </w:t>
      </w:r>
      <w:r w:rsidR="00AD028A" w:rsidRPr="000522AA">
        <w:t xml:space="preserve">via isometric or isokinetic testing at a single velocity </w:t>
      </w:r>
      <w:r w:rsidRPr="000522AA">
        <w:t xml:space="preserve">may not be representative of the range of muscular demands during activities of daily living and </w:t>
      </w:r>
      <w:r w:rsidR="00AD6FC1" w:rsidRPr="000522AA">
        <w:t>high-level</w:t>
      </w:r>
      <w:r w:rsidRPr="000522AA">
        <w:t xml:space="preserve"> sport</w:t>
      </w:r>
      <w:r w:rsidRPr="000522AA">
        <w:fldChar w:fldCharType="begin"/>
      </w:r>
      <w:r w:rsidR="00E37B6F" w:rsidRPr="000522AA">
        <w:instrText xml:space="preserve"> ADDIN ZOTERO_ITEM CSL_CITATION {"citationID":"c54kZniZ","properties":{"formattedCitation":"\\super 14, 21, 22\\nosupersub{}","plainCitation":"14, 21, 22","noteIndex":0},"citationItems":[{"id":2409,"uris":["http://zotero.org/users/6207158/items/XKNKEZ2I"],"itemData":{"id":2409,"type":"article-journal","abstract":"Background: The inherent nature of the torque-velocity relationship is the inverse nature between the velocity of muscle contraction and torque production and is an indication of muscle function. The purpose of this study was to characterize the torque-velocity relationship in the quadriceps following anterior cruciate ligament recon­ struction compared to healthy limbs.","container-title":"Clinical Biomechanics","DOI":"10.1016/j.clinbiomech.2023.106058","ISSN":"02680033","journalAbbreviation":"Clinical Biomechanics","language":"en","page":"106058","source":"DOI.org (Crossref)","title":"Knee extensor torque-velocity relationships following anterior cruciate ligament reconstruction","volume":"108","author":[{"family":"Thompson","given":"Xavier D."},{"family":"Bruce Leicht","given":"Amelia S."},{"family":"Hopper","given":"Haleigh M."},{"family":"Kaur","given":"Mandeep"},{"family":"Diduch","given":"David R."},{"family":"Brockmeier","given":"Stephen F."},{"family":"Miller","given":"Mark D."},{"family":"Gwathmey","given":"F. Winston"},{"family":"Werner","given":"Brian C."},{"family":"Hart","given":"Joe M."}],"issued":{"date-parts":[["2023",8]]}}},{"id":639,"uris":["http://zotero.org/users/6207158/items/YATDIM9T"],"itemData":{"id":639,"type":"article-journal","abstract":"Previous studies show that cessation of resistance training, commonly known as “detraining,” is associated with strength loss, decreased neural drive, and muscular atrophy. Detraining may also increase the expression of fast muscle myosin heavy chain (MHC) isoforms. The present study examined the effect of detraining subsequent to resistance training on contractile performance during slow-to-medium velocity isokinetic muscle contraction vs. performance of maximal velocity “unloaded” limb movement (i.e., no external loading of the limb). Maximal knee extensor strength was measured in an isokinetic dynamometer at 30 and 240°/s, and performance of maximal velocity limb movement was measured with a goniometer during maximal unloaded knee extension. Muscle cross-sectional area was determined with MRI. Electromyographic signals were measured in the quadriceps and hamstring muscles. Twitch contractions were evoked in the passive vastus lateralis muscle. MHC isoform composition was determined with SDS-PAGE. Isokinetic muscle strength increased 18% (P &lt; 0.01) and 10% (P &lt; 0.05) at slow and medium velocities, respectively, along with gains in muscle cross-sectional area and increased electromyogram in response to 3 mo of resistance training. After 3 mo of detraining these gains were lost, whereas in contrast maximal unloaded knee extension velocity and power increased 14% (P &lt; 0.05) and 44% (P &lt; 0.05), respectively. Additionally, faster muscle twitch contractile properties along with an increased and decreased amount of MHC type II and MHC type I isoforms, respectively, were observed. In conclusion, detraining subsequent to resistance training increases maximal unloaded movement speed and power in previously untrained subjects. A phenotypic shift toward faster muscle MHC isoforms (I → IIA → IIX) and faster electrically evoked muscle contractile properties in response to detraining may explain the present results.","container-title":"Journal of Applied Physiology","DOI":"10.1152/japplphysiol.00091.2005","ISSN":"8750-7587","issue":"1","page":"87-94","publisher":"American Physiological Society","source":"journals.physiology.org (Atypon)","title":"Changes in the human muscle force-velocity relationship in response to resistance training and subsequent detraining","volume":"99","author":[{"family":"Andersen","given":"Lars L."},{"family":"Andersen","given":"Jesper L."},{"family":"Magnusson","given":"S. Peter"},{"family":"Suetta","given":"Charlotte"},{"family":"Madsen","given":"Jørgen L."},{"family":"Christensen","given":"Lasse R."},{"family":"Aagaard","given":"Per"}],"issued":{"date-parts":[["2005",7,1]]}}},{"id":1979,"uris":["http://zotero.org/users/6207158/items/D9968NZW"],"itemData":{"id":1979,"type":"article-journal","abstract":"The relationship between the predominance of fast and slow muscle fibers of the vastus lateralis and “in vivo” torque velocity properties in 22 female athletes was studied. Fiber types were classified according to the histochemical myofibrillar adenosine triphosphatase technique at a basic pH. Maximal extensor troques were recorded at 30 degrees from full extension at four selected velocities. While results confirm earlier reports on muscle fiber type and performance, an additional finding was that as knee extension velocities increased from 0 to 95 degrees/s angle specific extensor torque production did not decline as seen in in vitro muscle preparations. The difference in extensor torque between 0 and 96 degrees/s appeared far more critical than the differences observed between 96 and 288 degrees/s. Significant differences in torque were seen at 96, 192, and 288 degrees/s in thos with greater than 50% and less than 50% slow-twitch fibers. When expressed per kilogram of body weight the subjects with greater than 50% fast-twitch fiber produced the greatest torque at 192 degrees/s. These results suggest that the velocity at which torque begins to decline in vivo is related to the proportion of slow-twitch fibers in the vastus lateralismuscle.","container-title":"Journal of Applied Physiology","DOI":"10.1152/jappl.1979.47.2.388","ISSN":"8750-7587, 1522-1601","issue":"2","journalAbbreviation":"Journal of Applied Physiology","language":"en","page":"388-392","source":"DOI.org (Crossref)","title":"Torque-velocity relationships and muscle fiber composition in elite female athletes","volume":"47","author":[{"family":"Gregor","given":"R. J."},{"family":"Edgerton","given":"V. R."},{"family":"Perrine","given":"J. J."},{"family":"Campion","given":"D. S."},{"family":"DeBus","given":"C."}],"issued":{"date-parts":[["1979",8,1]]}}}],"schema":"https://github.com/citation-style-language/schema/raw/master/csl-citation.json"} </w:instrText>
      </w:r>
      <w:r w:rsidRPr="000522AA">
        <w:fldChar w:fldCharType="separate"/>
      </w:r>
      <w:r w:rsidR="00E37B6F" w:rsidRPr="000522AA">
        <w:rPr>
          <w:vertAlign w:val="superscript"/>
        </w:rPr>
        <w:t>14,21,22</w:t>
      </w:r>
      <w:r w:rsidRPr="000522AA">
        <w:fldChar w:fldCharType="end"/>
      </w:r>
      <w:r w:rsidRPr="000522AA">
        <w:t>. The two-point method of characterizing the torqu</w:t>
      </w:r>
      <w:r w:rsidR="00AD028A" w:rsidRPr="000522AA">
        <w:t>e</w:t>
      </w:r>
      <w:r w:rsidRPr="000522AA">
        <w:t>-velocity relationship has been found reliable and may be clinically useful as long as the chosen velocities have a difference in angular velocity of at least 90°/s</w:t>
      </w:r>
      <w:r w:rsidRPr="000522AA">
        <w:fldChar w:fldCharType="begin"/>
      </w:r>
      <w:r w:rsidR="00E37B6F" w:rsidRPr="000522AA">
        <w:instrText xml:space="preserve"> ADDIN ZOTERO_ITEM CSL_CITATION {"citationID":"NnPVSxuF","properties":{"formattedCitation":"\\super 15, 23\\nosupersub{}","plainCitation":"15, 23","noteIndex":0},"citationItems":[{"id":9054,"uris":["http://zotero.org/users/6207158/items/HT8ID2GN"],"itemData":{"id":9054,"type":"article-journal","container-title":"Journal of Sport Rehabilitation","DOI":"10.1123/jsr.2025-0237","page":"1 - 6","publisher":"Human Kinetics","publisher-place":"Champaign IL, USA","title":"Torque–Velocity is Associated With Voluntary Activation and Corticospinal Excitability in Healthy Knees, but Not Following Anterior Cruciate Ligament Reconstruction","author":[{"family":"Thompson","given":"Xavier D."},{"family":"Resch","given":"Jacob E."},{"family":"Kuenze","given":"Chris"},{"family":"Brockmeier","given":"Stephen F."},{"family":"Hart","given":"Joe"}],"issued":{"date-parts":[["2026"]]}}},{"id":43,"uris":["http://zotero.org/users/6207158/items/BYDCLCD9"],"itemData":{"id":43,"type":"article-journal","abstract":"Purpose: After anterior cruciate ligament reconstruction (ACL-R), knee muscle strength symmetry is used as part of the return-to-sport criteria. However, little is known about the changes in the force–velocity (F–V) relationship, which could affect athletic performance. This study investigated the F–V relationship of knee muscles at 4 and 8 months after ACL-R, using the 2-point method tested by isokinetic dynamometry. Methods: A total of 103 physically trained individuals (24.6 [9.3] y, 59.2% male) who underwent primary ACL-R were included. Demographic information and surgery characteristics were collected at 6 weeks postoperatively. Isokinetic knee flexors’ and extensors’ peak torques were measured at 60° and 240° per second in the concentric mode at 4 and 8 months postoperative. Peak torques and angular velocities were converted to force and linear velocity for calculating maximum isometric force (F0) and the slope of the regression line (F–V slope). Results: At 4 and 8 months postoperative, F0 was significantly lower and F–V slope was significantly less steep (less negative) on the operated leg compared with the nonoperated leg for knee extensors (P &lt; .001) and flexors (P &lt; .001–.002). The limb symmetry index calculated using F0 was lower than the limb symmetry indexes assessed at 60° and 240° per second, especially for knee flexors (P &lt; .001). The use of patellar tendon grafts was associated with lower F0 and a less steep F–V slope compared with hamstring tendon grafts (P &lt; .010). Conclusion: The isokinetic 2-point model assessing the F–V relationship provides additional and relevant insight for evaluating knee muscle strength after ACL-R.","container-title":"International Journal of Sports Physiology and Performance","DOI":"10.1123/ijspp.2023-0108","ISSN":"1555-0273, 1555-0265","issue":"aop","language":"en","page":"1-9","publisher":"Human Kinetics","section":"International Journal of Sports Physiology and Performance","source":"journals-humankinetics-com.proxy1.library.virginia.edu","title":"Changes in the Force–Velocity Relationship of Knee Muscles After Anterior Cruciate Ligament Reconstruction Using the Isokinetic 2-Point Model","volume":"-1","author":[{"family":"Drigny","given":"Joffrey"},{"family":"Calmès","given":"Anaelle"},{"family":"Reboursière","given":"Emmanuel"},{"family":"Hulet","given":"Christophe"},{"family":"Gauthier","given":"Antoine"}],"issued":{"date-parts":[["2023",9,6]]}}}],"schema":"https://github.com/citation-style-language/schema/raw/master/csl-citation.json"} </w:instrText>
      </w:r>
      <w:r w:rsidRPr="000522AA">
        <w:fldChar w:fldCharType="separate"/>
      </w:r>
      <w:r w:rsidR="00E37B6F" w:rsidRPr="000522AA">
        <w:rPr>
          <w:vertAlign w:val="superscript"/>
        </w:rPr>
        <w:t>15,23</w:t>
      </w:r>
      <w:r w:rsidRPr="000522AA">
        <w:fldChar w:fldCharType="end"/>
      </w:r>
      <w:r w:rsidRPr="000522AA">
        <w:t xml:space="preserve">. This protocol demonstrates two velocity isokinetic </w:t>
      </w:r>
      <w:r w:rsidR="00AD6FC1" w:rsidRPr="000522AA">
        <w:t>tests</w:t>
      </w:r>
      <w:r w:rsidRPr="000522AA">
        <w:t xml:space="preserve"> for clinical use and the use of multiple velocities to characterize the torque-velocity relationship in greater detail.</w:t>
      </w:r>
      <w:r w:rsidR="0033426A" w:rsidRPr="000522AA">
        <w:t xml:space="preserve"> While this protocol focuses on the analysis of peak torque production, the dynamometer will also allow </w:t>
      </w:r>
      <w:r w:rsidR="00082DDC" w:rsidRPr="000522AA">
        <w:t>full export of time-series data for time-series</w:t>
      </w:r>
      <w:r w:rsidR="0033426A" w:rsidRPr="000522AA">
        <w:t xml:space="preserve"> analyses. </w:t>
      </w:r>
      <w:r w:rsidR="002F48D9" w:rsidRPr="000522AA">
        <w:t xml:space="preserve">Peak torque is a measure of maximal force or power generation, but variables such as rate of torque development, time to peak torque, and angle of peak torque demonstrate </w:t>
      </w:r>
      <w:r w:rsidR="007309F0" w:rsidRPr="000522AA">
        <w:t xml:space="preserve">additional methods to determine </w:t>
      </w:r>
      <w:r w:rsidR="002F48D9" w:rsidRPr="000522AA">
        <w:t>participants’ ability to generate force quickly and respond to varying potential demands</w:t>
      </w:r>
      <w:r w:rsidR="002F48D9" w:rsidRPr="000522AA">
        <w:fldChar w:fldCharType="begin"/>
      </w:r>
      <w:r w:rsidR="008461D6" w:rsidRPr="000522AA">
        <w:instrText xml:space="preserve"> ADDIN ZOTERO_ITEM CSL_CITATION {"citationID":"cEa6bdaV","properties":{"unsorted":false,"formattedCitation":"\\super 24\\uc0\\u8211{}27\\nosupersub{}","plainCitation":"24–27","noteIndex":0},"citationItems":[{"id":9079,"uris":["http://zotero.org/users/6207158/items/H2S73TQT"],"itemData":{"id":9079,"type":"article-journal","abstract":"&lt;p&gt;Single outcomes of standard isokinetic dynamometry tests do not discern between various muscle mechanical capacities. In this study, we aimed to (1) evaluate the shape and strength of the force-velocity relationship of knee extensors, as observed in isokinetic tests conducted at a wide range of angular velocities, and (2) explore the concurrent validity of a simple 2-velocity method. Thirteen physically active females were tested for both the peak and averaged knee extensor concentric force exerted at the angular velocities of 30°–240°/s recorded in the 90°–170° range of knee extension. The results revealed strong (0.960&lt;R&lt;0.998) linear force-velocity relationships that depict the maximum muscle force (i.e. the force-intercept), velocity (velocity-intercept), and power (their product). Moreover, the line drawn through only the 60° and 180°/s data (the ‘2-velocity method’) revealed a high level of agreement with the force-velocity relationship obtained (0.76&lt;R&lt;0.97; all power&lt;0.001); while the force-intercept highly correlated (0.68&lt;R&lt;0.84; all power≤0.01) with the directly measured isometric force. The 2-velocity method could therefore be developed into a standard method for isokinetic testing of mechanical capacities of knee extensors and, if supported by further research, other muscles. This brief and fatigue-free testing procedure could discern between muscle force, velocity, and power-producing capacities.&lt;/p&gt;","container-title":"International Journal of Sports Medicine","DOI":"10.1055/s-0043-113043","ISSN":"0172-4622, 1439-3964","issue":"10","journalAbbreviation":"Int J Sports Med","language":"en","license":"© Georg Thieme Verlag KG Stuttgart · New York","page":"741-746","publisher":"© Georg Thieme Verlag KG","source":"www-thieme-connect-com.proxy1.library.virginia.edu","title":"A Novel Two-Velocity Method for Elaborate Isokinetic Testing of Knee Extensors","volume":"38","author":[{"family":"Grbic","given":"Vladimir"},{"family":"Djuric","given":"Sasa"},{"family":"Knezevic","given":"Olivera M."},{"family":"Mirkov","given":"Dragan M."},{"family":"Nedeljkovic","given":"Aleksandar"},{"family":"Jaric","given":"Slobodan"}],"issued":{"date-parts":[["2017",9]]}}},{"id":3411,"uris":["http://zotero.org/users/6207158/items/QC3H9QNS"],"itemData":{"id":3411,"type":"article-journal","abstract":"Background. The purpose of this study was to determine associations between self-reported function (International Knee Documentation Committee Index), isometric quadriceps strength and rate of torque development in individuals with a unilateral anterior cruciate ligament reconstruction.\nMethods: Forty-one individuals [31% male, BMI mean 25 (SD 4) kg/m(2), months post anterior cruciate ligament reconstruction mean 49 (SD 40)] completed the self-reported function and isometric quadriceps function testing. Rate of torque development was assessed at 0-100 ms (early), 100-200 ms (late) ms, and peak following the onset of contraction. Associations were examined between rate of torque development, strength, and self reported function. Linear regression was used to determine the unique amount of variance explained by the combination of rate of torque development and strength.\nFindings: Higher rate of torque development 100-200 ms is weakly associated with higher self-reported function in individuals with a unilateral anterior cruciate ligament reconstruction (r = 0.274, p = 0.091); however, rate of torque development 100-200 ms does not predict a significant amount of variance in self-reported function after accounting for strength (Delta R-2 = 0.003, P = 0.721).\nInterpretation: Quadriceps strength has a greater influence on self-reported function compared to rate of torque development in individuals with an anterior cruciate ligament reconstruction with time from surgery.","archive_location":"WOS:000411531600008","container-title":"CLINICAL BIOMECHANICS","DOI":"10.1016/j.clinbiomech.2017.04.011","ISSN":"0268-0033","language":"English","page":"52-56","title":"Quadriceps rate of torque development and disability in individuals with anterior cruciate ligament reconstruction","volume":"46","author":[{"family":"Davis","given":"HC"},{"family":"Blackburn","given":"JT"},{"family":"Ryan","given":"ED"},{"family":"Luc-Harkey","given":"BA"},{"family":"Harkey","given":"MS"},{"family":"Padua","given":"DA"},{"family":"Pietrosimone","given":"B"}],"issued":{"date-parts":[["2017",7]]}}},{"id":9081,"uris":["http://zotero.org/users/6207158/items/IFCNTBM6"],"itemData":{"id":9081,"type":"article-journal","abstract":"Quadriceps rate of torque development (RTD) and torque steadiness are valuable metrics for assessing explosive strength and the ability to control force over a sustained period of time, which can inform clinical assessments of knee function. Despite their widespread use, there is a significant gap in standardized methodology for measuring these metrics, which limits their utility in comparing outcomes across different studies and populations. To address these gaps, we evaluated the influence of sampling rates, signal filtering, and torque onset detection on RTD and torque steadiness. Twenty-seven participants with a history of a primary anterior cruciate ligament reconstruction (N = 27 (11 male/16 female), age = 23 ± 8 years, body mass index = 26 ± 4 kg/m2) and thirty-two control participants (N = 32 (13 male/19 female), age = 23 ± 7 years, body mass index = 23 ± 3 kg/m2) underwent isometric quadriceps strength testing, with data collected at 2222 Hz on an isokinetic dynamometer. The torque–time signal was downsampled to approximately 100 and 1000 Hz and processed using a low-pass, zero-lag Butterworth filter with a range of cutoff frequencies spanning 10–200 Hz. The thresholds used to detect torque onset were defined as 0.1 Nm, 1 Nm, and 5 Nm. RTD between 0 and 100 ms, 0 and 200 ms, and 40–160 ms was computed, as well as absolute and relative torque steadiness. Relative differences were computed by comparing all outcomes to the “gold standard” values computed, with a sampling rate of 2222 Hz, a cutoff frequency in the low-pass filter of 150 Hz, and torque onset of 1 Nm, and compared utilizing linear mixed models. While all combinations of signal collection and processing parameters reached statistical significance (p &lt; 0.05), these differences were consistent between injured and control limbs. Additionally, clinically relevant differences (+/−10%) were primarily observed through torque onset detection methods and primarily affected RTD between 0 and 100 ms. Although measurements of RTD and torque steadiness were generally robust against diverse signal collection and processing parameters, the selection of torque onset should be carefully considered, especially in early RTD assessments that have shorter time epochs.","container-title":"Sensors (Basel, Switzerland)","DOI":"10.3390/s24134250","ISSN":"1424-8220","issue":"13","journalAbbreviation":"Sensors (Basel)","page":"4250","PMID":"39001029","PMCID":"PMC11243863","source":"PubMed Central","title":"Effect of Sampling Rate, Filtering, and Torque Onset Detection on Quadriceps Rate of Torque Development and Torque Steadiness","volume":"24","author":[{"family":"White","given":"McKenzie S."},{"family":"Graham","given":"Megan C."},{"family":"Janatova","given":"Tereza"},{"family":"Hawk","given":"Gregory S."},{"family":"Thompson","given":"Katherine L."},{"family":"Noehren","given":"Brian"}],"issued":{"date-parts":[["2024",6,30]]}}},{"id":9093,"uris":["http://zotero.org/users/6207158/items/EMEVI7ZE"],"itemData":{"id":9093,"type":"article-journal","abstract":"Purpose:To correlate the rate of torque development with functional measures of power such as the vertical jump and to determine whether rate of torque development is a factor in returning to previous levels of function and prevention of further injury after anterior cruciate ligament reconstruction.Methods:Participants completed knee flexion and extension followed by plantarflexion and dorsiflexion of the ankle on an isokinetic dynamometer at two different test speeds bilaterally. Each participant then completed trials of a maximum vertical jump and a maximum single leg vertical jump bilaterally. Patients self-reported level of perceived exertion during dynamometry using the Borg Rating of Perceived Exertion Scale. Jump height was measured using a contact mat system and was compared to peak torque, rate of torque development at 30%, 50%, and 100% of peak torque, and single limb vertical jump height bilaterally and demographic information.Results:The correlations between all three vertical jump heights and variables related to rate of torque development ranged between 0.41 and 0.63. Step-wise regressions confirmed that a significant portion of the variance in vertical jump task performance was attributable to rate of torque development.Conclusions:Rate of torque development in the non-dominant limb was a predictor for double limb vertical jump and single leg vertical jump from the non-dominant limb. The relationship between rate of torque development and vertical jump performance may indicate that clinicians can focus on improving rate of torque development in patients who are not ready to begin direct jump training.[Athletic Training &amp; Sports Health Care. 2021;13(3):136–143.]","container-title":"Athletic Training &amp; Sports Health Care","DOI":"10.3928/19425864-20200205-01","issue":"3","page":"136-143","publisher":"SLACK Incorporated","source":"journals.healio.com (Atypon)","title":"The Relationship Between Rate of Torque Development and Vertical Jump Performance: Possible Implications for ACL Injury?","title-short":"The Relationship Between Rate of Torque Development and Vertical Jump Performance","volume":"13","author":[{"family":"Thompson","given":"Xavier D."},{"family":"Gabler","given":"Conrad M."},{"family":"Mattacola","given":"Carl G."}],"issued":{"date-parts":[["2021",5]]}}}],"schema":"https://github.com/citation-style-language/schema/raw/master/csl-citation.json"} </w:instrText>
      </w:r>
      <w:r w:rsidR="002F48D9" w:rsidRPr="000522AA">
        <w:fldChar w:fldCharType="separate"/>
      </w:r>
      <w:r w:rsidR="008461D6" w:rsidRPr="000522AA">
        <w:rPr>
          <w:vertAlign w:val="superscript"/>
        </w:rPr>
        <w:t>24–27</w:t>
      </w:r>
      <w:r w:rsidR="002F48D9" w:rsidRPr="000522AA">
        <w:fldChar w:fldCharType="end"/>
      </w:r>
      <w:r w:rsidR="008461D6" w:rsidRPr="000522AA">
        <w:t>.</w:t>
      </w:r>
    </w:p>
    <w:p w14:paraId="61F11BBD" w14:textId="77777777" w:rsidR="00740E77" w:rsidRPr="000522AA" w:rsidRDefault="00740E77" w:rsidP="00941D7F">
      <w:pPr>
        <w:ind w:left="360"/>
        <w:contextualSpacing/>
      </w:pPr>
    </w:p>
    <w:p w14:paraId="32A92E82" w14:textId="7A73E1C8" w:rsidR="006E4797" w:rsidRPr="000522AA" w:rsidRDefault="00B136EE" w:rsidP="00941D7F">
      <w:pPr>
        <w:contextualSpacing/>
        <w:rPr>
          <w:b/>
        </w:rPr>
      </w:pPr>
      <w:r w:rsidRPr="000522AA">
        <w:rPr>
          <w:b/>
        </w:rPr>
        <w:t>PROTOCOL:</w:t>
      </w:r>
    </w:p>
    <w:p w14:paraId="66341CE9" w14:textId="0FED802C" w:rsidR="0008370F" w:rsidRPr="000522AA" w:rsidRDefault="0008370F" w:rsidP="004766E4">
      <w:pPr>
        <w:contextualSpacing/>
      </w:pPr>
      <w:r w:rsidRPr="000522AA">
        <w:t xml:space="preserve">All representative data </w:t>
      </w:r>
      <w:r w:rsidR="003E5E47" w:rsidRPr="000522AA">
        <w:t>were</w:t>
      </w:r>
      <w:r w:rsidRPr="000522AA">
        <w:t xml:space="preserve"> collected following institutional review board approval, and informed consent was obtained from all participants.</w:t>
      </w:r>
      <w:r w:rsidR="00875923" w:rsidRPr="000522AA">
        <w:t xml:space="preserve"> The protocol below has been performed on participants </w:t>
      </w:r>
      <w:r w:rsidR="0095766F" w:rsidRPr="000522AA">
        <w:t>aged at least 12 years and 4 months post-ACLR,</w:t>
      </w:r>
      <w:r w:rsidR="00875923" w:rsidRPr="000522AA">
        <w:t xml:space="preserve"> with no restrictions based on graft type. </w:t>
      </w:r>
      <w:r w:rsidR="004766E4" w:rsidRPr="000522AA">
        <w:t>Exclusion criteria were pregnancy, serious infection near the lower limb, known muscular abnormalities</w:t>
      </w:r>
      <w:r w:rsidR="0095766F" w:rsidRPr="000522AA">
        <w:t>,</w:t>
      </w:r>
      <w:r w:rsidR="004766E4" w:rsidRPr="000522AA">
        <w:t xml:space="preserve"> and </w:t>
      </w:r>
      <w:r w:rsidR="007B1C13">
        <w:t xml:space="preserve">a </w:t>
      </w:r>
      <w:r w:rsidR="004766E4" w:rsidRPr="000522AA">
        <w:t>history of cardiopulmonary disorder.</w:t>
      </w:r>
      <w:r w:rsidR="00875923" w:rsidRPr="000522AA">
        <w:t xml:space="preserve"> </w:t>
      </w:r>
    </w:p>
    <w:p w14:paraId="2DDF0A26" w14:textId="77777777" w:rsidR="0008370F" w:rsidRPr="000522AA" w:rsidRDefault="0008370F" w:rsidP="00941D7F">
      <w:pPr>
        <w:contextualSpacing/>
        <w:rPr>
          <w:color w:val="808080"/>
        </w:rPr>
      </w:pPr>
    </w:p>
    <w:p w14:paraId="1AE31D6C" w14:textId="44BE6AA1" w:rsidR="00376F18" w:rsidRPr="006F0437" w:rsidRDefault="00B136EE" w:rsidP="00941D7F">
      <w:pPr>
        <w:pStyle w:val="ListParagraph"/>
        <w:numPr>
          <w:ilvl w:val="0"/>
          <w:numId w:val="32"/>
        </w:numPr>
        <w:spacing w:after="0" w:line="240" w:lineRule="auto"/>
        <w:ind w:left="0" w:firstLine="0"/>
        <w:rPr>
          <w:rFonts w:ascii="Calibri" w:hAnsi="Calibri" w:cs="Calibri"/>
          <w:b/>
          <w:bCs/>
          <w:sz w:val="24"/>
          <w:szCs w:val="24"/>
          <w:highlight w:val="yellow"/>
        </w:rPr>
      </w:pPr>
      <w:r w:rsidRPr="006F0437">
        <w:rPr>
          <w:rFonts w:ascii="Calibri" w:hAnsi="Calibri" w:cs="Calibri"/>
          <w:b/>
          <w:bCs/>
          <w:sz w:val="24"/>
          <w:szCs w:val="24"/>
          <w:highlight w:val="yellow"/>
        </w:rPr>
        <w:lastRenderedPageBreak/>
        <w:t xml:space="preserve">Method 1: Participant </w:t>
      </w:r>
      <w:r w:rsidR="004D2CF5" w:rsidRPr="006F0437">
        <w:rPr>
          <w:rFonts w:ascii="Calibri" w:hAnsi="Calibri" w:cs="Calibri"/>
          <w:b/>
          <w:bCs/>
          <w:sz w:val="24"/>
          <w:szCs w:val="24"/>
          <w:highlight w:val="yellow"/>
        </w:rPr>
        <w:t>p</w:t>
      </w:r>
      <w:r w:rsidRPr="006F0437">
        <w:rPr>
          <w:rFonts w:ascii="Calibri" w:hAnsi="Calibri" w:cs="Calibri"/>
          <w:b/>
          <w:bCs/>
          <w:sz w:val="24"/>
          <w:szCs w:val="24"/>
          <w:highlight w:val="yellow"/>
        </w:rPr>
        <w:t xml:space="preserve">reparation and </w:t>
      </w:r>
      <w:r w:rsidR="004D2CF5" w:rsidRPr="006F0437">
        <w:rPr>
          <w:rFonts w:ascii="Calibri" w:hAnsi="Calibri" w:cs="Calibri"/>
          <w:b/>
          <w:bCs/>
          <w:sz w:val="24"/>
          <w:szCs w:val="24"/>
          <w:highlight w:val="yellow"/>
        </w:rPr>
        <w:t>d</w:t>
      </w:r>
      <w:r w:rsidRPr="006F0437">
        <w:rPr>
          <w:rFonts w:ascii="Calibri" w:hAnsi="Calibri" w:cs="Calibri"/>
          <w:b/>
          <w:bCs/>
          <w:sz w:val="24"/>
          <w:szCs w:val="24"/>
          <w:highlight w:val="yellow"/>
        </w:rPr>
        <w:t xml:space="preserve">ynamometer </w:t>
      </w:r>
      <w:r w:rsidR="004D2CF5" w:rsidRPr="006F0437">
        <w:rPr>
          <w:rFonts w:ascii="Calibri" w:hAnsi="Calibri" w:cs="Calibri"/>
          <w:b/>
          <w:bCs/>
          <w:sz w:val="24"/>
          <w:szCs w:val="24"/>
          <w:highlight w:val="yellow"/>
        </w:rPr>
        <w:t>s</w:t>
      </w:r>
      <w:r w:rsidRPr="006F0437">
        <w:rPr>
          <w:rFonts w:ascii="Calibri" w:hAnsi="Calibri" w:cs="Calibri"/>
          <w:b/>
          <w:bCs/>
          <w:sz w:val="24"/>
          <w:szCs w:val="24"/>
          <w:highlight w:val="yellow"/>
        </w:rPr>
        <w:t>etup</w:t>
      </w:r>
    </w:p>
    <w:p w14:paraId="4D47CB76" w14:textId="77777777" w:rsidR="004D2CF5" w:rsidRPr="006F0437" w:rsidRDefault="004D2CF5" w:rsidP="004D2CF5">
      <w:pPr>
        <w:pStyle w:val="ListParagraph"/>
        <w:spacing w:after="0" w:line="240" w:lineRule="auto"/>
        <w:ind w:left="0"/>
        <w:rPr>
          <w:rFonts w:ascii="Calibri" w:hAnsi="Calibri" w:cs="Calibri"/>
          <w:b/>
          <w:bCs/>
          <w:sz w:val="24"/>
          <w:szCs w:val="24"/>
        </w:rPr>
      </w:pPr>
    </w:p>
    <w:p w14:paraId="2BD4381A" w14:textId="6E6B02EA" w:rsidR="0081681B" w:rsidRPr="006F0437" w:rsidRDefault="00B136EE" w:rsidP="00941D7F">
      <w:pPr>
        <w:contextualSpacing/>
      </w:pPr>
      <w:r w:rsidRPr="006F0437">
        <w:t>NOTE: A consistent dynamometer setup</w:t>
      </w:r>
      <w:r w:rsidR="00376F18" w:rsidRPr="006F0437">
        <w:t xml:space="preserve"> is critical to ensure valid</w:t>
      </w:r>
      <w:r w:rsidRPr="006F0437">
        <w:t>, reproducible torque evaluation</w:t>
      </w:r>
      <w:r w:rsidR="00376F18" w:rsidRPr="006F0437">
        <w:t xml:space="preserve"> across sessions and participants.</w:t>
      </w:r>
      <w:r w:rsidR="009B677C" w:rsidRPr="006F0437">
        <w:t xml:space="preserve"> </w:t>
      </w:r>
      <w:r w:rsidR="0095766F" w:rsidRPr="006F0437">
        <w:t>As recommended by the manufacturer</w:t>
      </w:r>
      <w:r w:rsidR="00E94C6C" w:rsidRPr="006F0437">
        <w:t xml:space="preserve">, the dynamometer should be calibrated monthly. The </w:t>
      </w:r>
      <w:r w:rsidR="00455FFE" w:rsidRPr="006F0437">
        <w:t>torque, velocity, and position data</w:t>
      </w:r>
      <w:r w:rsidR="00E94C6C" w:rsidRPr="006F0437">
        <w:t xml:space="preserve"> in this protocol </w:t>
      </w:r>
      <w:r w:rsidR="0095766F" w:rsidRPr="006F0437">
        <w:t>were exported at 100 Hz,</w:t>
      </w:r>
      <w:r w:rsidR="00BC3ABA" w:rsidRPr="006F0437">
        <w:t xml:space="preserve"> and no additional smoothing or filtering was applied beyond the manufacturer’s signal processing. </w:t>
      </w:r>
      <w:r w:rsidR="00AD028A" w:rsidRPr="006F0437">
        <w:t xml:space="preserve">This protocol should not be completed before a patient has completed </w:t>
      </w:r>
      <w:r w:rsidRPr="006F0437">
        <w:t>open-chain</w:t>
      </w:r>
      <w:r w:rsidR="00AD028A" w:rsidRPr="006F0437">
        <w:t xml:space="preserve"> knee extension during rehabilitation. </w:t>
      </w:r>
    </w:p>
    <w:p w14:paraId="0D99AB0F" w14:textId="77777777" w:rsidR="0081681B" w:rsidRPr="006F0437" w:rsidRDefault="0081681B" w:rsidP="00941D7F">
      <w:pPr>
        <w:contextualSpacing/>
        <w:rPr>
          <w:highlight w:val="yellow"/>
        </w:rPr>
      </w:pPr>
    </w:p>
    <w:p w14:paraId="58EE638E" w14:textId="0CE3D361" w:rsidR="0081681B" w:rsidRPr="006F0437" w:rsidRDefault="00B136EE" w:rsidP="00941D7F">
      <w:pPr>
        <w:pStyle w:val="ListParagraph"/>
        <w:numPr>
          <w:ilvl w:val="1"/>
          <w:numId w:val="23"/>
        </w:numPr>
        <w:spacing w:after="0" w:line="240" w:lineRule="auto"/>
        <w:ind w:left="0" w:firstLine="0"/>
        <w:rPr>
          <w:rFonts w:ascii="Calibri" w:hAnsi="Calibri" w:cs="Calibri"/>
          <w:sz w:val="24"/>
          <w:szCs w:val="24"/>
          <w:highlight w:val="yellow"/>
        </w:rPr>
      </w:pPr>
      <w:proofErr w:type="gramStart"/>
      <w:r w:rsidRPr="006F0437">
        <w:rPr>
          <w:rFonts w:ascii="Calibri" w:hAnsi="Calibri" w:cs="Calibri"/>
          <w:sz w:val="24"/>
          <w:szCs w:val="24"/>
          <w:highlight w:val="yellow"/>
        </w:rPr>
        <w:t>Begin all procedures</w:t>
      </w:r>
      <w:proofErr w:type="gramEnd"/>
      <w:r w:rsidRPr="006F0437">
        <w:rPr>
          <w:rFonts w:ascii="Calibri" w:hAnsi="Calibri" w:cs="Calibri"/>
          <w:sz w:val="24"/>
          <w:szCs w:val="24"/>
          <w:highlight w:val="yellow"/>
        </w:rPr>
        <w:t xml:space="preserve"> with the uninvolved limb.</w:t>
      </w:r>
    </w:p>
    <w:p w14:paraId="0B65B937" w14:textId="77777777" w:rsidR="0081681B" w:rsidRPr="006F0437" w:rsidRDefault="0081681B" w:rsidP="00941D7F">
      <w:pPr>
        <w:pStyle w:val="ListParagraph"/>
        <w:spacing w:after="0" w:line="240" w:lineRule="auto"/>
        <w:ind w:left="0"/>
        <w:rPr>
          <w:rFonts w:ascii="Calibri" w:hAnsi="Calibri" w:cs="Calibri"/>
          <w:sz w:val="24"/>
          <w:szCs w:val="24"/>
          <w:highlight w:val="yellow"/>
        </w:rPr>
      </w:pPr>
    </w:p>
    <w:p w14:paraId="53A9BDF5" w14:textId="48524DC8" w:rsidR="00376F18" w:rsidRPr="006F0437" w:rsidRDefault="00B136EE" w:rsidP="00941D7F">
      <w:pPr>
        <w:pStyle w:val="ListParagraph"/>
        <w:numPr>
          <w:ilvl w:val="1"/>
          <w:numId w:val="23"/>
        </w:numPr>
        <w:spacing w:after="0" w:line="240" w:lineRule="auto"/>
        <w:ind w:left="0" w:firstLine="0"/>
        <w:rPr>
          <w:rFonts w:ascii="Calibri" w:hAnsi="Calibri" w:cs="Calibri"/>
          <w:sz w:val="24"/>
          <w:szCs w:val="24"/>
          <w:highlight w:val="yellow"/>
        </w:rPr>
      </w:pPr>
      <w:r w:rsidRPr="006F0437">
        <w:rPr>
          <w:rFonts w:ascii="Calibri" w:hAnsi="Calibri" w:cs="Calibri"/>
          <w:sz w:val="24"/>
          <w:szCs w:val="24"/>
          <w:highlight w:val="yellow"/>
        </w:rPr>
        <w:t>Have the participant complete a standardized warm-up consisting of approximately 5 min of treadmill walking at a standardized pace of 3.0</w:t>
      </w:r>
      <w:r w:rsidR="00D061C7" w:rsidRPr="006F0437">
        <w:rPr>
          <w:rFonts w:ascii="Calibri" w:hAnsi="Calibri" w:cs="Calibri"/>
          <w:sz w:val="24"/>
          <w:szCs w:val="24"/>
          <w:highlight w:val="yellow"/>
        </w:rPr>
        <w:t xml:space="preserve"> </w:t>
      </w:r>
      <w:r w:rsidRPr="006F0437">
        <w:rPr>
          <w:rFonts w:ascii="Calibri" w:hAnsi="Calibri" w:cs="Calibri"/>
          <w:sz w:val="24"/>
          <w:szCs w:val="24"/>
          <w:highlight w:val="yellow"/>
        </w:rPr>
        <w:t>mph.</w:t>
      </w:r>
    </w:p>
    <w:p w14:paraId="1CCCD425" w14:textId="77777777" w:rsidR="00D061C7" w:rsidRPr="006F0437" w:rsidRDefault="00D061C7" w:rsidP="00941D7F">
      <w:pPr>
        <w:pStyle w:val="ListParagraph"/>
        <w:spacing w:after="0" w:line="240" w:lineRule="auto"/>
        <w:ind w:left="360"/>
        <w:rPr>
          <w:rFonts w:ascii="Calibri" w:hAnsi="Calibri" w:cs="Calibri"/>
          <w:sz w:val="24"/>
          <w:szCs w:val="24"/>
          <w:highlight w:val="yellow"/>
        </w:rPr>
      </w:pPr>
    </w:p>
    <w:p w14:paraId="2C1A94CE" w14:textId="11125238" w:rsidR="000416AA" w:rsidRPr="006F0437" w:rsidRDefault="00B136EE" w:rsidP="00941D7F">
      <w:pPr>
        <w:pStyle w:val="ListParagraph"/>
        <w:numPr>
          <w:ilvl w:val="1"/>
          <w:numId w:val="23"/>
        </w:numPr>
        <w:spacing w:after="0" w:line="240" w:lineRule="auto"/>
        <w:rPr>
          <w:rFonts w:ascii="Calibri" w:hAnsi="Calibri" w:cs="Calibri"/>
          <w:sz w:val="24"/>
          <w:szCs w:val="24"/>
          <w:highlight w:val="yellow"/>
        </w:rPr>
      </w:pPr>
      <w:r w:rsidRPr="006F0437">
        <w:rPr>
          <w:rFonts w:ascii="Calibri" w:hAnsi="Calibri" w:cs="Calibri"/>
          <w:sz w:val="24"/>
          <w:szCs w:val="24"/>
          <w:highlight w:val="yellow"/>
        </w:rPr>
        <w:t>Turn the dynamometer on</w:t>
      </w:r>
      <w:r w:rsidR="00AD028A" w:rsidRPr="006F0437">
        <w:rPr>
          <w:rFonts w:ascii="Calibri" w:hAnsi="Calibri" w:cs="Calibri"/>
          <w:sz w:val="24"/>
          <w:szCs w:val="24"/>
          <w:highlight w:val="yellow"/>
        </w:rPr>
        <w:t xml:space="preserve"> and attach the dynamometer arm</w:t>
      </w:r>
      <w:r w:rsidRPr="006F0437">
        <w:rPr>
          <w:rFonts w:ascii="Calibri" w:hAnsi="Calibri" w:cs="Calibri"/>
          <w:sz w:val="24"/>
          <w:szCs w:val="24"/>
          <w:highlight w:val="yellow"/>
        </w:rPr>
        <w:t>.</w:t>
      </w:r>
    </w:p>
    <w:p w14:paraId="777A10EE" w14:textId="77777777" w:rsidR="000416AA" w:rsidRPr="006F0437" w:rsidRDefault="000416AA" w:rsidP="00941D7F">
      <w:pPr>
        <w:pStyle w:val="ListParagraph"/>
        <w:spacing w:after="0" w:line="240" w:lineRule="auto"/>
        <w:rPr>
          <w:rFonts w:ascii="Calibri" w:hAnsi="Calibri" w:cs="Calibri"/>
          <w:sz w:val="24"/>
          <w:szCs w:val="24"/>
          <w:highlight w:val="yellow"/>
        </w:rPr>
      </w:pPr>
    </w:p>
    <w:p w14:paraId="49A3FCC8" w14:textId="460B4E4F" w:rsidR="00D061C7" w:rsidRPr="006F0437" w:rsidRDefault="00B136EE" w:rsidP="00941D7F">
      <w:pPr>
        <w:pStyle w:val="ListParagraph"/>
        <w:numPr>
          <w:ilvl w:val="1"/>
          <w:numId w:val="23"/>
        </w:numPr>
        <w:spacing w:after="0" w:line="240" w:lineRule="auto"/>
        <w:ind w:left="0" w:firstLine="0"/>
        <w:rPr>
          <w:rFonts w:ascii="Calibri" w:hAnsi="Calibri" w:cs="Calibri"/>
          <w:sz w:val="24"/>
          <w:szCs w:val="24"/>
          <w:highlight w:val="yellow"/>
        </w:rPr>
      </w:pPr>
      <w:r w:rsidRPr="006F0437">
        <w:rPr>
          <w:rFonts w:ascii="Calibri" w:hAnsi="Calibri" w:cs="Calibri"/>
          <w:sz w:val="24"/>
          <w:szCs w:val="24"/>
          <w:highlight w:val="yellow"/>
        </w:rPr>
        <w:t>P</w:t>
      </w:r>
      <w:r w:rsidR="00376F18" w:rsidRPr="006F0437">
        <w:rPr>
          <w:rFonts w:ascii="Calibri" w:hAnsi="Calibri" w:cs="Calibri"/>
          <w:sz w:val="24"/>
          <w:szCs w:val="24"/>
          <w:highlight w:val="yellow"/>
        </w:rPr>
        <w:t xml:space="preserve">osition the chair at a back angle of 85° and </w:t>
      </w:r>
      <w:r w:rsidRPr="006F0437">
        <w:rPr>
          <w:rFonts w:ascii="Calibri" w:hAnsi="Calibri" w:cs="Calibri"/>
          <w:sz w:val="24"/>
          <w:szCs w:val="24"/>
          <w:highlight w:val="yellow"/>
        </w:rPr>
        <w:t xml:space="preserve">set the </w:t>
      </w:r>
      <w:r w:rsidR="00376F18" w:rsidRPr="006F0437">
        <w:rPr>
          <w:rFonts w:ascii="Calibri" w:hAnsi="Calibri" w:cs="Calibri"/>
          <w:sz w:val="24"/>
          <w:szCs w:val="24"/>
          <w:highlight w:val="yellow"/>
        </w:rPr>
        <w:t xml:space="preserve">dynamometer rotation </w:t>
      </w:r>
      <w:r w:rsidRPr="006F0437">
        <w:rPr>
          <w:rFonts w:ascii="Calibri" w:hAnsi="Calibri" w:cs="Calibri"/>
          <w:sz w:val="24"/>
          <w:szCs w:val="24"/>
          <w:highlight w:val="yellow"/>
        </w:rPr>
        <w:t>to</w:t>
      </w:r>
      <w:r w:rsidR="00376F18" w:rsidRPr="006F0437">
        <w:rPr>
          <w:rFonts w:ascii="Calibri" w:hAnsi="Calibri" w:cs="Calibri"/>
          <w:sz w:val="24"/>
          <w:szCs w:val="24"/>
          <w:highlight w:val="yellow"/>
        </w:rPr>
        <w:t xml:space="preserve"> 40°</w:t>
      </w:r>
      <w:r w:rsidR="00AD028A" w:rsidRPr="006F0437">
        <w:rPr>
          <w:rFonts w:ascii="Calibri" w:hAnsi="Calibri" w:cs="Calibri"/>
          <w:sz w:val="24"/>
          <w:szCs w:val="24"/>
          <w:highlight w:val="yellow"/>
        </w:rPr>
        <w:t xml:space="preserve"> consistent with manufacturer standards</w:t>
      </w:r>
      <w:r w:rsidR="00376F18" w:rsidRPr="006F0437">
        <w:rPr>
          <w:rFonts w:ascii="Calibri" w:hAnsi="Calibri" w:cs="Calibri"/>
          <w:sz w:val="24"/>
          <w:szCs w:val="24"/>
          <w:highlight w:val="yellow"/>
        </w:rPr>
        <w:t>.</w:t>
      </w:r>
    </w:p>
    <w:p w14:paraId="7252D72D" w14:textId="77777777" w:rsidR="00D061C7" w:rsidRPr="006F0437" w:rsidRDefault="00D061C7" w:rsidP="00941D7F">
      <w:pPr>
        <w:contextualSpacing/>
        <w:rPr>
          <w:highlight w:val="yellow"/>
        </w:rPr>
      </w:pPr>
    </w:p>
    <w:p w14:paraId="5AA7CD49" w14:textId="4FA81957" w:rsidR="00376F18" w:rsidRPr="006F0437" w:rsidRDefault="00B136EE" w:rsidP="00941D7F">
      <w:pPr>
        <w:pStyle w:val="ListParagraph"/>
        <w:numPr>
          <w:ilvl w:val="1"/>
          <w:numId w:val="23"/>
        </w:numPr>
        <w:spacing w:after="0" w:line="240" w:lineRule="auto"/>
        <w:ind w:left="0" w:firstLine="0"/>
        <w:rPr>
          <w:rFonts w:ascii="Calibri" w:hAnsi="Calibri" w:cs="Calibri"/>
          <w:sz w:val="24"/>
          <w:szCs w:val="24"/>
          <w:highlight w:val="yellow"/>
        </w:rPr>
      </w:pPr>
      <w:r w:rsidRPr="006F0437">
        <w:rPr>
          <w:rFonts w:ascii="Calibri" w:hAnsi="Calibri" w:cs="Calibri"/>
          <w:sz w:val="24"/>
          <w:szCs w:val="24"/>
          <w:highlight w:val="yellow"/>
        </w:rPr>
        <w:t>Seat the participant with hips flexed to approximately 85° and instruct them to maintain an upright posture and avoid grabbing the handles of the dynamometer during testing.</w:t>
      </w:r>
    </w:p>
    <w:p w14:paraId="373DF630" w14:textId="77777777" w:rsidR="005C5EB1" w:rsidRPr="006F0437" w:rsidRDefault="005C5EB1" w:rsidP="00941D7F">
      <w:pPr>
        <w:contextualSpacing/>
        <w:rPr>
          <w:highlight w:val="yellow"/>
        </w:rPr>
      </w:pPr>
    </w:p>
    <w:p w14:paraId="2C3BD915" w14:textId="57446790" w:rsidR="00D061C7" w:rsidRPr="006F0437" w:rsidRDefault="00B136EE" w:rsidP="00941D7F">
      <w:pPr>
        <w:pStyle w:val="ListParagraph"/>
        <w:numPr>
          <w:ilvl w:val="1"/>
          <w:numId w:val="23"/>
        </w:numPr>
        <w:spacing w:after="0" w:line="240" w:lineRule="auto"/>
        <w:ind w:left="0" w:firstLine="0"/>
        <w:rPr>
          <w:rFonts w:ascii="Calibri" w:hAnsi="Calibri" w:cs="Calibri"/>
          <w:sz w:val="24"/>
          <w:szCs w:val="24"/>
          <w:highlight w:val="yellow"/>
        </w:rPr>
      </w:pPr>
      <w:r w:rsidRPr="006F0437">
        <w:rPr>
          <w:rFonts w:ascii="Calibri" w:hAnsi="Calibri" w:cs="Calibri"/>
          <w:sz w:val="24"/>
          <w:szCs w:val="24"/>
          <w:highlight w:val="yellow"/>
        </w:rPr>
        <w:t>Adjust the back translation so that the popliteal fossa is positioned approximately 3</w:t>
      </w:r>
      <w:r w:rsidR="00941D7F" w:rsidRPr="006F0437">
        <w:rPr>
          <w:rFonts w:ascii="Calibri" w:hAnsi="Calibri" w:cs="Calibri"/>
          <w:sz w:val="24"/>
          <w:szCs w:val="24"/>
          <w:highlight w:val="yellow"/>
        </w:rPr>
        <w:t>–</w:t>
      </w:r>
      <w:r w:rsidRPr="006F0437">
        <w:rPr>
          <w:rFonts w:ascii="Calibri" w:hAnsi="Calibri" w:cs="Calibri"/>
          <w:sz w:val="24"/>
          <w:szCs w:val="24"/>
          <w:highlight w:val="yellow"/>
        </w:rPr>
        <w:t>4 cm anterior to the edge of the seat.</w:t>
      </w:r>
    </w:p>
    <w:p w14:paraId="3CDFA48E" w14:textId="77777777" w:rsidR="00D061C7" w:rsidRPr="006F0437" w:rsidRDefault="00D061C7" w:rsidP="00941D7F">
      <w:pPr>
        <w:pStyle w:val="ListParagraph"/>
        <w:spacing w:after="0" w:line="240" w:lineRule="auto"/>
        <w:ind w:left="360"/>
        <w:rPr>
          <w:rFonts w:ascii="Calibri" w:hAnsi="Calibri" w:cs="Calibri"/>
          <w:sz w:val="24"/>
          <w:szCs w:val="24"/>
          <w:highlight w:val="yellow"/>
        </w:rPr>
      </w:pPr>
    </w:p>
    <w:p w14:paraId="022C600C" w14:textId="39F97269" w:rsidR="00376F18" w:rsidRPr="006F0437" w:rsidRDefault="00B136EE" w:rsidP="00941D7F">
      <w:pPr>
        <w:pStyle w:val="ListParagraph"/>
        <w:numPr>
          <w:ilvl w:val="1"/>
          <w:numId w:val="23"/>
        </w:numPr>
        <w:spacing w:after="0" w:line="240" w:lineRule="auto"/>
        <w:ind w:left="0" w:firstLine="0"/>
        <w:rPr>
          <w:rFonts w:ascii="Calibri" w:hAnsi="Calibri" w:cs="Calibri"/>
          <w:sz w:val="24"/>
          <w:szCs w:val="24"/>
          <w:highlight w:val="yellow"/>
        </w:rPr>
      </w:pPr>
      <w:r w:rsidRPr="006F0437">
        <w:rPr>
          <w:rFonts w:ascii="Calibri" w:hAnsi="Calibri" w:cs="Calibri"/>
          <w:sz w:val="24"/>
          <w:szCs w:val="24"/>
          <w:highlight w:val="yellow"/>
        </w:rPr>
        <w:t xml:space="preserve">Adjust chair position and dynamometer arm orientation until </w:t>
      </w:r>
      <w:r w:rsidR="0093282A" w:rsidRPr="006F0437">
        <w:rPr>
          <w:rFonts w:ascii="Calibri" w:hAnsi="Calibri" w:cs="Calibri"/>
          <w:sz w:val="24"/>
          <w:szCs w:val="24"/>
          <w:highlight w:val="yellow"/>
        </w:rPr>
        <w:t>the mechanical axis aligns with the lateral femoral condyle.</w:t>
      </w:r>
    </w:p>
    <w:p w14:paraId="6749A22B" w14:textId="77777777" w:rsidR="00D061C7" w:rsidRPr="006F0437" w:rsidRDefault="00D061C7" w:rsidP="00941D7F">
      <w:pPr>
        <w:contextualSpacing/>
        <w:rPr>
          <w:highlight w:val="yellow"/>
        </w:rPr>
      </w:pPr>
    </w:p>
    <w:p w14:paraId="7B6D6FDE" w14:textId="78F43C54" w:rsidR="00376F18" w:rsidRPr="006F0437" w:rsidRDefault="00B136EE" w:rsidP="00941D7F">
      <w:pPr>
        <w:pStyle w:val="ListParagraph"/>
        <w:numPr>
          <w:ilvl w:val="1"/>
          <w:numId w:val="23"/>
        </w:numPr>
        <w:spacing w:after="0" w:line="240" w:lineRule="auto"/>
        <w:ind w:left="0" w:firstLine="0"/>
        <w:rPr>
          <w:rFonts w:ascii="Calibri" w:hAnsi="Calibri" w:cs="Calibri"/>
          <w:sz w:val="24"/>
          <w:szCs w:val="24"/>
          <w:highlight w:val="yellow"/>
        </w:rPr>
      </w:pPr>
      <w:r w:rsidRPr="006F0437">
        <w:rPr>
          <w:rFonts w:ascii="Calibri" w:hAnsi="Calibri" w:cs="Calibri"/>
          <w:sz w:val="24"/>
          <w:szCs w:val="24"/>
          <w:highlight w:val="yellow"/>
        </w:rPr>
        <w:t>Position the dynamometer arm resistance pad approximately 5</w:t>
      </w:r>
      <w:r w:rsidR="00D061C7" w:rsidRPr="006F0437">
        <w:rPr>
          <w:rFonts w:ascii="Calibri" w:hAnsi="Calibri" w:cs="Calibri"/>
          <w:sz w:val="24"/>
          <w:szCs w:val="24"/>
          <w:highlight w:val="yellow"/>
        </w:rPr>
        <w:t xml:space="preserve"> </w:t>
      </w:r>
      <w:r w:rsidRPr="006F0437">
        <w:rPr>
          <w:rFonts w:ascii="Calibri" w:hAnsi="Calibri" w:cs="Calibri"/>
          <w:sz w:val="24"/>
          <w:szCs w:val="24"/>
          <w:highlight w:val="yellow"/>
        </w:rPr>
        <w:t>cm proximal to the lateral malleolus on the anterior portion of the lower leg</w:t>
      </w:r>
      <w:r w:rsidR="00716438" w:rsidRPr="006F0437">
        <w:rPr>
          <w:rFonts w:ascii="Calibri" w:hAnsi="Calibri" w:cs="Calibri"/>
          <w:sz w:val="24"/>
          <w:szCs w:val="24"/>
          <w:highlight w:val="yellow"/>
        </w:rPr>
        <w:fldChar w:fldCharType="begin"/>
      </w:r>
      <w:r w:rsidR="008461D6" w:rsidRPr="006F0437">
        <w:rPr>
          <w:rFonts w:ascii="Calibri" w:hAnsi="Calibri" w:cs="Calibri"/>
          <w:sz w:val="24"/>
          <w:szCs w:val="24"/>
          <w:highlight w:val="yellow"/>
        </w:rPr>
        <w:instrText xml:space="preserve"> ADDIN ZOTERO_ITEM CSL_CITATION {"citationID":"yolgDExg","properties":{"formattedCitation":"\\super 28, 29\\nosupersub{}","plainCitation":"28, 29","noteIndex":0},"citationItems":[{"id":9066,"uris":["http://zotero.org/users/6207158/items/ZSGHE3WC"],"itemData":{"id":9066,"type":"article-journal","abstract":"Purpose/Background\nA belt‐stabilized hand‐held dynamometer (HHD) offers the ability to quantify quadriceps muscle strength in a clinical environment, but a limitation is participant discomfort at the interface between the HHD and the tibia. The purpose of this study was to quantify the level of discomfort associated with a modified belt‐stabilized HHD configuration compared to a standard belt‐stabilized configuration and an isokinetic dynamometer. The secondary purpose of this study was to determine the validity and reliability of a modified configuration used to measure quadriceps strength compared to the “gold‐standard” isokinetic dynamometer.\n\nMethods\nTwenty healthy participants (5 males, 15 females; age=24.7±2.2 years, height=171.1±8.8 cm, mass=72.0±18.7 kg) performed maximal knee extension isometric contractions during each of three testing conditions: isokinetic dynamometer, standard configuration with HHD placement on the tibia, and an alternative configuration with the HHD interfaced with the leg of a table. Discomfort was quantified using a Visual Analog Scale (VAS). Differences in discomfort and torque (N•m) associated with the testing positions were determined using Friedman test or repeated measures analysis of variance. Validity was quantified using Pearson correlations and within‐session intrarater reliability was determined using an intraclass correlation coefficient (ICC2,1) and associated confidence intervals (95% CI).\n\nResults\nThe isokinetic dynamometer configuration resulted in the least discomfort (p&lt; .01) and the modified configuration was more comfortable than the standard configuration (p= .003). There was a significant correlation between measures from the isokinetic dynamometer and the standard configuration (r=.87) and modified configuration (r=.93). Within‐session intrarater reliability was good for both the standard configuration (ICC2,1=0.93) and modified configuration (ICC2,1=0.93) conditions.\n\nConclusions\nThe use of the modified belt‐stabilized HHD configuration, where the HHD was interfaced with the leg of a table, offers a more comfortable alternative compared to the standard belt‐stabilized configuration to obtain isometric quadriceps strength measures in a clinical environment. This configuration is also a valid and reliable alternative to the “gold standard” isokinetic dynamometer when testing isometric quadriceps strength at 90° of knee flexion.\n\nLevel of Evidence\nDiagnostic, Level 3","container-title":"International Journal of Sports Physical Therapy","ISSN":"2159-2896","issue":"1","journalAbbreviation":"Int J Sports Phys Ther","page":"62-68","PMID":"25709864","PMCID":"PMC4325289","source":"PubMed Central","title":"Hand‐held Dynamometer Positioning Impacts Discomfort During Quadriceps Strength Testing: A Validity and Reliability Study","title-short":"Hand‐held Dynamometer Positioning Impacts Discomfort During Quadriceps Strength Testing","volume":"10","author":[{"family":"Hansen","given":"Evan M."},{"family":"McCartney","given":"Caitlyn N."},{"family":"Sweeney","given":"Ryan S."},{"family":"Palimenio","given":"Marcus R."},{"family":"Grindstaff","given":"Terry L."}],"issued":{"date-parts":[["2015",2]]}}},{"id":9064,"uris":["http://zotero.org/users/6207158/items/PHQ5JLGY"],"itemData":{"id":9064,"type":"article-journal","abstract":"Background\nA hand-held dynamometer (HHD) offers a reliable and valid method to quantify quadriceps strength in a clinical environment. While measures of peak strength provide functional insights, most daily activities are performed quickly and do not require maximum strength. Rate of torque development (RTD) measures better reflect both the demands of daily activity and athletic movements. The capacity to obtain RTD measures in clinical settings is possible with an HHD, but the validity of RTD measures has not been quantified.\n\nHypothesis/Purpose\nTo determine the validity of an HHD to measure quadriceps isometric strength metrics compared to isometric strength measures obtained on an isokinetic dynamometer. It was hypothesized that the HHD would be a valid measure of peak torque and RTD at all time intervals when compared to the isokinetic dynamometer.\n\nStudy Design\nDescriptive laboratory study.\n\nMethods\nTwenty healthy participants (12 male, 8 female) (age = 23.7 ± 2.9 years, height = 174.6 ± 10.1 cm, mass = 76.4 ± 15.9 kg, and Tegner = 6.7 ± 1.2) performed maximum isometric quadriceps contractions on an isokinetic dynamometer and with an HHD. Outcome measures included quadriceps peak torque and RTD at three intervals (0-100, 0-250 ms, and average). Pearson product-moment correlation coefficients and Spearman's rank correlation coefficient were used to determine relationships between devices. Bland-Altman Plots with Limits of Agreement (LOA) calculations were used to quantify systematic bias between measurement techniques.\n\nResults\nThere was a significant correlation between the isokinetic dynamometer and the HHD for peak torque (p&lt;.001, r = .894) and all RTD measurements (p&lt;.002, r = .807; ρ = .502-.604). Bland-Altman plot LOA indicated the HHD overestimated peak torque values (19.4 ± 53.2 Nm) and underestimated all RTD measurements (-55.2 ± 190.7 Nm/s to -265.2 ± 402.6 Nm/s).\n\nConclusion\nThese results show it is possible to obtain valid measures of quadriceps peak torque and late RTD using an HHD. Measures of early RTD and RTDAvg obtained with an HHD were more variable and should be viewed with caution.\n\nLevel of Evidence\nDiagnostic, Level 3","container-title":"International Journal of Sports Physical Therapy","ISSN":"2159-2896","issue":"2","journalAbbreviation":"Int J Sports Phys Ther","page":"180-187","PMID":"30997270","PMCID":"PMC6449009","source":"PubMed Central","title":"VALIDITY OF HAND-HELD DYNAMOMETRY IN MEASURING QUADRICEPS STRENGTH AND RATE OF TORQUE DEVELOPMENT","volume":"14","author":[{"family":"Lesnak","given":"Joseph"},{"family":"Anderson","given":"Dillon"},{"family":"Farmer","given":"Brooke"},{"family":"Katsavelis","given":"Dimitrios"},{"family":"Grindstaff","given":"Terry L."}],"issued":{"date-parts":[["2019",4]]}}}],"schema":"https://github.com/citation-style-language/schema/raw/master/csl-citation.json"} </w:instrText>
      </w:r>
      <w:r w:rsidR="00716438" w:rsidRPr="006F0437">
        <w:rPr>
          <w:rFonts w:ascii="Calibri" w:hAnsi="Calibri" w:cs="Calibri"/>
          <w:sz w:val="24"/>
          <w:szCs w:val="24"/>
          <w:highlight w:val="yellow"/>
        </w:rPr>
        <w:fldChar w:fldCharType="separate"/>
      </w:r>
      <w:r w:rsidR="008461D6" w:rsidRPr="006F0437">
        <w:rPr>
          <w:rFonts w:ascii="Calibri" w:hAnsi="Calibri" w:cs="Calibri"/>
          <w:sz w:val="24"/>
          <w:highlight w:val="yellow"/>
          <w:vertAlign w:val="superscript"/>
        </w:rPr>
        <w:t>28,29</w:t>
      </w:r>
      <w:r w:rsidR="00716438" w:rsidRPr="006F0437">
        <w:rPr>
          <w:rFonts w:ascii="Calibri" w:hAnsi="Calibri" w:cs="Calibri"/>
          <w:sz w:val="24"/>
          <w:szCs w:val="24"/>
          <w:highlight w:val="yellow"/>
        </w:rPr>
        <w:fldChar w:fldCharType="end"/>
      </w:r>
      <w:r w:rsidRPr="006F0437">
        <w:rPr>
          <w:rFonts w:ascii="Calibri" w:hAnsi="Calibri" w:cs="Calibri"/>
          <w:sz w:val="24"/>
          <w:szCs w:val="24"/>
          <w:highlight w:val="yellow"/>
        </w:rPr>
        <w:t>.</w:t>
      </w:r>
    </w:p>
    <w:p w14:paraId="409F7093" w14:textId="77777777" w:rsidR="00D061C7" w:rsidRPr="006F0437" w:rsidRDefault="00D061C7" w:rsidP="00941D7F">
      <w:pPr>
        <w:contextualSpacing/>
        <w:rPr>
          <w:highlight w:val="yellow"/>
        </w:rPr>
      </w:pPr>
    </w:p>
    <w:p w14:paraId="61F106B2" w14:textId="77777777" w:rsidR="00941D7F" w:rsidRPr="006F0437" w:rsidRDefault="00B136EE" w:rsidP="00941D7F">
      <w:pPr>
        <w:pStyle w:val="ListParagraph"/>
        <w:numPr>
          <w:ilvl w:val="1"/>
          <w:numId w:val="23"/>
        </w:numPr>
        <w:spacing w:after="0" w:line="240" w:lineRule="auto"/>
        <w:ind w:left="0" w:firstLine="0"/>
        <w:rPr>
          <w:rFonts w:ascii="Calibri" w:hAnsi="Calibri" w:cs="Calibri"/>
          <w:sz w:val="24"/>
          <w:szCs w:val="24"/>
          <w:highlight w:val="yellow"/>
        </w:rPr>
      </w:pPr>
      <w:r w:rsidRPr="006F0437">
        <w:rPr>
          <w:rFonts w:ascii="Calibri" w:hAnsi="Calibri" w:cs="Calibri"/>
          <w:sz w:val="24"/>
          <w:szCs w:val="24"/>
          <w:highlight w:val="yellow"/>
        </w:rPr>
        <w:t xml:space="preserve">Secure the test limb to the dynamometer arm. </w:t>
      </w:r>
      <w:r w:rsidR="00B9359D" w:rsidRPr="006F0437">
        <w:rPr>
          <w:rFonts w:ascii="Calibri" w:hAnsi="Calibri" w:cs="Calibri"/>
          <w:sz w:val="24"/>
          <w:szCs w:val="24"/>
          <w:highlight w:val="yellow"/>
        </w:rPr>
        <w:t xml:space="preserve">Ensure </w:t>
      </w:r>
      <w:r w:rsidRPr="006F0437">
        <w:rPr>
          <w:rFonts w:ascii="Calibri" w:hAnsi="Calibri" w:cs="Calibri"/>
          <w:sz w:val="24"/>
          <w:szCs w:val="24"/>
          <w:highlight w:val="yellow"/>
        </w:rPr>
        <w:t xml:space="preserve">the shank remains neutral to avoid rotation when securing it </w:t>
      </w:r>
      <w:r w:rsidR="00B9359D" w:rsidRPr="006F0437">
        <w:rPr>
          <w:rFonts w:ascii="Calibri" w:hAnsi="Calibri" w:cs="Calibri"/>
          <w:sz w:val="24"/>
          <w:szCs w:val="24"/>
          <w:highlight w:val="yellow"/>
        </w:rPr>
        <w:t xml:space="preserve">to the dynamometer arm with a strap. </w:t>
      </w:r>
      <w:r w:rsidRPr="006F0437">
        <w:rPr>
          <w:rFonts w:ascii="Calibri" w:hAnsi="Calibri" w:cs="Calibri"/>
          <w:sz w:val="24"/>
          <w:szCs w:val="24"/>
          <w:highlight w:val="yellow"/>
        </w:rPr>
        <w:t>Stabilize the participant using straps across the tors</w:t>
      </w:r>
      <w:r w:rsidR="000416AA" w:rsidRPr="006F0437">
        <w:rPr>
          <w:rFonts w:ascii="Calibri" w:hAnsi="Calibri" w:cs="Calibri"/>
          <w:sz w:val="24"/>
          <w:szCs w:val="24"/>
          <w:highlight w:val="yellow"/>
        </w:rPr>
        <w:t>o and</w:t>
      </w:r>
      <w:r w:rsidRPr="006F0437">
        <w:rPr>
          <w:rFonts w:ascii="Calibri" w:hAnsi="Calibri" w:cs="Calibri"/>
          <w:sz w:val="24"/>
          <w:szCs w:val="24"/>
          <w:highlight w:val="yellow"/>
        </w:rPr>
        <w:t xml:space="preserve"> pelvis</w:t>
      </w:r>
      <w:r w:rsidR="000416AA" w:rsidRPr="006F0437">
        <w:rPr>
          <w:rFonts w:ascii="Calibri" w:hAnsi="Calibri" w:cs="Calibri"/>
          <w:sz w:val="24"/>
          <w:szCs w:val="24"/>
          <w:highlight w:val="yellow"/>
        </w:rPr>
        <w:t xml:space="preserve">. </w:t>
      </w:r>
    </w:p>
    <w:p w14:paraId="48186689" w14:textId="77777777" w:rsidR="00941D7F" w:rsidRPr="006F0437" w:rsidRDefault="00941D7F" w:rsidP="00941D7F">
      <w:pPr>
        <w:pStyle w:val="ListParagraph"/>
        <w:spacing w:after="0" w:line="240" w:lineRule="auto"/>
        <w:rPr>
          <w:rFonts w:ascii="Calibri" w:hAnsi="Calibri" w:cs="Calibri"/>
          <w:sz w:val="24"/>
          <w:szCs w:val="24"/>
          <w:highlight w:val="yellow"/>
        </w:rPr>
      </w:pPr>
    </w:p>
    <w:p w14:paraId="30698ABE" w14:textId="754E30CF" w:rsidR="00376F18" w:rsidRPr="006F0437" w:rsidRDefault="00B136EE" w:rsidP="00941D7F">
      <w:pPr>
        <w:pStyle w:val="ListParagraph"/>
        <w:numPr>
          <w:ilvl w:val="1"/>
          <w:numId w:val="23"/>
        </w:numPr>
        <w:spacing w:after="0" w:line="240" w:lineRule="auto"/>
        <w:ind w:left="0" w:firstLine="0"/>
        <w:rPr>
          <w:rFonts w:ascii="Calibri" w:hAnsi="Calibri" w:cs="Calibri"/>
          <w:sz w:val="24"/>
          <w:szCs w:val="24"/>
          <w:highlight w:val="yellow"/>
        </w:rPr>
      </w:pPr>
      <w:r w:rsidRPr="006F0437">
        <w:rPr>
          <w:rFonts w:ascii="Calibri" w:hAnsi="Calibri" w:cs="Calibri"/>
          <w:sz w:val="24"/>
          <w:szCs w:val="24"/>
          <w:highlight w:val="yellow"/>
        </w:rPr>
        <w:t>Secure the</w:t>
      </w:r>
      <w:r w:rsidR="00B9359D" w:rsidRPr="006F0437">
        <w:rPr>
          <w:rFonts w:ascii="Calibri" w:hAnsi="Calibri" w:cs="Calibri"/>
          <w:sz w:val="24"/>
          <w:szCs w:val="24"/>
          <w:highlight w:val="yellow"/>
        </w:rPr>
        <w:t xml:space="preserve"> testing limb with a strap to prevent hip flexion and secure</w:t>
      </w:r>
      <w:r w:rsidRPr="006F0437">
        <w:rPr>
          <w:rFonts w:ascii="Calibri" w:hAnsi="Calibri" w:cs="Calibri"/>
          <w:sz w:val="24"/>
          <w:szCs w:val="24"/>
          <w:highlight w:val="yellow"/>
        </w:rPr>
        <w:t xml:space="preserve"> </w:t>
      </w:r>
      <w:r w:rsidR="00941D7F" w:rsidRPr="006F0437">
        <w:rPr>
          <w:rFonts w:ascii="Calibri" w:hAnsi="Calibri" w:cs="Calibri"/>
          <w:sz w:val="24"/>
          <w:szCs w:val="24"/>
          <w:highlight w:val="yellow"/>
        </w:rPr>
        <w:t xml:space="preserve">the </w:t>
      </w:r>
      <w:r w:rsidRPr="006F0437">
        <w:rPr>
          <w:rFonts w:ascii="Calibri" w:hAnsi="Calibri" w:cs="Calibri"/>
          <w:sz w:val="24"/>
          <w:szCs w:val="24"/>
          <w:highlight w:val="yellow"/>
        </w:rPr>
        <w:t>contralateral limb using the available restraint. In addition to restraints, patients must be cued to only try to extend and flex the tested limb for the duration of the test.</w:t>
      </w:r>
    </w:p>
    <w:p w14:paraId="7C33FEA4" w14:textId="77777777" w:rsidR="00D061C7" w:rsidRPr="006F0437" w:rsidRDefault="00D061C7" w:rsidP="00941D7F">
      <w:pPr>
        <w:contextualSpacing/>
        <w:rPr>
          <w:highlight w:val="yellow"/>
        </w:rPr>
      </w:pPr>
    </w:p>
    <w:p w14:paraId="5BFC6593" w14:textId="2641176E" w:rsidR="00376F18" w:rsidRPr="006F0437" w:rsidRDefault="00B136EE" w:rsidP="00941D7F">
      <w:pPr>
        <w:pStyle w:val="ListParagraph"/>
        <w:numPr>
          <w:ilvl w:val="1"/>
          <w:numId w:val="23"/>
        </w:numPr>
        <w:spacing w:after="0" w:line="240" w:lineRule="auto"/>
        <w:ind w:left="0" w:firstLine="0"/>
        <w:rPr>
          <w:rFonts w:ascii="Calibri" w:hAnsi="Calibri" w:cs="Calibri"/>
          <w:sz w:val="24"/>
          <w:szCs w:val="24"/>
          <w:highlight w:val="yellow"/>
        </w:rPr>
      </w:pPr>
      <w:r w:rsidRPr="006F0437">
        <w:rPr>
          <w:rFonts w:ascii="Calibri" w:hAnsi="Calibri" w:cs="Calibri"/>
          <w:sz w:val="24"/>
          <w:szCs w:val="24"/>
          <w:highlight w:val="yellow"/>
        </w:rPr>
        <w:t xml:space="preserve">Passively move the limb through a full range of motion arc to ensure that no </w:t>
      </w:r>
      <w:r w:rsidR="00AE04D3" w:rsidRPr="006F0437">
        <w:rPr>
          <w:rFonts w:ascii="Calibri" w:hAnsi="Calibri" w:cs="Calibri"/>
          <w:sz w:val="24"/>
          <w:szCs w:val="24"/>
          <w:highlight w:val="yellow"/>
        </w:rPr>
        <w:t xml:space="preserve">additional adjustments are </w:t>
      </w:r>
      <w:r w:rsidRPr="006F0437">
        <w:rPr>
          <w:rFonts w:ascii="Calibri" w:hAnsi="Calibri" w:cs="Calibri"/>
          <w:sz w:val="24"/>
          <w:szCs w:val="24"/>
          <w:highlight w:val="yellow"/>
        </w:rPr>
        <w:t>needed. Record chair position, dynamometer position, and arm length for future assessment.</w:t>
      </w:r>
    </w:p>
    <w:p w14:paraId="2A887ECD" w14:textId="77777777" w:rsidR="00D061C7" w:rsidRPr="006F0437" w:rsidRDefault="00D061C7" w:rsidP="00941D7F">
      <w:pPr>
        <w:contextualSpacing/>
        <w:rPr>
          <w:highlight w:val="yellow"/>
        </w:rPr>
      </w:pPr>
    </w:p>
    <w:p w14:paraId="7CD1AE56" w14:textId="39C93542" w:rsidR="00376F18" w:rsidRPr="006F0437" w:rsidRDefault="00B136EE" w:rsidP="00941D7F">
      <w:pPr>
        <w:pStyle w:val="ListParagraph"/>
        <w:numPr>
          <w:ilvl w:val="0"/>
          <w:numId w:val="32"/>
        </w:numPr>
        <w:spacing w:after="0" w:line="240" w:lineRule="auto"/>
        <w:ind w:left="0" w:firstLine="0"/>
        <w:rPr>
          <w:rFonts w:ascii="Calibri" w:hAnsi="Calibri" w:cs="Calibri"/>
          <w:b/>
          <w:bCs/>
          <w:sz w:val="24"/>
          <w:szCs w:val="24"/>
          <w:highlight w:val="yellow"/>
        </w:rPr>
      </w:pPr>
      <w:r w:rsidRPr="006F0437">
        <w:rPr>
          <w:rFonts w:ascii="Calibri" w:hAnsi="Calibri" w:cs="Calibri"/>
          <w:b/>
          <w:bCs/>
          <w:sz w:val="24"/>
          <w:szCs w:val="24"/>
          <w:highlight w:val="yellow"/>
        </w:rPr>
        <w:t xml:space="preserve">Method 2- Setting </w:t>
      </w:r>
      <w:r w:rsidR="00335CDD" w:rsidRPr="006F0437">
        <w:rPr>
          <w:rFonts w:ascii="Calibri" w:hAnsi="Calibri" w:cs="Calibri"/>
          <w:b/>
          <w:bCs/>
          <w:sz w:val="24"/>
          <w:szCs w:val="24"/>
          <w:highlight w:val="yellow"/>
        </w:rPr>
        <w:t xml:space="preserve">the </w:t>
      </w:r>
      <w:r w:rsidR="004D2CF5" w:rsidRPr="006F0437">
        <w:rPr>
          <w:rFonts w:ascii="Calibri" w:hAnsi="Calibri" w:cs="Calibri"/>
          <w:b/>
          <w:bCs/>
          <w:sz w:val="24"/>
          <w:szCs w:val="24"/>
          <w:highlight w:val="yellow"/>
        </w:rPr>
        <w:t>r</w:t>
      </w:r>
      <w:r w:rsidRPr="006F0437">
        <w:rPr>
          <w:rFonts w:ascii="Calibri" w:hAnsi="Calibri" w:cs="Calibri"/>
          <w:b/>
          <w:bCs/>
          <w:sz w:val="24"/>
          <w:szCs w:val="24"/>
          <w:highlight w:val="yellow"/>
        </w:rPr>
        <w:t xml:space="preserve">ange of </w:t>
      </w:r>
      <w:r w:rsidR="004D2CF5" w:rsidRPr="006F0437">
        <w:rPr>
          <w:rFonts w:ascii="Calibri" w:hAnsi="Calibri" w:cs="Calibri"/>
          <w:b/>
          <w:bCs/>
          <w:sz w:val="24"/>
          <w:szCs w:val="24"/>
          <w:highlight w:val="yellow"/>
        </w:rPr>
        <w:t>m</w:t>
      </w:r>
      <w:r w:rsidRPr="006F0437">
        <w:rPr>
          <w:rFonts w:ascii="Calibri" w:hAnsi="Calibri" w:cs="Calibri"/>
          <w:b/>
          <w:bCs/>
          <w:sz w:val="24"/>
          <w:szCs w:val="24"/>
          <w:highlight w:val="yellow"/>
        </w:rPr>
        <w:t>otion</w:t>
      </w:r>
    </w:p>
    <w:p w14:paraId="75C7BD05" w14:textId="77777777" w:rsidR="004D2CF5" w:rsidRPr="006F0437" w:rsidRDefault="004D2CF5" w:rsidP="004D2CF5">
      <w:pPr>
        <w:pStyle w:val="ListParagraph"/>
        <w:spacing w:after="0" w:line="240" w:lineRule="auto"/>
        <w:ind w:left="0"/>
        <w:rPr>
          <w:rFonts w:ascii="Calibri" w:hAnsi="Calibri" w:cs="Calibri"/>
          <w:b/>
          <w:bCs/>
          <w:sz w:val="24"/>
          <w:szCs w:val="24"/>
          <w:highlight w:val="yellow"/>
        </w:rPr>
      </w:pPr>
    </w:p>
    <w:p w14:paraId="3832C636" w14:textId="792F1C41" w:rsidR="00D061C7" w:rsidRPr="006F0437" w:rsidRDefault="00B136EE" w:rsidP="00941D7F">
      <w:pPr>
        <w:contextualSpacing/>
        <w:rPr>
          <w:highlight w:val="yellow"/>
        </w:rPr>
      </w:pPr>
      <w:r w:rsidRPr="006F0437">
        <w:rPr>
          <w:highlight w:val="yellow"/>
        </w:rPr>
        <w:t xml:space="preserve">NOTE: </w:t>
      </w:r>
      <w:r w:rsidR="00880E0C" w:rsidRPr="006F0437">
        <w:rPr>
          <w:highlight w:val="yellow"/>
        </w:rPr>
        <w:t>Use</w:t>
      </w:r>
      <w:r w:rsidR="00376F18" w:rsidRPr="006F0437">
        <w:rPr>
          <w:highlight w:val="yellow"/>
        </w:rPr>
        <w:t xml:space="preserve"> software-based stops </w:t>
      </w:r>
      <w:r w:rsidR="004C0788" w:rsidRPr="006F0437">
        <w:rPr>
          <w:highlight w:val="yellow"/>
        </w:rPr>
        <w:t>and</w:t>
      </w:r>
      <w:r w:rsidR="00376F18" w:rsidRPr="006F0437">
        <w:rPr>
          <w:highlight w:val="yellow"/>
        </w:rPr>
        <w:t xml:space="preserve"> manual stops.</w:t>
      </w:r>
    </w:p>
    <w:p w14:paraId="131A15B3" w14:textId="51EACFCD" w:rsidR="00376F18" w:rsidRPr="006F0437" w:rsidRDefault="00B136EE" w:rsidP="00941D7F">
      <w:pPr>
        <w:contextualSpacing/>
        <w:rPr>
          <w:highlight w:val="yellow"/>
        </w:rPr>
      </w:pPr>
      <w:r w:rsidRPr="006F0437">
        <w:rPr>
          <w:highlight w:val="yellow"/>
        </w:rPr>
        <w:t xml:space="preserve"> </w:t>
      </w:r>
    </w:p>
    <w:p w14:paraId="6ABF42A0" w14:textId="2FF1B095" w:rsidR="00376F18" w:rsidRPr="006F0437" w:rsidRDefault="00B136EE" w:rsidP="00941D7F">
      <w:pPr>
        <w:pStyle w:val="ListParagraph"/>
        <w:numPr>
          <w:ilvl w:val="0"/>
          <w:numId w:val="24"/>
        </w:numPr>
        <w:spacing w:after="0" w:line="240" w:lineRule="auto"/>
        <w:ind w:left="360"/>
        <w:rPr>
          <w:rFonts w:ascii="Calibri" w:hAnsi="Calibri" w:cs="Calibri"/>
          <w:sz w:val="24"/>
          <w:szCs w:val="24"/>
          <w:highlight w:val="yellow"/>
        </w:rPr>
      </w:pPr>
      <w:r w:rsidRPr="006F0437">
        <w:rPr>
          <w:rFonts w:ascii="Calibri" w:hAnsi="Calibri" w:cs="Calibri"/>
          <w:sz w:val="24"/>
          <w:szCs w:val="24"/>
          <w:highlight w:val="yellow"/>
        </w:rPr>
        <w:t>Set anatomical zero at 180°</w:t>
      </w:r>
      <w:r w:rsidR="00C776FC" w:rsidRPr="006F0437">
        <w:rPr>
          <w:rFonts w:ascii="Calibri" w:hAnsi="Calibri" w:cs="Calibri"/>
          <w:sz w:val="24"/>
          <w:szCs w:val="24"/>
          <w:highlight w:val="yellow"/>
        </w:rPr>
        <w:t>/full knee extension</w:t>
      </w:r>
      <w:r w:rsidRPr="006F0437">
        <w:rPr>
          <w:rFonts w:ascii="Calibri" w:hAnsi="Calibri" w:cs="Calibri"/>
          <w:sz w:val="24"/>
          <w:szCs w:val="24"/>
          <w:highlight w:val="yellow"/>
        </w:rPr>
        <w:t xml:space="preserve">. </w:t>
      </w:r>
      <w:r w:rsidR="007309F0" w:rsidRPr="006F0437">
        <w:rPr>
          <w:rFonts w:ascii="Calibri" w:hAnsi="Calibri" w:cs="Calibri"/>
          <w:sz w:val="24"/>
          <w:szCs w:val="24"/>
          <w:highlight w:val="yellow"/>
        </w:rPr>
        <w:t xml:space="preserve">If </w:t>
      </w:r>
      <w:r w:rsidR="0095766F" w:rsidRPr="006F0437">
        <w:rPr>
          <w:rFonts w:ascii="Calibri" w:hAnsi="Calibri" w:cs="Calibri"/>
          <w:sz w:val="24"/>
          <w:szCs w:val="24"/>
          <w:highlight w:val="yellow"/>
        </w:rPr>
        <w:t xml:space="preserve">the </w:t>
      </w:r>
      <w:r w:rsidR="007309F0" w:rsidRPr="006F0437">
        <w:rPr>
          <w:rFonts w:ascii="Calibri" w:hAnsi="Calibri" w:cs="Calibri"/>
          <w:sz w:val="24"/>
          <w:szCs w:val="24"/>
          <w:highlight w:val="yellow"/>
        </w:rPr>
        <w:t xml:space="preserve">participant lacks full knee extension, </w:t>
      </w:r>
      <w:r w:rsidR="0092286D" w:rsidRPr="006F0437">
        <w:rPr>
          <w:rFonts w:ascii="Calibri" w:hAnsi="Calibri" w:cs="Calibri"/>
          <w:sz w:val="24"/>
          <w:szCs w:val="24"/>
          <w:highlight w:val="yellow"/>
        </w:rPr>
        <w:t>use the dynamometer offset function to account for the limitation</w:t>
      </w:r>
      <w:r w:rsidR="007309F0" w:rsidRPr="006F0437">
        <w:rPr>
          <w:rFonts w:ascii="Calibri" w:hAnsi="Calibri" w:cs="Calibri"/>
          <w:sz w:val="24"/>
          <w:szCs w:val="24"/>
          <w:highlight w:val="yellow"/>
        </w:rPr>
        <w:t xml:space="preserve">. Enter the difference from </w:t>
      </w:r>
      <w:r w:rsidR="0095766F" w:rsidRPr="006F0437">
        <w:rPr>
          <w:rFonts w:ascii="Calibri" w:hAnsi="Calibri" w:cs="Calibri"/>
          <w:sz w:val="24"/>
          <w:szCs w:val="24"/>
          <w:highlight w:val="yellow"/>
        </w:rPr>
        <w:t xml:space="preserve">the current limb position to the anatomical </w:t>
      </w:r>
      <w:r w:rsidR="00DB3E3E" w:rsidRPr="006F0437">
        <w:rPr>
          <w:rFonts w:ascii="Calibri" w:hAnsi="Calibri" w:cs="Calibri"/>
          <w:sz w:val="24"/>
          <w:szCs w:val="24"/>
          <w:highlight w:val="yellow"/>
        </w:rPr>
        <w:t>zero</w:t>
      </w:r>
      <w:r w:rsidR="0095766F" w:rsidRPr="006F0437">
        <w:rPr>
          <w:rFonts w:ascii="Calibri" w:hAnsi="Calibri" w:cs="Calibri"/>
          <w:sz w:val="24"/>
          <w:szCs w:val="24"/>
          <w:highlight w:val="yellow"/>
        </w:rPr>
        <w:t xml:space="preserve"> degrees into the </w:t>
      </w:r>
      <w:r w:rsidR="007309F0" w:rsidRPr="006F0437">
        <w:rPr>
          <w:rFonts w:ascii="Calibri" w:hAnsi="Calibri" w:cs="Calibri"/>
          <w:sz w:val="24"/>
          <w:szCs w:val="24"/>
          <w:highlight w:val="yellow"/>
        </w:rPr>
        <w:t xml:space="preserve">dynamometer offset. </w:t>
      </w:r>
      <w:r w:rsidR="0095766F" w:rsidRPr="006F0437">
        <w:rPr>
          <w:rFonts w:ascii="Calibri" w:hAnsi="Calibri" w:cs="Calibri"/>
          <w:sz w:val="24"/>
          <w:szCs w:val="24"/>
          <w:highlight w:val="yellow"/>
        </w:rPr>
        <w:t>Range-of-motion limitations may alter waveform analysis and peak torque angle</w:t>
      </w:r>
      <w:r w:rsidR="007309F0" w:rsidRPr="006F0437">
        <w:rPr>
          <w:rFonts w:ascii="Calibri" w:hAnsi="Calibri" w:cs="Calibri"/>
          <w:sz w:val="24"/>
          <w:szCs w:val="24"/>
          <w:highlight w:val="yellow"/>
        </w:rPr>
        <w:t>.</w:t>
      </w:r>
    </w:p>
    <w:p w14:paraId="30BA8134" w14:textId="77777777" w:rsidR="00D061C7" w:rsidRPr="006F0437" w:rsidRDefault="00D061C7" w:rsidP="00941D7F">
      <w:pPr>
        <w:pStyle w:val="ListParagraph"/>
        <w:spacing w:after="0" w:line="240" w:lineRule="auto"/>
        <w:ind w:left="360"/>
        <w:rPr>
          <w:rFonts w:ascii="Calibri" w:hAnsi="Calibri" w:cs="Calibri"/>
          <w:sz w:val="24"/>
          <w:szCs w:val="24"/>
          <w:highlight w:val="yellow"/>
        </w:rPr>
      </w:pPr>
    </w:p>
    <w:p w14:paraId="466BE2B8" w14:textId="5FB793EB" w:rsidR="00376F18" w:rsidRPr="006F0437" w:rsidRDefault="00B136EE" w:rsidP="00941D7F">
      <w:pPr>
        <w:pStyle w:val="ListParagraph"/>
        <w:numPr>
          <w:ilvl w:val="0"/>
          <w:numId w:val="24"/>
        </w:numPr>
        <w:spacing w:after="0" w:line="240" w:lineRule="auto"/>
        <w:ind w:left="360"/>
        <w:rPr>
          <w:rFonts w:ascii="Calibri" w:hAnsi="Calibri" w:cs="Calibri"/>
          <w:sz w:val="24"/>
          <w:szCs w:val="24"/>
          <w:highlight w:val="yellow"/>
        </w:rPr>
      </w:pPr>
      <w:r w:rsidRPr="006F0437">
        <w:rPr>
          <w:rFonts w:ascii="Calibri" w:hAnsi="Calibri" w:cs="Calibri"/>
          <w:sz w:val="24"/>
          <w:szCs w:val="24"/>
          <w:highlight w:val="yellow"/>
        </w:rPr>
        <w:t xml:space="preserve">Set the </w:t>
      </w:r>
      <w:r w:rsidR="00955406" w:rsidRPr="006F0437">
        <w:rPr>
          <w:rFonts w:ascii="Calibri" w:hAnsi="Calibri" w:cs="Calibri"/>
          <w:sz w:val="24"/>
          <w:szCs w:val="24"/>
          <w:highlight w:val="yellow"/>
        </w:rPr>
        <w:t xml:space="preserve">dynamometer </w:t>
      </w:r>
      <w:r w:rsidRPr="006F0437">
        <w:rPr>
          <w:rFonts w:ascii="Calibri" w:hAnsi="Calibri" w:cs="Calibri"/>
          <w:sz w:val="24"/>
          <w:szCs w:val="24"/>
          <w:highlight w:val="yellow"/>
        </w:rPr>
        <w:t>limit of extension at 175°</w:t>
      </w:r>
      <w:r w:rsidR="00955406" w:rsidRPr="006F0437">
        <w:rPr>
          <w:rFonts w:ascii="Calibri" w:hAnsi="Calibri" w:cs="Calibri"/>
          <w:sz w:val="24"/>
          <w:szCs w:val="24"/>
          <w:highlight w:val="yellow"/>
        </w:rPr>
        <w:t xml:space="preserve"> </w:t>
      </w:r>
      <w:r w:rsidR="0057051C" w:rsidRPr="006F0437">
        <w:rPr>
          <w:rFonts w:ascii="Calibri" w:hAnsi="Calibri" w:cs="Calibri"/>
          <w:sz w:val="24"/>
          <w:szCs w:val="24"/>
          <w:highlight w:val="yellow"/>
        </w:rPr>
        <w:t xml:space="preserve">(5° </w:t>
      </w:r>
      <w:r w:rsidR="00BF7CDA" w:rsidRPr="006F0437">
        <w:rPr>
          <w:rFonts w:ascii="Calibri" w:hAnsi="Calibri" w:cs="Calibri"/>
          <w:sz w:val="24"/>
          <w:szCs w:val="24"/>
          <w:highlight w:val="yellow"/>
        </w:rPr>
        <w:t xml:space="preserve">knee flexion </w:t>
      </w:r>
      <w:r w:rsidR="0057051C" w:rsidRPr="006F0437">
        <w:rPr>
          <w:rFonts w:ascii="Calibri" w:hAnsi="Calibri" w:cs="Calibri"/>
          <w:sz w:val="24"/>
          <w:szCs w:val="24"/>
          <w:highlight w:val="yellow"/>
        </w:rPr>
        <w:t>from anatomical zero</w:t>
      </w:r>
      <w:r w:rsidR="007309F0" w:rsidRPr="006F0437">
        <w:rPr>
          <w:rFonts w:ascii="Calibri" w:hAnsi="Calibri" w:cs="Calibri"/>
          <w:sz w:val="24"/>
          <w:szCs w:val="24"/>
          <w:highlight w:val="yellow"/>
        </w:rPr>
        <w:t xml:space="preserve"> or maximum available knee extension</w:t>
      </w:r>
      <w:r w:rsidR="0057051C" w:rsidRPr="006F0437">
        <w:rPr>
          <w:rFonts w:ascii="Calibri" w:hAnsi="Calibri" w:cs="Calibri"/>
          <w:sz w:val="24"/>
          <w:szCs w:val="24"/>
          <w:highlight w:val="yellow"/>
        </w:rPr>
        <w:t>)</w:t>
      </w:r>
      <w:r w:rsidRPr="006F0437">
        <w:rPr>
          <w:rFonts w:ascii="Calibri" w:hAnsi="Calibri" w:cs="Calibri"/>
          <w:sz w:val="24"/>
          <w:szCs w:val="24"/>
          <w:highlight w:val="yellow"/>
        </w:rPr>
        <w:t>.</w:t>
      </w:r>
    </w:p>
    <w:p w14:paraId="6D9E72C0" w14:textId="77777777" w:rsidR="00D061C7" w:rsidRPr="006F0437" w:rsidRDefault="00D061C7" w:rsidP="00941D7F">
      <w:pPr>
        <w:contextualSpacing/>
        <w:rPr>
          <w:highlight w:val="yellow"/>
        </w:rPr>
      </w:pPr>
    </w:p>
    <w:p w14:paraId="185C4061" w14:textId="3E99DD52" w:rsidR="00D061C7" w:rsidRPr="006F0437" w:rsidRDefault="00B136EE" w:rsidP="00941D7F">
      <w:pPr>
        <w:pStyle w:val="ListParagraph"/>
        <w:numPr>
          <w:ilvl w:val="0"/>
          <w:numId w:val="24"/>
        </w:numPr>
        <w:spacing w:after="0" w:line="240" w:lineRule="auto"/>
        <w:ind w:left="360"/>
        <w:rPr>
          <w:rFonts w:ascii="Calibri" w:hAnsi="Calibri" w:cs="Calibri"/>
          <w:sz w:val="24"/>
          <w:szCs w:val="24"/>
          <w:highlight w:val="yellow"/>
        </w:rPr>
      </w:pPr>
      <w:r w:rsidRPr="006F0437">
        <w:rPr>
          <w:rFonts w:ascii="Calibri" w:hAnsi="Calibri" w:cs="Calibri"/>
          <w:sz w:val="24"/>
          <w:szCs w:val="24"/>
          <w:highlight w:val="yellow"/>
        </w:rPr>
        <w:t>Set the</w:t>
      </w:r>
      <w:r w:rsidR="00955406" w:rsidRPr="006F0437">
        <w:rPr>
          <w:rFonts w:ascii="Calibri" w:hAnsi="Calibri" w:cs="Calibri"/>
          <w:sz w:val="24"/>
          <w:szCs w:val="24"/>
          <w:highlight w:val="yellow"/>
        </w:rPr>
        <w:t xml:space="preserve"> dynamometer</w:t>
      </w:r>
      <w:r w:rsidRPr="006F0437">
        <w:rPr>
          <w:rFonts w:ascii="Calibri" w:hAnsi="Calibri" w:cs="Calibri"/>
          <w:sz w:val="24"/>
          <w:szCs w:val="24"/>
          <w:highlight w:val="yellow"/>
        </w:rPr>
        <w:t xml:space="preserve"> limit of flexion at </w:t>
      </w:r>
      <w:r w:rsidR="0057051C" w:rsidRPr="006F0437">
        <w:rPr>
          <w:rFonts w:ascii="Calibri" w:hAnsi="Calibri" w:cs="Calibri"/>
          <w:sz w:val="24"/>
          <w:szCs w:val="24"/>
          <w:highlight w:val="yellow"/>
        </w:rPr>
        <w:t>7</w:t>
      </w:r>
      <w:r w:rsidRPr="006F0437">
        <w:rPr>
          <w:rFonts w:ascii="Calibri" w:hAnsi="Calibri" w:cs="Calibri"/>
          <w:sz w:val="24"/>
          <w:szCs w:val="24"/>
          <w:highlight w:val="yellow"/>
        </w:rPr>
        <w:t>0</w:t>
      </w:r>
      <w:r w:rsidR="00955406" w:rsidRPr="006F0437">
        <w:rPr>
          <w:rFonts w:ascii="Calibri" w:hAnsi="Calibri" w:cs="Calibri"/>
          <w:sz w:val="24"/>
          <w:szCs w:val="24"/>
          <w:highlight w:val="yellow"/>
        </w:rPr>
        <w:t>°</w:t>
      </w:r>
      <w:r w:rsidR="0057051C" w:rsidRPr="006F0437">
        <w:rPr>
          <w:rFonts w:ascii="Calibri" w:hAnsi="Calibri" w:cs="Calibri"/>
          <w:sz w:val="24"/>
          <w:szCs w:val="24"/>
          <w:highlight w:val="yellow"/>
        </w:rPr>
        <w:t xml:space="preserve"> (110° </w:t>
      </w:r>
      <w:r w:rsidR="00BF7CDA" w:rsidRPr="006F0437">
        <w:rPr>
          <w:rFonts w:ascii="Calibri" w:hAnsi="Calibri" w:cs="Calibri"/>
          <w:sz w:val="24"/>
          <w:szCs w:val="24"/>
          <w:highlight w:val="yellow"/>
        </w:rPr>
        <w:t xml:space="preserve">knee flexion </w:t>
      </w:r>
      <w:r w:rsidR="0057051C" w:rsidRPr="006F0437">
        <w:rPr>
          <w:rFonts w:ascii="Calibri" w:hAnsi="Calibri" w:cs="Calibri"/>
          <w:sz w:val="24"/>
          <w:szCs w:val="24"/>
          <w:highlight w:val="yellow"/>
        </w:rPr>
        <w:t>from anatomical zero</w:t>
      </w:r>
      <w:r w:rsidR="007309F0" w:rsidRPr="006F0437">
        <w:rPr>
          <w:rFonts w:ascii="Calibri" w:hAnsi="Calibri" w:cs="Calibri"/>
          <w:sz w:val="24"/>
          <w:szCs w:val="24"/>
          <w:highlight w:val="yellow"/>
        </w:rPr>
        <w:t xml:space="preserve"> or maximum available knee flexion</w:t>
      </w:r>
      <w:r w:rsidR="000C7B82" w:rsidRPr="006F0437">
        <w:rPr>
          <w:rFonts w:ascii="Calibri" w:hAnsi="Calibri" w:cs="Calibri"/>
          <w:sz w:val="24"/>
          <w:szCs w:val="24"/>
          <w:highlight w:val="yellow"/>
        </w:rPr>
        <w:t xml:space="preserve"> if 110° cannot be reached</w:t>
      </w:r>
      <w:r w:rsidR="0057051C" w:rsidRPr="006F0437">
        <w:rPr>
          <w:rFonts w:ascii="Calibri" w:hAnsi="Calibri" w:cs="Calibri"/>
          <w:sz w:val="24"/>
          <w:szCs w:val="24"/>
          <w:highlight w:val="yellow"/>
        </w:rPr>
        <w:t>).</w:t>
      </w:r>
    </w:p>
    <w:p w14:paraId="4B65EF0B" w14:textId="77777777" w:rsidR="00531E54" w:rsidRPr="006F0437" w:rsidRDefault="00531E54" w:rsidP="00B52CD6">
      <w:pPr>
        <w:contextualSpacing/>
        <w:rPr>
          <w:b/>
          <w:bCs/>
          <w:highlight w:val="yellow"/>
        </w:rPr>
      </w:pPr>
    </w:p>
    <w:p w14:paraId="08023286" w14:textId="77777777" w:rsidR="00376F18" w:rsidRPr="006F0437" w:rsidRDefault="00B136EE" w:rsidP="00941D7F">
      <w:pPr>
        <w:pStyle w:val="ListParagraph"/>
        <w:numPr>
          <w:ilvl w:val="0"/>
          <w:numId w:val="24"/>
        </w:numPr>
        <w:spacing w:after="0" w:line="240" w:lineRule="auto"/>
        <w:ind w:left="360"/>
        <w:rPr>
          <w:rFonts w:ascii="Calibri" w:hAnsi="Calibri" w:cs="Calibri"/>
          <w:sz w:val="24"/>
          <w:szCs w:val="24"/>
          <w:highlight w:val="yellow"/>
        </w:rPr>
      </w:pPr>
      <w:r w:rsidRPr="006F0437">
        <w:rPr>
          <w:rFonts w:ascii="Calibri" w:hAnsi="Calibri" w:cs="Calibri"/>
          <w:sz w:val="24"/>
          <w:szCs w:val="24"/>
          <w:highlight w:val="yellow"/>
        </w:rPr>
        <w:t>Adjust the manual stops accordingly.</w:t>
      </w:r>
    </w:p>
    <w:p w14:paraId="5528D70F" w14:textId="77777777" w:rsidR="00D061C7" w:rsidRPr="006F0437" w:rsidRDefault="00D061C7" w:rsidP="00941D7F">
      <w:pPr>
        <w:contextualSpacing/>
        <w:rPr>
          <w:highlight w:val="yellow"/>
        </w:rPr>
      </w:pPr>
    </w:p>
    <w:p w14:paraId="205A8B9F" w14:textId="761328F7" w:rsidR="00940930" w:rsidRPr="006F0437" w:rsidRDefault="00B81830" w:rsidP="00B81830">
      <w:pPr>
        <w:pStyle w:val="ListParagraph"/>
        <w:numPr>
          <w:ilvl w:val="0"/>
          <w:numId w:val="24"/>
        </w:numPr>
        <w:spacing w:after="0" w:line="240" w:lineRule="auto"/>
        <w:ind w:left="0" w:firstLine="0"/>
        <w:rPr>
          <w:rFonts w:ascii="Calibri" w:hAnsi="Calibri" w:cs="Calibri"/>
          <w:sz w:val="24"/>
          <w:szCs w:val="24"/>
          <w:highlight w:val="yellow"/>
        </w:rPr>
      </w:pPr>
      <w:r w:rsidRPr="006F0437">
        <w:rPr>
          <w:rFonts w:ascii="Calibri" w:hAnsi="Calibri" w:cs="Calibri"/>
          <w:sz w:val="24"/>
          <w:szCs w:val="24"/>
          <w:highlight w:val="yellow"/>
        </w:rPr>
        <w:t xml:space="preserve">Limb weight should be measured at 180° if possible or as close to maximal knee extension as possible without compromising participant comfort. </w:t>
      </w:r>
      <w:r w:rsidR="00B136EE" w:rsidRPr="006F0437">
        <w:rPr>
          <w:rFonts w:ascii="Calibri" w:hAnsi="Calibri" w:cs="Calibri"/>
          <w:sz w:val="24"/>
          <w:szCs w:val="24"/>
          <w:highlight w:val="yellow"/>
        </w:rPr>
        <w:t>Instruct the patient to relax and weigh the limb</w:t>
      </w:r>
      <w:r w:rsidR="00D061C7" w:rsidRPr="006F0437">
        <w:rPr>
          <w:rFonts w:ascii="Calibri" w:hAnsi="Calibri" w:cs="Calibri"/>
          <w:sz w:val="24"/>
          <w:szCs w:val="24"/>
          <w:highlight w:val="yellow"/>
        </w:rPr>
        <w:t xml:space="preserve"> 3</w:t>
      </w:r>
      <w:r w:rsidR="00A42339" w:rsidRPr="006F0437">
        <w:rPr>
          <w:rFonts w:ascii="Calibri" w:hAnsi="Calibri" w:cs="Calibri"/>
          <w:sz w:val="24"/>
          <w:szCs w:val="24"/>
          <w:highlight w:val="yellow"/>
        </w:rPr>
        <w:t>–</w:t>
      </w:r>
      <w:r w:rsidR="00D061C7" w:rsidRPr="006F0437">
        <w:rPr>
          <w:rFonts w:ascii="Calibri" w:hAnsi="Calibri" w:cs="Calibri"/>
          <w:sz w:val="24"/>
          <w:szCs w:val="24"/>
          <w:highlight w:val="yellow"/>
        </w:rPr>
        <w:t>4 times in quick succession until the weight appears stable</w:t>
      </w:r>
      <w:r w:rsidR="00B136EE" w:rsidRPr="006F0437">
        <w:rPr>
          <w:rFonts w:ascii="Calibri" w:hAnsi="Calibri" w:cs="Calibri"/>
          <w:sz w:val="24"/>
          <w:szCs w:val="24"/>
          <w:highlight w:val="yellow"/>
        </w:rPr>
        <w:t>.</w:t>
      </w:r>
      <w:r w:rsidR="00E94C6C" w:rsidRPr="006F0437">
        <w:rPr>
          <w:rFonts w:ascii="Calibri" w:hAnsi="Calibri" w:cs="Calibri"/>
          <w:sz w:val="24"/>
          <w:szCs w:val="24"/>
          <w:highlight w:val="yellow"/>
        </w:rPr>
        <w:t xml:space="preserve"> </w:t>
      </w:r>
    </w:p>
    <w:p w14:paraId="590D83BD" w14:textId="77777777" w:rsidR="00940930" w:rsidRPr="006F0437" w:rsidRDefault="00940930" w:rsidP="00940930">
      <w:pPr>
        <w:pStyle w:val="ListParagraph"/>
        <w:rPr>
          <w:rFonts w:ascii="Calibri" w:hAnsi="Calibri" w:cs="Calibri"/>
          <w:sz w:val="24"/>
          <w:szCs w:val="24"/>
          <w:highlight w:val="yellow"/>
        </w:rPr>
      </w:pPr>
    </w:p>
    <w:p w14:paraId="734B858A" w14:textId="4161CD07" w:rsidR="00D061C7" w:rsidRPr="006F0437" w:rsidRDefault="00940930" w:rsidP="00940930">
      <w:pPr>
        <w:pStyle w:val="ListParagraph"/>
        <w:spacing w:after="0" w:line="240" w:lineRule="auto"/>
        <w:ind w:left="0"/>
        <w:rPr>
          <w:rFonts w:ascii="Calibri" w:hAnsi="Calibri" w:cs="Calibri"/>
          <w:sz w:val="24"/>
          <w:szCs w:val="24"/>
          <w:highlight w:val="yellow"/>
        </w:rPr>
      </w:pPr>
      <w:r w:rsidRPr="006F0437">
        <w:rPr>
          <w:rFonts w:ascii="Calibri" w:hAnsi="Calibri" w:cs="Calibri"/>
          <w:sz w:val="24"/>
          <w:szCs w:val="24"/>
          <w:highlight w:val="yellow"/>
        </w:rPr>
        <w:t xml:space="preserve">NOTE: </w:t>
      </w:r>
      <w:r w:rsidR="00E94C6C" w:rsidRPr="006F0437">
        <w:rPr>
          <w:rFonts w:ascii="Calibri" w:hAnsi="Calibri" w:cs="Calibri"/>
          <w:sz w:val="24"/>
          <w:szCs w:val="24"/>
          <w:highlight w:val="yellow"/>
        </w:rPr>
        <w:t>If limb weight fluctuates less than 1.5 Nm</w:t>
      </w:r>
      <w:r w:rsidR="00C97E94" w:rsidRPr="006F0437">
        <w:rPr>
          <w:rFonts w:ascii="Calibri" w:hAnsi="Calibri" w:cs="Calibri"/>
          <w:sz w:val="24"/>
          <w:szCs w:val="24"/>
          <w:highlight w:val="yellow"/>
        </w:rPr>
        <w:t>,</w:t>
      </w:r>
      <w:r w:rsidR="00E94C6C" w:rsidRPr="006F0437">
        <w:rPr>
          <w:rFonts w:ascii="Calibri" w:hAnsi="Calibri" w:cs="Calibri"/>
          <w:sz w:val="24"/>
          <w:szCs w:val="24"/>
          <w:highlight w:val="yellow"/>
        </w:rPr>
        <w:t xml:space="preserve"> consider the weight stable. Once the weight is accepted</w:t>
      </w:r>
      <w:r w:rsidR="00A42339" w:rsidRPr="006F0437">
        <w:rPr>
          <w:rFonts w:ascii="Calibri" w:hAnsi="Calibri" w:cs="Calibri"/>
          <w:sz w:val="24"/>
          <w:szCs w:val="24"/>
          <w:highlight w:val="yellow"/>
        </w:rPr>
        <w:t>,</w:t>
      </w:r>
      <w:r w:rsidR="00E94C6C" w:rsidRPr="006F0437">
        <w:rPr>
          <w:rFonts w:ascii="Calibri" w:hAnsi="Calibri" w:cs="Calibri"/>
          <w:sz w:val="24"/>
          <w:szCs w:val="24"/>
          <w:highlight w:val="yellow"/>
        </w:rPr>
        <w:t xml:space="preserve"> the software will automatically apply gravity correction. Corrected values </w:t>
      </w:r>
      <w:r w:rsidR="00C97E94" w:rsidRPr="006F0437">
        <w:rPr>
          <w:rFonts w:ascii="Calibri" w:hAnsi="Calibri" w:cs="Calibri"/>
          <w:sz w:val="24"/>
          <w:szCs w:val="24"/>
          <w:highlight w:val="yellow"/>
        </w:rPr>
        <w:t>should</w:t>
      </w:r>
      <w:r w:rsidR="00E94C6C" w:rsidRPr="006F0437">
        <w:rPr>
          <w:rFonts w:ascii="Calibri" w:hAnsi="Calibri" w:cs="Calibri"/>
          <w:sz w:val="24"/>
          <w:szCs w:val="24"/>
          <w:highlight w:val="yellow"/>
        </w:rPr>
        <w:t xml:space="preserve"> be used for all </w:t>
      </w:r>
      <w:proofErr w:type="gramStart"/>
      <w:r w:rsidR="0095766F" w:rsidRPr="006F0437">
        <w:rPr>
          <w:rFonts w:ascii="Calibri" w:hAnsi="Calibri" w:cs="Calibri"/>
          <w:sz w:val="24"/>
          <w:szCs w:val="24"/>
          <w:highlight w:val="yellow"/>
        </w:rPr>
        <w:t>analyses</w:t>
      </w:r>
      <w:proofErr w:type="gramEnd"/>
      <w:r w:rsidR="00E94C6C" w:rsidRPr="006F0437">
        <w:rPr>
          <w:rFonts w:ascii="Calibri" w:hAnsi="Calibri" w:cs="Calibri"/>
          <w:sz w:val="24"/>
          <w:szCs w:val="24"/>
          <w:highlight w:val="yellow"/>
        </w:rPr>
        <w:t>.</w:t>
      </w:r>
      <w:r w:rsidR="00B81830" w:rsidRPr="006F0437">
        <w:rPr>
          <w:rFonts w:ascii="Calibri" w:hAnsi="Calibri" w:cs="Calibri"/>
          <w:sz w:val="24"/>
          <w:szCs w:val="24"/>
          <w:highlight w:val="yellow"/>
        </w:rPr>
        <w:t xml:space="preserve"> </w:t>
      </w:r>
    </w:p>
    <w:p w14:paraId="47E0F33A" w14:textId="77777777" w:rsidR="00B81830" w:rsidRPr="006F0437" w:rsidRDefault="00B81830" w:rsidP="00B81830">
      <w:pPr>
        <w:pStyle w:val="ListParagraph"/>
        <w:spacing w:after="0" w:line="240" w:lineRule="auto"/>
        <w:ind w:left="0"/>
        <w:rPr>
          <w:rFonts w:ascii="Calibri" w:hAnsi="Calibri" w:cs="Calibri"/>
          <w:sz w:val="24"/>
          <w:szCs w:val="24"/>
          <w:highlight w:val="yellow"/>
        </w:rPr>
      </w:pPr>
    </w:p>
    <w:p w14:paraId="45F36BC2" w14:textId="77777777" w:rsidR="00376F18" w:rsidRPr="006F0437" w:rsidRDefault="00B136EE" w:rsidP="00941D7F">
      <w:pPr>
        <w:pStyle w:val="ListParagraph"/>
        <w:numPr>
          <w:ilvl w:val="0"/>
          <w:numId w:val="32"/>
        </w:numPr>
        <w:spacing w:after="0" w:line="240" w:lineRule="auto"/>
        <w:ind w:left="0" w:firstLine="0"/>
        <w:rPr>
          <w:rFonts w:ascii="Calibri" w:hAnsi="Calibri" w:cs="Calibri"/>
          <w:b/>
          <w:bCs/>
          <w:sz w:val="24"/>
          <w:szCs w:val="24"/>
          <w:highlight w:val="yellow"/>
        </w:rPr>
      </w:pPr>
      <w:r w:rsidRPr="006F0437">
        <w:rPr>
          <w:rFonts w:ascii="Calibri" w:hAnsi="Calibri" w:cs="Calibri"/>
          <w:b/>
          <w:bCs/>
          <w:sz w:val="24"/>
          <w:szCs w:val="24"/>
          <w:highlight w:val="yellow"/>
        </w:rPr>
        <w:t>Method 3- Assessing strength</w:t>
      </w:r>
    </w:p>
    <w:p w14:paraId="6DDFC18A" w14:textId="77777777" w:rsidR="004D2CF5" w:rsidRPr="006F0437" w:rsidRDefault="004D2CF5" w:rsidP="004D2CF5">
      <w:pPr>
        <w:pStyle w:val="ListParagraph"/>
        <w:spacing w:after="0" w:line="240" w:lineRule="auto"/>
        <w:ind w:left="0"/>
        <w:rPr>
          <w:rFonts w:ascii="Calibri" w:hAnsi="Calibri" w:cs="Calibri"/>
          <w:b/>
          <w:bCs/>
          <w:sz w:val="24"/>
          <w:szCs w:val="24"/>
          <w:highlight w:val="yellow"/>
        </w:rPr>
      </w:pPr>
    </w:p>
    <w:p w14:paraId="2679C027" w14:textId="213AE075" w:rsidR="00376F18" w:rsidRPr="006F0437" w:rsidRDefault="00B136EE" w:rsidP="00941D7F">
      <w:pPr>
        <w:contextualSpacing/>
        <w:rPr>
          <w:highlight w:val="yellow"/>
        </w:rPr>
      </w:pPr>
      <w:r w:rsidRPr="006F0437">
        <w:rPr>
          <w:highlight w:val="yellow"/>
        </w:rPr>
        <w:t xml:space="preserve">NOTE: Consistency in cuing and instructions is critical. </w:t>
      </w:r>
      <w:r w:rsidR="00EE5DD6" w:rsidRPr="006F0437">
        <w:rPr>
          <w:highlight w:val="yellow"/>
        </w:rPr>
        <w:t xml:space="preserve">Instruct patients </w:t>
      </w:r>
      <w:r w:rsidRPr="006F0437">
        <w:rPr>
          <w:highlight w:val="yellow"/>
        </w:rPr>
        <w:t>to kick as hard and fast as possible</w:t>
      </w:r>
      <w:r w:rsidR="00674206" w:rsidRPr="006F0437">
        <w:rPr>
          <w:highlight w:val="yellow"/>
        </w:rPr>
        <w:t xml:space="preserve">. Provide </w:t>
      </w:r>
      <w:r w:rsidRPr="006F0437">
        <w:rPr>
          <w:highlight w:val="yellow"/>
        </w:rPr>
        <w:t xml:space="preserve">verbal encouragement. </w:t>
      </w:r>
    </w:p>
    <w:p w14:paraId="30FF5770" w14:textId="77777777" w:rsidR="00B2354F" w:rsidRPr="006F0437" w:rsidRDefault="00B2354F" w:rsidP="00941D7F">
      <w:pPr>
        <w:contextualSpacing/>
        <w:rPr>
          <w:highlight w:val="yellow"/>
        </w:rPr>
      </w:pPr>
    </w:p>
    <w:p w14:paraId="0AEF3201" w14:textId="77777777" w:rsidR="00CA4EB5" w:rsidRPr="006F0437" w:rsidRDefault="00B136EE" w:rsidP="00941D7F">
      <w:pPr>
        <w:pStyle w:val="ListParagraph"/>
        <w:numPr>
          <w:ilvl w:val="0"/>
          <w:numId w:val="25"/>
        </w:numPr>
        <w:spacing w:after="0" w:line="240" w:lineRule="auto"/>
        <w:ind w:left="0" w:firstLine="0"/>
        <w:rPr>
          <w:rFonts w:ascii="Calibri" w:hAnsi="Calibri" w:cs="Calibri"/>
          <w:sz w:val="24"/>
          <w:szCs w:val="24"/>
          <w:highlight w:val="yellow"/>
        </w:rPr>
      </w:pPr>
      <w:r w:rsidRPr="006F0437">
        <w:rPr>
          <w:rFonts w:ascii="Calibri" w:hAnsi="Calibri" w:cs="Calibri"/>
          <w:sz w:val="24"/>
          <w:szCs w:val="24"/>
          <w:highlight w:val="yellow"/>
        </w:rPr>
        <w:t>Begin testing with the uninvolved limb</w:t>
      </w:r>
    </w:p>
    <w:p w14:paraId="3AC293EA" w14:textId="77777777" w:rsidR="00CA4EB5" w:rsidRPr="006F0437" w:rsidRDefault="00CA4EB5" w:rsidP="00CA4EB5">
      <w:pPr>
        <w:pStyle w:val="ListParagraph"/>
        <w:spacing w:after="0" w:line="240" w:lineRule="auto"/>
        <w:ind w:left="0"/>
        <w:rPr>
          <w:rFonts w:ascii="Calibri" w:hAnsi="Calibri" w:cs="Calibri"/>
          <w:sz w:val="24"/>
          <w:szCs w:val="24"/>
          <w:highlight w:val="yellow"/>
        </w:rPr>
      </w:pPr>
    </w:p>
    <w:p w14:paraId="259711A0" w14:textId="1437C664" w:rsidR="00D061C7" w:rsidRPr="006F0437" w:rsidRDefault="00B136EE" w:rsidP="00941D7F">
      <w:pPr>
        <w:pStyle w:val="ListParagraph"/>
        <w:numPr>
          <w:ilvl w:val="0"/>
          <w:numId w:val="25"/>
        </w:numPr>
        <w:spacing w:after="0" w:line="240" w:lineRule="auto"/>
        <w:ind w:left="0" w:firstLine="0"/>
        <w:rPr>
          <w:rFonts w:ascii="Calibri" w:hAnsi="Calibri" w:cs="Calibri"/>
          <w:sz w:val="28"/>
          <w:szCs w:val="28"/>
          <w:highlight w:val="yellow"/>
        </w:rPr>
      </w:pPr>
      <w:r w:rsidRPr="006F0437">
        <w:rPr>
          <w:rFonts w:ascii="Calibri" w:hAnsi="Calibri" w:cs="Calibri"/>
          <w:sz w:val="24"/>
          <w:szCs w:val="24"/>
          <w:highlight w:val="yellow"/>
        </w:rPr>
        <w:t>Provide standardized verbal instructions such as: "Kick as hard and fast as possible," "Pull your leg back down as hard and fast as possible," and "You are always moving the machine, and it is not moving you."</w:t>
      </w:r>
    </w:p>
    <w:p w14:paraId="2757D99E" w14:textId="77777777" w:rsidR="00785466" w:rsidRPr="006F0437" w:rsidRDefault="00785466" w:rsidP="00941D7F">
      <w:pPr>
        <w:contextualSpacing/>
        <w:rPr>
          <w:highlight w:val="yellow"/>
        </w:rPr>
      </w:pPr>
    </w:p>
    <w:p w14:paraId="6CEADC24" w14:textId="77777777" w:rsidR="00376F18" w:rsidRPr="006F0437" w:rsidRDefault="00B136EE" w:rsidP="00941D7F">
      <w:pPr>
        <w:pStyle w:val="ListParagraph"/>
        <w:numPr>
          <w:ilvl w:val="1"/>
          <w:numId w:val="26"/>
        </w:numPr>
        <w:spacing w:after="0" w:line="240" w:lineRule="auto"/>
        <w:rPr>
          <w:rFonts w:ascii="Calibri" w:hAnsi="Calibri" w:cs="Calibri"/>
          <w:sz w:val="24"/>
          <w:szCs w:val="24"/>
          <w:highlight w:val="yellow"/>
        </w:rPr>
      </w:pPr>
      <w:r w:rsidRPr="006F0437">
        <w:rPr>
          <w:rFonts w:ascii="Calibri" w:hAnsi="Calibri" w:cs="Calibri"/>
          <w:sz w:val="24"/>
          <w:szCs w:val="24"/>
          <w:highlight w:val="yellow"/>
        </w:rPr>
        <w:t>Provide strong verbal encouragement during all trials.</w:t>
      </w:r>
    </w:p>
    <w:p w14:paraId="0BC228DB" w14:textId="77777777" w:rsidR="00D061C7" w:rsidRPr="006F0437" w:rsidRDefault="00D061C7" w:rsidP="00941D7F">
      <w:pPr>
        <w:ind w:left="360"/>
        <w:contextualSpacing/>
        <w:rPr>
          <w:b/>
          <w:bCs/>
          <w:highlight w:val="yellow"/>
        </w:rPr>
      </w:pPr>
    </w:p>
    <w:p w14:paraId="36358F7D" w14:textId="57C2C01D" w:rsidR="00EF4161" w:rsidRPr="006F0437" w:rsidRDefault="00A94A01" w:rsidP="00EF4161">
      <w:pPr>
        <w:pStyle w:val="ListParagraph"/>
        <w:numPr>
          <w:ilvl w:val="0"/>
          <w:numId w:val="32"/>
        </w:numPr>
        <w:spacing w:after="0" w:line="240" w:lineRule="auto"/>
        <w:ind w:left="0" w:firstLine="0"/>
        <w:rPr>
          <w:rFonts w:ascii="Calibri" w:hAnsi="Calibri" w:cs="Calibri"/>
          <w:b/>
          <w:bCs/>
          <w:sz w:val="24"/>
          <w:szCs w:val="24"/>
          <w:highlight w:val="yellow"/>
        </w:rPr>
      </w:pPr>
      <w:r w:rsidRPr="006F0437">
        <w:rPr>
          <w:rFonts w:ascii="Calibri" w:hAnsi="Calibri" w:cs="Calibri"/>
          <w:b/>
          <w:bCs/>
          <w:sz w:val="24"/>
          <w:szCs w:val="24"/>
          <w:highlight w:val="yellow"/>
        </w:rPr>
        <w:t xml:space="preserve">Method 4- </w:t>
      </w:r>
      <w:r w:rsidR="00B136EE" w:rsidRPr="006F0437">
        <w:rPr>
          <w:rFonts w:ascii="Calibri" w:hAnsi="Calibri" w:cs="Calibri"/>
          <w:b/>
          <w:bCs/>
          <w:sz w:val="24"/>
          <w:szCs w:val="24"/>
          <w:highlight w:val="yellow"/>
        </w:rPr>
        <w:t xml:space="preserve">Isometric </w:t>
      </w:r>
      <w:r w:rsidR="00335CDD" w:rsidRPr="006F0437">
        <w:rPr>
          <w:rFonts w:ascii="Calibri" w:hAnsi="Calibri" w:cs="Calibri"/>
          <w:b/>
          <w:bCs/>
          <w:sz w:val="24"/>
          <w:szCs w:val="24"/>
          <w:highlight w:val="yellow"/>
        </w:rPr>
        <w:t>t</w:t>
      </w:r>
      <w:r w:rsidR="00B136EE" w:rsidRPr="006F0437">
        <w:rPr>
          <w:rFonts w:ascii="Calibri" w:hAnsi="Calibri" w:cs="Calibri"/>
          <w:b/>
          <w:bCs/>
          <w:sz w:val="24"/>
          <w:szCs w:val="24"/>
          <w:highlight w:val="yellow"/>
        </w:rPr>
        <w:t>esting</w:t>
      </w:r>
    </w:p>
    <w:p w14:paraId="5C122B89" w14:textId="77777777" w:rsidR="00EF4161" w:rsidRPr="006F0437" w:rsidRDefault="00EF4161" w:rsidP="00EF4161">
      <w:pPr>
        <w:pStyle w:val="ListParagraph"/>
        <w:spacing w:after="0" w:line="240" w:lineRule="auto"/>
        <w:ind w:left="0"/>
        <w:rPr>
          <w:rFonts w:ascii="Calibri" w:hAnsi="Calibri" w:cs="Calibri"/>
          <w:b/>
          <w:bCs/>
          <w:sz w:val="24"/>
          <w:szCs w:val="24"/>
          <w:highlight w:val="yellow"/>
        </w:rPr>
      </w:pPr>
    </w:p>
    <w:p w14:paraId="70EDB78B" w14:textId="5CB4BC6D" w:rsidR="00EF4161" w:rsidRPr="006F0437" w:rsidRDefault="00B136EE" w:rsidP="00EF4161">
      <w:pPr>
        <w:pStyle w:val="ListParagraph"/>
        <w:numPr>
          <w:ilvl w:val="1"/>
          <w:numId w:val="32"/>
        </w:numPr>
        <w:spacing w:after="0" w:line="240" w:lineRule="auto"/>
        <w:ind w:left="0" w:firstLine="0"/>
        <w:rPr>
          <w:rFonts w:ascii="Calibri" w:hAnsi="Calibri" w:cs="Calibri"/>
          <w:b/>
          <w:bCs/>
          <w:sz w:val="24"/>
          <w:szCs w:val="24"/>
          <w:highlight w:val="yellow"/>
        </w:rPr>
      </w:pPr>
      <w:r w:rsidRPr="006F0437">
        <w:rPr>
          <w:rFonts w:ascii="Calibri" w:hAnsi="Calibri" w:cs="Calibri"/>
          <w:sz w:val="24"/>
          <w:szCs w:val="24"/>
          <w:highlight w:val="yellow"/>
        </w:rPr>
        <w:t>Perform isometric knee extension testing at a joint angle of 90</w:t>
      </w:r>
      <w:r w:rsidR="00E97A62" w:rsidRPr="006F0437">
        <w:rPr>
          <w:rFonts w:ascii="Calibri" w:hAnsi="Calibri" w:cs="Calibri"/>
          <w:sz w:val="24"/>
          <w:szCs w:val="24"/>
          <w:highlight w:val="yellow"/>
        </w:rPr>
        <w:t xml:space="preserve"> </w:t>
      </w:r>
      <w:r w:rsidR="0095766F" w:rsidRPr="006F0437">
        <w:rPr>
          <w:rFonts w:ascii="Calibri" w:hAnsi="Calibri" w:cs="Calibri"/>
          <w:sz w:val="24"/>
          <w:szCs w:val="24"/>
          <w:highlight w:val="yellow"/>
        </w:rPr>
        <w:t xml:space="preserve">degrees of </w:t>
      </w:r>
      <w:r w:rsidR="00E97A62" w:rsidRPr="006F0437">
        <w:rPr>
          <w:rFonts w:ascii="Calibri" w:hAnsi="Calibri" w:cs="Calibri"/>
          <w:sz w:val="24"/>
          <w:szCs w:val="24"/>
          <w:highlight w:val="yellow"/>
        </w:rPr>
        <w:t>knee</w:t>
      </w:r>
      <w:r w:rsidRPr="006F0437">
        <w:rPr>
          <w:rFonts w:ascii="Calibri" w:hAnsi="Calibri" w:cs="Calibri"/>
          <w:sz w:val="24"/>
          <w:szCs w:val="24"/>
          <w:highlight w:val="yellow"/>
        </w:rPr>
        <w:t xml:space="preserve"> flexion.</w:t>
      </w:r>
    </w:p>
    <w:p w14:paraId="2BC706C7" w14:textId="77777777" w:rsidR="00EF4161" w:rsidRPr="006F0437" w:rsidRDefault="00EF4161" w:rsidP="00EF4161">
      <w:pPr>
        <w:pStyle w:val="ListParagraph"/>
        <w:spacing w:after="0" w:line="240" w:lineRule="auto"/>
        <w:ind w:left="0"/>
        <w:rPr>
          <w:rFonts w:ascii="Calibri" w:hAnsi="Calibri" w:cs="Calibri"/>
          <w:b/>
          <w:bCs/>
          <w:sz w:val="24"/>
          <w:szCs w:val="24"/>
          <w:highlight w:val="yellow"/>
        </w:rPr>
      </w:pPr>
    </w:p>
    <w:p w14:paraId="1E78D6C7" w14:textId="6A1EAF31" w:rsidR="00EF4161" w:rsidRPr="006F0437" w:rsidRDefault="00B136EE" w:rsidP="00EF4161">
      <w:pPr>
        <w:pStyle w:val="ListParagraph"/>
        <w:numPr>
          <w:ilvl w:val="1"/>
          <w:numId w:val="32"/>
        </w:numPr>
        <w:spacing w:after="0" w:line="240" w:lineRule="auto"/>
        <w:ind w:left="0" w:firstLine="0"/>
        <w:rPr>
          <w:rFonts w:ascii="Calibri" w:hAnsi="Calibri" w:cs="Calibri"/>
          <w:b/>
          <w:bCs/>
          <w:sz w:val="24"/>
          <w:szCs w:val="24"/>
          <w:highlight w:val="yellow"/>
        </w:rPr>
      </w:pPr>
      <w:proofErr w:type="gramStart"/>
      <w:r w:rsidRPr="006F0437">
        <w:rPr>
          <w:rFonts w:ascii="Calibri" w:hAnsi="Calibri" w:cs="Calibri"/>
          <w:sz w:val="24"/>
          <w:szCs w:val="24"/>
          <w:highlight w:val="yellow"/>
        </w:rPr>
        <w:t>Begin</w:t>
      </w:r>
      <w:proofErr w:type="gramEnd"/>
      <w:r w:rsidRPr="006F0437">
        <w:rPr>
          <w:rFonts w:ascii="Calibri" w:hAnsi="Calibri" w:cs="Calibri"/>
          <w:sz w:val="24"/>
          <w:szCs w:val="24"/>
          <w:highlight w:val="yellow"/>
        </w:rPr>
        <w:t xml:space="preserve"> with three familiarization repetitions. Instruct the participant to kick out and maintain a contraction at 25% of their perceived maximum, followed by 50% and 75%, with 30 </w:t>
      </w:r>
      <w:r w:rsidRPr="006F0437">
        <w:rPr>
          <w:rFonts w:ascii="Calibri" w:hAnsi="Calibri" w:cs="Calibri"/>
          <w:sz w:val="24"/>
          <w:szCs w:val="24"/>
          <w:highlight w:val="yellow"/>
        </w:rPr>
        <w:lastRenderedPageBreak/>
        <w:t>seconds of rest between contractions.</w:t>
      </w:r>
      <w:r w:rsidR="00051D67" w:rsidRPr="006F0437">
        <w:rPr>
          <w:rFonts w:ascii="Calibri" w:hAnsi="Calibri" w:cs="Calibri"/>
          <w:sz w:val="24"/>
          <w:szCs w:val="24"/>
          <w:highlight w:val="yellow"/>
        </w:rPr>
        <w:t xml:space="preserve"> This rest interval is consistent with other investigations utilizing isokinetic and isometric dynamometry</w:t>
      </w:r>
      <w:r w:rsidR="00051D67" w:rsidRPr="006F0437">
        <w:rPr>
          <w:rFonts w:ascii="Calibri" w:hAnsi="Calibri" w:cs="Calibri"/>
          <w:sz w:val="24"/>
          <w:szCs w:val="24"/>
          <w:highlight w:val="yellow"/>
        </w:rPr>
        <w:fldChar w:fldCharType="begin"/>
      </w:r>
      <w:r w:rsidR="00051D67" w:rsidRPr="006F0437">
        <w:rPr>
          <w:rFonts w:ascii="Calibri" w:hAnsi="Calibri" w:cs="Calibri"/>
          <w:sz w:val="24"/>
          <w:szCs w:val="24"/>
          <w:highlight w:val="yellow"/>
        </w:rPr>
        <w:instrText xml:space="preserve"> ADDIN ZOTERO_ITEM CSL_CITATION {"citationID":"J3Gy9Qeh","properties":{"unsorted":false,"formattedCitation":"\\super 24, 26\\nosupersub{}","plainCitation":"24, 26","noteIndex":0},"citationItems":[{"id":9079,"uris":["http://zotero.org/users/6207158/items/H2S73TQT"],"itemData":{"id":9079,"type":"article-journal","abstract":"&lt;p&gt;Single outcomes of standard isokinetic dynamometry tests do not discern between various muscle mechanical capacities. In this study, we aimed to (1) evaluate the shape and strength of the force-velocity relationship of knee extensors, as observed in isokinetic tests conducted at a wide range of angular velocities, and (2) explore the concurrent validity of a simple 2-velocity method. Thirteen physically active females were tested for both the peak and averaged knee extensor concentric force exerted at the angular velocities of 30°–240°/s recorded in the 90°–170° range of knee extension. The results revealed strong (0.960&lt;R&lt;0.998) linear force-velocity relationships that depict the maximum muscle force (i.e. the force-intercept), velocity (velocity-intercept), and power (their product). Moreover, the line drawn through only the 60° and 180°/s data (the ‘2-velocity method’) revealed a high level of agreement with the force-velocity relationship obtained (0.76&lt;R&lt;0.97; all power&lt;0.001); while the force-intercept highly correlated (0.68&lt;R&lt;0.84; all power≤0.01) with the directly measured isometric force. The 2-velocity method could therefore be developed into a standard method for isokinetic testing of mechanical capacities of knee extensors and, if supported by further research, other muscles. This brief and fatigue-free testing procedure could discern between muscle force, velocity, and power-producing capacities.&lt;/p&gt;","container-title":"International Journal of Sports Medicine","DOI":"10.1055/s-0043-113043","ISSN":"0172-4622, 1439-3964","issue":"10","journalAbbreviation":"Int J Sports Med","language":"en","license":"© Georg Thieme Verlag KG Stuttgart · New York","page":"741-746","publisher":"© Georg Thieme Verlag KG","source":"www-thieme-connect-com.proxy1.library.virginia.edu","title":"A Novel Two-Velocity Method for Elaborate Isokinetic Testing of Knee Extensors","volume":"38","author":[{"family":"Grbic","given":"Vladimir"},{"family":"Djuric","given":"Sasa"},{"family":"Knezevic","given":"Olivera M."},{"family":"Mirkov","given":"Dragan M."},{"family":"Nedeljkovic","given":"Aleksandar"},{"family":"Jaric","given":"Slobodan"}],"issued":{"date-parts":[["2017",9]]}}},{"id":9081,"uris":["http://zotero.org/users/6207158/items/IFCNTBM6"],"itemData":{"id":9081,"type":"article-journal","abstract":"Quadriceps rate of torque development (RTD) and torque steadiness are valuable metrics for assessing explosive strength and the ability to control force over a sustained period of time, which can inform clinical assessments of knee function. Despite their widespread use, there is a significant gap in standardized methodology for measuring these metrics, which limits their utility in comparing outcomes across different studies and populations. To address these gaps, we evaluated the influence of sampling rates, signal filtering, and torque onset detection on RTD and torque steadiness. Twenty-seven participants with a history of a primary anterior cruciate ligament reconstruction (N = 27 (11 male/16 female), age = 23 ± 8 years, body mass index = 26 ± 4 kg/m2) and thirty-two control participants (N = 32 (13 male/19 female), age = 23 ± 7 years, body mass index = 23 ± 3 kg/m2) underwent isometric quadriceps strength testing, with data collected at 2222 Hz on an isokinetic dynamometer. The torque–time signal was downsampled to approximately 100 and 1000 Hz and processed using a low-pass, zero-lag Butterworth filter with a range of cutoff frequencies spanning 10–200 Hz. The thresholds used to detect torque onset were defined as 0.1 Nm, 1 Nm, and 5 Nm. RTD between 0 and 100 ms, 0 and 200 ms, and 40–160 ms was computed, as well as absolute and relative torque steadiness. Relative differences were computed by comparing all outcomes to the “gold standard” values computed, with a sampling rate of 2222 Hz, a cutoff frequency in the low-pass filter of 150 Hz, and torque onset of 1 Nm, and compared utilizing linear mixed models. While all combinations of signal collection and processing parameters reached statistical significance (p &lt; 0.05), these differences were consistent between injured and control limbs. Additionally, clinically relevant differences (+/−10%) were primarily observed through torque onset detection methods and primarily affected RTD between 0 and 100 ms. Although measurements of RTD and torque steadiness were generally robust against diverse signal collection and processing parameters, the selection of torque onset should be carefully considered, especially in early RTD assessments that have shorter time epochs.","container-title":"Sensors (Basel, Switzerland)","DOI":"10.3390/s24134250","ISSN":"1424-8220","issue":"13","journalAbbreviation":"Sensors (Basel)","page":"4250","PMID":"39001029","PMCID":"PMC11243863","source":"PubMed Central","title":"Effect of Sampling Rate, Filtering, and Torque Onset Detection on Quadriceps Rate of Torque Development and Torque Steadiness","volume":"24","author":[{"family":"White","given":"McKenzie S."},{"family":"Graham","given":"Megan C."},{"family":"Janatova","given":"Tereza"},{"family":"Hawk","given":"Gregory S."},{"family":"Thompson","given":"Katherine L."},{"family":"Noehren","given":"Brian"}],"issued":{"date-parts":[["2024",6,30]]}}}],"schema":"https://github.com/citation-style-language/schema/raw/master/csl-citation.json"} </w:instrText>
      </w:r>
      <w:r w:rsidR="00051D67" w:rsidRPr="006F0437">
        <w:rPr>
          <w:rFonts w:ascii="Calibri" w:hAnsi="Calibri" w:cs="Calibri"/>
          <w:sz w:val="24"/>
          <w:szCs w:val="24"/>
          <w:highlight w:val="yellow"/>
        </w:rPr>
        <w:fldChar w:fldCharType="separate"/>
      </w:r>
      <w:r w:rsidR="00051D67" w:rsidRPr="006F0437">
        <w:rPr>
          <w:rFonts w:ascii="Calibri" w:hAnsi="Calibri" w:cs="Calibri"/>
          <w:sz w:val="24"/>
          <w:highlight w:val="yellow"/>
          <w:vertAlign w:val="superscript"/>
        </w:rPr>
        <w:t>24,26</w:t>
      </w:r>
      <w:r w:rsidR="00051D67" w:rsidRPr="006F0437">
        <w:rPr>
          <w:rFonts w:ascii="Calibri" w:hAnsi="Calibri" w:cs="Calibri"/>
          <w:sz w:val="24"/>
          <w:szCs w:val="24"/>
          <w:highlight w:val="yellow"/>
        </w:rPr>
        <w:fldChar w:fldCharType="end"/>
      </w:r>
      <w:r w:rsidR="00E97A62" w:rsidRPr="006F0437">
        <w:rPr>
          <w:rFonts w:ascii="Calibri" w:hAnsi="Calibri" w:cs="Calibri"/>
          <w:sz w:val="24"/>
          <w:szCs w:val="24"/>
          <w:highlight w:val="yellow"/>
        </w:rPr>
        <w:t>.</w:t>
      </w:r>
      <w:r w:rsidR="00051D67" w:rsidRPr="006F0437">
        <w:rPr>
          <w:rFonts w:ascii="Calibri" w:hAnsi="Calibri" w:cs="Calibri"/>
          <w:sz w:val="24"/>
          <w:szCs w:val="24"/>
          <w:highlight w:val="yellow"/>
        </w:rPr>
        <w:t xml:space="preserve"> </w:t>
      </w:r>
    </w:p>
    <w:p w14:paraId="53C24F6B" w14:textId="77777777" w:rsidR="00EF4161" w:rsidRPr="006F0437" w:rsidRDefault="00EF4161" w:rsidP="00EF4161">
      <w:pPr>
        <w:pStyle w:val="ListParagraph"/>
        <w:rPr>
          <w:rFonts w:ascii="Calibri" w:hAnsi="Calibri" w:cs="Calibri"/>
          <w:sz w:val="24"/>
          <w:szCs w:val="24"/>
          <w:highlight w:val="yellow"/>
        </w:rPr>
      </w:pPr>
    </w:p>
    <w:p w14:paraId="31A1FEFC" w14:textId="5D70DFDA" w:rsidR="00EF4161" w:rsidRPr="006F0437" w:rsidRDefault="00B136EE" w:rsidP="00EF4161">
      <w:pPr>
        <w:pStyle w:val="ListParagraph"/>
        <w:numPr>
          <w:ilvl w:val="1"/>
          <w:numId w:val="32"/>
        </w:numPr>
        <w:spacing w:after="0" w:line="240" w:lineRule="auto"/>
        <w:ind w:left="0" w:firstLine="0"/>
        <w:rPr>
          <w:rFonts w:ascii="Calibri" w:hAnsi="Calibri" w:cs="Calibri"/>
          <w:b/>
          <w:bCs/>
          <w:sz w:val="24"/>
          <w:szCs w:val="24"/>
          <w:highlight w:val="yellow"/>
        </w:rPr>
      </w:pPr>
      <w:r w:rsidRPr="006F0437">
        <w:rPr>
          <w:rFonts w:ascii="Calibri" w:hAnsi="Calibri" w:cs="Calibri"/>
          <w:sz w:val="24"/>
          <w:szCs w:val="24"/>
          <w:highlight w:val="yellow"/>
        </w:rPr>
        <w:t>Instruct the participant to kick out as hard and fast as possible and to maintain their contraction for 3–5 seconds.</w:t>
      </w:r>
    </w:p>
    <w:p w14:paraId="5C96F776" w14:textId="77777777" w:rsidR="00EF4161" w:rsidRPr="006F0437" w:rsidRDefault="00EF4161" w:rsidP="00EF4161">
      <w:pPr>
        <w:pStyle w:val="ListParagraph"/>
        <w:rPr>
          <w:rFonts w:ascii="Calibri" w:hAnsi="Calibri" w:cs="Calibri"/>
          <w:sz w:val="24"/>
          <w:szCs w:val="24"/>
          <w:highlight w:val="yellow"/>
        </w:rPr>
      </w:pPr>
    </w:p>
    <w:p w14:paraId="171FE4FE" w14:textId="043213D0" w:rsidR="00376F18" w:rsidRPr="006F0437" w:rsidRDefault="00B136EE" w:rsidP="00EF4161">
      <w:pPr>
        <w:pStyle w:val="ListParagraph"/>
        <w:numPr>
          <w:ilvl w:val="1"/>
          <w:numId w:val="32"/>
        </w:numPr>
        <w:spacing w:after="0" w:line="240" w:lineRule="auto"/>
        <w:ind w:left="0" w:firstLine="0"/>
        <w:rPr>
          <w:rFonts w:ascii="Calibri" w:hAnsi="Calibri" w:cs="Calibri"/>
          <w:b/>
          <w:bCs/>
          <w:sz w:val="24"/>
          <w:szCs w:val="24"/>
          <w:highlight w:val="yellow"/>
        </w:rPr>
      </w:pPr>
      <w:r w:rsidRPr="006F0437">
        <w:rPr>
          <w:rFonts w:ascii="Calibri" w:hAnsi="Calibri" w:cs="Calibri"/>
          <w:sz w:val="24"/>
          <w:szCs w:val="24"/>
          <w:highlight w:val="yellow"/>
        </w:rPr>
        <w:t>Perform 2–3 maximal trials with 30</w:t>
      </w:r>
      <w:r w:rsidR="002F280B" w:rsidRPr="006F0437">
        <w:rPr>
          <w:rFonts w:ascii="Calibri" w:hAnsi="Calibri" w:cs="Calibri"/>
          <w:sz w:val="24"/>
          <w:szCs w:val="24"/>
          <w:highlight w:val="yellow"/>
        </w:rPr>
        <w:t xml:space="preserve"> </w:t>
      </w:r>
      <w:r w:rsidRPr="006F0437">
        <w:rPr>
          <w:rFonts w:ascii="Calibri" w:hAnsi="Calibri" w:cs="Calibri"/>
          <w:sz w:val="24"/>
          <w:szCs w:val="24"/>
          <w:highlight w:val="yellow"/>
        </w:rPr>
        <w:t>seconds of rest between trials.</w:t>
      </w:r>
    </w:p>
    <w:p w14:paraId="558ADD01" w14:textId="77777777" w:rsidR="001F69BA" w:rsidRPr="006F0437" w:rsidRDefault="001F69BA" w:rsidP="00941D7F">
      <w:pPr>
        <w:contextualSpacing/>
        <w:rPr>
          <w:highlight w:val="yellow"/>
        </w:rPr>
      </w:pPr>
    </w:p>
    <w:p w14:paraId="1D92EC3D" w14:textId="3EE5C868" w:rsidR="00EF4161" w:rsidRPr="006F0437" w:rsidRDefault="00A94A01" w:rsidP="00EF4161">
      <w:pPr>
        <w:pStyle w:val="ListParagraph"/>
        <w:numPr>
          <w:ilvl w:val="0"/>
          <w:numId w:val="32"/>
        </w:numPr>
        <w:spacing w:after="0" w:line="240" w:lineRule="auto"/>
        <w:ind w:left="0" w:firstLine="0"/>
        <w:rPr>
          <w:rFonts w:ascii="Calibri" w:hAnsi="Calibri" w:cs="Calibri"/>
          <w:b/>
          <w:bCs/>
          <w:sz w:val="24"/>
          <w:szCs w:val="24"/>
          <w:highlight w:val="yellow"/>
        </w:rPr>
      </w:pPr>
      <w:r w:rsidRPr="006F0437">
        <w:rPr>
          <w:rFonts w:ascii="Calibri" w:hAnsi="Calibri" w:cs="Calibri"/>
          <w:b/>
          <w:bCs/>
          <w:sz w:val="24"/>
          <w:szCs w:val="24"/>
          <w:highlight w:val="yellow"/>
        </w:rPr>
        <w:t xml:space="preserve">Method 5- </w:t>
      </w:r>
      <w:r w:rsidR="00B136EE" w:rsidRPr="006F0437">
        <w:rPr>
          <w:rFonts w:ascii="Calibri" w:hAnsi="Calibri" w:cs="Calibri"/>
          <w:b/>
          <w:bCs/>
          <w:sz w:val="24"/>
          <w:szCs w:val="24"/>
          <w:highlight w:val="yellow"/>
        </w:rPr>
        <w:t xml:space="preserve">Isokinetic </w:t>
      </w:r>
      <w:r w:rsidR="00335CDD" w:rsidRPr="006F0437">
        <w:rPr>
          <w:rFonts w:ascii="Calibri" w:hAnsi="Calibri" w:cs="Calibri"/>
          <w:b/>
          <w:bCs/>
          <w:sz w:val="24"/>
          <w:szCs w:val="24"/>
          <w:highlight w:val="yellow"/>
        </w:rPr>
        <w:t>t</w:t>
      </w:r>
      <w:r w:rsidR="00B136EE" w:rsidRPr="006F0437">
        <w:rPr>
          <w:rFonts w:ascii="Calibri" w:hAnsi="Calibri" w:cs="Calibri"/>
          <w:b/>
          <w:bCs/>
          <w:sz w:val="24"/>
          <w:szCs w:val="24"/>
          <w:highlight w:val="yellow"/>
        </w:rPr>
        <w:t>esting</w:t>
      </w:r>
    </w:p>
    <w:p w14:paraId="652E9E81" w14:textId="77777777" w:rsidR="00EF4161" w:rsidRPr="006F0437" w:rsidRDefault="00EF4161" w:rsidP="00EF4161">
      <w:pPr>
        <w:pStyle w:val="ListParagraph"/>
        <w:spacing w:after="0" w:line="240" w:lineRule="auto"/>
        <w:ind w:left="0"/>
        <w:rPr>
          <w:rFonts w:ascii="Calibri" w:hAnsi="Calibri" w:cs="Calibri"/>
          <w:b/>
          <w:bCs/>
          <w:sz w:val="24"/>
          <w:szCs w:val="24"/>
          <w:highlight w:val="yellow"/>
        </w:rPr>
      </w:pPr>
    </w:p>
    <w:p w14:paraId="7AD1E1A4" w14:textId="51BA3E9C" w:rsidR="00117041" w:rsidRPr="006F0437" w:rsidRDefault="00B136EE" w:rsidP="00EF4161">
      <w:pPr>
        <w:pStyle w:val="ListParagraph"/>
        <w:numPr>
          <w:ilvl w:val="1"/>
          <w:numId w:val="32"/>
        </w:numPr>
        <w:spacing w:after="0" w:line="240" w:lineRule="auto"/>
        <w:ind w:left="0" w:firstLine="0"/>
        <w:rPr>
          <w:rFonts w:ascii="Calibri" w:hAnsi="Calibri" w:cs="Calibri"/>
          <w:b/>
          <w:bCs/>
          <w:sz w:val="24"/>
          <w:szCs w:val="24"/>
          <w:highlight w:val="yellow"/>
        </w:rPr>
      </w:pPr>
      <w:r w:rsidRPr="006F0437">
        <w:rPr>
          <w:rFonts w:ascii="Calibri" w:hAnsi="Calibri" w:cs="Calibri"/>
          <w:sz w:val="24"/>
          <w:szCs w:val="24"/>
          <w:highlight w:val="yellow"/>
        </w:rPr>
        <w:t>Perform concentric isokinetic knee extension and flexion testing at the following velocities</w:t>
      </w:r>
      <w:r w:rsidR="00566624" w:rsidRPr="006F0437">
        <w:rPr>
          <w:rFonts w:ascii="Calibri" w:hAnsi="Calibri" w:cs="Calibri"/>
          <w:sz w:val="24"/>
          <w:szCs w:val="24"/>
          <w:highlight w:val="yellow"/>
        </w:rPr>
        <w:t>:</w:t>
      </w:r>
      <w:r w:rsidRPr="006F0437">
        <w:rPr>
          <w:rFonts w:ascii="Calibri" w:hAnsi="Calibri" w:cs="Calibri"/>
          <w:sz w:val="24"/>
          <w:szCs w:val="24"/>
          <w:highlight w:val="yellow"/>
        </w:rPr>
        <w:t xml:space="preserve"> 60°/s, 180°/s, 240°/s.</w:t>
      </w:r>
      <w:r w:rsidR="009D548E" w:rsidRPr="006F0437">
        <w:rPr>
          <w:rFonts w:ascii="Calibri" w:hAnsi="Calibri" w:cs="Calibri"/>
          <w:sz w:val="24"/>
          <w:szCs w:val="24"/>
          <w:highlight w:val="yellow"/>
        </w:rPr>
        <w:t xml:space="preserve"> </w:t>
      </w:r>
    </w:p>
    <w:p w14:paraId="4A5F4A0B" w14:textId="77777777" w:rsidR="00117041" w:rsidRPr="006F0437" w:rsidRDefault="00117041" w:rsidP="00117041">
      <w:pPr>
        <w:pStyle w:val="ListParagraph"/>
        <w:spacing w:after="0" w:line="240" w:lineRule="auto"/>
        <w:ind w:left="0"/>
        <w:rPr>
          <w:rFonts w:ascii="Calibri" w:hAnsi="Calibri" w:cs="Calibri"/>
          <w:sz w:val="24"/>
          <w:szCs w:val="24"/>
          <w:highlight w:val="yellow"/>
        </w:rPr>
      </w:pPr>
    </w:p>
    <w:p w14:paraId="77CC9656" w14:textId="07DD284A" w:rsidR="00EF4161" w:rsidRPr="006F0437" w:rsidRDefault="009D548E" w:rsidP="00117041">
      <w:pPr>
        <w:pStyle w:val="ListParagraph"/>
        <w:spacing w:after="0" w:line="240" w:lineRule="auto"/>
        <w:ind w:left="0"/>
        <w:rPr>
          <w:rFonts w:ascii="Calibri" w:hAnsi="Calibri" w:cs="Calibri"/>
          <w:b/>
          <w:bCs/>
          <w:sz w:val="24"/>
          <w:szCs w:val="24"/>
          <w:highlight w:val="yellow"/>
        </w:rPr>
      </w:pPr>
      <w:r w:rsidRPr="006F0437">
        <w:rPr>
          <w:rFonts w:ascii="Calibri" w:hAnsi="Calibri" w:cs="Calibri"/>
          <w:sz w:val="24"/>
          <w:szCs w:val="24"/>
          <w:highlight w:val="yellow"/>
        </w:rPr>
        <w:t>NOTE: Dynamometer settings pair agonist and antagonist motions by default during concentric isokinetic testing, but these results will focus on the knee extensors, as that is where previous deficits have been identified.</w:t>
      </w:r>
    </w:p>
    <w:p w14:paraId="0C9E0763" w14:textId="501F9297" w:rsidR="00EF4161" w:rsidRPr="006F0437" w:rsidRDefault="00EF4161" w:rsidP="00EF4161">
      <w:pPr>
        <w:pStyle w:val="ListParagraph"/>
        <w:spacing w:after="0" w:line="240" w:lineRule="auto"/>
        <w:ind w:left="0"/>
        <w:rPr>
          <w:rFonts w:ascii="Calibri" w:hAnsi="Calibri" w:cs="Calibri"/>
          <w:b/>
          <w:bCs/>
          <w:sz w:val="24"/>
          <w:szCs w:val="24"/>
          <w:highlight w:val="yellow"/>
        </w:rPr>
      </w:pPr>
    </w:p>
    <w:p w14:paraId="565DCF46" w14:textId="77777777" w:rsidR="00EF4161" w:rsidRPr="006F0437" w:rsidRDefault="00B136EE" w:rsidP="00EF4161">
      <w:pPr>
        <w:pStyle w:val="ListParagraph"/>
        <w:numPr>
          <w:ilvl w:val="1"/>
          <w:numId w:val="32"/>
        </w:numPr>
        <w:spacing w:after="0" w:line="240" w:lineRule="auto"/>
        <w:ind w:left="0" w:firstLine="0"/>
        <w:rPr>
          <w:rFonts w:ascii="Calibri" w:hAnsi="Calibri" w:cs="Calibri"/>
          <w:b/>
          <w:bCs/>
          <w:sz w:val="24"/>
          <w:szCs w:val="24"/>
          <w:highlight w:val="yellow"/>
        </w:rPr>
      </w:pPr>
      <w:r w:rsidRPr="006F0437">
        <w:rPr>
          <w:rFonts w:ascii="Calibri" w:hAnsi="Calibri" w:cs="Calibri"/>
          <w:sz w:val="24"/>
          <w:szCs w:val="24"/>
          <w:highlight w:val="yellow"/>
        </w:rPr>
        <w:t>At each velocity</w:t>
      </w:r>
      <w:r w:rsidR="00566624" w:rsidRPr="006F0437">
        <w:rPr>
          <w:rFonts w:ascii="Calibri" w:hAnsi="Calibri" w:cs="Calibri"/>
          <w:sz w:val="24"/>
          <w:szCs w:val="24"/>
          <w:highlight w:val="yellow"/>
        </w:rPr>
        <w:t>,</w:t>
      </w:r>
    </w:p>
    <w:p w14:paraId="5A4005A6" w14:textId="77777777" w:rsidR="00EF4161" w:rsidRPr="006F0437" w:rsidRDefault="00EF4161" w:rsidP="00EF4161">
      <w:pPr>
        <w:pStyle w:val="ListParagraph"/>
        <w:rPr>
          <w:rFonts w:ascii="Calibri" w:hAnsi="Calibri" w:cs="Calibri"/>
          <w:sz w:val="24"/>
          <w:szCs w:val="24"/>
          <w:highlight w:val="yellow"/>
        </w:rPr>
      </w:pPr>
    </w:p>
    <w:p w14:paraId="2D7D50E5" w14:textId="55E54A8C" w:rsidR="00EF4161" w:rsidRPr="006F0437" w:rsidRDefault="00B136EE" w:rsidP="00EF4161">
      <w:pPr>
        <w:pStyle w:val="ListParagraph"/>
        <w:numPr>
          <w:ilvl w:val="2"/>
          <w:numId w:val="32"/>
        </w:numPr>
        <w:spacing w:after="0" w:line="240" w:lineRule="auto"/>
        <w:ind w:left="0" w:firstLine="0"/>
        <w:rPr>
          <w:rFonts w:ascii="Calibri" w:hAnsi="Calibri" w:cs="Calibri"/>
          <w:b/>
          <w:bCs/>
          <w:sz w:val="24"/>
          <w:szCs w:val="24"/>
          <w:highlight w:val="yellow"/>
        </w:rPr>
      </w:pPr>
      <w:r w:rsidRPr="006F0437">
        <w:rPr>
          <w:rFonts w:ascii="Calibri" w:hAnsi="Calibri" w:cs="Calibri"/>
          <w:sz w:val="24"/>
          <w:szCs w:val="24"/>
          <w:highlight w:val="yellow"/>
        </w:rPr>
        <w:t xml:space="preserve">Perform 4 </w:t>
      </w:r>
      <w:r w:rsidR="009842AF" w:rsidRPr="006F0437">
        <w:rPr>
          <w:rFonts w:ascii="Calibri" w:hAnsi="Calibri" w:cs="Calibri"/>
          <w:sz w:val="24"/>
          <w:szCs w:val="24"/>
          <w:highlight w:val="yellow"/>
        </w:rPr>
        <w:t xml:space="preserve">consecutive </w:t>
      </w:r>
      <w:r w:rsidRPr="006F0437">
        <w:rPr>
          <w:rFonts w:ascii="Calibri" w:hAnsi="Calibri" w:cs="Calibri"/>
          <w:sz w:val="24"/>
          <w:szCs w:val="24"/>
          <w:highlight w:val="yellow"/>
        </w:rPr>
        <w:t>submaximal practice repetitions</w:t>
      </w:r>
      <w:r w:rsidR="00F75FB1" w:rsidRPr="006F0437">
        <w:rPr>
          <w:rFonts w:ascii="Calibri" w:hAnsi="Calibri" w:cs="Calibri"/>
          <w:sz w:val="24"/>
          <w:szCs w:val="24"/>
          <w:highlight w:val="yellow"/>
        </w:rPr>
        <w:t>, progressing from low to near maximal effort</w:t>
      </w:r>
      <w:r w:rsidR="009842AF" w:rsidRPr="006F0437">
        <w:rPr>
          <w:rFonts w:ascii="Calibri" w:hAnsi="Calibri" w:cs="Calibri"/>
          <w:sz w:val="24"/>
          <w:szCs w:val="24"/>
          <w:highlight w:val="yellow"/>
        </w:rPr>
        <w:t xml:space="preserve"> (25</w:t>
      </w:r>
      <w:r w:rsidR="00F4589C" w:rsidRPr="006F0437">
        <w:rPr>
          <w:rFonts w:ascii="Calibri" w:hAnsi="Calibri" w:cs="Calibri"/>
          <w:sz w:val="24"/>
          <w:szCs w:val="24"/>
          <w:highlight w:val="yellow"/>
        </w:rPr>
        <w:t>–</w:t>
      </w:r>
      <w:r w:rsidR="009842AF" w:rsidRPr="006F0437">
        <w:rPr>
          <w:rFonts w:ascii="Calibri" w:hAnsi="Calibri" w:cs="Calibri"/>
          <w:sz w:val="24"/>
          <w:szCs w:val="24"/>
          <w:highlight w:val="yellow"/>
        </w:rPr>
        <w:t>75%)</w:t>
      </w:r>
      <w:r w:rsidR="00F75FB1" w:rsidRPr="006F0437">
        <w:rPr>
          <w:rFonts w:ascii="Calibri" w:hAnsi="Calibri" w:cs="Calibri"/>
          <w:sz w:val="24"/>
          <w:szCs w:val="24"/>
          <w:highlight w:val="yellow"/>
        </w:rPr>
        <w:t>.</w:t>
      </w:r>
    </w:p>
    <w:p w14:paraId="66A7C2C3" w14:textId="77777777" w:rsidR="00EF4161" w:rsidRPr="006F0437" w:rsidRDefault="00EF4161" w:rsidP="00EF4161">
      <w:pPr>
        <w:pStyle w:val="ListParagraph"/>
        <w:spacing w:after="0" w:line="240" w:lineRule="auto"/>
        <w:ind w:left="0"/>
        <w:rPr>
          <w:rFonts w:ascii="Calibri" w:hAnsi="Calibri" w:cs="Calibri"/>
          <w:b/>
          <w:bCs/>
          <w:sz w:val="24"/>
          <w:szCs w:val="24"/>
          <w:highlight w:val="yellow"/>
        </w:rPr>
      </w:pPr>
    </w:p>
    <w:p w14:paraId="5D5B82FE" w14:textId="77777777" w:rsidR="00EF4161" w:rsidRPr="006F0437" w:rsidRDefault="00B136EE" w:rsidP="00EF4161">
      <w:pPr>
        <w:pStyle w:val="ListParagraph"/>
        <w:numPr>
          <w:ilvl w:val="2"/>
          <w:numId w:val="32"/>
        </w:numPr>
        <w:spacing w:after="0" w:line="240" w:lineRule="auto"/>
        <w:ind w:left="0" w:firstLine="0"/>
        <w:rPr>
          <w:rFonts w:ascii="Calibri" w:hAnsi="Calibri" w:cs="Calibri"/>
          <w:b/>
          <w:bCs/>
          <w:sz w:val="24"/>
          <w:szCs w:val="24"/>
          <w:highlight w:val="yellow"/>
        </w:rPr>
      </w:pPr>
      <w:r w:rsidRPr="006F0437">
        <w:rPr>
          <w:rFonts w:ascii="Calibri" w:hAnsi="Calibri" w:cs="Calibri"/>
          <w:sz w:val="24"/>
          <w:szCs w:val="24"/>
          <w:highlight w:val="yellow"/>
        </w:rPr>
        <w:t>Perform 8 maximal effort repetitions</w:t>
      </w:r>
      <w:r w:rsidR="00F75FB1" w:rsidRPr="006F0437">
        <w:rPr>
          <w:rFonts w:ascii="Calibri" w:hAnsi="Calibri" w:cs="Calibri"/>
          <w:sz w:val="24"/>
          <w:szCs w:val="24"/>
          <w:highlight w:val="yellow"/>
        </w:rPr>
        <w:t>.</w:t>
      </w:r>
    </w:p>
    <w:p w14:paraId="4ACCDDFD" w14:textId="77777777" w:rsidR="00EF4161" w:rsidRPr="006F0437" w:rsidRDefault="00EF4161" w:rsidP="00EF4161">
      <w:pPr>
        <w:pStyle w:val="ListParagraph"/>
        <w:rPr>
          <w:rFonts w:ascii="Calibri" w:hAnsi="Calibri" w:cs="Calibri"/>
          <w:sz w:val="24"/>
          <w:szCs w:val="24"/>
          <w:highlight w:val="yellow"/>
        </w:rPr>
      </w:pPr>
    </w:p>
    <w:p w14:paraId="3E31E025" w14:textId="77777777" w:rsidR="00F21944" w:rsidRPr="006F0437" w:rsidRDefault="00B136EE" w:rsidP="00EF4161">
      <w:pPr>
        <w:pStyle w:val="ListParagraph"/>
        <w:numPr>
          <w:ilvl w:val="2"/>
          <w:numId w:val="32"/>
        </w:numPr>
        <w:spacing w:after="0" w:line="240" w:lineRule="auto"/>
        <w:ind w:left="0" w:firstLine="0"/>
        <w:rPr>
          <w:rFonts w:ascii="Calibri" w:hAnsi="Calibri" w:cs="Calibri"/>
          <w:b/>
          <w:bCs/>
          <w:sz w:val="24"/>
          <w:szCs w:val="24"/>
          <w:highlight w:val="yellow"/>
        </w:rPr>
      </w:pPr>
      <w:r w:rsidRPr="006F0437">
        <w:rPr>
          <w:rFonts w:ascii="Calibri" w:hAnsi="Calibri" w:cs="Calibri"/>
          <w:sz w:val="24"/>
          <w:szCs w:val="24"/>
          <w:highlight w:val="yellow"/>
        </w:rPr>
        <w:t>Provide real-time visual feedback</w:t>
      </w:r>
      <w:r w:rsidR="00F75FB1" w:rsidRPr="006F0437">
        <w:rPr>
          <w:rFonts w:ascii="Calibri" w:hAnsi="Calibri" w:cs="Calibri"/>
          <w:sz w:val="24"/>
          <w:szCs w:val="24"/>
          <w:highlight w:val="yellow"/>
        </w:rPr>
        <w:t xml:space="preserve"> displaying the torque vs time or torque vs position curves</w:t>
      </w:r>
      <w:r w:rsidRPr="006F0437">
        <w:rPr>
          <w:rFonts w:ascii="Calibri" w:hAnsi="Calibri" w:cs="Calibri"/>
          <w:sz w:val="24"/>
          <w:szCs w:val="24"/>
          <w:highlight w:val="yellow"/>
        </w:rPr>
        <w:t xml:space="preserve"> and consistent verbal encouragement.</w:t>
      </w:r>
    </w:p>
    <w:p w14:paraId="7FA7E190" w14:textId="77777777" w:rsidR="00F21944" w:rsidRPr="006F0437" w:rsidRDefault="00F21944" w:rsidP="00F21944">
      <w:pPr>
        <w:pStyle w:val="ListParagraph"/>
        <w:rPr>
          <w:rFonts w:ascii="Calibri" w:hAnsi="Calibri" w:cs="Calibri"/>
          <w:sz w:val="24"/>
          <w:szCs w:val="24"/>
          <w:highlight w:val="yellow"/>
        </w:rPr>
      </w:pPr>
    </w:p>
    <w:p w14:paraId="4C16D934" w14:textId="6FC10203" w:rsidR="00376F18" w:rsidRPr="006F0437" w:rsidRDefault="00B136EE" w:rsidP="00EF4161">
      <w:pPr>
        <w:pStyle w:val="ListParagraph"/>
        <w:numPr>
          <w:ilvl w:val="2"/>
          <w:numId w:val="32"/>
        </w:numPr>
        <w:spacing w:after="0" w:line="240" w:lineRule="auto"/>
        <w:ind w:left="0" w:firstLine="0"/>
        <w:rPr>
          <w:rFonts w:ascii="Calibri" w:hAnsi="Calibri" w:cs="Calibri"/>
          <w:b/>
          <w:bCs/>
          <w:sz w:val="24"/>
          <w:szCs w:val="24"/>
          <w:highlight w:val="yellow"/>
        </w:rPr>
      </w:pPr>
      <w:r w:rsidRPr="006F0437">
        <w:rPr>
          <w:rFonts w:ascii="Calibri" w:hAnsi="Calibri" w:cs="Calibri"/>
          <w:sz w:val="24"/>
          <w:szCs w:val="24"/>
          <w:highlight w:val="yellow"/>
        </w:rPr>
        <w:t xml:space="preserve">Allow </w:t>
      </w:r>
      <w:r w:rsidR="00486247" w:rsidRPr="006F0437">
        <w:rPr>
          <w:rFonts w:ascii="Calibri" w:hAnsi="Calibri" w:cs="Calibri"/>
          <w:sz w:val="24"/>
          <w:szCs w:val="24"/>
          <w:highlight w:val="yellow"/>
        </w:rPr>
        <w:t>30</w:t>
      </w:r>
      <w:r w:rsidR="00044C3C" w:rsidRPr="006F0437">
        <w:rPr>
          <w:rFonts w:ascii="Calibri" w:hAnsi="Calibri" w:cs="Calibri"/>
          <w:sz w:val="24"/>
          <w:szCs w:val="24"/>
          <w:highlight w:val="yellow"/>
        </w:rPr>
        <w:t>–</w:t>
      </w:r>
      <w:r w:rsidRPr="006F0437">
        <w:rPr>
          <w:rFonts w:ascii="Calibri" w:hAnsi="Calibri" w:cs="Calibri"/>
          <w:sz w:val="24"/>
          <w:szCs w:val="24"/>
          <w:highlight w:val="yellow"/>
        </w:rPr>
        <w:t xml:space="preserve">60 seconds of rest between </w:t>
      </w:r>
      <w:r w:rsidR="00B72AD9" w:rsidRPr="006F0437">
        <w:rPr>
          <w:rFonts w:ascii="Calibri" w:hAnsi="Calibri" w:cs="Calibri"/>
          <w:sz w:val="24"/>
          <w:szCs w:val="24"/>
          <w:highlight w:val="yellow"/>
        </w:rPr>
        <w:t xml:space="preserve">tests at each new </w:t>
      </w:r>
      <w:r w:rsidRPr="006F0437">
        <w:rPr>
          <w:rFonts w:ascii="Calibri" w:hAnsi="Calibri" w:cs="Calibri"/>
          <w:sz w:val="24"/>
          <w:szCs w:val="24"/>
          <w:highlight w:val="yellow"/>
        </w:rPr>
        <w:t>veloci</w:t>
      </w:r>
      <w:r w:rsidR="00B72AD9" w:rsidRPr="006F0437">
        <w:rPr>
          <w:rFonts w:ascii="Calibri" w:hAnsi="Calibri" w:cs="Calibri"/>
          <w:sz w:val="24"/>
          <w:szCs w:val="24"/>
          <w:highlight w:val="yellow"/>
        </w:rPr>
        <w:t>ty</w:t>
      </w:r>
      <w:r w:rsidRPr="006F0437">
        <w:rPr>
          <w:rFonts w:ascii="Calibri" w:hAnsi="Calibri" w:cs="Calibri"/>
          <w:sz w:val="24"/>
          <w:szCs w:val="24"/>
          <w:highlight w:val="yellow"/>
        </w:rPr>
        <w:t>.</w:t>
      </w:r>
      <w:r w:rsidR="00051D67" w:rsidRPr="006F0437">
        <w:rPr>
          <w:rFonts w:ascii="Calibri" w:hAnsi="Calibri" w:cs="Calibri"/>
          <w:sz w:val="24"/>
          <w:szCs w:val="24"/>
          <w:highlight w:val="yellow"/>
        </w:rPr>
        <w:t xml:space="preserve"> This rest interval is consistent with other investigations utilizing isokinetic and isometric dynamometry</w:t>
      </w:r>
      <w:r w:rsidR="00051D67" w:rsidRPr="006F0437">
        <w:rPr>
          <w:rFonts w:ascii="Calibri" w:hAnsi="Calibri" w:cs="Calibri"/>
          <w:sz w:val="24"/>
          <w:szCs w:val="24"/>
          <w:highlight w:val="yellow"/>
        </w:rPr>
        <w:fldChar w:fldCharType="begin"/>
      </w:r>
      <w:r w:rsidR="00051D67" w:rsidRPr="006F0437">
        <w:rPr>
          <w:rFonts w:ascii="Calibri" w:hAnsi="Calibri" w:cs="Calibri"/>
          <w:sz w:val="24"/>
          <w:szCs w:val="24"/>
          <w:highlight w:val="yellow"/>
        </w:rPr>
        <w:instrText xml:space="preserve"> ADDIN ZOTERO_ITEM CSL_CITATION {"citationID":"48WG4EDY","properties":{"unsorted":false,"formattedCitation":"\\super 24, 26\\nosupersub{}","plainCitation":"24, 26","noteIndex":0},"citationItems":[{"id":9079,"uris":["http://zotero.org/users/6207158/items/H2S73TQT"],"itemData":{"id":9079,"type":"article-journal","abstract":"&lt;p&gt;Single outcomes of standard isokinetic dynamometry tests do not discern between various muscle mechanical capacities. In this study, we aimed to (1) evaluate the shape and strength of the force-velocity relationship of knee extensors, as observed in isokinetic tests conducted at a wide range of angular velocities, and (2) explore the concurrent validity of a simple 2-velocity method. Thirteen physically active females were tested for both the peak and averaged knee extensor concentric force exerted at the angular velocities of 30°–240°/s recorded in the 90°–170° range of knee extension. The results revealed strong (0.960&lt;R&lt;0.998) linear force-velocity relationships that depict the maximum muscle force (i.e. the force-intercept), velocity (velocity-intercept), and power (their product). Moreover, the line drawn through only the 60° and 180°/s data (the ‘2-velocity method’) revealed a high level of agreement with the force-velocity relationship obtained (0.76&lt;R&lt;0.97; all power&lt;0.001); while the force-intercept highly correlated (0.68&lt;R&lt;0.84; all power≤0.01) with the directly measured isometric force. The 2-velocity method could therefore be developed into a standard method for isokinetic testing of mechanical capacities of knee extensors and, if supported by further research, other muscles. This brief and fatigue-free testing procedure could discern between muscle force, velocity, and power-producing capacities.&lt;/p&gt;","container-title":"International Journal of Sports Medicine","DOI":"10.1055/s-0043-113043","ISSN":"0172-4622, 1439-3964","issue":"10","journalAbbreviation":"Int J Sports Med","language":"en","license":"© Georg Thieme Verlag KG Stuttgart · New York","page":"741-746","publisher":"© Georg Thieme Verlag KG","source":"www-thieme-connect-com.proxy1.library.virginia.edu","title":"A Novel Two-Velocity Method for Elaborate Isokinetic Testing of Knee Extensors","volume":"38","author":[{"family":"Grbic","given":"Vladimir"},{"family":"Djuric","given":"Sasa"},{"family":"Knezevic","given":"Olivera M."},{"family":"Mirkov","given":"Dragan M."},{"family":"Nedeljkovic","given":"Aleksandar"},{"family":"Jaric","given":"Slobodan"}],"issued":{"date-parts":[["2017",9]]}}},{"id":9081,"uris":["http://zotero.org/users/6207158/items/IFCNTBM6"],"itemData":{"id":9081,"type":"article-journal","abstract":"Quadriceps rate of torque development (RTD) and torque steadiness are valuable metrics for assessing explosive strength and the ability to control force over a sustained period of time, which can inform clinical assessments of knee function. Despite their widespread use, there is a significant gap in standardized methodology for measuring these metrics, which limits their utility in comparing outcomes across different studies and populations. To address these gaps, we evaluated the influence of sampling rates, signal filtering, and torque onset detection on RTD and torque steadiness. Twenty-seven participants with a history of a primary anterior cruciate ligament reconstruction (N = 27 (11 male/16 female), age = 23 ± 8 years, body mass index = 26 ± 4 kg/m2) and thirty-two control participants (N = 32 (13 male/19 female), age = 23 ± 7 years, body mass index = 23 ± 3 kg/m2) underwent isometric quadriceps strength testing, with data collected at 2222 Hz on an isokinetic dynamometer. The torque–time signal was downsampled to approximately 100 and 1000 Hz and processed using a low-pass, zero-lag Butterworth filter with a range of cutoff frequencies spanning 10–200 Hz. The thresholds used to detect torque onset were defined as 0.1 Nm, 1 Nm, and 5 Nm. RTD between 0 and 100 ms, 0 and 200 ms, and 40–160 ms was computed, as well as absolute and relative torque steadiness. Relative differences were computed by comparing all outcomes to the “gold standard” values computed, with a sampling rate of 2222 Hz, a cutoff frequency in the low-pass filter of 150 Hz, and torque onset of 1 Nm, and compared utilizing linear mixed models. While all combinations of signal collection and processing parameters reached statistical significance (p &lt; 0.05), these differences were consistent between injured and control limbs. Additionally, clinically relevant differences (+/−10%) were primarily observed through torque onset detection methods and primarily affected RTD between 0 and 100 ms. Although measurements of RTD and torque steadiness were generally robust against diverse signal collection and processing parameters, the selection of torque onset should be carefully considered, especially in early RTD assessments that have shorter time epochs.","container-title":"Sensors (Basel, Switzerland)","DOI":"10.3390/s24134250","ISSN":"1424-8220","issue":"13","journalAbbreviation":"Sensors (Basel)","page":"4250","PMID":"39001029","PMCID":"PMC11243863","source":"PubMed Central","title":"Effect of Sampling Rate, Filtering, and Torque Onset Detection on Quadriceps Rate of Torque Development and Torque Steadiness","volume":"24","author":[{"family":"White","given":"McKenzie S."},{"family":"Graham","given":"Megan C."},{"family":"Janatova","given":"Tereza"},{"family":"Hawk","given":"Gregory S."},{"family":"Thompson","given":"Katherine L."},{"family":"Noehren","given":"Brian"}],"issued":{"date-parts":[["2024",6,30]]}}}],"schema":"https://github.com/citation-style-language/schema/raw/master/csl-citation.json"} </w:instrText>
      </w:r>
      <w:r w:rsidR="00051D67" w:rsidRPr="006F0437">
        <w:rPr>
          <w:rFonts w:ascii="Calibri" w:hAnsi="Calibri" w:cs="Calibri"/>
          <w:sz w:val="24"/>
          <w:szCs w:val="24"/>
          <w:highlight w:val="yellow"/>
        </w:rPr>
        <w:fldChar w:fldCharType="separate"/>
      </w:r>
      <w:r w:rsidR="00051D67" w:rsidRPr="006F0437">
        <w:rPr>
          <w:rFonts w:ascii="Calibri" w:hAnsi="Calibri" w:cs="Calibri"/>
          <w:sz w:val="24"/>
          <w:highlight w:val="yellow"/>
          <w:vertAlign w:val="superscript"/>
        </w:rPr>
        <w:t>24,26</w:t>
      </w:r>
      <w:r w:rsidR="00051D67" w:rsidRPr="006F0437">
        <w:rPr>
          <w:rFonts w:ascii="Calibri" w:hAnsi="Calibri" w:cs="Calibri"/>
          <w:sz w:val="24"/>
          <w:szCs w:val="24"/>
          <w:highlight w:val="yellow"/>
        </w:rPr>
        <w:fldChar w:fldCharType="end"/>
      </w:r>
      <w:r w:rsidR="007200C7" w:rsidRPr="006F0437">
        <w:rPr>
          <w:rFonts w:ascii="Calibri" w:hAnsi="Calibri" w:cs="Calibri"/>
          <w:sz w:val="24"/>
          <w:szCs w:val="24"/>
          <w:highlight w:val="yellow"/>
        </w:rPr>
        <w:t>.</w:t>
      </w:r>
      <w:r w:rsidR="00051D67" w:rsidRPr="006F0437">
        <w:rPr>
          <w:rFonts w:ascii="Calibri" w:hAnsi="Calibri" w:cs="Calibri"/>
          <w:sz w:val="24"/>
          <w:szCs w:val="24"/>
          <w:highlight w:val="yellow"/>
        </w:rPr>
        <w:t xml:space="preserve"> Single-velocity testing often uses rest intervals of 30 seconds, but</w:t>
      </w:r>
      <w:r w:rsidR="00486247" w:rsidRPr="006F0437">
        <w:rPr>
          <w:rFonts w:ascii="Calibri" w:hAnsi="Calibri" w:cs="Calibri"/>
          <w:sz w:val="24"/>
          <w:szCs w:val="24"/>
          <w:highlight w:val="yellow"/>
        </w:rPr>
        <w:t xml:space="preserve"> investigations utilizing</w:t>
      </w:r>
      <w:r w:rsidR="00051D67" w:rsidRPr="006F0437">
        <w:rPr>
          <w:rFonts w:ascii="Calibri" w:hAnsi="Calibri" w:cs="Calibri"/>
          <w:sz w:val="24"/>
          <w:szCs w:val="24"/>
          <w:highlight w:val="yellow"/>
        </w:rPr>
        <w:t xml:space="preserve"> multiple velocity testing </w:t>
      </w:r>
      <w:r w:rsidR="00486247" w:rsidRPr="006F0437">
        <w:rPr>
          <w:rFonts w:ascii="Calibri" w:hAnsi="Calibri" w:cs="Calibri"/>
          <w:sz w:val="24"/>
          <w:szCs w:val="24"/>
          <w:highlight w:val="yellow"/>
        </w:rPr>
        <w:t>have demonstrated</w:t>
      </w:r>
      <w:r w:rsidR="00B72AD9" w:rsidRPr="006F0437">
        <w:rPr>
          <w:rFonts w:ascii="Calibri" w:hAnsi="Calibri" w:cs="Calibri"/>
          <w:sz w:val="24"/>
          <w:szCs w:val="24"/>
          <w:highlight w:val="yellow"/>
        </w:rPr>
        <w:t xml:space="preserve"> that rest</w:t>
      </w:r>
      <w:r w:rsidR="00051D67" w:rsidRPr="006F0437">
        <w:rPr>
          <w:rFonts w:ascii="Calibri" w:hAnsi="Calibri" w:cs="Calibri"/>
          <w:sz w:val="24"/>
          <w:szCs w:val="24"/>
          <w:highlight w:val="yellow"/>
        </w:rPr>
        <w:t xml:space="preserve"> intervals of 60 seconds</w:t>
      </w:r>
      <w:r w:rsidR="00B72AD9" w:rsidRPr="006F0437">
        <w:rPr>
          <w:rFonts w:ascii="Calibri" w:hAnsi="Calibri" w:cs="Calibri"/>
          <w:sz w:val="24"/>
          <w:szCs w:val="24"/>
          <w:highlight w:val="yellow"/>
        </w:rPr>
        <w:t xml:space="preserve"> appear sufficient</w:t>
      </w:r>
      <w:r w:rsidR="00051D67" w:rsidRPr="006F0437">
        <w:rPr>
          <w:rFonts w:ascii="Calibri" w:hAnsi="Calibri" w:cs="Calibri"/>
          <w:sz w:val="24"/>
          <w:szCs w:val="24"/>
          <w:highlight w:val="yellow"/>
        </w:rPr>
        <w:t xml:space="preserve"> to reduce </w:t>
      </w:r>
      <w:r w:rsidR="007200C7" w:rsidRPr="006F0437">
        <w:rPr>
          <w:rFonts w:ascii="Calibri" w:hAnsi="Calibri" w:cs="Calibri"/>
          <w:sz w:val="24"/>
          <w:szCs w:val="24"/>
          <w:highlight w:val="yellow"/>
        </w:rPr>
        <w:t xml:space="preserve">the </w:t>
      </w:r>
      <w:r w:rsidR="00051D67" w:rsidRPr="006F0437">
        <w:rPr>
          <w:rFonts w:ascii="Calibri" w:hAnsi="Calibri" w:cs="Calibri"/>
          <w:sz w:val="24"/>
          <w:szCs w:val="24"/>
          <w:highlight w:val="yellow"/>
        </w:rPr>
        <w:t>potential effects of fatigue</w:t>
      </w:r>
      <w:r w:rsidR="00051D67" w:rsidRPr="006F0437">
        <w:rPr>
          <w:rFonts w:ascii="Calibri" w:hAnsi="Calibri" w:cs="Calibri"/>
          <w:sz w:val="24"/>
          <w:szCs w:val="24"/>
          <w:highlight w:val="yellow"/>
        </w:rPr>
        <w:fldChar w:fldCharType="begin"/>
      </w:r>
      <w:r w:rsidR="008461D6" w:rsidRPr="006F0437">
        <w:rPr>
          <w:rFonts w:ascii="Calibri" w:hAnsi="Calibri" w:cs="Calibri"/>
          <w:sz w:val="24"/>
          <w:szCs w:val="24"/>
          <w:highlight w:val="yellow"/>
        </w:rPr>
        <w:instrText xml:space="preserve"> ADDIN ZOTERO_ITEM CSL_CITATION {"citationID":"gnyUsqAq","properties":{"unsorted":false,"formattedCitation":"\\super 24, 30, 31\\nosupersub{}","plainCitation":"24, 30, 31","noteIndex":0},"citationItems":[{"id":9079,"uris":["http://zotero.org/users/6207158/items/H2S73TQT"],"itemData":{"id":9079,"type":"article-journal","abstract":"&lt;p&gt;Single outcomes of standard isokinetic dynamometry tests do not discern between various muscle mechanical capacities. In this study, we aimed to (1) evaluate the shape and strength of the force-velocity relationship of knee extensors, as observed in isokinetic tests conducted at a wide range of angular velocities, and (2) explore the concurrent validity of a simple 2-velocity method. Thirteen physically active females were tested for both the peak and averaged knee extensor concentric force exerted at the angular velocities of 30°–240°/s recorded in the 90°–170° range of knee extension. The results revealed strong (0.960&lt;R&lt;0.998) linear force-velocity relationships that depict the maximum muscle force (i.e. the force-intercept), velocity (velocity-intercept), and power (their product). Moreover, the line drawn through only the 60° and 180°/s data (the ‘2-velocity method’) revealed a high level of agreement with the force-velocity relationship obtained (0.76&lt;R&lt;0.97; all power&lt;0.001); while the force-intercept highly correlated (0.68&lt;R&lt;0.84; all power≤0.01) with the directly measured isometric force. The 2-velocity method could therefore be developed into a standard method for isokinetic testing of mechanical capacities of knee extensors and, if supported by further research, other muscles. This brief and fatigue-free testing procedure could discern between muscle force, velocity, and power-producing capacities.&lt;/p&gt;","container-title":"International Journal of Sports Medicine","DOI":"10.1055/s-0043-113043","ISSN":"0172-4622, 1439-3964","issue":"10","journalAbbreviation":"Int J Sports Med","language":"en","license":"© Georg Thieme Verlag KG Stuttgart · New York","page":"741-746","publisher":"© Georg Thieme Verlag KG","source":"www-thieme-connect-com.proxy1.library.virginia.edu","title":"A Novel Two-Velocity Method for Elaborate Isokinetic Testing of Knee Extensors","volume":"38","author":[{"family":"Grbic","given":"Vladimir"},{"family":"Djuric","given":"Sasa"},{"family":"Knezevic","given":"Olivera M."},{"family":"Mirkov","given":"Dragan M."},{"family":"Nedeljkovic","given":"Aleksandar"},{"family":"Jaric","given":"Slobodan"}],"issued":{"date-parts":[["2017",9]]}}},{"id":9088,"uris":["http://zotero.org/users/6207158/items/6SQMFBDJ"],"itemData":{"id":9088,"type":"article-journal","abstract":"The aim of this study is to define the test-retest reproducibility for measuring the peak torque of the knee flexors according to the isokinetic concentric and eccentric muscle action. The tests were done in two sessions at a 21 day interval. Ten healthy national-level volleyball players, 24.3 years old ± 3.9 were included. Tests took place after the competition season. Evaluation was carried out with a Cybex 6000 dynamometer and the reliability was calculated according to the intra-class correlation coefficient (ICC?2.1). The protocol consisted of 5 isokinetic concentric contractions at 180°/s followed by 5 isokinetic eccentric contractions at 30 and 60°/s. Results show an excellent reproducibility for isokinetic concentric peak torque at 180°/s. (ICC: 0.94) and very good reproducibility for isokinetic eccentric peak torque at 30 and 60°/s.(ICC: 0.86; 0.83). These results indicate that knee flexion strength at these velocities may be used to estimate the performance of volleyball players.","container-title":"Isokinetics and Exercise Science","DOI":"10.3233/IES-2001-0076","ISSN":"0959-3020","issue":"2-3","page":"129-132","publisher":"SAGE Publications","title":"Reproducibility of concentric and eccentric isokinetic strength of the knee flexors in elite volleyball players","volume":"9","author":[{"family":"Dauty","given":"Marc"},{"family":"Rochcongar","given":"Pierre"}],"issued":{"date-parts":[["2001",5,1]]}}},{"id":9090,"uris":["http://zotero.org/users/6207158/items/GFSAGUW5"],"itemData":{"id":9090,"type":"article-journal","abstract":"The purpose of this study was to compare three different intervals for a between sets rest period during a common isokinetic knee extension strength-testing protocol of twenty older Brazilian men (66.30 ± 3.92 yrs). The volunteers underwent unilateral knee extension (Biodex System 3) testing to determine their individual isokinetic peak torque at 60, 90, and 120°s-1. The contraction speeds and the rest periods between sets (30, 60 and 90 s) were randomly performed in three different days with a minimum rest period of 48 hours. Significant differences between and within sets were analyzed using a One Way Analysis of Variance (ANOVA) with repeated measures. Although, at angular velocity of 60°s-1 produced a higher peak torque, there were no significant differences in peak torque among any of the rest periods. Likewise, there were no significant differences between mean peak torque among all resting periods (30, 60 and 90s) at angular velocities of 90 and 120°s-1. The results showed that during a common isokinetic strength testing protocol a between set rest period of at least 30 s is sufficient for recovery before the next test set in older men., Key PointsThe assessment of muscular strength using isokinetics muscle contraction in older individuals is very important for exercise prescription and rehabilitation.The minimal time between intraset isokinetics knee extension assessment in older individuals need to be more investigated, however 30 s appear to besufficient time for strength recover.","container-title":"Journal of Sports Science &amp; Medicine","ISSN":"1303-2968","issue":"3","journalAbbreviation":"J Sports Sci Med","page":"285-290","PMID":"24453533","PMCID":"PMC3887332","source":"PubMed Central","title":"The Effects of Rest Interval on Quadriceps Torque During an Isokinetic Testing Protocol in Elderly","volume":"4","author":[{"family":"Bottaro","given":"Martim"},{"family":"Russo","given":"André Faria"},{"family":"Oliveira","given":"Ricardo Jacó","non-dropping-particle":"de"}],"issued":{"date-parts":[["2005",9,1]]}}}],"schema":"https://github.com/citation-style-language/schema/raw/master/csl-citation.json"} </w:instrText>
      </w:r>
      <w:r w:rsidR="00051D67" w:rsidRPr="006F0437">
        <w:rPr>
          <w:rFonts w:ascii="Calibri" w:hAnsi="Calibri" w:cs="Calibri"/>
          <w:sz w:val="24"/>
          <w:szCs w:val="24"/>
          <w:highlight w:val="yellow"/>
        </w:rPr>
        <w:fldChar w:fldCharType="separate"/>
      </w:r>
      <w:r w:rsidR="008461D6" w:rsidRPr="006F0437">
        <w:rPr>
          <w:rFonts w:ascii="Calibri" w:hAnsi="Calibri" w:cs="Calibri"/>
          <w:sz w:val="24"/>
          <w:highlight w:val="yellow"/>
          <w:vertAlign w:val="superscript"/>
        </w:rPr>
        <w:t>24,30,31</w:t>
      </w:r>
      <w:r w:rsidR="00051D67" w:rsidRPr="006F0437">
        <w:rPr>
          <w:rFonts w:ascii="Calibri" w:hAnsi="Calibri" w:cs="Calibri"/>
          <w:sz w:val="24"/>
          <w:szCs w:val="24"/>
          <w:highlight w:val="yellow"/>
        </w:rPr>
        <w:fldChar w:fldCharType="end"/>
      </w:r>
      <w:r w:rsidR="00296295" w:rsidRPr="006F0437">
        <w:rPr>
          <w:rFonts w:ascii="Calibri" w:hAnsi="Calibri" w:cs="Calibri"/>
          <w:sz w:val="24"/>
          <w:szCs w:val="24"/>
          <w:highlight w:val="yellow"/>
        </w:rPr>
        <w:t>.</w:t>
      </w:r>
      <w:r w:rsidR="00B72AD9" w:rsidRPr="006F0437">
        <w:rPr>
          <w:rFonts w:ascii="Calibri" w:hAnsi="Calibri" w:cs="Calibri"/>
          <w:sz w:val="24"/>
          <w:szCs w:val="24"/>
          <w:highlight w:val="yellow"/>
        </w:rPr>
        <w:t xml:space="preserve"> If participants </w:t>
      </w:r>
      <w:r w:rsidR="007200C7" w:rsidRPr="006F0437">
        <w:rPr>
          <w:rFonts w:ascii="Calibri" w:hAnsi="Calibri" w:cs="Calibri"/>
          <w:sz w:val="24"/>
          <w:szCs w:val="24"/>
          <w:highlight w:val="yellow"/>
        </w:rPr>
        <w:t>show signs of excessive fatigue, consider site-specific</w:t>
      </w:r>
      <w:r w:rsidR="00B50F03" w:rsidRPr="006F0437">
        <w:rPr>
          <w:rFonts w:ascii="Calibri" w:hAnsi="Calibri" w:cs="Calibri"/>
          <w:sz w:val="24"/>
          <w:szCs w:val="24"/>
          <w:highlight w:val="yellow"/>
        </w:rPr>
        <w:t xml:space="preserve"> increases in rest time.</w:t>
      </w:r>
      <w:r w:rsidR="00B72AD9" w:rsidRPr="006F0437">
        <w:rPr>
          <w:rFonts w:ascii="Calibri" w:hAnsi="Calibri" w:cs="Calibri"/>
          <w:sz w:val="24"/>
          <w:szCs w:val="24"/>
          <w:highlight w:val="yellow"/>
        </w:rPr>
        <w:t xml:space="preserve"> </w:t>
      </w:r>
    </w:p>
    <w:p w14:paraId="0973130A" w14:textId="77777777" w:rsidR="001F69BA" w:rsidRPr="006F0437" w:rsidRDefault="001F69BA" w:rsidP="00941D7F">
      <w:pPr>
        <w:contextualSpacing/>
        <w:rPr>
          <w:highlight w:val="yellow"/>
        </w:rPr>
      </w:pPr>
    </w:p>
    <w:p w14:paraId="239772FD" w14:textId="0D617345" w:rsidR="00376F18" w:rsidRPr="006F0437" w:rsidRDefault="00B136EE" w:rsidP="00F21944">
      <w:pPr>
        <w:pStyle w:val="ListParagraph"/>
        <w:numPr>
          <w:ilvl w:val="1"/>
          <w:numId w:val="32"/>
        </w:numPr>
        <w:spacing w:after="0" w:line="240" w:lineRule="auto"/>
        <w:ind w:left="0" w:firstLine="0"/>
        <w:rPr>
          <w:rFonts w:ascii="Calibri" w:hAnsi="Calibri" w:cs="Calibri"/>
          <w:sz w:val="24"/>
          <w:szCs w:val="24"/>
          <w:highlight w:val="yellow"/>
        </w:rPr>
      </w:pPr>
      <w:r w:rsidRPr="006F0437">
        <w:rPr>
          <w:rFonts w:ascii="Calibri" w:hAnsi="Calibri" w:cs="Calibri"/>
          <w:sz w:val="24"/>
          <w:szCs w:val="24"/>
          <w:highlight w:val="yellow"/>
        </w:rPr>
        <w:t xml:space="preserve">Repeat the entire protocol on the </w:t>
      </w:r>
      <w:r w:rsidR="00E74862" w:rsidRPr="006F0437">
        <w:rPr>
          <w:rFonts w:ascii="Calibri" w:hAnsi="Calibri" w:cs="Calibri"/>
          <w:sz w:val="24"/>
          <w:szCs w:val="24"/>
          <w:highlight w:val="yellow"/>
        </w:rPr>
        <w:t xml:space="preserve">ACLR </w:t>
      </w:r>
      <w:r w:rsidRPr="006F0437">
        <w:rPr>
          <w:rFonts w:ascii="Calibri" w:hAnsi="Calibri" w:cs="Calibri"/>
          <w:sz w:val="24"/>
          <w:szCs w:val="24"/>
          <w:highlight w:val="yellow"/>
        </w:rPr>
        <w:t>limb.</w:t>
      </w:r>
    </w:p>
    <w:p w14:paraId="29639288" w14:textId="77777777" w:rsidR="001F69BA" w:rsidRPr="006F0437" w:rsidRDefault="001F69BA" w:rsidP="00941D7F">
      <w:pPr>
        <w:pStyle w:val="ListParagraph"/>
        <w:tabs>
          <w:tab w:val="left" w:pos="450"/>
        </w:tabs>
        <w:spacing w:after="0" w:line="240" w:lineRule="auto"/>
        <w:ind w:left="360"/>
        <w:rPr>
          <w:rFonts w:ascii="Calibri" w:hAnsi="Calibri" w:cs="Calibri"/>
          <w:sz w:val="24"/>
          <w:szCs w:val="24"/>
          <w:highlight w:val="yellow"/>
        </w:rPr>
      </w:pPr>
    </w:p>
    <w:p w14:paraId="04231840" w14:textId="77777777" w:rsidR="00376F18" w:rsidRPr="006F0437" w:rsidRDefault="00B136EE" w:rsidP="00F21944">
      <w:pPr>
        <w:pStyle w:val="ListParagraph"/>
        <w:numPr>
          <w:ilvl w:val="1"/>
          <w:numId w:val="32"/>
        </w:numPr>
        <w:spacing w:after="0" w:line="240" w:lineRule="auto"/>
        <w:ind w:left="0" w:firstLine="0"/>
        <w:rPr>
          <w:rFonts w:ascii="Calibri" w:hAnsi="Calibri" w:cs="Calibri"/>
          <w:sz w:val="24"/>
          <w:szCs w:val="24"/>
          <w:highlight w:val="yellow"/>
        </w:rPr>
      </w:pPr>
      <w:r w:rsidRPr="006F0437">
        <w:rPr>
          <w:rFonts w:ascii="Calibri" w:hAnsi="Calibri" w:cs="Calibri"/>
          <w:sz w:val="24"/>
          <w:szCs w:val="24"/>
          <w:highlight w:val="yellow"/>
        </w:rPr>
        <w:t>Instruct participants to discontinue testing if they experience sharp pain or discomfort.</w:t>
      </w:r>
    </w:p>
    <w:p w14:paraId="579C22A4" w14:textId="77777777" w:rsidR="001F69BA" w:rsidRPr="006F0437" w:rsidRDefault="001F69BA" w:rsidP="00941D7F">
      <w:pPr>
        <w:tabs>
          <w:tab w:val="left" w:pos="270"/>
          <w:tab w:val="left" w:pos="450"/>
        </w:tabs>
        <w:contextualSpacing/>
        <w:rPr>
          <w:highlight w:val="yellow"/>
        </w:rPr>
      </w:pPr>
    </w:p>
    <w:p w14:paraId="5165F58A" w14:textId="21095957" w:rsidR="00376F18" w:rsidRPr="006F0437" w:rsidRDefault="00B136EE" w:rsidP="00941D7F">
      <w:pPr>
        <w:pStyle w:val="ListParagraph"/>
        <w:numPr>
          <w:ilvl w:val="0"/>
          <w:numId w:val="32"/>
        </w:numPr>
        <w:spacing w:after="0" w:line="240" w:lineRule="auto"/>
        <w:ind w:left="0" w:firstLine="0"/>
        <w:rPr>
          <w:rFonts w:ascii="Calibri" w:hAnsi="Calibri" w:cs="Calibri"/>
          <w:b/>
          <w:bCs/>
          <w:sz w:val="24"/>
          <w:szCs w:val="24"/>
        </w:rPr>
      </w:pPr>
      <w:r w:rsidRPr="006F0437">
        <w:rPr>
          <w:rFonts w:ascii="Calibri" w:hAnsi="Calibri" w:cs="Calibri"/>
          <w:b/>
          <w:bCs/>
          <w:sz w:val="24"/>
          <w:szCs w:val="24"/>
        </w:rPr>
        <w:t xml:space="preserve">Method </w:t>
      </w:r>
      <w:r w:rsidR="00A94A01" w:rsidRPr="006F0437">
        <w:rPr>
          <w:rFonts w:ascii="Calibri" w:hAnsi="Calibri" w:cs="Calibri"/>
          <w:b/>
          <w:bCs/>
          <w:sz w:val="24"/>
          <w:szCs w:val="24"/>
        </w:rPr>
        <w:t>6</w:t>
      </w:r>
      <w:r w:rsidRPr="006F0437">
        <w:rPr>
          <w:rFonts w:ascii="Calibri" w:hAnsi="Calibri" w:cs="Calibri"/>
          <w:b/>
          <w:bCs/>
          <w:sz w:val="24"/>
          <w:szCs w:val="24"/>
        </w:rPr>
        <w:t xml:space="preserve">- Data </w:t>
      </w:r>
      <w:r w:rsidR="00335CDD" w:rsidRPr="006F0437">
        <w:rPr>
          <w:rFonts w:ascii="Calibri" w:hAnsi="Calibri" w:cs="Calibri"/>
          <w:b/>
          <w:bCs/>
          <w:sz w:val="24"/>
          <w:szCs w:val="24"/>
        </w:rPr>
        <w:t>p</w:t>
      </w:r>
      <w:r w:rsidRPr="006F0437">
        <w:rPr>
          <w:rFonts w:ascii="Calibri" w:hAnsi="Calibri" w:cs="Calibri"/>
          <w:b/>
          <w:bCs/>
          <w:sz w:val="24"/>
          <w:szCs w:val="24"/>
        </w:rPr>
        <w:t xml:space="preserve">rocessing and </w:t>
      </w:r>
      <w:r w:rsidR="00335CDD" w:rsidRPr="006F0437">
        <w:rPr>
          <w:rFonts w:ascii="Calibri" w:hAnsi="Calibri" w:cs="Calibri"/>
          <w:b/>
          <w:bCs/>
          <w:sz w:val="24"/>
          <w:szCs w:val="24"/>
        </w:rPr>
        <w:t>o</w:t>
      </w:r>
      <w:r w:rsidRPr="006F0437">
        <w:rPr>
          <w:rFonts w:ascii="Calibri" w:hAnsi="Calibri" w:cs="Calibri"/>
          <w:b/>
          <w:bCs/>
          <w:sz w:val="24"/>
          <w:szCs w:val="24"/>
        </w:rPr>
        <w:t xml:space="preserve">utcome </w:t>
      </w:r>
      <w:r w:rsidR="00335CDD" w:rsidRPr="006F0437">
        <w:rPr>
          <w:rFonts w:ascii="Calibri" w:hAnsi="Calibri" w:cs="Calibri"/>
          <w:b/>
          <w:bCs/>
          <w:sz w:val="24"/>
          <w:szCs w:val="24"/>
        </w:rPr>
        <w:t>m</w:t>
      </w:r>
      <w:r w:rsidRPr="006F0437">
        <w:rPr>
          <w:rFonts w:ascii="Calibri" w:hAnsi="Calibri" w:cs="Calibri"/>
          <w:b/>
          <w:bCs/>
          <w:sz w:val="24"/>
          <w:szCs w:val="24"/>
        </w:rPr>
        <w:t>easures</w:t>
      </w:r>
    </w:p>
    <w:p w14:paraId="36E4D627" w14:textId="77777777" w:rsidR="001F69BA" w:rsidRPr="006F0437" w:rsidRDefault="001F69BA" w:rsidP="00941D7F">
      <w:pPr>
        <w:contextualSpacing/>
        <w:rPr>
          <w:b/>
          <w:bCs/>
        </w:rPr>
      </w:pPr>
    </w:p>
    <w:p w14:paraId="00C300E0" w14:textId="3309F6C7" w:rsidR="001F69BA" w:rsidRPr="006F0437" w:rsidRDefault="00B136EE" w:rsidP="00941D7F">
      <w:pPr>
        <w:contextualSpacing/>
      </w:pPr>
      <w:r w:rsidRPr="006F0437">
        <w:t xml:space="preserve">NOTE: </w:t>
      </w:r>
      <w:r w:rsidR="00376F18" w:rsidRPr="006F0437">
        <w:t xml:space="preserve">For clinical use, </w:t>
      </w:r>
      <w:r w:rsidR="000416AA" w:rsidRPr="006F0437">
        <w:t xml:space="preserve">assess </w:t>
      </w:r>
      <w:r w:rsidR="00376F18" w:rsidRPr="006F0437">
        <w:t xml:space="preserve">symmetry in peak torque production across all velocities and </w:t>
      </w:r>
      <w:r w:rsidR="000416AA" w:rsidRPr="006F0437">
        <w:t xml:space="preserve">confirm </w:t>
      </w:r>
      <w:r w:rsidR="00376F18" w:rsidRPr="006F0437">
        <w:t>decreases in torque as contraction velocity increase</w:t>
      </w:r>
      <w:r w:rsidR="000416AA" w:rsidRPr="006F0437">
        <w:t>s</w:t>
      </w:r>
      <w:r w:rsidR="00376F18" w:rsidRPr="006F0437">
        <w:t xml:space="preserve">. If </w:t>
      </w:r>
      <w:r w:rsidRPr="006F0437">
        <w:t xml:space="preserve">the coefficient of variation across trials for any isokinetic velocity </w:t>
      </w:r>
      <w:r w:rsidR="00686F59" w:rsidRPr="006F0437">
        <w:t>exceeds</w:t>
      </w:r>
      <w:r w:rsidRPr="006F0437">
        <w:t xml:space="preserve"> 10%, retest if time allows, unless the patient reports</w:t>
      </w:r>
      <w:r w:rsidR="00376F18" w:rsidRPr="006F0437">
        <w:t xml:space="preserve"> pain.</w:t>
      </w:r>
    </w:p>
    <w:p w14:paraId="124BE74F" w14:textId="77777777" w:rsidR="001F69BA" w:rsidRPr="006F0437" w:rsidRDefault="001F69BA" w:rsidP="00941D7F">
      <w:pPr>
        <w:contextualSpacing/>
      </w:pPr>
    </w:p>
    <w:p w14:paraId="694D3627" w14:textId="33DB66D5" w:rsidR="00376F18" w:rsidRPr="006F0437" w:rsidRDefault="00B136EE" w:rsidP="00F21944">
      <w:pPr>
        <w:pStyle w:val="ListParagraph"/>
        <w:numPr>
          <w:ilvl w:val="1"/>
          <w:numId w:val="32"/>
        </w:numPr>
        <w:spacing w:after="0" w:line="240" w:lineRule="auto"/>
        <w:ind w:left="0" w:firstLine="0"/>
        <w:rPr>
          <w:rFonts w:ascii="Calibri" w:hAnsi="Calibri" w:cs="Calibri"/>
          <w:sz w:val="24"/>
          <w:szCs w:val="24"/>
        </w:rPr>
      </w:pPr>
      <w:r w:rsidRPr="006F0437">
        <w:rPr>
          <w:rFonts w:ascii="Calibri" w:hAnsi="Calibri" w:cs="Calibri"/>
          <w:sz w:val="24"/>
          <w:szCs w:val="24"/>
        </w:rPr>
        <w:t xml:space="preserve">Identify peak torque </w:t>
      </w:r>
      <w:r w:rsidR="00CF4545" w:rsidRPr="006F0437">
        <w:rPr>
          <w:rFonts w:ascii="Calibri" w:hAnsi="Calibri" w:cs="Calibri"/>
          <w:sz w:val="24"/>
          <w:szCs w:val="24"/>
        </w:rPr>
        <w:t xml:space="preserve">(the highest instantaneous torque value) </w:t>
      </w:r>
      <w:r w:rsidRPr="006F0437">
        <w:rPr>
          <w:rFonts w:ascii="Calibri" w:hAnsi="Calibri" w:cs="Calibri"/>
          <w:sz w:val="24"/>
          <w:szCs w:val="24"/>
        </w:rPr>
        <w:t>for each velocity and contraction type from the repetition that produced the highest peak torque.</w:t>
      </w:r>
    </w:p>
    <w:p w14:paraId="0F00AB93" w14:textId="77777777" w:rsidR="001F69BA" w:rsidRPr="006F0437" w:rsidRDefault="001F69BA" w:rsidP="00941D7F">
      <w:pPr>
        <w:pStyle w:val="ListParagraph"/>
        <w:spacing w:after="0" w:line="240" w:lineRule="auto"/>
        <w:ind w:left="450"/>
        <w:rPr>
          <w:rFonts w:ascii="Calibri" w:hAnsi="Calibri" w:cs="Calibri"/>
          <w:sz w:val="24"/>
          <w:szCs w:val="24"/>
        </w:rPr>
      </w:pPr>
    </w:p>
    <w:p w14:paraId="5223758C" w14:textId="77777777" w:rsidR="00376F18" w:rsidRPr="006F0437" w:rsidRDefault="00B136EE" w:rsidP="00F21944">
      <w:pPr>
        <w:pStyle w:val="ListParagraph"/>
        <w:numPr>
          <w:ilvl w:val="1"/>
          <w:numId w:val="32"/>
        </w:numPr>
        <w:spacing w:after="0" w:line="240" w:lineRule="auto"/>
        <w:ind w:left="0" w:firstLine="0"/>
        <w:rPr>
          <w:rFonts w:ascii="Calibri" w:hAnsi="Calibri" w:cs="Calibri"/>
          <w:sz w:val="24"/>
          <w:szCs w:val="24"/>
        </w:rPr>
      </w:pPr>
      <w:r w:rsidRPr="006F0437">
        <w:rPr>
          <w:rFonts w:ascii="Calibri" w:hAnsi="Calibri" w:cs="Calibri"/>
          <w:sz w:val="24"/>
          <w:szCs w:val="24"/>
        </w:rPr>
        <w:t>Normalize torque values to body mass (Nm/kg).</w:t>
      </w:r>
    </w:p>
    <w:p w14:paraId="6187D869" w14:textId="77777777" w:rsidR="001F69BA" w:rsidRPr="006F0437" w:rsidRDefault="001F69BA" w:rsidP="00941D7F">
      <w:pPr>
        <w:contextualSpacing/>
      </w:pPr>
    </w:p>
    <w:p w14:paraId="35614D9B" w14:textId="4E5C055D" w:rsidR="00376F18" w:rsidRPr="006F0437" w:rsidRDefault="00B136EE" w:rsidP="00F21944">
      <w:pPr>
        <w:pStyle w:val="ListParagraph"/>
        <w:numPr>
          <w:ilvl w:val="1"/>
          <w:numId w:val="32"/>
        </w:numPr>
        <w:spacing w:after="0" w:line="240" w:lineRule="auto"/>
        <w:ind w:left="0" w:firstLine="0"/>
        <w:rPr>
          <w:rFonts w:ascii="Calibri" w:hAnsi="Calibri" w:cs="Calibri"/>
          <w:sz w:val="24"/>
          <w:szCs w:val="24"/>
        </w:rPr>
      </w:pPr>
      <w:r w:rsidRPr="006F0437">
        <w:rPr>
          <w:rFonts w:ascii="Calibri" w:hAnsi="Calibri" w:cs="Calibri"/>
          <w:sz w:val="24"/>
          <w:szCs w:val="24"/>
        </w:rPr>
        <w:t>Identify a primary set of two velocities for torque-velocity calculation using the two-point method (e.g.</w:t>
      </w:r>
      <w:r w:rsidR="00686F59" w:rsidRPr="006F0437">
        <w:rPr>
          <w:rFonts w:ascii="Calibri" w:hAnsi="Calibri" w:cs="Calibri"/>
          <w:sz w:val="24"/>
          <w:szCs w:val="24"/>
        </w:rPr>
        <w:t>,</w:t>
      </w:r>
      <w:r w:rsidRPr="006F0437">
        <w:rPr>
          <w:rFonts w:ascii="Calibri" w:hAnsi="Calibri" w:cs="Calibri"/>
          <w:sz w:val="24"/>
          <w:szCs w:val="24"/>
        </w:rPr>
        <w:t xml:space="preserve"> 60°/s and 180°/s). For two-point calculations</w:t>
      </w:r>
      <w:r w:rsidR="00686F59" w:rsidRPr="006F0437">
        <w:rPr>
          <w:rFonts w:ascii="Calibri" w:hAnsi="Calibri" w:cs="Calibri"/>
          <w:sz w:val="24"/>
          <w:szCs w:val="24"/>
        </w:rPr>
        <w:t>,</w:t>
      </w:r>
      <w:r w:rsidRPr="006F0437">
        <w:rPr>
          <w:rFonts w:ascii="Calibri" w:hAnsi="Calibri" w:cs="Calibri"/>
          <w:sz w:val="24"/>
          <w:szCs w:val="24"/>
        </w:rPr>
        <w:t xml:space="preserve"> </w:t>
      </w:r>
      <w:r w:rsidR="00FA3FE5" w:rsidRPr="006F0437">
        <w:rPr>
          <w:rFonts w:ascii="Calibri" w:hAnsi="Calibri" w:cs="Calibri"/>
          <w:sz w:val="24"/>
          <w:szCs w:val="24"/>
        </w:rPr>
        <w:t xml:space="preserve">calculate </w:t>
      </w:r>
      <w:r w:rsidRPr="006F0437">
        <w:rPr>
          <w:rFonts w:ascii="Calibri" w:hAnsi="Calibri" w:cs="Calibri"/>
          <w:sz w:val="24"/>
          <w:szCs w:val="24"/>
        </w:rPr>
        <w:t xml:space="preserve">the torque-velocity as the difference </w:t>
      </w:r>
      <w:r w:rsidR="00F75FB1" w:rsidRPr="006F0437">
        <w:rPr>
          <w:rFonts w:ascii="Calibri" w:hAnsi="Calibri" w:cs="Calibri"/>
          <w:sz w:val="24"/>
          <w:szCs w:val="24"/>
        </w:rPr>
        <w:t xml:space="preserve">in normalized </w:t>
      </w:r>
      <w:r w:rsidRPr="006F0437">
        <w:rPr>
          <w:rFonts w:ascii="Calibri" w:hAnsi="Calibri" w:cs="Calibri"/>
          <w:sz w:val="24"/>
          <w:szCs w:val="24"/>
        </w:rPr>
        <w:t xml:space="preserve">torque production at the slow and fast </w:t>
      </w:r>
      <w:r w:rsidR="00686F59" w:rsidRPr="006F0437">
        <w:rPr>
          <w:rFonts w:ascii="Calibri" w:hAnsi="Calibri" w:cs="Calibri"/>
          <w:sz w:val="24"/>
          <w:szCs w:val="24"/>
        </w:rPr>
        <w:t>velocities</w:t>
      </w:r>
      <w:r w:rsidRPr="006F0437">
        <w:rPr>
          <w:rFonts w:ascii="Calibri" w:hAnsi="Calibri" w:cs="Calibri"/>
          <w:sz w:val="24"/>
          <w:szCs w:val="24"/>
        </w:rPr>
        <w:t>.</w:t>
      </w:r>
    </w:p>
    <w:p w14:paraId="315195D9" w14:textId="77777777" w:rsidR="001F69BA" w:rsidRPr="006F0437" w:rsidRDefault="001F69BA" w:rsidP="00941D7F">
      <w:pPr>
        <w:contextualSpacing/>
      </w:pPr>
    </w:p>
    <w:p w14:paraId="70EB13AA" w14:textId="0D2B9375" w:rsidR="00376F18" w:rsidRPr="006F0437" w:rsidRDefault="00B136EE" w:rsidP="00941D7F">
      <w:pPr>
        <w:pStyle w:val="ListParagraph"/>
        <w:numPr>
          <w:ilvl w:val="0"/>
          <w:numId w:val="32"/>
        </w:numPr>
        <w:spacing w:after="0" w:line="240" w:lineRule="auto"/>
        <w:ind w:left="0" w:firstLine="0"/>
        <w:rPr>
          <w:rFonts w:ascii="Calibri" w:hAnsi="Calibri" w:cs="Calibri"/>
          <w:b/>
          <w:bCs/>
          <w:sz w:val="24"/>
          <w:szCs w:val="24"/>
        </w:rPr>
      </w:pPr>
      <w:r w:rsidRPr="006F0437">
        <w:rPr>
          <w:rFonts w:ascii="Calibri" w:hAnsi="Calibri" w:cs="Calibri"/>
          <w:b/>
          <w:bCs/>
          <w:sz w:val="24"/>
          <w:szCs w:val="24"/>
        </w:rPr>
        <w:t xml:space="preserve">Method </w:t>
      </w:r>
      <w:r w:rsidR="00A94A01" w:rsidRPr="006F0437">
        <w:rPr>
          <w:rFonts w:ascii="Calibri" w:hAnsi="Calibri" w:cs="Calibri"/>
          <w:b/>
          <w:bCs/>
          <w:sz w:val="24"/>
          <w:szCs w:val="24"/>
        </w:rPr>
        <w:t>7</w:t>
      </w:r>
      <w:r w:rsidRPr="006F0437">
        <w:rPr>
          <w:rFonts w:ascii="Calibri" w:hAnsi="Calibri" w:cs="Calibri"/>
          <w:b/>
          <w:bCs/>
          <w:sz w:val="24"/>
          <w:szCs w:val="24"/>
        </w:rPr>
        <w:t>- Multi-</w:t>
      </w:r>
      <w:r w:rsidR="00686F59" w:rsidRPr="006F0437">
        <w:rPr>
          <w:rFonts w:ascii="Calibri" w:hAnsi="Calibri" w:cs="Calibri"/>
          <w:b/>
          <w:bCs/>
          <w:sz w:val="24"/>
          <w:szCs w:val="24"/>
        </w:rPr>
        <w:t>v</w:t>
      </w:r>
      <w:r w:rsidRPr="006F0437">
        <w:rPr>
          <w:rFonts w:ascii="Calibri" w:hAnsi="Calibri" w:cs="Calibri"/>
          <w:b/>
          <w:bCs/>
          <w:sz w:val="24"/>
          <w:szCs w:val="24"/>
        </w:rPr>
        <w:t xml:space="preserve">elocity </w:t>
      </w:r>
      <w:r w:rsidR="00686F59" w:rsidRPr="006F0437">
        <w:rPr>
          <w:rFonts w:ascii="Calibri" w:hAnsi="Calibri" w:cs="Calibri"/>
          <w:b/>
          <w:bCs/>
          <w:sz w:val="24"/>
          <w:szCs w:val="24"/>
        </w:rPr>
        <w:t>t</w:t>
      </w:r>
      <w:r w:rsidRPr="006F0437">
        <w:rPr>
          <w:rFonts w:ascii="Calibri" w:hAnsi="Calibri" w:cs="Calibri"/>
          <w:b/>
          <w:bCs/>
          <w:sz w:val="24"/>
          <w:szCs w:val="24"/>
        </w:rPr>
        <w:t>orque-</w:t>
      </w:r>
      <w:r w:rsidR="00686F59" w:rsidRPr="006F0437">
        <w:rPr>
          <w:rFonts w:ascii="Calibri" w:hAnsi="Calibri" w:cs="Calibri"/>
          <w:b/>
          <w:bCs/>
          <w:sz w:val="24"/>
          <w:szCs w:val="24"/>
        </w:rPr>
        <w:t>v</w:t>
      </w:r>
      <w:r w:rsidRPr="006F0437">
        <w:rPr>
          <w:rFonts w:ascii="Calibri" w:hAnsi="Calibri" w:cs="Calibri"/>
          <w:b/>
          <w:bCs/>
          <w:sz w:val="24"/>
          <w:szCs w:val="24"/>
        </w:rPr>
        <w:t xml:space="preserve">elocity </w:t>
      </w:r>
      <w:r w:rsidR="00686F59" w:rsidRPr="006F0437">
        <w:rPr>
          <w:rFonts w:ascii="Calibri" w:hAnsi="Calibri" w:cs="Calibri"/>
          <w:b/>
          <w:bCs/>
          <w:sz w:val="24"/>
          <w:szCs w:val="24"/>
        </w:rPr>
        <w:t>c</w:t>
      </w:r>
      <w:r w:rsidRPr="006F0437">
        <w:rPr>
          <w:rFonts w:ascii="Calibri" w:hAnsi="Calibri" w:cs="Calibri"/>
          <w:b/>
          <w:bCs/>
          <w:sz w:val="24"/>
          <w:szCs w:val="24"/>
        </w:rPr>
        <w:t>haracterization (</w:t>
      </w:r>
      <w:r w:rsidR="00087D3D" w:rsidRPr="006F0437">
        <w:rPr>
          <w:rFonts w:ascii="Calibri" w:hAnsi="Calibri" w:cs="Calibri"/>
          <w:b/>
          <w:bCs/>
          <w:sz w:val="24"/>
          <w:szCs w:val="24"/>
        </w:rPr>
        <w:t>o</w:t>
      </w:r>
      <w:r w:rsidRPr="006F0437">
        <w:rPr>
          <w:rFonts w:ascii="Calibri" w:hAnsi="Calibri" w:cs="Calibri"/>
          <w:b/>
          <w:bCs/>
          <w:sz w:val="24"/>
          <w:szCs w:val="24"/>
        </w:rPr>
        <w:t>ptional)</w:t>
      </w:r>
    </w:p>
    <w:p w14:paraId="3B2A3157" w14:textId="77777777" w:rsidR="001F69BA" w:rsidRPr="006F0437" w:rsidRDefault="001F69BA" w:rsidP="00941D7F">
      <w:pPr>
        <w:contextualSpacing/>
        <w:rPr>
          <w:b/>
          <w:bCs/>
        </w:rPr>
      </w:pPr>
    </w:p>
    <w:p w14:paraId="055E513B" w14:textId="5389B141" w:rsidR="00376F18" w:rsidRPr="006F0437" w:rsidRDefault="00B136EE" w:rsidP="00F21944">
      <w:pPr>
        <w:pStyle w:val="ListParagraph"/>
        <w:numPr>
          <w:ilvl w:val="1"/>
          <w:numId w:val="32"/>
        </w:numPr>
        <w:spacing w:after="0" w:line="240" w:lineRule="auto"/>
        <w:ind w:left="0" w:firstLine="0"/>
        <w:rPr>
          <w:rFonts w:ascii="Calibri" w:hAnsi="Calibri" w:cs="Calibri"/>
          <w:sz w:val="24"/>
          <w:szCs w:val="24"/>
        </w:rPr>
      </w:pPr>
      <w:r w:rsidRPr="006F0437">
        <w:rPr>
          <w:rFonts w:ascii="Calibri" w:hAnsi="Calibri" w:cs="Calibri"/>
          <w:sz w:val="24"/>
          <w:szCs w:val="24"/>
        </w:rPr>
        <w:t>Export peak torque values for each tested condition, including isometric (0°/s</w:t>
      </w:r>
      <w:r w:rsidR="00C813AD" w:rsidRPr="006F0437">
        <w:rPr>
          <w:rFonts w:ascii="Calibri" w:hAnsi="Calibri" w:cs="Calibri"/>
          <w:sz w:val="24"/>
          <w:szCs w:val="24"/>
        </w:rPr>
        <w:t>)</w:t>
      </w:r>
      <w:r w:rsidRPr="006F0437">
        <w:rPr>
          <w:rFonts w:ascii="Calibri" w:hAnsi="Calibri" w:cs="Calibri"/>
          <w:sz w:val="24"/>
          <w:szCs w:val="24"/>
        </w:rPr>
        <w:t xml:space="preserve"> and all isokinetic velocities (60°/s, 180°/s, 240°/s).</w:t>
      </w:r>
    </w:p>
    <w:p w14:paraId="7C935E0C" w14:textId="77777777" w:rsidR="001F69BA" w:rsidRPr="006F0437" w:rsidRDefault="001F69BA" w:rsidP="00941D7F">
      <w:pPr>
        <w:pStyle w:val="ListParagraph"/>
        <w:spacing w:after="0" w:line="240" w:lineRule="auto"/>
        <w:rPr>
          <w:rFonts w:ascii="Calibri" w:hAnsi="Calibri" w:cs="Calibri"/>
          <w:sz w:val="24"/>
          <w:szCs w:val="24"/>
        </w:rPr>
      </w:pPr>
    </w:p>
    <w:p w14:paraId="12A4AF1E" w14:textId="77777777" w:rsidR="00C813AD" w:rsidRPr="006F0437" w:rsidRDefault="00B136EE" w:rsidP="00C813AD">
      <w:pPr>
        <w:pStyle w:val="ListParagraph"/>
        <w:numPr>
          <w:ilvl w:val="1"/>
          <w:numId w:val="32"/>
        </w:numPr>
        <w:spacing w:after="0" w:line="240" w:lineRule="auto"/>
        <w:ind w:left="0" w:firstLine="0"/>
        <w:rPr>
          <w:rFonts w:ascii="Calibri" w:hAnsi="Calibri" w:cs="Calibri"/>
          <w:sz w:val="24"/>
          <w:szCs w:val="24"/>
        </w:rPr>
      </w:pPr>
      <w:r w:rsidRPr="006F0437">
        <w:rPr>
          <w:rFonts w:ascii="Calibri" w:hAnsi="Calibri" w:cs="Calibri"/>
          <w:sz w:val="24"/>
          <w:szCs w:val="24"/>
        </w:rPr>
        <w:t xml:space="preserve">Enter the data into </w:t>
      </w:r>
      <w:r w:rsidR="00686F59" w:rsidRPr="006F0437">
        <w:rPr>
          <w:rFonts w:ascii="Calibri" w:hAnsi="Calibri" w:cs="Calibri"/>
          <w:sz w:val="24"/>
          <w:szCs w:val="24"/>
        </w:rPr>
        <w:t xml:space="preserve">the </w:t>
      </w:r>
      <w:r w:rsidR="00F75FB1" w:rsidRPr="006F0437">
        <w:rPr>
          <w:rFonts w:ascii="Calibri" w:hAnsi="Calibri" w:cs="Calibri"/>
          <w:sz w:val="24"/>
          <w:szCs w:val="24"/>
        </w:rPr>
        <w:t xml:space="preserve">Microsoft Excel </w:t>
      </w:r>
      <w:r w:rsidRPr="006F0437">
        <w:rPr>
          <w:rFonts w:ascii="Calibri" w:hAnsi="Calibri" w:cs="Calibri"/>
          <w:sz w:val="24"/>
          <w:szCs w:val="24"/>
        </w:rPr>
        <w:t>spreadsheet software:</w:t>
      </w:r>
    </w:p>
    <w:p w14:paraId="37ED7A64" w14:textId="77777777" w:rsidR="00C813AD" w:rsidRPr="006F0437" w:rsidRDefault="00C813AD" w:rsidP="00C813AD">
      <w:pPr>
        <w:pStyle w:val="ListParagraph"/>
        <w:rPr>
          <w:rFonts w:ascii="Calibri" w:hAnsi="Calibri" w:cs="Calibri"/>
          <w:sz w:val="24"/>
          <w:szCs w:val="24"/>
        </w:rPr>
      </w:pPr>
    </w:p>
    <w:p w14:paraId="6A4E4EDA" w14:textId="7D7BD4EE" w:rsidR="00376F18" w:rsidRPr="006F0437" w:rsidRDefault="00B136EE" w:rsidP="00C813AD">
      <w:pPr>
        <w:pStyle w:val="ListParagraph"/>
        <w:numPr>
          <w:ilvl w:val="2"/>
          <w:numId w:val="32"/>
        </w:numPr>
        <w:spacing w:after="0" w:line="240" w:lineRule="auto"/>
        <w:ind w:left="0" w:firstLine="0"/>
        <w:rPr>
          <w:rFonts w:ascii="Calibri" w:hAnsi="Calibri" w:cs="Calibri"/>
          <w:sz w:val="24"/>
          <w:szCs w:val="24"/>
        </w:rPr>
      </w:pPr>
      <w:r w:rsidRPr="006F0437">
        <w:rPr>
          <w:rFonts w:ascii="Calibri" w:hAnsi="Calibri" w:cs="Calibri"/>
          <w:sz w:val="24"/>
          <w:szCs w:val="24"/>
        </w:rPr>
        <w:t>Column A: Angular Velocity</w:t>
      </w:r>
    </w:p>
    <w:p w14:paraId="5FA7443B" w14:textId="77777777" w:rsidR="001F69BA" w:rsidRPr="006F0437" w:rsidRDefault="001F69BA" w:rsidP="00941D7F">
      <w:pPr>
        <w:pStyle w:val="ListParagraph"/>
        <w:spacing w:after="0" w:line="240" w:lineRule="auto"/>
        <w:ind w:left="1440"/>
        <w:rPr>
          <w:rFonts w:ascii="Calibri" w:hAnsi="Calibri" w:cs="Calibri"/>
          <w:sz w:val="24"/>
          <w:szCs w:val="24"/>
        </w:rPr>
      </w:pPr>
    </w:p>
    <w:p w14:paraId="5933EFB7" w14:textId="73935099" w:rsidR="00376F18" w:rsidRPr="006F0437" w:rsidRDefault="00B136EE" w:rsidP="00C813AD">
      <w:pPr>
        <w:pStyle w:val="ListParagraph"/>
        <w:numPr>
          <w:ilvl w:val="2"/>
          <w:numId w:val="32"/>
        </w:numPr>
        <w:spacing w:after="0" w:line="240" w:lineRule="auto"/>
        <w:ind w:left="0" w:firstLine="0"/>
        <w:rPr>
          <w:rFonts w:ascii="Calibri" w:hAnsi="Calibri" w:cs="Calibri"/>
          <w:sz w:val="24"/>
          <w:szCs w:val="24"/>
        </w:rPr>
      </w:pPr>
      <w:r w:rsidRPr="006F0437">
        <w:rPr>
          <w:rFonts w:ascii="Calibri" w:hAnsi="Calibri" w:cs="Calibri"/>
          <w:sz w:val="24"/>
          <w:szCs w:val="24"/>
        </w:rPr>
        <w:t xml:space="preserve">Column B: Peak Torque </w:t>
      </w:r>
      <w:r w:rsidR="003608B5" w:rsidRPr="006F0437">
        <w:rPr>
          <w:rFonts w:ascii="Calibri" w:hAnsi="Calibri" w:cs="Calibri"/>
          <w:sz w:val="24"/>
          <w:szCs w:val="24"/>
        </w:rPr>
        <w:t xml:space="preserve">Involved </w:t>
      </w:r>
      <w:r w:rsidRPr="006F0437">
        <w:rPr>
          <w:rFonts w:ascii="Calibri" w:hAnsi="Calibri" w:cs="Calibri"/>
          <w:sz w:val="24"/>
          <w:szCs w:val="24"/>
        </w:rPr>
        <w:t>(Nm)</w:t>
      </w:r>
    </w:p>
    <w:p w14:paraId="66B45790" w14:textId="77777777" w:rsidR="001F69BA" w:rsidRPr="006F0437" w:rsidRDefault="001F69BA" w:rsidP="00941D7F">
      <w:pPr>
        <w:contextualSpacing/>
      </w:pPr>
    </w:p>
    <w:p w14:paraId="5D6B2860" w14:textId="5392B2DB" w:rsidR="003608B5" w:rsidRPr="006F0437" w:rsidRDefault="00B136EE" w:rsidP="00C813AD">
      <w:pPr>
        <w:pStyle w:val="ListParagraph"/>
        <w:numPr>
          <w:ilvl w:val="2"/>
          <w:numId w:val="32"/>
        </w:numPr>
        <w:spacing w:after="0" w:line="240" w:lineRule="auto"/>
        <w:ind w:left="0" w:firstLine="0"/>
        <w:rPr>
          <w:rFonts w:ascii="Calibri" w:hAnsi="Calibri" w:cs="Calibri"/>
          <w:sz w:val="24"/>
          <w:szCs w:val="24"/>
        </w:rPr>
      </w:pPr>
      <w:r w:rsidRPr="006F0437">
        <w:rPr>
          <w:rFonts w:ascii="Calibri" w:hAnsi="Calibri" w:cs="Calibri"/>
          <w:sz w:val="24"/>
          <w:szCs w:val="24"/>
        </w:rPr>
        <w:t>Column C: Peak Torque Uninvolved (Nm)</w:t>
      </w:r>
    </w:p>
    <w:p w14:paraId="1D125E6B" w14:textId="77777777" w:rsidR="001F69BA" w:rsidRPr="006F0437" w:rsidRDefault="001F69BA" w:rsidP="00941D7F">
      <w:pPr>
        <w:contextualSpacing/>
      </w:pPr>
    </w:p>
    <w:p w14:paraId="7FD1B74B" w14:textId="1D97DEF0" w:rsidR="0018425A" w:rsidRPr="006F0437" w:rsidRDefault="00B136EE" w:rsidP="00686F59">
      <w:pPr>
        <w:pStyle w:val="ListParagraph"/>
        <w:spacing w:after="0" w:line="240" w:lineRule="auto"/>
        <w:ind w:left="0"/>
        <w:rPr>
          <w:rFonts w:ascii="Calibri" w:hAnsi="Calibri" w:cs="Calibri"/>
          <w:sz w:val="24"/>
          <w:szCs w:val="24"/>
        </w:rPr>
      </w:pPr>
      <w:r w:rsidRPr="006F0437">
        <w:rPr>
          <w:rFonts w:ascii="Calibri" w:hAnsi="Calibri" w:cs="Calibri"/>
          <w:sz w:val="24"/>
          <w:szCs w:val="24"/>
        </w:rPr>
        <w:t>NOTE:</w:t>
      </w:r>
      <w:r w:rsidR="00D3732D" w:rsidRPr="006F0437">
        <w:rPr>
          <w:rFonts w:ascii="Calibri" w:hAnsi="Calibri" w:cs="Calibri"/>
          <w:sz w:val="24"/>
          <w:szCs w:val="24"/>
        </w:rPr>
        <w:t xml:space="preserve"> Raw and normalized torque values produce proportional slopes within an individual participant</w:t>
      </w:r>
      <w:r w:rsidR="00B404F7" w:rsidRPr="006F0437">
        <w:rPr>
          <w:rFonts w:ascii="Calibri" w:hAnsi="Calibri" w:cs="Calibri"/>
          <w:sz w:val="24"/>
          <w:szCs w:val="24"/>
        </w:rPr>
        <w:t>.</w:t>
      </w:r>
      <w:r w:rsidR="00955406" w:rsidRPr="006F0437">
        <w:rPr>
          <w:rFonts w:ascii="Calibri" w:hAnsi="Calibri" w:cs="Calibri"/>
          <w:sz w:val="24"/>
          <w:szCs w:val="24"/>
        </w:rPr>
        <w:t xml:space="preserve"> For </w:t>
      </w:r>
      <w:r w:rsidR="00686F59" w:rsidRPr="006F0437">
        <w:rPr>
          <w:rFonts w:ascii="Calibri" w:hAnsi="Calibri" w:cs="Calibri"/>
          <w:sz w:val="24"/>
          <w:szCs w:val="24"/>
        </w:rPr>
        <w:t>comparison between participants</w:t>
      </w:r>
      <w:r w:rsidR="00955406" w:rsidRPr="006F0437">
        <w:rPr>
          <w:rFonts w:ascii="Calibri" w:hAnsi="Calibri" w:cs="Calibri"/>
          <w:sz w:val="24"/>
          <w:szCs w:val="24"/>
        </w:rPr>
        <w:t>, body mass and other individualized factors may be included as covariates in statistical models.</w:t>
      </w:r>
    </w:p>
    <w:p w14:paraId="5534DEF4" w14:textId="77777777" w:rsidR="001F69BA" w:rsidRPr="006F0437" w:rsidRDefault="001F69BA" w:rsidP="00941D7F">
      <w:pPr>
        <w:pStyle w:val="ListParagraph"/>
        <w:spacing w:after="0" w:line="240" w:lineRule="auto"/>
        <w:ind w:left="1440"/>
        <w:rPr>
          <w:rFonts w:ascii="Calibri" w:hAnsi="Calibri" w:cs="Calibri"/>
          <w:sz w:val="24"/>
          <w:szCs w:val="24"/>
        </w:rPr>
      </w:pPr>
    </w:p>
    <w:p w14:paraId="24E255C4" w14:textId="4A671B97" w:rsidR="00376F18" w:rsidRPr="006F0437" w:rsidRDefault="00B136EE" w:rsidP="00F75128">
      <w:pPr>
        <w:pStyle w:val="ListParagraph"/>
        <w:numPr>
          <w:ilvl w:val="1"/>
          <w:numId w:val="32"/>
        </w:numPr>
        <w:spacing w:after="0" w:line="240" w:lineRule="auto"/>
        <w:ind w:left="0" w:firstLine="0"/>
        <w:rPr>
          <w:rFonts w:ascii="Calibri" w:hAnsi="Calibri" w:cs="Calibri"/>
          <w:sz w:val="24"/>
          <w:szCs w:val="24"/>
        </w:rPr>
      </w:pPr>
      <w:r w:rsidRPr="006F0437">
        <w:rPr>
          <w:rFonts w:ascii="Calibri" w:hAnsi="Calibri" w:cs="Calibri"/>
          <w:sz w:val="24"/>
          <w:szCs w:val="24"/>
        </w:rPr>
        <w:t xml:space="preserve">Create </w:t>
      </w:r>
      <w:r w:rsidR="0018425A" w:rsidRPr="006F0437">
        <w:rPr>
          <w:rFonts w:ascii="Calibri" w:hAnsi="Calibri" w:cs="Calibri"/>
          <w:sz w:val="24"/>
          <w:szCs w:val="24"/>
        </w:rPr>
        <w:t>an additional</w:t>
      </w:r>
      <w:r w:rsidRPr="006F0437">
        <w:rPr>
          <w:rFonts w:ascii="Calibri" w:hAnsi="Calibri" w:cs="Calibri"/>
          <w:sz w:val="24"/>
          <w:szCs w:val="24"/>
        </w:rPr>
        <w:t xml:space="preserve"> </w:t>
      </w:r>
      <w:r w:rsidR="0018425A" w:rsidRPr="006F0437">
        <w:rPr>
          <w:rFonts w:ascii="Calibri" w:hAnsi="Calibri" w:cs="Calibri"/>
          <w:sz w:val="24"/>
          <w:szCs w:val="24"/>
        </w:rPr>
        <w:t>row</w:t>
      </w:r>
      <w:r w:rsidRPr="006F0437">
        <w:rPr>
          <w:rFonts w:ascii="Calibri" w:hAnsi="Calibri" w:cs="Calibri"/>
          <w:sz w:val="24"/>
          <w:szCs w:val="24"/>
        </w:rPr>
        <w:t xml:space="preserve"> using the SLOPE function </w:t>
      </w:r>
      <w:r w:rsidR="00F75FB1" w:rsidRPr="006F0437">
        <w:rPr>
          <w:rFonts w:ascii="Calibri" w:hAnsi="Calibri" w:cs="Calibri"/>
          <w:sz w:val="24"/>
          <w:szCs w:val="24"/>
        </w:rPr>
        <w:t>in the spreadsheet software</w:t>
      </w:r>
      <w:r w:rsidR="00F75128" w:rsidRPr="006F0437">
        <w:rPr>
          <w:rFonts w:ascii="Calibri" w:hAnsi="Calibri" w:cs="Calibri"/>
          <w:sz w:val="24"/>
          <w:szCs w:val="24"/>
        </w:rPr>
        <w:t xml:space="preserve"> using </w:t>
      </w:r>
      <w:r w:rsidRPr="006F0437">
        <w:rPr>
          <w:rFonts w:ascii="Calibri" w:hAnsi="Calibri" w:cs="Calibri"/>
          <w:sz w:val="24"/>
          <w:szCs w:val="24"/>
        </w:rPr>
        <w:t>=</w:t>
      </w:r>
      <w:proofErr w:type="gramStart"/>
      <w:r w:rsidRPr="006F0437">
        <w:rPr>
          <w:rFonts w:ascii="Calibri" w:hAnsi="Calibri" w:cs="Calibri"/>
          <w:sz w:val="24"/>
          <w:szCs w:val="24"/>
        </w:rPr>
        <w:t>SLOPE(</w:t>
      </w:r>
      <w:proofErr w:type="spellStart"/>
      <w:proofErr w:type="gramEnd"/>
      <w:r w:rsidRPr="006F0437">
        <w:rPr>
          <w:rFonts w:ascii="Calibri" w:hAnsi="Calibri" w:cs="Calibri"/>
          <w:sz w:val="24"/>
          <w:szCs w:val="24"/>
        </w:rPr>
        <w:t>torque_values</w:t>
      </w:r>
      <w:proofErr w:type="spellEnd"/>
      <w:r w:rsidRPr="006F0437">
        <w:rPr>
          <w:rFonts w:ascii="Calibri" w:hAnsi="Calibri" w:cs="Calibri"/>
          <w:sz w:val="24"/>
          <w:szCs w:val="24"/>
        </w:rPr>
        <w:t xml:space="preserve">, </w:t>
      </w:r>
      <w:proofErr w:type="spellStart"/>
      <w:r w:rsidRPr="006F0437">
        <w:rPr>
          <w:rFonts w:ascii="Calibri" w:hAnsi="Calibri" w:cs="Calibri"/>
          <w:sz w:val="24"/>
          <w:szCs w:val="24"/>
        </w:rPr>
        <w:t>velocity_values</w:t>
      </w:r>
      <w:proofErr w:type="spellEnd"/>
      <w:r w:rsidRPr="006F0437">
        <w:rPr>
          <w:rFonts w:ascii="Calibri" w:hAnsi="Calibri" w:cs="Calibri"/>
          <w:sz w:val="24"/>
          <w:szCs w:val="24"/>
        </w:rPr>
        <w:t>)</w:t>
      </w:r>
    </w:p>
    <w:p w14:paraId="336B6128" w14:textId="77777777" w:rsidR="00117097" w:rsidRPr="006F0437" w:rsidRDefault="00117097" w:rsidP="00941D7F">
      <w:pPr>
        <w:pStyle w:val="ListParagraph"/>
        <w:spacing w:after="0" w:line="240" w:lineRule="auto"/>
        <w:ind w:left="1440"/>
        <w:rPr>
          <w:rFonts w:ascii="Calibri" w:hAnsi="Calibri" w:cs="Calibri"/>
          <w:sz w:val="24"/>
          <w:szCs w:val="24"/>
        </w:rPr>
      </w:pPr>
    </w:p>
    <w:p w14:paraId="48EB91B8" w14:textId="7D3BE339" w:rsidR="001F69BA" w:rsidRPr="006F0437" w:rsidRDefault="00B136EE" w:rsidP="00F75128">
      <w:pPr>
        <w:pStyle w:val="ListParagraph"/>
        <w:numPr>
          <w:ilvl w:val="1"/>
          <w:numId w:val="32"/>
        </w:numPr>
        <w:spacing w:after="0" w:line="240" w:lineRule="auto"/>
        <w:ind w:left="0" w:firstLine="0"/>
        <w:rPr>
          <w:rFonts w:ascii="Calibri" w:hAnsi="Calibri" w:cs="Calibri"/>
          <w:sz w:val="24"/>
          <w:szCs w:val="24"/>
        </w:rPr>
      </w:pPr>
      <w:r w:rsidRPr="006F0437">
        <w:rPr>
          <w:rFonts w:ascii="Calibri" w:hAnsi="Calibri" w:cs="Calibri"/>
          <w:sz w:val="24"/>
          <w:szCs w:val="24"/>
        </w:rPr>
        <w:t>Create an additional row to analyze symmetry</w:t>
      </w:r>
      <w:r w:rsidR="00F75128" w:rsidRPr="006F0437">
        <w:rPr>
          <w:rFonts w:ascii="Calibri" w:hAnsi="Calibri" w:cs="Calibri"/>
          <w:sz w:val="24"/>
          <w:szCs w:val="24"/>
        </w:rPr>
        <w:t xml:space="preserve"> using </w:t>
      </w:r>
      <w:r w:rsidRPr="006F0437">
        <w:rPr>
          <w:rFonts w:ascii="Calibri" w:hAnsi="Calibri" w:cs="Calibri"/>
          <w:sz w:val="24"/>
          <w:szCs w:val="24"/>
        </w:rPr>
        <w:t>=(</w:t>
      </w:r>
      <w:proofErr w:type="spellStart"/>
      <w:r w:rsidR="00FE335D" w:rsidRPr="006F0437">
        <w:rPr>
          <w:rFonts w:ascii="Calibri" w:hAnsi="Calibri" w:cs="Calibri"/>
          <w:sz w:val="24"/>
          <w:szCs w:val="24"/>
        </w:rPr>
        <w:t>involved_limb_slope</w:t>
      </w:r>
      <w:proofErr w:type="spellEnd"/>
      <w:r w:rsidR="00FE335D" w:rsidRPr="006F0437">
        <w:rPr>
          <w:rFonts w:ascii="Calibri" w:hAnsi="Calibri" w:cs="Calibri"/>
          <w:sz w:val="24"/>
          <w:szCs w:val="24"/>
        </w:rPr>
        <w:t>/</w:t>
      </w:r>
      <w:proofErr w:type="spellStart"/>
      <w:r w:rsidR="00FE335D" w:rsidRPr="006F0437">
        <w:rPr>
          <w:rFonts w:ascii="Calibri" w:hAnsi="Calibri" w:cs="Calibri"/>
          <w:sz w:val="24"/>
          <w:szCs w:val="24"/>
        </w:rPr>
        <w:t>uninvolved_limb_</w:t>
      </w:r>
      <w:proofErr w:type="gramStart"/>
      <w:r w:rsidR="00FE335D" w:rsidRPr="006F0437">
        <w:rPr>
          <w:rFonts w:ascii="Calibri" w:hAnsi="Calibri" w:cs="Calibri"/>
          <w:sz w:val="24"/>
          <w:szCs w:val="24"/>
        </w:rPr>
        <w:t>slope</w:t>
      </w:r>
      <w:proofErr w:type="spellEnd"/>
      <w:r w:rsidR="00FE335D" w:rsidRPr="006F0437">
        <w:rPr>
          <w:rFonts w:ascii="Calibri" w:hAnsi="Calibri" w:cs="Calibri"/>
          <w:sz w:val="24"/>
          <w:szCs w:val="24"/>
        </w:rPr>
        <w:t>)*</w:t>
      </w:r>
      <w:proofErr w:type="gramEnd"/>
      <w:r w:rsidR="00FE335D" w:rsidRPr="006F0437">
        <w:rPr>
          <w:rFonts w:ascii="Calibri" w:hAnsi="Calibri" w:cs="Calibri"/>
          <w:sz w:val="24"/>
          <w:szCs w:val="24"/>
        </w:rPr>
        <w:t>100</w:t>
      </w:r>
      <w:r w:rsidR="0083120A" w:rsidRPr="006F0437">
        <w:rPr>
          <w:rFonts w:ascii="Calibri" w:hAnsi="Calibri" w:cs="Calibri"/>
          <w:sz w:val="24"/>
          <w:szCs w:val="24"/>
        </w:rPr>
        <w:t xml:space="preserve"> (</w:t>
      </w:r>
      <w:r w:rsidR="0083120A" w:rsidRPr="006F0437">
        <w:rPr>
          <w:rFonts w:ascii="Calibri" w:hAnsi="Calibri" w:cs="Calibri"/>
          <w:b/>
          <w:bCs/>
          <w:sz w:val="24"/>
          <w:szCs w:val="24"/>
        </w:rPr>
        <w:t xml:space="preserve">Figure </w:t>
      </w:r>
      <w:r w:rsidR="00B52CD6" w:rsidRPr="006F0437">
        <w:rPr>
          <w:rFonts w:ascii="Calibri" w:hAnsi="Calibri" w:cs="Calibri"/>
          <w:b/>
          <w:bCs/>
          <w:sz w:val="24"/>
          <w:szCs w:val="24"/>
        </w:rPr>
        <w:t>1</w:t>
      </w:r>
      <w:r w:rsidR="0083120A" w:rsidRPr="006F0437">
        <w:rPr>
          <w:rFonts w:ascii="Calibri" w:hAnsi="Calibri" w:cs="Calibri"/>
          <w:sz w:val="24"/>
          <w:szCs w:val="24"/>
        </w:rPr>
        <w:t>)</w:t>
      </w:r>
      <w:r w:rsidR="00030C72" w:rsidRPr="006F0437">
        <w:rPr>
          <w:rFonts w:ascii="Calibri" w:hAnsi="Calibri" w:cs="Calibri"/>
          <w:sz w:val="24"/>
          <w:szCs w:val="24"/>
        </w:rPr>
        <w:t>.</w:t>
      </w:r>
    </w:p>
    <w:p w14:paraId="4F6980A6" w14:textId="77777777" w:rsidR="00531E54" w:rsidRPr="006F0437" w:rsidRDefault="00531E54" w:rsidP="00531E54"/>
    <w:p w14:paraId="1D581201" w14:textId="58E643C8" w:rsidR="00531E54" w:rsidRPr="006F0437" w:rsidRDefault="00531E54" w:rsidP="00531E54">
      <w:pPr>
        <w:pBdr>
          <w:top w:val="nil"/>
          <w:left w:val="nil"/>
          <w:bottom w:val="nil"/>
          <w:right w:val="nil"/>
          <w:between w:val="nil"/>
        </w:pBdr>
        <w:contextualSpacing/>
        <w:jc w:val="center"/>
      </w:pPr>
      <w:r w:rsidRPr="006F0437">
        <w:t xml:space="preserve">[PLACE Figure </w:t>
      </w:r>
      <w:r w:rsidR="00B52CD6" w:rsidRPr="006F0437">
        <w:t>1</w:t>
      </w:r>
      <w:r w:rsidRPr="006F0437">
        <w:t>. Here]</w:t>
      </w:r>
    </w:p>
    <w:p w14:paraId="639EEC35" w14:textId="77777777" w:rsidR="001F69BA" w:rsidRPr="006F0437" w:rsidRDefault="001F69BA" w:rsidP="00941D7F">
      <w:pPr>
        <w:pStyle w:val="ListParagraph"/>
        <w:spacing w:after="0" w:line="240" w:lineRule="auto"/>
        <w:rPr>
          <w:rFonts w:ascii="Calibri" w:hAnsi="Calibri" w:cs="Calibri"/>
          <w:sz w:val="24"/>
          <w:szCs w:val="24"/>
        </w:rPr>
      </w:pPr>
    </w:p>
    <w:p w14:paraId="4015356B" w14:textId="62B41E81" w:rsidR="006E4797" w:rsidRPr="006F0437" w:rsidRDefault="00B136EE" w:rsidP="00F21944">
      <w:pPr>
        <w:pStyle w:val="ListParagraph"/>
        <w:numPr>
          <w:ilvl w:val="1"/>
          <w:numId w:val="32"/>
        </w:numPr>
        <w:spacing w:after="0" w:line="240" w:lineRule="auto"/>
        <w:ind w:left="0" w:firstLine="0"/>
        <w:rPr>
          <w:rFonts w:ascii="Calibri" w:hAnsi="Calibri" w:cs="Calibri"/>
          <w:sz w:val="24"/>
          <w:szCs w:val="24"/>
        </w:rPr>
      </w:pPr>
      <w:r w:rsidRPr="006F0437">
        <w:rPr>
          <w:rFonts w:ascii="Calibri" w:hAnsi="Calibri" w:cs="Calibri"/>
          <w:sz w:val="24"/>
          <w:szCs w:val="24"/>
        </w:rPr>
        <w:t>Record the resulting slope value</w:t>
      </w:r>
    </w:p>
    <w:p w14:paraId="3C5584EB" w14:textId="77777777" w:rsidR="00AE1768" w:rsidRPr="006F0437" w:rsidRDefault="00AE1768" w:rsidP="00AE1768">
      <w:pPr>
        <w:pStyle w:val="ListParagraph"/>
        <w:rPr>
          <w:rFonts w:ascii="Calibri" w:hAnsi="Calibri" w:cs="Calibri"/>
          <w:sz w:val="24"/>
          <w:szCs w:val="24"/>
        </w:rPr>
      </w:pPr>
    </w:p>
    <w:p w14:paraId="0AA16ADA" w14:textId="1F6B486B" w:rsidR="00AE1768" w:rsidRPr="006F0437" w:rsidRDefault="00AE1768" w:rsidP="00F21944">
      <w:pPr>
        <w:pStyle w:val="ListParagraph"/>
        <w:numPr>
          <w:ilvl w:val="1"/>
          <w:numId w:val="32"/>
        </w:numPr>
        <w:spacing w:after="0" w:line="240" w:lineRule="auto"/>
        <w:ind w:left="0" w:firstLine="0"/>
        <w:rPr>
          <w:rFonts w:ascii="Calibri" w:hAnsi="Calibri" w:cs="Calibri"/>
          <w:sz w:val="24"/>
          <w:szCs w:val="24"/>
        </w:rPr>
      </w:pPr>
      <w:r w:rsidRPr="006F0437">
        <w:rPr>
          <w:rFonts w:ascii="Calibri" w:hAnsi="Calibri" w:cs="Calibri"/>
          <w:sz w:val="24"/>
          <w:szCs w:val="24"/>
        </w:rPr>
        <w:t xml:space="preserve">If desired, export the complete torque, position, velocity, and time-series data for subsequent analysis. Exported data may be used to calculate additional variables, such as </w:t>
      </w:r>
      <w:r w:rsidR="00CA77DE" w:rsidRPr="006F0437">
        <w:rPr>
          <w:rFonts w:ascii="Calibri" w:hAnsi="Calibri" w:cs="Calibri"/>
          <w:sz w:val="24"/>
          <w:szCs w:val="24"/>
        </w:rPr>
        <w:t xml:space="preserve">the </w:t>
      </w:r>
      <w:r w:rsidRPr="006F0437">
        <w:rPr>
          <w:rFonts w:ascii="Calibri" w:hAnsi="Calibri" w:cs="Calibri"/>
          <w:sz w:val="24"/>
          <w:szCs w:val="24"/>
        </w:rPr>
        <w:t>rate of torque development (change in torque over time) and other torque-time characteristics</w:t>
      </w:r>
      <w:r w:rsidRPr="006F0437">
        <w:rPr>
          <w:rFonts w:ascii="Calibri" w:hAnsi="Calibri" w:cs="Calibri"/>
          <w:sz w:val="24"/>
          <w:szCs w:val="24"/>
        </w:rPr>
        <w:fldChar w:fldCharType="begin"/>
      </w:r>
      <w:r w:rsidR="00531E54" w:rsidRPr="006F0437">
        <w:rPr>
          <w:rFonts w:ascii="Calibri" w:hAnsi="Calibri" w:cs="Calibri"/>
          <w:sz w:val="24"/>
          <w:szCs w:val="24"/>
        </w:rPr>
        <w:instrText xml:space="preserve"> ADDIN ZOTERO_ITEM CSL_CITATION {"citationID":"VlwPNG6X","properties":{"unsorted":false,"formattedCitation":"\\super 26, 32\\nosupersub{}","plainCitation":"26, 32","noteIndex":0},"citationItems":[{"id":9081,"uris":["http://zotero.org/users/6207158/items/IFCNTBM6"],"itemData":{"id":9081,"type":"article-journal","abstract":"Quadriceps rate of torque development (RTD) and torque steadiness are valuable metrics for assessing explosive strength and the ability to control force over a sustained period of time, which can inform clinical assessments of knee function. Despite their widespread use, there is a significant gap in standardized methodology for measuring these metrics, which limits their utility in comparing outcomes across different studies and populations. To address these gaps, we evaluated the influence of sampling rates, signal filtering, and torque onset detection on RTD and torque steadiness. Twenty-seven participants with a history of a primary anterior cruciate ligament reconstruction (N = 27 (11 male/16 female), age = 23 ± 8 years, body mass index = 26 ± 4 kg/m2) and thirty-two control participants (N = 32 (13 male/19 female), age = 23 ± 7 years, body mass index = 23 ± 3 kg/m2) underwent isometric quadriceps strength testing, with data collected at 2222 Hz on an isokinetic dynamometer. The torque–time signal was downsampled to approximately 100 and 1000 Hz and processed using a low-pass, zero-lag Butterworth filter with a range of cutoff frequencies spanning 10–200 Hz. The thresholds used to detect torque onset were defined as 0.1 Nm, 1 Nm, and 5 Nm. RTD between 0 and 100 ms, 0 and 200 ms, and 40–160 ms was computed, as well as absolute and relative torque steadiness. Relative differences were computed by comparing all outcomes to the “gold standard” values computed, with a sampling rate of 2222 Hz, a cutoff frequency in the low-pass filter of 150 Hz, and torque onset of 1 Nm, and compared utilizing linear mixed models. While all combinations of signal collection and processing parameters reached statistical significance (p &lt; 0.05), these differences were consistent between injured and control limbs. Additionally, clinically relevant differences (+/−10%) were primarily observed through torque onset detection methods and primarily affected RTD between 0 and 100 ms. Although measurements of RTD and torque steadiness were generally robust against diverse signal collection and processing parameters, the selection of torque onset should be carefully considered, especially in early RTD assessments that have shorter time epochs.","container-title":"Sensors (Basel, Switzerland)","DOI":"10.3390/s24134250","ISSN":"1424-8220","issue":"13","journalAbbreviation":"Sensors (Basel)","page":"4250","PMID":"39001029","PMCID":"PMC11243863","source":"PubMed Central","title":"Effect of Sampling Rate, Filtering, and Torque Onset Detection on Quadriceps Rate of Torque Development and Torque Steadiness","volume":"24","author":[{"family":"White","given":"McKenzie S."},{"family":"Graham","given":"Megan C."},{"family":"Janatova","given":"Tereza"},{"family":"Hawk","given":"Gregory S."},{"family":"Thompson","given":"Katherine L."},{"family":"Noehren","given":"Brian"}],"issued":{"date-parts":[["2024",6,30]]}}},{"id":9100,"uris":["http://zotero.org/users/6207158/items/AR7X6Z4Q"],"itemData":{"id":9100,"type":"article-journal","abstract":"Giordano, KA, Cassidy, MM, and Oliver, GD. Length-tension differences between concentric and eccentric shoulder rotation strength. J Strength Cond Res 38(2): 253-258, 2024-Eccentric contractions generally produce more force than concentric contractions. However, if length-tension relationships affect both contractions equally remains unknown. Therefore, our purpose was to compare concentric versus eccentric shoulder external and internal rotation strength across a continuous 90° arc. Fifty-two physically active individuals performed isokinetic concentric and eccentric shoulder external rotation and internal rotation through a 90° arc (forearm horizontal to forearm vertical) with the shoulder elevated in both the frontal and scapular planes. Statistical parametric mapping analysis compared concentric and eccentric trials within subjects. Frontal plane eccentric external rotation torque was greater than concentric 30°-90° (p &lt; 0.01) external rotation, and concentric external rotation torque was greater 5°-15° external rotation (p = 0.01). Frontal plane, eccentric internal rotation torque was greater than concentric 15°-55° external rotation (p &lt; 0.01), and concentric torque was greater at forearm horizontal (p = 0.05) and 70°-90° external rotation (p &lt; 0.01). Scapular plane eccentric external rotation torque was greater than concentric 30°-90° external rotation (p &lt; 0.01) and concentric external rotation torque was greater 5°-20° external rotation (p &lt; 0.01). Scapular plane eccentric internal rotation torque was greater than concentric 15°-60° external rotation (p &lt; 0.01), and concentric torque was greater at forearm horizontal (p = 0.05) and 78°-90° external rotation (p = 0.02). Coaches, clinicians, and researchers should interpret data from studies reporting isokinetic data with the understanding that isokinetic peak strength values are not comparing the same muscle length and are not an appropriate measure for all muscle lengths. Furthermore, shoulder stability is affected through decreased eccentric force production at end ranges of shoulder rotation.","container-title":"Journal of Strength and Conditioning Research","DOI":"10.1519/JSC.0000000000004625","ISSN":"1533-4287","issue":"2","journalAbbreviation":"J Strength Cond Res","language":"eng","page":"253-258","PMID":"38258829","source":"PubMed","title":"Length-Tension Differences Between Concentric and Eccentric Shoulder Rotation Strength","volume":"38","author":[{"family":"Giordano","given":"Kevin A."},{"family":"Cich","given":"Molly"},{"family":"Oliver","given":"Gretchen D."}],"issued":{"date-parts":[["2024",2,1]]}}}],"schema":"https://github.com/citation-style-language/schema/raw/master/csl-citation.json"} </w:instrText>
      </w:r>
      <w:r w:rsidRPr="006F0437">
        <w:rPr>
          <w:rFonts w:ascii="Calibri" w:hAnsi="Calibri" w:cs="Calibri"/>
          <w:sz w:val="24"/>
          <w:szCs w:val="24"/>
        </w:rPr>
        <w:fldChar w:fldCharType="separate"/>
      </w:r>
      <w:r w:rsidR="00531E54" w:rsidRPr="006F0437">
        <w:rPr>
          <w:rFonts w:ascii="Calibri" w:hAnsi="Calibri" w:cs="Calibri"/>
          <w:sz w:val="24"/>
          <w:vertAlign w:val="superscript"/>
        </w:rPr>
        <w:t>26,32</w:t>
      </w:r>
      <w:r w:rsidRPr="006F0437">
        <w:rPr>
          <w:rFonts w:ascii="Calibri" w:hAnsi="Calibri" w:cs="Calibri"/>
          <w:sz w:val="24"/>
          <w:szCs w:val="24"/>
        </w:rPr>
        <w:fldChar w:fldCharType="end"/>
      </w:r>
      <w:r w:rsidRPr="006F0437">
        <w:rPr>
          <w:rFonts w:ascii="Calibri" w:hAnsi="Calibri" w:cs="Calibri"/>
          <w:sz w:val="24"/>
          <w:szCs w:val="24"/>
        </w:rPr>
        <w:t xml:space="preserve">.  </w:t>
      </w:r>
    </w:p>
    <w:p w14:paraId="1837276C" w14:textId="77777777" w:rsidR="00DF1768" w:rsidRPr="000522AA" w:rsidRDefault="00DF1768" w:rsidP="00941D7F">
      <w:pPr>
        <w:pStyle w:val="ListParagraph"/>
        <w:spacing w:after="0" w:line="240" w:lineRule="auto"/>
        <w:rPr>
          <w:rFonts w:ascii="Calibri" w:hAnsi="Calibri" w:cs="Calibri"/>
          <w:sz w:val="24"/>
          <w:szCs w:val="24"/>
        </w:rPr>
      </w:pPr>
    </w:p>
    <w:p w14:paraId="7070FDE7" w14:textId="215615D0" w:rsidR="00385E45" w:rsidRPr="000522AA" w:rsidRDefault="00B136EE" w:rsidP="00941D7F">
      <w:pPr>
        <w:pBdr>
          <w:top w:val="nil"/>
          <w:left w:val="nil"/>
          <w:bottom w:val="nil"/>
          <w:right w:val="nil"/>
          <w:between w:val="nil"/>
        </w:pBdr>
        <w:contextualSpacing/>
        <w:rPr>
          <w:color w:val="808080"/>
        </w:rPr>
      </w:pPr>
      <w:r w:rsidRPr="000522AA">
        <w:rPr>
          <w:b/>
          <w:color w:val="000000"/>
        </w:rPr>
        <w:t xml:space="preserve">REPRESENTATIVE RESULTS: </w:t>
      </w:r>
    </w:p>
    <w:p w14:paraId="033B0A76" w14:textId="3B6C4E03" w:rsidR="002F280B" w:rsidRPr="000522AA" w:rsidRDefault="00B136EE" w:rsidP="00941D7F">
      <w:pPr>
        <w:pBdr>
          <w:top w:val="nil"/>
          <w:left w:val="nil"/>
          <w:bottom w:val="nil"/>
          <w:right w:val="nil"/>
          <w:between w:val="nil"/>
        </w:pBdr>
        <w:contextualSpacing/>
      </w:pPr>
      <w:r w:rsidRPr="000522AA">
        <w:lastRenderedPageBreak/>
        <w:t xml:space="preserve">Successful completion of this protocol should result in the highest torque output </w:t>
      </w:r>
      <w:r w:rsidR="00146187" w:rsidRPr="000522AA">
        <w:t xml:space="preserve">at </w:t>
      </w:r>
      <w:r w:rsidRPr="000522AA">
        <w:t>zero velocity (isometric) and a progressive decline in torque with increasing isokinetic contraction velocities</w:t>
      </w:r>
      <w:r w:rsidRPr="000522AA">
        <w:fldChar w:fldCharType="begin"/>
      </w:r>
      <w:r w:rsidR="00E37B6F" w:rsidRPr="000522AA">
        <w:instrText xml:space="preserve"> ADDIN ZOTERO_ITEM CSL_CITATION {"citationID":"W7RkyBnV","properties":{"formattedCitation":"\\super 12\\nosupersub{}","plainCitation":"12","noteIndex":0},"citationItems":[{"id":637,"uris":["http://zotero.org/users/6207158/items/FFPRLGGU"],"itemData":{"id":637,"type":"article-journal","abstract":"The shape of the force-velocity (F-V) relationship has important implications for different aspects of muscle physiology, such as muscle efficiency and fatigue, the understanding of the pathophysiology of several myopathies or the mechanisms of muscle contraction per se, and may be of relevance for other fields, such as the development of robotics and prosthetic applications featuring natural muscle-like properties. However, different opinions regarding the shape of the F-V relationship and the underlying mechanisms exist in the literature. In this review, we summarize relevant evidence on the shape of the F-V relationship obtained over the last century. Studies performed at multiple scales ranging from the sarcomere to the organism level have described the concentric F-V relationship as linear, hyperbolic or double-hyperbolic. While the F-V relationship has most frequently been described as a rectangular hyperbola, a large number of studies have found deviations from the hyperbolic function at both ends of the F-V relation. Indeed, current evidence suggests that the F-V relation in skeletal muscles follows a double-hyperbolic pattern, with a breakpoint located at very high forces/low velocities, which may be a direct consequence of the kinetic properties of myofilament cross-bridge formation. Deviations at low forces/high velocities, by contrast, may be related to a recently discovered, calcium-independent regulatory mechanism of muscle contraction, which may also explain the low metabolic cost of very fast muscle shortening contractions. Controversial results have also been reported regarding the eccentric F-V relationship, with studies in prepared muscle specimens suggesting that maximum eccentric force is substantially greater than isometric force, whereas in vivo studies in humans show only a modest increase, no change, or even a decrease in force in lengthening contractions. This review discusses possible reasons reported in the literature for these discrepant findings, including the testing procedures (familiarization, pre-load condition, and temperature) and a potential neural inhibition at higher lengthening velocities. Finally, some unresolved questions and recommendations for F-V testing in humans are reported at the end of this document.","container-title":"Frontiers in Physiology","DOI":"10.3389/fphys.2019.00769","ISSN":"1664-042X","journalAbbreviation":"Front Physiol","PMID":"31275173","PMCID":"PMC6593051","source":"PubMed Central","title":"On the Shape of the Force-Velocity Relationship in Skeletal Muscles: The Linear, the Hyperbolic, and the Double-Hyperbolic","title-short":"On the Shape of the Force-Velocity Relationship in Skeletal Muscles","URL":"https://www.ncbi.nlm.nih.gov/pmc/articles/PMC6593051/","volume":"10","author":[{"family":"Alcazar","given":"Julian"},{"family":"Csapo","given":"Robert"},{"family":"Ara","given":"Ignacio"},{"family":"Alegre","given":"Luis M."}],"accessed":{"date-parts":[["2021",2,13]]},"issued":{"date-parts":[["2019",6,19]]}}}],"schema":"https://github.com/citation-style-language/schema/raw/master/csl-citation.json"} </w:instrText>
      </w:r>
      <w:r w:rsidRPr="000522AA">
        <w:fldChar w:fldCharType="separate"/>
      </w:r>
      <w:r w:rsidRPr="000522AA">
        <w:rPr>
          <w:vertAlign w:val="superscript"/>
        </w:rPr>
        <w:t>12</w:t>
      </w:r>
      <w:r w:rsidRPr="000522AA">
        <w:fldChar w:fldCharType="end"/>
      </w:r>
      <w:r w:rsidRPr="000522AA">
        <w:t>. In a previous cohort</w:t>
      </w:r>
      <w:r w:rsidR="00146187" w:rsidRPr="000522AA">
        <w:t>,</w:t>
      </w:r>
      <w:r w:rsidRPr="000522AA">
        <w:t xml:space="preserve"> when examining patients with a history of ACLR, this progressive decline was </w:t>
      </w:r>
      <w:r w:rsidR="00F75128" w:rsidRPr="000522AA">
        <w:t>greater</w:t>
      </w:r>
      <w:r w:rsidRPr="000522AA">
        <w:t xml:space="preserve"> in uninvolved limbs than in ACLR limbs</w:t>
      </w:r>
      <w:r w:rsidRPr="000522AA">
        <w:fldChar w:fldCharType="begin"/>
      </w:r>
      <w:r w:rsidR="00E37B6F" w:rsidRPr="000522AA">
        <w:instrText xml:space="preserve"> ADDIN ZOTERO_ITEM CSL_CITATION {"citationID":"Yk8Ckziu","properties":{"formattedCitation":"\\super 14\\nosupersub{}","plainCitation":"14","noteIndex":0},"citationItems":[{"id":2409,"uris":["http://zotero.org/users/6207158/items/XKNKEZ2I"],"itemData":{"id":2409,"type":"article-journal","abstract":"Background: The inherent nature of the torque-velocity relationship is the inverse nature between the velocity of muscle contraction and torque production and is an indication of muscle function. The purpose of this study was to characterize the torque-velocity relationship in the quadriceps following anterior cruciate ligament recon­ struction compared to healthy limbs.","container-title":"Clinical Biomechanics","DOI":"10.1016/j.clinbiomech.2023.106058","ISSN":"02680033","journalAbbreviation":"Clinical Biomechanics","language":"en","page":"106058","source":"DOI.org (Crossref)","title":"Knee extensor torque-velocity relationships following anterior cruciate ligament reconstruction","volume":"108","author":[{"family":"Thompson","given":"Xavier D."},{"family":"Bruce Leicht","given":"Amelia S."},{"family":"Hopper","given":"Haleigh M."},{"family":"Kaur","given":"Mandeep"},{"family":"Diduch","given":"David R."},{"family":"Brockmeier","given":"Stephen F."},{"family":"Miller","given":"Mark D."},{"family":"Gwathmey","given":"F. Winston"},{"family":"Werner","given":"Brian C."},{"family":"Hart","given":"Joe M."}],"issued":{"date-parts":[["2023",8]]}}}],"schema":"https://github.com/citation-style-language/schema/raw/master/csl-citation.json"} </w:instrText>
      </w:r>
      <w:r w:rsidRPr="000522AA">
        <w:fldChar w:fldCharType="separate"/>
      </w:r>
      <w:r w:rsidRPr="000522AA">
        <w:rPr>
          <w:vertAlign w:val="superscript"/>
        </w:rPr>
        <w:t>14</w:t>
      </w:r>
      <w:r w:rsidRPr="000522AA">
        <w:fldChar w:fldCharType="end"/>
      </w:r>
      <w:r w:rsidRPr="000522AA">
        <w:t xml:space="preserve">. Individual </w:t>
      </w:r>
      <w:r w:rsidR="00146187" w:rsidRPr="000522AA">
        <w:t>torque-time or torque-position</w:t>
      </w:r>
      <w:r w:rsidRPr="000522AA">
        <w:t xml:space="preserve"> graphs should demonstrate relatively consistent contractions. The ideal coefficient of variation within each set of repetitions should be 10% or less. Any tests </w:t>
      </w:r>
      <w:r w:rsidR="00146187" w:rsidRPr="000522AA">
        <w:t xml:space="preserve">with a </w:t>
      </w:r>
      <w:proofErr w:type="gramStart"/>
      <w:r w:rsidR="00146187" w:rsidRPr="000522AA">
        <w:t>coefficient of</w:t>
      </w:r>
      <w:proofErr w:type="gramEnd"/>
      <w:r w:rsidR="00146187" w:rsidRPr="000522AA">
        <w:t xml:space="preserve"> variation greater than 15% may indicate inconsistent maximal effort and should be repeated, unless the participant reports</w:t>
      </w:r>
      <w:r w:rsidRPr="000522AA">
        <w:t xml:space="preserve"> pain. </w:t>
      </w:r>
    </w:p>
    <w:p w14:paraId="1D1B3E46" w14:textId="77777777" w:rsidR="00DF1768" w:rsidRPr="000522AA" w:rsidRDefault="00DF1768" w:rsidP="00941D7F">
      <w:pPr>
        <w:pBdr>
          <w:top w:val="nil"/>
          <w:left w:val="nil"/>
          <w:bottom w:val="nil"/>
          <w:right w:val="nil"/>
          <w:between w:val="nil"/>
        </w:pBdr>
        <w:contextualSpacing/>
      </w:pPr>
    </w:p>
    <w:p w14:paraId="5E6988DA" w14:textId="1B3B89BC" w:rsidR="00EC5713" w:rsidRPr="000522AA" w:rsidRDefault="00057022" w:rsidP="00941D7F">
      <w:pPr>
        <w:pBdr>
          <w:top w:val="nil"/>
          <w:left w:val="nil"/>
          <w:bottom w:val="nil"/>
          <w:right w:val="nil"/>
          <w:between w:val="nil"/>
        </w:pBdr>
        <w:contextualSpacing/>
      </w:pPr>
      <w:r w:rsidRPr="000522AA">
        <w:t xml:space="preserve">A representative dataset and calculation workflow for deriving two-point and multiple-velocity torque-velocity outcomes are shown in </w:t>
      </w:r>
      <w:r w:rsidRPr="000522AA">
        <w:rPr>
          <w:b/>
          <w:bCs/>
        </w:rPr>
        <w:t>Figure 1</w:t>
      </w:r>
      <w:r w:rsidRPr="000522AA">
        <w:t xml:space="preserve">. </w:t>
      </w:r>
      <w:r w:rsidR="00B136EE" w:rsidRPr="000522AA">
        <w:t xml:space="preserve">The primary results for clinical interpretation will be the two-point method. Previous results have demonstrated </w:t>
      </w:r>
      <w:r w:rsidR="00146187" w:rsidRPr="000522AA">
        <w:t xml:space="preserve">that </w:t>
      </w:r>
      <w:r w:rsidR="00B136EE" w:rsidRPr="000522AA">
        <w:t xml:space="preserve">patients following ACLR have a </w:t>
      </w:r>
      <w:r w:rsidR="00FE23C1" w:rsidRPr="000522AA">
        <w:t>knee extensor</w:t>
      </w:r>
      <w:r w:rsidR="00B136EE" w:rsidRPr="000522AA">
        <w:t xml:space="preserve"> torque-velocity of the involved limb about half </w:t>
      </w:r>
      <w:r w:rsidR="00146187" w:rsidRPr="000522AA">
        <w:t xml:space="preserve">that </w:t>
      </w:r>
      <w:r w:rsidR="00B136EE" w:rsidRPr="000522AA">
        <w:t>of the uninvolved limb</w:t>
      </w:r>
      <w:r w:rsidR="00B136EE" w:rsidRPr="000522AA">
        <w:fldChar w:fldCharType="begin"/>
      </w:r>
      <w:r w:rsidR="00531E54" w:rsidRPr="000522AA">
        <w:instrText xml:space="preserve"> ADDIN ZOTERO_ITEM CSL_CITATION {"citationID":"xXQxPME8","properties":{"formattedCitation":"\\super 14, 33\\nosupersub{}","plainCitation":"14, 33","noteIndex":0},"citationItems":[{"id":2409,"uris":["http://zotero.org/users/6207158/items/XKNKEZ2I"],"itemData":{"id":2409,"type":"article-journal","abstract":"Background: The inherent nature of the torque-velocity relationship is the inverse nature between the velocity of muscle contraction and torque production and is an indication of muscle function. The purpose of this study was to characterize the torque-velocity relationship in the quadriceps following anterior cruciate ligament recon­ struction compared to healthy limbs.","container-title":"Clinical Biomechanics","DOI":"10.1016/j.clinbiomech.2023.106058","ISSN":"02680033","journalAbbreviation":"Clinical Biomechanics","language":"en","page":"106058","source":"DOI.org (Crossref)","title":"Knee extensor torque-velocity relationships following anterior cruciate ligament reconstruction","volume":"108","author":[{"family":"Thompson","given":"Xavier D."},{"family":"Bruce Leicht","given":"Amelia S."},{"family":"Hopper","given":"Haleigh M."},{"family":"Kaur","given":"Mandeep"},{"family":"Diduch","given":"David R."},{"family":"Brockmeier","given":"Stephen F."},{"family":"Miller","given":"Mark D."},{"family":"Gwathmey","given":"F. Winston"},{"family":"Werner","given":"Brian C."},{"family":"Hart","given":"Joe M."}],"issued":{"date-parts":[["2023",8]]}}},{"id":9059,"uris":["http://zotero.org/users/6207158/items/LWXCNYWK"],"itemData":{"id":9059,"type":"article-journal","abstract":"The National Athletic Trainers' Association (NATA) is the professional membership association for certified athletic trainers and others who support the athletic training profession and its publications are the Journal of Athletic Training and the Athletic Training Education Journal.","DOI":"10.4085/1062-6050-0217.25","language":"en","section":"Journal of Athletic Training","source":"nata.kglmeridian.com","title":"The Torque-Velocity Relationship and Second ACL Injury Risk","URL":"https://nata.kglmeridian.com/view/journals/attr/aop/article-10.4085-1062-6050-0217.25/article-10.4085-1062-6050-0217.25.xml","author":[{"family":"Thompson","given":"Xavier D."},{"family":"Leicht","given":"Amelia S. Bruce"},{"family":"Resch","given":"Jacob E."},{"family":"Kuenze","given":"Chris"},{"family":"Brockmeier","given":"Stephen F."},{"family":"Carpenter","given":"Logan"},{"family":"Lee","given":"David"},{"family":"Gandhi","given":"Shivam"},{"family":"Almario","given":"Antonio N."},{"family":"Hart","given":"Joe"}],"accessed":{"date-parts":[["2026",4,20]]},"issued":{"date-parts":[["2026",2,11]]}}}],"schema":"https://github.com/citation-style-language/schema/raw/master/csl-citation.json"} </w:instrText>
      </w:r>
      <w:r w:rsidR="00B136EE" w:rsidRPr="000522AA">
        <w:fldChar w:fldCharType="separate"/>
      </w:r>
      <w:r w:rsidR="00531E54" w:rsidRPr="000522AA">
        <w:rPr>
          <w:vertAlign w:val="superscript"/>
        </w:rPr>
        <w:t>14,33</w:t>
      </w:r>
      <w:r w:rsidR="00B136EE" w:rsidRPr="000522AA">
        <w:fldChar w:fldCharType="end"/>
      </w:r>
      <w:r w:rsidR="007F6C49" w:rsidRPr="000522AA">
        <w:t>.</w:t>
      </w:r>
      <w:r w:rsidR="00B136EE" w:rsidRPr="000522AA">
        <w:t xml:space="preserve"> </w:t>
      </w:r>
      <w:r w:rsidR="0043715E" w:rsidRPr="000522AA">
        <w:t>Prior findings using two-point characterization testing at 90°/s and 180°/s demonstrated quadriceps torque-velocity relationship values of approximately 0.22 Nm/kg during mid-stage rehabilitation and 0.33 Nm/kg later in rehabilitation in the involved limb</w:t>
      </w:r>
      <w:r w:rsidR="00146187" w:rsidRPr="000522AA">
        <w:t>,</w:t>
      </w:r>
      <w:r w:rsidR="0043715E" w:rsidRPr="000522AA">
        <w:t xml:space="preserve"> while the uninvolved limb remained stable at 0.56 Nm/kg and 0.57 Nm/kg</w:t>
      </w:r>
      <w:r w:rsidR="0043715E" w:rsidRPr="000522AA">
        <w:fldChar w:fldCharType="begin"/>
      </w:r>
      <w:r w:rsidR="00531E54" w:rsidRPr="000522AA">
        <w:instrText xml:space="preserve"> ADDIN ZOTERO_ITEM CSL_CITATION {"citationID":"fpQsAlBN","properties":{"formattedCitation":"\\super 34\\nosupersub{}","plainCitation":"34","noteIndex":0},"citationItems":[{"id":8949,"uris":["http://zotero.org/users/6207158/items/DHSN75EB"],"itemData":{"id":8949,"type":"article-journal","abstract":"Background: Prognostic indicators of lack of strength progression or poor self-reported function may alter rehabilitation decision-making following anterior cruciate ligament reconstruction (ACLR). The torque-velocity relationship is a noninvasive measure of muscle function that is altered following ACLR, but its prognostic value has not been explored.Purpose: To compare the torque-velocity relationship of knee extensors (quadriceps) and flexors (hamstrings) between the ACLR and uninvolved limbs and to determine whether the torque-velocity relationship was prognostic of subsequent achievement of satisfactory strength.Study Design: Cohort study; Level of evidence, 3.Methods: Participants following ACLR with bone?patellar tendon?bone or hamstring autografts completed isokinetic knee extension and flexion at 90°/s and 180°/s bilaterally, the International Knee Documentation Committee (IKDC) form, and Knee injury and Osteoarthritis Outcome Score (KOOS) at approximately 5.5 and 8.3 months post-ACLR. The torque-velocity relationship was defined as the difference in torque production across velocities, and relationships were analyzed using 2 ? 2 analyses of variance. Binomial logistic regressions were used to determine the association between the torque-velocity relationship, age, sex, and time postsurgery with satisfactory knee extension strength, IKDC, and KOOS at visit 2.Results: This study included 189 participants (22.4 ± 9.3 years; 55.0% female). There were significant increases in the quadriceps torque-velocity relationship from visit 1 (0.22 Nm/kg) to visit 2 (0.34 Nm/kg, P &lt; .001) but no differences in the uninvolved limb (P = .46) or for the hamstrings (P = .20). When controlling for sex, age, and graft type, higher visit 1 quadriceps torque-velocity relationships were predictive of a higher likelihood of achieving satisfactory knee extension strength (≥1.23 Nm/kg; odds ratio [OR], 1.05; P = .04). The model was associated with an acceptable IKDC score (≥75.9, P = .01), but the only significant individual predictor was age (OR, 0.94; P &lt; .01). The model was not associated with KOOS Sport score at visit 2 (P = .24).Conclusion: Quadriceps torque-velocity relationships of the ACLR limbs increased across time but remained less than uninvolved limbs. Hamstrings torque-velocity relationships remained similar between limbs and across time. These findings indicate that the torque-velocity relationship of the quadriceps changed over time and was predictive of future satisfactory strength.Clinical Relevance: Clinicians may use a greater quadriceps torque-velocity relationship as a positive indication of a patient's ability to achieve satisfactory strength later in rehabilitation.","container-title":"Orthopaedic Journal of Sports Medicine","DOI":"10.1177/23259671251400776","ISSN":"2325-9671","issue":"1","page":"23259671251400776","publisher":"SAGE Publications Inc","title":"The Clinical Utility of Strength Measures in Predicting Patient Progression Following ACLR","volume":"14","author":[{"family":"Thompson","given":"Xavier D."},{"family":"Bruce Leicht","given":"Amelia S."},{"family":"Resch","given":"Jacob E."},{"family":"Kuenze","given":"Chris"},{"family":"Brockmeier","given":"Stephen F."},{"family":"Diduch","given":"David R."},{"family":"Miller","given":"Mark D."},{"family":"Gwathmey","given":"F. Winston"},{"family":"Werner","given":"Brian C."},{"family":"Hart","given":"Joe M."}],"issued":{"date-parts":[["2026",1,1]]}}}],"schema":"https://github.com/citation-style-language/schema/raw/master/csl-citation.json"} </w:instrText>
      </w:r>
      <w:r w:rsidR="0043715E" w:rsidRPr="000522AA">
        <w:fldChar w:fldCharType="separate"/>
      </w:r>
      <w:r w:rsidR="00531E54" w:rsidRPr="000522AA">
        <w:rPr>
          <w:vertAlign w:val="superscript"/>
        </w:rPr>
        <w:t>34</w:t>
      </w:r>
      <w:r w:rsidR="0043715E" w:rsidRPr="000522AA">
        <w:fldChar w:fldCharType="end"/>
      </w:r>
      <w:r w:rsidR="0043715E" w:rsidRPr="000522AA">
        <w:t xml:space="preserve">. </w:t>
      </w:r>
      <w:r w:rsidR="00B136EE" w:rsidRPr="000522AA">
        <w:t xml:space="preserve">Similar use of the two-point characterization testing at 60°/s and 180°/s showed a marked reduction in </w:t>
      </w:r>
      <w:r w:rsidR="00EE0422" w:rsidRPr="000522AA">
        <w:t>the ACLR limb (0.24 Nm/kg) compared to the uninvolved (0.65 Nm/kg) and healthy control limbs (0.60 Nm/</w:t>
      </w:r>
      <w:r w:rsidR="00FA0ABE" w:rsidRPr="000522AA">
        <w:t>k</w:t>
      </w:r>
      <w:r w:rsidR="00EE0422" w:rsidRPr="000522AA">
        <w:t>g)</w:t>
      </w:r>
      <w:r w:rsidR="00EE0422" w:rsidRPr="000522AA">
        <w:fldChar w:fldCharType="begin"/>
      </w:r>
      <w:r w:rsidR="00E37B6F" w:rsidRPr="000522AA">
        <w:instrText xml:space="preserve"> ADDIN ZOTERO_ITEM CSL_CITATION {"citationID":"pHbLac8n","properties":{"formattedCitation":"\\super 15\\nosupersub{}","plainCitation":"15","noteIndex":0},"citationItems":[{"id":9054,"uris":["http://zotero.org/users/6207158/items/HT8ID2GN"],"itemData":{"id":9054,"type":"article-journal","container-title":"Journal of Sport Rehabilitation","DOI":"10.1123/jsr.2025-0237","page":"1 - 6","publisher":"Human Kinetics","publisher-place":"Champaign IL, USA","title":"Torque–Velocity is Associated With Voluntary Activation and Corticospinal Excitability in Healthy Knees, but Not Following Anterior Cruciate Ligament Reconstruction","author":[{"family":"Thompson","given":"Xavier D."},{"family":"Resch","given":"Jacob E."},{"family":"Kuenze","given":"Chris"},{"family":"Brockmeier","given":"Stephen F."},{"family":"Hart","given":"Joe"}],"issued":{"date-parts":[["2026"]]}}}],"schema":"https://github.com/citation-style-language/schema/raw/master/csl-citation.json"} </w:instrText>
      </w:r>
      <w:r w:rsidR="00EE0422" w:rsidRPr="000522AA">
        <w:fldChar w:fldCharType="separate"/>
      </w:r>
      <w:r w:rsidR="001208A9" w:rsidRPr="000522AA">
        <w:rPr>
          <w:vertAlign w:val="superscript"/>
        </w:rPr>
        <w:t>15</w:t>
      </w:r>
      <w:r w:rsidR="00EE0422" w:rsidRPr="000522AA">
        <w:fldChar w:fldCharType="end"/>
      </w:r>
      <w:r w:rsidR="00EE0422" w:rsidRPr="000522AA">
        <w:t>. The use of the two-point method across velocities with differences in angular velocity of at least 90</w:t>
      </w:r>
      <w:r w:rsidR="00DF1768" w:rsidRPr="000522AA">
        <w:t xml:space="preserve"> </w:t>
      </w:r>
      <w:r w:rsidR="00EE0422" w:rsidRPr="000522AA">
        <w:t>°/s demonstrated similar results</w:t>
      </w:r>
      <w:r w:rsidR="00EE0422" w:rsidRPr="000522AA">
        <w:fldChar w:fldCharType="begin"/>
      </w:r>
      <w:r w:rsidR="00E37B6F" w:rsidRPr="000522AA">
        <w:instrText xml:space="preserve"> ADDIN ZOTERO_ITEM CSL_CITATION {"citationID":"wXR2g90n","properties":{"formattedCitation":"\\super 15\\nosupersub{}","plainCitation":"15","noteIndex":0},"citationItems":[{"id":9054,"uris":["http://zotero.org/users/6207158/items/HT8ID2GN"],"itemData":{"id":9054,"type":"article-journal","container-title":"Journal of Sport Rehabilitation","DOI":"10.1123/jsr.2025-0237","page":"1 - 6","publisher":"Human Kinetics","publisher-place":"Champaign IL, USA","title":"Torque–Velocity is Associated With Voluntary Activation and Corticospinal Excitability in Healthy Knees, but Not Following Anterior Cruciate Ligament Reconstruction","author":[{"family":"Thompson","given":"Xavier D."},{"family":"Resch","given":"Jacob E."},{"family":"Kuenze","given":"Chris"},{"family":"Brockmeier","given":"Stephen F."},{"family":"Hart","given":"Joe"}],"issued":{"date-parts":[["2026"]]}}}],"schema":"https://github.com/citation-style-language/schema/raw/master/csl-citation.json"} </w:instrText>
      </w:r>
      <w:r w:rsidR="00EE0422" w:rsidRPr="000522AA">
        <w:fldChar w:fldCharType="separate"/>
      </w:r>
      <w:r w:rsidR="001208A9" w:rsidRPr="000522AA">
        <w:rPr>
          <w:vertAlign w:val="superscript"/>
        </w:rPr>
        <w:t>15</w:t>
      </w:r>
      <w:r w:rsidR="00EE0422" w:rsidRPr="000522AA">
        <w:fldChar w:fldCharType="end"/>
      </w:r>
      <w:r w:rsidR="00EE0422" w:rsidRPr="000522AA">
        <w:t>.</w:t>
      </w:r>
    </w:p>
    <w:p w14:paraId="23DA8F64" w14:textId="77777777" w:rsidR="00DF1768" w:rsidRPr="000522AA" w:rsidRDefault="00DF1768" w:rsidP="00941D7F">
      <w:pPr>
        <w:pBdr>
          <w:top w:val="nil"/>
          <w:left w:val="nil"/>
          <w:bottom w:val="nil"/>
          <w:right w:val="nil"/>
          <w:between w:val="nil"/>
        </w:pBdr>
        <w:contextualSpacing/>
      </w:pPr>
    </w:p>
    <w:p w14:paraId="5E6366EA" w14:textId="2F12FB04" w:rsidR="00385E45" w:rsidRPr="000522AA" w:rsidRDefault="00B136EE" w:rsidP="00941D7F">
      <w:pPr>
        <w:pBdr>
          <w:top w:val="nil"/>
          <w:left w:val="nil"/>
          <w:bottom w:val="nil"/>
          <w:right w:val="nil"/>
          <w:between w:val="nil"/>
        </w:pBdr>
        <w:contextualSpacing/>
      </w:pPr>
      <w:r w:rsidRPr="000522AA">
        <w:t>In prior cohorts using multiple velocity characterization, the ACLR limbs demonstrated a flatter torque-velocity slope than the contralateral limbs</w:t>
      </w:r>
      <w:r w:rsidR="00EE0422" w:rsidRPr="000522AA">
        <w:t xml:space="preserve"> (</w:t>
      </w:r>
      <w:r w:rsidR="00EE0422" w:rsidRPr="000522AA">
        <w:rPr>
          <w:b/>
          <w:bCs/>
        </w:rPr>
        <w:t xml:space="preserve">Figure </w:t>
      </w:r>
      <w:r w:rsidR="00B52CD6" w:rsidRPr="000522AA">
        <w:rPr>
          <w:b/>
          <w:bCs/>
        </w:rPr>
        <w:t>2</w:t>
      </w:r>
      <w:r w:rsidR="00EE0422" w:rsidRPr="000522AA">
        <w:t xml:space="preserve">). </w:t>
      </w:r>
      <w:r w:rsidRPr="000522AA">
        <w:t>The multiple velocity testing should be evaluated longitudinally, and limb symmetry of 90% or less may be considered acceptable</w:t>
      </w:r>
      <w:r w:rsidR="00F75FB1" w:rsidRPr="000522AA">
        <w:t xml:space="preserve"> for continued progression toward return to sport</w:t>
      </w:r>
      <w:r w:rsidRPr="000522AA">
        <w:fldChar w:fldCharType="begin"/>
      </w:r>
      <w:r w:rsidR="00531E54" w:rsidRPr="000522AA">
        <w:instrText xml:space="preserve"> ADDIN ZOTERO_ITEM CSL_CITATION {"citationID":"eBWki64C","properties":{"formattedCitation":"\\super 35\\nosupersub{}","plainCitation":"35","noteIndex":0},"citationItems":[{"id":1637,"uris":["http://zotero.org/users/6207158/items/FSCGDU4L"],"itemData":{"id":1637,"type":"article-journal","abstract":"Background:\nReturn-to-sport (RTS) testing after anterior cruciate ligament (ACL)\nreconstruction (ACLR) surgery has become popular. It has been recommended\nthat such testing should incorporate several domains, or set of tests, but\nit is unclear which are most associated with a successful RTS.\n\nPurpose:\nTo determine (1) the proportion of patients who can pass a set of self-report\nand functional tests at 6 months after ACLR; (2) age, sex, and activity\nlevel differences between patients who pass and those who do not; and (3)\nwhether specific types of tests are associated with a return to competitive\nsport at 12 months.\n\nStudy Design:\nCohort study; Level of evidence, 2.\n\nMethods:\nThis was a prospective longitudinal study of 450 patients who had primary\nACLR. At 6 months postoperatively, patients completed 2 self-report\nmeasures, the International Knee Documentation Committee (IKDC) subjective\nknee form and ACL–Return to Sport after Injury (ACL-RSI) scale, and 3\nfunctional measures: single hop and triple crossover hop for distance and\nisokinetic quadriceps strength. Limb symmetry index scores of ≥90 for\nfunctional tests, IKDC scores ≥85, and ACL-RSI scores ≥65 were considered\nindicators of satisfactory recovery. Proportional statistics and contingency\nanalysis were used to determine associations between age, sex, preinjury\nsports level, and (1) meeting test thresholds and (2) RTS at 12 months.\n\nResults:\nOnly 17 (3.8%) patients met all 5 test criteria at 6 months, and 95 (21%)\npatients did not pass any test. More of the younger patients (&lt;21 years)\npassed all of the functional tests (P &lt; .01), and more\nmale patients met the IKDC threshold (P = .03). Patients\nwho played level I sports before injury had the same pass rates as those who\nplayed level II/III sports. Patients who passed the thresholds for the\nACL-RSI and IKDC scales had 4 and 3 times the odds, respectively, of RTS at\n12 months (both P &lt; .0001). Meeting the threshold for\nquadriceps strength or either of the hop tests at 6 months was not\nassociated with RTS.\n\nConclusion:\nAt 6 months after ACLR, few patients met all of the thresholds of the common\ntests used to assess RTS ability, although younger patients had higher rates\nof passing the functional tests. Self-perceived symptoms/function and\npsychological readiness were associated with a return at 12 months.","container-title":"Orthopaedic Journal of Sports Medicine","DOI":"10.1177/2325967120969425","ISSN":"2325-9671","issue":"12","journalAbbreviation":"Orthop J Sports Med","PMID":"33415177","PMCID":"PMC7750778","source":"PubMed Central","title":"Who Passes Return-to-Sport Tests, and Which Tests Are Most Strongly Associated With Return to Play After Anterior Cruciate Ligament Reconstruction?","URL":"https://www.ncbi.nlm.nih.gov/pmc/articles/PMC7750778/","volume":"8","author":[{"family":"Webster","given":"Kate E."},{"family":"Feller","given":"Julian A."}],"accessed":{"date-parts":[["2021",1,18]]},"issued":{"date-parts":[["2020",12,18]]}}}],"schema":"https://github.com/citation-style-language/schema/raw/master/csl-citation.json"} </w:instrText>
      </w:r>
      <w:r w:rsidRPr="000522AA">
        <w:fldChar w:fldCharType="separate"/>
      </w:r>
      <w:r w:rsidR="00531E54" w:rsidRPr="000522AA">
        <w:rPr>
          <w:vertAlign w:val="superscript"/>
        </w:rPr>
        <w:t>35</w:t>
      </w:r>
      <w:r w:rsidRPr="000522AA">
        <w:fldChar w:fldCharType="end"/>
      </w:r>
      <w:r w:rsidR="007F6C49" w:rsidRPr="000522AA">
        <w:t>.</w:t>
      </w:r>
      <w:r w:rsidRPr="000522AA">
        <w:t xml:space="preserve"> </w:t>
      </w:r>
    </w:p>
    <w:p w14:paraId="3D1A94C1" w14:textId="77777777" w:rsidR="00146187" w:rsidRPr="000522AA" w:rsidRDefault="00146187" w:rsidP="00941D7F">
      <w:pPr>
        <w:pBdr>
          <w:top w:val="nil"/>
          <w:left w:val="nil"/>
          <w:bottom w:val="nil"/>
          <w:right w:val="nil"/>
          <w:between w:val="nil"/>
        </w:pBdr>
        <w:contextualSpacing/>
      </w:pPr>
    </w:p>
    <w:p w14:paraId="03B4C769" w14:textId="34ACF3C5" w:rsidR="00EE0422" w:rsidRPr="000522AA" w:rsidRDefault="00B136EE" w:rsidP="00941D7F">
      <w:pPr>
        <w:pBdr>
          <w:top w:val="nil"/>
          <w:left w:val="nil"/>
          <w:bottom w:val="nil"/>
          <w:right w:val="nil"/>
          <w:between w:val="nil"/>
        </w:pBdr>
        <w:contextualSpacing/>
        <w:jc w:val="center"/>
      </w:pPr>
      <w:r w:rsidRPr="000522AA">
        <w:t xml:space="preserve">[PLACE Figure </w:t>
      </w:r>
      <w:r w:rsidR="00B52CD6" w:rsidRPr="000522AA">
        <w:t>2</w:t>
      </w:r>
      <w:r w:rsidRPr="000522AA">
        <w:t xml:space="preserve"> Here]</w:t>
      </w:r>
    </w:p>
    <w:p w14:paraId="079B5679" w14:textId="77777777" w:rsidR="006E4797" w:rsidRPr="000522AA" w:rsidRDefault="006E4797" w:rsidP="00941D7F">
      <w:pPr>
        <w:contextualSpacing/>
        <w:rPr>
          <w:color w:val="808080"/>
        </w:rPr>
      </w:pPr>
    </w:p>
    <w:p w14:paraId="589DD452" w14:textId="493E7047" w:rsidR="003F1B6B" w:rsidRPr="000522AA" w:rsidRDefault="00B136EE" w:rsidP="00941D7F">
      <w:pPr>
        <w:contextualSpacing/>
        <w:rPr>
          <w:color w:val="808080"/>
        </w:rPr>
      </w:pPr>
      <w:r w:rsidRPr="000522AA">
        <w:rPr>
          <w:b/>
        </w:rPr>
        <w:t>FIGURE AND TABLE LEGENDS:</w:t>
      </w:r>
    </w:p>
    <w:p w14:paraId="0CAE28BA" w14:textId="642A915C" w:rsidR="008D630E" w:rsidRPr="000522AA" w:rsidRDefault="008D630E" w:rsidP="00941D7F">
      <w:pPr>
        <w:contextualSpacing/>
      </w:pPr>
      <w:r w:rsidRPr="000522AA">
        <w:rPr>
          <w:b/>
          <w:bCs/>
        </w:rPr>
        <w:t xml:space="preserve">Figure </w:t>
      </w:r>
      <w:r w:rsidR="00B52CD6" w:rsidRPr="000522AA">
        <w:rPr>
          <w:b/>
          <w:bCs/>
        </w:rPr>
        <w:t>1</w:t>
      </w:r>
      <w:r w:rsidRPr="000522AA">
        <w:rPr>
          <w:b/>
          <w:bCs/>
        </w:rPr>
        <w:t xml:space="preserve">. </w:t>
      </w:r>
      <w:r w:rsidR="00875923" w:rsidRPr="000522AA">
        <w:rPr>
          <w:b/>
          <w:bCs/>
        </w:rPr>
        <w:t xml:space="preserve">Simplified representative torque-velocity dataset and quick analysis workflow. </w:t>
      </w:r>
      <w:r w:rsidR="00875923" w:rsidRPr="000522AA">
        <w:t xml:space="preserve">Peak torque values </w:t>
      </w:r>
      <w:r w:rsidR="002F73E0" w:rsidRPr="000522AA">
        <w:t xml:space="preserve">were </w:t>
      </w:r>
      <w:r w:rsidR="00875923" w:rsidRPr="000522AA">
        <w:t>exported into spreadsheet software and plotted against angular velocity using a linear regression line. This represents simplified data entry for a single participant and should be expanded with additional columns for each participant and testing session for longitudinal assessment.</w:t>
      </w:r>
    </w:p>
    <w:p w14:paraId="5E1E7D8D" w14:textId="77777777" w:rsidR="008D630E" w:rsidRPr="000522AA" w:rsidRDefault="008D630E" w:rsidP="00941D7F">
      <w:pPr>
        <w:contextualSpacing/>
        <w:rPr>
          <w:b/>
          <w:bCs/>
        </w:rPr>
      </w:pPr>
    </w:p>
    <w:p w14:paraId="32EAFD7D" w14:textId="27A17EB8" w:rsidR="006E4797" w:rsidRPr="000522AA" w:rsidRDefault="00B136EE" w:rsidP="00941D7F">
      <w:pPr>
        <w:contextualSpacing/>
        <w:rPr>
          <w:b/>
          <w:bCs/>
        </w:rPr>
      </w:pPr>
      <w:r w:rsidRPr="000522AA">
        <w:rPr>
          <w:b/>
          <w:bCs/>
        </w:rPr>
        <w:t xml:space="preserve">Figure </w:t>
      </w:r>
      <w:r w:rsidR="00B52CD6" w:rsidRPr="000522AA">
        <w:rPr>
          <w:b/>
          <w:bCs/>
        </w:rPr>
        <w:t>2</w:t>
      </w:r>
      <w:r w:rsidRPr="000522AA">
        <w:rPr>
          <w:b/>
          <w:bCs/>
        </w:rPr>
        <w:t>.</w:t>
      </w:r>
      <w:r w:rsidRPr="000522AA">
        <w:t xml:space="preserve"> </w:t>
      </w:r>
      <w:r w:rsidR="00686258" w:rsidRPr="000522AA">
        <w:rPr>
          <w:b/>
          <w:bCs/>
        </w:rPr>
        <w:t>Representative normalized quadriceps peak torque across testing velocities in anterior cruciate ligament reconstructed</w:t>
      </w:r>
      <w:r w:rsidR="00F573EB" w:rsidRPr="000522AA">
        <w:rPr>
          <w:b/>
          <w:bCs/>
        </w:rPr>
        <w:t xml:space="preserve"> (n=9)</w:t>
      </w:r>
      <w:r w:rsidR="00686258" w:rsidRPr="000522AA">
        <w:rPr>
          <w:b/>
          <w:bCs/>
        </w:rPr>
        <w:t>, contralateral</w:t>
      </w:r>
      <w:r w:rsidR="00F573EB" w:rsidRPr="000522AA">
        <w:rPr>
          <w:b/>
          <w:bCs/>
        </w:rPr>
        <w:t xml:space="preserve"> (n=9)</w:t>
      </w:r>
      <w:r w:rsidR="00686258" w:rsidRPr="000522AA">
        <w:rPr>
          <w:b/>
          <w:bCs/>
        </w:rPr>
        <w:t>, and healthy limbs</w:t>
      </w:r>
      <w:r w:rsidR="00F573EB" w:rsidRPr="000522AA">
        <w:rPr>
          <w:b/>
          <w:bCs/>
        </w:rPr>
        <w:t xml:space="preserve"> (n=24)</w:t>
      </w:r>
      <w:r w:rsidR="00686258" w:rsidRPr="000522AA">
        <w:rPr>
          <w:b/>
          <w:bCs/>
        </w:rPr>
        <w:t>.</w:t>
      </w:r>
      <w:r w:rsidR="00686258" w:rsidRPr="000522AA">
        <w:t xml:space="preserve"> Individual participant values are shown with group trend lines</w:t>
      </w:r>
      <w:r w:rsidR="00F573EB" w:rsidRPr="000522AA">
        <w:t xml:space="preserve"> (gr</w:t>
      </w:r>
      <w:r w:rsidR="00A76060">
        <w:t>a</w:t>
      </w:r>
      <w:r w:rsidR="00F573EB" w:rsidRPr="000522AA">
        <w:t xml:space="preserve">y lines represent </w:t>
      </w:r>
      <w:r w:rsidR="007B6633" w:rsidRPr="000522AA">
        <w:t xml:space="preserve">the mean, and the shaded area represents the </w:t>
      </w:r>
      <w:r w:rsidR="00F573EB" w:rsidRPr="000522AA">
        <w:t>standard deviation)</w:t>
      </w:r>
      <w:r w:rsidR="00686258" w:rsidRPr="000522AA">
        <w:t>.</w:t>
      </w:r>
      <w:r w:rsidR="00F573EB" w:rsidRPr="000522AA">
        <w:t xml:space="preserve"> Adapted from data published in Thompson et al 2026</w:t>
      </w:r>
      <w:r w:rsidR="00E47586" w:rsidRPr="000522AA">
        <w:rPr>
          <w:vertAlign w:val="superscript"/>
        </w:rPr>
        <w:t>1</w:t>
      </w:r>
      <w:r w:rsidR="002F7974" w:rsidRPr="000522AA">
        <w:rPr>
          <w:vertAlign w:val="superscript"/>
        </w:rPr>
        <w:t>5</w:t>
      </w:r>
      <w:r w:rsidR="00F573EB" w:rsidRPr="000522AA">
        <w:t>.</w:t>
      </w:r>
    </w:p>
    <w:p w14:paraId="25D43153" w14:textId="77777777" w:rsidR="0053658F" w:rsidRPr="000522AA" w:rsidRDefault="0053658F" w:rsidP="00941D7F">
      <w:pPr>
        <w:contextualSpacing/>
        <w:jc w:val="center"/>
        <w:rPr>
          <w:b/>
        </w:rPr>
      </w:pPr>
    </w:p>
    <w:p w14:paraId="7C0B6465" w14:textId="46DBEF0E" w:rsidR="006E4797" w:rsidRPr="000522AA" w:rsidRDefault="00B136EE" w:rsidP="00941D7F">
      <w:pPr>
        <w:contextualSpacing/>
        <w:rPr>
          <w:b/>
        </w:rPr>
      </w:pPr>
      <w:r w:rsidRPr="000522AA">
        <w:rPr>
          <w:b/>
        </w:rPr>
        <w:t xml:space="preserve">DISCUSSION: </w:t>
      </w:r>
    </w:p>
    <w:p w14:paraId="6AC431AB" w14:textId="3E96D631" w:rsidR="00C41DEF" w:rsidRPr="000522AA" w:rsidRDefault="00B136EE" w:rsidP="00941D7F">
      <w:pPr>
        <w:contextualSpacing/>
      </w:pPr>
      <w:r w:rsidRPr="000522AA">
        <w:t>This protocol describes a</w:t>
      </w:r>
      <w:r w:rsidR="00986452" w:rsidRPr="000522AA">
        <w:t xml:space="preserve"> clinically</w:t>
      </w:r>
      <w:r w:rsidRPr="000522AA">
        <w:t xml:space="preserve"> feasible method for evaluating the quadriceps torque-velocity </w:t>
      </w:r>
      <w:r w:rsidRPr="000522AA">
        <w:lastRenderedPageBreak/>
        <w:t xml:space="preserve">relationship using </w:t>
      </w:r>
      <w:r w:rsidR="00146187" w:rsidRPr="000522AA">
        <w:t>multimodal</w:t>
      </w:r>
      <w:r w:rsidRPr="000522AA">
        <w:t xml:space="preserve"> dynamometry following ACLR. Persistent quadriceps weakness is common across age groups and </w:t>
      </w:r>
      <w:r w:rsidR="00F27511" w:rsidRPr="000522AA">
        <w:t xml:space="preserve">ACLR </w:t>
      </w:r>
      <w:r w:rsidRPr="000522AA">
        <w:t>graft types</w:t>
      </w:r>
      <w:r w:rsidRPr="000522AA">
        <w:fldChar w:fldCharType="begin"/>
      </w:r>
      <w:r w:rsidR="00531E54" w:rsidRPr="000522AA">
        <w:instrText xml:space="preserve"> ADDIN ZOTERO_ITEM CSL_CITATION {"citationID":"5SfgProo","properties":{"formattedCitation":"\\super 36, 37\\nosupersub{}","plainCitation":"36, 37","noteIndex":0},"citationItems":[{"id":409,"uris":["http://zotero.org/users/6207158/items/RYJWAL87"],"itemData":{"id":409,"type":"article-journal","abstract":"BACKGROUND: Treatment of meniscal injuries at the time of anterior cruciate ligament reconstruction (ACLR) can result in restrictions on weightbearing and range of motion in the early rehabilitative phases. What is unknown is the effect of (1) meniscal tear type and location at the time of anterior cruciate ligament injury and (2) meniscal treatment at the time of ACLR on quadriceps strength in adolescents during the late rehabilitative phase.\nHYPOTHESIS: Meniscal tears involving the root and requiring repair would adversely affect quadriceps strength at 6 to 9 months postoperatively.\nSTUDY DESIGN: Cohort study; Level of evidence, 3.\nMETHODS: Patients who underwent ACLR at 1 of 2 research sites between 2013 and 2021 were identified. Adolescent participants were included if they were between the ages of 12 and 20 years at the time of assessment and had undergone primary unilateral ACLR in the previous 6 to 9 months. Participants were subgrouped by meniscal tear type (no tear, nonroot tear, root tear) and meniscal treatment at the time of ACLR (no treatment, meniscectomy, meniscal repair), which were confirmed via chart review. Isokinetic strength testing occurred at 60 deg/s, and quadriceps strength and quadriceps strength limb symmetry index were compared between the meniscal tear type and meniscal procedure subgroups using analysis of covariance while controlling for the effects of age, sex, and ACLR graft source.\nRESULTS: An overall 236 patients were included in this analysis (109 male, 127 female; mean ± SD age, 16.0 ± 1.9 years). There were no significant differences in ACLR limb quadriceps strength based on meniscal tear type (P = .61) or meniscal procedure at the time of ACLR (P = .61), after controlling for age, biological sex, and ACLR graft source. Similarly, quadriceps strength limb symmetry index did not differ by meniscal tear type (P = .38) or meniscal procedure at the time of ACLR (P = .40).\nCONCLUSION: Meniscal tear type and treatment at the time of ACLR did not affect quadriceps strength or quadriceps strength symmetry in adolescents 6 to 9 months after ACLR.","container-title":"The American Journal of Sports Medicine","DOI":"10.1177/03635465231177626","ISSN":"1552-3365","issue":"9","journalAbbreviation":"Am J Sports Med","language":"eng","page":"2357-2365","PMID":"37272684","source":"PubMed","title":"The Impact of Meniscal Tear Type and Surgical Treatment on Quadriceps Strength: A Study of Adolescent Patients Post Anterior Cruciate Ligament Reconstruction","title-short":"The Impact of Meniscal Tear Type and Surgical Treatment on Quadriceps Strength","volume":"51","author":[{"family":"Weaver","given":"Adam P."},{"family":"Walaszek","given":"Michelle C."},{"family":"Roman","given":"Dylan P."},{"family":"Harkey","given":"Matthew S."},{"family":"Kuenze","given":"Christopher"}],"issued":{"date-parts":[["2023",7]]}}},{"id":3483,"uris":["http://zotero.org/users/6207158/items/TRXKRZ55"],"itemData":{"id":3483,"type":"article-journal","abstract":"Objective: Hamstring and patellar tendon autografts are the most frequently-used graft types for anterior cruciate ligament (ACL) reconstruction, with no consensus on their respective effects on thigh muscle strength. The objective of this study was to re-examine isokinetic knee extensor and flexor strength before and after ACL reconstruction with patellar and hamstring tendon grafts using a single-center and a relatively large database, where surgical, rehabilitation and testing procedures were strictly standardized for all patients. Methods: A total of 464 patients with a unilateral ACL rupture underwent arthroscopic ACL reconstruction with either patellar or hamstring tendon grafts. Isokinetic concentric strength was evaluated prior to surgery and at 5- and 9-month postoperative follow-ups in different patient subgroups (n = 140, 464 and 215, respectively). Results: Knee extensor strength was lower in patients operated with the patellar tendon graft at the 5-month (p &lt; 0.05) but not at the 9-month follow-up. Knee flexor strength was lower in patients operated with the hamstring tendon graft at both postoperative time points (p &lt; 0.05). The prevalence of quadriceps weakness was high (66-91%) in both patient groups at both follow-ups. Conclusion: Overall, postoperative recovery of thigh muscle function seems to be better with the patellar than with the hamstring tendon graft due to the fact that both, knee extensor and flexor strength, were more impaired after ACL reconstruction with the hamstring tendon autograft.","archive_location":"WOS:000457496900015","container-title":"PHYSICIAN AND SPORTSMEDICINE","DOI":"10.1080/00913847.2018.1526627","ISSN":"0091-3847","issue":"1","language":"English","page":"85-90","title":"Knee extensor and flexor strength before and after anterior cruciate ligament reconstruction in a large sample of patients: influence of graft type","volume":"47","author":[{"family":"Huber","given":"R"},{"family":"Viecelli","given":"C"},{"family":"Bizzini","given":"M"},{"family":"Friesenbichler","given":"B"},{"family":"Dohm-Acker","given":"M"},{"family":"Rosenheck","given":"T"},{"family":"Harder","given":"L"},{"family":"Maffiuletti","given":"NA"}],"issued":{"date-parts":[["2019",1,2]]}}}],"schema":"https://github.com/citation-style-language/schema/raw/master/csl-citation.json"} </w:instrText>
      </w:r>
      <w:r w:rsidRPr="000522AA">
        <w:fldChar w:fldCharType="separate"/>
      </w:r>
      <w:r w:rsidR="00531E54" w:rsidRPr="000522AA">
        <w:rPr>
          <w:vertAlign w:val="superscript"/>
        </w:rPr>
        <w:t>36,37</w:t>
      </w:r>
      <w:r w:rsidRPr="000522AA">
        <w:fldChar w:fldCharType="end"/>
      </w:r>
      <w:r w:rsidRPr="000522AA">
        <w:t>.</w:t>
      </w:r>
      <w:r w:rsidR="000125FB" w:rsidRPr="000522AA">
        <w:t xml:space="preserve"> Traditional test batteries </w:t>
      </w:r>
      <w:r w:rsidR="0005725B" w:rsidRPr="000522AA">
        <w:t xml:space="preserve">for patients </w:t>
      </w:r>
      <w:r w:rsidR="00D72490">
        <w:t>returning to sport post-surgery focus on maximal strength but may not fully assess quadriceps function across a range of contractile demands 14</w:t>
      </w:r>
      <w:r w:rsidR="000125FB" w:rsidRPr="000522AA">
        <w:t xml:space="preserve">. </w:t>
      </w:r>
      <w:r w:rsidR="0005725B" w:rsidRPr="000522AA">
        <w:t>Single-velocity testing at slow isokinetic velocities or isometric testing is best used to evaluate maximal muscle force generation, while testing at higher velocities is best used to evaluate maximal power generation 24</w:t>
      </w:r>
      <w:r w:rsidR="005B149D" w:rsidRPr="000522AA">
        <w:t xml:space="preserve">. </w:t>
      </w:r>
      <w:r w:rsidR="000125FB" w:rsidRPr="000522AA">
        <w:t xml:space="preserve">Evaluation of the quadriceps across multiple angular velocities allows clinicians and researchers to </w:t>
      </w:r>
      <w:r w:rsidR="0005725B" w:rsidRPr="000522AA">
        <w:t>examine the fundamental physiological principle of torque reduction</w:t>
      </w:r>
      <w:r w:rsidR="000125FB" w:rsidRPr="000522AA">
        <w:t xml:space="preserve"> as contraction velocity increases</w:t>
      </w:r>
      <w:r w:rsidR="000125FB" w:rsidRPr="000522AA">
        <w:fldChar w:fldCharType="begin"/>
      </w:r>
      <w:r w:rsidR="00E37B6F" w:rsidRPr="000522AA">
        <w:instrText xml:space="preserve"> ADDIN ZOTERO_ITEM CSL_CITATION {"citationID":"x5FdG5Hv","properties":{"formattedCitation":"\\super 13\\nosupersub{}","plainCitation":"13","noteIndex":0},"citationItems":[{"id":1978,"uris":["http://zotero.org/users/6207158/items/5NLWXFYA"],"itemData":{"id":1978,"type":"article-journal","abstract":"The relationship between torque-velocity characteristics of the knee extensors during isokinetic contractions and muscle fiber type of the vastus lateralis, determined from two muscle biopsy samples, was investigated in 12 male and 18 female subjects. Peak torque, corrected for the effect of gravity and impact artifact, was classified as corrected peak torque. The torque measured 30 degrees from full extension and, corrected for gravity, was classified as corrected torque at 30 degrees. No significant correlations were found between the percentage of fast-twitch fibers (%FT) or the relative area of FT fibers (%FTA) and corrected peak torque values for any of the velocities tested or the knee angles where corrected peak torques were measured. However, significant inverse relationships were determined for corrected torque at 30 degrees at all but the fastest velocity (270 degrees/s) and both %FT and %FTA for the male subjects. These results reveal that muscle fiber type of the vastus lateralis, based on duplicate muscle samples, is not related to the peak torque actually generated by the knee extensors but may influence the shape of the torque output for maximal contractions sustained over the entire range of motion.","container-title":"Journal of Applied Physiology","DOI":"10.1152/jappl.1985.59.2.309","ISSN":"8750-7587, 1522-1601","issue":"2","journalAbbreviation":"Journal of Applied Physiology","language":"en","page":"309-314","source":"DOI.org (Crossref)","title":"Torque-velocity characteristics and muscle fiber type in human vastus lateralis","volume":"59","author":[{"family":"Froese","given":"E. A."},{"family":"Houston","given":"M. E."}],"issued":{"date-parts":[["1985",8,1]]}}}],"schema":"https://github.com/citation-style-language/schema/raw/master/csl-citation.json"} </w:instrText>
      </w:r>
      <w:r w:rsidR="000125FB" w:rsidRPr="000522AA">
        <w:fldChar w:fldCharType="separate"/>
      </w:r>
      <w:r w:rsidR="000125FB" w:rsidRPr="000522AA">
        <w:rPr>
          <w:vertAlign w:val="superscript"/>
        </w:rPr>
        <w:t>13</w:t>
      </w:r>
      <w:r w:rsidR="000125FB" w:rsidRPr="000522AA">
        <w:fldChar w:fldCharType="end"/>
      </w:r>
      <w:r w:rsidR="000125FB" w:rsidRPr="000522AA">
        <w:t>.</w:t>
      </w:r>
      <w:r w:rsidR="00E37B6F" w:rsidRPr="000522AA">
        <w:t xml:space="preserve"> </w:t>
      </w:r>
      <w:r w:rsidR="005B149D" w:rsidRPr="000522AA">
        <w:t xml:space="preserve">The two-point method has previously shown agreement with testing </w:t>
      </w:r>
      <w:r w:rsidR="0005725B" w:rsidRPr="000522AA">
        <w:t>across a wider range of velocities and may be a time-efficient method for measuring both maximal force and power production</w:t>
      </w:r>
      <w:r w:rsidR="0005725B" w:rsidRPr="000522AA">
        <w:rPr>
          <w:vertAlign w:val="superscript"/>
        </w:rPr>
        <w:t>23,38</w:t>
      </w:r>
      <w:r w:rsidR="005B149D" w:rsidRPr="000522AA">
        <w:t xml:space="preserve">. </w:t>
      </w:r>
    </w:p>
    <w:p w14:paraId="3CD2DC0A" w14:textId="77777777" w:rsidR="00DF1768" w:rsidRPr="000522AA" w:rsidRDefault="00DF1768" w:rsidP="00941D7F">
      <w:pPr>
        <w:contextualSpacing/>
      </w:pPr>
    </w:p>
    <w:p w14:paraId="28855A22" w14:textId="5850B3D7" w:rsidR="000125FB" w:rsidRPr="000522AA" w:rsidRDefault="00B136EE" w:rsidP="00941D7F">
      <w:pPr>
        <w:contextualSpacing/>
      </w:pPr>
      <w:r w:rsidRPr="000522AA">
        <w:t>To obtain valid and reliable results, several critical steps are included in the protocol.</w:t>
      </w:r>
      <w:r w:rsidR="00D23F97" w:rsidRPr="000522AA">
        <w:t xml:space="preserve"> Accurate alignment of the dynamometer axis with the lateral femoral condyle is essential to create the appropriate axis of rotation. Consistent </w:t>
      </w:r>
      <w:r w:rsidR="00C949E6" w:rsidRPr="000522AA">
        <w:t xml:space="preserve">position of the chair, restraints, and lever-arm pad </w:t>
      </w:r>
      <w:r w:rsidR="007157AB" w:rsidRPr="000522AA">
        <w:t>must</w:t>
      </w:r>
      <w:r w:rsidR="00C949E6" w:rsidRPr="000522AA">
        <w:t xml:space="preserve"> be recorded to improve repeatability across longitudinal sessions.</w:t>
      </w:r>
      <w:r w:rsidR="002F280B" w:rsidRPr="000522AA">
        <w:t xml:space="preserve"> </w:t>
      </w:r>
      <w:r w:rsidRPr="000522AA">
        <w:t>A setup</w:t>
      </w:r>
      <w:r w:rsidR="002F280B" w:rsidRPr="000522AA">
        <w:t xml:space="preserve"> that stabilizes trunk extension is</w:t>
      </w:r>
      <w:r w:rsidR="00C949E6" w:rsidRPr="000522AA">
        <w:t xml:space="preserve"> </w:t>
      </w:r>
      <w:r w:rsidR="002F280B" w:rsidRPr="000522AA">
        <w:t>critical, as accessory motion of the trunk will affect torque output</w:t>
      </w:r>
      <w:r w:rsidR="008C36F1" w:rsidRPr="000522AA">
        <w:rPr>
          <w:vertAlign w:val="superscript"/>
        </w:rPr>
        <w:t>39</w:t>
      </w:r>
      <w:r w:rsidR="002F280B" w:rsidRPr="000522AA">
        <w:t>.</w:t>
      </w:r>
      <w:r w:rsidRPr="000522AA">
        <w:t xml:space="preserve"> </w:t>
      </w:r>
      <w:r w:rsidR="00C949E6" w:rsidRPr="000522AA">
        <w:t>Standardized participant instruction and verbal encouragement cues are necessary to ensure consistent effort in task performance</w:t>
      </w:r>
      <w:r w:rsidR="00C949E6" w:rsidRPr="000522AA">
        <w:fldChar w:fldCharType="begin"/>
      </w:r>
      <w:r w:rsidR="00531E54" w:rsidRPr="000522AA">
        <w:instrText xml:space="preserve"> ADDIN ZOTERO_ITEM CSL_CITATION {"citationID":"NFuGssQD","properties":{"formattedCitation":"\\super 42\\nosupersub{}","plainCitation":"42","noteIndex":0},"citationItems":[{"id":9060,"uris":["http://zotero.org/users/6207158/items/JADF9JNU"],"itemData":{"id":9060,"type":"article-journal","abstract":"Rendos, NK, Harriell, K, Qazi, S, Regis, RC, Alipio, TC, and Signorile, JF. Variations in verbal encouragement modify isokinetic performance. J Strength Cond Res 33(3): 708-716, 2019-Verbal instruction and encouragement are common in exercise testing; however, the verbiage used during exercise testing is rarely controlled despite the likelihood it may affect the participant's performance. Although variations in verbal cuing based on rate and intensity have been examined during isometric contractions, they have not been examined during isokinetic testing, which is a standardized assessment of muscle performance in athletic, rehabilitation, and research settings. This study examined the effects of 4 variations in verbal encouragement during isokinetic knee flexion and extension exercises. Twenty-three healthy participants (aged 19-34 years) completed 4 isokinetic testing sessions on a Biodex isokinetic dynamometer. Each session consisted of 5, 10, and 15 repetitions at 1.05 rad·s (60°·s), 3.14 rad·s (180°·s), and 5.24 rad·s (300°·s), respectively, separated by 5-minute passive recoveries. The variations in verbal encouragement randomized during each testing session used the following statements: (a) \"as fast as you can\" (FAST); (b) \"as hard as you can\" (HARD); (c) \"as hard and as fast as you can\" (BOTH); and (d) no verbal encouragement (NO CUE). Repeated-measures analyses of variance with a Bonferroni post hoc analysis revealed that the FAST and BOTH verbal cues produced greater work, peak torque, and power at all 3 speeds of isokinetic testing. These findings indicate the verbal cues \"as fast as you can\" and \"as hard and as fast as you can\" should be used to maximize performance during isokinetic testing.","container-title":"Journal of Strength and Conditioning Research","DOI":"10.1519/JSC.0000000000002998","ISSN":"1533-4287","issue":"3","journalAbbreviation":"J Strength Cond Res","language":"eng","page":"708-716","PMID":"30589722","source":"PubMed","title":"Variations in Verbal Encouragement Modify Isokinetic Performance","volume":"33","author":[{"family":"Rendos","given":"Nicole K."},{"family":"Harriell","given":"Kysha"},{"family":"Qazi","given":"Shayaan"},{"family":"Regis","given":"Rebeca C."},{"family":"Alipio","given":"Taislaine C."},{"family":"Signorile","given":"Joseph F."}],"issued":{"date-parts":[["2019",3]]}}}],"schema":"https://github.com/citation-style-language/schema/raw/master/csl-citation.json"} </w:instrText>
      </w:r>
      <w:r w:rsidR="00C949E6" w:rsidRPr="000522AA">
        <w:fldChar w:fldCharType="separate"/>
      </w:r>
      <w:r w:rsidR="00531E54" w:rsidRPr="000522AA">
        <w:rPr>
          <w:vertAlign w:val="superscript"/>
        </w:rPr>
        <w:t>4</w:t>
      </w:r>
      <w:r w:rsidR="00C949E6" w:rsidRPr="000522AA">
        <w:fldChar w:fldCharType="end"/>
      </w:r>
      <w:r w:rsidR="008C36F1" w:rsidRPr="000522AA">
        <w:rPr>
          <w:vertAlign w:val="superscript"/>
        </w:rPr>
        <w:t>0</w:t>
      </w:r>
      <w:r w:rsidR="00C949E6" w:rsidRPr="000522AA">
        <w:t xml:space="preserve">. Familiarization repetitions </w:t>
      </w:r>
      <w:r w:rsidR="007157AB" w:rsidRPr="000522AA">
        <w:t>must</w:t>
      </w:r>
      <w:r w:rsidR="00C949E6" w:rsidRPr="000522AA">
        <w:t xml:space="preserve"> be completed before maximal repetitions to reduce learning effects and correct any compensatory movements. Inconsistent effort, large deviations in torque curves, and high variability trials should be reassessed when possible.</w:t>
      </w:r>
    </w:p>
    <w:p w14:paraId="2DD89EB8" w14:textId="77777777" w:rsidR="00DF1768" w:rsidRPr="000522AA" w:rsidRDefault="00DF1768" w:rsidP="00941D7F">
      <w:pPr>
        <w:contextualSpacing/>
      </w:pPr>
    </w:p>
    <w:p w14:paraId="2146C7EC" w14:textId="6974BF34" w:rsidR="002F280B" w:rsidRPr="000522AA" w:rsidRDefault="00B136EE" w:rsidP="00941D7F">
      <w:pPr>
        <w:contextualSpacing/>
      </w:pPr>
      <w:r w:rsidRPr="000522AA">
        <w:t xml:space="preserve">The two-point method was chosen as a </w:t>
      </w:r>
      <w:r w:rsidR="00146187" w:rsidRPr="000522AA">
        <w:t>time-efficient, clinically feasible protocol to characterize the torque-velocity relationship rapidly and minimize</w:t>
      </w:r>
      <w:r w:rsidRPr="000522AA">
        <w:t xml:space="preserve"> muscle fatigue. The optional fuller </w:t>
      </w:r>
      <w:r w:rsidR="00146187" w:rsidRPr="000522AA">
        <w:t>multiple-velocity testing protocol can be performed across</w:t>
      </w:r>
      <w:r w:rsidRPr="000522AA">
        <w:t xml:space="preserve"> all testing conditions. Different pairings of angular velocity reflect distinct physiological and neuromechanical features</w:t>
      </w:r>
      <w:r w:rsidRPr="000522AA">
        <w:fldChar w:fldCharType="begin"/>
      </w:r>
      <w:r w:rsidR="00E37B6F" w:rsidRPr="000522AA">
        <w:instrText xml:space="preserve"> ADDIN ZOTERO_ITEM CSL_CITATION {"citationID":"muM3E9hS","properties":{"formattedCitation":"\\super 15\\nosupersub{}","plainCitation":"15","noteIndex":0},"citationItems":[{"id":9054,"uris":["http://zotero.org/users/6207158/items/HT8ID2GN"],"itemData":{"id":9054,"type":"article-journal","container-title":"Journal of Sport Rehabilitation","DOI":"10.1123/jsr.2025-0237","page":"1 - 6","publisher":"Human Kinetics","publisher-place":"Champaign IL, USA","title":"Torque–Velocity is Associated With Voluntary Activation and Corticospinal Excitability in Healthy Knees, but Not Following Anterior Cruciate Ligament Reconstruction","author":[{"family":"Thompson","given":"Xavier D."},{"family":"Resch","given":"Jacob E."},{"family":"Kuenze","given":"Chris"},{"family":"Brockmeier","given":"Stephen F."},{"family":"Hart","given":"Joe"}],"issued":{"date-parts":[["2026"]]}}}],"schema":"https://github.com/citation-style-language/schema/raw/master/csl-citation.json"} </w:instrText>
      </w:r>
      <w:r w:rsidRPr="000522AA">
        <w:fldChar w:fldCharType="separate"/>
      </w:r>
      <w:r w:rsidRPr="000522AA">
        <w:rPr>
          <w:vertAlign w:val="superscript"/>
        </w:rPr>
        <w:t>15</w:t>
      </w:r>
      <w:r w:rsidRPr="000522AA">
        <w:fldChar w:fldCharType="end"/>
      </w:r>
      <w:r w:rsidRPr="000522AA">
        <w:t>. Comparisons between isometric and slow isokinetic velocity conditions may reflect the ability to preserve torque production across static and dynamic contractions, while pairings with larger differences in velocity may reflect the ability to produce torque across a variety of muscular demands</w:t>
      </w:r>
      <w:r w:rsidRPr="000522AA">
        <w:fldChar w:fldCharType="begin"/>
      </w:r>
      <w:r w:rsidR="00E37B6F" w:rsidRPr="000522AA">
        <w:instrText xml:space="preserve"> ADDIN ZOTERO_ITEM CSL_CITATION {"citationID":"ru4vu10P","properties":{"formattedCitation":"\\super 15\\nosupersub{}","plainCitation":"15","noteIndex":0},"citationItems":[{"id":9054,"uris":["http://zotero.org/users/6207158/items/HT8ID2GN"],"itemData":{"id":9054,"type":"article-journal","container-title":"Journal of Sport Rehabilitation","DOI":"10.1123/jsr.2025-0237","page":"1 - 6","publisher":"Human Kinetics","publisher-place":"Champaign IL, USA","title":"Torque–Velocity is Associated With Voluntary Activation and Corticospinal Excitability in Healthy Knees, but Not Following Anterior Cruciate Ligament Reconstruction","author":[{"family":"Thompson","given":"Xavier D."},{"family":"Resch","given":"Jacob E."},{"family":"Kuenze","given":"Chris"},{"family":"Brockmeier","given":"Stephen F."},{"family":"Hart","given":"Joe"}],"issued":{"date-parts":[["2026"]]}}}],"schema":"https://github.com/citation-style-language/schema/raw/master/csl-citation.json"} </w:instrText>
      </w:r>
      <w:r w:rsidRPr="000522AA">
        <w:fldChar w:fldCharType="separate"/>
      </w:r>
      <w:r w:rsidRPr="000522AA">
        <w:rPr>
          <w:vertAlign w:val="superscript"/>
        </w:rPr>
        <w:t>15</w:t>
      </w:r>
      <w:r w:rsidRPr="000522AA">
        <w:fldChar w:fldCharType="end"/>
      </w:r>
      <w:r w:rsidRPr="000522AA">
        <w:t>.</w:t>
      </w:r>
      <w:r w:rsidR="00DA797D" w:rsidRPr="000522AA">
        <w:t xml:space="preserve"> Knee angular velocities may exceed 360°/s during walking, while other activities of daily living may occur in middle ranges (i.e.</w:t>
      </w:r>
      <w:r w:rsidR="003C5E28" w:rsidRPr="000522AA">
        <w:t>,</w:t>
      </w:r>
      <w:r w:rsidR="00DA797D" w:rsidRPr="000522AA">
        <w:t xml:space="preserve"> 120</w:t>
      </w:r>
      <w:r w:rsidR="003C5E28" w:rsidRPr="000522AA">
        <w:t>–</w:t>
      </w:r>
      <w:r w:rsidR="00DA797D" w:rsidRPr="000522AA">
        <w:t>140°/s)</w:t>
      </w:r>
      <w:r w:rsidR="00DA797D" w:rsidRPr="000522AA">
        <w:fldChar w:fldCharType="begin"/>
      </w:r>
      <w:r w:rsidR="00DA797D" w:rsidRPr="000522AA">
        <w:instrText xml:space="preserve"> ADDIN ZOTERO_ITEM CSL_CITATION {"citationID":"vP91erKn","properties":{"unsorted":false,"formattedCitation":"\\super 39, 40\\nosupersub{}","plainCitation":"39, 40","noteIndex":0},"citationItems":[{"id":9098,"uris":["http://zotero.org/users/6207158/items/DUMW77CJ"],"itemData":{"id":9098,"type":"article-journal","abstract":"BACKGROUND AND PURPOSE: Knee kinematics and kinetics have not been quantitatively studied during gait, stair negotiation, and rising from a chair in the same subjects, either among healthy control subjects or among subjects with knee joint impairments. Despite this paucity of data, rehabilitation goals often include achieving a specific peak knee torque at a specific, fixed angular velocity.\nSUBJECTS: We compared the kinematic and kinetic performance of the knees in 15 subjects (19 knees) who had undergone knee arthroplasty (KA group) and 11 healthy subjects (22 knees) who served as a control group. The KA group subjects ranged in age from 61 to 78 years, and the control group subjects ranged in age from 26 to 88 years. The KA group subjects had had knee osteoarthritis, were &gt; or = 1 year postsurgery, and were considered fully rehabilitated.\nMETHODS: All subjects were analyzed during barefoot paced walking, stair ascent and descent, and arising from a chair.\nRESULTS: Compared with the control subjects, the KA group subjects had significantly different knee sagittal range of motion, angular velocities, and maximum knee moments during loaded knee extension. Vertical ground reactions did not differ significantly between groups. Both groups' maximum extension angular velocity exceeded 350 degrees/s during the swing phase of gait, but the maximum loaded extension velocity averaged only 140 degrees/s (during rising from a chair). Maximum knee flexion moments were approximately 10 to 15 N.m/%BW (knee moments normalized to percentage of body weight in newtons).\nCONCLUSION AND DISCUSSION: We concluded that locomotor ADLs demand relatively slow loaded angular velocities and low knee torques, a factor that should be considered in knee postarthroplasty exercise prescription.","container-title":"Physical Therapy","DOI":"10.1093/ptj/73.4.229","ISSN":"0031-9023","issue":"4","journalAbbreviation":"Phys Ther","language":"eng","page":"229-239; discussion 240-242","PMID":"8456142","source":"PubMed","title":"Knee kinematics and kinetics during locomotor activities of daily living in subjects with knee arthroplasty and in healthy control subjects","volume":"73","author":[{"family":"Jevsevar","given":"D. S."},{"family":"Riley","given":"P. O."},{"family":"Hodge","given":"W. A."},{"family":"Krebs","given":"D. E."}],"issued":{"date-parts":[["1993",4]]}}},{"id":9095,"uris":["http://zotero.org/users/6207158/items/DRG7MGKL"],"itemData":{"id":9095,"type":"article-journal","abstract":"Background\nAlthough it is well established that lower limb joint angles adapt to walking at various speeds, limited research has examined the modifications in joint angular velocity. There is currently no normative dataset for joint angular velocity during walking, which would be useful to allow comparisons for patient cohorts. Additionally, understanding normal joint angular velocity may assist clinical assessment and treatment procedures to incorporate methods that replicate the movement speed of the lower limb joints during walking.\nResearch Question\nThis study aimed to examine lower limb joint angles and angular velocities in a healthy population walking at various gait speeds.\nMethods\nThirty-six healthy adult participants underwent three-dimensional gait analysis while walking at various speeds during habitual and slowed walking. The peak joint angles and angular velocities during important phases of the gait cycle were examined for the hip, knee and ankle in the sagittal plane. Data were grouped in 0.2 m/s increments from a walking speed of 0.4 m/s to 1.6 m/s to represent the range of walking speeds reported in studies of people with gait impairments.\nResults\nFor joint angles and angular velocities, the shape of the gait traces were consistent regardless of the walking speed. However as walking speed increased, so did the peak joint angles and angular velocities for the hip, knee and ankle. The largest angular velocity occurred when the knee joint extended at the terminal swing phase of gait. For the ankle and hip joints, the largest angular velocity occurred during the push-off phase.\nSignificance\nThis study examined how lower limb joint angular velocities change with various walking speeds. These data can be used as a comparator for data from clinical cohorts, and has the potential to be used to match clinical assessment and treatment methods to joint angular velocity during walking.","container-title":"Gait &amp; Posture","DOI":"10.1016/j.gaitpost.2018.06.162","ISSN":"0966-6362","journalAbbreviation":"Gait &amp; Posture","page":"190-196","source":"ScienceDirect","title":"Lower limb angular velocity during walking at various speeds","volume":"65","author":[{"family":"Mentiplay","given":"Benjamin F."},{"family":"Banky","given":"Megan"},{"family":"Clark","given":"Ross A."},{"family":"Kahn","given":"Michelle B."},{"family":"Williams","given":"Gavin"}],"issued":{"date-parts":[["2018",9,1]]}}}],"schema":"https://github.com/citation-style-language/schema/raw/master/csl-citation.json"} </w:instrText>
      </w:r>
      <w:r w:rsidR="00DA797D" w:rsidRPr="000522AA">
        <w:fldChar w:fldCharType="separate"/>
      </w:r>
      <w:r w:rsidR="008C36F1" w:rsidRPr="000522AA">
        <w:rPr>
          <w:vertAlign w:val="superscript"/>
        </w:rPr>
        <w:t>41</w:t>
      </w:r>
      <w:r w:rsidR="00DA797D" w:rsidRPr="000522AA">
        <w:rPr>
          <w:vertAlign w:val="superscript"/>
        </w:rPr>
        <w:t>,4</w:t>
      </w:r>
      <w:r w:rsidR="00DA797D" w:rsidRPr="000522AA">
        <w:fldChar w:fldCharType="end"/>
      </w:r>
      <w:r w:rsidR="008C36F1" w:rsidRPr="000522AA">
        <w:rPr>
          <w:vertAlign w:val="superscript"/>
        </w:rPr>
        <w:t>2</w:t>
      </w:r>
      <w:r w:rsidR="00DA797D" w:rsidRPr="000522AA">
        <w:t>. Focusing solely on maximal force production</w:t>
      </w:r>
      <w:r w:rsidR="00917C36" w:rsidRPr="000522AA">
        <w:t xml:space="preserve"> or on a single end of the velocity spectrum may fail to appropriately compare muscle functional capacity with the demands of daily life or </w:t>
      </w:r>
      <w:r w:rsidR="00DA797D" w:rsidRPr="000522AA">
        <w:t xml:space="preserve">sport. When time allows, clinicians should </w:t>
      </w:r>
      <w:r w:rsidR="003C5E28" w:rsidRPr="000522AA">
        <w:t>use a wide range of testing velocities; the two-point method may be used in its place when time constraints require</w:t>
      </w:r>
      <w:r w:rsidR="00DA797D" w:rsidRPr="000522AA">
        <w:t>.</w:t>
      </w:r>
    </w:p>
    <w:p w14:paraId="3C1A2E30" w14:textId="77777777" w:rsidR="00DF1768" w:rsidRPr="000522AA" w:rsidRDefault="00DF1768" w:rsidP="00941D7F">
      <w:pPr>
        <w:contextualSpacing/>
      </w:pPr>
    </w:p>
    <w:p w14:paraId="28539161" w14:textId="15FC9FD7" w:rsidR="001A7B67" w:rsidRPr="000522AA" w:rsidRDefault="00B136EE" w:rsidP="00941D7F">
      <w:pPr>
        <w:contextualSpacing/>
      </w:pPr>
      <w:r w:rsidRPr="000522AA">
        <w:t>This method may be modified based on patient population</w:t>
      </w:r>
      <w:r w:rsidR="001F1D48" w:rsidRPr="000522AA">
        <w:t>,</w:t>
      </w:r>
      <w:r w:rsidRPr="000522AA">
        <w:t xml:space="preserve"> pain tolerance, available time, or </w:t>
      </w:r>
      <w:r w:rsidR="00F75FB1" w:rsidRPr="000522AA">
        <w:t xml:space="preserve">to </w:t>
      </w:r>
      <w:r w:rsidR="003C5E28" w:rsidRPr="000522AA">
        <w:t xml:space="preserve">use </w:t>
      </w:r>
      <w:r w:rsidR="00965708" w:rsidRPr="000522AA">
        <w:t xml:space="preserve">a different type of </w:t>
      </w:r>
      <w:r w:rsidR="00146187" w:rsidRPr="000522AA">
        <w:t>multimodal</w:t>
      </w:r>
      <w:r w:rsidR="00F75FB1" w:rsidRPr="000522AA">
        <w:t xml:space="preserve"> dynamometer</w:t>
      </w:r>
      <w:r w:rsidRPr="000522AA">
        <w:t xml:space="preserve">. If multiple-velocity testing is not practical, clinicians may use the </w:t>
      </w:r>
      <w:r w:rsidR="00146187" w:rsidRPr="000522AA">
        <w:t>two-point</w:t>
      </w:r>
      <w:r w:rsidRPr="000522AA">
        <w:t xml:space="preserve"> method</w:t>
      </w:r>
      <w:r w:rsidRPr="000522AA">
        <w:fldChar w:fldCharType="begin"/>
      </w:r>
      <w:r w:rsidR="00E37B6F" w:rsidRPr="000522AA">
        <w:instrText xml:space="preserve"> ADDIN ZOTERO_ITEM CSL_CITATION {"citationID":"qP6VAUWi","properties":{"formattedCitation":"\\super 14, 23\\nosupersub{}","plainCitation":"14, 23","noteIndex":0},"citationItems":[{"id":2409,"uris":["http://zotero.org/users/6207158/items/XKNKEZ2I"],"itemData":{"id":2409,"type":"article-journal","abstract":"Background: The inherent nature of the torque-velocity relationship is the inverse nature between the velocity of muscle contraction and torque production and is an indication of muscle function. The purpose of this study was to characterize the torque-velocity relationship in the quadriceps following anterior cruciate ligament recon­ struction compared to healthy limbs.","container-title":"Clinical Biomechanics","DOI":"10.1016/j.clinbiomech.2023.106058","ISSN":"02680033","journalAbbreviation":"Clinical Biomechanics","language":"en","page":"106058","source":"DOI.org (Crossref)","title":"Knee extensor torque-velocity relationships following anterior cruciate ligament reconstruction","volume":"108","author":[{"family":"Thompson","given":"Xavier D."},{"family":"Bruce Leicht","given":"Amelia S."},{"family":"Hopper","given":"Haleigh M."},{"family":"Kaur","given":"Mandeep"},{"family":"Diduch","given":"David R."},{"family":"Brockmeier","given":"Stephen F."},{"family":"Miller","given":"Mark D."},{"family":"Gwathmey","given":"F. Winston"},{"family":"Werner","given":"Brian C."},{"family":"Hart","given":"Joe M."}],"issued":{"date-parts":[["2023",8]]}}},{"id":43,"uris":["http://zotero.org/users/6207158/items/BYDCLCD9"],"itemData":{"id":43,"type":"article-journal","abstract":"Purpose: After anterior cruciate ligament reconstruction (ACL-R), knee muscle strength symmetry is used as part of the return-to-sport criteria. However, little is known about the changes in the force–velocity (F–V) relationship, which could affect athletic performance. This study investigated the F–V relationship of knee muscles at 4 and 8 months after ACL-R, using the 2-point method tested by isokinetic dynamometry. Methods: A total of 103 physically trained individuals (24.6 [9.3] y, 59.2% male) who underwent primary ACL-R were included. Demographic information and surgery characteristics were collected at 6 weeks postoperatively. Isokinetic knee flexors’ and extensors’ peak torques were measured at 60° and 240° per second in the concentric mode at 4 and 8 months postoperative. Peak torques and angular velocities were converted to force and linear velocity for calculating maximum isometric force (F0) and the slope of the regression line (F–V slope). Results: At 4 and 8 months postoperative, F0 was significantly lower and F–V slope was significantly less steep (less negative) on the operated leg compared with the nonoperated leg for knee extensors (P &lt; .001) and flexors (P &lt; .001–.002). The limb symmetry index calculated using F0 was lower than the limb symmetry indexes assessed at 60° and 240° per second, especially for knee flexors (P &lt; .001). The use of patellar tendon grafts was associated with lower F0 and a less steep F–V slope compared with hamstring tendon grafts (P &lt; .010). Conclusion: The isokinetic 2-point model assessing the F–V relationship provides additional and relevant insight for evaluating knee muscle strength after ACL-R.","container-title":"International Journal of Sports Physiology and Performance","DOI":"10.1123/ijspp.2023-0108","ISSN":"1555-0273, 1555-0265","issue":"aop","language":"en","page":"1-9","publisher":"Human Kinetics","section":"International Journal of Sports Physiology and Performance","source":"journals-humankinetics-com.proxy1.library.virginia.edu","title":"Changes in the Force–Velocity Relationship of Knee Muscles After Anterior Cruciate Ligament Reconstruction Using the Isokinetic 2-Point Model","volume":"-1","author":[{"family":"Drigny","given":"Joffrey"},{"family":"Calmès","given":"Anaelle"},{"family":"Reboursière","given":"Emmanuel"},{"family":"Hulet","given":"Christophe"},{"family":"Gauthier","given":"Antoine"}],"issued":{"date-parts":[["2023",9,6]]}}}],"schema":"https://github.com/citation-style-language/schema/raw/master/csl-citation.json"} </w:instrText>
      </w:r>
      <w:r w:rsidRPr="000522AA">
        <w:fldChar w:fldCharType="separate"/>
      </w:r>
      <w:r w:rsidR="00E37B6F" w:rsidRPr="000522AA">
        <w:rPr>
          <w:vertAlign w:val="superscript"/>
        </w:rPr>
        <w:t>14,23</w:t>
      </w:r>
      <w:r w:rsidRPr="000522AA">
        <w:fldChar w:fldCharType="end"/>
      </w:r>
      <w:r w:rsidRPr="000522AA">
        <w:t xml:space="preserve">. To mitigate fatigue, clinicians or researchers may modify rest periods. </w:t>
      </w:r>
      <w:r w:rsidR="00296295" w:rsidRPr="000522AA">
        <w:t xml:space="preserve">The rest intervals chosen in this protocol were consistent with previous </w:t>
      </w:r>
      <w:r w:rsidR="00DE1CA8" w:rsidRPr="000522AA">
        <w:t>investigations</w:t>
      </w:r>
      <w:r w:rsidR="00296295" w:rsidRPr="000522AA">
        <w:fldChar w:fldCharType="begin"/>
      </w:r>
      <w:r w:rsidR="00296295" w:rsidRPr="000522AA">
        <w:instrText xml:space="preserve"> ADDIN ZOTERO_ITEM CSL_CITATION {"citationID":"gnyUsqAq","properties":{"unsorted":false,"formattedCitation":"\\super 24, 30, 31\\nosupersub{}","plainCitation":"24, 30, 31","noteIndex":0},"citationItems":[{"id":9079,"uris":["http://zotero.org/users/6207158/items/H2S73TQT"],"itemData":{"id":9079,"type":"article-journal","abstract":"&lt;p&gt;Single outcomes of standard isokinetic dynamometry tests do not discern between various muscle mechanical capacities. In this study, we aimed to (1) evaluate the shape and strength of the force-velocity relationship of knee extensors, as observed in isokinetic tests conducted at a wide range of angular velocities, and (2) explore the concurrent validity of a simple 2-velocity method. Thirteen physically active females were tested for both the peak and averaged knee extensor concentric force exerted at the angular velocities of 30°–240°/s recorded in the 90°–170° range of knee extension. The results revealed strong (0.960&lt;R&lt;0.998) linear force-velocity relationships that depict the maximum muscle force (i.e. the force-intercept), velocity (velocity-intercept), and power (their product). Moreover, the line drawn through only the 60° and 180°/s data (the ‘2-velocity method’) revealed a high level of agreement with the force-velocity relationship obtained (0.76&lt;R&lt;0.97; all power&lt;0.001); while the force-intercept highly correlated (0.68&lt;R&lt;0.84; all power≤0.01) with the directly measured isometric force. The 2-velocity method could therefore be developed into a standard method for isokinetic testing of mechanical capacities of knee extensors and, if supported by further research, other muscles. This brief and fatigue-free testing procedure could discern between muscle force, velocity, and power-producing capacities.&lt;/p&gt;","container-title":"International Journal of Sports Medicine","DOI":"10.1055/s-0043-113043","ISSN":"0172-4622, 1439-3964","issue":"10","journalAbbreviation":"Int J Sports Med","language":"en","license":"© Georg Thieme Verlag KG Stuttgart · New York","page":"741-746","publisher":"© Georg Thieme Verlag KG","source":"www-thieme-connect-com.proxy1.library.virginia.edu","title":"A Novel Two-Velocity Method for Elaborate Isokinetic Testing of Knee Extensors","volume":"38","author":[{"family":"Grbic","given":"Vladimir"},{"family":"Djuric","given":"Sasa"},{"family":"Knezevic","given":"Olivera M."},{"family":"Mirkov","given":"Dragan M."},{"family":"Nedeljkovic","given":"Aleksandar"},{"family":"Jaric","given":"Slobodan"}],"issued":{"date-parts":[["2017",9]]}}},{"id":9088,"uris":["http://zotero.org/users/6207158/items/6SQMFBDJ"],"itemData":{"id":9088,"type":"article-journal","abstract":"The aim of this study is to define the test-retest reproducibility for measuring the peak torque of the knee flexors according to the isokinetic concentric and eccentric muscle action. The tests were done in two sessions at a 21 day interval. Ten healthy national-level volleyball players, 24.3 years old ± 3.9 were included. Tests took place after the competition season. Evaluation was carried out with a Cybex 6000 dynamometer and the reliability was calculated according to the intra-class correlation coefficient (ICC?2.1). The protocol consisted of 5 isokinetic concentric contractions at 180°/s followed by 5 isokinetic eccentric contractions at 30 and 60°/s. Results show an excellent reproducibility for isokinetic concentric peak torque at 180°/s. (ICC: 0.94) and very good reproducibility for isokinetic eccentric peak torque at 30 and 60°/s.(ICC: 0.86; 0.83). These results indicate that knee flexion strength at these velocities may be used to estimate the performance of volleyball players.","container-title":"Isokinetics and Exercise Science","DOI":"10.3233/IES-2001-0076","ISSN":"0959-3020","issue":"2-3","page":"129-132","publisher":"SAGE Publications","title":"Reproducibility of concentric and eccentric isokinetic strength of the knee flexors in elite volleyball players","volume":"9","author":[{"family":"Dauty","given":"Marc"},{"family":"Rochcongar","given":"Pierre"}],"issued":{"date-parts":[["2001",5,1]]}}},{"id":9090,"uris":["http://zotero.org/users/6207158/items/GFSAGUW5"],"itemData":{"id":9090,"type":"article-journal","abstract":"The purpose of this study was to compare three different intervals for a between sets rest period during a common isokinetic knee extension strength-testing protocol of twenty older Brazilian men (66.30 ± 3.92 yrs). The volunteers underwent unilateral knee extension (Biodex System 3) testing to determine their individual isokinetic peak torque at 60, 90, and 120°s-1. The contraction speeds and the rest periods between sets (30, 60 and 90 s) were randomly performed in three different days with a minimum rest period of 48 hours. Significant differences between and within sets were analyzed using a One Way Analysis of Variance (ANOVA) with repeated measures. Although, at angular velocity of 60°s-1 produced a higher peak torque, there were no significant differences in peak torque among any of the rest periods. Likewise, there were no significant differences between mean peak torque among all resting periods (30, 60 and 90s) at angular velocities of 90 and 120°s-1. The results showed that during a common isokinetic strength testing protocol a between set rest period of at least 30 s is sufficient for recovery before the next test set in older men., Key PointsThe assessment of muscular strength using isokinetics muscle contraction in older individuals is very important for exercise prescription and rehabilitation.The minimal time between intraset isokinetics knee extension assessment in older individuals need to be more investigated, however 30 s appear to besufficient time for strength recover.","container-title":"Journal of Sports Science &amp; Medicine","ISSN":"1303-2968","issue":"3","journalAbbreviation":"J Sports Sci Med","page":"285-290","PMID":"24453533","PMCID":"PMC3887332","source":"PubMed Central","title":"The Effects of Rest Interval on Quadriceps Torque During an Isokinetic Testing Protocol in Elderly","volume":"4","author":[{"family":"Bottaro","given":"Martim"},{"family":"Russo","given":"André Faria"},{"family":"Oliveira","given":"Ricardo Jacó","non-dropping-particle":"de"}],"issued":{"date-parts":[["2005",9,1]]}}}],"schema":"https://github.com/citation-style-language/schema/raw/master/csl-citation.json"} </w:instrText>
      </w:r>
      <w:r w:rsidR="00296295" w:rsidRPr="000522AA">
        <w:fldChar w:fldCharType="separate"/>
      </w:r>
      <w:r w:rsidR="00296295" w:rsidRPr="000522AA">
        <w:rPr>
          <w:vertAlign w:val="superscript"/>
        </w:rPr>
        <w:t>24,30,31</w:t>
      </w:r>
      <w:r w:rsidR="00296295" w:rsidRPr="000522AA">
        <w:fldChar w:fldCharType="end"/>
      </w:r>
      <w:r w:rsidR="00296295" w:rsidRPr="000522AA">
        <w:t xml:space="preserve">. If participants </w:t>
      </w:r>
      <w:r w:rsidR="003C5E28" w:rsidRPr="000522AA">
        <w:t>show signs of excessive fatigue, consider site-specific</w:t>
      </w:r>
      <w:r w:rsidR="00296295" w:rsidRPr="000522AA">
        <w:t xml:space="preserve"> increases in rest time. </w:t>
      </w:r>
      <w:r w:rsidRPr="000522AA">
        <w:t xml:space="preserve">This protocol recommends </w:t>
      </w:r>
      <w:r w:rsidR="00146187" w:rsidRPr="000522AA">
        <w:t>using</w:t>
      </w:r>
      <w:r w:rsidR="0059136B" w:rsidRPr="000522AA">
        <w:t xml:space="preserve"> standard spreadsheet software, but more advanced analyses may be conducted with additional software.</w:t>
      </w:r>
    </w:p>
    <w:p w14:paraId="12709278" w14:textId="77777777" w:rsidR="00DF1768" w:rsidRPr="000522AA" w:rsidRDefault="00DF1768" w:rsidP="00941D7F">
      <w:pPr>
        <w:contextualSpacing/>
      </w:pPr>
    </w:p>
    <w:p w14:paraId="785646EC" w14:textId="2FFAE851" w:rsidR="0059136B" w:rsidRPr="000522AA" w:rsidRDefault="00B136EE" w:rsidP="00941D7F">
      <w:pPr>
        <w:contextualSpacing/>
      </w:pPr>
      <w:r w:rsidRPr="000522AA">
        <w:lastRenderedPageBreak/>
        <w:t xml:space="preserve">There are limitations to this protocol that must be acknowledged. This protocol requires the use of a multimode dynamometer and appropriate operational training. The two-point method does not capture potential nonlinear changes in the torque-velocity relationship and should </w:t>
      </w:r>
      <w:r w:rsidR="009C0882" w:rsidRPr="000522AA">
        <w:t xml:space="preserve">be </w:t>
      </w:r>
      <w:r w:rsidRPr="000522AA">
        <w:t xml:space="preserve">interpreted as </w:t>
      </w:r>
      <w:r w:rsidR="00C325DC" w:rsidRPr="000522AA">
        <w:t xml:space="preserve">a </w:t>
      </w:r>
      <w:r w:rsidRPr="000522AA">
        <w:t>practical estimate</w:t>
      </w:r>
      <w:r w:rsidRPr="000522AA">
        <w:fldChar w:fldCharType="begin"/>
      </w:r>
      <w:r w:rsidR="00E37B6F" w:rsidRPr="000522AA">
        <w:instrText xml:space="preserve"> ADDIN ZOTERO_ITEM CSL_CITATION {"citationID":"82Ow54AR","properties":{"formattedCitation":"\\super 12\\nosupersub{}","plainCitation":"12","noteIndex":0},"citationItems":[{"id":637,"uris":["http://zotero.org/users/6207158/items/FFPRLGGU"],"itemData":{"id":637,"type":"article-journal","abstract":"The shape of the force-velocity (F-V) relationship has important implications for different aspects of muscle physiology, such as muscle efficiency and fatigue, the understanding of the pathophysiology of several myopathies or the mechanisms of muscle contraction per se, and may be of relevance for other fields, such as the development of robotics and prosthetic applications featuring natural muscle-like properties. However, different opinions regarding the shape of the F-V relationship and the underlying mechanisms exist in the literature. In this review, we summarize relevant evidence on the shape of the F-V relationship obtained over the last century. Studies performed at multiple scales ranging from the sarcomere to the organism level have described the concentric F-V relationship as linear, hyperbolic or double-hyperbolic. While the F-V relationship has most frequently been described as a rectangular hyperbola, a large number of studies have found deviations from the hyperbolic function at both ends of the F-V relation. Indeed, current evidence suggests that the F-V relation in skeletal muscles follows a double-hyperbolic pattern, with a breakpoint located at very high forces/low velocities, which may be a direct consequence of the kinetic properties of myofilament cross-bridge formation. Deviations at low forces/high velocities, by contrast, may be related to a recently discovered, calcium-independent regulatory mechanism of muscle contraction, which may also explain the low metabolic cost of very fast muscle shortening contractions. Controversial results have also been reported regarding the eccentric F-V relationship, with studies in prepared muscle specimens suggesting that maximum eccentric force is substantially greater than isometric force, whereas in vivo studies in humans show only a modest increase, no change, or even a decrease in force in lengthening contractions. This review discusses possible reasons reported in the literature for these discrepant findings, including the testing procedures (familiarization, pre-load condition, and temperature) and a potential neural inhibition at higher lengthening velocities. Finally, some unresolved questions and recommendations for F-V testing in humans are reported at the end of this document.","container-title":"Frontiers in Physiology","DOI":"10.3389/fphys.2019.00769","ISSN":"1664-042X","journalAbbreviation":"Front Physiol","PMID":"31275173","PMCID":"PMC6593051","source":"PubMed Central","title":"On the Shape of the Force-Velocity Relationship in Skeletal Muscles: The Linear, the Hyperbolic, and the Double-Hyperbolic","title-short":"On the Shape of the Force-Velocity Relationship in Skeletal Muscles","URL":"https://www.ncbi.nlm.nih.gov/pmc/articles/PMC6593051/","volume":"10","author":[{"family":"Alcazar","given":"Julian"},{"family":"Csapo","given":"Robert"},{"family":"Ara","given":"Ignacio"},{"family":"Alegre","given":"Luis M."}],"accessed":{"date-parts":[["2021",2,13]]},"issued":{"date-parts":[["2019",6,19]]}}}],"schema":"https://github.com/citation-style-language/schema/raw/master/csl-citation.json"} </w:instrText>
      </w:r>
      <w:r w:rsidRPr="000522AA">
        <w:fldChar w:fldCharType="separate"/>
      </w:r>
      <w:r w:rsidRPr="000522AA">
        <w:rPr>
          <w:vertAlign w:val="superscript"/>
        </w:rPr>
        <w:t>12</w:t>
      </w:r>
      <w:r w:rsidRPr="000522AA">
        <w:fldChar w:fldCharType="end"/>
      </w:r>
      <w:r w:rsidRPr="000522AA">
        <w:t>. Normative values and clinically meaningful change thresholds must still continue to be defined following ACLR</w:t>
      </w:r>
      <w:r w:rsidRPr="000522AA">
        <w:fldChar w:fldCharType="begin"/>
      </w:r>
      <w:r w:rsidR="00531E54" w:rsidRPr="000522AA">
        <w:instrText xml:space="preserve"> ADDIN ZOTERO_ITEM CSL_CITATION {"citationID":"PRwtmK7n","properties":{"formattedCitation":"\\super 15, 23, 33\\nosupersub{}","plainCitation":"15, 23, 33","noteIndex":0},"citationItems":[{"id":9054,"uris":["http://zotero.org/users/6207158/items/HT8ID2GN"],"itemData":{"id":9054,"type":"article-journal","container-title":"Journal of Sport Rehabilitation","DOI":"10.1123/jsr.2025-0237","page":"1 - 6","publisher":"Human Kinetics","publisher-place":"Champaign IL, USA","title":"Torque–Velocity is Associated With Voluntary Activation and Corticospinal Excitability in Healthy Knees, but Not Following Anterior Cruciate Ligament Reconstruction","author":[{"family":"Thompson","given":"Xavier D."},{"family":"Resch","given":"Jacob E."},{"family":"Kuenze","given":"Chris"},{"family":"Brockmeier","given":"Stephen F."},{"family":"Hart","given":"Joe"}],"issued":{"date-parts":[["2026"]]}}},{"id":43,"uris":["http://zotero.org/users/6207158/items/BYDCLCD9"],"itemData":{"id":43,"type":"article-journal","abstract":"Purpose: After anterior cruciate ligament reconstruction (ACL-R), knee muscle strength symmetry is used as part of the return-to-sport criteria. However, little is known about the changes in the force–velocity (F–V) relationship, which could affect athletic performance. This study investigated the F–V relationship of knee muscles at 4 and 8 months after ACL-R, using the 2-point method tested by isokinetic dynamometry. Methods: A total of 103 physically trained individuals (24.6 [9.3] y, 59.2% male) who underwent primary ACL-R were included. Demographic information and surgery characteristics were collected at 6 weeks postoperatively. Isokinetic knee flexors’ and extensors’ peak torques were measured at 60° and 240° per second in the concentric mode at 4 and 8 months postoperative. Peak torques and angular velocities were converted to force and linear velocity for calculating maximum isometric force (F0) and the slope of the regression line (F–V slope). Results: At 4 and 8 months postoperative, F0 was significantly lower and F–V slope was significantly less steep (less negative) on the operated leg compared with the nonoperated leg for knee extensors (P &lt; .001) and flexors (P &lt; .001–.002). The limb symmetry index calculated using F0 was lower than the limb symmetry indexes assessed at 60° and 240° per second, especially for knee flexors (P &lt; .001). The use of patellar tendon grafts was associated with lower F0 and a less steep F–V slope compared with hamstring tendon grafts (P &lt; .010). Conclusion: The isokinetic 2-point model assessing the F–V relationship provides additional and relevant insight for evaluating knee muscle strength after ACL-R.","container-title":"International Journal of Sports Physiology and Performance","DOI":"10.1123/ijspp.2023-0108","ISSN":"1555-0273, 1555-0265","issue":"aop","language":"en","page":"1-9","publisher":"Human Kinetics","section":"International Journal of Sports Physiology and Performance","source":"journals-humankinetics-com.proxy1.library.virginia.edu","title":"Changes in the Force–Velocity Relationship of Knee Muscles After Anterior Cruciate Ligament Reconstruction Using the Isokinetic 2-Point Model","volume":"-1","author":[{"family":"Drigny","given":"Joffrey"},{"family":"Calmès","given":"Anaelle"},{"family":"Reboursière","given":"Emmanuel"},{"family":"Hulet","given":"Christophe"},{"family":"Gauthier","given":"Antoine"}],"issued":{"date-parts":[["2023",9,6]]}}},{"id":9059,"uris":["http://zotero.org/users/6207158/items/LWXCNYWK"],"itemData":{"id":9059,"type":"article-journal","abstract":"The National Athletic Trainers' Association (NATA) is the professional membership association for certified athletic trainers and others who support the athletic training profession and its publications are the Journal of Athletic Training and the Athletic Training Education Journal.","DOI":"10.4085/1062-6050-0217.25","language":"en","section":"Journal of Athletic Training","source":"nata.kglmeridian.com","title":"The Torque-Velocity Relationship and Second ACL Injury Risk","URL":"https://nata.kglmeridian.com/view/journals/attr/aop/article-10.4085-1062-6050-0217.25/article-10.4085-1062-6050-0217.25.xml","author":[{"family":"Thompson","given":"Xavier D."},{"family":"Leicht","given":"Amelia S. Bruce"},{"family":"Resch","given":"Jacob E."},{"family":"Kuenze","given":"Chris"},{"family":"Brockmeier","given":"Stephen F."},{"family":"Carpenter","given":"Logan"},{"family":"Lee","given":"David"},{"family":"Gandhi","given":"Shivam"},{"family":"Almario","given":"Antonio N."},{"family":"Hart","given":"Joe"}],"accessed":{"date-parts":[["2026",4,20]]},"issued":{"date-parts":[["2026",2,11]]}}}],"schema":"https://github.com/citation-style-language/schema/raw/master/csl-citation.json"} </w:instrText>
      </w:r>
      <w:r w:rsidRPr="000522AA">
        <w:fldChar w:fldCharType="separate"/>
      </w:r>
      <w:r w:rsidR="00531E54" w:rsidRPr="000522AA">
        <w:rPr>
          <w:vertAlign w:val="superscript"/>
        </w:rPr>
        <w:t>15,23,33</w:t>
      </w:r>
      <w:r w:rsidRPr="000522AA">
        <w:fldChar w:fldCharType="end"/>
      </w:r>
      <w:r w:rsidRPr="000522AA">
        <w:t xml:space="preserve">. </w:t>
      </w:r>
      <w:r w:rsidR="005F42AB" w:rsidRPr="000522AA">
        <w:t>While many past approaches have used mass normalization to account for individual differences,</w:t>
      </w:r>
      <w:r w:rsidR="00BA0279" w:rsidRPr="000522AA">
        <w:t xml:space="preserve"> this method </w:t>
      </w:r>
      <w:r w:rsidR="00C501D3" w:rsidRPr="000522AA">
        <w:t>may not fully address differences in body composition across individuals</w:t>
      </w:r>
      <w:r w:rsidR="00C501D3" w:rsidRPr="000522AA">
        <w:rPr>
          <w:vertAlign w:val="superscript"/>
        </w:rPr>
        <w:t>33–35</w:t>
      </w:r>
      <w:r w:rsidR="00BA0279" w:rsidRPr="000522AA">
        <w:t xml:space="preserve">. Accordingly, this methodology is intended to be used alongside statistical approaches that incorporate body mass and other relevant covariates when performing </w:t>
      </w:r>
      <w:r w:rsidR="00C501D3" w:rsidRPr="000522AA">
        <w:t>long-term between-participant analyses</w:t>
      </w:r>
      <w:r w:rsidR="00BA0279" w:rsidRPr="000522AA">
        <w:t xml:space="preserve">. </w:t>
      </w:r>
      <w:r w:rsidRPr="000522AA">
        <w:t xml:space="preserve">Additional </w:t>
      </w:r>
      <w:r w:rsidR="00A21B07" w:rsidRPr="000522AA">
        <w:t xml:space="preserve">measures of muscle function </w:t>
      </w:r>
      <w:r w:rsidR="001360C9" w:rsidRPr="000522AA">
        <w:t xml:space="preserve">and </w:t>
      </w:r>
      <w:r w:rsidR="00A21B07" w:rsidRPr="000522AA">
        <w:t xml:space="preserve">performance </w:t>
      </w:r>
      <w:r w:rsidRPr="000522AA">
        <w:t>to consider</w:t>
      </w:r>
      <w:r w:rsidR="001360C9" w:rsidRPr="000522AA">
        <w:t xml:space="preserve"> for analysis</w:t>
      </w:r>
      <w:r w:rsidRPr="000522AA">
        <w:t xml:space="preserve"> include rate of torque development and torque waveforms</w:t>
      </w:r>
      <w:r w:rsidR="00BB0ED5" w:rsidRPr="000522AA">
        <w:t>,</w:t>
      </w:r>
      <w:r w:rsidR="00965708" w:rsidRPr="000522AA">
        <w:t xml:space="preserve"> </w:t>
      </w:r>
      <w:r w:rsidR="003C5E28" w:rsidRPr="000522AA">
        <w:t xml:space="preserve">which provide information such as the </w:t>
      </w:r>
      <w:r w:rsidR="00965708" w:rsidRPr="000522AA">
        <w:t>angle of peak torque</w:t>
      </w:r>
      <w:r w:rsidRPr="000522AA">
        <w:fldChar w:fldCharType="begin"/>
      </w:r>
      <w:r w:rsidR="002F48D9" w:rsidRPr="000522AA">
        <w:instrText xml:space="preserve"> ADDIN ZOTERO_ITEM CSL_CITATION {"citationID":"k3qLfZDm","properties":{"formattedCitation":"\\super 25\\nosupersub{}","plainCitation":"25","noteIndex":0},"citationItems":[{"id":3411,"uris":["http://zotero.org/users/6207158/items/QC3H9QNS"],"itemData":{"id":3411,"type":"article-journal","abstract":"Background. The purpose of this study was to determine associations between self-reported function (International Knee Documentation Committee Index), isometric quadriceps strength and rate of torque development in individuals with a unilateral anterior cruciate ligament reconstruction.\nMethods: Forty-one individuals [31% male, BMI mean 25 (SD 4) kg/m(2), months post anterior cruciate ligament reconstruction mean 49 (SD 40)] completed the self-reported function and isometric quadriceps function testing. Rate of torque development was assessed at 0-100 ms (early), 100-200 ms (late) ms, and peak following the onset of contraction. Associations were examined between rate of torque development, strength, and self reported function. Linear regression was used to determine the unique amount of variance explained by the combination of rate of torque development and strength.\nFindings: Higher rate of torque development 100-200 ms is weakly associated with higher self-reported function in individuals with a unilateral anterior cruciate ligament reconstruction (r = 0.274, p = 0.091); however, rate of torque development 100-200 ms does not predict a significant amount of variance in self-reported function after accounting for strength (Delta R-2 = 0.003, P = 0.721).\nInterpretation: Quadriceps strength has a greater influence on self-reported function compared to rate of torque development in individuals with an anterior cruciate ligament reconstruction with time from surgery.","archive_location":"WOS:000411531600008","container-title":"CLINICAL BIOMECHANICS","DOI":"10.1016/j.clinbiomech.2017.04.011","ISSN":"0268-0033","language":"English","page":"52-56","title":"Quadriceps rate of torque development and disability in individuals with anterior cruciate ligament reconstruction","volume":"46","author":[{"family":"Davis","given":"HC"},{"family":"Blackburn","given":"JT"},{"family":"Ryan","given":"ED"},{"family":"Luc-Harkey","given":"BA"},{"family":"Harkey","given":"MS"},{"family":"Padua","given":"DA"},{"family":"Pietrosimone","given":"B"}],"issued":{"date-parts":[["2017",7]]}}}],"schema":"https://github.com/citation-style-language/schema/raw/master/csl-citation.json"} </w:instrText>
      </w:r>
      <w:r w:rsidRPr="000522AA">
        <w:fldChar w:fldCharType="separate"/>
      </w:r>
      <w:r w:rsidR="002F48D9" w:rsidRPr="000522AA">
        <w:rPr>
          <w:vertAlign w:val="superscript"/>
        </w:rPr>
        <w:t>25</w:t>
      </w:r>
      <w:r w:rsidRPr="000522AA">
        <w:fldChar w:fldCharType="end"/>
      </w:r>
      <w:r w:rsidR="00965708" w:rsidRPr="000522AA">
        <w:t>.</w:t>
      </w:r>
      <w:r w:rsidRPr="000522AA">
        <w:t xml:space="preserve"> As with all measures of muscle function, these results should be included as part of a multidimensional test battery</w:t>
      </w:r>
      <w:r w:rsidR="00734448" w:rsidRPr="000522AA">
        <w:t>, not</w:t>
      </w:r>
      <w:r w:rsidR="00BB0ED5" w:rsidRPr="000522AA">
        <w:t xml:space="preserve"> as</w:t>
      </w:r>
      <w:r w:rsidR="00734448" w:rsidRPr="000522AA">
        <w:t xml:space="preserve"> a determining </w:t>
      </w:r>
      <w:r w:rsidR="00C501D3" w:rsidRPr="000522AA">
        <w:t>criterion</w:t>
      </w:r>
      <w:r w:rsidR="0080542B" w:rsidRPr="000522AA">
        <w:t xml:space="preserve"> for clearance</w:t>
      </w:r>
      <w:r w:rsidRPr="000522AA">
        <w:fldChar w:fldCharType="begin"/>
      </w:r>
      <w:r w:rsidR="00531E54" w:rsidRPr="000522AA">
        <w:instrText xml:space="preserve"> ADDIN ZOTERO_ITEM CSL_CITATION {"citationID":"qxqZ76cX","properties":{"formattedCitation":"\\super 35, 43\\nosupersub{}","plainCitation":"35, 43","noteIndex":0},"citationItems":[{"id":1637,"uris":["http://zotero.org/users/6207158/items/FSCGDU4L"],"itemData":{"id":1637,"type":"article-journal","abstract":"Background:\nReturn-to-sport (RTS) testing after anterior cruciate ligament (ACL)\nreconstruction (ACLR) surgery has become popular. It has been recommended\nthat such testing should incorporate several domains, or set of tests, but\nit is unclear which are most associated with a successful RTS.\n\nPurpose:\nTo determine (1) the proportion of patients who can pass a set of self-report\nand functional tests at 6 months after ACLR; (2) age, sex, and activity\nlevel differences between patients who pass and those who do not; and (3)\nwhether specific types of tests are associated with a return to competitive\nsport at 12 months.\n\nStudy Design:\nCohort study; Level of evidence, 2.\n\nMethods:\nThis was a prospective longitudinal study of 450 patients who had primary\nACLR. At 6 months postoperatively, patients completed 2 self-report\nmeasures, the International Knee Documentation Committee (IKDC) subjective\nknee form and ACL–Return to Sport after Injury (ACL-RSI) scale, and 3\nfunctional measures: single hop and triple crossover hop for distance and\nisokinetic quadriceps strength. Limb symmetry index scores of ≥90 for\nfunctional tests, IKDC scores ≥85, and ACL-RSI scores ≥65 were considered\nindicators of satisfactory recovery. Proportional statistics and contingency\nanalysis were used to determine associations between age, sex, preinjury\nsports level, and (1) meeting test thresholds and (2) RTS at 12 months.\n\nResults:\nOnly 17 (3.8%) patients met all 5 test criteria at 6 months, and 95 (21%)\npatients did not pass any test. More of the younger patients (&lt;21 years)\npassed all of the functional tests (P &lt; .01), and more\nmale patients met the IKDC threshold (P = .03). Patients\nwho played level I sports before injury had the same pass rates as those who\nplayed level II/III sports. Patients who passed the thresholds for the\nACL-RSI and IKDC scales had 4 and 3 times the odds, respectively, of RTS at\n12 months (both P &lt; .0001). Meeting the threshold for\nquadriceps strength or either of the hop tests at 6 months was not\nassociated with RTS.\n\nConclusion:\nAt 6 months after ACLR, few patients met all of the thresholds of the common\ntests used to assess RTS ability, although younger patients had higher rates\nof passing the functional tests. Self-perceived symptoms/function and\npsychological readiness were associated with a return at 12 months.","container-title":"Orthopaedic Journal of Sports Medicine","DOI":"10.1177/2325967120969425","ISSN":"2325-9671","issue":"12","journalAbbreviation":"Orthop J Sports Med","PMID":"33415177","PMCID":"PMC7750778","source":"PubMed Central","title":"Who Passes Return-to-Sport Tests, and Which Tests Are Most Strongly Associated With Return to Play After Anterior Cruciate Ligament Reconstruction?","URL":"https://www.ncbi.nlm.nih.gov/pmc/articles/PMC7750778/","volume":"8","author":[{"family":"Webster","given":"Kate E."},{"family":"Feller","given":"Julian A."}],"accessed":{"date-parts":[["2021",1,18]]},"issued":{"date-parts":[["2020",12,18]]}}},{"id":2127,"uris":["http://zotero.org/users/6207158/items/M4RZ9PYZ"],"itemData":{"id":2127,"type":"article-journal","abstract":"Background:Performance on strength and functional tests is often used to guide postoperative rehabilitation progress and return to activity decisions after anterior cruciate ligament reconstruction (ACLR). Clinicians may have difficulty in determining which criteria to follow if there is disagreement in performance outcomes among the tests.Purpose/Hypothesis:The purpose of this study was to compare pass rates between strength tests and single-leg hop (SLHOP) tests among men and women and between patients with lower and higher preinjury activity levels recovering from ACLR. We hypothesized that pass rates would be nonuniformly distributed among test types, sex, and activity level and that more participants would pass hop tests than strength tests.Design:Cross-sectional study; Level of evidence, 3.Methods:A total of 299 participants (146 men; 153 women)?at a mean of 6.8 ± 1.4 months after primary, unilateral, and uncomplicated ACLR (mean age, 23 ± 9.7 years; mean height, 172 ± 10.5 cm; mean mass, 75.8 ± 18.4 kg)?completed testing. Quadri.tif strength was evaluated using peak torque during isokinetic knee extension at 90 deg/s and 180 deg/s. Jump distance during the SLHOP and triple hop tests was measured (in cm). Strength and hop test measures were evaluated based on the limb symmetry index ((LSI) = (ACLR / contralateral side) ? 100). We operationally defined ?pass? as &gt;90% on the LSI.Results:Pass rates were nonuniformly distributed between isokinetic knee extension at 90 deg/s and the SLHOP test (?2 = 18.64; P &lt; .001). Disagreements between isokinetic testing at 90 deg/s and the SLHOP test occurred in 36.5% (109/299) of the participants. Among those who failed strength testing and passed hop testing, a greater portion reported higher activity levels before their injury (?2 = 6.90; P = .01); however, there was no difference in pass rates between men and women. Similar patterns of disagreement were observed between all strength test and hop test outcomes.Conclusion:ACLR patients with higher activity levels may be more likely to pass hop testing despite failing quadri.tif strength testing. This may be an indicator of movement compensations to achieve jump symmetry in the presence of quadri.tif weakness.","container-title":"The American Journal of Sports Medicine","DOI":"10.1177/03635465221097712","ISSN":"0363-5465","issue":"8","journalAbbreviation":"Am J Sports Med","language":"en","page":"2111-2118","publisher":"SAGE Publications Inc STM","source":"SAGE Journals","title":"Disagreement in Pass Rates Between Strength and Performance Tests in Patients Recovering From Anterior Cruciate Ligament Reconstruction","volume":"50","author":[{"family":"Thompson","given":"Xavier D."},{"family":"Bruce","given":"Amelia S."},{"family":"Kaur","given":"Mandeep"},{"family":"Diduch","given":"David R."},{"family":"Brockmeier","given":"Stephen F."},{"family":"Miller","given":"Mark D."},{"family":"Gwathmey","given":"F. Winston"},{"family":"Werner","given":"Brian C."},{"family":"Hart","given":"Joe M."}],"issued":{"date-parts":[["2022",7,1]]}}}],"schema":"https://github.com/citation-style-language/schema/raw/master/csl-citation.json"} </w:instrText>
      </w:r>
      <w:r w:rsidRPr="000522AA">
        <w:fldChar w:fldCharType="separate"/>
      </w:r>
      <w:r w:rsidR="00531E54" w:rsidRPr="000522AA">
        <w:rPr>
          <w:vertAlign w:val="superscript"/>
        </w:rPr>
        <w:t>35,43</w:t>
      </w:r>
      <w:r w:rsidRPr="000522AA">
        <w:fldChar w:fldCharType="end"/>
      </w:r>
      <w:r w:rsidRPr="000522AA">
        <w:t>.</w:t>
      </w:r>
    </w:p>
    <w:p w14:paraId="4EC4E537" w14:textId="77777777" w:rsidR="00DF1768" w:rsidRPr="000522AA" w:rsidRDefault="00DF1768" w:rsidP="00941D7F">
      <w:pPr>
        <w:contextualSpacing/>
      </w:pPr>
    </w:p>
    <w:p w14:paraId="19D9F08C" w14:textId="45F2A242" w:rsidR="0059136B" w:rsidRPr="000522AA" w:rsidRDefault="00B136EE" w:rsidP="00941D7F">
      <w:pPr>
        <w:contextualSpacing/>
      </w:pPr>
      <w:r w:rsidRPr="000522AA">
        <w:t>This protocol to evaluate the torque-velocity relationship has broad applications for patients following ACLR. The torque-velocity relationship may identify persistent deficits not captured by single velocity testing and be used as a measure to monitor recovery over time</w:t>
      </w:r>
      <w:r w:rsidRPr="000522AA">
        <w:fldChar w:fldCharType="begin"/>
      </w:r>
      <w:r w:rsidR="00531E54" w:rsidRPr="000522AA">
        <w:instrText xml:space="preserve"> ADDIN ZOTERO_ITEM CSL_CITATION {"citationID":"8bYl5een","properties":{"formattedCitation":"\\super 33\\nosupersub{}","plainCitation":"33","noteIndex":0},"citationItems":[{"id":9059,"uris":["http://zotero.org/users/6207158/items/LWXCNYWK"],"itemData":{"id":9059,"type":"article-journal","abstract":"The National Athletic Trainers' Association (NATA) is the professional membership association for certified athletic trainers and others who support the athletic training profession and its publications are the Journal of Athletic Training and the Athletic Training Education Journal.","DOI":"10.4085/1062-6050-0217.25","language":"en","section":"Journal of Athletic Training","source":"nata.kglmeridian.com","title":"The Torque-Velocity Relationship and Second ACL Injury Risk","URL":"https://nata.kglmeridian.com/view/journals/attr/aop/article-10.4085-1062-6050-0217.25/article-10.4085-1062-6050-0217.25.xml","author":[{"family":"Thompson","given":"Xavier D."},{"family":"Leicht","given":"Amelia S. Bruce"},{"family":"Resch","given":"Jacob E."},{"family":"Kuenze","given":"Chris"},{"family":"Brockmeier","given":"Stephen F."},{"family":"Carpenter","given":"Logan"},{"family":"Lee","given":"David"},{"family":"Gandhi","given":"Shivam"},{"family":"Almario","given":"Antonio N."},{"family":"Hart","given":"Joe"}],"accessed":{"date-parts":[["2026",4,20]]},"issued":{"date-parts":[["2026",2,11]]}}}],"schema":"https://github.com/citation-style-language/schema/raw/master/csl-citation.json"} </w:instrText>
      </w:r>
      <w:r w:rsidRPr="000522AA">
        <w:fldChar w:fldCharType="separate"/>
      </w:r>
      <w:r w:rsidR="00531E54" w:rsidRPr="000522AA">
        <w:rPr>
          <w:vertAlign w:val="superscript"/>
        </w:rPr>
        <w:t>33</w:t>
      </w:r>
      <w:r w:rsidRPr="000522AA">
        <w:fldChar w:fldCharType="end"/>
      </w:r>
      <w:r w:rsidRPr="000522AA">
        <w:t>.</w:t>
      </w:r>
      <w:r w:rsidR="00FE7C46" w:rsidRPr="000522AA">
        <w:t xml:space="preserve"> As clinicians and researchers continue to utilize this protocol</w:t>
      </w:r>
      <w:r w:rsidR="00BB0ED5" w:rsidRPr="000522AA">
        <w:t>,</w:t>
      </w:r>
      <w:r w:rsidR="00FE7C46" w:rsidRPr="000522AA">
        <w:t xml:space="preserve"> the creation of normative datasets, </w:t>
      </w:r>
      <w:r w:rsidR="003C5E28" w:rsidRPr="000522AA">
        <w:t>the response-to-intervention approach</w:t>
      </w:r>
      <w:r w:rsidR="00FE7C46" w:rsidRPr="000522AA">
        <w:t xml:space="preserve">, and clinical meaningfulness should </w:t>
      </w:r>
      <w:r w:rsidR="00DE1CA8" w:rsidRPr="000522AA">
        <w:t>be continually</w:t>
      </w:r>
      <w:r w:rsidR="00FE7C46" w:rsidRPr="000522AA">
        <w:t xml:space="preserve"> evaluated.</w:t>
      </w:r>
    </w:p>
    <w:p w14:paraId="0BEB38EC" w14:textId="77777777" w:rsidR="006E4797" w:rsidRPr="000522AA" w:rsidRDefault="006E4797" w:rsidP="00941D7F">
      <w:pPr>
        <w:contextualSpacing/>
        <w:rPr>
          <w:color w:val="000000"/>
        </w:rPr>
      </w:pPr>
    </w:p>
    <w:p w14:paraId="6D064C88" w14:textId="3F392D6D" w:rsidR="006E4797" w:rsidRPr="000522AA" w:rsidRDefault="00B136EE" w:rsidP="00941D7F">
      <w:pPr>
        <w:pBdr>
          <w:top w:val="nil"/>
          <w:left w:val="nil"/>
          <w:bottom w:val="nil"/>
          <w:right w:val="nil"/>
          <w:between w:val="nil"/>
        </w:pBdr>
        <w:contextualSpacing/>
        <w:rPr>
          <w:color w:val="808080"/>
        </w:rPr>
      </w:pPr>
      <w:r w:rsidRPr="000522AA">
        <w:rPr>
          <w:b/>
          <w:color w:val="000000"/>
        </w:rPr>
        <w:t>ACKNOWLEDGMENTS:</w:t>
      </w:r>
    </w:p>
    <w:p w14:paraId="25B2FBBD" w14:textId="005EA429" w:rsidR="006E4797" w:rsidRPr="000522AA" w:rsidRDefault="00B136EE" w:rsidP="00941D7F">
      <w:pPr>
        <w:contextualSpacing/>
        <w:rPr>
          <w:bCs/>
        </w:rPr>
      </w:pPr>
      <w:r w:rsidRPr="000522AA">
        <w:rPr>
          <w:bCs/>
        </w:rPr>
        <w:t>None</w:t>
      </w:r>
    </w:p>
    <w:p w14:paraId="2E60C255" w14:textId="77777777" w:rsidR="00BB0ED5" w:rsidRPr="000522AA" w:rsidRDefault="00BB0ED5" w:rsidP="00941D7F">
      <w:pPr>
        <w:contextualSpacing/>
        <w:rPr>
          <w:bCs/>
        </w:rPr>
      </w:pPr>
    </w:p>
    <w:p w14:paraId="5E703EBA" w14:textId="748D175A" w:rsidR="006E4797" w:rsidRPr="000522AA" w:rsidRDefault="00B136EE" w:rsidP="00941D7F">
      <w:pPr>
        <w:pBdr>
          <w:top w:val="nil"/>
          <w:left w:val="nil"/>
          <w:bottom w:val="nil"/>
          <w:right w:val="nil"/>
          <w:between w:val="nil"/>
        </w:pBdr>
        <w:contextualSpacing/>
        <w:rPr>
          <w:color w:val="808080"/>
        </w:rPr>
      </w:pPr>
      <w:r w:rsidRPr="000522AA">
        <w:rPr>
          <w:b/>
          <w:color w:val="000000"/>
        </w:rPr>
        <w:t xml:space="preserve">DISCLOSURES: </w:t>
      </w:r>
    </w:p>
    <w:p w14:paraId="132340D6" w14:textId="4B86808F" w:rsidR="006E4797" w:rsidRPr="000522AA" w:rsidRDefault="00B136EE" w:rsidP="00941D7F">
      <w:pPr>
        <w:contextualSpacing/>
      </w:pPr>
      <w:r w:rsidRPr="000522AA">
        <w:t>The authors have no conflicts of interest or disclosures to report.</w:t>
      </w:r>
    </w:p>
    <w:p w14:paraId="4A7B0E5C" w14:textId="77777777" w:rsidR="006E4797" w:rsidRPr="000522AA" w:rsidRDefault="006E4797" w:rsidP="00941D7F">
      <w:pPr>
        <w:contextualSpacing/>
        <w:rPr>
          <w:color w:val="000000"/>
        </w:rPr>
      </w:pPr>
    </w:p>
    <w:p w14:paraId="3881CCB7" w14:textId="77777777" w:rsidR="007E13F9" w:rsidRPr="000522AA" w:rsidRDefault="00B136EE" w:rsidP="00941D7F">
      <w:pPr>
        <w:pStyle w:val="Bibliography"/>
        <w:contextualSpacing/>
        <w:rPr>
          <w:b/>
        </w:rPr>
      </w:pPr>
      <w:proofErr w:type="gramStart"/>
      <w:r w:rsidRPr="000522AA">
        <w:rPr>
          <w:b/>
        </w:rPr>
        <w:t>REFERENCES</w:t>
      </w:r>
      <w:proofErr w:type="gramEnd"/>
      <w:r w:rsidRPr="000522AA">
        <w:rPr>
          <w:b/>
        </w:rPr>
        <w:t>:</w:t>
      </w:r>
    </w:p>
    <w:p w14:paraId="1A2E9245" w14:textId="1E0C37CE" w:rsidR="005275C6" w:rsidRPr="000522AA" w:rsidRDefault="005275C6"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 xml:space="preserve">Mather RC, et al. Societal and economic impact of anterior cruciate ligament tears. J Bone Joint </w:t>
      </w:r>
      <w:proofErr w:type="spellStart"/>
      <w:r w:rsidRPr="000522AA">
        <w:rPr>
          <w:rFonts w:ascii="Calibri" w:hAnsi="Calibri" w:cs="Calibri"/>
          <w:sz w:val="24"/>
          <w:szCs w:val="24"/>
          <w:lang w:val="en-IN"/>
        </w:rPr>
        <w:t>Surg</w:t>
      </w:r>
      <w:proofErr w:type="spellEnd"/>
      <w:r w:rsidRPr="000522AA">
        <w:rPr>
          <w:rFonts w:ascii="Calibri" w:hAnsi="Calibri" w:cs="Calibri"/>
          <w:sz w:val="24"/>
          <w:szCs w:val="24"/>
          <w:lang w:val="en-IN"/>
        </w:rPr>
        <w:t xml:space="preserve"> Am. 2013;95(19):1751-1759. doi:10.2106/JBJS.L.01705.</w:t>
      </w:r>
    </w:p>
    <w:p w14:paraId="07AE22B5" w14:textId="51F0A2C8" w:rsidR="005275C6" w:rsidRPr="000522AA" w:rsidRDefault="005275C6"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Bodkin SG, Norte GE, Hart JM. Corticospinal excitability can discriminate quadriceps strength indicative of knee function after ACL reconstruction. Scand J Med Sci Sports. 2019;29(5):716-724. doi:10.1111/sms.13394.</w:t>
      </w:r>
    </w:p>
    <w:p w14:paraId="3E7631BA" w14:textId="697FF91E" w:rsidR="005275C6" w:rsidRPr="000522AA" w:rsidRDefault="005275C6"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 xml:space="preserve">Fukunaga T, Johnson CD, Nicholas SJ, McHugh MP. Muscle hypotrophy, not inhibition, is responsible for quadriceps weakness during rehabilitation after anterior cruciate ligament reconstruction. Knee </w:t>
      </w:r>
      <w:proofErr w:type="spellStart"/>
      <w:r w:rsidRPr="000522AA">
        <w:rPr>
          <w:rFonts w:ascii="Calibri" w:hAnsi="Calibri" w:cs="Calibri"/>
          <w:sz w:val="24"/>
          <w:szCs w:val="24"/>
          <w:lang w:val="en-IN"/>
        </w:rPr>
        <w:t>Surg</w:t>
      </w:r>
      <w:proofErr w:type="spellEnd"/>
      <w:r w:rsidRPr="000522AA">
        <w:rPr>
          <w:rFonts w:ascii="Calibri" w:hAnsi="Calibri" w:cs="Calibri"/>
          <w:sz w:val="24"/>
          <w:szCs w:val="24"/>
          <w:lang w:val="en-IN"/>
        </w:rPr>
        <w:t xml:space="preserve"> Sports </w:t>
      </w:r>
      <w:proofErr w:type="spellStart"/>
      <w:r w:rsidRPr="000522AA">
        <w:rPr>
          <w:rFonts w:ascii="Calibri" w:hAnsi="Calibri" w:cs="Calibri"/>
          <w:sz w:val="24"/>
          <w:szCs w:val="24"/>
          <w:lang w:val="en-IN"/>
        </w:rPr>
        <w:t>Traumatol</w:t>
      </w:r>
      <w:proofErr w:type="spellEnd"/>
      <w:r w:rsidRPr="000522AA">
        <w:rPr>
          <w:rFonts w:ascii="Calibri" w:hAnsi="Calibri" w:cs="Calibri"/>
          <w:sz w:val="24"/>
          <w:szCs w:val="24"/>
          <w:lang w:val="en-IN"/>
        </w:rPr>
        <w:t xml:space="preserve"> Arthrosc. 2019;27(2):573-579. doi:10.1007/s00167-018-5166-1.</w:t>
      </w:r>
    </w:p>
    <w:p w14:paraId="575E7A58" w14:textId="1FAFAC4E" w:rsidR="005275C6" w:rsidRPr="000522AA" w:rsidRDefault="005275C6"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 xml:space="preserve">Garcia SA, Moffit TJ, Vakula MN, Holmes SC, Montgomery MM, </w:t>
      </w:r>
      <w:proofErr w:type="spellStart"/>
      <w:r w:rsidRPr="000522AA">
        <w:rPr>
          <w:rFonts w:ascii="Calibri" w:hAnsi="Calibri" w:cs="Calibri"/>
          <w:sz w:val="24"/>
          <w:szCs w:val="24"/>
          <w:lang w:val="en-IN"/>
        </w:rPr>
        <w:t>Pamukoff</w:t>
      </w:r>
      <w:proofErr w:type="spellEnd"/>
      <w:r w:rsidRPr="000522AA">
        <w:rPr>
          <w:rFonts w:ascii="Calibri" w:hAnsi="Calibri" w:cs="Calibri"/>
          <w:sz w:val="24"/>
          <w:szCs w:val="24"/>
          <w:lang w:val="en-IN"/>
        </w:rPr>
        <w:t xml:space="preserve"> DN. Quadriceps muscle size, quality, and strength and self-reported function in individuals with anterior cruciate ligament reconstruction. J </w:t>
      </w:r>
      <w:proofErr w:type="spellStart"/>
      <w:r w:rsidRPr="000522AA">
        <w:rPr>
          <w:rFonts w:ascii="Calibri" w:hAnsi="Calibri" w:cs="Calibri"/>
          <w:sz w:val="24"/>
          <w:szCs w:val="24"/>
          <w:lang w:val="en-IN"/>
        </w:rPr>
        <w:t>Athl</w:t>
      </w:r>
      <w:proofErr w:type="spellEnd"/>
      <w:r w:rsidRPr="000522AA">
        <w:rPr>
          <w:rFonts w:ascii="Calibri" w:hAnsi="Calibri" w:cs="Calibri"/>
          <w:sz w:val="24"/>
          <w:szCs w:val="24"/>
          <w:lang w:val="en-IN"/>
        </w:rPr>
        <w:t xml:space="preserve"> Train. 2020;55(3):246-254. doi:10.4085/1062-6050-38-19.</w:t>
      </w:r>
    </w:p>
    <w:p w14:paraId="5E8870A3" w14:textId="17512966" w:rsidR="005275C6" w:rsidRPr="000522AA" w:rsidRDefault="005275C6"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lastRenderedPageBreak/>
        <w:t>Akazawa N, et al. Longitudinal relationship between intramuscular adipose tissue of the quadriceps and activities of daily living in older inpatients. J Cachexia Sarcopenia Muscle. 2021;12(6):2231-2237. doi:10.1002/jcsm.12842.</w:t>
      </w:r>
    </w:p>
    <w:p w14:paraId="335601EB" w14:textId="678279DF" w:rsidR="005275C6" w:rsidRPr="000522AA" w:rsidRDefault="005275C6"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 xml:space="preserve">Hunnicutt JL, McLeod MM, Slone HS, Gregory CM. Quadriceps neuromuscular and physical function after anterior cruciate ligament reconstruction. J </w:t>
      </w:r>
      <w:proofErr w:type="spellStart"/>
      <w:r w:rsidRPr="000522AA">
        <w:rPr>
          <w:rFonts w:ascii="Calibri" w:hAnsi="Calibri" w:cs="Calibri"/>
          <w:sz w:val="24"/>
          <w:szCs w:val="24"/>
          <w:lang w:val="en-IN"/>
        </w:rPr>
        <w:t>Athl</w:t>
      </w:r>
      <w:proofErr w:type="spellEnd"/>
      <w:r w:rsidRPr="000522AA">
        <w:rPr>
          <w:rFonts w:ascii="Calibri" w:hAnsi="Calibri" w:cs="Calibri"/>
          <w:sz w:val="24"/>
          <w:szCs w:val="24"/>
          <w:lang w:val="en-IN"/>
        </w:rPr>
        <w:t xml:space="preserve"> Train. 2020;55(3):238-245. doi:10.4085/1062-6050-516-18.</w:t>
      </w:r>
    </w:p>
    <w:p w14:paraId="05947302" w14:textId="6579BC01" w:rsidR="005275C6" w:rsidRPr="000522AA" w:rsidRDefault="005275C6" w:rsidP="00E96AE5">
      <w:pPr>
        <w:pStyle w:val="ListParagraph"/>
        <w:numPr>
          <w:ilvl w:val="0"/>
          <w:numId w:val="33"/>
        </w:numPr>
        <w:rPr>
          <w:rFonts w:ascii="Calibri" w:hAnsi="Calibri" w:cs="Calibri"/>
          <w:sz w:val="24"/>
          <w:szCs w:val="24"/>
          <w:lang w:val="en-IN"/>
        </w:rPr>
      </w:pPr>
      <w:proofErr w:type="spellStart"/>
      <w:r w:rsidRPr="000522AA">
        <w:rPr>
          <w:rFonts w:ascii="Calibri" w:hAnsi="Calibri" w:cs="Calibri"/>
          <w:sz w:val="24"/>
          <w:szCs w:val="24"/>
          <w:lang w:val="en-IN"/>
        </w:rPr>
        <w:t>Nilius</w:t>
      </w:r>
      <w:proofErr w:type="spellEnd"/>
      <w:r w:rsidRPr="000522AA">
        <w:rPr>
          <w:rFonts w:ascii="Calibri" w:hAnsi="Calibri" w:cs="Calibri"/>
          <w:sz w:val="24"/>
          <w:szCs w:val="24"/>
          <w:lang w:val="en-IN"/>
        </w:rPr>
        <w:t xml:space="preserve"> A, Dewig DR, Johnston CD, </w:t>
      </w:r>
      <w:proofErr w:type="spellStart"/>
      <w:r w:rsidRPr="000522AA">
        <w:rPr>
          <w:rFonts w:ascii="Calibri" w:hAnsi="Calibri" w:cs="Calibri"/>
          <w:sz w:val="24"/>
          <w:szCs w:val="24"/>
          <w:lang w:val="en-IN"/>
        </w:rPr>
        <w:t>Pietrosimone</w:t>
      </w:r>
      <w:proofErr w:type="spellEnd"/>
      <w:r w:rsidRPr="000522AA">
        <w:rPr>
          <w:rFonts w:ascii="Calibri" w:hAnsi="Calibri" w:cs="Calibri"/>
          <w:sz w:val="24"/>
          <w:szCs w:val="24"/>
          <w:lang w:val="en-IN"/>
        </w:rPr>
        <w:t xml:space="preserve"> BG, Blackburn JT. Quadriceps composition and function influence downhill gait biomechanics &gt;1 year following anterior cruciate ligament reconstruction. Clin </w:t>
      </w:r>
      <w:proofErr w:type="spellStart"/>
      <w:r w:rsidRPr="000522AA">
        <w:rPr>
          <w:rFonts w:ascii="Calibri" w:hAnsi="Calibri" w:cs="Calibri"/>
          <w:sz w:val="24"/>
          <w:szCs w:val="24"/>
          <w:lang w:val="en-IN"/>
        </w:rPr>
        <w:t>Biomech</w:t>
      </w:r>
      <w:proofErr w:type="spellEnd"/>
      <w:r w:rsidRPr="000522AA">
        <w:rPr>
          <w:rFonts w:ascii="Calibri" w:hAnsi="Calibri" w:cs="Calibri"/>
          <w:sz w:val="24"/>
          <w:szCs w:val="24"/>
          <w:lang w:val="en-IN"/>
        </w:rPr>
        <w:t xml:space="preserve">. </w:t>
      </w:r>
      <w:proofErr w:type="gramStart"/>
      <w:r w:rsidRPr="000522AA">
        <w:rPr>
          <w:rFonts w:ascii="Calibri" w:hAnsi="Calibri" w:cs="Calibri"/>
          <w:sz w:val="24"/>
          <w:szCs w:val="24"/>
          <w:lang w:val="en-IN"/>
        </w:rPr>
        <w:t>2024;114:106229</w:t>
      </w:r>
      <w:proofErr w:type="gramEnd"/>
      <w:r w:rsidRPr="000522AA">
        <w:rPr>
          <w:rFonts w:ascii="Calibri" w:hAnsi="Calibri" w:cs="Calibri"/>
          <w:sz w:val="24"/>
          <w:szCs w:val="24"/>
          <w:lang w:val="en-IN"/>
        </w:rPr>
        <w:t xml:space="preserve">. </w:t>
      </w:r>
      <w:proofErr w:type="gramStart"/>
      <w:r w:rsidRPr="000522AA">
        <w:rPr>
          <w:rFonts w:ascii="Calibri" w:hAnsi="Calibri" w:cs="Calibri"/>
          <w:sz w:val="24"/>
          <w:szCs w:val="24"/>
          <w:lang w:val="en-IN"/>
        </w:rPr>
        <w:t>doi:10.1016/j.clinbiomech</w:t>
      </w:r>
      <w:proofErr w:type="gramEnd"/>
      <w:r w:rsidRPr="000522AA">
        <w:rPr>
          <w:rFonts w:ascii="Calibri" w:hAnsi="Calibri" w:cs="Calibri"/>
          <w:sz w:val="24"/>
          <w:szCs w:val="24"/>
          <w:lang w:val="en-IN"/>
        </w:rPr>
        <w:t>.2024.106229.</w:t>
      </w:r>
    </w:p>
    <w:p w14:paraId="2B0CD704" w14:textId="21E7DF02" w:rsidR="005275C6" w:rsidRPr="000522AA" w:rsidRDefault="005275C6"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Barfod KW, Feller JA, Clark R, Hartwig T, Devitt BM, Webster KE. Strength testing after anterior cruciate ligament reconstruction: a prospective cohort study investigating overlap of tests. J Strength Cond Res. 2019;33(11):3145-3150. doi:10.1519/JSC.0000000000002491.</w:t>
      </w:r>
    </w:p>
    <w:p w14:paraId="26A16C47" w14:textId="34556855" w:rsidR="005275C6" w:rsidRPr="000522AA" w:rsidRDefault="005275C6"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 xml:space="preserve">Barker KL, Jenkins C, Pandit H, Murray D. Muscle power and function two years after </w:t>
      </w:r>
      <w:proofErr w:type="spellStart"/>
      <w:r w:rsidRPr="000522AA">
        <w:rPr>
          <w:rFonts w:ascii="Calibri" w:hAnsi="Calibri" w:cs="Calibri"/>
          <w:sz w:val="24"/>
          <w:szCs w:val="24"/>
          <w:lang w:val="en-IN"/>
        </w:rPr>
        <w:t>unicompartmental</w:t>
      </w:r>
      <w:proofErr w:type="spellEnd"/>
      <w:r w:rsidRPr="000522AA">
        <w:rPr>
          <w:rFonts w:ascii="Calibri" w:hAnsi="Calibri" w:cs="Calibri"/>
          <w:sz w:val="24"/>
          <w:szCs w:val="24"/>
          <w:lang w:val="en-IN"/>
        </w:rPr>
        <w:t xml:space="preserve"> knee replacement. Knee. 2012;19(4):360-364. </w:t>
      </w:r>
      <w:proofErr w:type="gramStart"/>
      <w:r w:rsidRPr="000522AA">
        <w:rPr>
          <w:rFonts w:ascii="Calibri" w:hAnsi="Calibri" w:cs="Calibri"/>
          <w:sz w:val="24"/>
          <w:szCs w:val="24"/>
          <w:lang w:val="en-IN"/>
        </w:rPr>
        <w:t>doi:10.1016/j.knee</w:t>
      </w:r>
      <w:proofErr w:type="gramEnd"/>
      <w:r w:rsidRPr="000522AA">
        <w:rPr>
          <w:rFonts w:ascii="Calibri" w:hAnsi="Calibri" w:cs="Calibri"/>
          <w:sz w:val="24"/>
          <w:szCs w:val="24"/>
          <w:lang w:val="en-IN"/>
        </w:rPr>
        <w:t>.2011.05.006.</w:t>
      </w:r>
    </w:p>
    <w:p w14:paraId="19C39FA2" w14:textId="5DC91479" w:rsidR="005275C6" w:rsidRPr="000522AA" w:rsidRDefault="005275C6"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Allison SJ, Brooke-Wavell K, Folland JP. Multiple joint muscle function with ageing: the force-velocity and power-velocity relationships in young and older men. Aging Clin Exp Res. 2013;25(2):159-166. doi:10.1007/s40520-013-0024-y.</w:t>
      </w:r>
    </w:p>
    <w:p w14:paraId="00CFDA67" w14:textId="34E47942" w:rsidR="005275C6" w:rsidRPr="000522AA" w:rsidRDefault="005275C6"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 xml:space="preserve">Hill AV. The heat of shortening and the dynamic constants of muscle. Proc R Soc Lond B </w:t>
      </w:r>
      <w:proofErr w:type="spellStart"/>
      <w:r w:rsidRPr="000522AA">
        <w:rPr>
          <w:rFonts w:ascii="Calibri" w:hAnsi="Calibri" w:cs="Calibri"/>
          <w:sz w:val="24"/>
          <w:szCs w:val="24"/>
          <w:lang w:val="en-IN"/>
        </w:rPr>
        <w:t>Biol</w:t>
      </w:r>
      <w:proofErr w:type="spellEnd"/>
      <w:r w:rsidRPr="000522AA">
        <w:rPr>
          <w:rFonts w:ascii="Calibri" w:hAnsi="Calibri" w:cs="Calibri"/>
          <w:sz w:val="24"/>
          <w:szCs w:val="24"/>
          <w:lang w:val="en-IN"/>
        </w:rPr>
        <w:t xml:space="preserve"> Sci. 1938;126(843):136-195. doi:10.1098/rspb.1938.0050.</w:t>
      </w:r>
    </w:p>
    <w:p w14:paraId="40FA5F02" w14:textId="309CF777" w:rsidR="005275C6" w:rsidRPr="000522AA" w:rsidRDefault="005275C6"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Alcazar J, Csapo R, Ara I, Alegre LM. On the shape of the force-velocity relationship in skeletal muscles: the linear, the hyperbolic, and the double-hyperbolic. Front Physiol. 2019;10. doi:10.3389/fphys.2019.00769.</w:t>
      </w:r>
    </w:p>
    <w:p w14:paraId="601BB567" w14:textId="72AC9611" w:rsidR="005275C6" w:rsidRPr="000522AA" w:rsidRDefault="005275C6"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 xml:space="preserve">Froese EA, Houston ME. Torque-velocity characteristics and muscle </w:t>
      </w:r>
      <w:proofErr w:type="spellStart"/>
      <w:r w:rsidRPr="000522AA">
        <w:rPr>
          <w:rFonts w:ascii="Calibri" w:hAnsi="Calibri" w:cs="Calibri"/>
          <w:sz w:val="24"/>
          <w:szCs w:val="24"/>
          <w:lang w:val="en-IN"/>
        </w:rPr>
        <w:t>fiber</w:t>
      </w:r>
      <w:proofErr w:type="spellEnd"/>
      <w:r w:rsidRPr="000522AA">
        <w:rPr>
          <w:rFonts w:ascii="Calibri" w:hAnsi="Calibri" w:cs="Calibri"/>
          <w:sz w:val="24"/>
          <w:szCs w:val="24"/>
          <w:lang w:val="en-IN"/>
        </w:rPr>
        <w:t xml:space="preserve"> type in human vastus lateralis. J Appl Physiol. 1985;59(2):309-314. doi:10.1152/jappl.1985.59.2.309.</w:t>
      </w:r>
    </w:p>
    <w:p w14:paraId="220B2861" w14:textId="2950AC5E" w:rsidR="005275C6" w:rsidRPr="000522AA" w:rsidRDefault="005275C6"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 xml:space="preserve">Thompson XD, et al. Knee extensor torque-velocity relationships following anterior cruciate ligament reconstruction. Clin </w:t>
      </w:r>
      <w:proofErr w:type="spellStart"/>
      <w:r w:rsidRPr="000522AA">
        <w:rPr>
          <w:rFonts w:ascii="Calibri" w:hAnsi="Calibri" w:cs="Calibri"/>
          <w:sz w:val="24"/>
          <w:szCs w:val="24"/>
          <w:lang w:val="en-IN"/>
        </w:rPr>
        <w:t>Biomech</w:t>
      </w:r>
      <w:proofErr w:type="spellEnd"/>
      <w:r w:rsidRPr="000522AA">
        <w:rPr>
          <w:rFonts w:ascii="Calibri" w:hAnsi="Calibri" w:cs="Calibri"/>
          <w:sz w:val="24"/>
          <w:szCs w:val="24"/>
          <w:lang w:val="en-IN"/>
        </w:rPr>
        <w:t xml:space="preserve">. </w:t>
      </w:r>
      <w:proofErr w:type="gramStart"/>
      <w:r w:rsidRPr="000522AA">
        <w:rPr>
          <w:rFonts w:ascii="Calibri" w:hAnsi="Calibri" w:cs="Calibri"/>
          <w:sz w:val="24"/>
          <w:szCs w:val="24"/>
          <w:lang w:val="en-IN"/>
        </w:rPr>
        <w:t>2023;108:106058</w:t>
      </w:r>
      <w:proofErr w:type="gramEnd"/>
      <w:r w:rsidRPr="000522AA">
        <w:rPr>
          <w:rFonts w:ascii="Calibri" w:hAnsi="Calibri" w:cs="Calibri"/>
          <w:sz w:val="24"/>
          <w:szCs w:val="24"/>
          <w:lang w:val="en-IN"/>
        </w:rPr>
        <w:t xml:space="preserve">. </w:t>
      </w:r>
      <w:proofErr w:type="gramStart"/>
      <w:r w:rsidRPr="000522AA">
        <w:rPr>
          <w:rFonts w:ascii="Calibri" w:hAnsi="Calibri" w:cs="Calibri"/>
          <w:sz w:val="24"/>
          <w:szCs w:val="24"/>
          <w:lang w:val="en-IN"/>
        </w:rPr>
        <w:t>doi:10.1016/j.clinbiomech</w:t>
      </w:r>
      <w:proofErr w:type="gramEnd"/>
      <w:r w:rsidRPr="000522AA">
        <w:rPr>
          <w:rFonts w:ascii="Calibri" w:hAnsi="Calibri" w:cs="Calibri"/>
          <w:sz w:val="24"/>
          <w:szCs w:val="24"/>
          <w:lang w:val="en-IN"/>
        </w:rPr>
        <w:t>.2023.106058.</w:t>
      </w:r>
    </w:p>
    <w:p w14:paraId="0E2822BE" w14:textId="65FB6801" w:rsidR="005275C6" w:rsidRPr="000522AA" w:rsidRDefault="005275C6"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 xml:space="preserve">Thompson XD, Resch JE, </w:t>
      </w:r>
      <w:proofErr w:type="spellStart"/>
      <w:r w:rsidRPr="000522AA">
        <w:rPr>
          <w:rFonts w:ascii="Calibri" w:hAnsi="Calibri" w:cs="Calibri"/>
          <w:sz w:val="24"/>
          <w:szCs w:val="24"/>
          <w:lang w:val="en-IN"/>
        </w:rPr>
        <w:t>Kuenze</w:t>
      </w:r>
      <w:proofErr w:type="spellEnd"/>
      <w:r w:rsidRPr="000522AA">
        <w:rPr>
          <w:rFonts w:ascii="Calibri" w:hAnsi="Calibri" w:cs="Calibri"/>
          <w:sz w:val="24"/>
          <w:szCs w:val="24"/>
          <w:lang w:val="en-IN"/>
        </w:rPr>
        <w:t xml:space="preserve"> C, Brockmeier SF, Hart J. Torque-velocity is associated with voluntary activation and corticospinal excitability in healthy </w:t>
      </w:r>
      <w:proofErr w:type="gramStart"/>
      <w:r w:rsidRPr="000522AA">
        <w:rPr>
          <w:rFonts w:ascii="Calibri" w:hAnsi="Calibri" w:cs="Calibri"/>
          <w:sz w:val="24"/>
          <w:szCs w:val="24"/>
          <w:lang w:val="en-IN"/>
        </w:rPr>
        <w:t>knees, but</w:t>
      </w:r>
      <w:proofErr w:type="gramEnd"/>
      <w:r w:rsidRPr="000522AA">
        <w:rPr>
          <w:rFonts w:ascii="Calibri" w:hAnsi="Calibri" w:cs="Calibri"/>
          <w:sz w:val="24"/>
          <w:szCs w:val="24"/>
          <w:lang w:val="en-IN"/>
        </w:rPr>
        <w:t xml:space="preserve"> not following anterior cruciate ligament reconstruction. J Sport </w:t>
      </w:r>
      <w:proofErr w:type="spellStart"/>
      <w:r w:rsidRPr="000522AA">
        <w:rPr>
          <w:rFonts w:ascii="Calibri" w:hAnsi="Calibri" w:cs="Calibri"/>
          <w:sz w:val="24"/>
          <w:szCs w:val="24"/>
          <w:lang w:val="en-IN"/>
        </w:rPr>
        <w:t>Rehabil</w:t>
      </w:r>
      <w:proofErr w:type="spellEnd"/>
      <w:r w:rsidRPr="000522AA">
        <w:rPr>
          <w:rFonts w:ascii="Calibri" w:hAnsi="Calibri" w:cs="Calibri"/>
          <w:sz w:val="24"/>
          <w:szCs w:val="24"/>
          <w:lang w:val="en-IN"/>
        </w:rPr>
        <w:t>. 2026:1-6. doi:10.1123/jsr.2025-0237.</w:t>
      </w:r>
    </w:p>
    <w:p w14:paraId="5003D963" w14:textId="789E3A38" w:rsidR="0093511A" w:rsidRPr="000522AA" w:rsidRDefault="0093511A"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 xml:space="preserve">Clark DJ, </w:t>
      </w:r>
      <w:proofErr w:type="spellStart"/>
      <w:r w:rsidRPr="000522AA">
        <w:rPr>
          <w:rFonts w:ascii="Calibri" w:hAnsi="Calibri" w:cs="Calibri"/>
          <w:sz w:val="24"/>
          <w:szCs w:val="24"/>
          <w:lang w:val="en-IN"/>
        </w:rPr>
        <w:t>Condliffe</w:t>
      </w:r>
      <w:proofErr w:type="spellEnd"/>
      <w:r w:rsidRPr="000522AA">
        <w:rPr>
          <w:rFonts w:ascii="Calibri" w:hAnsi="Calibri" w:cs="Calibri"/>
          <w:sz w:val="24"/>
          <w:szCs w:val="24"/>
          <w:lang w:val="en-IN"/>
        </w:rPr>
        <w:t xml:space="preserve"> EG, Patten C. Activation impairment alters muscle torque-velocity in the knee extensors of persons with post-stroke hemiparesis. Clin </w:t>
      </w:r>
      <w:proofErr w:type="spellStart"/>
      <w:r w:rsidRPr="000522AA">
        <w:rPr>
          <w:rFonts w:ascii="Calibri" w:hAnsi="Calibri" w:cs="Calibri"/>
          <w:sz w:val="24"/>
          <w:szCs w:val="24"/>
          <w:lang w:val="en-IN"/>
        </w:rPr>
        <w:t>Neurophysiol</w:t>
      </w:r>
      <w:proofErr w:type="spellEnd"/>
      <w:r w:rsidRPr="000522AA">
        <w:rPr>
          <w:rFonts w:ascii="Calibri" w:hAnsi="Calibri" w:cs="Calibri"/>
          <w:sz w:val="24"/>
          <w:szCs w:val="24"/>
          <w:lang w:val="en-IN"/>
        </w:rPr>
        <w:t xml:space="preserve">. 2006;117(10):2328-2337. </w:t>
      </w:r>
      <w:proofErr w:type="gramStart"/>
      <w:r w:rsidRPr="000522AA">
        <w:rPr>
          <w:rFonts w:ascii="Calibri" w:hAnsi="Calibri" w:cs="Calibri"/>
          <w:sz w:val="24"/>
          <w:szCs w:val="24"/>
          <w:lang w:val="en-IN"/>
        </w:rPr>
        <w:t>doi:10.1016/j.clinph</w:t>
      </w:r>
      <w:proofErr w:type="gramEnd"/>
      <w:r w:rsidRPr="000522AA">
        <w:rPr>
          <w:rFonts w:ascii="Calibri" w:hAnsi="Calibri" w:cs="Calibri"/>
          <w:sz w:val="24"/>
          <w:szCs w:val="24"/>
          <w:lang w:val="en-IN"/>
        </w:rPr>
        <w:t>.2006.07.131.</w:t>
      </w:r>
    </w:p>
    <w:p w14:paraId="3EB79A4F" w14:textId="4B980514" w:rsidR="0093511A" w:rsidRPr="000522AA" w:rsidRDefault="0093511A" w:rsidP="00E96AE5">
      <w:pPr>
        <w:pStyle w:val="ListParagraph"/>
        <w:numPr>
          <w:ilvl w:val="0"/>
          <w:numId w:val="33"/>
        </w:numPr>
        <w:rPr>
          <w:rFonts w:ascii="Calibri" w:hAnsi="Calibri" w:cs="Calibri"/>
          <w:sz w:val="24"/>
          <w:szCs w:val="24"/>
          <w:lang w:val="en-IN"/>
        </w:rPr>
      </w:pPr>
      <w:proofErr w:type="spellStart"/>
      <w:r w:rsidRPr="000522AA">
        <w:rPr>
          <w:rFonts w:ascii="Calibri" w:hAnsi="Calibri" w:cs="Calibri"/>
          <w:sz w:val="24"/>
          <w:szCs w:val="24"/>
          <w:lang w:val="en-IN"/>
        </w:rPr>
        <w:lastRenderedPageBreak/>
        <w:t>Labarque</w:t>
      </w:r>
      <w:proofErr w:type="spellEnd"/>
      <w:r w:rsidRPr="000522AA">
        <w:rPr>
          <w:rFonts w:ascii="Calibri" w:hAnsi="Calibri" w:cs="Calibri"/>
          <w:sz w:val="24"/>
          <w:szCs w:val="24"/>
          <w:lang w:val="en-IN"/>
        </w:rPr>
        <w:t xml:space="preserve"> VL, 't </w:t>
      </w:r>
      <w:proofErr w:type="spellStart"/>
      <w:r w:rsidRPr="000522AA">
        <w:rPr>
          <w:rFonts w:ascii="Calibri" w:hAnsi="Calibri" w:cs="Calibri"/>
          <w:sz w:val="24"/>
          <w:szCs w:val="24"/>
          <w:lang w:val="en-IN"/>
        </w:rPr>
        <w:t>Eijnde</w:t>
      </w:r>
      <w:proofErr w:type="spellEnd"/>
      <w:r w:rsidRPr="000522AA">
        <w:rPr>
          <w:rFonts w:ascii="Calibri" w:hAnsi="Calibri" w:cs="Calibri"/>
          <w:sz w:val="24"/>
          <w:szCs w:val="24"/>
          <w:lang w:val="en-IN"/>
        </w:rPr>
        <w:t xml:space="preserve"> BO, Van </w:t>
      </w:r>
      <w:proofErr w:type="spellStart"/>
      <w:r w:rsidRPr="000522AA">
        <w:rPr>
          <w:rFonts w:ascii="Calibri" w:hAnsi="Calibri" w:cs="Calibri"/>
          <w:sz w:val="24"/>
          <w:szCs w:val="24"/>
          <w:lang w:val="en-IN"/>
        </w:rPr>
        <w:t>Leemputte</w:t>
      </w:r>
      <w:proofErr w:type="spellEnd"/>
      <w:r w:rsidRPr="000522AA">
        <w:rPr>
          <w:rFonts w:ascii="Calibri" w:hAnsi="Calibri" w:cs="Calibri"/>
          <w:sz w:val="24"/>
          <w:szCs w:val="24"/>
          <w:lang w:val="en-IN"/>
        </w:rPr>
        <w:t xml:space="preserve"> M. Effect of immobilization and retraining on torque-velocity relationship of human knee flexor and extensor muscles. </w:t>
      </w:r>
      <w:proofErr w:type="spellStart"/>
      <w:r w:rsidRPr="000522AA">
        <w:rPr>
          <w:rFonts w:ascii="Calibri" w:hAnsi="Calibri" w:cs="Calibri"/>
          <w:sz w:val="24"/>
          <w:szCs w:val="24"/>
          <w:lang w:val="en-IN"/>
        </w:rPr>
        <w:t>Eur</w:t>
      </w:r>
      <w:proofErr w:type="spellEnd"/>
      <w:r w:rsidRPr="000522AA">
        <w:rPr>
          <w:rFonts w:ascii="Calibri" w:hAnsi="Calibri" w:cs="Calibri"/>
          <w:sz w:val="24"/>
          <w:szCs w:val="24"/>
          <w:lang w:val="en-IN"/>
        </w:rPr>
        <w:t xml:space="preserve"> J Appl Physiol. 2002;86(3):251-257. doi:10.1007/s00421-001-0530-z.</w:t>
      </w:r>
    </w:p>
    <w:p w14:paraId="24A79F65" w14:textId="72F2D07F" w:rsidR="0093511A" w:rsidRPr="000522AA" w:rsidRDefault="0093511A"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 xml:space="preserve">Harries UJ, Bassey EJ. Torque-velocity relationships for the knee extensors in women in their 3rd and 7th decades. </w:t>
      </w:r>
      <w:proofErr w:type="spellStart"/>
      <w:r w:rsidRPr="000522AA">
        <w:rPr>
          <w:rFonts w:ascii="Calibri" w:hAnsi="Calibri" w:cs="Calibri"/>
          <w:sz w:val="24"/>
          <w:szCs w:val="24"/>
          <w:lang w:val="en-IN"/>
        </w:rPr>
        <w:t>Eur</w:t>
      </w:r>
      <w:proofErr w:type="spellEnd"/>
      <w:r w:rsidRPr="000522AA">
        <w:rPr>
          <w:rFonts w:ascii="Calibri" w:hAnsi="Calibri" w:cs="Calibri"/>
          <w:sz w:val="24"/>
          <w:szCs w:val="24"/>
          <w:lang w:val="en-IN"/>
        </w:rPr>
        <w:t xml:space="preserve"> J Appl </w:t>
      </w:r>
      <w:proofErr w:type="spellStart"/>
      <w:r w:rsidRPr="000522AA">
        <w:rPr>
          <w:rFonts w:ascii="Calibri" w:hAnsi="Calibri" w:cs="Calibri"/>
          <w:sz w:val="24"/>
          <w:szCs w:val="24"/>
          <w:lang w:val="en-IN"/>
        </w:rPr>
        <w:t>Physiol</w:t>
      </w:r>
      <w:proofErr w:type="spellEnd"/>
      <w:r w:rsidRPr="000522AA">
        <w:rPr>
          <w:rFonts w:ascii="Calibri" w:hAnsi="Calibri" w:cs="Calibri"/>
          <w:sz w:val="24"/>
          <w:szCs w:val="24"/>
          <w:lang w:val="en-IN"/>
        </w:rPr>
        <w:t xml:space="preserve"> </w:t>
      </w:r>
      <w:proofErr w:type="spellStart"/>
      <w:r w:rsidRPr="000522AA">
        <w:rPr>
          <w:rFonts w:ascii="Calibri" w:hAnsi="Calibri" w:cs="Calibri"/>
          <w:sz w:val="24"/>
          <w:szCs w:val="24"/>
          <w:lang w:val="en-IN"/>
        </w:rPr>
        <w:t>Occup</w:t>
      </w:r>
      <w:proofErr w:type="spellEnd"/>
      <w:r w:rsidRPr="000522AA">
        <w:rPr>
          <w:rFonts w:ascii="Calibri" w:hAnsi="Calibri" w:cs="Calibri"/>
          <w:sz w:val="24"/>
          <w:szCs w:val="24"/>
          <w:lang w:val="en-IN"/>
        </w:rPr>
        <w:t xml:space="preserve"> Physiol. 1990;60(3):187-190. doi:10.1007/BF00839157.</w:t>
      </w:r>
    </w:p>
    <w:p w14:paraId="4D9A9F3C" w14:textId="4FA6007F" w:rsidR="0093511A" w:rsidRPr="000522AA" w:rsidRDefault="0093511A"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 xml:space="preserve">Simonsson R, </w:t>
      </w:r>
      <w:proofErr w:type="spellStart"/>
      <w:r w:rsidRPr="000522AA">
        <w:rPr>
          <w:rFonts w:ascii="Calibri" w:hAnsi="Calibri" w:cs="Calibri"/>
          <w:sz w:val="24"/>
          <w:szCs w:val="24"/>
          <w:lang w:val="en-IN"/>
        </w:rPr>
        <w:t>Piussi</w:t>
      </w:r>
      <w:proofErr w:type="spellEnd"/>
      <w:r w:rsidRPr="000522AA">
        <w:rPr>
          <w:rFonts w:ascii="Calibri" w:hAnsi="Calibri" w:cs="Calibri"/>
          <w:sz w:val="24"/>
          <w:szCs w:val="24"/>
          <w:lang w:val="en-IN"/>
        </w:rPr>
        <w:t xml:space="preserve"> R, </w:t>
      </w:r>
      <w:proofErr w:type="spellStart"/>
      <w:r w:rsidRPr="000522AA">
        <w:rPr>
          <w:rFonts w:ascii="Calibri" w:hAnsi="Calibri" w:cs="Calibri"/>
          <w:sz w:val="24"/>
          <w:szCs w:val="24"/>
          <w:lang w:val="en-IN"/>
        </w:rPr>
        <w:t>Högberg</w:t>
      </w:r>
      <w:proofErr w:type="spellEnd"/>
      <w:r w:rsidRPr="000522AA">
        <w:rPr>
          <w:rFonts w:ascii="Calibri" w:hAnsi="Calibri" w:cs="Calibri"/>
          <w:sz w:val="24"/>
          <w:szCs w:val="24"/>
          <w:lang w:val="en-IN"/>
        </w:rPr>
        <w:t xml:space="preserve"> J, Sundberg A, Hamrin Senorski E. Rehabilitation and return to sport after anterior cruciate ligament reconstruction. Clin Sports Med. 2024;43(3):513-533. </w:t>
      </w:r>
      <w:proofErr w:type="gramStart"/>
      <w:r w:rsidRPr="000522AA">
        <w:rPr>
          <w:rFonts w:ascii="Calibri" w:hAnsi="Calibri" w:cs="Calibri"/>
          <w:sz w:val="24"/>
          <w:szCs w:val="24"/>
          <w:lang w:val="en-IN"/>
        </w:rPr>
        <w:t>doi:10.1016/j.csm</w:t>
      </w:r>
      <w:proofErr w:type="gramEnd"/>
      <w:r w:rsidRPr="000522AA">
        <w:rPr>
          <w:rFonts w:ascii="Calibri" w:hAnsi="Calibri" w:cs="Calibri"/>
          <w:sz w:val="24"/>
          <w:szCs w:val="24"/>
          <w:lang w:val="en-IN"/>
        </w:rPr>
        <w:t>.2023.07.004.</w:t>
      </w:r>
    </w:p>
    <w:p w14:paraId="3FDBADD1" w14:textId="05DEE253" w:rsidR="0093511A" w:rsidRPr="000522AA" w:rsidRDefault="0093511A"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 xml:space="preserve">Almeida GPL, Albano TR, Melo AKP. Hand-held dynamometer identifies asymmetries in torque of the quadriceps muscle after anterior cruciate ligament reconstruction. Knee </w:t>
      </w:r>
      <w:proofErr w:type="spellStart"/>
      <w:r w:rsidRPr="000522AA">
        <w:rPr>
          <w:rFonts w:ascii="Calibri" w:hAnsi="Calibri" w:cs="Calibri"/>
          <w:sz w:val="24"/>
          <w:szCs w:val="24"/>
          <w:lang w:val="en-IN"/>
        </w:rPr>
        <w:t>Surg</w:t>
      </w:r>
      <w:proofErr w:type="spellEnd"/>
      <w:r w:rsidRPr="000522AA">
        <w:rPr>
          <w:rFonts w:ascii="Calibri" w:hAnsi="Calibri" w:cs="Calibri"/>
          <w:sz w:val="24"/>
          <w:szCs w:val="24"/>
          <w:lang w:val="en-IN"/>
        </w:rPr>
        <w:t xml:space="preserve"> Sports </w:t>
      </w:r>
      <w:proofErr w:type="spellStart"/>
      <w:r w:rsidRPr="000522AA">
        <w:rPr>
          <w:rFonts w:ascii="Calibri" w:hAnsi="Calibri" w:cs="Calibri"/>
          <w:sz w:val="24"/>
          <w:szCs w:val="24"/>
          <w:lang w:val="en-IN"/>
        </w:rPr>
        <w:t>Traumatol</w:t>
      </w:r>
      <w:proofErr w:type="spellEnd"/>
      <w:r w:rsidRPr="000522AA">
        <w:rPr>
          <w:rFonts w:ascii="Calibri" w:hAnsi="Calibri" w:cs="Calibri"/>
          <w:sz w:val="24"/>
          <w:szCs w:val="24"/>
          <w:lang w:val="en-IN"/>
        </w:rPr>
        <w:t xml:space="preserve"> Arthrosc. 2019;27(8):2494-2501. doi:10.1007/s00167-018-5245-3.</w:t>
      </w:r>
    </w:p>
    <w:p w14:paraId="69A80FC7" w14:textId="6E584E55" w:rsidR="0093511A" w:rsidRPr="000522AA" w:rsidRDefault="0093511A"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Andersen LL, et al. Changes in the human muscle force-velocity relationship in response to resistance training and subsequent detraining. J Appl Physiol. 2005;99(1):87-94. doi:10.1152/japplphysiol.00091.2005.</w:t>
      </w:r>
    </w:p>
    <w:p w14:paraId="6F7231DD" w14:textId="73EF84FB" w:rsidR="0093511A" w:rsidRPr="000522AA" w:rsidRDefault="0093511A"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 xml:space="preserve">Gregor RJ, Edgerton VR, Perrine JJ, Campion DS, </w:t>
      </w:r>
      <w:proofErr w:type="spellStart"/>
      <w:r w:rsidRPr="000522AA">
        <w:rPr>
          <w:rFonts w:ascii="Calibri" w:hAnsi="Calibri" w:cs="Calibri"/>
          <w:sz w:val="24"/>
          <w:szCs w:val="24"/>
          <w:lang w:val="en-IN"/>
        </w:rPr>
        <w:t>DeBus</w:t>
      </w:r>
      <w:proofErr w:type="spellEnd"/>
      <w:r w:rsidRPr="000522AA">
        <w:rPr>
          <w:rFonts w:ascii="Calibri" w:hAnsi="Calibri" w:cs="Calibri"/>
          <w:sz w:val="24"/>
          <w:szCs w:val="24"/>
          <w:lang w:val="en-IN"/>
        </w:rPr>
        <w:t xml:space="preserve"> C. Torque-velocity relationships and muscle </w:t>
      </w:r>
      <w:proofErr w:type="spellStart"/>
      <w:r w:rsidRPr="000522AA">
        <w:rPr>
          <w:rFonts w:ascii="Calibri" w:hAnsi="Calibri" w:cs="Calibri"/>
          <w:sz w:val="24"/>
          <w:szCs w:val="24"/>
          <w:lang w:val="en-IN"/>
        </w:rPr>
        <w:t>fiber</w:t>
      </w:r>
      <w:proofErr w:type="spellEnd"/>
      <w:r w:rsidRPr="000522AA">
        <w:rPr>
          <w:rFonts w:ascii="Calibri" w:hAnsi="Calibri" w:cs="Calibri"/>
          <w:sz w:val="24"/>
          <w:szCs w:val="24"/>
          <w:lang w:val="en-IN"/>
        </w:rPr>
        <w:t xml:space="preserve"> composition in elite female athletes. J Appl Physiol. 1979;47(2):388-392. doi:10.1152/jappl.1979.47.2.388.</w:t>
      </w:r>
    </w:p>
    <w:p w14:paraId="0AEFCCB2" w14:textId="57CBB8DB" w:rsidR="0093511A" w:rsidRPr="000522AA" w:rsidRDefault="0093511A" w:rsidP="00E96AE5">
      <w:pPr>
        <w:pStyle w:val="ListParagraph"/>
        <w:numPr>
          <w:ilvl w:val="0"/>
          <w:numId w:val="33"/>
        </w:numPr>
        <w:rPr>
          <w:rFonts w:ascii="Calibri" w:hAnsi="Calibri" w:cs="Calibri"/>
          <w:sz w:val="24"/>
          <w:szCs w:val="24"/>
          <w:lang w:val="en-IN"/>
        </w:rPr>
      </w:pPr>
      <w:proofErr w:type="spellStart"/>
      <w:r w:rsidRPr="000522AA">
        <w:rPr>
          <w:rFonts w:ascii="Calibri" w:hAnsi="Calibri" w:cs="Calibri"/>
          <w:sz w:val="24"/>
          <w:szCs w:val="24"/>
          <w:lang w:val="en-IN"/>
        </w:rPr>
        <w:t>Drigny</w:t>
      </w:r>
      <w:proofErr w:type="spellEnd"/>
      <w:r w:rsidRPr="000522AA">
        <w:rPr>
          <w:rFonts w:ascii="Calibri" w:hAnsi="Calibri" w:cs="Calibri"/>
          <w:sz w:val="24"/>
          <w:szCs w:val="24"/>
          <w:lang w:val="en-IN"/>
        </w:rPr>
        <w:t xml:space="preserve"> J, </w:t>
      </w:r>
      <w:proofErr w:type="spellStart"/>
      <w:r w:rsidRPr="000522AA">
        <w:rPr>
          <w:rFonts w:ascii="Calibri" w:hAnsi="Calibri" w:cs="Calibri"/>
          <w:sz w:val="24"/>
          <w:szCs w:val="24"/>
          <w:lang w:val="en-IN"/>
        </w:rPr>
        <w:t>Calmès</w:t>
      </w:r>
      <w:proofErr w:type="spellEnd"/>
      <w:r w:rsidRPr="000522AA">
        <w:rPr>
          <w:rFonts w:ascii="Calibri" w:hAnsi="Calibri" w:cs="Calibri"/>
          <w:sz w:val="24"/>
          <w:szCs w:val="24"/>
          <w:lang w:val="en-IN"/>
        </w:rPr>
        <w:t xml:space="preserve"> A, </w:t>
      </w:r>
      <w:proofErr w:type="spellStart"/>
      <w:r w:rsidRPr="000522AA">
        <w:rPr>
          <w:rFonts w:ascii="Calibri" w:hAnsi="Calibri" w:cs="Calibri"/>
          <w:sz w:val="24"/>
          <w:szCs w:val="24"/>
          <w:lang w:val="en-IN"/>
        </w:rPr>
        <w:t>Reboursière</w:t>
      </w:r>
      <w:proofErr w:type="spellEnd"/>
      <w:r w:rsidRPr="000522AA">
        <w:rPr>
          <w:rFonts w:ascii="Calibri" w:hAnsi="Calibri" w:cs="Calibri"/>
          <w:sz w:val="24"/>
          <w:szCs w:val="24"/>
          <w:lang w:val="en-IN"/>
        </w:rPr>
        <w:t xml:space="preserve"> E, Hulet C, Gauthier A. Changes in the force-velocity relationship of knee muscles after anterior cruciate ligament reconstruction using the isokinetic 2-point model. Int J Sports </w:t>
      </w:r>
      <w:proofErr w:type="spellStart"/>
      <w:r w:rsidRPr="000522AA">
        <w:rPr>
          <w:rFonts w:ascii="Calibri" w:hAnsi="Calibri" w:cs="Calibri"/>
          <w:sz w:val="24"/>
          <w:szCs w:val="24"/>
          <w:lang w:val="en-IN"/>
        </w:rPr>
        <w:t>Physiol</w:t>
      </w:r>
      <w:proofErr w:type="spellEnd"/>
      <w:r w:rsidRPr="000522AA">
        <w:rPr>
          <w:rFonts w:ascii="Calibri" w:hAnsi="Calibri" w:cs="Calibri"/>
          <w:sz w:val="24"/>
          <w:szCs w:val="24"/>
          <w:lang w:val="en-IN"/>
        </w:rPr>
        <w:t xml:space="preserve"> Perform. 2023;1(</w:t>
      </w:r>
      <w:proofErr w:type="spellStart"/>
      <w:r w:rsidRPr="000522AA">
        <w:rPr>
          <w:rFonts w:ascii="Calibri" w:hAnsi="Calibri" w:cs="Calibri"/>
          <w:sz w:val="24"/>
          <w:szCs w:val="24"/>
          <w:lang w:val="en-IN"/>
        </w:rPr>
        <w:t>aop</w:t>
      </w:r>
      <w:proofErr w:type="spellEnd"/>
      <w:r w:rsidRPr="000522AA">
        <w:rPr>
          <w:rFonts w:ascii="Calibri" w:hAnsi="Calibri" w:cs="Calibri"/>
          <w:sz w:val="24"/>
          <w:szCs w:val="24"/>
          <w:lang w:val="en-IN"/>
        </w:rPr>
        <w:t>):1-9. doi:10.1123/ijspp.2023-0108.</w:t>
      </w:r>
    </w:p>
    <w:p w14:paraId="2C8C813D" w14:textId="352B8855" w:rsidR="0093511A" w:rsidRPr="000522AA" w:rsidRDefault="0093511A"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Grbic V, Djuric S, Knezevic OM, Mirkov DM, Nedeljkovic A, Jaric S. A novel two-velocity method for elaborate isokinetic testing of knee extensors. Int J Sports Med. 2017;38(10):741-746. doi:10.1055/s-0043-113043.</w:t>
      </w:r>
    </w:p>
    <w:p w14:paraId="2546B9F5" w14:textId="449D8093" w:rsidR="0093511A" w:rsidRPr="000522AA" w:rsidRDefault="0093511A"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 xml:space="preserve">Davis H, et al. Quadriceps rate of torque development and disability in individuals with anterior cruciate ligament reconstruction. Clin </w:t>
      </w:r>
      <w:proofErr w:type="spellStart"/>
      <w:r w:rsidRPr="000522AA">
        <w:rPr>
          <w:rFonts w:ascii="Calibri" w:hAnsi="Calibri" w:cs="Calibri"/>
          <w:sz w:val="24"/>
          <w:szCs w:val="24"/>
          <w:lang w:val="en-IN"/>
        </w:rPr>
        <w:t>Biomech</w:t>
      </w:r>
      <w:proofErr w:type="spellEnd"/>
      <w:r w:rsidRPr="000522AA">
        <w:rPr>
          <w:rFonts w:ascii="Calibri" w:hAnsi="Calibri" w:cs="Calibri"/>
          <w:sz w:val="24"/>
          <w:szCs w:val="24"/>
          <w:lang w:val="en-IN"/>
        </w:rPr>
        <w:t xml:space="preserve">. </w:t>
      </w:r>
      <w:proofErr w:type="gramStart"/>
      <w:r w:rsidRPr="000522AA">
        <w:rPr>
          <w:rFonts w:ascii="Calibri" w:hAnsi="Calibri" w:cs="Calibri"/>
          <w:sz w:val="24"/>
          <w:szCs w:val="24"/>
          <w:lang w:val="en-IN"/>
        </w:rPr>
        <w:t>2017;46:52</w:t>
      </w:r>
      <w:proofErr w:type="gramEnd"/>
      <w:r w:rsidRPr="000522AA">
        <w:rPr>
          <w:rFonts w:ascii="Calibri" w:hAnsi="Calibri" w:cs="Calibri"/>
          <w:sz w:val="24"/>
          <w:szCs w:val="24"/>
          <w:lang w:val="en-IN"/>
        </w:rPr>
        <w:t xml:space="preserve">-56. </w:t>
      </w:r>
      <w:proofErr w:type="gramStart"/>
      <w:r w:rsidRPr="000522AA">
        <w:rPr>
          <w:rFonts w:ascii="Calibri" w:hAnsi="Calibri" w:cs="Calibri"/>
          <w:sz w:val="24"/>
          <w:szCs w:val="24"/>
          <w:lang w:val="en-IN"/>
        </w:rPr>
        <w:t>doi:10.1016/j.clinbiomech</w:t>
      </w:r>
      <w:proofErr w:type="gramEnd"/>
      <w:r w:rsidRPr="000522AA">
        <w:rPr>
          <w:rFonts w:ascii="Calibri" w:hAnsi="Calibri" w:cs="Calibri"/>
          <w:sz w:val="24"/>
          <w:szCs w:val="24"/>
          <w:lang w:val="en-IN"/>
        </w:rPr>
        <w:t>.2017.04.011.</w:t>
      </w:r>
    </w:p>
    <w:p w14:paraId="2558B9B5" w14:textId="2959A0D5" w:rsidR="0093511A" w:rsidRPr="000522AA" w:rsidRDefault="0093511A"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 xml:space="preserve">White MS, Graham MC, </w:t>
      </w:r>
      <w:proofErr w:type="spellStart"/>
      <w:r w:rsidRPr="000522AA">
        <w:rPr>
          <w:rFonts w:ascii="Calibri" w:hAnsi="Calibri" w:cs="Calibri"/>
          <w:sz w:val="24"/>
          <w:szCs w:val="24"/>
          <w:lang w:val="en-IN"/>
        </w:rPr>
        <w:t>Janatova</w:t>
      </w:r>
      <w:proofErr w:type="spellEnd"/>
      <w:r w:rsidRPr="000522AA">
        <w:rPr>
          <w:rFonts w:ascii="Calibri" w:hAnsi="Calibri" w:cs="Calibri"/>
          <w:sz w:val="24"/>
          <w:szCs w:val="24"/>
          <w:lang w:val="en-IN"/>
        </w:rPr>
        <w:t xml:space="preserve"> T, Hawk GS, Thompson KL, </w:t>
      </w:r>
      <w:proofErr w:type="spellStart"/>
      <w:r w:rsidRPr="000522AA">
        <w:rPr>
          <w:rFonts w:ascii="Calibri" w:hAnsi="Calibri" w:cs="Calibri"/>
          <w:sz w:val="24"/>
          <w:szCs w:val="24"/>
          <w:lang w:val="en-IN"/>
        </w:rPr>
        <w:t>Noehren</w:t>
      </w:r>
      <w:proofErr w:type="spellEnd"/>
      <w:r w:rsidRPr="000522AA">
        <w:rPr>
          <w:rFonts w:ascii="Calibri" w:hAnsi="Calibri" w:cs="Calibri"/>
          <w:sz w:val="24"/>
          <w:szCs w:val="24"/>
          <w:lang w:val="en-IN"/>
        </w:rPr>
        <w:t xml:space="preserve"> B. Effect of sampling rate, filtering, and torque onset detection on quadriceps rate of torque development and torque steadiness. Sensors (Basel). 2024;24(13):4250. doi:10.3390/s24134250.</w:t>
      </w:r>
    </w:p>
    <w:p w14:paraId="57D91617" w14:textId="37FBB888" w:rsidR="0093511A" w:rsidRPr="000522AA" w:rsidRDefault="0093511A"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 xml:space="preserve">Thompson XD, Gabler CM, </w:t>
      </w:r>
      <w:proofErr w:type="spellStart"/>
      <w:r w:rsidRPr="000522AA">
        <w:rPr>
          <w:rFonts w:ascii="Calibri" w:hAnsi="Calibri" w:cs="Calibri"/>
          <w:sz w:val="24"/>
          <w:szCs w:val="24"/>
          <w:lang w:val="en-IN"/>
        </w:rPr>
        <w:t>Mattacola</w:t>
      </w:r>
      <w:proofErr w:type="spellEnd"/>
      <w:r w:rsidRPr="000522AA">
        <w:rPr>
          <w:rFonts w:ascii="Calibri" w:hAnsi="Calibri" w:cs="Calibri"/>
          <w:sz w:val="24"/>
          <w:szCs w:val="24"/>
          <w:lang w:val="en-IN"/>
        </w:rPr>
        <w:t xml:space="preserve"> CG. The relationship between rate of torque development and vertical jump performance: possible implications for ACL injury? </w:t>
      </w:r>
      <w:proofErr w:type="spellStart"/>
      <w:r w:rsidRPr="000522AA">
        <w:rPr>
          <w:rFonts w:ascii="Calibri" w:hAnsi="Calibri" w:cs="Calibri"/>
          <w:sz w:val="24"/>
          <w:szCs w:val="24"/>
          <w:lang w:val="en-IN"/>
        </w:rPr>
        <w:t>Athl</w:t>
      </w:r>
      <w:proofErr w:type="spellEnd"/>
      <w:r w:rsidRPr="000522AA">
        <w:rPr>
          <w:rFonts w:ascii="Calibri" w:hAnsi="Calibri" w:cs="Calibri"/>
          <w:sz w:val="24"/>
          <w:szCs w:val="24"/>
          <w:lang w:val="en-IN"/>
        </w:rPr>
        <w:t xml:space="preserve"> Train Sports Health Care. 2021;13(3):136-143. doi:10.3928/19425864-20200205-01.</w:t>
      </w:r>
    </w:p>
    <w:p w14:paraId="3E31592E" w14:textId="1D4A19E4" w:rsidR="0093511A" w:rsidRPr="000522AA" w:rsidRDefault="0093511A"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lastRenderedPageBreak/>
        <w:t xml:space="preserve">Hansen EM, McCartney CN, Sweeney RS, </w:t>
      </w:r>
      <w:proofErr w:type="spellStart"/>
      <w:r w:rsidRPr="000522AA">
        <w:rPr>
          <w:rFonts w:ascii="Calibri" w:hAnsi="Calibri" w:cs="Calibri"/>
          <w:sz w:val="24"/>
          <w:szCs w:val="24"/>
          <w:lang w:val="en-IN"/>
        </w:rPr>
        <w:t>Palimenio</w:t>
      </w:r>
      <w:proofErr w:type="spellEnd"/>
      <w:r w:rsidRPr="000522AA">
        <w:rPr>
          <w:rFonts w:ascii="Calibri" w:hAnsi="Calibri" w:cs="Calibri"/>
          <w:sz w:val="24"/>
          <w:szCs w:val="24"/>
          <w:lang w:val="en-IN"/>
        </w:rPr>
        <w:t xml:space="preserve"> MR, Grindstaff TL. Hand-held dynamometer positioning impacts discomfort during quadriceps strength testing: a validity and reliability study. Int J Sports Phys Ther. 2015;10(1):62-68.</w:t>
      </w:r>
    </w:p>
    <w:p w14:paraId="063717F9" w14:textId="51B1329C" w:rsidR="0093511A" w:rsidRPr="000522AA" w:rsidRDefault="0093511A"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 xml:space="preserve">Lesnak J, Anderson D, Farmer B, </w:t>
      </w:r>
      <w:proofErr w:type="spellStart"/>
      <w:r w:rsidRPr="000522AA">
        <w:rPr>
          <w:rFonts w:ascii="Calibri" w:hAnsi="Calibri" w:cs="Calibri"/>
          <w:sz w:val="24"/>
          <w:szCs w:val="24"/>
          <w:lang w:val="en-IN"/>
        </w:rPr>
        <w:t>Katsavelis</w:t>
      </w:r>
      <w:proofErr w:type="spellEnd"/>
      <w:r w:rsidRPr="000522AA">
        <w:rPr>
          <w:rFonts w:ascii="Calibri" w:hAnsi="Calibri" w:cs="Calibri"/>
          <w:sz w:val="24"/>
          <w:szCs w:val="24"/>
          <w:lang w:val="en-IN"/>
        </w:rPr>
        <w:t xml:space="preserve"> D, Grindstaff TL. Validity of hand-held dynamometry in measuring quadriceps strength and rate of torque development. Int J Sports Phys Ther. 2019;14(2):180-187.</w:t>
      </w:r>
    </w:p>
    <w:p w14:paraId="6A1E1036" w14:textId="1ACAE184" w:rsidR="0093511A" w:rsidRPr="000522AA" w:rsidRDefault="0093511A" w:rsidP="00E96AE5">
      <w:pPr>
        <w:pStyle w:val="ListParagraph"/>
        <w:numPr>
          <w:ilvl w:val="0"/>
          <w:numId w:val="33"/>
        </w:numPr>
        <w:rPr>
          <w:rFonts w:ascii="Calibri" w:hAnsi="Calibri" w:cs="Calibri"/>
          <w:sz w:val="24"/>
          <w:szCs w:val="24"/>
          <w:lang w:val="en-IN"/>
        </w:rPr>
      </w:pPr>
      <w:proofErr w:type="spellStart"/>
      <w:r w:rsidRPr="000522AA">
        <w:rPr>
          <w:rFonts w:ascii="Calibri" w:hAnsi="Calibri" w:cs="Calibri"/>
          <w:sz w:val="24"/>
          <w:szCs w:val="24"/>
          <w:lang w:val="en-IN"/>
        </w:rPr>
        <w:t>Dauty</w:t>
      </w:r>
      <w:proofErr w:type="spellEnd"/>
      <w:r w:rsidRPr="000522AA">
        <w:rPr>
          <w:rFonts w:ascii="Calibri" w:hAnsi="Calibri" w:cs="Calibri"/>
          <w:sz w:val="24"/>
          <w:szCs w:val="24"/>
          <w:lang w:val="en-IN"/>
        </w:rPr>
        <w:t xml:space="preserve"> M, </w:t>
      </w:r>
      <w:proofErr w:type="spellStart"/>
      <w:r w:rsidRPr="000522AA">
        <w:rPr>
          <w:rFonts w:ascii="Calibri" w:hAnsi="Calibri" w:cs="Calibri"/>
          <w:sz w:val="24"/>
          <w:szCs w:val="24"/>
          <w:lang w:val="en-IN"/>
        </w:rPr>
        <w:t>Rochcongar</w:t>
      </w:r>
      <w:proofErr w:type="spellEnd"/>
      <w:r w:rsidRPr="000522AA">
        <w:rPr>
          <w:rFonts w:ascii="Calibri" w:hAnsi="Calibri" w:cs="Calibri"/>
          <w:sz w:val="24"/>
          <w:szCs w:val="24"/>
          <w:lang w:val="en-IN"/>
        </w:rPr>
        <w:t xml:space="preserve"> P. Reproducibility of concentric and eccentric isokinetic strength of the knee flexors in elite volleyball players. </w:t>
      </w:r>
      <w:proofErr w:type="spellStart"/>
      <w:r w:rsidRPr="000522AA">
        <w:rPr>
          <w:rFonts w:ascii="Calibri" w:hAnsi="Calibri" w:cs="Calibri"/>
          <w:sz w:val="24"/>
          <w:szCs w:val="24"/>
          <w:lang w:val="en-IN"/>
        </w:rPr>
        <w:t>Isokinetics</w:t>
      </w:r>
      <w:proofErr w:type="spellEnd"/>
      <w:r w:rsidRPr="000522AA">
        <w:rPr>
          <w:rFonts w:ascii="Calibri" w:hAnsi="Calibri" w:cs="Calibri"/>
          <w:sz w:val="24"/>
          <w:szCs w:val="24"/>
          <w:lang w:val="en-IN"/>
        </w:rPr>
        <w:t xml:space="preserve"> </w:t>
      </w:r>
      <w:proofErr w:type="spellStart"/>
      <w:r w:rsidRPr="000522AA">
        <w:rPr>
          <w:rFonts w:ascii="Calibri" w:hAnsi="Calibri" w:cs="Calibri"/>
          <w:sz w:val="24"/>
          <w:szCs w:val="24"/>
          <w:lang w:val="en-IN"/>
        </w:rPr>
        <w:t>Exerc</w:t>
      </w:r>
      <w:proofErr w:type="spellEnd"/>
      <w:r w:rsidRPr="000522AA">
        <w:rPr>
          <w:rFonts w:ascii="Calibri" w:hAnsi="Calibri" w:cs="Calibri"/>
          <w:sz w:val="24"/>
          <w:szCs w:val="24"/>
          <w:lang w:val="en-IN"/>
        </w:rPr>
        <w:t xml:space="preserve"> Sci. 2001;9(2-3):129-132. doi:10.3233/IES-2001-0076.</w:t>
      </w:r>
    </w:p>
    <w:p w14:paraId="1934773D" w14:textId="7F0DFAB0" w:rsidR="00E96AE5" w:rsidRPr="000522AA" w:rsidRDefault="00E96AE5"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Bottaro M, Russo AF, de Oliveira RJ. The effects of rest interval on quadriceps torque during an isokinetic testing protocol in elderly. J Sports Sci Med. 2005;4(3):285-290.</w:t>
      </w:r>
    </w:p>
    <w:p w14:paraId="0CCF12CA" w14:textId="31E109F7" w:rsidR="00E96AE5" w:rsidRPr="000522AA" w:rsidRDefault="00E96AE5"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Giordano KA, Cich M, Oliver GD. Length-tension differences between concentric and eccentric shoulder rotation strength. J Strength Cond Res. 2024;38(2):253-258. doi:10.1519/JSC.0000000000004625.</w:t>
      </w:r>
    </w:p>
    <w:p w14:paraId="5CBBA966" w14:textId="77777777" w:rsidR="001607CB" w:rsidRPr="001607CB" w:rsidRDefault="001607CB" w:rsidP="00E96AE5">
      <w:pPr>
        <w:pStyle w:val="ListParagraph"/>
        <w:numPr>
          <w:ilvl w:val="0"/>
          <w:numId w:val="33"/>
        </w:numPr>
        <w:rPr>
          <w:rFonts w:ascii="Calibri" w:hAnsi="Calibri" w:cs="Calibri"/>
          <w:sz w:val="24"/>
          <w:szCs w:val="24"/>
          <w:lang w:val="en-IN"/>
        </w:rPr>
      </w:pPr>
      <w:r w:rsidRPr="001607CB">
        <w:rPr>
          <w:rFonts w:ascii="Calibri" w:hAnsi="Calibri" w:cs="Calibri"/>
          <w:sz w:val="24"/>
          <w:szCs w:val="24"/>
        </w:rPr>
        <w:t xml:space="preserve">Thompson XD, et al. The torque-velocity relationship and second ACL injury risk. J </w:t>
      </w:r>
      <w:proofErr w:type="spellStart"/>
      <w:r w:rsidRPr="001607CB">
        <w:rPr>
          <w:rFonts w:ascii="Calibri" w:hAnsi="Calibri" w:cs="Calibri"/>
          <w:sz w:val="24"/>
          <w:szCs w:val="24"/>
        </w:rPr>
        <w:t>Athl</w:t>
      </w:r>
      <w:proofErr w:type="spellEnd"/>
      <w:r w:rsidRPr="001607CB">
        <w:rPr>
          <w:rFonts w:ascii="Calibri" w:hAnsi="Calibri" w:cs="Calibri"/>
          <w:sz w:val="24"/>
          <w:szCs w:val="24"/>
        </w:rPr>
        <w:t xml:space="preserve"> Train. 2026;1(</w:t>
      </w:r>
      <w:proofErr w:type="spellStart"/>
      <w:r w:rsidRPr="001607CB">
        <w:rPr>
          <w:rFonts w:ascii="Calibri" w:hAnsi="Calibri" w:cs="Calibri"/>
          <w:sz w:val="24"/>
          <w:szCs w:val="24"/>
        </w:rPr>
        <w:t>aop</w:t>
      </w:r>
      <w:proofErr w:type="spellEnd"/>
      <w:r w:rsidRPr="001607CB">
        <w:rPr>
          <w:rFonts w:ascii="Calibri" w:hAnsi="Calibri" w:cs="Calibri"/>
          <w:sz w:val="24"/>
          <w:szCs w:val="24"/>
        </w:rPr>
        <w:t>). doi:10.4085/1062-6050-0217.25.</w:t>
      </w:r>
    </w:p>
    <w:p w14:paraId="385659A3" w14:textId="661F603B" w:rsidR="00E96AE5" w:rsidRPr="000522AA" w:rsidRDefault="00E96AE5"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 xml:space="preserve">Thompson XD, et al. The clinical utility of strength measures in predicting patient progression following ACLR. </w:t>
      </w:r>
      <w:proofErr w:type="spellStart"/>
      <w:r w:rsidRPr="000522AA">
        <w:rPr>
          <w:rFonts w:ascii="Calibri" w:hAnsi="Calibri" w:cs="Calibri"/>
          <w:sz w:val="24"/>
          <w:szCs w:val="24"/>
          <w:lang w:val="en-IN"/>
        </w:rPr>
        <w:t>Orthop</w:t>
      </w:r>
      <w:proofErr w:type="spellEnd"/>
      <w:r w:rsidRPr="000522AA">
        <w:rPr>
          <w:rFonts w:ascii="Calibri" w:hAnsi="Calibri" w:cs="Calibri"/>
          <w:sz w:val="24"/>
          <w:szCs w:val="24"/>
          <w:lang w:val="en-IN"/>
        </w:rPr>
        <w:t xml:space="preserve"> J Sports Med. 2026;14(1):23259671251400776. doi:10.1177/23259671251400776.</w:t>
      </w:r>
    </w:p>
    <w:p w14:paraId="63B99143" w14:textId="17BD3172" w:rsidR="00E96AE5" w:rsidRPr="000522AA" w:rsidRDefault="00E96AE5"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 xml:space="preserve">Webster KE, Feller JA. Who passes return-to-sport tests, and which tests are most strongly associated with return to play after anterior cruciate ligament reconstruction? </w:t>
      </w:r>
      <w:proofErr w:type="spellStart"/>
      <w:r w:rsidRPr="000522AA">
        <w:rPr>
          <w:rFonts w:ascii="Calibri" w:hAnsi="Calibri" w:cs="Calibri"/>
          <w:sz w:val="24"/>
          <w:szCs w:val="24"/>
          <w:lang w:val="en-IN"/>
        </w:rPr>
        <w:t>Orthop</w:t>
      </w:r>
      <w:proofErr w:type="spellEnd"/>
      <w:r w:rsidRPr="000522AA">
        <w:rPr>
          <w:rFonts w:ascii="Calibri" w:hAnsi="Calibri" w:cs="Calibri"/>
          <w:sz w:val="24"/>
          <w:szCs w:val="24"/>
          <w:lang w:val="en-IN"/>
        </w:rPr>
        <w:t xml:space="preserve"> J Sports Med. 2020;8(12). doi:10.1177/2325967120969425.</w:t>
      </w:r>
    </w:p>
    <w:p w14:paraId="6106A961" w14:textId="76C0FB8A" w:rsidR="00E96AE5" w:rsidRPr="000522AA" w:rsidRDefault="00E96AE5"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 xml:space="preserve">Weaver AP, Walaszek MC, Roman DP, Harkey MS, </w:t>
      </w:r>
      <w:proofErr w:type="spellStart"/>
      <w:r w:rsidRPr="000522AA">
        <w:rPr>
          <w:rFonts w:ascii="Calibri" w:hAnsi="Calibri" w:cs="Calibri"/>
          <w:sz w:val="24"/>
          <w:szCs w:val="24"/>
          <w:lang w:val="en-IN"/>
        </w:rPr>
        <w:t>Kuenze</w:t>
      </w:r>
      <w:proofErr w:type="spellEnd"/>
      <w:r w:rsidRPr="000522AA">
        <w:rPr>
          <w:rFonts w:ascii="Calibri" w:hAnsi="Calibri" w:cs="Calibri"/>
          <w:sz w:val="24"/>
          <w:szCs w:val="24"/>
          <w:lang w:val="en-IN"/>
        </w:rPr>
        <w:t xml:space="preserve"> C. The impact of meniscal tear type and surgical treatment on quadriceps strength: a study of adolescent patients </w:t>
      </w:r>
      <w:proofErr w:type="gramStart"/>
      <w:r w:rsidRPr="000522AA">
        <w:rPr>
          <w:rFonts w:ascii="Calibri" w:hAnsi="Calibri" w:cs="Calibri"/>
          <w:sz w:val="24"/>
          <w:szCs w:val="24"/>
          <w:lang w:val="en-IN"/>
        </w:rPr>
        <w:t>post</w:t>
      </w:r>
      <w:proofErr w:type="gramEnd"/>
      <w:r w:rsidRPr="000522AA">
        <w:rPr>
          <w:rFonts w:ascii="Calibri" w:hAnsi="Calibri" w:cs="Calibri"/>
          <w:sz w:val="24"/>
          <w:szCs w:val="24"/>
          <w:lang w:val="en-IN"/>
        </w:rPr>
        <w:t xml:space="preserve"> anterior cruciate ligament reconstruction. Am J Sports Med. 2023;51(9):2357-2365. doi:10.1177/03635465231177626.</w:t>
      </w:r>
    </w:p>
    <w:p w14:paraId="579CD99C" w14:textId="10BF00DE" w:rsidR="00E96AE5" w:rsidRPr="000522AA" w:rsidRDefault="00E96AE5"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 xml:space="preserve">Huber R, et al. Knee extensor and flexor strength before and after anterior cruciate ligament reconstruction in a large sample of patients: influence of graft type. Physician </w:t>
      </w:r>
      <w:proofErr w:type="spellStart"/>
      <w:r w:rsidRPr="000522AA">
        <w:rPr>
          <w:rFonts w:ascii="Calibri" w:hAnsi="Calibri" w:cs="Calibri"/>
          <w:sz w:val="24"/>
          <w:szCs w:val="24"/>
          <w:lang w:val="en-IN"/>
        </w:rPr>
        <w:t>Sportsmed</w:t>
      </w:r>
      <w:proofErr w:type="spellEnd"/>
      <w:r w:rsidRPr="000522AA">
        <w:rPr>
          <w:rFonts w:ascii="Calibri" w:hAnsi="Calibri" w:cs="Calibri"/>
          <w:sz w:val="24"/>
          <w:szCs w:val="24"/>
          <w:lang w:val="en-IN"/>
        </w:rPr>
        <w:t>. 2019;47(1):85-90. doi:10.1080/00913847.2018.1526627.</w:t>
      </w:r>
    </w:p>
    <w:p w14:paraId="37551AAD" w14:textId="69C04935" w:rsidR="00E96AE5" w:rsidRPr="000522AA" w:rsidRDefault="00E96AE5" w:rsidP="00E96AE5">
      <w:pPr>
        <w:pStyle w:val="ListParagraph"/>
        <w:numPr>
          <w:ilvl w:val="0"/>
          <w:numId w:val="33"/>
        </w:numPr>
        <w:rPr>
          <w:rFonts w:ascii="Calibri" w:hAnsi="Calibri" w:cs="Calibri"/>
          <w:sz w:val="24"/>
          <w:szCs w:val="24"/>
          <w:lang w:val="en-IN"/>
        </w:rPr>
      </w:pPr>
      <w:proofErr w:type="spellStart"/>
      <w:r w:rsidRPr="000522AA">
        <w:rPr>
          <w:rFonts w:ascii="Calibri" w:hAnsi="Calibri" w:cs="Calibri"/>
          <w:sz w:val="24"/>
          <w:szCs w:val="24"/>
          <w:lang w:val="en-IN"/>
        </w:rPr>
        <w:t>Janicijevic</w:t>
      </w:r>
      <w:proofErr w:type="spellEnd"/>
      <w:r w:rsidRPr="000522AA">
        <w:rPr>
          <w:rFonts w:ascii="Calibri" w:hAnsi="Calibri" w:cs="Calibri"/>
          <w:sz w:val="24"/>
          <w:szCs w:val="24"/>
          <w:lang w:val="en-IN"/>
        </w:rPr>
        <w:t xml:space="preserve"> D, Knezevic OM, Garcia-Ramos A, </w:t>
      </w:r>
      <w:proofErr w:type="spellStart"/>
      <w:r w:rsidRPr="000522AA">
        <w:rPr>
          <w:rFonts w:ascii="Calibri" w:hAnsi="Calibri" w:cs="Calibri"/>
          <w:sz w:val="24"/>
          <w:szCs w:val="24"/>
          <w:lang w:val="en-IN"/>
        </w:rPr>
        <w:t>Cvetic</w:t>
      </w:r>
      <w:proofErr w:type="spellEnd"/>
      <w:r w:rsidRPr="000522AA">
        <w:rPr>
          <w:rFonts w:ascii="Calibri" w:hAnsi="Calibri" w:cs="Calibri"/>
          <w:sz w:val="24"/>
          <w:szCs w:val="24"/>
          <w:lang w:val="en-IN"/>
        </w:rPr>
        <w:t xml:space="preserve"> D, Mirkov DM. Isokinetic testing: sensitivity of the force-velocity relationship assessed through the two-point method to discriminate between muscle groups and participants' physical activity levels. Int J Environ Res Public Health. 2020;17(22). doi:10.3390/ijerph17228570.</w:t>
      </w:r>
    </w:p>
    <w:p w14:paraId="72B8ED6B" w14:textId="77777777" w:rsidR="000522AA" w:rsidRPr="000522AA" w:rsidRDefault="000522AA" w:rsidP="000522AA">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 xml:space="preserve">Roberts D, </w:t>
      </w:r>
      <w:proofErr w:type="spellStart"/>
      <w:r w:rsidRPr="000522AA">
        <w:rPr>
          <w:rFonts w:ascii="Calibri" w:hAnsi="Calibri" w:cs="Calibri"/>
          <w:sz w:val="24"/>
          <w:szCs w:val="24"/>
          <w:lang w:val="en-IN"/>
        </w:rPr>
        <w:t>Kuenze</w:t>
      </w:r>
      <w:proofErr w:type="spellEnd"/>
      <w:r w:rsidRPr="000522AA">
        <w:rPr>
          <w:rFonts w:ascii="Calibri" w:hAnsi="Calibri" w:cs="Calibri"/>
          <w:sz w:val="24"/>
          <w:szCs w:val="24"/>
          <w:lang w:val="en-IN"/>
        </w:rPr>
        <w:t xml:space="preserve"> C, Saliba S, Hart JM. Accessory muscle activation during the superimposed burst technique. J </w:t>
      </w:r>
      <w:proofErr w:type="spellStart"/>
      <w:r w:rsidRPr="000522AA">
        <w:rPr>
          <w:rFonts w:ascii="Calibri" w:hAnsi="Calibri" w:cs="Calibri"/>
          <w:sz w:val="24"/>
          <w:szCs w:val="24"/>
          <w:lang w:val="en-IN"/>
        </w:rPr>
        <w:t>Electromyogr</w:t>
      </w:r>
      <w:proofErr w:type="spellEnd"/>
      <w:r w:rsidRPr="000522AA">
        <w:rPr>
          <w:rFonts w:ascii="Calibri" w:hAnsi="Calibri" w:cs="Calibri"/>
          <w:sz w:val="24"/>
          <w:szCs w:val="24"/>
          <w:lang w:val="en-IN"/>
        </w:rPr>
        <w:t xml:space="preserve"> Kinesiol. 2012;22(4):540-545. </w:t>
      </w:r>
      <w:proofErr w:type="gramStart"/>
      <w:r w:rsidRPr="000522AA">
        <w:rPr>
          <w:rFonts w:ascii="Calibri" w:hAnsi="Calibri" w:cs="Calibri"/>
          <w:sz w:val="24"/>
          <w:szCs w:val="24"/>
          <w:lang w:val="en-IN"/>
        </w:rPr>
        <w:t>doi:10.1016/j.jelekin</w:t>
      </w:r>
      <w:proofErr w:type="gramEnd"/>
      <w:r w:rsidRPr="000522AA">
        <w:rPr>
          <w:rFonts w:ascii="Calibri" w:hAnsi="Calibri" w:cs="Calibri"/>
          <w:sz w:val="24"/>
          <w:szCs w:val="24"/>
          <w:lang w:val="en-IN"/>
        </w:rPr>
        <w:t>.2012.01.008.</w:t>
      </w:r>
    </w:p>
    <w:p w14:paraId="3B790E25" w14:textId="77777777" w:rsidR="000522AA" w:rsidRPr="000522AA" w:rsidRDefault="000522AA" w:rsidP="000522AA">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lastRenderedPageBreak/>
        <w:t>Rendos NK, Harriell K, Qazi S, Regis RC, Alipio TC, Signorile JF. Variations in verbal encouragement modify isokinetic performance. J Strength Cond Res. 2019;33(3):708-716. doi:10.1519/JSC.0000000000002998.</w:t>
      </w:r>
    </w:p>
    <w:p w14:paraId="56ED32FE" w14:textId="2D0C1BA5" w:rsidR="00E96AE5" w:rsidRPr="000522AA" w:rsidRDefault="00E96AE5" w:rsidP="00E96AE5">
      <w:pPr>
        <w:pStyle w:val="ListParagraph"/>
        <w:numPr>
          <w:ilvl w:val="0"/>
          <w:numId w:val="33"/>
        </w:numPr>
        <w:rPr>
          <w:rFonts w:ascii="Calibri" w:hAnsi="Calibri" w:cs="Calibri"/>
          <w:sz w:val="24"/>
          <w:szCs w:val="24"/>
          <w:lang w:val="en-IN"/>
        </w:rPr>
      </w:pPr>
      <w:proofErr w:type="spellStart"/>
      <w:r w:rsidRPr="000522AA">
        <w:rPr>
          <w:rFonts w:ascii="Calibri" w:hAnsi="Calibri" w:cs="Calibri"/>
          <w:sz w:val="24"/>
          <w:szCs w:val="24"/>
          <w:lang w:val="en-IN"/>
        </w:rPr>
        <w:t>Jevsevar</w:t>
      </w:r>
      <w:proofErr w:type="spellEnd"/>
      <w:r w:rsidRPr="000522AA">
        <w:rPr>
          <w:rFonts w:ascii="Calibri" w:hAnsi="Calibri" w:cs="Calibri"/>
          <w:sz w:val="24"/>
          <w:szCs w:val="24"/>
          <w:lang w:val="en-IN"/>
        </w:rPr>
        <w:t xml:space="preserve"> DS, Riley PO, Hodge WA, Krebs DE. Knee kinematics and kinetics during locomotor activities of daily living in subjects with knee arthroplasty and in healthy control subjects. Phys Ther. 1993;73(4):229-239; discussion 240-242. doi:10.1093/</w:t>
      </w:r>
      <w:proofErr w:type="spellStart"/>
      <w:r w:rsidRPr="000522AA">
        <w:rPr>
          <w:rFonts w:ascii="Calibri" w:hAnsi="Calibri" w:cs="Calibri"/>
          <w:sz w:val="24"/>
          <w:szCs w:val="24"/>
          <w:lang w:val="en-IN"/>
        </w:rPr>
        <w:t>ptj</w:t>
      </w:r>
      <w:proofErr w:type="spellEnd"/>
      <w:r w:rsidRPr="000522AA">
        <w:rPr>
          <w:rFonts w:ascii="Calibri" w:hAnsi="Calibri" w:cs="Calibri"/>
          <w:sz w:val="24"/>
          <w:szCs w:val="24"/>
          <w:lang w:val="en-IN"/>
        </w:rPr>
        <w:t>/73.4.229.</w:t>
      </w:r>
    </w:p>
    <w:p w14:paraId="64CA1370" w14:textId="46386584" w:rsidR="00E96AE5" w:rsidRPr="000522AA" w:rsidRDefault="00E96AE5" w:rsidP="00E96AE5">
      <w:pPr>
        <w:pStyle w:val="ListParagraph"/>
        <w:numPr>
          <w:ilvl w:val="0"/>
          <w:numId w:val="33"/>
        </w:numPr>
        <w:rPr>
          <w:rFonts w:ascii="Calibri" w:hAnsi="Calibri" w:cs="Calibri"/>
          <w:sz w:val="24"/>
          <w:szCs w:val="24"/>
          <w:lang w:val="en-IN"/>
        </w:rPr>
      </w:pPr>
      <w:proofErr w:type="spellStart"/>
      <w:r w:rsidRPr="000522AA">
        <w:rPr>
          <w:rFonts w:ascii="Calibri" w:hAnsi="Calibri" w:cs="Calibri"/>
          <w:sz w:val="24"/>
          <w:szCs w:val="24"/>
          <w:lang w:val="en-IN"/>
        </w:rPr>
        <w:t>Mentiplay</w:t>
      </w:r>
      <w:proofErr w:type="spellEnd"/>
      <w:r w:rsidRPr="000522AA">
        <w:rPr>
          <w:rFonts w:ascii="Calibri" w:hAnsi="Calibri" w:cs="Calibri"/>
          <w:sz w:val="24"/>
          <w:szCs w:val="24"/>
          <w:lang w:val="en-IN"/>
        </w:rPr>
        <w:t xml:space="preserve"> BF, Banky M, Clark RA, Kahn MB, Williams G. Lower limb angular velocity during walking at various speeds. Gait Posture. </w:t>
      </w:r>
      <w:proofErr w:type="gramStart"/>
      <w:r w:rsidRPr="000522AA">
        <w:rPr>
          <w:rFonts w:ascii="Calibri" w:hAnsi="Calibri" w:cs="Calibri"/>
          <w:sz w:val="24"/>
          <w:szCs w:val="24"/>
          <w:lang w:val="en-IN"/>
        </w:rPr>
        <w:t>2018;65:190</w:t>
      </w:r>
      <w:proofErr w:type="gramEnd"/>
      <w:r w:rsidRPr="000522AA">
        <w:rPr>
          <w:rFonts w:ascii="Calibri" w:hAnsi="Calibri" w:cs="Calibri"/>
          <w:sz w:val="24"/>
          <w:szCs w:val="24"/>
          <w:lang w:val="en-IN"/>
        </w:rPr>
        <w:t xml:space="preserve">-196. </w:t>
      </w:r>
      <w:proofErr w:type="gramStart"/>
      <w:r w:rsidRPr="000522AA">
        <w:rPr>
          <w:rFonts w:ascii="Calibri" w:hAnsi="Calibri" w:cs="Calibri"/>
          <w:sz w:val="24"/>
          <w:szCs w:val="24"/>
          <w:lang w:val="en-IN"/>
        </w:rPr>
        <w:t>doi:10.1016/j.gaitpost</w:t>
      </w:r>
      <w:proofErr w:type="gramEnd"/>
      <w:r w:rsidRPr="000522AA">
        <w:rPr>
          <w:rFonts w:ascii="Calibri" w:hAnsi="Calibri" w:cs="Calibri"/>
          <w:sz w:val="24"/>
          <w:szCs w:val="24"/>
          <w:lang w:val="en-IN"/>
        </w:rPr>
        <w:t>.2018.06.162.</w:t>
      </w:r>
    </w:p>
    <w:p w14:paraId="039C561C" w14:textId="66C80A9D" w:rsidR="00516914" w:rsidRPr="000522AA" w:rsidRDefault="00E96AE5" w:rsidP="00E96AE5">
      <w:pPr>
        <w:pStyle w:val="ListParagraph"/>
        <w:numPr>
          <w:ilvl w:val="0"/>
          <w:numId w:val="33"/>
        </w:numPr>
        <w:rPr>
          <w:rFonts w:ascii="Calibri" w:hAnsi="Calibri" w:cs="Calibri"/>
          <w:sz w:val="24"/>
          <w:szCs w:val="24"/>
          <w:lang w:val="en-IN"/>
        </w:rPr>
      </w:pPr>
      <w:r w:rsidRPr="000522AA">
        <w:rPr>
          <w:rFonts w:ascii="Calibri" w:hAnsi="Calibri" w:cs="Calibri"/>
          <w:sz w:val="24"/>
          <w:szCs w:val="24"/>
          <w:lang w:val="en-IN"/>
        </w:rPr>
        <w:t>Thompson XD, et al. Disagreement in pass rates between strength and performance tests in patients recovering from anterior cruciate ligament reconstruction. Am J Sports Med. 2022;50(8):2111-2118. doi:10.1177/03635465221097712.</w:t>
      </w:r>
    </w:p>
    <w:sectPr w:rsidR="00516914" w:rsidRPr="000522AA" w:rsidSect="00147CBA">
      <w:headerReference w:type="even" r:id="rId7"/>
      <w:headerReference w:type="default" r:id="rId8"/>
      <w:footerReference w:type="even" r:id="rId9"/>
      <w:headerReference w:type="first"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E140F" w14:textId="77777777" w:rsidR="004B115D" w:rsidRDefault="004B115D">
      <w:r>
        <w:separator/>
      </w:r>
    </w:p>
  </w:endnote>
  <w:endnote w:type="continuationSeparator" w:id="0">
    <w:p w14:paraId="4C97503F" w14:textId="77777777" w:rsidR="004B115D" w:rsidRDefault="004B1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25B06" w14:textId="77777777" w:rsidR="004B115D" w:rsidRDefault="004B115D">
      <w:r>
        <w:separator/>
      </w:r>
    </w:p>
  </w:footnote>
  <w:footnote w:type="continuationSeparator" w:id="0">
    <w:p w14:paraId="470EEE0B" w14:textId="77777777" w:rsidR="004B115D" w:rsidRDefault="004B11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B136EE">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6870A5BF" w:rsidR="006E4797" w:rsidRDefault="00B136EE">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F4EB3"/>
    <w:multiLevelType w:val="multilevel"/>
    <w:tmpl w:val="E6142AF0"/>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 w15:restartNumberingAfterBreak="0">
    <w:nsid w:val="0B6A0184"/>
    <w:multiLevelType w:val="multilevel"/>
    <w:tmpl w:val="C6F651C2"/>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7210EE"/>
    <w:multiLevelType w:val="hybridMultilevel"/>
    <w:tmpl w:val="6F3A7B36"/>
    <w:lvl w:ilvl="0" w:tplc="5BE85A92">
      <w:start w:val="1"/>
      <w:numFmt w:val="decimal"/>
      <w:lvlText w:val="5.%1"/>
      <w:lvlJc w:val="left"/>
      <w:pPr>
        <w:ind w:left="720" w:hanging="360"/>
      </w:pPr>
      <w:rPr>
        <w:rFonts w:hint="default"/>
      </w:rPr>
    </w:lvl>
    <w:lvl w:ilvl="1" w:tplc="1C622A66">
      <w:start w:val="1"/>
      <w:numFmt w:val="lowerLetter"/>
      <w:lvlText w:val="%2."/>
      <w:lvlJc w:val="left"/>
      <w:pPr>
        <w:ind w:left="1440" w:hanging="360"/>
      </w:pPr>
    </w:lvl>
    <w:lvl w:ilvl="2" w:tplc="009EF200" w:tentative="1">
      <w:start w:val="1"/>
      <w:numFmt w:val="lowerRoman"/>
      <w:lvlText w:val="%3."/>
      <w:lvlJc w:val="right"/>
      <w:pPr>
        <w:ind w:left="2160" w:hanging="180"/>
      </w:pPr>
    </w:lvl>
    <w:lvl w:ilvl="3" w:tplc="6EDC722E">
      <w:start w:val="1"/>
      <w:numFmt w:val="decimal"/>
      <w:lvlText w:val="%4."/>
      <w:lvlJc w:val="left"/>
      <w:pPr>
        <w:ind w:left="2880" w:hanging="360"/>
      </w:pPr>
    </w:lvl>
    <w:lvl w:ilvl="4" w:tplc="CA083A22" w:tentative="1">
      <w:start w:val="1"/>
      <w:numFmt w:val="lowerLetter"/>
      <w:lvlText w:val="%5."/>
      <w:lvlJc w:val="left"/>
      <w:pPr>
        <w:ind w:left="3600" w:hanging="360"/>
      </w:pPr>
    </w:lvl>
    <w:lvl w:ilvl="5" w:tplc="93D00DB6" w:tentative="1">
      <w:start w:val="1"/>
      <w:numFmt w:val="lowerRoman"/>
      <w:lvlText w:val="%6."/>
      <w:lvlJc w:val="right"/>
      <w:pPr>
        <w:ind w:left="4320" w:hanging="180"/>
      </w:pPr>
    </w:lvl>
    <w:lvl w:ilvl="6" w:tplc="8144A7F4" w:tentative="1">
      <w:start w:val="1"/>
      <w:numFmt w:val="decimal"/>
      <w:lvlText w:val="%7."/>
      <w:lvlJc w:val="left"/>
      <w:pPr>
        <w:ind w:left="5040" w:hanging="360"/>
      </w:pPr>
    </w:lvl>
    <w:lvl w:ilvl="7" w:tplc="B6846B34" w:tentative="1">
      <w:start w:val="1"/>
      <w:numFmt w:val="lowerLetter"/>
      <w:lvlText w:val="%8."/>
      <w:lvlJc w:val="left"/>
      <w:pPr>
        <w:ind w:left="5760" w:hanging="360"/>
      </w:pPr>
    </w:lvl>
    <w:lvl w:ilvl="8" w:tplc="2E480648" w:tentative="1">
      <w:start w:val="1"/>
      <w:numFmt w:val="lowerRoman"/>
      <w:lvlText w:val="%9."/>
      <w:lvlJc w:val="right"/>
      <w:pPr>
        <w:ind w:left="6480" w:hanging="180"/>
      </w:pPr>
    </w:lvl>
  </w:abstractNum>
  <w:abstractNum w:abstractNumId="3" w15:restartNumberingAfterBreak="0">
    <w:nsid w:val="0FE15FCA"/>
    <w:multiLevelType w:val="hybridMultilevel"/>
    <w:tmpl w:val="4AAABC5E"/>
    <w:lvl w:ilvl="0" w:tplc="77F6B55C">
      <w:start w:val="1"/>
      <w:numFmt w:val="bullet"/>
      <w:lvlText w:val=""/>
      <w:lvlJc w:val="left"/>
      <w:pPr>
        <w:ind w:left="360" w:hanging="360"/>
      </w:pPr>
      <w:rPr>
        <w:rFonts w:ascii="Symbol" w:hAnsi="Symbol" w:hint="default"/>
        <w:sz w:val="28"/>
        <w:szCs w:val="28"/>
      </w:rPr>
    </w:lvl>
    <w:lvl w:ilvl="1" w:tplc="41F01492" w:tentative="1">
      <w:start w:val="1"/>
      <w:numFmt w:val="bullet"/>
      <w:lvlText w:val="o"/>
      <w:lvlJc w:val="left"/>
      <w:pPr>
        <w:ind w:left="1440" w:hanging="360"/>
      </w:pPr>
      <w:rPr>
        <w:rFonts w:ascii="Courier New" w:hAnsi="Courier New" w:cs="Courier New" w:hint="default"/>
      </w:rPr>
    </w:lvl>
    <w:lvl w:ilvl="2" w:tplc="87961988" w:tentative="1">
      <w:start w:val="1"/>
      <w:numFmt w:val="bullet"/>
      <w:lvlText w:val=""/>
      <w:lvlJc w:val="left"/>
      <w:pPr>
        <w:ind w:left="2160" w:hanging="360"/>
      </w:pPr>
      <w:rPr>
        <w:rFonts w:ascii="Wingdings" w:hAnsi="Wingdings" w:hint="default"/>
      </w:rPr>
    </w:lvl>
    <w:lvl w:ilvl="3" w:tplc="EAD2FAAC" w:tentative="1">
      <w:start w:val="1"/>
      <w:numFmt w:val="bullet"/>
      <w:lvlText w:val=""/>
      <w:lvlJc w:val="left"/>
      <w:pPr>
        <w:ind w:left="2880" w:hanging="360"/>
      </w:pPr>
      <w:rPr>
        <w:rFonts w:ascii="Symbol" w:hAnsi="Symbol" w:hint="default"/>
      </w:rPr>
    </w:lvl>
    <w:lvl w:ilvl="4" w:tplc="4D6807BC" w:tentative="1">
      <w:start w:val="1"/>
      <w:numFmt w:val="bullet"/>
      <w:lvlText w:val="o"/>
      <w:lvlJc w:val="left"/>
      <w:pPr>
        <w:ind w:left="3600" w:hanging="360"/>
      </w:pPr>
      <w:rPr>
        <w:rFonts w:ascii="Courier New" w:hAnsi="Courier New" w:cs="Courier New" w:hint="default"/>
      </w:rPr>
    </w:lvl>
    <w:lvl w:ilvl="5" w:tplc="3C341990" w:tentative="1">
      <w:start w:val="1"/>
      <w:numFmt w:val="bullet"/>
      <w:lvlText w:val=""/>
      <w:lvlJc w:val="left"/>
      <w:pPr>
        <w:ind w:left="4320" w:hanging="360"/>
      </w:pPr>
      <w:rPr>
        <w:rFonts w:ascii="Wingdings" w:hAnsi="Wingdings" w:hint="default"/>
      </w:rPr>
    </w:lvl>
    <w:lvl w:ilvl="6" w:tplc="2480B82A" w:tentative="1">
      <w:start w:val="1"/>
      <w:numFmt w:val="bullet"/>
      <w:lvlText w:val=""/>
      <w:lvlJc w:val="left"/>
      <w:pPr>
        <w:ind w:left="5040" w:hanging="360"/>
      </w:pPr>
      <w:rPr>
        <w:rFonts w:ascii="Symbol" w:hAnsi="Symbol" w:hint="default"/>
      </w:rPr>
    </w:lvl>
    <w:lvl w:ilvl="7" w:tplc="AC50FF9E" w:tentative="1">
      <w:start w:val="1"/>
      <w:numFmt w:val="bullet"/>
      <w:lvlText w:val="o"/>
      <w:lvlJc w:val="left"/>
      <w:pPr>
        <w:ind w:left="5760" w:hanging="360"/>
      </w:pPr>
      <w:rPr>
        <w:rFonts w:ascii="Courier New" w:hAnsi="Courier New" w:cs="Courier New" w:hint="default"/>
      </w:rPr>
    </w:lvl>
    <w:lvl w:ilvl="8" w:tplc="115441BC" w:tentative="1">
      <w:start w:val="1"/>
      <w:numFmt w:val="bullet"/>
      <w:lvlText w:val=""/>
      <w:lvlJc w:val="left"/>
      <w:pPr>
        <w:ind w:left="6480" w:hanging="360"/>
      </w:pPr>
      <w:rPr>
        <w:rFonts w:ascii="Wingdings" w:hAnsi="Wingdings" w:hint="default"/>
      </w:rPr>
    </w:lvl>
  </w:abstractNum>
  <w:abstractNum w:abstractNumId="4" w15:restartNumberingAfterBreak="0">
    <w:nsid w:val="133227B1"/>
    <w:multiLevelType w:val="hybridMultilevel"/>
    <w:tmpl w:val="E69A5FB6"/>
    <w:lvl w:ilvl="0" w:tplc="25720D06">
      <w:start w:val="1"/>
      <w:numFmt w:val="decimal"/>
      <w:lvlText w:val="%1."/>
      <w:lvlJc w:val="left"/>
      <w:pPr>
        <w:ind w:left="720" w:hanging="360"/>
      </w:pPr>
    </w:lvl>
    <w:lvl w:ilvl="1" w:tplc="153C11B0" w:tentative="1">
      <w:start w:val="1"/>
      <w:numFmt w:val="lowerLetter"/>
      <w:lvlText w:val="%2."/>
      <w:lvlJc w:val="left"/>
      <w:pPr>
        <w:ind w:left="1440" w:hanging="360"/>
      </w:pPr>
    </w:lvl>
    <w:lvl w:ilvl="2" w:tplc="05FC0EB8" w:tentative="1">
      <w:start w:val="1"/>
      <w:numFmt w:val="lowerRoman"/>
      <w:lvlText w:val="%3."/>
      <w:lvlJc w:val="right"/>
      <w:pPr>
        <w:ind w:left="2160" w:hanging="180"/>
      </w:pPr>
    </w:lvl>
    <w:lvl w:ilvl="3" w:tplc="FDD46FCE" w:tentative="1">
      <w:start w:val="1"/>
      <w:numFmt w:val="decimal"/>
      <w:lvlText w:val="%4."/>
      <w:lvlJc w:val="left"/>
      <w:pPr>
        <w:ind w:left="2880" w:hanging="360"/>
      </w:pPr>
    </w:lvl>
    <w:lvl w:ilvl="4" w:tplc="A74A3D9A" w:tentative="1">
      <w:start w:val="1"/>
      <w:numFmt w:val="lowerLetter"/>
      <w:lvlText w:val="%5."/>
      <w:lvlJc w:val="left"/>
      <w:pPr>
        <w:ind w:left="3600" w:hanging="360"/>
      </w:pPr>
    </w:lvl>
    <w:lvl w:ilvl="5" w:tplc="CF28B9D4" w:tentative="1">
      <w:start w:val="1"/>
      <w:numFmt w:val="lowerRoman"/>
      <w:lvlText w:val="%6."/>
      <w:lvlJc w:val="right"/>
      <w:pPr>
        <w:ind w:left="4320" w:hanging="180"/>
      </w:pPr>
    </w:lvl>
    <w:lvl w:ilvl="6" w:tplc="923C7DDE" w:tentative="1">
      <w:start w:val="1"/>
      <w:numFmt w:val="decimal"/>
      <w:lvlText w:val="%7."/>
      <w:lvlJc w:val="left"/>
      <w:pPr>
        <w:ind w:left="5040" w:hanging="360"/>
      </w:pPr>
    </w:lvl>
    <w:lvl w:ilvl="7" w:tplc="3BDE1466" w:tentative="1">
      <w:start w:val="1"/>
      <w:numFmt w:val="lowerLetter"/>
      <w:lvlText w:val="%8."/>
      <w:lvlJc w:val="left"/>
      <w:pPr>
        <w:ind w:left="5760" w:hanging="360"/>
      </w:pPr>
    </w:lvl>
    <w:lvl w:ilvl="8" w:tplc="F530D43C" w:tentative="1">
      <w:start w:val="1"/>
      <w:numFmt w:val="lowerRoman"/>
      <w:lvlText w:val="%9."/>
      <w:lvlJc w:val="right"/>
      <w:pPr>
        <w:ind w:left="6480" w:hanging="180"/>
      </w:pPr>
    </w:lvl>
  </w:abstractNum>
  <w:abstractNum w:abstractNumId="5" w15:restartNumberingAfterBreak="0">
    <w:nsid w:val="1B745BA5"/>
    <w:multiLevelType w:val="hybridMultilevel"/>
    <w:tmpl w:val="17B4DA58"/>
    <w:lvl w:ilvl="0" w:tplc="21DA03E8">
      <w:start w:val="1"/>
      <w:numFmt w:val="decimal"/>
      <w:suff w:val="space"/>
      <w:lvlText w:val="3.%1"/>
      <w:lvlJc w:val="left"/>
      <w:pPr>
        <w:ind w:left="720" w:hanging="360"/>
      </w:pPr>
      <w:rPr>
        <w:rFonts w:hint="default"/>
        <w:sz w:val="24"/>
        <w:szCs w:val="24"/>
      </w:rPr>
    </w:lvl>
    <w:lvl w:ilvl="1" w:tplc="F814B942">
      <w:start w:val="1"/>
      <w:numFmt w:val="decimal"/>
      <w:lvlText w:val="%2."/>
      <w:lvlJc w:val="left"/>
      <w:pPr>
        <w:ind w:left="1440" w:hanging="360"/>
      </w:pPr>
    </w:lvl>
    <w:lvl w:ilvl="2" w:tplc="8F2E71A0" w:tentative="1">
      <w:start w:val="1"/>
      <w:numFmt w:val="lowerRoman"/>
      <w:lvlText w:val="%3."/>
      <w:lvlJc w:val="right"/>
      <w:pPr>
        <w:ind w:left="2160" w:hanging="180"/>
      </w:pPr>
    </w:lvl>
    <w:lvl w:ilvl="3" w:tplc="69683810" w:tentative="1">
      <w:start w:val="1"/>
      <w:numFmt w:val="decimal"/>
      <w:lvlText w:val="%4."/>
      <w:lvlJc w:val="left"/>
      <w:pPr>
        <w:ind w:left="2880" w:hanging="360"/>
      </w:pPr>
    </w:lvl>
    <w:lvl w:ilvl="4" w:tplc="07B653DE" w:tentative="1">
      <w:start w:val="1"/>
      <w:numFmt w:val="lowerLetter"/>
      <w:lvlText w:val="%5."/>
      <w:lvlJc w:val="left"/>
      <w:pPr>
        <w:ind w:left="3600" w:hanging="360"/>
      </w:pPr>
    </w:lvl>
    <w:lvl w:ilvl="5" w:tplc="D8B42EA0" w:tentative="1">
      <w:start w:val="1"/>
      <w:numFmt w:val="lowerRoman"/>
      <w:lvlText w:val="%6."/>
      <w:lvlJc w:val="right"/>
      <w:pPr>
        <w:ind w:left="4320" w:hanging="180"/>
      </w:pPr>
    </w:lvl>
    <w:lvl w:ilvl="6" w:tplc="402088A6" w:tentative="1">
      <w:start w:val="1"/>
      <w:numFmt w:val="decimal"/>
      <w:lvlText w:val="%7."/>
      <w:lvlJc w:val="left"/>
      <w:pPr>
        <w:ind w:left="5040" w:hanging="360"/>
      </w:pPr>
    </w:lvl>
    <w:lvl w:ilvl="7" w:tplc="CA4C4438" w:tentative="1">
      <w:start w:val="1"/>
      <w:numFmt w:val="lowerLetter"/>
      <w:lvlText w:val="%8."/>
      <w:lvlJc w:val="left"/>
      <w:pPr>
        <w:ind w:left="5760" w:hanging="360"/>
      </w:pPr>
    </w:lvl>
    <w:lvl w:ilvl="8" w:tplc="6E24F5D8" w:tentative="1">
      <w:start w:val="1"/>
      <w:numFmt w:val="lowerRoman"/>
      <w:lvlText w:val="%9."/>
      <w:lvlJc w:val="right"/>
      <w:pPr>
        <w:ind w:left="6480" w:hanging="180"/>
      </w:pPr>
    </w:lvl>
  </w:abstractNum>
  <w:abstractNum w:abstractNumId="6" w15:restartNumberingAfterBreak="0">
    <w:nsid w:val="21BA043A"/>
    <w:multiLevelType w:val="hybridMultilevel"/>
    <w:tmpl w:val="97EA5562"/>
    <w:lvl w:ilvl="0" w:tplc="2B62A47E">
      <w:start w:val="1"/>
      <w:numFmt w:val="decimal"/>
      <w:lvlText w:val="%1."/>
      <w:lvlJc w:val="left"/>
      <w:pPr>
        <w:ind w:left="720" w:hanging="360"/>
      </w:pPr>
    </w:lvl>
    <w:lvl w:ilvl="1" w:tplc="25164480" w:tentative="1">
      <w:start w:val="1"/>
      <w:numFmt w:val="lowerLetter"/>
      <w:lvlText w:val="%2."/>
      <w:lvlJc w:val="left"/>
      <w:pPr>
        <w:ind w:left="1440" w:hanging="360"/>
      </w:pPr>
    </w:lvl>
    <w:lvl w:ilvl="2" w:tplc="58FA0826" w:tentative="1">
      <w:start w:val="1"/>
      <w:numFmt w:val="lowerRoman"/>
      <w:lvlText w:val="%3."/>
      <w:lvlJc w:val="right"/>
      <w:pPr>
        <w:ind w:left="2160" w:hanging="180"/>
      </w:pPr>
    </w:lvl>
    <w:lvl w:ilvl="3" w:tplc="0D9C5814" w:tentative="1">
      <w:start w:val="1"/>
      <w:numFmt w:val="decimal"/>
      <w:lvlText w:val="%4."/>
      <w:lvlJc w:val="left"/>
      <w:pPr>
        <w:ind w:left="2880" w:hanging="360"/>
      </w:pPr>
    </w:lvl>
    <w:lvl w:ilvl="4" w:tplc="71A4176C" w:tentative="1">
      <w:start w:val="1"/>
      <w:numFmt w:val="lowerLetter"/>
      <w:lvlText w:val="%5."/>
      <w:lvlJc w:val="left"/>
      <w:pPr>
        <w:ind w:left="3600" w:hanging="360"/>
      </w:pPr>
    </w:lvl>
    <w:lvl w:ilvl="5" w:tplc="FE5803E4" w:tentative="1">
      <w:start w:val="1"/>
      <w:numFmt w:val="lowerRoman"/>
      <w:lvlText w:val="%6."/>
      <w:lvlJc w:val="right"/>
      <w:pPr>
        <w:ind w:left="4320" w:hanging="180"/>
      </w:pPr>
    </w:lvl>
    <w:lvl w:ilvl="6" w:tplc="8DFA4246" w:tentative="1">
      <w:start w:val="1"/>
      <w:numFmt w:val="decimal"/>
      <w:lvlText w:val="%7."/>
      <w:lvlJc w:val="left"/>
      <w:pPr>
        <w:ind w:left="5040" w:hanging="360"/>
      </w:pPr>
    </w:lvl>
    <w:lvl w:ilvl="7" w:tplc="C2BE9172" w:tentative="1">
      <w:start w:val="1"/>
      <w:numFmt w:val="lowerLetter"/>
      <w:lvlText w:val="%8."/>
      <w:lvlJc w:val="left"/>
      <w:pPr>
        <w:ind w:left="5760" w:hanging="360"/>
      </w:pPr>
    </w:lvl>
    <w:lvl w:ilvl="8" w:tplc="4A200ECE" w:tentative="1">
      <w:start w:val="1"/>
      <w:numFmt w:val="lowerRoman"/>
      <w:lvlText w:val="%9."/>
      <w:lvlJc w:val="right"/>
      <w:pPr>
        <w:ind w:left="6480" w:hanging="180"/>
      </w:pPr>
    </w:lvl>
  </w:abstractNum>
  <w:abstractNum w:abstractNumId="7" w15:restartNumberingAfterBreak="0">
    <w:nsid w:val="240A5F44"/>
    <w:multiLevelType w:val="hybridMultilevel"/>
    <w:tmpl w:val="87FAFC60"/>
    <w:lvl w:ilvl="0" w:tplc="181679DE">
      <w:start w:val="1"/>
      <w:numFmt w:val="decimal"/>
      <w:lvlText w:val="%1."/>
      <w:lvlJc w:val="left"/>
      <w:pPr>
        <w:ind w:left="720" w:hanging="360"/>
      </w:pPr>
    </w:lvl>
    <w:lvl w:ilvl="1" w:tplc="D0386EF2" w:tentative="1">
      <w:start w:val="1"/>
      <w:numFmt w:val="lowerLetter"/>
      <w:lvlText w:val="%2."/>
      <w:lvlJc w:val="left"/>
      <w:pPr>
        <w:ind w:left="1440" w:hanging="360"/>
      </w:pPr>
    </w:lvl>
    <w:lvl w:ilvl="2" w:tplc="B1BC045C" w:tentative="1">
      <w:start w:val="1"/>
      <w:numFmt w:val="lowerRoman"/>
      <w:lvlText w:val="%3."/>
      <w:lvlJc w:val="right"/>
      <w:pPr>
        <w:ind w:left="2160" w:hanging="180"/>
      </w:pPr>
    </w:lvl>
    <w:lvl w:ilvl="3" w:tplc="AD5C4110" w:tentative="1">
      <w:start w:val="1"/>
      <w:numFmt w:val="decimal"/>
      <w:lvlText w:val="%4."/>
      <w:lvlJc w:val="left"/>
      <w:pPr>
        <w:ind w:left="2880" w:hanging="360"/>
      </w:pPr>
    </w:lvl>
    <w:lvl w:ilvl="4" w:tplc="6664979A" w:tentative="1">
      <w:start w:val="1"/>
      <w:numFmt w:val="lowerLetter"/>
      <w:lvlText w:val="%5."/>
      <w:lvlJc w:val="left"/>
      <w:pPr>
        <w:ind w:left="3600" w:hanging="360"/>
      </w:pPr>
    </w:lvl>
    <w:lvl w:ilvl="5" w:tplc="68CAA7D6" w:tentative="1">
      <w:start w:val="1"/>
      <w:numFmt w:val="lowerRoman"/>
      <w:lvlText w:val="%6."/>
      <w:lvlJc w:val="right"/>
      <w:pPr>
        <w:ind w:left="4320" w:hanging="180"/>
      </w:pPr>
    </w:lvl>
    <w:lvl w:ilvl="6" w:tplc="52BC5FDC" w:tentative="1">
      <w:start w:val="1"/>
      <w:numFmt w:val="decimal"/>
      <w:lvlText w:val="%7."/>
      <w:lvlJc w:val="left"/>
      <w:pPr>
        <w:ind w:left="5040" w:hanging="360"/>
      </w:pPr>
    </w:lvl>
    <w:lvl w:ilvl="7" w:tplc="17B84DDE" w:tentative="1">
      <w:start w:val="1"/>
      <w:numFmt w:val="lowerLetter"/>
      <w:lvlText w:val="%8."/>
      <w:lvlJc w:val="left"/>
      <w:pPr>
        <w:ind w:left="5760" w:hanging="360"/>
      </w:pPr>
    </w:lvl>
    <w:lvl w:ilvl="8" w:tplc="BD7E2B5C" w:tentative="1">
      <w:start w:val="1"/>
      <w:numFmt w:val="lowerRoman"/>
      <w:lvlText w:val="%9."/>
      <w:lvlJc w:val="right"/>
      <w:pPr>
        <w:ind w:left="6480" w:hanging="180"/>
      </w:pPr>
    </w:lvl>
  </w:abstractNum>
  <w:abstractNum w:abstractNumId="8"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 w15:restartNumberingAfterBreak="0">
    <w:nsid w:val="271053A6"/>
    <w:multiLevelType w:val="hybridMultilevel"/>
    <w:tmpl w:val="77E2B4CC"/>
    <w:lvl w:ilvl="0" w:tplc="02A242E4">
      <w:start w:val="1"/>
      <w:numFmt w:val="decimal"/>
      <w:lvlText w:val="4.%1"/>
      <w:lvlJc w:val="left"/>
      <w:pPr>
        <w:ind w:left="720" w:hanging="360"/>
      </w:pPr>
      <w:rPr>
        <w:rFonts w:hint="default"/>
      </w:rPr>
    </w:lvl>
    <w:lvl w:ilvl="1" w:tplc="7734817E" w:tentative="1">
      <w:start w:val="1"/>
      <w:numFmt w:val="lowerLetter"/>
      <w:lvlText w:val="%2."/>
      <w:lvlJc w:val="left"/>
      <w:pPr>
        <w:ind w:left="1440" w:hanging="360"/>
      </w:pPr>
    </w:lvl>
    <w:lvl w:ilvl="2" w:tplc="2250AF9A" w:tentative="1">
      <w:start w:val="1"/>
      <w:numFmt w:val="lowerRoman"/>
      <w:lvlText w:val="%3."/>
      <w:lvlJc w:val="right"/>
      <w:pPr>
        <w:ind w:left="2160" w:hanging="180"/>
      </w:pPr>
    </w:lvl>
    <w:lvl w:ilvl="3" w:tplc="55D2D8EC" w:tentative="1">
      <w:start w:val="1"/>
      <w:numFmt w:val="decimal"/>
      <w:lvlText w:val="%4."/>
      <w:lvlJc w:val="left"/>
      <w:pPr>
        <w:ind w:left="2880" w:hanging="360"/>
      </w:pPr>
    </w:lvl>
    <w:lvl w:ilvl="4" w:tplc="8C1C76DA" w:tentative="1">
      <w:start w:val="1"/>
      <w:numFmt w:val="lowerLetter"/>
      <w:lvlText w:val="%5."/>
      <w:lvlJc w:val="left"/>
      <w:pPr>
        <w:ind w:left="3600" w:hanging="360"/>
      </w:pPr>
    </w:lvl>
    <w:lvl w:ilvl="5" w:tplc="0AC0B688" w:tentative="1">
      <w:start w:val="1"/>
      <w:numFmt w:val="lowerRoman"/>
      <w:lvlText w:val="%6."/>
      <w:lvlJc w:val="right"/>
      <w:pPr>
        <w:ind w:left="4320" w:hanging="180"/>
      </w:pPr>
    </w:lvl>
    <w:lvl w:ilvl="6" w:tplc="2A1A9C82" w:tentative="1">
      <w:start w:val="1"/>
      <w:numFmt w:val="decimal"/>
      <w:lvlText w:val="%7."/>
      <w:lvlJc w:val="left"/>
      <w:pPr>
        <w:ind w:left="5040" w:hanging="360"/>
      </w:pPr>
    </w:lvl>
    <w:lvl w:ilvl="7" w:tplc="C262D616" w:tentative="1">
      <w:start w:val="1"/>
      <w:numFmt w:val="lowerLetter"/>
      <w:lvlText w:val="%8."/>
      <w:lvlJc w:val="left"/>
      <w:pPr>
        <w:ind w:left="5760" w:hanging="360"/>
      </w:pPr>
    </w:lvl>
    <w:lvl w:ilvl="8" w:tplc="CC1E2D82" w:tentative="1">
      <w:start w:val="1"/>
      <w:numFmt w:val="lowerRoman"/>
      <w:lvlText w:val="%9."/>
      <w:lvlJc w:val="right"/>
      <w:pPr>
        <w:ind w:left="6480" w:hanging="180"/>
      </w:pPr>
    </w:lvl>
  </w:abstractNum>
  <w:abstractNum w:abstractNumId="10" w15:restartNumberingAfterBreak="0">
    <w:nsid w:val="2720350C"/>
    <w:multiLevelType w:val="multilevel"/>
    <w:tmpl w:val="2180A56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D1373D0"/>
    <w:multiLevelType w:val="hybridMultilevel"/>
    <w:tmpl w:val="64823644"/>
    <w:lvl w:ilvl="0" w:tplc="CF8CC0B4">
      <w:start w:val="1"/>
      <w:numFmt w:val="bullet"/>
      <w:lvlText w:val=""/>
      <w:lvlJc w:val="left"/>
      <w:pPr>
        <w:ind w:left="720" w:hanging="360"/>
      </w:pPr>
      <w:rPr>
        <w:rFonts w:ascii="Symbol" w:hAnsi="Symbol" w:hint="default"/>
      </w:rPr>
    </w:lvl>
    <w:lvl w:ilvl="1" w:tplc="6186AEB0" w:tentative="1">
      <w:start w:val="1"/>
      <w:numFmt w:val="bullet"/>
      <w:lvlText w:val="o"/>
      <w:lvlJc w:val="left"/>
      <w:pPr>
        <w:ind w:left="1440" w:hanging="360"/>
      </w:pPr>
      <w:rPr>
        <w:rFonts w:ascii="Courier New" w:hAnsi="Courier New" w:cs="Courier New" w:hint="default"/>
      </w:rPr>
    </w:lvl>
    <w:lvl w:ilvl="2" w:tplc="3DF443A2" w:tentative="1">
      <w:start w:val="1"/>
      <w:numFmt w:val="bullet"/>
      <w:lvlText w:val=""/>
      <w:lvlJc w:val="left"/>
      <w:pPr>
        <w:ind w:left="2160" w:hanging="360"/>
      </w:pPr>
      <w:rPr>
        <w:rFonts w:ascii="Wingdings" w:hAnsi="Wingdings" w:hint="default"/>
      </w:rPr>
    </w:lvl>
    <w:lvl w:ilvl="3" w:tplc="29560E06" w:tentative="1">
      <w:start w:val="1"/>
      <w:numFmt w:val="bullet"/>
      <w:lvlText w:val=""/>
      <w:lvlJc w:val="left"/>
      <w:pPr>
        <w:ind w:left="2880" w:hanging="360"/>
      </w:pPr>
      <w:rPr>
        <w:rFonts w:ascii="Symbol" w:hAnsi="Symbol" w:hint="default"/>
      </w:rPr>
    </w:lvl>
    <w:lvl w:ilvl="4" w:tplc="6A747C2C" w:tentative="1">
      <w:start w:val="1"/>
      <w:numFmt w:val="bullet"/>
      <w:lvlText w:val="o"/>
      <w:lvlJc w:val="left"/>
      <w:pPr>
        <w:ind w:left="3600" w:hanging="360"/>
      </w:pPr>
      <w:rPr>
        <w:rFonts w:ascii="Courier New" w:hAnsi="Courier New" w:cs="Courier New" w:hint="default"/>
      </w:rPr>
    </w:lvl>
    <w:lvl w:ilvl="5" w:tplc="30A824C4" w:tentative="1">
      <w:start w:val="1"/>
      <w:numFmt w:val="bullet"/>
      <w:lvlText w:val=""/>
      <w:lvlJc w:val="left"/>
      <w:pPr>
        <w:ind w:left="4320" w:hanging="360"/>
      </w:pPr>
      <w:rPr>
        <w:rFonts w:ascii="Wingdings" w:hAnsi="Wingdings" w:hint="default"/>
      </w:rPr>
    </w:lvl>
    <w:lvl w:ilvl="6" w:tplc="C7C8ECFE" w:tentative="1">
      <w:start w:val="1"/>
      <w:numFmt w:val="bullet"/>
      <w:lvlText w:val=""/>
      <w:lvlJc w:val="left"/>
      <w:pPr>
        <w:ind w:left="5040" w:hanging="360"/>
      </w:pPr>
      <w:rPr>
        <w:rFonts w:ascii="Symbol" w:hAnsi="Symbol" w:hint="default"/>
      </w:rPr>
    </w:lvl>
    <w:lvl w:ilvl="7" w:tplc="51FEE488" w:tentative="1">
      <w:start w:val="1"/>
      <w:numFmt w:val="bullet"/>
      <w:lvlText w:val="o"/>
      <w:lvlJc w:val="left"/>
      <w:pPr>
        <w:ind w:left="5760" w:hanging="360"/>
      </w:pPr>
      <w:rPr>
        <w:rFonts w:ascii="Courier New" w:hAnsi="Courier New" w:cs="Courier New" w:hint="default"/>
      </w:rPr>
    </w:lvl>
    <w:lvl w:ilvl="8" w:tplc="F2CE7A32" w:tentative="1">
      <w:start w:val="1"/>
      <w:numFmt w:val="bullet"/>
      <w:lvlText w:val=""/>
      <w:lvlJc w:val="left"/>
      <w:pPr>
        <w:ind w:left="6480" w:hanging="360"/>
      </w:pPr>
      <w:rPr>
        <w:rFonts w:ascii="Wingdings" w:hAnsi="Wingdings" w:hint="default"/>
      </w:r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2E07ABC"/>
    <w:multiLevelType w:val="hybridMultilevel"/>
    <w:tmpl w:val="DF8229D0"/>
    <w:lvl w:ilvl="0" w:tplc="1C9A89BC">
      <w:start w:val="1"/>
      <w:numFmt w:val="decimal"/>
      <w:lvlText w:val="%1."/>
      <w:lvlJc w:val="left"/>
      <w:pPr>
        <w:ind w:left="720" w:hanging="360"/>
      </w:pPr>
    </w:lvl>
    <w:lvl w:ilvl="1" w:tplc="51BE4E26" w:tentative="1">
      <w:start w:val="1"/>
      <w:numFmt w:val="lowerLetter"/>
      <w:lvlText w:val="%2."/>
      <w:lvlJc w:val="left"/>
      <w:pPr>
        <w:ind w:left="1440" w:hanging="360"/>
      </w:pPr>
    </w:lvl>
    <w:lvl w:ilvl="2" w:tplc="74FA2376" w:tentative="1">
      <w:start w:val="1"/>
      <w:numFmt w:val="lowerRoman"/>
      <w:lvlText w:val="%3."/>
      <w:lvlJc w:val="right"/>
      <w:pPr>
        <w:ind w:left="2160" w:hanging="180"/>
      </w:pPr>
    </w:lvl>
    <w:lvl w:ilvl="3" w:tplc="EF96FDAA" w:tentative="1">
      <w:start w:val="1"/>
      <w:numFmt w:val="decimal"/>
      <w:lvlText w:val="%4."/>
      <w:lvlJc w:val="left"/>
      <w:pPr>
        <w:ind w:left="2880" w:hanging="360"/>
      </w:pPr>
    </w:lvl>
    <w:lvl w:ilvl="4" w:tplc="F22405E6" w:tentative="1">
      <w:start w:val="1"/>
      <w:numFmt w:val="lowerLetter"/>
      <w:lvlText w:val="%5."/>
      <w:lvlJc w:val="left"/>
      <w:pPr>
        <w:ind w:left="3600" w:hanging="360"/>
      </w:pPr>
    </w:lvl>
    <w:lvl w:ilvl="5" w:tplc="9522D7AC" w:tentative="1">
      <w:start w:val="1"/>
      <w:numFmt w:val="lowerRoman"/>
      <w:lvlText w:val="%6."/>
      <w:lvlJc w:val="right"/>
      <w:pPr>
        <w:ind w:left="4320" w:hanging="180"/>
      </w:pPr>
    </w:lvl>
    <w:lvl w:ilvl="6" w:tplc="A3F67BBE" w:tentative="1">
      <w:start w:val="1"/>
      <w:numFmt w:val="decimal"/>
      <w:lvlText w:val="%7."/>
      <w:lvlJc w:val="left"/>
      <w:pPr>
        <w:ind w:left="5040" w:hanging="360"/>
      </w:pPr>
    </w:lvl>
    <w:lvl w:ilvl="7" w:tplc="CD0E4F94" w:tentative="1">
      <w:start w:val="1"/>
      <w:numFmt w:val="lowerLetter"/>
      <w:lvlText w:val="%8."/>
      <w:lvlJc w:val="left"/>
      <w:pPr>
        <w:ind w:left="5760" w:hanging="360"/>
      </w:pPr>
    </w:lvl>
    <w:lvl w:ilvl="8" w:tplc="796A659C" w:tentative="1">
      <w:start w:val="1"/>
      <w:numFmt w:val="lowerRoman"/>
      <w:lvlText w:val="%9."/>
      <w:lvlJc w:val="right"/>
      <w:pPr>
        <w:ind w:left="6480" w:hanging="180"/>
      </w:pPr>
    </w:lvl>
  </w:abstractNum>
  <w:abstractNum w:abstractNumId="1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7"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08F0293"/>
    <w:multiLevelType w:val="hybridMultilevel"/>
    <w:tmpl w:val="FA6EDFA4"/>
    <w:lvl w:ilvl="0" w:tplc="C8FE5CF6">
      <w:start w:val="1"/>
      <w:numFmt w:val="bullet"/>
      <w:lvlText w:val=""/>
      <w:lvlJc w:val="left"/>
      <w:pPr>
        <w:ind w:left="720" w:hanging="360"/>
      </w:pPr>
      <w:rPr>
        <w:rFonts w:ascii="Symbol" w:hAnsi="Symbol" w:hint="default"/>
      </w:rPr>
    </w:lvl>
    <w:lvl w:ilvl="1" w:tplc="D76AB3C6" w:tentative="1">
      <w:start w:val="1"/>
      <w:numFmt w:val="bullet"/>
      <w:lvlText w:val="o"/>
      <w:lvlJc w:val="left"/>
      <w:pPr>
        <w:ind w:left="1440" w:hanging="360"/>
      </w:pPr>
      <w:rPr>
        <w:rFonts w:ascii="Courier New" w:hAnsi="Courier New" w:cs="Courier New" w:hint="default"/>
      </w:rPr>
    </w:lvl>
    <w:lvl w:ilvl="2" w:tplc="4EB601FC" w:tentative="1">
      <w:start w:val="1"/>
      <w:numFmt w:val="bullet"/>
      <w:lvlText w:val=""/>
      <w:lvlJc w:val="left"/>
      <w:pPr>
        <w:ind w:left="2160" w:hanging="360"/>
      </w:pPr>
      <w:rPr>
        <w:rFonts w:ascii="Wingdings" w:hAnsi="Wingdings" w:hint="default"/>
      </w:rPr>
    </w:lvl>
    <w:lvl w:ilvl="3" w:tplc="79E02C7A" w:tentative="1">
      <w:start w:val="1"/>
      <w:numFmt w:val="bullet"/>
      <w:lvlText w:val=""/>
      <w:lvlJc w:val="left"/>
      <w:pPr>
        <w:ind w:left="2880" w:hanging="360"/>
      </w:pPr>
      <w:rPr>
        <w:rFonts w:ascii="Symbol" w:hAnsi="Symbol" w:hint="default"/>
      </w:rPr>
    </w:lvl>
    <w:lvl w:ilvl="4" w:tplc="CD4EAFEE" w:tentative="1">
      <w:start w:val="1"/>
      <w:numFmt w:val="bullet"/>
      <w:lvlText w:val="o"/>
      <w:lvlJc w:val="left"/>
      <w:pPr>
        <w:ind w:left="3600" w:hanging="360"/>
      </w:pPr>
      <w:rPr>
        <w:rFonts w:ascii="Courier New" w:hAnsi="Courier New" w:cs="Courier New" w:hint="default"/>
      </w:rPr>
    </w:lvl>
    <w:lvl w:ilvl="5" w:tplc="B436232A" w:tentative="1">
      <w:start w:val="1"/>
      <w:numFmt w:val="bullet"/>
      <w:lvlText w:val=""/>
      <w:lvlJc w:val="left"/>
      <w:pPr>
        <w:ind w:left="4320" w:hanging="360"/>
      </w:pPr>
      <w:rPr>
        <w:rFonts w:ascii="Wingdings" w:hAnsi="Wingdings" w:hint="default"/>
      </w:rPr>
    </w:lvl>
    <w:lvl w:ilvl="6" w:tplc="5142CA2E" w:tentative="1">
      <w:start w:val="1"/>
      <w:numFmt w:val="bullet"/>
      <w:lvlText w:val=""/>
      <w:lvlJc w:val="left"/>
      <w:pPr>
        <w:ind w:left="5040" w:hanging="360"/>
      </w:pPr>
      <w:rPr>
        <w:rFonts w:ascii="Symbol" w:hAnsi="Symbol" w:hint="default"/>
      </w:rPr>
    </w:lvl>
    <w:lvl w:ilvl="7" w:tplc="C8167E26" w:tentative="1">
      <w:start w:val="1"/>
      <w:numFmt w:val="bullet"/>
      <w:lvlText w:val="o"/>
      <w:lvlJc w:val="left"/>
      <w:pPr>
        <w:ind w:left="5760" w:hanging="360"/>
      </w:pPr>
      <w:rPr>
        <w:rFonts w:ascii="Courier New" w:hAnsi="Courier New" w:cs="Courier New" w:hint="default"/>
      </w:rPr>
    </w:lvl>
    <w:lvl w:ilvl="8" w:tplc="04C2CA08" w:tentative="1">
      <w:start w:val="1"/>
      <w:numFmt w:val="bullet"/>
      <w:lvlText w:val=""/>
      <w:lvlJc w:val="left"/>
      <w:pPr>
        <w:ind w:left="6480" w:hanging="360"/>
      </w:pPr>
      <w:rPr>
        <w:rFonts w:ascii="Wingdings" w:hAnsi="Wingdings" w:hint="default"/>
      </w:rPr>
    </w:lvl>
  </w:abstractNum>
  <w:abstractNum w:abstractNumId="20"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0FC11D4"/>
    <w:multiLevelType w:val="hybridMultilevel"/>
    <w:tmpl w:val="84D43CAC"/>
    <w:lvl w:ilvl="0" w:tplc="664CD78A">
      <w:start w:val="1"/>
      <w:numFmt w:val="bullet"/>
      <w:lvlText w:val=""/>
      <w:lvlJc w:val="left"/>
      <w:pPr>
        <w:ind w:left="360" w:hanging="360"/>
      </w:pPr>
      <w:rPr>
        <w:rFonts w:ascii="Symbol" w:hAnsi="Symbol" w:hint="default"/>
        <w:sz w:val="28"/>
        <w:szCs w:val="28"/>
      </w:rPr>
    </w:lvl>
    <w:lvl w:ilvl="1" w:tplc="7AD6F322" w:tentative="1">
      <w:start w:val="1"/>
      <w:numFmt w:val="bullet"/>
      <w:lvlText w:val="o"/>
      <w:lvlJc w:val="left"/>
      <w:pPr>
        <w:ind w:left="1080" w:hanging="360"/>
      </w:pPr>
      <w:rPr>
        <w:rFonts w:ascii="Courier New" w:hAnsi="Courier New" w:cs="Courier New" w:hint="default"/>
      </w:rPr>
    </w:lvl>
    <w:lvl w:ilvl="2" w:tplc="12B2B16C" w:tentative="1">
      <w:start w:val="1"/>
      <w:numFmt w:val="bullet"/>
      <w:lvlText w:val=""/>
      <w:lvlJc w:val="left"/>
      <w:pPr>
        <w:ind w:left="1800" w:hanging="360"/>
      </w:pPr>
      <w:rPr>
        <w:rFonts w:ascii="Wingdings" w:hAnsi="Wingdings" w:hint="default"/>
      </w:rPr>
    </w:lvl>
    <w:lvl w:ilvl="3" w:tplc="ECDE9696" w:tentative="1">
      <w:start w:val="1"/>
      <w:numFmt w:val="bullet"/>
      <w:lvlText w:val=""/>
      <w:lvlJc w:val="left"/>
      <w:pPr>
        <w:ind w:left="2520" w:hanging="360"/>
      </w:pPr>
      <w:rPr>
        <w:rFonts w:ascii="Symbol" w:hAnsi="Symbol" w:hint="default"/>
      </w:rPr>
    </w:lvl>
    <w:lvl w:ilvl="4" w:tplc="758E4A0A" w:tentative="1">
      <w:start w:val="1"/>
      <w:numFmt w:val="bullet"/>
      <w:lvlText w:val="o"/>
      <w:lvlJc w:val="left"/>
      <w:pPr>
        <w:ind w:left="3240" w:hanging="360"/>
      </w:pPr>
      <w:rPr>
        <w:rFonts w:ascii="Courier New" w:hAnsi="Courier New" w:cs="Courier New" w:hint="default"/>
      </w:rPr>
    </w:lvl>
    <w:lvl w:ilvl="5" w:tplc="E0C80B04" w:tentative="1">
      <w:start w:val="1"/>
      <w:numFmt w:val="bullet"/>
      <w:lvlText w:val=""/>
      <w:lvlJc w:val="left"/>
      <w:pPr>
        <w:ind w:left="3960" w:hanging="360"/>
      </w:pPr>
      <w:rPr>
        <w:rFonts w:ascii="Wingdings" w:hAnsi="Wingdings" w:hint="default"/>
      </w:rPr>
    </w:lvl>
    <w:lvl w:ilvl="6" w:tplc="08F645CE" w:tentative="1">
      <w:start w:val="1"/>
      <w:numFmt w:val="bullet"/>
      <w:lvlText w:val=""/>
      <w:lvlJc w:val="left"/>
      <w:pPr>
        <w:ind w:left="4680" w:hanging="360"/>
      </w:pPr>
      <w:rPr>
        <w:rFonts w:ascii="Symbol" w:hAnsi="Symbol" w:hint="default"/>
      </w:rPr>
    </w:lvl>
    <w:lvl w:ilvl="7" w:tplc="6AF262D0" w:tentative="1">
      <w:start w:val="1"/>
      <w:numFmt w:val="bullet"/>
      <w:lvlText w:val="o"/>
      <w:lvlJc w:val="left"/>
      <w:pPr>
        <w:ind w:left="5400" w:hanging="360"/>
      </w:pPr>
      <w:rPr>
        <w:rFonts w:ascii="Courier New" w:hAnsi="Courier New" w:cs="Courier New" w:hint="default"/>
      </w:rPr>
    </w:lvl>
    <w:lvl w:ilvl="8" w:tplc="3BA0BE1C" w:tentative="1">
      <w:start w:val="1"/>
      <w:numFmt w:val="bullet"/>
      <w:lvlText w:val=""/>
      <w:lvlJc w:val="left"/>
      <w:pPr>
        <w:ind w:left="6120" w:hanging="360"/>
      </w:pPr>
      <w:rPr>
        <w:rFonts w:ascii="Wingdings" w:hAnsi="Wingdings" w:hint="default"/>
      </w:rPr>
    </w:lvl>
  </w:abstractNum>
  <w:abstractNum w:abstractNumId="24" w15:restartNumberingAfterBreak="0">
    <w:nsid w:val="56930A13"/>
    <w:multiLevelType w:val="multilevel"/>
    <w:tmpl w:val="1CBA820A"/>
    <w:lvl w:ilvl="0">
      <w:start w:val="1"/>
      <w:numFmt w:val="decimal"/>
      <w:suff w:val="space"/>
      <w:lvlText w:val="%1."/>
      <w:lvlJc w:val="left"/>
      <w:pPr>
        <w:ind w:left="972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6A25E22"/>
    <w:multiLevelType w:val="multilevel"/>
    <w:tmpl w:val="0786DF6A"/>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22C72E2"/>
    <w:multiLevelType w:val="hybridMultilevel"/>
    <w:tmpl w:val="058C45A2"/>
    <w:lvl w:ilvl="0" w:tplc="1AE40230">
      <w:start w:val="1"/>
      <w:numFmt w:val="decimal"/>
      <w:suff w:val="space"/>
      <w:lvlText w:val="2.%1"/>
      <w:lvlJc w:val="left"/>
      <w:pPr>
        <w:ind w:left="720" w:hanging="360"/>
      </w:pPr>
      <w:rPr>
        <w:rFonts w:hint="default"/>
      </w:rPr>
    </w:lvl>
    <w:lvl w:ilvl="1" w:tplc="23FCEB1C" w:tentative="1">
      <w:start w:val="1"/>
      <w:numFmt w:val="lowerLetter"/>
      <w:lvlText w:val="%2."/>
      <w:lvlJc w:val="left"/>
      <w:pPr>
        <w:ind w:left="1440" w:hanging="360"/>
      </w:pPr>
    </w:lvl>
    <w:lvl w:ilvl="2" w:tplc="3572DD8E" w:tentative="1">
      <w:start w:val="1"/>
      <w:numFmt w:val="lowerRoman"/>
      <w:lvlText w:val="%3."/>
      <w:lvlJc w:val="right"/>
      <w:pPr>
        <w:ind w:left="2160" w:hanging="180"/>
      </w:pPr>
    </w:lvl>
    <w:lvl w:ilvl="3" w:tplc="25EE75B0" w:tentative="1">
      <w:start w:val="1"/>
      <w:numFmt w:val="decimal"/>
      <w:lvlText w:val="%4."/>
      <w:lvlJc w:val="left"/>
      <w:pPr>
        <w:ind w:left="2880" w:hanging="360"/>
      </w:pPr>
    </w:lvl>
    <w:lvl w:ilvl="4" w:tplc="427ACF5C" w:tentative="1">
      <w:start w:val="1"/>
      <w:numFmt w:val="lowerLetter"/>
      <w:lvlText w:val="%5."/>
      <w:lvlJc w:val="left"/>
      <w:pPr>
        <w:ind w:left="3600" w:hanging="360"/>
      </w:pPr>
    </w:lvl>
    <w:lvl w:ilvl="5" w:tplc="9246FD6E" w:tentative="1">
      <w:start w:val="1"/>
      <w:numFmt w:val="lowerRoman"/>
      <w:lvlText w:val="%6."/>
      <w:lvlJc w:val="right"/>
      <w:pPr>
        <w:ind w:left="4320" w:hanging="180"/>
      </w:pPr>
    </w:lvl>
    <w:lvl w:ilvl="6" w:tplc="FB162702" w:tentative="1">
      <w:start w:val="1"/>
      <w:numFmt w:val="decimal"/>
      <w:lvlText w:val="%7."/>
      <w:lvlJc w:val="left"/>
      <w:pPr>
        <w:ind w:left="5040" w:hanging="360"/>
      </w:pPr>
    </w:lvl>
    <w:lvl w:ilvl="7" w:tplc="CAC8DE94" w:tentative="1">
      <w:start w:val="1"/>
      <w:numFmt w:val="lowerLetter"/>
      <w:lvlText w:val="%8."/>
      <w:lvlJc w:val="left"/>
      <w:pPr>
        <w:ind w:left="5760" w:hanging="360"/>
      </w:pPr>
    </w:lvl>
    <w:lvl w:ilvl="8" w:tplc="6F6636FE" w:tentative="1">
      <w:start w:val="1"/>
      <w:numFmt w:val="lowerRoman"/>
      <w:lvlText w:val="%9."/>
      <w:lvlJc w:val="right"/>
      <w:pPr>
        <w:ind w:left="6480" w:hanging="180"/>
      </w:pPr>
    </w:lvl>
  </w:abstractNum>
  <w:abstractNum w:abstractNumId="27"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06E01B3"/>
    <w:multiLevelType w:val="multilevel"/>
    <w:tmpl w:val="B02C3E86"/>
    <w:lvl w:ilvl="0">
      <w:start w:val="5"/>
      <w:numFmt w:val="decimal"/>
      <w:lvlText w:val="%1"/>
      <w:lvlJc w:val="left"/>
      <w:pPr>
        <w:ind w:left="450" w:hanging="450"/>
      </w:pPr>
      <w:rPr>
        <w:rFonts w:hint="default"/>
      </w:rPr>
    </w:lvl>
    <w:lvl w:ilvl="1">
      <w:start w:val="2"/>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3A54A30"/>
    <w:multiLevelType w:val="hybridMultilevel"/>
    <w:tmpl w:val="8E1A194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747B6BC2"/>
    <w:multiLevelType w:val="hybridMultilevel"/>
    <w:tmpl w:val="36F6EDBE"/>
    <w:lvl w:ilvl="0" w:tplc="CF6C2166">
      <w:start w:val="1"/>
      <w:numFmt w:val="bullet"/>
      <w:lvlText w:val=""/>
      <w:lvlJc w:val="left"/>
      <w:pPr>
        <w:ind w:left="720" w:hanging="360"/>
      </w:pPr>
      <w:rPr>
        <w:rFonts w:ascii="Symbol" w:hAnsi="Symbol" w:hint="default"/>
      </w:rPr>
    </w:lvl>
    <w:lvl w:ilvl="1" w:tplc="D116AF90" w:tentative="1">
      <w:start w:val="1"/>
      <w:numFmt w:val="bullet"/>
      <w:lvlText w:val="o"/>
      <w:lvlJc w:val="left"/>
      <w:pPr>
        <w:ind w:left="1440" w:hanging="360"/>
      </w:pPr>
      <w:rPr>
        <w:rFonts w:ascii="Courier New" w:hAnsi="Courier New" w:cs="Courier New" w:hint="default"/>
      </w:rPr>
    </w:lvl>
    <w:lvl w:ilvl="2" w:tplc="CFE8706C" w:tentative="1">
      <w:start w:val="1"/>
      <w:numFmt w:val="bullet"/>
      <w:lvlText w:val=""/>
      <w:lvlJc w:val="left"/>
      <w:pPr>
        <w:ind w:left="2160" w:hanging="360"/>
      </w:pPr>
      <w:rPr>
        <w:rFonts w:ascii="Wingdings" w:hAnsi="Wingdings" w:hint="default"/>
      </w:rPr>
    </w:lvl>
    <w:lvl w:ilvl="3" w:tplc="63760932" w:tentative="1">
      <w:start w:val="1"/>
      <w:numFmt w:val="bullet"/>
      <w:lvlText w:val=""/>
      <w:lvlJc w:val="left"/>
      <w:pPr>
        <w:ind w:left="2880" w:hanging="360"/>
      </w:pPr>
      <w:rPr>
        <w:rFonts w:ascii="Symbol" w:hAnsi="Symbol" w:hint="default"/>
      </w:rPr>
    </w:lvl>
    <w:lvl w:ilvl="4" w:tplc="34201F68" w:tentative="1">
      <w:start w:val="1"/>
      <w:numFmt w:val="bullet"/>
      <w:lvlText w:val="o"/>
      <w:lvlJc w:val="left"/>
      <w:pPr>
        <w:ind w:left="3600" w:hanging="360"/>
      </w:pPr>
      <w:rPr>
        <w:rFonts w:ascii="Courier New" w:hAnsi="Courier New" w:cs="Courier New" w:hint="default"/>
      </w:rPr>
    </w:lvl>
    <w:lvl w:ilvl="5" w:tplc="386E3C4C" w:tentative="1">
      <w:start w:val="1"/>
      <w:numFmt w:val="bullet"/>
      <w:lvlText w:val=""/>
      <w:lvlJc w:val="left"/>
      <w:pPr>
        <w:ind w:left="4320" w:hanging="360"/>
      </w:pPr>
      <w:rPr>
        <w:rFonts w:ascii="Wingdings" w:hAnsi="Wingdings" w:hint="default"/>
      </w:rPr>
    </w:lvl>
    <w:lvl w:ilvl="6" w:tplc="7A045B90" w:tentative="1">
      <w:start w:val="1"/>
      <w:numFmt w:val="bullet"/>
      <w:lvlText w:val=""/>
      <w:lvlJc w:val="left"/>
      <w:pPr>
        <w:ind w:left="5040" w:hanging="360"/>
      </w:pPr>
      <w:rPr>
        <w:rFonts w:ascii="Symbol" w:hAnsi="Symbol" w:hint="default"/>
      </w:rPr>
    </w:lvl>
    <w:lvl w:ilvl="7" w:tplc="186891BC" w:tentative="1">
      <w:start w:val="1"/>
      <w:numFmt w:val="bullet"/>
      <w:lvlText w:val="o"/>
      <w:lvlJc w:val="left"/>
      <w:pPr>
        <w:ind w:left="5760" w:hanging="360"/>
      </w:pPr>
      <w:rPr>
        <w:rFonts w:ascii="Courier New" w:hAnsi="Courier New" w:cs="Courier New" w:hint="default"/>
      </w:rPr>
    </w:lvl>
    <w:lvl w:ilvl="8" w:tplc="4718BA0E" w:tentative="1">
      <w:start w:val="1"/>
      <w:numFmt w:val="bullet"/>
      <w:lvlText w:val=""/>
      <w:lvlJc w:val="left"/>
      <w:pPr>
        <w:ind w:left="6480" w:hanging="360"/>
      </w:pPr>
      <w:rPr>
        <w:rFonts w:ascii="Wingdings" w:hAnsi="Wingdings" w:hint="default"/>
      </w:rPr>
    </w:lvl>
  </w:abstractNum>
  <w:abstractNum w:abstractNumId="32" w15:restartNumberingAfterBreak="0">
    <w:nsid w:val="7980701F"/>
    <w:multiLevelType w:val="hybridMultilevel"/>
    <w:tmpl w:val="EDCE8ABC"/>
    <w:lvl w:ilvl="0" w:tplc="D90C548E">
      <w:start w:val="1"/>
      <w:numFmt w:val="decimal"/>
      <w:lvlText w:val="%1."/>
      <w:lvlJc w:val="left"/>
      <w:pPr>
        <w:ind w:left="720" w:hanging="360"/>
      </w:pPr>
    </w:lvl>
    <w:lvl w:ilvl="1" w:tplc="4D68ECFC" w:tentative="1">
      <w:start w:val="1"/>
      <w:numFmt w:val="lowerLetter"/>
      <w:lvlText w:val="%2."/>
      <w:lvlJc w:val="left"/>
      <w:pPr>
        <w:ind w:left="1440" w:hanging="360"/>
      </w:pPr>
    </w:lvl>
    <w:lvl w:ilvl="2" w:tplc="0B1EDCBE" w:tentative="1">
      <w:start w:val="1"/>
      <w:numFmt w:val="lowerRoman"/>
      <w:lvlText w:val="%3."/>
      <w:lvlJc w:val="right"/>
      <w:pPr>
        <w:ind w:left="2160" w:hanging="180"/>
      </w:pPr>
    </w:lvl>
    <w:lvl w:ilvl="3" w:tplc="25D0F372" w:tentative="1">
      <w:start w:val="1"/>
      <w:numFmt w:val="decimal"/>
      <w:lvlText w:val="%4."/>
      <w:lvlJc w:val="left"/>
      <w:pPr>
        <w:ind w:left="2880" w:hanging="360"/>
      </w:pPr>
    </w:lvl>
    <w:lvl w:ilvl="4" w:tplc="0FB88A30" w:tentative="1">
      <w:start w:val="1"/>
      <w:numFmt w:val="lowerLetter"/>
      <w:lvlText w:val="%5."/>
      <w:lvlJc w:val="left"/>
      <w:pPr>
        <w:ind w:left="3600" w:hanging="360"/>
      </w:pPr>
    </w:lvl>
    <w:lvl w:ilvl="5" w:tplc="E3DADDA0" w:tentative="1">
      <w:start w:val="1"/>
      <w:numFmt w:val="lowerRoman"/>
      <w:lvlText w:val="%6."/>
      <w:lvlJc w:val="right"/>
      <w:pPr>
        <w:ind w:left="4320" w:hanging="180"/>
      </w:pPr>
    </w:lvl>
    <w:lvl w:ilvl="6" w:tplc="FE245718" w:tentative="1">
      <w:start w:val="1"/>
      <w:numFmt w:val="decimal"/>
      <w:lvlText w:val="%7."/>
      <w:lvlJc w:val="left"/>
      <w:pPr>
        <w:ind w:left="5040" w:hanging="360"/>
      </w:pPr>
    </w:lvl>
    <w:lvl w:ilvl="7" w:tplc="AB324220" w:tentative="1">
      <w:start w:val="1"/>
      <w:numFmt w:val="lowerLetter"/>
      <w:lvlText w:val="%8."/>
      <w:lvlJc w:val="left"/>
      <w:pPr>
        <w:ind w:left="5760" w:hanging="360"/>
      </w:pPr>
    </w:lvl>
    <w:lvl w:ilvl="8" w:tplc="5ADE511E" w:tentative="1">
      <w:start w:val="1"/>
      <w:numFmt w:val="lowerRoman"/>
      <w:lvlText w:val="%9."/>
      <w:lvlJc w:val="right"/>
      <w:pPr>
        <w:ind w:left="6480" w:hanging="180"/>
      </w:pPr>
    </w:lvl>
  </w:abstractNum>
  <w:num w:numId="1" w16cid:durableId="1752123839">
    <w:abstractNumId w:val="15"/>
  </w:num>
  <w:num w:numId="2" w16cid:durableId="1984042491">
    <w:abstractNumId w:val="20"/>
  </w:num>
  <w:num w:numId="3" w16cid:durableId="118914537">
    <w:abstractNumId w:val="28"/>
  </w:num>
  <w:num w:numId="4" w16cid:durableId="1932934919">
    <w:abstractNumId w:val="8"/>
  </w:num>
  <w:num w:numId="5" w16cid:durableId="584412448">
    <w:abstractNumId w:val="22"/>
  </w:num>
  <w:num w:numId="6" w16cid:durableId="1692337555">
    <w:abstractNumId w:val="27"/>
  </w:num>
  <w:num w:numId="7" w16cid:durableId="1668751632">
    <w:abstractNumId w:val="16"/>
  </w:num>
  <w:num w:numId="8" w16cid:durableId="1699504584">
    <w:abstractNumId w:val="18"/>
  </w:num>
  <w:num w:numId="9" w16cid:durableId="1471939920">
    <w:abstractNumId w:val="11"/>
  </w:num>
  <w:num w:numId="10" w16cid:durableId="1456294289">
    <w:abstractNumId w:val="17"/>
  </w:num>
  <w:num w:numId="11" w16cid:durableId="1090856223">
    <w:abstractNumId w:val="21"/>
  </w:num>
  <w:num w:numId="12" w16cid:durableId="347753210">
    <w:abstractNumId w:val="13"/>
  </w:num>
  <w:num w:numId="13" w16cid:durableId="62803357">
    <w:abstractNumId w:val="32"/>
  </w:num>
  <w:num w:numId="14" w16cid:durableId="571625102">
    <w:abstractNumId w:val="31"/>
  </w:num>
  <w:num w:numId="15" w16cid:durableId="1783526964">
    <w:abstractNumId w:val="14"/>
  </w:num>
  <w:num w:numId="16" w16cid:durableId="985014971">
    <w:abstractNumId w:val="7"/>
  </w:num>
  <w:num w:numId="17" w16cid:durableId="1511211528">
    <w:abstractNumId w:val="6"/>
  </w:num>
  <w:num w:numId="18" w16cid:durableId="1311205117">
    <w:abstractNumId w:val="19"/>
  </w:num>
  <w:num w:numId="19" w16cid:durableId="81266712">
    <w:abstractNumId w:val="12"/>
  </w:num>
  <w:num w:numId="20" w16cid:durableId="1802188761">
    <w:abstractNumId w:val="23"/>
  </w:num>
  <w:num w:numId="21" w16cid:durableId="225191431">
    <w:abstractNumId w:val="3"/>
  </w:num>
  <w:num w:numId="22" w16cid:durableId="475996718">
    <w:abstractNumId w:val="4"/>
  </w:num>
  <w:num w:numId="23" w16cid:durableId="1745833952">
    <w:abstractNumId w:val="1"/>
  </w:num>
  <w:num w:numId="24" w16cid:durableId="667488902">
    <w:abstractNumId w:val="26"/>
  </w:num>
  <w:num w:numId="25" w16cid:durableId="509416953">
    <w:abstractNumId w:val="5"/>
  </w:num>
  <w:num w:numId="26" w16cid:durableId="985815313">
    <w:abstractNumId w:val="10"/>
  </w:num>
  <w:num w:numId="27" w16cid:durableId="2073693655">
    <w:abstractNumId w:val="9"/>
  </w:num>
  <w:num w:numId="28" w16cid:durableId="147206991">
    <w:abstractNumId w:val="2"/>
  </w:num>
  <w:num w:numId="29" w16cid:durableId="1247031260">
    <w:abstractNumId w:val="25"/>
  </w:num>
  <w:num w:numId="30" w16cid:durableId="1572079826">
    <w:abstractNumId w:val="0"/>
  </w:num>
  <w:num w:numId="31" w16cid:durableId="28143985">
    <w:abstractNumId w:val="29"/>
  </w:num>
  <w:num w:numId="32" w16cid:durableId="356473185">
    <w:abstractNumId w:val="24"/>
  </w:num>
  <w:num w:numId="33" w16cid:durableId="7228700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515B"/>
    <w:rsid w:val="000065EF"/>
    <w:rsid w:val="00011457"/>
    <w:rsid w:val="000125FB"/>
    <w:rsid w:val="00013652"/>
    <w:rsid w:val="00021338"/>
    <w:rsid w:val="000266E2"/>
    <w:rsid w:val="00026893"/>
    <w:rsid w:val="00030C72"/>
    <w:rsid w:val="00034DD1"/>
    <w:rsid w:val="00037527"/>
    <w:rsid w:val="000416AA"/>
    <w:rsid w:val="0004355D"/>
    <w:rsid w:val="00044C3C"/>
    <w:rsid w:val="00051D67"/>
    <w:rsid w:val="000522AA"/>
    <w:rsid w:val="000535E1"/>
    <w:rsid w:val="00057022"/>
    <w:rsid w:val="0005725B"/>
    <w:rsid w:val="00057B67"/>
    <w:rsid w:val="00061E0E"/>
    <w:rsid w:val="00062B3E"/>
    <w:rsid w:val="0007506F"/>
    <w:rsid w:val="00076815"/>
    <w:rsid w:val="00081F44"/>
    <w:rsid w:val="00082A5F"/>
    <w:rsid w:val="00082DDC"/>
    <w:rsid w:val="0008370F"/>
    <w:rsid w:val="000839EC"/>
    <w:rsid w:val="00087D3D"/>
    <w:rsid w:val="000A467D"/>
    <w:rsid w:val="000B41B6"/>
    <w:rsid w:val="000B7BFC"/>
    <w:rsid w:val="000C7B82"/>
    <w:rsid w:val="000D62F3"/>
    <w:rsid w:val="000E2ABF"/>
    <w:rsid w:val="000E3F21"/>
    <w:rsid w:val="000E4C51"/>
    <w:rsid w:val="000F51EC"/>
    <w:rsid w:val="00105A96"/>
    <w:rsid w:val="00107537"/>
    <w:rsid w:val="0011532F"/>
    <w:rsid w:val="00117041"/>
    <w:rsid w:val="00117097"/>
    <w:rsid w:val="0011781B"/>
    <w:rsid w:val="001204B1"/>
    <w:rsid w:val="001208A9"/>
    <w:rsid w:val="00124F08"/>
    <w:rsid w:val="001360C9"/>
    <w:rsid w:val="00146187"/>
    <w:rsid w:val="00147CBA"/>
    <w:rsid w:val="00151DE2"/>
    <w:rsid w:val="0015327B"/>
    <w:rsid w:val="001607CB"/>
    <w:rsid w:val="001624E4"/>
    <w:rsid w:val="0017463E"/>
    <w:rsid w:val="00175AA4"/>
    <w:rsid w:val="0017663D"/>
    <w:rsid w:val="00177012"/>
    <w:rsid w:val="00181A81"/>
    <w:rsid w:val="0018425A"/>
    <w:rsid w:val="00186649"/>
    <w:rsid w:val="00194C04"/>
    <w:rsid w:val="00194CE8"/>
    <w:rsid w:val="001959A2"/>
    <w:rsid w:val="00197ADE"/>
    <w:rsid w:val="001A047F"/>
    <w:rsid w:val="001A1CA1"/>
    <w:rsid w:val="001A7B67"/>
    <w:rsid w:val="001D1882"/>
    <w:rsid w:val="001F1D48"/>
    <w:rsid w:val="001F3109"/>
    <w:rsid w:val="001F69BA"/>
    <w:rsid w:val="001F69CF"/>
    <w:rsid w:val="00210DD6"/>
    <w:rsid w:val="00214319"/>
    <w:rsid w:val="00215E22"/>
    <w:rsid w:val="0023296D"/>
    <w:rsid w:val="00232DDC"/>
    <w:rsid w:val="002342E0"/>
    <w:rsid w:val="00252077"/>
    <w:rsid w:val="00261A0F"/>
    <w:rsid w:val="00265B7A"/>
    <w:rsid w:val="00273E4A"/>
    <w:rsid w:val="00273EDD"/>
    <w:rsid w:val="00286B61"/>
    <w:rsid w:val="00292858"/>
    <w:rsid w:val="00296295"/>
    <w:rsid w:val="002A0B18"/>
    <w:rsid w:val="002B47F7"/>
    <w:rsid w:val="002D5090"/>
    <w:rsid w:val="002F280B"/>
    <w:rsid w:val="002F48D9"/>
    <w:rsid w:val="002F73E0"/>
    <w:rsid w:val="002F7974"/>
    <w:rsid w:val="00303B64"/>
    <w:rsid w:val="00306928"/>
    <w:rsid w:val="0031658E"/>
    <w:rsid w:val="0033426A"/>
    <w:rsid w:val="003349CE"/>
    <w:rsid w:val="00335ABA"/>
    <w:rsid w:val="00335CDD"/>
    <w:rsid w:val="00351087"/>
    <w:rsid w:val="003548DA"/>
    <w:rsid w:val="00355F7C"/>
    <w:rsid w:val="003608B5"/>
    <w:rsid w:val="00376F18"/>
    <w:rsid w:val="00385E45"/>
    <w:rsid w:val="00387CDA"/>
    <w:rsid w:val="0039552A"/>
    <w:rsid w:val="003A32E4"/>
    <w:rsid w:val="003A5297"/>
    <w:rsid w:val="003B31DC"/>
    <w:rsid w:val="003C5E28"/>
    <w:rsid w:val="003D67E2"/>
    <w:rsid w:val="003E2252"/>
    <w:rsid w:val="003E5E47"/>
    <w:rsid w:val="003F1B6B"/>
    <w:rsid w:val="003F5269"/>
    <w:rsid w:val="003F687F"/>
    <w:rsid w:val="00402744"/>
    <w:rsid w:val="0040579A"/>
    <w:rsid w:val="00406591"/>
    <w:rsid w:val="00407B16"/>
    <w:rsid w:val="00414ADE"/>
    <w:rsid w:val="00430D47"/>
    <w:rsid w:val="004361C8"/>
    <w:rsid w:val="00436690"/>
    <w:rsid w:val="00436F4D"/>
    <w:rsid w:val="0043715E"/>
    <w:rsid w:val="004420B7"/>
    <w:rsid w:val="00455FFE"/>
    <w:rsid w:val="004620C9"/>
    <w:rsid w:val="004766E4"/>
    <w:rsid w:val="004854FF"/>
    <w:rsid w:val="00485CCA"/>
    <w:rsid w:val="00486247"/>
    <w:rsid w:val="0048688C"/>
    <w:rsid w:val="00487065"/>
    <w:rsid w:val="00490F78"/>
    <w:rsid w:val="004939EE"/>
    <w:rsid w:val="004969D3"/>
    <w:rsid w:val="004A0BA1"/>
    <w:rsid w:val="004B115D"/>
    <w:rsid w:val="004C0788"/>
    <w:rsid w:val="004C0985"/>
    <w:rsid w:val="004D0A0D"/>
    <w:rsid w:val="004D2CF5"/>
    <w:rsid w:val="004D362E"/>
    <w:rsid w:val="004E3417"/>
    <w:rsid w:val="004F0B36"/>
    <w:rsid w:val="004F1EA8"/>
    <w:rsid w:val="004F6AD9"/>
    <w:rsid w:val="00513CCF"/>
    <w:rsid w:val="00516914"/>
    <w:rsid w:val="005275C6"/>
    <w:rsid w:val="00531E54"/>
    <w:rsid w:val="0053658F"/>
    <w:rsid w:val="00551D82"/>
    <w:rsid w:val="005639F8"/>
    <w:rsid w:val="005640D1"/>
    <w:rsid w:val="00566624"/>
    <w:rsid w:val="0057051C"/>
    <w:rsid w:val="00571C30"/>
    <w:rsid w:val="005734D7"/>
    <w:rsid w:val="00575E55"/>
    <w:rsid w:val="00585BF5"/>
    <w:rsid w:val="0059136B"/>
    <w:rsid w:val="005A637B"/>
    <w:rsid w:val="005B149D"/>
    <w:rsid w:val="005C5EB1"/>
    <w:rsid w:val="005E1EE7"/>
    <w:rsid w:val="005F42AB"/>
    <w:rsid w:val="00603D99"/>
    <w:rsid w:val="00604100"/>
    <w:rsid w:val="00607D7E"/>
    <w:rsid w:val="00607D82"/>
    <w:rsid w:val="006103AC"/>
    <w:rsid w:val="00615035"/>
    <w:rsid w:val="00622578"/>
    <w:rsid w:val="006239A1"/>
    <w:rsid w:val="00634672"/>
    <w:rsid w:val="006610C6"/>
    <w:rsid w:val="00674206"/>
    <w:rsid w:val="006755EE"/>
    <w:rsid w:val="00677E45"/>
    <w:rsid w:val="006824BF"/>
    <w:rsid w:val="00686258"/>
    <w:rsid w:val="00686F59"/>
    <w:rsid w:val="006A4A25"/>
    <w:rsid w:val="006B0DEC"/>
    <w:rsid w:val="006D728A"/>
    <w:rsid w:val="006E049A"/>
    <w:rsid w:val="006E4797"/>
    <w:rsid w:val="006E7C64"/>
    <w:rsid w:val="006F0437"/>
    <w:rsid w:val="006F7BBB"/>
    <w:rsid w:val="00702ADE"/>
    <w:rsid w:val="0070444F"/>
    <w:rsid w:val="00714BE0"/>
    <w:rsid w:val="007157AB"/>
    <w:rsid w:val="00716438"/>
    <w:rsid w:val="007200C7"/>
    <w:rsid w:val="00720F24"/>
    <w:rsid w:val="007309F0"/>
    <w:rsid w:val="00734448"/>
    <w:rsid w:val="00736371"/>
    <w:rsid w:val="00737866"/>
    <w:rsid w:val="00740E77"/>
    <w:rsid w:val="0074624E"/>
    <w:rsid w:val="0074692B"/>
    <w:rsid w:val="00751D3D"/>
    <w:rsid w:val="007541A7"/>
    <w:rsid w:val="00754A39"/>
    <w:rsid w:val="00756BAB"/>
    <w:rsid w:val="00756F1E"/>
    <w:rsid w:val="00760176"/>
    <w:rsid w:val="00761702"/>
    <w:rsid w:val="00764673"/>
    <w:rsid w:val="00782203"/>
    <w:rsid w:val="00785466"/>
    <w:rsid w:val="007A4BBA"/>
    <w:rsid w:val="007B1C13"/>
    <w:rsid w:val="007B39C6"/>
    <w:rsid w:val="007B488F"/>
    <w:rsid w:val="007B52E1"/>
    <w:rsid w:val="007B6633"/>
    <w:rsid w:val="007B72A4"/>
    <w:rsid w:val="007D28C2"/>
    <w:rsid w:val="007D6BE0"/>
    <w:rsid w:val="007E13F9"/>
    <w:rsid w:val="007E5CFD"/>
    <w:rsid w:val="007F13E9"/>
    <w:rsid w:val="007F2030"/>
    <w:rsid w:val="007F6C49"/>
    <w:rsid w:val="0080542B"/>
    <w:rsid w:val="00815094"/>
    <w:rsid w:val="008165AC"/>
    <w:rsid w:val="0081681B"/>
    <w:rsid w:val="008228CE"/>
    <w:rsid w:val="0083120A"/>
    <w:rsid w:val="00833B96"/>
    <w:rsid w:val="008425A4"/>
    <w:rsid w:val="008461C6"/>
    <w:rsid w:val="008461D6"/>
    <w:rsid w:val="0085421A"/>
    <w:rsid w:val="0085548D"/>
    <w:rsid w:val="00875923"/>
    <w:rsid w:val="00876438"/>
    <w:rsid w:val="00880E0C"/>
    <w:rsid w:val="008813C8"/>
    <w:rsid w:val="00893CC4"/>
    <w:rsid w:val="008A178D"/>
    <w:rsid w:val="008A4859"/>
    <w:rsid w:val="008B2D50"/>
    <w:rsid w:val="008B35D2"/>
    <w:rsid w:val="008B6577"/>
    <w:rsid w:val="008C247C"/>
    <w:rsid w:val="008C36F1"/>
    <w:rsid w:val="008C4D30"/>
    <w:rsid w:val="008D293E"/>
    <w:rsid w:val="008D630E"/>
    <w:rsid w:val="008E19AC"/>
    <w:rsid w:val="00906C12"/>
    <w:rsid w:val="00910A6B"/>
    <w:rsid w:val="00914E36"/>
    <w:rsid w:val="00917C36"/>
    <w:rsid w:val="0092286D"/>
    <w:rsid w:val="0093282A"/>
    <w:rsid w:val="00933F49"/>
    <w:rsid w:val="0093511A"/>
    <w:rsid w:val="00940930"/>
    <w:rsid w:val="009409EA"/>
    <w:rsid w:val="00941D7F"/>
    <w:rsid w:val="00955406"/>
    <w:rsid w:val="0095766F"/>
    <w:rsid w:val="00965708"/>
    <w:rsid w:val="00971CCD"/>
    <w:rsid w:val="00974A61"/>
    <w:rsid w:val="009842AF"/>
    <w:rsid w:val="00986452"/>
    <w:rsid w:val="00993E24"/>
    <w:rsid w:val="00994F50"/>
    <w:rsid w:val="009B677C"/>
    <w:rsid w:val="009C0882"/>
    <w:rsid w:val="009C6565"/>
    <w:rsid w:val="009C666E"/>
    <w:rsid w:val="009C74BE"/>
    <w:rsid w:val="009D1402"/>
    <w:rsid w:val="009D548E"/>
    <w:rsid w:val="009D770D"/>
    <w:rsid w:val="00A02A14"/>
    <w:rsid w:val="00A14BD1"/>
    <w:rsid w:val="00A1684A"/>
    <w:rsid w:val="00A21B07"/>
    <w:rsid w:val="00A3021D"/>
    <w:rsid w:val="00A3143F"/>
    <w:rsid w:val="00A326FB"/>
    <w:rsid w:val="00A42339"/>
    <w:rsid w:val="00A46A5D"/>
    <w:rsid w:val="00A505C7"/>
    <w:rsid w:val="00A61636"/>
    <w:rsid w:val="00A624BE"/>
    <w:rsid w:val="00A635E2"/>
    <w:rsid w:val="00A76060"/>
    <w:rsid w:val="00A94A01"/>
    <w:rsid w:val="00A961ED"/>
    <w:rsid w:val="00AB4038"/>
    <w:rsid w:val="00AC12E4"/>
    <w:rsid w:val="00AD028A"/>
    <w:rsid w:val="00AD2F04"/>
    <w:rsid w:val="00AD6FC1"/>
    <w:rsid w:val="00AE04D3"/>
    <w:rsid w:val="00AE1768"/>
    <w:rsid w:val="00B04CC6"/>
    <w:rsid w:val="00B070A8"/>
    <w:rsid w:val="00B136EE"/>
    <w:rsid w:val="00B2354F"/>
    <w:rsid w:val="00B36133"/>
    <w:rsid w:val="00B36D9F"/>
    <w:rsid w:val="00B404F7"/>
    <w:rsid w:val="00B50F03"/>
    <w:rsid w:val="00B52CD6"/>
    <w:rsid w:val="00B66177"/>
    <w:rsid w:val="00B72AD9"/>
    <w:rsid w:val="00B76DF3"/>
    <w:rsid w:val="00B81064"/>
    <w:rsid w:val="00B81830"/>
    <w:rsid w:val="00B87681"/>
    <w:rsid w:val="00B9359D"/>
    <w:rsid w:val="00B968CC"/>
    <w:rsid w:val="00BA0279"/>
    <w:rsid w:val="00BB0ED5"/>
    <w:rsid w:val="00BC3ABA"/>
    <w:rsid w:val="00BC7379"/>
    <w:rsid w:val="00BD21FF"/>
    <w:rsid w:val="00BD3767"/>
    <w:rsid w:val="00BE184C"/>
    <w:rsid w:val="00BE22A2"/>
    <w:rsid w:val="00BE2769"/>
    <w:rsid w:val="00BF3631"/>
    <w:rsid w:val="00BF7CDA"/>
    <w:rsid w:val="00BF7FC7"/>
    <w:rsid w:val="00C06C48"/>
    <w:rsid w:val="00C11464"/>
    <w:rsid w:val="00C11D93"/>
    <w:rsid w:val="00C1746D"/>
    <w:rsid w:val="00C17A91"/>
    <w:rsid w:val="00C220BC"/>
    <w:rsid w:val="00C27C71"/>
    <w:rsid w:val="00C3075E"/>
    <w:rsid w:val="00C325DC"/>
    <w:rsid w:val="00C366E0"/>
    <w:rsid w:val="00C41DEF"/>
    <w:rsid w:val="00C501D3"/>
    <w:rsid w:val="00C51E9C"/>
    <w:rsid w:val="00C550F3"/>
    <w:rsid w:val="00C652D8"/>
    <w:rsid w:val="00C776FC"/>
    <w:rsid w:val="00C81039"/>
    <w:rsid w:val="00C813AD"/>
    <w:rsid w:val="00C863A9"/>
    <w:rsid w:val="00C875D1"/>
    <w:rsid w:val="00C949E6"/>
    <w:rsid w:val="00C97E94"/>
    <w:rsid w:val="00CA4EB5"/>
    <w:rsid w:val="00CA77DE"/>
    <w:rsid w:val="00CB1713"/>
    <w:rsid w:val="00CB1783"/>
    <w:rsid w:val="00CC66B5"/>
    <w:rsid w:val="00CF4545"/>
    <w:rsid w:val="00D04C01"/>
    <w:rsid w:val="00D061C7"/>
    <w:rsid w:val="00D07A90"/>
    <w:rsid w:val="00D2036B"/>
    <w:rsid w:val="00D23F97"/>
    <w:rsid w:val="00D2510B"/>
    <w:rsid w:val="00D3649F"/>
    <w:rsid w:val="00D3732D"/>
    <w:rsid w:val="00D549AD"/>
    <w:rsid w:val="00D57F1F"/>
    <w:rsid w:val="00D661BB"/>
    <w:rsid w:val="00D72490"/>
    <w:rsid w:val="00D86D57"/>
    <w:rsid w:val="00D92CBF"/>
    <w:rsid w:val="00D959E7"/>
    <w:rsid w:val="00DA154A"/>
    <w:rsid w:val="00DA3C5C"/>
    <w:rsid w:val="00DA797D"/>
    <w:rsid w:val="00DB3E3E"/>
    <w:rsid w:val="00DB5A5B"/>
    <w:rsid w:val="00DC0E61"/>
    <w:rsid w:val="00DC18A7"/>
    <w:rsid w:val="00DD0D2A"/>
    <w:rsid w:val="00DD22DD"/>
    <w:rsid w:val="00DD55D1"/>
    <w:rsid w:val="00DD5E08"/>
    <w:rsid w:val="00DE1CA8"/>
    <w:rsid w:val="00DE7310"/>
    <w:rsid w:val="00DF1768"/>
    <w:rsid w:val="00DF5872"/>
    <w:rsid w:val="00E023B5"/>
    <w:rsid w:val="00E0295C"/>
    <w:rsid w:val="00E03054"/>
    <w:rsid w:val="00E030DA"/>
    <w:rsid w:val="00E16B05"/>
    <w:rsid w:val="00E17C49"/>
    <w:rsid w:val="00E26DAA"/>
    <w:rsid w:val="00E377BA"/>
    <w:rsid w:val="00E37B6F"/>
    <w:rsid w:val="00E401D5"/>
    <w:rsid w:val="00E47586"/>
    <w:rsid w:val="00E64740"/>
    <w:rsid w:val="00E65A18"/>
    <w:rsid w:val="00E72858"/>
    <w:rsid w:val="00E72FBC"/>
    <w:rsid w:val="00E74274"/>
    <w:rsid w:val="00E74862"/>
    <w:rsid w:val="00E758D3"/>
    <w:rsid w:val="00E94C6C"/>
    <w:rsid w:val="00E96AE5"/>
    <w:rsid w:val="00E97A62"/>
    <w:rsid w:val="00EA0DEE"/>
    <w:rsid w:val="00EA6F8E"/>
    <w:rsid w:val="00EB1E68"/>
    <w:rsid w:val="00EC0649"/>
    <w:rsid w:val="00EC4A30"/>
    <w:rsid w:val="00EC550A"/>
    <w:rsid w:val="00EC5713"/>
    <w:rsid w:val="00EC57F0"/>
    <w:rsid w:val="00EE0422"/>
    <w:rsid w:val="00EE5DD6"/>
    <w:rsid w:val="00EF15E5"/>
    <w:rsid w:val="00EF3BEF"/>
    <w:rsid w:val="00EF4161"/>
    <w:rsid w:val="00F04BEA"/>
    <w:rsid w:val="00F1162A"/>
    <w:rsid w:val="00F21944"/>
    <w:rsid w:val="00F22FB1"/>
    <w:rsid w:val="00F27511"/>
    <w:rsid w:val="00F36869"/>
    <w:rsid w:val="00F401EC"/>
    <w:rsid w:val="00F41723"/>
    <w:rsid w:val="00F41DE1"/>
    <w:rsid w:val="00F4589C"/>
    <w:rsid w:val="00F50EE1"/>
    <w:rsid w:val="00F56522"/>
    <w:rsid w:val="00F573EB"/>
    <w:rsid w:val="00F70158"/>
    <w:rsid w:val="00F72213"/>
    <w:rsid w:val="00F75128"/>
    <w:rsid w:val="00F75FB1"/>
    <w:rsid w:val="00F9206E"/>
    <w:rsid w:val="00FA0ABE"/>
    <w:rsid w:val="00FA2F17"/>
    <w:rsid w:val="00FA3B53"/>
    <w:rsid w:val="00FA3FE5"/>
    <w:rsid w:val="00FA6C9C"/>
    <w:rsid w:val="00FC4065"/>
    <w:rsid w:val="00FC5A02"/>
    <w:rsid w:val="00FE23C1"/>
    <w:rsid w:val="00FE335D"/>
    <w:rsid w:val="00FE7C46"/>
    <w:rsid w:val="00FF1A1D"/>
    <w:rsid w:val="00FF3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15:docId w15:val="{969901F2-7223-4BCF-9CAB-AC80807E5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Bibliography">
    <w:name w:val="Bibliography"/>
    <w:basedOn w:val="Normal"/>
    <w:next w:val="Normal"/>
    <w:uiPriority w:val="37"/>
    <w:unhideWhenUsed/>
    <w:rsid w:val="00EE0422"/>
    <w:pPr>
      <w:tabs>
        <w:tab w:val="left" w:pos="384"/>
      </w:tabs>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30014</Words>
  <Characters>171086</Characters>
  <Application>Microsoft Office Word</Application>
  <DocSecurity>0</DocSecurity>
  <Lines>1425</Lines>
  <Paragraphs>401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Xavier D Thompson</dc:creator>
  <cp:keywords/>
  <dc:description/>
  <cp:lastModifiedBy>Xavier D Thompson</cp:lastModifiedBy>
  <cp:revision>3</cp:revision>
  <dcterms:created xsi:type="dcterms:W3CDTF">2026-06-17T17:47:00Z</dcterms:created>
  <dcterms:modified xsi:type="dcterms:W3CDTF">2026-06-17T17:50:00Z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id="88uLpIj6"/&gt;&lt;style id="http://www.zotero.org/styles/journal-of-visualized-experiments" hasBibliography="1" bibliographyStyleHasBeenSet="1"/&gt;&lt;prefs&gt;&lt;pref name="fieldType" value="Field"/&gt;&lt;/prefs&gt;&lt;/da</vt:lpwstr>
  </property>
  <property fmtid="{D5CDD505-2E9C-101B-9397-08002B2CF9AE}" pid="3" name="ZOTERO_PREF_2">
    <vt:lpwstr>ta&gt;</vt:lpwstr>
  </property>
  <property fmtid="{D5CDD505-2E9C-101B-9397-08002B2CF9AE}" pid="4" name="GrammarlyDocumentId">
    <vt:lpwstr>6a6ab68c-16a1-423a-ba9e-e15402015b44</vt:lpwstr>
  </property>
</Properties>
</file>