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4A880" w14:textId="77777777" w:rsidR="00542756" w:rsidRPr="007B4720" w:rsidRDefault="004B7137" w:rsidP="007B4720">
      <w:pPr>
        <w:pStyle w:val="Heading1"/>
        <w:spacing w:before="0" w:after="0"/>
        <w:rPr>
          <w:sz w:val="24"/>
          <w:szCs w:val="24"/>
        </w:rPr>
      </w:pPr>
      <w:r>
        <w:rPr>
          <w:sz w:val="24"/>
          <w:szCs w:val="24"/>
        </w:rPr>
        <w:t xml:space="preserve">TITLE: </w:t>
      </w:r>
      <w:bookmarkStart w:id="0" w:name="_Hlk228350615"/>
    </w:p>
    <w:p w14:paraId="30211336" w14:textId="6352B7C8" w:rsidR="00B8099C" w:rsidRPr="007B4720" w:rsidRDefault="004B7137" w:rsidP="007B4720">
      <w:pPr>
        <w:rPr>
          <w:lang w:val="en-GB"/>
        </w:rPr>
      </w:pPr>
      <w:r>
        <w:rPr>
          <w:lang w:val="en-GB"/>
        </w:rPr>
        <w:t xml:space="preserve">Fluorescence-Guided Surgery for Ureter Identification During Removal of Extensive Diverticular Disease</w:t>
      </w:r>
    </w:p>
    <w:bookmarkEnd w:id="0"/>
    <w:p w14:paraId="3E9DC64C" w14:textId="7FEAC3D9" w:rsidR="00454A97" w:rsidRPr="007B4720" w:rsidRDefault="00454A97" w:rsidP="007B4720">
      <w:pPr>
        <w:pBdr>
          <w:top w:val="nil"/>
          <w:left w:val="nil"/>
          <w:bottom w:val="nil"/>
          <w:right w:val="nil"/>
          <w:between w:val="nil"/>
        </w:pBdr>
        <w:rPr>
          <w:color w:val="000000"/>
          <w:lang w:val="en-GB"/>
        </w:rPr>
      </w:pPr>
    </w:p>
    <w:p w14:paraId="2E9CF72A" w14:textId="77777777" w:rsidR="00B8099C" w:rsidRPr="007B4720" w:rsidRDefault="004B7137" w:rsidP="007B4720">
      <w:pPr>
        <w:pStyle w:val="Heading2"/>
      </w:pPr>
      <w:r>
        <w:t xml:space="preserve">AUTHORS AND AFFILIATIONS: </w:t>
      </w:r>
    </w:p>
    <w:p w14:paraId="288B6669" w14:textId="41167A22" w:rsidR="00B8099C" w:rsidRPr="007B4720" w:rsidRDefault="004B7137" w:rsidP="007B4720">
      <w:pPr>
        <w:rPr>
          <w:vertAlign w:val="superscript"/>
          <w:lang w:val="en-GB"/>
        </w:rPr>
      </w:pPr>
      <w:r>
        <w:rPr>
          <w:lang w:val="en-GB"/>
        </w:rPr>
        <w:t>Cedric MW Pesch</w:t>
      </w:r>
      <w:r>
        <w:rPr>
          <w:vertAlign w:val="superscript"/>
          <w:lang w:val="en-GB"/>
        </w:rPr>
        <w:t>1,2</w:t>
      </w:r>
      <w:r>
        <w:rPr>
          <w:lang w:val="en-GB"/>
        </w:rPr>
        <w:t>, Dylan Koole</w:t>
      </w:r>
      <w:r>
        <w:rPr>
          <w:vertAlign w:val="superscript"/>
          <w:lang w:val="en-GB"/>
        </w:rPr>
        <w:t>1</w:t>
      </w:r>
      <w:r>
        <w:rPr>
          <w:lang w:val="en-GB"/>
        </w:rPr>
        <w:t>, Mark W Bordo</w:t>
      </w:r>
      <w:r>
        <w:rPr>
          <w:vertAlign w:val="superscript"/>
          <w:lang w:val="en-GB"/>
        </w:rPr>
        <w:t>3</w:t>
      </w:r>
      <w:r>
        <w:rPr>
          <w:lang w:val="en-GB"/>
        </w:rPr>
        <w:t>, John V Frangioni</w:t>
      </w:r>
      <w:r>
        <w:rPr>
          <w:vertAlign w:val="superscript"/>
          <w:lang w:val="en-GB"/>
        </w:rPr>
        <w:t>3</w:t>
      </w:r>
      <w:r>
        <w:rPr>
          <w:lang w:val="en-GB"/>
        </w:rPr>
        <w:t>, Koen CMJ Peeters</w:t>
      </w:r>
      <w:r>
        <w:rPr>
          <w:vertAlign w:val="superscript"/>
          <w:lang w:val="en-GB"/>
        </w:rPr>
        <w:t>1</w:t>
      </w:r>
      <w:r>
        <w:rPr>
          <w:lang w:val="en-GB"/>
        </w:rPr>
        <w:t>, Alexander L Vahrmeijer</w:t>
      </w:r>
      <w:r>
        <w:rPr>
          <w:vertAlign w:val="superscript"/>
          <w:lang w:val="en-GB"/>
        </w:rPr>
        <w:t>1</w:t>
      </w:r>
      <w:r>
        <w:rPr>
          <w:lang w:val="en-GB"/>
        </w:rPr>
        <w:t>, Fabian A Holman</w:t>
      </w:r>
      <w:r>
        <w:rPr>
          <w:vertAlign w:val="superscript"/>
          <w:lang w:val="en-GB"/>
        </w:rPr>
        <w:t>1</w:t>
      </w:r>
    </w:p>
    <w:p w14:paraId="06E4A1BD" w14:textId="77777777" w:rsidR="00B8099C" w:rsidRPr="007B4720" w:rsidRDefault="00B8099C" w:rsidP="007B4720">
      <w:pPr>
        <w:rPr>
          <w:lang w:val="en-GB"/>
        </w:rPr>
      </w:pPr>
    </w:p>
    <w:p w14:paraId="0C1D901A" w14:textId="51AB32F7" w:rsidR="00B8099C" w:rsidRPr="007B4720" w:rsidRDefault="00962CBF" w:rsidP="00962CBF">
      <w:pPr>
        <w:pStyle w:val="ListParagraph"/>
        <w:spacing w:after="0" w:line="240" w:lineRule="auto"/>
        <w:ind w:left="0"/>
        <w:jc w:val="both"/>
        <w:rPr>
          <w:rFonts w:ascii="Calibri" w:hAnsi="Calibri" w:cs="Calibri"/>
          <w:sz w:val="24"/>
          <w:szCs w:val="24"/>
          <w:lang w:val="en-GB"/>
        </w:rPr>
      </w:pPr>
      <w:r>
        <w:rPr>
          <w:rFonts w:ascii="Calibri" w:hAnsi="Calibri" w:cs="Calibri"/>
          <w:sz w:val="24"/>
          <w:szCs w:val="24"/>
          <w:vertAlign w:val="superscript"/>
          <w:lang w:val="en-GB"/>
        </w:rPr>
        <w:t>1</w:t>
      </w:r>
      <w:r>
        <w:rPr>
          <w:rFonts w:ascii="Calibri" w:hAnsi="Calibri" w:cs="Calibri"/>
          <w:sz w:val="24"/>
          <w:szCs w:val="24"/>
          <w:lang w:val="en-GB"/>
        </w:rPr>
        <w:t>Leiden University Medical Hospital, Leiden, ZH, the Netherlands</w:t>
      </w:r>
    </w:p>
    <w:p w14:paraId="652DF103" w14:textId="2F93732D" w:rsidR="00B8099C" w:rsidRPr="007B4720" w:rsidRDefault="00962CBF" w:rsidP="00962CBF">
      <w:pPr>
        <w:pStyle w:val="ListParagraph"/>
        <w:spacing w:after="0" w:line="240" w:lineRule="auto"/>
        <w:ind w:left="0"/>
        <w:jc w:val="both"/>
        <w:rPr>
          <w:rFonts w:ascii="Calibri" w:hAnsi="Calibri" w:cs="Calibri"/>
          <w:sz w:val="24"/>
          <w:szCs w:val="24"/>
          <w:lang w:val="en-GB"/>
        </w:rPr>
      </w:pPr>
      <w:r>
        <w:rPr>
          <w:rFonts w:ascii="Calibri" w:hAnsi="Calibri" w:cs="Calibri"/>
          <w:sz w:val="24"/>
          <w:szCs w:val="24"/>
          <w:vertAlign w:val="superscript"/>
          <w:lang w:val="en-GB"/>
        </w:rPr>
        <w:t>2</w:t>
      </w:r>
      <w:r>
        <w:rPr>
          <w:rFonts w:ascii="Calibri" w:hAnsi="Calibri" w:cs="Calibri"/>
          <w:sz w:val="24"/>
          <w:szCs w:val="24"/>
          <w:lang w:val="en-GB"/>
        </w:rPr>
        <w:t>Centre for Human Drug Research, Leiden, ZH, the Netherlands</w:t>
      </w:r>
    </w:p>
    <w:p w14:paraId="2E83E971" w14:textId="7DAE6A7B" w:rsidR="00B8099C" w:rsidRPr="007B4720" w:rsidRDefault="00962CBF" w:rsidP="00962CBF">
      <w:pPr>
        <w:pStyle w:val="ListParagraph"/>
        <w:spacing w:after="0" w:line="240" w:lineRule="auto"/>
        <w:ind w:left="0"/>
        <w:jc w:val="both"/>
        <w:rPr>
          <w:rFonts w:ascii="Calibri" w:hAnsi="Calibri" w:cs="Calibri"/>
          <w:sz w:val="24"/>
          <w:szCs w:val="24"/>
          <w:lang w:val="en-GB"/>
        </w:rPr>
      </w:pPr>
      <w:r>
        <w:rPr>
          <w:rFonts w:ascii="Calibri" w:hAnsi="Calibri" w:cs="Calibri"/>
          <w:sz w:val="24"/>
          <w:szCs w:val="24"/>
          <w:vertAlign w:val="superscript"/>
          <w:lang w:val="en-GB"/>
        </w:rPr>
        <w:t>3</w:t>
      </w:r>
      <w:r>
        <w:rPr>
          <w:rFonts w:ascii="Calibri" w:hAnsi="Calibri" w:cs="Calibri"/>
          <w:sz w:val="24"/>
          <w:szCs w:val="24"/>
          <w:lang w:val="en-GB"/>
        </w:rPr>
        <w:t>Curadel Pharma, Bonita Springs, Florida, USA</w:t>
      </w:r>
    </w:p>
    <w:p w14:paraId="1CC0FE1C" w14:textId="77777777" w:rsidR="00B8099C" w:rsidRPr="007B4720" w:rsidRDefault="00B8099C" w:rsidP="007B4720">
      <w:pPr>
        <w:rPr>
          <w:lang w:val="en-GB"/>
        </w:rPr>
      </w:pPr>
    </w:p>
    <w:p w14:paraId="32E14739" w14:textId="5E42E200" w:rsidR="00B8099C" w:rsidRPr="007B4720" w:rsidRDefault="004B7137" w:rsidP="007B4720">
      <w:pPr>
        <w:rPr>
          <w:lang w:val="en-GB"/>
        </w:rPr>
      </w:pPr>
      <w:r>
        <w:rPr>
          <w:lang w:val="en-GB"/>
        </w:rPr>
        <w:t xml:space="preserve">Institutional email addresses the co-authors:</w:t>
      </w:r>
    </w:p>
    <w:p w14:paraId="07762163" w14:textId="195F281D" w:rsidR="00B8099C" w:rsidRPr="007B4720" w:rsidRDefault="00274C05" w:rsidP="007B4720">
      <w:r>
        <w:rPr>
          <w:lang w:val="en-GB"/>
        </w:rPr>
        <w:t>Dylan Koole</w:t>
      </w:r>
      <w:r>
        <w:t xml:space="preserve"> </w:t>
        <w:tab/>
        <w:tab/>
        <w:tab/>
        <w:t>(</w:t>
      </w:r>
      <w:hyperlink r:id="rId8" w:history="1">
        <w:r>
          <w:rPr>
            <w:rStyle w:val="Hyperlink"/>
            <w:lang w:val="en-GB"/>
          </w:rPr>
          <w:t>d.koole@lumc.nl</w:t>
        </w:r>
      </w:hyperlink>
      <w:r>
        <w:t>)</w:t>
      </w:r>
    </w:p>
    <w:p w14:paraId="54D389C0" w14:textId="3F97985D" w:rsidR="00274C05" w:rsidRDefault="00274C05" w:rsidP="007B4720">
      <w:pPr>
        <w:rPr>
          <w:u w:val="single"/>
        </w:rPr>
      </w:pPr>
      <w:r>
        <w:rPr>
          <w:lang w:val="en-GB"/>
        </w:rPr>
        <w:t>Mark W Bordo</w:t>
        <w:tab/>
        <w:tab/>
        <w:tab/>
      </w:r>
      <w:r>
        <w:rPr>
          <w:u w:val="single"/>
        </w:rPr>
        <w:t>(</w:t>
      </w:r>
      <w:hyperlink r:id="rId9" w:history="1">
        <w:r>
          <w:rPr>
            <w:rStyle w:val="Hyperlink"/>
          </w:rPr>
          <w:t>mwbordo@curadel.com</w:t>
        </w:r>
      </w:hyperlink>
      <w:r>
        <w:rPr>
          <w:u w:val="single"/>
        </w:rPr>
        <w:t>)</w:t>
      </w:r>
    </w:p>
    <w:p w14:paraId="3E321076" w14:textId="7852C5AE" w:rsidR="00B8099C" w:rsidRPr="004375E3" w:rsidRDefault="004375E3" w:rsidP="007B4720">
      <w:pPr>
        <w:rPr>
          <w:u w:val="single"/>
        </w:rPr>
      </w:pPr>
      <w:r>
        <w:rPr>
          <w:lang w:val="en-GB"/>
        </w:rPr>
        <w:t>John V Frangioni</w:t>
        <w:tab/>
        <w:tab/>
        <w:t>(</w:t>
      </w:r>
      <w:hyperlink r:id="rId10" w:history="1">
        <w:r>
          <w:rPr>
            <w:rStyle w:val="Hyperlink"/>
            <w:lang w:val="en-GB"/>
          </w:rPr>
          <w:t>jvfrangioni@curadel.com</w:t>
        </w:r>
      </w:hyperlink>
      <w:r>
        <w:rPr>
          <w:lang w:val="en-GB"/>
        </w:rPr>
        <w:t>)</w:t>
      </w:r>
    </w:p>
    <w:p w14:paraId="21AE5304" w14:textId="34E2FC29" w:rsidR="00B8099C" w:rsidRPr="007B4720" w:rsidRDefault="004375E3" w:rsidP="007B4720">
      <w:r>
        <w:rPr>
          <w:lang w:val="en-GB"/>
        </w:rPr>
        <w:t>Koen CMJ Peeters</w:t>
      </w:r>
      <w:r>
        <w:t xml:space="preserve"> </w:t>
        <w:tab/>
        <w:tab/>
        <w:t>(</w:t>
      </w:r>
      <w:hyperlink r:id="rId11" w:history="1">
        <w:r>
          <w:rPr>
            <w:rStyle w:val="Hyperlink"/>
            <w:lang w:val="en-GB"/>
          </w:rPr>
          <w:t>k.c.m.j.peeters@lumc.nl</w:t>
        </w:r>
      </w:hyperlink>
      <w:r>
        <w:t>)</w:t>
      </w:r>
    </w:p>
    <w:p w14:paraId="37B37341" w14:textId="05BF183A" w:rsidR="00B8099C" w:rsidRPr="007B4720" w:rsidRDefault="00121A97" w:rsidP="007B4720">
      <w:pPr>
        <w:rPr>
          <w:lang w:val="en-GB"/>
        </w:rPr>
      </w:pPr>
      <w:r>
        <w:rPr>
          <w:lang w:val="en-GB"/>
        </w:rPr>
        <w:t>Alexander L Vahrmeijer</w:t>
      </w:r>
      <w:r>
        <w:t xml:space="preserve"> </w:t>
        <w:tab/>
        <w:t>(</w:t>
      </w:r>
      <w:hyperlink r:id="rId12" w:history="1">
        <w:r>
          <w:rPr>
            <w:rStyle w:val="Hyperlink"/>
            <w:lang w:val="en-GB"/>
          </w:rPr>
          <w:t>a.l.vahrmeijer@lumc.nl</w:t>
        </w:r>
      </w:hyperlink>
      <w:r>
        <w:t>)</w:t>
      </w:r>
    </w:p>
    <w:p w14:paraId="7A59644B" w14:textId="668E2741" w:rsidR="00B8099C" w:rsidRPr="007B4720" w:rsidRDefault="00121A97" w:rsidP="007B4720">
      <w:pPr>
        <w:rPr>
          <w:lang w:val="en-GB"/>
        </w:rPr>
      </w:pPr>
      <w:r>
        <w:rPr>
          <w:lang w:val="en-GB"/>
        </w:rPr>
        <w:t>Fabian A Holman</w:t>
      </w:r>
      <w:r>
        <w:t xml:space="preserve"> </w:t>
        <w:tab/>
        <w:tab/>
        <w:t>(</w:t>
      </w:r>
      <w:hyperlink r:id="rId13" w:history="1">
        <w:r>
          <w:rPr>
            <w:rStyle w:val="Hyperlink"/>
            <w:lang w:val="en-GB"/>
          </w:rPr>
          <w:t>f.a.holman@lumc.nl</w:t>
        </w:r>
      </w:hyperlink>
      <w:r>
        <w:t>)</w:t>
      </w:r>
    </w:p>
    <w:p w14:paraId="0080302F" w14:textId="52698FB9" w:rsidR="00454A97" w:rsidRDefault="00454A97" w:rsidP="007B4720">
      <w:pPr>
        <w:rPr>
          <w:color w:val="000000"/>
          <w:lang w:val="en-GB"/>
        </w:rPr>
      </w:pPr>
    </w:p>
    <w:p w14:paraId="331F0624" w14:textId="31C76FE3" w:rsidR="00121A97" w:rsidRDefault="00121A97" w:rsidP="00121A97">
      <w:pPr>
        <w:rPr>
          <w:lang w:val="en-GB"/>
        </w:rPr>
      </w:pPr>
      <w:r>
        <w:rPr>
          <w:lang w:val="en-GB"/>
        </w:rPr>
        <w:t xml:space="preserve">*Corresponding author: </w:t>
      </w:r>
    </w:p>
    <w:p w14:paraId="50C8C779" w14:textId="0CE45DC2" w:rsidR="00121A97" w:rsidRDefault="00121A97" w:rsidP="00121A97">
      <w:pPr>
        <w:rPr>
          <w:lang w:val="en-GB"/>
        </w:rPr>
      </w:pPr>
      <w:r>
        <w:rPr>
          <w:lang w:val="en-GB"/>
        </w:rPr>
        <w:t xml:space="preserve">Cedric MW Pesch </w:t>
        <w:tab/>
        <w:tab/>
        <w:t>(</w:t>
      </w:r>
      <w:hyperlink r:id="rId14" w:history="1">
        <w:r>
          <w:rPr>
            <w:rStyle w:val="Hyperlink"/>
            <w:lang w:val="en-GB"/>
          </w:rPr>
          <w:t>c.m.w.pesch@lumc.nl</w:t>
        </w:r>
      </w:hyperlink>
      <w:r>
        <w:rPr>
          <w:lang w:val="en-GB"/>
        </w:rPr>
        <w:t>)</w:t>
      </w:r>
    </w:p>
    <w:p w14:paraId="6CA94369" w14:textId="77777777" w:rsidR="00121A97" w:rsidRPr="007B4720" w:rsidRDefault="00121A97" w:rsidP="007B4720">
      <w:pPr>
        <w:rPr>
          <w:color w:val="000000"/>
          <w:lang w:val="en-GB"/>
        </w:rPr>
      </w:pPr>
    </w:p>
    <w:p w14:paraId="65603E80" w14:textId="77777777" w:rsidR="00B8099C" w:rsidRPr="007B4720" w:rsidRDefault="004B7137" w:rsidP="007B4720">
      <w:pPr>
        <w:pStyle w:val="Heading2"/>
      </w:pPr>
      <w:r>
        <w:t xml:space="preserve">SUMMARY: </w:t>
      </w:r>
    </w:p>
    <w:p w14:paraId="1531BDE5" w14:textId="2326D313" w:rsidR="00B8099C" w:rsidRPr="007B4720" w:rsidRDefault="004B7137" w:rsidP="007B4720">
      <w:pPr>
        <w:rPr>
          <w:lang w:val="en-GB"/>
        </w:rPr>
      </w:pPr>
      <w:r>
        <w:rPr>
          <w:lang w:val="en-GB"/>
        </w:rPr>
        <w:t xml:space="preserve">Neoadjuvant chemo(radio) therapy-induced fibrosis, obesity, and adhesions may impair ureter visualization during abdominopelvic surgery. This case demonstrates intraoperative use of nizaracianine triflutate (ZW800-1), a near-infrared (NIR) fluorophore, enabling real-time ureter identification. In a complicated diverticulitis patient undergoing robotic sigmoidectomy, its use improved ureter visualization and reduced iatrogenic injury risk.</w:t>
      </w:r>
    </w:p>
    <w:p w14:paraId="2303634C" w14:textId="304EA74D" w:rsidR="00454A97" w:rsidRPr="007B4720" w:rsidRDefault="00454A97" w:rsidP="007B4720">
      <w:pPr>
        <w:rPr>
          <w:lang w:val="en-GB"/>
        </w:rPr>
      </w:pPr>
    </w:p>
    <w:p w14:paraId="35EFA523" w14:textId="77777777" w:rsidR="00B8099C" w:rsidRPr="007B4720" w:rsidRDefault="004B7137" w:rsidP="007B4720">
      <w:pPr>
        <w:pStyle w:val="Heading2"/>
      </w:pPr>
      <w:r>
        <w:t xml:space="preserve">ABSTRACT: </w:t>
      </w:r>
    </w:p>
    <w:p w14:paraId="0E9EF4E4" w14:textId="0CD032A3" w:rsidR="00B8099C" w:rsidRPr="007B4720" w:rsidRDefault="004B7137" w:rsidP="007B4720">
      <w:pPr>
        <w:rPr>
          <w:lang w:val="en-GB"/>
        </w:rPr>
      </w:pPr>
      <w:r>
        <w:rPr>
          <w:lang w:val="en-GB"/>
        </w:rPr>
        <w:t xml:space="preserve">Factors such as neoadjuvant therapy-induced fibrosis, elevated body mass index (BMI ≥ 30), and adhesions from prior surgery or complicated diverticulitis may hinder ureteric visualisation, thereby increasing the risk of ureteric injury. This article demonstrates the use of nizaracianine triflutate (ZW800-1) for intraoperative ureter identification during abdominopelvic surgery. Nizaracianine is a renally excreted fluorophore that provides sensitive and specific NIR fluorescence imaging of the ureters and bladder in real-time intraoperatively. This report presents the case of a 60-year-old patient admitted to the Leiden University Medical Center in September 2025 for perforated diverticulitis. CT imaging revealed a sigmoid perforation secondary to diverticulitis with extensive paracolic infiltration, causing the left ureter to medialize into the infiltrate. Following prompt recovery with intravenous antibiotic therapy, the patient underwent a colonoscopy to exclude malignancy and identify possible fistulas. Extensive diverticular disease of the sigmoid colon with fistula formation was confirmed, and a robotic sigmoidectomy was scheduled. Since the left ureter was involved in the paracolic infiltrate, the </w:t>
        <w:lastRenderedPageBreak/>
        <w:t xml:space="preserve">patient was informed about and enrolled in the TRIPHASE trial (ClinicalTrials.gov ID: NCT06101745; EU Clinical Trials number: 2023-503241-63-00), an international randomised, semi-blinded phase II/III study evaluating the safety, optimal dosing, and efficacy of nizaracianine in abdominopelvic surgery. The procedure was well tolerated, and the sigmoid colon was successfully resected. Nizaracianine was detected throughout the entire surgery using the </w:t>
      </w:r>
      <w:r>
        <w:t>near-infrared fluorescence imaging mode of a robotic surgical system</w:t>
      </w:r>
      <w:r>
        <w:rPr>
          <w:lang w:val="en-GB"/>
        </w:rPr>
        <w:t xml:space="preserve">, facilitating improved ureteric identification, reduced dissection, and decreased risk of iatrogenic injury. Sadly, on postoperative day four, the patient developed a perforated diverticulum in the remaining descending colon, necessitating a left-sided hemicolectomy. Despite placement of a drain in the left paracolic gutter, a subsequent left upper quadrant abscess developed, which was successfully managed with echo-guided percutaneous drainage. The patient was discharged with antibiotic treatment, and further recovery was uneventful.</w:t>
      </w:r>
    </w:p>
    <w:p w14:paraId="2D5A3727" w14:textId="098D9C90" w:rsidR="00B8099C" w:rsidRPr="007B4720" w:rsidRDefault="00B8099C" w:rsidP="007B4720">
      <w:pPr>
        <w:rPr>
          <w:lang w:val="en-GB"/>
        </w:rPr>
      </w:pPr>
    </w:p>
    <w:p w14:paraId="00D19E11" w14:textId="77777777" w:rsidR="00B8099C" w:rsidRPr="007B4720" w:rsidRDefault="004B7137" w:rsidP="007B4720">
      <w:pPr>
        <w:pStyle w:val="Heading2"/>
      </w:pPr>
      <w:r>
        <w:t xml:space="preserve">INTRODUCTION: </w:t>
      </w:r>
    </w:p>
    <w:p w14:paraId="6064C805" w14:textId="15021A14" w:rsidR="00B8099C" w:rsidRPr="007B4720" w:rsidRDefault="004B7137" w:rsidP="007B4720">
      <w:pPr>
        <w:rPr>
          <w:lang w:val="en-GB"/>
        </w:rPr>
      </w:pPr>
      <w:r>
        <w:rPr>
          <w:lang w:val="en-GB"/>
        </w:rPr>
        <w:t xml:space="preserve">Limited visual contrast between anatomical structures frequently complicates surgery. Anatomical landmarks can be obscured by connective, fatty, or fibrotic tissue, hampering visualisation. This challenge is exacerbated in conditions such as complicated diverticulitis, elevated body mass index (BMI ≥ 30), or patients who have received prior oncological or surgical treatments.</w:t>
      </w:r>
    </w:p>
    <w:p w14:paraId="155A4747" w14:textId="77777777" w:rsidR="00B8099C" w:rsidRPr="007B4720" w:rsidRDefault="00B8099C" w:rsidP="007B4720">
      <w:pPr>
        <w:rPr>
          <w:lang w:val="en-GB"/>
        </w:rPr>
      </w:pPr>
    </w:p>
    <w:p w14:paraId="436D3201" w14:textId="328F0AC1" w:rsidR="00B8099C" w:rsidRPr="007B4720" w:rsidRDefault="004B7137" w:rsidP="007B4720">
      <w:pPr>
        <w:rPr>
          <w:vertAlign w:val="superscript"/>
          <w:lang w:val="en-GB"/>
        </w:rPr>
      </w:pPr>
      <w:r>
        <w:rPr>
          <w:lang w:val="en-GB"/>
        </w:rPr>
        <w:t>Ureteric identification remains a major unresolved challenge in surgical imaging. Iatrogenic ureteric injury is a serious complication of abdominopelvic and retroperitoneal surgery, with reported rates of up to 30% in certain gynaecological procedures</w:t>
      </w:r>
      <w:r>
        <w:rPr>
          <w:vertAlign w:val="superscript"/>
          <w:lang w:val="en-GB"/>
        </w:rPr>
        <w:t>1</w:t>
      </w:r>
      <w:r>
        <w:rPr>
          <w:lang w:val="en-GB"/>
        </w:rPr>
        <w:t xml:space="preserve">. Such injuries are associated with substantial morbidity and significant healthcare costs</w:t>
      </w:r>
      <w:r>
        <w:rPr>
          <w:vertAlign w:val="superscript"/>
          <w:lang w:val="en-GB"/>
        </w:rPr>
        <w:t>2</w:t>
      </w:r>
      <w:r>
        <w:rPr>
          <w:lang w:val="en-GB"/>
        </w:rPr>
        <w:t xml:space="preserve">. Current preventive strategies, including ureteric stenting or meticulous dissection, are either invasive or time-consuming. Despite these measures, more than half of ureteric injuries are only recognised postoperatively, often after the onset of severe clinical symptoms</w:t>
      </w:r>
      <w:r>
        <w:rPr>
          <w:vertAlign w:val="superscript"/>
          <w:lang w:val="en-GB"/>
        </w:rPr>
        <w:t>3,4</w:t>
      </w:r>
      <w:r>
        <w:rPr>
          <w:lang w:val="en-GB"/>
        </w:rPr>
        <w:t>.</w:t>
      </w:r>
    </w:p>
    <w:p w14:paraId="4F242794" w14:textId="77777777" w:rsidR="00B8099C" w:rsidRPr="007B4720" w:rsidRDefault="00B8099C" w:rsidP="007B4720">
      <w:pPr>
        <w:rPr>
          <w:lang w:val="en-GB"/>
        </w:rPr>
      </w:pPr>
    </w:p>
    <w:p w14:paraId="390F4317" w14:textId="6E723F35" w:rsidR="00B8099C" w:rsidRPr="007B4720" w:rsidRDefault="004B7137" w:rsidP="007B4720">
      <w:pPr>
        <w:rPr>
          <w:vertAlign w:val="superscript"/>
          <w:lang w:val="en-GB"/>
        </w:rPr>
      </w:pPr>
      <w:r>
        <w:rPr>
          <w:lang w:val="en-GB"/>
        </w:rPr>
        <w:t>Ureteric injury disproportionately affects women, owing not only to gynaecological procedures but also to an apparent increased susceptibility during colorectal surgery</w:t>
      </w:r>
      <w:r>
        <w:rPr>
          <w:vertAlign w:val="superscript"/>
          <w:lang w:val="en-GB"/>
        </w:rPr>
        <w:t>5–7</w:t>
      </w:r>
      <w:r>
        <w:rPr>
          <w:lang w:val="en-GB"/>
        </w:rPr>
        <w:t xml:space="preserve">. Additional risk factors include surgeon inexperience and procedures performed in teaching hospitals. The absence of a safe, real-time imaging modality for ureteric identification may therefore contribute to disparities in surgical outcomes</w:t>
      </w:r>
      <w:r>
        <w:rPr>
          <w:vertAlign w:val="superscript"/>
          <w:lang w:val="en-GB"/>
        </w:rPr>
        <w:t>8,9</w:t>
      </w:r>
      <w:r>
        <w:rPr>
          <w:lang w:val="en-GB"/>
        </w:rPr>
        <w:t>.</w:t>
      </w:r>
    </w:p>
    <w:p w14:paraId="198D9988" w14:textId="77777777" w:rsidR="00B8099C" w:rsidRPr="007B4720" w:rsidRDefault="00B8099C" w:rsidP="007B4720">
      <w:pPr>
        <w:rPr>
          <w:lang w:val="en-GB"/>
        </w:rPr>
      </w:pPr>
    </w:p>
    <w:p w14:paraId="6847B784" w14:textId="36A5C664" w:rsidR="00B8099C" w:rsidRPr="007B4720" w:rsidRDefault="004B7137" w:rsidP="007B4720">
      <w:pPr>
        <w:rPr>
          <w:lang w:val="en-GB"/>
        </w:rPr>
      </w:pPr>
      <w:r>
        <w:rPr>
          <w:lang w:val="en-GB"/>
        </w:rPr>
        <w:t>Enhanced visualisation of the ureters could offer significant clinical benefit, including earlier identification, continuous intraoperative mapping, reduced need for extensive dissection, shorter operative times, and decreased risk of iatrogenic injury</w:t>
      </w:r>
      <w:r>
        <w:rPr>
          <w:vertAlign w:val="superscript"/>
          <w:lang w:val="en-GB"/>
        </w:rPr>
        <w:t>10,11</w:t>
      </w:r>
      <w:r>
        <w:rPr>
          <w:lang w:val="en-GB"/>
        </w:rPr>
        <w:t>. Furthermore, real-time visualisation would facilitate immediate detection and repair of intraoperative damage.</w:t>
      </w:r>
    </w:p>
    <w:p w14:paraId="22583D3D" w14:textId="77777777" w:rsidR="00B8099C" w:rsidRPr="007B4720" w:rsidRDefault="00B8099C" w:rsidP="007B4720">
      <w:pPr>
        <w:rPr>
          <w:lang w:val="en-GB"/>
        </w:rPr>
      </w:pPr>
    </w:p>
    <w:p w14:paraId="2E32116C" w14:textId="7BB791AE" w:rsidR="00B8099C" w:rsidRPr="007B4720" w:rsidRDefault="004B7137" w:rsidP="007B4720">
      <w:pPr>
        <w:rPr>
          <w:lang w:val="en-GB"/>
        </w:rPr>
      </w:pPr>
      <w:r>
        <w:rPr>
          <w:lang w:val="en-GB"/>
        </w:rPr>
        <w:t>Near-infrared (NIR) fluorescence imaging enables real-time visualisation of anatomical structures, with tissue penetration of up to 10 mm</w:t>
      </w:r>
      <w:r>
        <w:rPr>
          <w:vertAlign w:val="superscript"/>
          <w:lang w:val="en-GB"/>
        </w:rPr>
        <w:t>12</w:t>
      </w:r>
      <w:r>
        <w:rPr>
          <w:lang w:val="en-GB"/>
        </w:rPr>
        <w:t xml:space="preserve">. Conventional fluorophores such as indocyanine green (ICG) are widely used and implemented as standard care</w:t>
      </w:r>
      <w:r>
        <w:rPr>
          <w:vertAlign w:val="superscript"/>
          <w:lang w:val="en-GB"/>
        </w:rPr>
        <w:t>13.</w:t>
      </w:r>
      <w:r>
        <w:rPr>
          <w:lang w:val="en-GB"/>
        </w:rPr>
        <w:t xml:space="preserve"> However, their rapid hepatic clearance (half-life approximately 3 min) limits prolonged imaging. In addition, biliary excretion may reduce the ability to distinguish the ureters from surrounding bowel </w:t>
        <w:lastRenderedPageBreak/>
        <w:t>structures.</w:t>
      </w:r>
    </w:p>
    <w:p w14:paraId="51D321EB" w14:textId="77777777" w:rsidR="00B8099C" w:rsidRPr="007B4720" w:rsidRDefault="00B8099C" w:rsidP="007B4720">
      <w:pPr>
        <w:rPr>
          <w:lang w:val="en-GB"/>
        </w:rPr>
      </w:pPr>
    </w:p>
    <w:p w14:paraId="42D88031" w14:textId="34B606D0" w:rsidR="00E626C2" w:rsidRPr="007B4720" w:rsidRDefault="004B7137" w:rsidP="007B4720">
      <w:pPr>
        <w:rPr>
          <w:lang w:val="en-GB"/>
        </w:rPr>
      </w:pPr>
      <w:r>
        <w:rPr>
          <w:lang w:val="en-GB"/>
        </w:rPr>
        <w:t xml:space="preserve">Nizaracianine triflutate (ZW800-1), a novel zwitterionic NIR fluorophore, has been developed to overcome these limitations. Following intravenous administration, it distributes within the intravascular and extracellular compartments and is freely filtered by the kidneys. Nizaracianine produces bright fluorescence of urine, enabling enhanced visualisation of the genitourinary tract, including the kidneys, ureters, bladder, and urethra, throughout surgery</w:t>
      </w:r>
      <w:r>
        <w:rPr>
          <w:vertAlign w:val="superscript"/>
          <w:lang w:val="en-GB"/>
        </w:rPr>
        <w:t>14,15</w:t>
      </w:r>
      <w:r>
        <w:rPr>
          <w:lang w:val="en-GB"/>
        </w:rPr>
        <w:t xml:space="preserve">. </w:t>
      </w:r>
    </w:p>
    <w:p w14:paraId="289BD4DF" w14:textId="77777777" w:rsidR="00E626C2" w:rsidRPr="007B4720" w:rsidRDefault="00E626C2" w:rsidP="007B4720">
      <w:pPr>
        <w:rPr>
          <w:lang w:val="en-GB"/>
        </w:rPr>
      </w:pPr>
    </w:p>
    <w:p w14:paraId="7004DB6D" w14:textId="61E4F132" w:rsidR="00B8099C" w:rsidRPr="007B4720" w:rsidRDefault="004B7137" w:rsidP="007B4720">
      <w:pPr>
        <w:rPr>
          <w:lang w:val="en-GB"/>
        </w:rPr>
      </w:pPr>
      <w:r>
        <w:rPr>
          <w:lang w:val="en-GB"/>
        </w:rPr>
        <w:t xml:space="preserve">Its neutral charge confers high aqueous solubility and predominant renal clearance. Pharmacokinetic studies demonstrate approximately 65% cumulative renal clearance, with minor non-renal pathways. Nizaracianine exhibits favourable optical properties, with peak excitation and emission at 768 nm and 788 nm, respectively. Nizaracianine can achieve a signal-to-background ratio (SBR) exceeding the commonly accepted threshold of 1.5 </w:t>
      </w:r>
      <w:r>
        <w:rPr>
          <w:i/>
          <w:iCs/>
          <w:lang w:val="en-GB"/>
        </w:rPr>
        <w:t xml:space="preserve">in vivo </w:t>
      </w:r>
      <w:r>
        <w:rPr>
          <w:lang w:val="en-GB"/>
        </w:rPr>
        <w:t xml:space="preserve">when used to identify ureters up to </w:t>
      </w:r>
      <w:r>
        <w:t xml:space="preserve">several millimeters, depending on tissue density</w:t>
      </w:r>
      <w:r>
        <w:rPr>
          <w:vertAlign w:val="superscript"/>
          <w:lang w:val="en-GB"/>
        </w:rPr>
        <w:t>14,15</w:t>
      </w:r>
      <w:r>
        <w:t>.</w:t>
      </w:r>
      <w:r>
        <w:rPr>
          <w:lang w:val="en-GB"/>
        </w:rPr>
        <w:t xml:space="preserve"> Urine production and subsequent ureteral peristalsis are required to achieve the optimal diagnostic effect of nizaracianine.  </w:t>
      </w:r>
    </w:p>
    <w:p w14:paraId="33FF5677" w14:textId="77777777" w:rsidR="00B8099C" w:rsidRPr="007B4720" w:rsidRDefault="00B8099C" w:rsidP="007B4720">
      <w:pPr>
        <w:rPr>
          <w:b/>
          <w:lang w:val="en-GB"/>
        </w:rPr>
      </w:pPr>
    </w:p>
    <w:p w14:paraId="452C0FD2" w14:textId="7CDFFE5D" w:rsidR="00B8099C" w:rsidRPr="00491312" w:rsidRDefault="004B7137" w:rsidP="007B4720">
      <w:pPr>
        <w:pStyle w:val="Heading3"/>
        <w:spacing w:before="0"/>
        <w:rPr>
          <w:rFonts w:ascii="Calibri" w:hAnsi="Calibri" w:cs="Calibri"/>
          <w:color w:val="auto"/>
        </w:rPr>
      </w:pPr>
      <w:r>
        <w:rPr>
          <w:rFonts w:ascii="Calibri" w:hAnsi="Calibri" w:cs="Calibri"/>
          <w:color w:val="auto"/>
        </w:rPr>
        <w:t xml:space="preserve">Case presentation: </w:t>
      </w:r>
    </w:p>
    <w:p w14:paraId="70C9FF25" w14:textId="44CAD9E1" w:rsidR="00510644" w:rsidRPr="007B4720" w:rsidRDefault="004B7137" w:rsidP="007B4720">
      <w:pPr>
        <w:rPr>
          <w:lang w:val="en-GB"/>
        </w:rPr>
      </w:pPr>
      <w:r>
        <w:rPr>
          <w:lang w:val="en-GB"/>
        </w:rPr>
        <w:t xml:space="preserve">This video case report demonstrates the use of nizaracianine in a complex presentation of diverticulitis. This case describes a 60-year-old patient admitted in September 2025 with perforated diverticulitis. The patient’s medical history included hypertension, cholecystectomy (2010), gastroesophageal reflux disease (2017), and a prior episode of uncomplicated diverticulitis earlier in 2025 (</w:t>
      </w:r>
      <w:r>
        <w:rPr>
          <w:b/>
          <w:bCs/>
          <w:lang w:val="en-GB"/>
        </w:rPr>
        <w:t>Table 1</w:t>
      </w:r>
      <w:r>
        <w:rPr>
          <w:lang w:val="en-GB"/>
        </w:rPr>
        <w:t xml:space="preserve">). The patient initially presented to the emergency department of the LUMC with progressively worsening left lower quadrant abdominal pain following antibiotic treatment for uncomplicated diverticulitis diagnosed at another hospital.</w:t>
      </w:r>
    </w:p>
    <w:p w14:paraId="7F57331E" w14:textId="77777777" w:rsidR="00FB06E4" w:rsidRPr="001F6DD3" w:rsidRDefault="00FB06E4" w:rsidP="007B4720">
      <w:pPr>
        <w:rPr>
          <w:lang w:val="en-GB"/>
        </w:rPr>
      </w:pPr>
    </w:p>
    <w:p w14:paraId="11CDE9F7" w14:textId="44E90729" w:rsidR="00510644" w:rsidRPr="001F6DD3" w:rsidRDefault="004B7137" w:rsidP="007B4720">
      <w:pPr>
        <w:pStyle w:val="Heading3"/>
        <w:spacing w:before="0"/>
        <w:rPr>
          <w:rFonts w:ascii="Calibri" w:hAnsi="Calibri" w:cs="Calibri"/>
          <w:color w:val="auto"/>
          <w:lang w:val="en-GB"/>
        </w:rPr>
      </w:pPr>
      <w:r>
        <w:rPr>
          <w:rFonts w:ascii="Calibri" w:hAnsi="Calibri" w:cs="Calibri"/>
          <w:color w:val="auto"/>
          <w:lang w:val="en-GB"/>
        </w:rPr>
        <w:t xml:space="preserve">Diagnosis, assessment, and plan:</w:t>
      </w:r>
    </w:p>
    <w:p w14:paraId="733E187D" w14:textId="729D1D4D" w:rsidR="00524DB5" w:rsidRPr="007B4720" w:rsidRDefault="004B7137" w:rsidP="007B4720">
      <w:pPr>
        <w:rPr>
          <w:lang w:val="en-GB"/>
        </w:rPr>
      </w:pPr>
      <w:r>
        <w:rPr>
          <w:lang w:val="en-GB"/>
        </w:rPr>
        <w:t xml:space="preserve">Computed tomography (CT) demonstrated a sigmoid perforation with extensive paracolic inflammatory infiltration, resulting in medialization of the left ureter into the inflammatory mass (</w:t>
      </w:r>
      <w:r>
        <w:rPr>
          <w:b/>
          <w:bCs/>
          <w:lang w:val="en-GB"/>
        </w:rPr>
        <w:t>Figure 1</w:t>
      </w:r>
      <w:r>
        <w:rPr>
          <w:lang w:val="en-GB"/>
        </w:rPr>
        <w:t xml:space="preserve">). The patient was admitted and initiated on intravenous cefazolin and metronidazole. Following clinical improvement, a colonoscopy was performed to exclude malignancy and evaluate for fistulae. This revealed extensive sigmoid diverticular disease with fistula formation. Consequently, a robotic sigmoidectomy was planned to reduce the risk of future disease recurrence.</w:t>
      </w:r>
    </w:p>
    <w:p w14:paraId="1445D59E" w14:textId="77777777" w:rsidR="00FB06E4" w:rsidRPr="007B4720" w:rsidRDefault="00FB06E4" w:rsidP="007B4720">
      <w:pPr>
        <w:rPr>
          <w:lang w:val="en-GB"/>
        </w:rPr>
      </w:pPr>
    </w:p>
    <w:p w14:paraId="5A0AE5F3" w14:textId="35156F7F" w:rsidR="00510644" w:rsidRPr="007B4720" w:rsidRDefault="004B7137" w:rsidP="007B4720">
      <w:pPr>
        <w:rPr>
          <w:lang w:val="en-GB"/>
        </w:rPr>
      </w:pPr>
      <w:r>
        <w:rPr>
          <w:lang w:val="en-GB"/>
        </w:rPr>
        <w:t xml:space="preserve">Given involvement of the left ureter within the inflammatory infiltrate, the patient was enrolled in the TRIPHASE Trial (ClinicalTrials.gov identifier NCT06101745; </w:t>
      </w:r>
      <w:r>
        <w:t>EU Clinical Trials number</w:t>
      </w:r>
      <w:r>
        <w:rPr>
          <w:lang w:val="en-GB"/>
        </w:rPr>
        <w:t xml:space="preserve"> 2023-503241-63-00), an international randomised, semi-blinded phase II/III study evaluating the safety, optimal dosing, and efficacy of nizaracianine in abdominopelvic surgery. </w:t>
      </w:r>
    </w:p>
    <w:p w14:paraId="20BA917C" w14:textId="77777777" w:rsidR="00454A97" w:rsidRPr="007B4720" w:rsidRDefault="00454A97" w:rsidP="007B4720">
      <w:pPr>
        <w:rPr>
          <w:b/>
        </w:rPr>
      </w:pPr>
    </w:p>
    <w:p w14:paraId="306BF466" w14:textId="55F36D7A" w:rsidR="00454A97" w:rsidRPr="007B4720" w:rsidRDefault="004B7137" w:rsidP="007B4720">
      <w:pPr>
        <w:pStyle w:val="Heading2"/>
        <w:rPr>
          <w:color w:val="7F7F7F"/>
        </w:rPr>
      </w:pPr>
      <w:r>
        <w:t xml:space="preserve">PROTOCOL: </w:t>
      </w:r>
    </w:p>
    <w:p w14:paraId="394B54D4" w14:textId="332C4F20" w:rsidR="00B328D1" w:rsidRDefault="004B7137" w:rsidP="000875C1">
      <w:pPr>
        <w:rPr>
          <w:lang w:val="en-GB"/>
        </w:rPr>
      </w:pPr>
      <w:r>
        <w:rPr>
          <w:lang w:val="en-GB"/>
        </w:rPr>
        <w:t xml:space="preserve">The TRIPHASE Trial is a multi-centre, international, sequential, combined phase II-III, randomized, controlled, and single-blinded clinical trial focusing on patients undergoing abdominopelvic surgery who require identification of at least one ureter intraoperatively. The TRIPHASE Trial was </w:t>
        <w:lastRenderedPageBreak/>
        <w:t xml:space="preserve">approved by a certified medical ethical review board (BEBO, Assen, Netherlands) and conducted according to the Declaration of Helsinki guidelines of 1975 (as amended in Tokyo, Venice, Hong Kong, Somerset West, Edinburgh, Washington, and Seoul), ICH-GCP guidelines, and the laws and regulations of the Netherlands. The study has been registered and approved by the FDA and EMA on November 23</w:t>
      </w:r>
      <w:r>
        <w:rPr>
          <w:vertAlign w:val="superscript"/>
          <w:lang w:val="en-GB"/>
        </w:rPr>
        <w:t>rd,</w:t>
      </w:r>
      <w:r>
        <w:rPr>
          <w:lang w:val="en-GB"/>
        </w:rPr>
        <w:t xml:space="preserve"> 2023 (IND number 149616 and EU CT number 2023-503241-63-00). All subjects signed informed consent forms before any study activity took place, after receiving 48 h to review the informed consent form. The reagents and the equipment used are listed in the </w:t>
      </w:r>
      <w:r>
        <w:rPr>
          <w:b/>
          <w:bCs/>
          <w:lang w:val="en-GB"/>
        </w:rPr>
        <w:t>Table of Materials</w:t>
      </w:r>
      <w:r>
        <w:rPr>
          <w:lang w:val="en-GB"/>
        </w:rPr>
        <w:t>.</w:t>
      </w:r>
    </w:p>
    <w:p w14:paraId="22F0BB6F" w14:textId="77777777" w:rsidR="001131D1" w:rsidRPr="00A65AD9" w:rsidRDefault="001131D1" w:rsidP="000875C1">
      <w:pPr>
        <w:rPr>
          <w:lang w:val="en-GB"/>
        </w:rPr>
      </w:pPr>
    </w:p>
    <w:p w14:paraId="01138D66" w14:textId="77777777" w:rsidR="00D55590" w:rsidRDefault="00D55590" w:rsidP="007B4720">
      <w:pPr>
        <w:pStyle w:val="Heading3"/>
        <w:numPr>
          <w:ilvl w:val="0"/>
          <w:numId w:val="35"/>
        </w:numPr>
        <w:spacing w:before="0"/>
        <w:ind w:left="0" w:firstLine="0"/>
        <w:rPr>
          <w:rFonts w:ascii="Calibri" w:hAnsi="Calibri" w:cs="Calibri"/>
          <w:color w:val="auto"/>
          <w:lang w:val="en-GB"/>
        </w:rPr>
      </w:pPr>
      <w:r>
        <w:rPr>
          <w:rFonts w:ascii="Calibri" w:hAnsi="Calibri" w:cs="Calibri"/>
          <w:color w:val="auto"/>
          <w:lang w:val="en-GB"/>
        </w:rPr>
        <w:t>Study phase designs</w:t>
      </w:r>
    </w:p>
    <w:p w14:paraId="289720D6" w14:textId="77777777" w:rsidR="00BD358A" w:rsidRPr="00BD358A" w:rsidRDefault="00BD358A" w:rsidP="00BD358A">
      <w:pPr>
        <w:rPr>
          <w:lang w:val="en-GB"/>
        </w:rPr>
      </w:pPr>
    </w:p>
    <w:p w14:paraId="1ED15F23" w14:textId="77777777" w:rsidR="00BD358A" w:rsidRDefault="00D55590"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Phase II investigated the near-optimal dose of nizaracianine (1.0 mg or 2.5 mg) and its safety across a broad range of abdominopelvic procedures lasting at least 180 min. In total, two cohorts of twelve patients were enrolled, requiring dissection, mobilization, or identification of one or both ureters. Nizaracianine was administered in three divided doses at fixed 1-h intervals. </w:t>
      </w:r>
    </w:p>
    <w:p w14:paraId="14A4C02C" w14:textId="77777777" w:rsidR="00BD358A" w:rsidRDefault="00BD358A" w:rsidP="00BD358A">
      <w:pPr>
        <w:pStyle w:val="ListParagraph"/>
        <w:spacing w:after="0" w:line="240" w:lineRule="auto"/>
        <w:ind w:left="0"/>
        <w:jc w:val="both"/>
        <w:rPr>
          <w:rFonts w:ascii="Calibri" w:hAnsi="Calibri" w:cs="Calibri"/>
          <w:sz w:val="24"/>
          <w:szCs w:val="24"/>
          <w:lang w:val="en-GB"/>
        </w:rPr>
      </w:pPr>
    </w:p>
    <w:p w14:paraId="4BC53BEF" w14:textId="77777777" w:rsidR="00886B6A" w:rsidRDefault="00BD358A" w:rsidP="00BD358A">
      <w:pPr>
        <w:pStyle w:val="ListParagraph"/>
        <w:spacing w:after="0" w:line="240" w:lineRule="auto"/>
        <w:ind w:left="0"/>
        <w:jc w:val="both"/>
        <w:rPr>
          <w:rFonts w:ascii="Calibri" w:hAnsi="Calibri" w:cs="Calibri"/>
          <w:sz w:val="24"/>
          <w:szCs w:val="24"/>
          <w:lang w:val="en-GB"/>
        </w:rPr>
      </w:pPr>
      <w:r>
        <w:rPr>
          <w:rFonts w:ascii="Calibri" w:hAnsi="Calibri" w:cs="Calibri"/>
          <w:sz w:val="24"/>
          <w:szCs w:val="24"/>
          <w:lang w:val="en-GB"/>
        </w:rPr>
        <w:t xml:space="preserve">1.1.1 Surgeons were blinded to the dose cohort. Nizaracianine dose one was administered as an intravenous bolus at the first incision or trocar placement. Imaging assessments (“first look”), including those performed before and after retroperitoneal fascia dissection (where applicable), occurred after the first dose administration. </w:t>
      </w:r>
    </w:p>
    <w:p w14:paraId="4C79C5AD" w14:textId="77777777" w:rsidR="00886B6A" w:rsidRDefault="00886B6A" w:rsidP="00BD358A">
      <w:pPr>
        <w:pStyle w:val="ListParagraph"/>
        <w:spacing w:after="0" w:line="240" w:lineRule="auto"/>
        <w:ind w:left="0"/>
        <w:jc w:val="both"/>
        <w:rPr>
          <w:rFonts w:ascii="Calibri" w:hAnsi="Calibri" w:cs="Calibri"/>
          <w:sz w:val="24"/>
          <w:szCs w:val="24"/>
          <w:lang w:val="en-GB"/>
        </w:rPr>
      </w:pPr>
    </w:p>
    <w:p w14:paraId="6624439D" w14:textId="40A5740B" w:rsidR="00D55590" w:rsidRPr="00A65AD9" w:rsidRDefault="00886B6A" w:rsidP="00BD358A">
      <w:pPr>
        <w:pStyle w:val="ListParagraph"/>
        <w:spacing w:after="0" w:line="240" w:lineRule="auto"/>
        <w:ind w:left="0"/>
        <w:jc w:val="both"/>
        <w:rPr>
          <w:rFonts w:ascii="Calibri" w:hAnsi="Calibri" w:cs="Calibri"/>
          <w:sz w:val="24"/>
          <w:szCs w:val="24"/>
          <w:lang w:val="en-GB"/>
        </w:rPr>
      </w:pPr>
      <w:r>
        <w:rPr>
          <w:rFonts w:ascii="Calibri" w:hAnsi="Calibri" w:cs="Calibri"/>
          <w:sz w:val="24"/>
          <w:szCs w:val="24"/>
          <w:lang w:val="en-GB"/>
        </w:rPr>
        <w:t xml:space="preserve">1.1.2 Ureteric visualisation was documented at intervals throughout the procedure using both imaging modalities. Anatomical confirmation of ureter location, achieved through surgical dissection or mobilisation, serves as the reference standard.</w:t>
      </w:r>
    </w:p>
    <w:p w14:paraId="70DEB84E" w14:textId="77777777" w:rsidR="00C51EE9" w:rsidRPr="00A65AD9" w:rsidRDefault="00C51EE9" w:rsidP="007B4720">
      <w:pPr>
        <w:pStyle w:val="ListParagraph"/>
        <w:spacing w:after="0" w:line="240" w:lineRule="auto"/>
        <w:ind w:left="0"/>
        <w:jc w:val="both"/>
        <w:rPr>
          <w:rFonts w:ascii="Calibri" w:hAnsi="Calibri" w:cs="Calibri"/>
          <w:sz w:val="24"/>
          <w:szCs w:val="24"/>
          <w:lang w:val="en-GB"/>
        </w:rPr>
      </w:pPr>
    </w:p>
    <w:p w14:paraId="1842DBC5" w14:textId="07BBE2E4" w:rsidR="00D55590" w:rsidRDefault="00D55590"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Phase III employed the near-optimal dose identified in Phase II and is divided into parts A and B. In Phase III, repeat dosing of nizaracianine (up to three doses) is permitted at the surgeon’s discretion, with a minimum interval of 60 min between administrations. </w:t>
      </w:r>
    </w:p>
    <w:p w14:paraId="4C3E1B74" w14:textId="77777777" w:rsidR="00886B6A" w:rsidRPr="00A65AD9" w:rsidRDefault="00886B6A" w:rsidP="00886B6A">
      <w:pPr>
        <w:pStyle w:val="ListParagraph"/>
        <w:spacing w:after="0" w:line="240" w:lineRule="auto"/>
        <w:ind w:left="0"/>
        <w:jc w:val="both"/>
        <w:rPr>
          <w:rFonts w:ascii="Calibri" w:hAnsi="Calibri" w:cs="Calibri"/>
          <w:sz w:val="24"/>
          <w:szCs w:val="24"/>
          <w:lang w:val="en-GB"/>
        </w:rPr>
      </w:pPr>
    </w:p>
    <w:p w14:paraId="236D2EB6" w14:textId="17FDA7C9" w:rsidR="00886B6A" w:rsidRDefault="00D55590"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Phase IIIA was a randomised, placebo-controlled, semi-blinded study including patients undergoing abdominopelvic surgery of any duration, with a minimum proportion requiring ureteric dissection or skeletonization. Phase IIIA was designed to detect safety signals beyond those associated with the underlying procedures and to provide a direct comparison between nizaracianine and placebo in terms of clinical benefit. </w:t>
      </w:r>
    </w:p>
    <w:p w14:paraId="27923F45" w14:textId="77777777" w:rsidR="00886B6A" w:rsidRDefault="00886B6A" w:rsidP="00886B6A">
      <w:pPr>
        <w:pStyle w:val="ListParagraph"/>
        <w:spacing w:after="0" w:line="240" w:lineRule="auto"/>
        <w:ind w:left="0"/>
        <w:jc w:val="both"/>
        <w:rPr>
          <w:rFonts w:ascii="Calibri" w:hAnsi="Calibri" w:cs="Calibri"/>
          <w:sz w:val="24"/>
          <w:szCs w:val="24"/>
          <w:lang w:val="en-GB"/>
        </w:rPr>
      </w:pPr>
    </w:p>
    <w:p w14:paraId="69D9330F" w14:textId="50738455" w:rsidR="00E56EEA" w:rsidRDefault="00E56EEA" w:rsidP="00886B6A">
      <w:pPr>
        <w:pStyle w:val="ListParagraph"/>
        <w:spacing w:after="0" w:line="240" w:lineRule="auto"/>
        <w:ind w:left="0"/>
        <w:jc w:val="both"/>
        <w:rPr>
          <w:rFonts w:ascii="Calibri" w:hAnsi="Calibri" w:cs="Calibri"/>
          <w:sz w:val="24"/>
          <w:szCs w:val="24"/>
          <w:lang w:val="en-GB"/>
        </w:rPr>
      </w:pPr>
      <w:r>
        <w:rPr>
          <w:rFonts w:ascii="Calibri" w:hAnsi="Calibri" w:cs="Calibri"/>
          <w:sz w:val="24"/>
          <w:szCs w:val="24"/>
          <w:lang w:val="en-GB"/>
        </w:rPr>
        <w:t xml:space="preserve">1.2.1.1 Patients were stratified by reoperative or inflammatory bowel status, requirement for ureteric dissection, and body mass index. Patients are randomised 1:1 to receive either nizaracianine (treatment arm) or placebo (control arm), and then randomised to an imaging order. </w:t>
      </w:r>
    </w:p>
    <w:p w14:paraId="7C5A1F78" w14:textId="77777777" w:rsidR="00E56EEA" w:rsidRDefault="00E56EEA" w:rsidP="00886B6A">
      <w:pPr>
        <w:pStyle w:val="ListParagraph"/>
        <w:spacing w:after="0" w:line="240" w:lineRule="auto"/>
        <w:ind w:left="0"/>
        <w:jc w:val="both"/>
        <w:rPr>
          <w:rFonts w:ascii="Calibri" w:hAnsi="Calibri" w:cs="Calibri"/>
          <w:sz w:val="24"/>
          <w:szCs w:val="24"/>
          <w:lang w:val="en-GB"/>
        </w:rPr>
      </w:pPr>
    </w:p>
    <w:p w14:paraId="0F2953DB" w14:textId="4F671CD9" w:rsidR="00E56EEA" w:rsidRDefault="00E56EEA" w:rsidP="00886B6A">
      <w:pPr>
        <w:pStyle w:val="ListParagraph"/>
        <w:spacing w:after="0" w:line="240" w:lineRule="auto"/>
        <w:ind w:left="0"/>
        <w:jc w:val="both"/>
        <w:rPr>
          <w:rFonts w:ascii="Calibri" w:hAnsi="Calibri" w:cs="Calibri"/>
          <w:sz w:val="24"/>
          <w:szCs w:val="24"/>
          <w:lang w:val="en-GB"/>
        </w:rPr>
      </w:pPr>
      <w:r>
        <w:rPr>
          <w:rFonts w:ascii="Calibri" w:hAnsi="Calibri" w:cs="Calibri"/>
          <w:sz w:val="24"/>
          <w:szCs w:val="24"/>
          <w:lang w:val="en-GB"/>
        </w:rPr>
        <w:t xml:space="preserve">1.2.1.2 All subjects underwent both imaging modalities at all time points. Surgeons remained blinded to treatment allocation until at least the initial retroperitoneal assessment, after which allocation may become apparent. </w:t>
      </w:r>
    </w:p>
    <w:p w14:paraId="6CA999F2" w14:textId="77777777" w:rsidR="00E56EEA" w:rsidRDefault="00E56EEA" w:rsidP="00886B6A">
      <w:pPr>
        <w:pStyle w:val="ListParagraph"/>
        <w:spacing w:after="0" w:line="240" w:lineRule="auto"/>
        <w:ind w:left="0"/>
        <w:jc w:val="both"/>
        <w:rPr>
          <w:rFonts w:ascii="Calibri" w:hAnsi="Calibri" w:cs="Calibri"/>
          <w:sz w:val="24"/>
          <w:szCs w:val="24"/>
          <w:lang w:val="en-GB"/>
        </w:rPr>
      </w:pPr>
    </w:p>
    <w:p w14:paraId="57F5CB90" w14:textId="3784C3D9" w:rsidR="00D55590" w:rsidRDefault="00E56EEA" w:rsidP="00886B6A">
      <w:pPr>
        <w:pStyle w:val="ListParagraph"/>
        <w:spacing w:after="0" w:line="240" w:lineRule="auto"/>
        <w:ind w:left="0"/>
        <w:jc w:val="both"/>
        <w:rPr>
          <w:rFonts w:ascii="Calibri" w:hAnsi="Calibri" w:cs="Calibri"/>
          <w:sz w:val="24"/>
          <w:szCs w:val="24"/>
          <w:lang w:val="en-GB"/>
        </w:rPr>
      </w:pPr>
      <w:r>
        <w:rPr>
          <w:rFonts w:ascii="Calibri" w:hAnsi="Calibri" w:cs="Calibri"/>
          <w:sz w:val="24"/>
          <w:szCs w:val="24"/>
          <w:lang w:val="en-GB"/>
        </w:rPr>
        <w:lastRenderedPageBreak/>
        <w:t xml:space="preserve">1.2.1.3 Ureteric identification, integrity, and function were assessed at initial visualisation and throughout the procedure, including immediately prior to closure to detect occult iatrogenic injury. Anatomical identification during surgery provides the reference standard.</w:t>
      </w:r>
    </w:p>
    <w:p w14:paraId="34609CAC" w14:textId="77777777" w:rsidR="000E04EE" w:rsidRPr="00A65AD9" w:rsidRDefault="000E04EE" w:rsidP="00886B6A">
      <w:pPr>
        <w:pStyle w:val="ListParagraph"/>
        <w:spacing w:after="0" w:line="240" w:lineRule="auto"/>
        <w:ind w:left="0"/>
        <w:jc w:val="both"/>
        <w:rPr>
          <w:rFonts w:ascii="Calibri" w:hAnsi="Calibri" w:cs="Calibri"/>
          <w:sz w:val="24"/>
          <w:szCs w:val="24"/>
          <w:lang w:val="en-GB"/>
        </w:rPr>
      </w:pPr>
    </w:p>
    <w:p w14:paraId="6A80C900" w14:textId="37A87C0F" w:rsidR="003B3F63" w:rsidRDefault="00D55590"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Phase IIIB was a randomised, crossover, open-label confirmatory study with identical inclusion criteria and endpoints to those of Phase IIIA. Phase IIIB further investigated the efficacy and safety of the near-optimal dose of nizaracianine in a large volume of patients. All participants receive only nizaracianine and are, again, randomised to imaging order. Anatomical confirmation of ureteric identification again serves as the reference standard.</w:t>
      </w:r>
    </w:p>
    <w:p w14:paraId="50481557" w14:textId="77777777" w:rsidR="000E04EE" w:rsidRPr="00A65AD9" w:rsidRDefault="000E04EE" w:rsidP="000E04EE">
      <w:pPr>
        <w:pStyle w:val="ListParagraph"/>
        <w:spacing w:after="0" w:line="240" w:lineRule="auto"/>
        <w:ind w:left="0"/>
        <w:jc w:val="both"/>
        <w:rPr>
          <w:rFonts w:ascii="Calibri" w:hAnsi="Calibri" w:cs="Calibri"/>
          <w:sz w:val="24"/>
          <w:szCs w:val="24"/>
          <w:lang w:val="en-GB"/>
        </w:rPr>
      </w:pPr>
    </w:p>
    <w:p w14:paraId="47F7DD18" w14:textId="0C7B342C" w:rsidR="003B3F63" w:rsidRDefault="003B3F63" w:rsidP="007B4720">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 xml:space="preserve">Screening, enrolment, and randomization for the order of assessments</w:t>
      </w:r>
    </w:p>
    <w:p w14:paraId="37F5844B" w14:textId="77777777" w:rsidR="000E04EE" w:rsidRPr="000E04EE" w:rsidRDefault="000E04EE" w:rsidP="000E04EE">
      <w:pPr>
        <w:rPr>
          <w:lang w:val="en-GB"/>
        </w:rPr>
      </w:pPr>
    </w:p>
    <w:p w14:paraId="315E23D8" w14:textId="1417C48B" w:rsidR="00B328D1" w:rsidRDefault="003B3F63"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Patients were selected and screened at the outpatient clinics of participating hospitals. Patients 18 years or older were screened for eligibility if they were scheduled for open, laparoscopic, or robotic abdominopelvic surgery requiring identification of at least one ureter. Both ureters needed to be present and functional. </w:t>
      </w:r>
    </w:p>
    <w:p w14:paraId="7050BEDE" w14:textId="77777777" w:rsidR="00074204" w:rsidRPr="00A65AD9" w:rsidRDefault="00074204" w:rsidP="00074204">
      <w:pPr>
        <w:pStyle w:val="ListParagraph"/>
        <w:spacing w:after="0" w:line="240" w:lineRule="auto"/>
        <w:ind w:left="0"/>
        <w:jc w:val="both"/>
        <w:rPr>
          <w:rFonts w:ascii="Calibri" w:hAnsi="Calibri" w:cs="Calibri"/>
          <w:sz w:val="24"/>
          <w:szCs w:val="24"/>
          <w:lang w:val="en-GB"/>
        </w:rPr>
      </w:pPr>
    </w:p>
    <w:p w14:paraId="65D6AB3F" w14:textId="710216CF" w:rsidR="003B3F63" w:rsidRDefault="00D55590"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Laboratory parameters (haematology, biochemistry, coagulation, and urinalysis), electrocardiographic parameters, and vital signs are collected during screening. Medical history and concomitant medication are also registered. Based on these data, patients were deemed eligible or ineligible for enrollment in the trial. </w:t>
      </w:r>
    </w:p>
    <w:p w14:paraId="0320B4C6" w14:textId="77777777" w:rsidR="00074204" w:rsidRPr="00A65AD9" w:rsidRDefault="00074204" w:rsidP="00074204">
      <w:pPr>
        <w:pStyle w:val="ListParagraph"/>
        <w:spacing w:after="0" w:line="240" w:lineRule="auto"/>
        <w:ind w:left="0"/>
        <w:jc w:val="both"/>
        <w:rPr>
          <w:rFonts w:ascii="Calibri" w:hAnsi="Calibri" w:cs="Calibri"/>
          <w:sz w:val="24"/>
          <w:szCs w:val="24"/>
          <w:lang w:val="en-GB"/>
        </w:rPr>
      </w:pPr>
    </w:p>
    <w:p w14:paraId="36FD75BC" w14:textId="45DD5725" w:rsidR="00DE14D2" w:rsidRDefault="00D55590"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The order of assessments during surgery was randomized by the electronic data capture system at enrolment for each subject. </w:t>
      </w:r>
    </w:p>
    <w:p w14:paraId="7B6B188A" w14:textId="77777777" w:rsidR="007011D1" w:rsidRPr="00A65AD9" w:rsidRDefault="007011D1" w:rsidP="007011D1">
      <w:pPr>
        <w:pStyle w:val="ListParagraph"/>
        <w:spacing w:after="0" w:line="240" w:lineRule="auto"/>
        <w:ind w:left="0"/>
        <w:jc w:val="both"/>
        <w:rPr>
          <w:rFonts w:ascii="Calibri" w:hAnsi="Calibri" w:cs="Calibri"/>
          <w:sz w:val="24"/>
          <w:szCs w:val="24"/>
          <w:lang w:val="en-GB"/>
        </w:rPr>
      </w:pPr>
    </w:p>
    <w:p w14:paraId="15DDACE8" w14:textId="6D5E8BBE" w:rsidR="00921860" w:rsidRDefault="00D143C0"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During surgery, subjects underwent assessment of the ureter(s) using both NIR and white-light imaging at all predefined time points to evaluate the fluorescence efficacy of nizaracianine. Randomization has been incorporated into the trial to minimize first-look bias. </w:t>
      </w:r>
    </w:p>
    <w:p w14:paraId="1CE08E88" w14:textId="77777777" w:rsidR="00921860" w:rsidRDefault="00921860" w:rsidP="00921860">
      <w:pPr>
        <w:pStyle w:val="ListParagraph"/>
        <w:spacing w:after="0" w:line="240" w:lineRule="auto"/>
        <w:ind w:left="0"/>
        <w:jc w:val="both"/>
        <w:rPr>
          <w:rFonts w:ascii="Calibri" w:hAnsi="Calibri" w:cs="Calibri"/>
          <w:sz w:val="24"/>
          <w:szCs w:val="24"/>
          <w:lang w:val="en-GB"/>
        </w:rPr>
      </w:pPr>
    </w:p>
    <w:p w14:paraId="170209DF" w14:textId="4C5E07FB" w:rsidR="003B3F63" w:rsidRPr="00A65AD9" w:rsidRDefault="00921860" w:rsidP="00921860">
      <w:pPr>
        <w:pStyle w:val="ListParagraph"/>
        <w:spacing w:after="0" w:line="240" w:lineRule="auto"/>
        <w:ind w:left="0"/>
        <w:jc w:val="both"/>
        <w:rPr>
          <w:rFonts w:ascii="Calibri" w:hAnsi="Calibri" w:cs="Calibri"/>
          <w:sz w:val="24"/>
          <w:szCs w:val="24"/>
          <w:lang w:val="en-GB"/>
        </w:rPr>
      </w:pPr>
      <w:r>
        <w:rPr>
          <w:rFonts w:ascii="Calibri" w:hAnsi="Calibri" w:cs="Calibri"/>
          <w:sz w:val="24"/>
          <w:szCs w:val="24"/>
          <w:highlight w:val="yellow"/>
          <w:lang w:val="en-GB"/>
        </w:rPr>
        <w:t xml:space="preserve">NOTE: For example, if only NIR imaging was used for the first look, it could underestimate its effect, as the ureter could potentially be more easily identified using white light secondly after obtaining information about the ureter location using fluorescence. By using both NIR and white-light imaging, each subject serves as its own control, providing accurate data on ureter identification and location.</w:t>
      </w:r>
    </w:p>
    <w:p w14:paraId="4D1664F2" w14:textId="77777777" w:rsidR="00510644" w:rsidRPr="00A65AD9" w:rsidRDefault="00510644" w:rsidP="007B4720">
      <w:pPr>
        <w:rPr>
          <w:lang w:val="en-GB"/>
        </w:rPr>
      </w:pPr>
    </w:p>
    <w:p w14:paraId="146714EC" w14:textId="1C1FF1A9" w:rsidR="002367A2" w:rsidRDefault="004B7137" w:rsidP="002367A2">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Pre-stress moments</w:t>
      </w:r>
    </w:p>
    <w:p w14:paraId="45008BE3" w14:textId="77777777" w:rsidR="002367A2" w:rsidRPr="002367A2" w:rsidRDefault="002367A2" w:rsidP="002367A2">
      <w:pPr>
        <w:rPr>
          <w:lang w:val="en-GB"/>
        </w:rPr>
      </w:pPr>
    </w:p>
    <w:p w14:paraId="116CA08B" w14:textId="77777777" w:rsidR="001E3D6F" w:rsidRDefault="00D55590"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Drug preparation</w:t>
      </w:r>
    </w:p>
    <w:p w14:paraId="35AF5654" w14:textId="77777777" w:rsidR="001B57E7" w:rsidRPr="00A65AD9" w:rsidRDefault="001B57E7" w:rsidP="001B57E7">
      <w:pPr>
        <w:pStyle w:val="ListParagraph"/>
        <w:spacing w:after="0" w:line="240" w:lineRule="auto"/>
        <w:ind w:left="0"/>
        <w:jc w:val="both"/>
        <w:rPr>
          <w:rFonts w:ascii="Calibri" w:hAnsi="Calibri" w:cs="Calibri"/>
          <w:sz w:val="24"/>
          <w:szCs w:val="24"/>
          <w:lang w:val="en-GB"/>
        </w:rPr>
      </w:pPr>
    </w:p>
    <w:p w14:paraId="7D8FB229" w14:textId="77777777" w:rsidR="00755C35" w:rsidRDefault="001E3D6F"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The research coordinator was responsible for ordering the study drug. Nizaracianine, obtained commercially, was provided in vials containing 2.7 mg of lyophilized powder. Before use, the hospital pharmacy at Leiden University Medical Center reconstituted each vial with 2.7 mL of 5% dextrose in water (D5W) and prepared syringes with the correct dose. </w:t>
      </w:r>
    </w:p>
    <w:p w14:paraId="0B6070E4" w14:textId="77777777" w:rsidR="00A66C1E" w:rsidRDefault="00A66C1E" w:rsidP="00A66C1E">
      <w:pPr>
        <w:pStyle w:val="ListParagraph"/>
        <w:spacing w:after="0" w:line="240" w:lineRule="auto"/>
        <w:ind w:left="0"/>
        <w:jc w:val="both"/>
        <w:rPr>
          <w:rFonts w:ascii="Calibri" w:hAnsi="Calibri" w:cs="Calibri"/>
          <w:sz w:val="24"/>
          <w:szCs w:val="24"/>
          <w:lang w:val="en-GB"/>
        </w:rPr>
      </w:pPr>
    </w:p>
    <w:p w14:paraId="79F644AD" w14:textId="0AB5DA98" w:rsidR="001E3D6F" w:rsidRDefault="001E3D6F"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lastRenderedPageBreak/>
        <w:t xml:space="preserve">To preserve blinding, syringes containing the 2.7 mL Nizaracianine solution were wrapped in aluminium foil, which prevented photo-bleaching and concealed dose markings from the surgical team. Allocation concealment was further ensured through the use of coded labels.</w:t>
      </w:r>
    </w:p>
    <w:p w14:paraId="505A3736" w14:textId="77777777" w:rsidR="00A66C1E" w:rsidRPr="00A65AD9" w:rsidRDefault="00A66C1E" w:rsidP="00A66C1E">
      <w:pPr>
        <w:pStyle w:val="ListParagraph"/>
        <w:spacing w:after="0" w:line="240" w:lineRule="auto"/>
        <w:ind w:left="0"/>
        <w:jc w:val="both"/>
        <w:rPr>
          <w:rFonts w:ascii="Calibri" w:hAnsi="Calibri" w:cs="Calibri"/>
          <w:sz w:val="24"/>
          <w:szCs w:val="24"/>
          <w:lang w:val="en-GB"/>
        </w:rPr>
      </w:pPr>
    </w:p>
    <w:p w14:paraId="32799006" w14:textId="77777777" w:rsidR="001E3D6F" w:rsidRDefault="00A530F1"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Pre-dose check</w:t>
      </w:r>
    </w:p>
    <w:p w14:paraId="20DCEE27" w14:textId="77777777" w:rsidR="00DB1446" w:rsidRPr="00A65AD9" w:rsidRDefault="00DB1446" w:rsidP="00DB1446">
      <w:pPr>
        <w:pStyle w:val="ListParagraph"/>
        <w:spacing w:after="0" w:line="240" w:lineRule="auto"/>
        <w:ind w:left="0"/>
        <w:jc w:val="both"/>
        <w:rPr>
          <w:rFonts w:ascii="Calibri" w:hAnsi="Calibri" w:cs="Calibri"/>
          <w:sz w:val="24"/>
          <w:szCs w:val="24"/>
          <w:lang w:val="en-GB"/>
        </w:rPr>
      </w:pPr>
    </w:p>
    <w:p w14:paraId="7A27751F" w14:textId="3BE9C494" w:rsidR="00A530F1" w:rsidRDefault="00A530F1"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On the day of surgery, vital signs and electrocardiographic function were evaluated once more in the operating room after receiving anaesthesia, but before drug administration.</w:t>
      </w:r>
    </w:p>
    <w:p w14:paraId="033644AC" w14:textId="77777777" w:rsidR="00DB1446" w:rsidRPr="00A65AD9" w:rsidRDefault="00DB1446" w:rsidP="00DB1446">
      <w:pPr>
        <w:pStyle w:val="ListParagraph"/>
        <w:spacing w:after="0" w:line="240" w:lineRule="auto"/>
        <w:ind w:left="0"/>
        <w:jc w:val="both"/>
        <w:rPr>
          <w:rFonts w:ascii="Calibri" w:hAnsi="Calibri" w:cs="Calibri"/>
          <w:sz w:val="24"/>
          <w:szCs w:val="24"/>
          <w:lang w:val="en-GB"/>
        </w:rPr>
      </w:pPr>
    </w:p>
    <w:p w14:paraId="0FF37737" w14:textId="6F2F2C1F" w:rsidR="000A5EDF" w:rsidRDefault="000A5EDF" w:rsidP="007B4720">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NIR imaging and camera settings</w:t>
      </w:r>
    </w:p>
    <w:p w14:paraId="49CABA0D" w14:textId="77777777" w:rsidR="00BF0C5B" w:rsidRPr="00BF0C5B" w:rsidRDefault="00BF0C5B" w:rsidP="00BF0C5B">
      <w:pPr>
        <w:rPr>
          <w:lang w:val="en-GB"/>
        </w:rPr>
      </w:pPr>
    </w:p>
    <w:p w14:paraId="536C1655" w14:textId="1AD3DBA8" w:rsidR="000A5EDF" w:rsidRDefault="000A5EDF"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NIR fluorescence imaging was performed using CE-certified camera systems, providing WL, NIR, and overlay (OVL) images of the ureters.</w:t>
      </w:r>
    </w:p>
    <w:p w14:paraId="31E15DE5" w14:textId="77777777" w:rsidR="00BF0C5B" w:rsidRPr="00A65AD9" w:rsidRDefault="00BF0C5B" w:rsidP="00BF0C5B">
      <w:pPr>
        <w:pStyle w:val="ListParagraph"/>
        <w:spacing w:after="0" w:line="240" w:lineRule="auto"/>
        <w:ind w:left="0"/>
        <w:jc w:val="both"/>
        <w:rPr>
          <w:rFonts w:ascii="Calibri" w:hAnsi="Calibri" w:cs="Calibri"/>
          <w:sz w:val="24"/>
          <w:szCs w:val="24"/>
          <w:lang w:val="en-GB"/>
        </w:rPr>
      </w:pPr>
    </w:p>
    <w:p w14:paraId="49FD5B65" w14:textId="432177B2" w:rsidR="000A5EDF" w:rsidRDefault="000A5EDF"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The Quest Spectrum systems were set at auto-colour, and the Karl Storz systems used 75% white light intensity. The Intuitive systems did not permit any change to system settings.</w:t>
      </w:r>
    </w:p>
    <w:p w14:paraId="15A35985" w14:textId="77777777" w:rsidR="00BF0C5B" w:rsidRPr="00A65AD9" w:rsidRDefault="00BF0C5B" w:rsidP="00BF0C5B">
      <w:pPr>
        <w:pStyle w:val="ListParagraph"/>
        <w:spacing w:after="0" w:line="240" w:lineRule="auto"/>
        <w:ind w:left="0"/>
        <w:jc w:val="both"/>
        <w:rPr>
          <w:rFonts w:ascii="Calibri" w:hAnsi="Calibri" w:cs="Calibri"/>
          <w:sz w:val="24"/>
          <w:szCs w:val="24"/>
          <w:lang w:val="en-GB"/>
        </w:rPr>
      </w:pPr>
    </w:p>
    <w:p w14:paraId="4C57D001" w14:textId="40300801" w:rsidR="000C5BE9" w:rsidRDefault="000A5EDF" w:rsidP="000C5BE9">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Drug administration and safety check</w:t>
      </w:r>
    </w:p>
    <w:p w14:paraId="366A4D39" w14:textId="77777777" w:rsidR="000C5BE9" w:rsidRPr="000C5BE9" w:rsidRDefault="000C5BE9" w:rsidP="000C5BE9">
      <w:pPr>
        <w:rPr>
          <w:lang w:val="en-GB"/>
        </w:rPr>
      </w:pPr>
    </w:p>
    <w:p w14:paraId="6712C114" w14:textId="0D11880D" w:rsidR="000A5EDF" w:rsidRDefault="000A5EDF"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Study drugs were administered intravenously at first incision or trocar placement, whichever came first, under the supervision of the research coordinator.</w:t>
      </w:r>
    </w:p>
    <w:p w14:paraId="76331DD6" w14:textId="77777777" w:rsidR="00BF0C5B" w:rsidRPr="00A65AD9" w:rsidRDefault="00BF0C5B" w:rsidP="00BF0C5B">
      <w:pPr>
        <w:pStyle w:val="ListParagraph"/>
        <w:spacing w:after="0" w:line="240" w:lineRule="auto"/>
        <w:ind w:left="0"/>
        <w:jc w:val="both"/>
        <w:rPr>
          <w:rFonts w:ascii="Calibri" w:hAnsi="Calibri" w:cs="Calibri"/>
          <w:sz w:val="24"/>
          <w:szCs w:val="24"/>
          <w:lang w:val="en-GB"/>
        </w:rPr>
      </w:pPr>
    </w:p>
    <w:p w14:paraId="4EF9B408" w14:textId="416BF577" w:rsidR="000A5EDF" w:rsidRDefault="000A5EDF"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Vitals and electrocardiographic function were evaluated between 1 min and 5 min after dose administration.</w:t>
      </w:r>
    </w:p>
    <w:p w14:paraId="5FE12085" w14:textId="77777777" w:rsidR="00BF0C5B" w:rsidRPr="00A65AD9" w:rsidRDefault="00BF0C5B" w:rsidP="00BF0C5B">
      <w:pPr>
        <w:pStyle w:val="ListParagraph"/>
        <w:spacing w:after="0" w:line="240" w:lineRule="auto"/>
        <w:ind w:left="0"/>
        <w:jc w:val="both"/>
        <w:rPr>
          <w:rFonts w:ascii="Calibri" w:hAnsi="Calibri" w:cs="Calibri"/>
          <w:sz w:val="24"/>
          <w:szCs w:val="24"/>
          <w:lang w:val="en-GB"/>
        </w:rPr>
      </w:pPr>
    </w:p>
    <w:p w14:paraId="2B240C05" w14:textId="4C2DD926" w:rsidR="004E33FF" w:rsidRDefault="009F1E81" w:rsidP="004E33FF">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 xml:space="preserve">Assessment of the anatomical location of the ureters</w:t>
      </w:r>
    </w:p>
    <w:p w14:paraId="2D06AB11" w14:textId="77777777" w:rsidR="004E33FF" w:rsidRPr="004E33FF" w:rsidRDefault="004E33FF" w:rsidP="004E33FF">
      <w:pPr>
        <w:rPr>
          <w:lang w:val="en-GB"/>
        </w:rPr>
      </w:pPr>
    </w:p>
    <w:p w14:paraId="2A06B880" w14:textId="7F11884C" w:rsidR="009F1E81" w:rsidRDefault="009F1E81"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Each ureter was assessed at the following timepoints: first-look (before dissection of the retroperitoneal fascia), after dissection of the retroperitoneal fascia (if required), and at 58 min after dose administration. If another dose was required after passing the 1 h timepoint, assessments were repeated after 10 min and 58 min, if possible. Before closing, the anatomical location of the ureters was assessed one more time. </w:t>
      </w:r>
    </w:p>
    <w:p w14:paraId="1A8D5FF3" w14:textId="77777777" w:rsidR="004E33FF" w:rsidRPr="00A65AD9" w:rsidRDefault="004E33FF" w:rsidP="004E33FF">
      <w:pPr>
        <w:pStyle w:val="ListParagraph"/>
        <w:spacing w:after="0" w:line="240" w:lineRule="auto"/>
        <w:ind w:left="0"/>
        <w:jc w:val="both"/>
        <w:rPr>
          <w:rFonts w:ascii="Calibri" w:hAnsi="Calibri" w:cs="Calibri"/>
          <w:sz w:val="24"/>
          <w:szCs w:val="24"/>
          <w:lang w:val="en-GB"/>
        </w:rPr>
      </w:pPr>
    </w:p>
    <w:p w14:paraId="6A1B48B9" w14:textId="73BA27A3" w:rsidR="009F1E81" w:rsidRDefault="00FF0323"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Assessments were performed according to the randomisation schedule: white-light or NIR imaging first.</w:t>
      </w:r>
    </w:p>
    <w:p w14:paraId="2829E8B8" w14:textId="77777777" w:rsidR="008B27DD" w:rsidRPr="00A65AD9" w:rsidRDefault="008B27DD" w:rsidP="008B27DD">
      <w:pPr>
        <w:pStyle w:val="ListParagraph"/>
        <w:spacing w:after="0" w:line="240" w:lineRule="auto"/>
        <w:ind w:left="0"/>
        <w:jc w:val="both"/>
        <w:rPr>
          <w:rFonts w:ascii="Calibri" w:hAnsi="Calibri" w:cs="Calibri"/>
          <w:sz w:val="24"/>
          <w:szCs w:val="24"/>
          <w:lang w:val="en-GB"/>
        </w:rPr>
      </w:pPr>
    </w:p>
    <w:p w14:paraId="2F6CFE41" w14:textId="689EB02F" w:rsidR="009F1E81" w:rsidRDefault="00FF0323"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Assessment included image capture and surgeon questionnaires.</w:t>
      </w:r>
    </w:p>
    <w:p w14:paraId="61A64941" w14:textId="77777777" w:rsidR="00D74B5C" w:rsidRPr="00A65AD9" w:rsidRDefault="00D74B5C" w:rsidP="00D74B5C">
      <w:pPr>
        <w:pStyle w:val="ListParagraph"/>
        <w:spacing w:after="0" w:line="240" w:lineRule="auto"/>
        <w:ind w:left="0"/>
        <w:jc w:val="both"/>
        <w:rPr>
          <w:rFonts w:ascii="Calibri" w:hAnsi="Calibri" w:cs="Calibri"/>
          <w:sz w:val="24"/>
          <w:szCs w:val="24"/>
          <w:lang w:val="en-GB"/>
        </w:rPr>
      </w:pPr>
    </w:p>
    <w:p w14:paraId="76587620" w14:textId="03D8B777" w:rsidR="00FF0323" w:rsidRDefault="00FF032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For both white light and NIR imaging, surgeons needed to indicate the visible ureter trajectory using predefined anatomical landmarks. These included: Toldt’s fascia, ureteropelvic junction, testicular arteries (if male), common iliac artery, pelvic brim, superior rectal artery, internal iliac artery, external iliac artery, epigastric vessels, suspensory ligament of the ovary, medial umbilical ligament, ductus deferens and artery, uterine artery (if female), and bladder.</w:t>
      </w:r>
    </w:p>
    <w:p w14:paraId="5F004FD1" w14:textId="77777777" w:rsidR="002707DC" w:rsidRPr="00A65AD9" w:rsidRDefault="002707DC" w:rsidP="002707DC">
      <w:pPr>
        <w:pStyle w:val="ListParagraph"/>
        <w:spacing w:after="0" w:line="240" w:lineRule="auto"/>
        <w:ind w:left="0"/>
        <w:jc w:val="both"/>
        <w:rPr>
          <w:rFonts w:ascii="Calibri" w:hAnsi="Calibri" w:cs="Calibri"/>
          <w:sz w:val="24"/>
          <w:szCs w:val="24"/>
          <w:lang w:val="en-GB"/>
        </w:rPr>
      </w:pPr>
    </w:p>
    <w:p w14:paraId="1724E709" w14:textId="3AEBB270" w:rsidR="000A5EDF" w:rsidRDefault="00FF032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lastRenderedPageBreak/>
        <w:t xml:space="preserve">For both white light and NIR imaging, surgeons needed to indicate the sufficiency of ureter visualisation (did not meet the need, met the need, or more than needed).</w:t>
      </w:r>
    </w:p>
    <w:p w14:paraId="3FD58D57" w14:textId="77777777" w:rsidR="00A9144F" w:rsidRPr="00A65AD9" w:rsidRDefault="00A9144F" w:rsidP="00A9144F">
      <w:pPr>
        <w:pStyle w:val="ListParagraph"/>
        <w:spacing w:after="0" w:line="240" w:lineRule="auto"/>
        <w:ind w:left="0"/>
        <w:jc w:val="both"/>
        <w:rPr>
          <w:rFonts w:ascii="Calibri" w:hAnsi="Calibri" w:cs="Calibri"/>
          <w:sz w:val="24"/>
          <w:szCs w:val="24"/>
          <w:lang w:val="en-GB"/>
        </w:rPr>
      </w:pPr>
    </w:p>
    <w:p w14:paraId="595D4430" w14:textId="51216936" w:rsidR="009F1E81" w:rsidRDefault="000A5EDF"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For both white-light and NIR imaging, surgeons needed to indicate the certainty of visualisation as either equivocal or unequivocal.</w:t>
      </w:r>
    </w:p>
    <w:p w14:paraId="038E626C" w14:textId="77777777" w:rsidR="00A9144F" w:rsidRPr="00A65AD9" w:rsidRDefault="00A9144F" w:rsidP="00A9144F">
      <w:pPr>
        <w:pStyle w:val="ListParagraph"/>
        <w:spacing w:after="0" w:line="240" w:lineRule="auto"/>
        <w:ind w:left="0"/>
        <w:jc w:val="both"/>
        <w:rPr>
          <w:rFonts w:ascii="Calibri" w:hAnsi="Calibri" w:cs="Calibri"/>
          <w:sz w:val="24"/>
          <w:szCs w:val="24"/>
          <w:lang w:val="en-GB"/>
        </w:rPr>
      </w:pPr>
    </w:p>
    <w:p w14:paraId="5E92F36B" w14:textId="5D6945DE" w:rsidR="00A9144F" w:rsidRDefault="000A5EDF" w:rsidP="00A9144F">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Assessment of ureter integrity and function</w:t>
      </w:r>
    </w:p>
    <w:p w14:paraId="713AEA08" w14:textId="77777777" w:rsidR="00A9144F" w:rsidRPr="00A9144F" w:rsidRDefault="00A9144F" w:rsidP="00A9144F">
      <w:pPr>
        <w:rPr>
          <w:lang w:val="en-GB"/>
        </w:rPr>
      </w:pPr>
    </w:p>
    <w:p w14:paraId="6AFF53E4" w14:textId="33A393F0" w:rsidR="000A5EDF" w:rsidRDefault="000A5EDF"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Before closing, the surgeons needed to indicate whether they identified leaks, flow, or obstructions of urine using both white-light and NIR imaging. The scale used was ‘yes, no, not sure’.</w:t>
      </w:r>
    </w:p>
    <w:p w14:paraId="20C1E35F" w14:textId="77777777" w:rsidR="00A9144F" w:rsidRPr="00A65AD9" w:rsidRDefault="00A9144F" w:rsidP="00A9144F">
      <w:pPr>
        <w:pStyle w:val="ListParagraph"/>
        <w:spacing w:after="0" w:line="240" w:lineRule="auto"/>
        <w:ind w:left="0"/>
        <w:jc w:val="both"/>
        <w:rPr>
          <w:rFonts w:ascii="Calibri" w:hAnsi="Calibri" w:cs="Calibri"/>
          <w:sz w:val="24"/>
          <w:szCs w:val="24"/>
          <w:lang w:val="en-GB"/>
        </w:rPr>
      </w:pPr>
    </w:p>
    <w:p w14:paraId="2C73A932" w14:textId="0D5DF7CD" w:rsidR="00435735" w:rsidRDefault="00533773" w:rsidP="00435735">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Postoperative surgical summary</w:t>
      </w:r>
    </w:p>
    <w:p w14:paraId="51372119" w14:textId="77777777" w:rsidR="00435735" w:rsidRPr="00435735" w:rsidRDefault="00435735" w:rsidP="00435735">
      <w:pPr>
        <w:rPr>
          <w:lang w:val="en-GB"/>
        </w:rPr>
      </w:pPr>
    </w:p>
    <w:p w14:paraId="7E9C6931" w14:textId="1F64B03D" w:rsidR="00533773" w:rsidRDefault="00533773"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Surgeons were asked at the end of surgery to provide information on:</w:t>
      </w:r>
    </w:p>
    <w:p w14:paraId="12F36195" w14:textId="77777777" w:rsidR="00435735" w:rsidRPr="00A65AD9" w:rsidRDefault="00435735" w:rsidP="00435735">
      <w:pPr>
        <w:pStyle w:val="ListParagraph"/>
        <w:spacing w:after="0" w:line="240" w:lineRule="auto"/>
        <w:ind w:left="0"/>
        <w:jc w:val="both"/>
        <w:rPr>
          <w:rFonts w:ascii="Calibri" w:hAnsi="Calibri" w:cs="Calibri"/>
          <w:sz w:val="24"/>
          <w:szCs w:val="24"/>
          <w:lang w:val="en-GB"/>
        </w:rPr>
      </w:pPr>
    </w:p>
    <w:p w14:paraId="5FD7CC59" w14:textId="1E682F5B"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Change in surgical plan, approach, or instruments, and the possible relation to nizaracianine.</w:t>
      </w:r>
    </w:p>
    <w:p w14:paraId="6CF0CCF4" w14:textId="77777777" w:rsidR="00435735" w:rsidRPr="00A65AD9" w:rsidRDefault="00435735" w:rsidP="00435735">
      <w:pPr>
        <w:pStyle w:val="ListParagraph"/>
        <w:spacing w:after="0" w:line="240" w:lineRule="auto"/>
        <w:ind w:left="0"/>
        <w:jc w:val="both"/>
        <w:rPr>
          <w:rFonts w:ascii="Calibri" w:hAnsi="Calibri" w:cs="Calibri"/>
          <w:sz w:val="24"/>
          <w:szCs w:val="24"/>
          <w:lang w:val="en-GB"/>
        </w:rPr>
      </w:pPr>
    </w:p>
    <w:p w14:paraId="4792F7EE" w14:textId="2F722BB3"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Assistance by nizaracianine in any way.</w:t>
      </w:r>
    </w:p>
    <w:p w14:paraId="5B19FE9E"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6496139D" w14:textId="7F19759E"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Confirmation of ureter location and full course based on fluorescence, provided by nizaracianine.</w:t>
      </w:r>
    </w:p>
    <w:p w14:paraId="7D60042A"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22A934D3" w14:textId="3CE86DE6"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Potential facilitation of initial ureter identification without the need for dissection, made possible by nizaracianine.</w:t>
      </w:r>
    </w:p>
    <w:p w14:paraId="684B585B"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3B045FFB" w14:textId="26F50D3C"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Potential reduction or elimination of dissection/skeletonization, made possible by nizaracianine.</w:t>
      </w:r>
    </w:p>
    <w:p w14:paraId="5DC37A5D"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6AD76AA7" w14:textId="5AA54F5C"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Presence of ureter injury.</w:t>
      </w:r>
    </w:p>
    <w:p w14:paraId="335247F1"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65D52C02" w14:textId="7252BADB"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Potential reduction of injury, made possible by nizaracianine.</w:t>
      </w:r>
    </w:p>
    <w:p w14:paraId="536C42F2"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355A7286" w14:textId="25EAC41D"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Improvement of ureter integrity and function evaluation using NIR, made possible by nizaracianine.</w:t>
      </w:r>
    </w:p>
    <w:p w14:paraId="384E6DC1"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6A3D022F" w14:textId="06E0D193" w:rsidR="00533773" w:rsidRDefault="00533773" w:rsidP="007B4720">
      <w:pPr>
        <w:pStyle w:val="ListParagraph"/>
        <w:numPr>
          <w:ilvl w:val="2"/>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t xml:space="preserve">General observations, including tissue disruption and the impact of BMI on surgical procedure.</w:t>
      </w:r>
    </w:p>
    <w:p w14:paraId="20B3D175" w14:textId="77777777" w:rsidR="00394423" w:rsidRPr="00A65AD9" w:rsidRDefault="00394423" w:rsidP="00394423">
      <w:pPr>
        <w:pStyle w:val="ListParagraph"/>
        <w:spacing w:after="0" w:line="240" w:lineRule="auto"/>
        <w:ind w:left="0"/>
        <w:jc w:val="both"/>
        <w:rPr>
          <w:rFonts w:ascii="Calibri" w:hAnsi="Calibri" w:cs="Calibri"/>
          <w:sz w:val="24"/>
          <w:szCs w:val="24"/>
          <w:lang w:val="en-GB"/>
        </w:rPr>
      </w:pPr>
    </w:p>
    <w:p w14:paraId="0CE68CC0" w14:textId="7B9CBD0B" w:rsidR="008E3E37" w:rsidRDefault="00533773" w:rsidP="008E3E37">
      <w:pPr>
        <w:pStyle w:val="Heading3"/>
        <w:numPr>
          <w:ilvl w:val="0"/>
          <w:numId w:val="35"/>
        </w:numPr>
        <w:spacing w:before="0"/>
        <w:ind w:left="0" w:firstLine="0"/>
        <w:rPr>
          <w:rFonts w:ascii="Calibri" w:hAnsi="Calibri" w:cs="Calibri"/>
          <w:color w:val="auto"/>
          <w:lang w:val="en-GB"/>
        </w:rPr>
      </w:pPr>
      <w:r>
        <w:rPr>
          <w:rFonts w:ascii="Calibri" w:hAnsi="Calibri" w:cs="Calibri"/>
          <w:color w:val="auto"/>
          <w:highlight w:val="yellow"/>
          <w:lang w:val="en-GB"/>
        </w:rPr>
        <w:t xml:space="preserve"> Image analysis and SBR calculation</w:t>
      </w:r>
    </w:p>
    <w:p w14:paraId="33C799C5" w14:textId="77777777" w:rsidR="008E3E37" w:rsidRPr="008E3E37" w:rsidRDefault="008E3E37" w:rsidP="008E3E37">
      <w:pPr>
        <w:rPr>
          <w:lang w:val="en-GB"/>
        </w:rPr>
      </w:pPr>
    </w:p>
    <w:p w14:paraId="47091D01" w14:textId="77777777" w:rsidR="00642B70" w:rsidRDefault="001E3D6F"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highlight w:val="yellow"/>
          <w:lang w:val="en-GB"/>
        </w:rPr>
        <w:lastRenderedPageBreak/>
        <w:t xml:space="preserve">SBR calculations were performed by the research coordinator present during surgery, after the completion. Data consistency throughout the study was maintained using a study-specific software application. </w:t>
      </w:r>
    </w:p>
    <w:p w14:paraId="473DF33B" w14:textId="77777777" w:rsidR="00DE363E" w:rsidRDefault="00DE363E" w:rsidP="00DE363E">
      <w:pPr>
        <w:pStyle w:val="ListParagraph"/>
        <w:spacing w:after="0" w:line="240" w:lineRule="auto"/>
        <w:ind w:left="0"/>
        <w:jc w:val="both"/>
        <w:rPr>
          <w:rFonts w:ascii="Calibri" w:hAnsi="Calibri" w:cs="Calibri"/>
          <w:sz w:val="24"/>
          <w:szCs w:val="24"/>
          <w:lang w:val="en-GB"/>
        </w:rPr>
      </w:pPr>
    </w:p>
    <w:p w14:paraId="767816E9" w14:textId="7D82EE89" w:rsidR="00452416" w:rsidRDefault="00DE363E" w:rsidP="00DE363E">
      <w:pPr>
        <w:pStyle w:val="ListParagraph"/>
        <w:spacing w:after="0" w:line="240" w:lineRule="auto"/>
        <w:ind w:left="0"/>
        <w:jc w:val="both"/>
        <w:rPr>
          <w:rFonts w:ascii="Calibri" w:hAnsi="Calibri" w:cs="Calibri"/>
          <w:sz w:val="24"/>
          <w:szCs w:val="24"/>
          <w:lang w:val="en-GB"/>
        </w:rPr>
      </w:pPr>
      <w:r>
        <w:rPr>
          <w:rFonts w:ascii="Calibri" w:hAnsi="Calibri" w:cs="Calibri"/>
          <w:sz w:val="24"/>
          <w:szCs w:val="24"/>
          <w:highlight w:val="yellow"/>
          <w:lang w:val="en-GB"/>
        </w:rPr>
        <w:t xml:space="preserve">9.1.1 The SBR was determined by dividing the mean fluorescence intensity (MFI) within the region of interest (ROI) positioned over the most fluorescent segment of the ureter by the MFI of the corresponding background. The background ROI was placed in the tissue immediately adjacent to the ureteral ROI. Both the background and signal ROIs were drawn on the NIR image.</w:t>
      </w:r>
    </w:p>
    <w:p w14:paraId="400D54C0" w14:textId="77777777" w:rsidR="00DE363E" w:rsidRPr="00A65AD9" w:rsidRDefault="00DE363E" w:rsidP="00DE363E">
      <w:pPr>
        <w:pStyle w:val="ListParagraph"/>
        <w:spacing w:after="0" w:line="240" w:lineRule="auto"/>
        <w:ind w:left="0"/>
        <w:jc w:val="both"/>
        <w:rPr>
          <w:rFonts w:ascii="Calibri" w:hAnsi="Calibri" w:cs="Calibri"/>
          <w:sz w:val="24"/>
          <w:szCs w:val="24"/>
          <w:lang w:val="en-GB"/>
        </w:rPr>
      </w:pPr>
    </w:p>
    <w:p w14:paraId="7B331375" w14:textId="36F23A41" w:rsidR="00DD62D4" w:rsidRDefault="00C51EE9" w:rsidP="00DD62D4">
      <w:pPr>
        <w:pStyle w:val="Heading3"/>
        <w:numPr>
          <w:ilvl w:val="0"/>
          <w:numId w:val="35"/>
        </w:numPr>
        <w:spacing w:before="0"/>
        <w:ind w:left="0" w:firstLine="0"/>
        <w:rPr>
          <w:rFonts w:ascii="Calibri" w:hAnsi="Calibri" w:cs="Calibri"/>
          <w:color w:val="auto"/>
          <w:lang w:val="en-GB"/>
        </w:rPr>
      </w:pPr>
      <w:r>
        <w:rPr>
          <w:rFonts w:ascii="Calibri" w:hAnsi="Calibri" w:cs="Calibri"/>
          <w:color w:val="auto"/>
          <w:lang w:val="en-GB"/>
        </w:rPr>
        <w:t>Follow-up</w:t>
      </w:r>
    </w:p>
    <w:p w14:paraId="6EF3BCC4" w14:textId="77777777" w:rsidR="00DD62D4" w:rsidRPr="00DD62D4" w:rsidRDefault="00DD62D4" w:rsidP="00DD62D4">
      <w:pPr>
        <w:rPr>
          <w:lang w:val="en-GB"/>
        </w:rPr>
      </w:pPr>
    </w:p>
    <w:p w14:paraId="25474005" w14:textId="2540E350" w:rsidR="009F1E81" w:rsidRDefault="00C51EE9"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Follow-up occurred at the LUMC between 14 and 30 days after surgery.</w:t>
      </w:r>
    </w:p>
    <w:p w14:paraId="34804C58" w14:textId="77777777" w:rsidR="00DD62D4" w:rsidRPr="00A65AD9" w:rsidRDefault="00DD62D4" w:rsidP="00DD62D4">
      <w:pPr>
        <w:pStyle w:val="ListParagraph"/>
        <w:spacing w:after="0" w:line="240" w:lineRule="auto"/>
        <w:ind w:left="0"/>
        <w:jc w:val="both"/>
        <w:rPr>
          <w:rFonts w:ascii="Calibri" w:hAnsi="Calibri" w:cs="Calibri"/>
          <w:sz w:val="24"/>
          <w:szCs w:val="24"/>
          <w:lang w:val="en-GB"/>
        </w:rPr>
      </w:pPr>
    </w:p>
    <w:p w14:paraId="0D9CC1BB" w14:textId="383E3F6E" w:rsidR="00C51EE9" w:rsidRPr="00A65AD9" w:rsidRDefault="00C51EE9" w:rsidP="007B4720">
      <w:pPr>
        <w:pStyle w:val="ListParagraph"/>
        <w:numPr>
          <w:ilvl w:val="1"/>
          <w:numId w:val="35"/>
        </w:numPr>
        <w:spacing w:after="0" w:line="240" w:lineRule="auto"/>
        <w:ind w:left="0" w:firstLine="0"/>
        <w:jc w:val="both"/>
        <w:rPr>
          <w:rFonts w:ascii="Calibri" w:hAnsi="Calibri" w:cs="Calibri"/>
          <w:sz w:val="24"/>
          <w:szCs w:val="24"/>
          <w:lang w:val="en-GB"/>
        </w:rPr>
      </w:pPr>
      <w:r>
        <w:rPr>
          <w:rFonts w:ascii="Calibri" w:hAnsi="Calibri" w:cs="Calibri"/>
          <w:sz w:val="24"/>
          <w:szCs w:val="24"/>
          <w:lang w:val="en-GB"/>
        </w:rPr>
        <w:t xml:space="preserve">Laboratory parameters (hematology, biochemistry, coagulation, and urinalysis), electrocardiographic parameters, and vital signs are collected during follow-up. Adverse events and newly added concomitant medication are also registered. Adverse events were monitored throughout the entire study and reported according to the Common Terminology Criteria for Adverse Events (CTCAE).</w:t>
      </w:r>
    </w:p>
    <w:p w14:paraId="0230B377" w14:textId="77777777" w:rsidR="00C51EE9" w:rsidRPr="00A65AD9" w:rsidRDefault="00C51EE9" w:rsidP="007B4720">
      <w:pPr>
        <w:pStyle w:val="ListParagraph"/>
        <w:spacing w:after="0" w:line="240" w:lineRule="auto"/>
        <w:ind w:left="0"/>
        <w:jc w:val="both"/>
        <w:rPr>
          <w:rFonts w:ascii="Calibri" w:hAnsi="Calibri" w:cs="Calibri"/>
          <w:sz w:val="24"/>
          <w:szCs w:val="24"/>
          <w:lang w:val="en-GB"/>
        </w:rPr>
      </w:pPr>
    </w:p>
    <w:p w14:paraId="1BBC21B6" w14:textId="336AA85D" w:rsidR="00A703A3" w:rsidRPr="00A65AD9" w:rsidRDefault="004B7137" w:rsidP="007B4720">
      <w:pPr>
        <w:pBdr>
          <w:top w:val="nil"/>
          <w:left w:val="nil"/>
          <w:bottom w:val="nil"/>
          <w:right w:val="nil"/>
          <w:between w:val="nil"/>
        </w:pBdr>
        <w:rPr>
          <w:lang w:val="en-GB"/>
        </w:rPr>
      </w:pPr>
      <w:r>
        <w:rPr>
          <w:b/>
          <w:lang w:val="en-GB"/>
        </w:rPr>
        <w:t xml:space="preserve">RESULTS: </w:t>
      </w:r>
    </w:p>
    <w:p w14:paraId="5457F0CF" w14:textId="62A18CB1" w:rsidR="00C51EE9" w:rsidRPr="00A65AD9" w:rsidRDefault="00C51EE9" w:rsidP="007B4720">
      <w:pPr>
        <w:rPr>
          <w:lang w:val="en-GB"/>
        </w:rPr>
      </w:pPr>
      <w:r>
        <w:rPr>
          <w:lang w:val="en-GB"/>
        </w:rPr>
        <w:t xml:space="preserve">The patient was screened for participation three days prior to surgery. Laboratory parameters (haematology, biochemistry, coagulation, and urinalysis), electrocardiographic parameters, and vitals were within normal limits, and the physical examination showed no abnormalities. Baseline characteristics at screening are presented in </w:t>
      </w:r>
      <w:r>
        <w:rPr>
          <w:b/>
          <w:bCs/>
          <w:lang w:val="en-GB"/>
        </w:rPr>
        <w:t>Table 1</w:t>
      </w:r>
      <w:r>
        <w:rPr>
          <w:lang w:val="en-GB"/>
        </w:rPr>
        <w:t xml:space="preserve">. After checking all inclusion and exclusion criteria, the patient was enrolled in phase IIIB of the TRIPHASE Trial and randomised to undergo white light imaging first. </w:t>
      </w:r>
    </w:p>
    <w:p w14:paraId="3DA720F4" w14:textId="77777777" w:rsidR="00C51EE9" w:rsidRPr="00A65AD9" w:rsidRDefault="00C51EE9" w:rsidP="007B4720">
      <w:pPr>
        <w:rPr>
          <w:lang w:val="en-GB"/>
        </w:rPr>
      </w:pPr>
    </w:p>
    <w:p w14:paraId="3BF1C6E5" w14:textId="447077C0" w:rsidR="00510644" w:rsidRPr="00A65AD9" w:rsidRDefault="00C51EE9" w:rsidP="007B4720">
      <w:pPr>
        <w:rPr>
          <w:lang w:val="en-GB"/>
        </w:rPr>
      </w:pPr>
      <w:r>
        <w:rPr>
          <w:lang w:val="en-GB"/>
        </w:rPr>
        <w:t xml:space="preserve">In phase II, 2.5 mg nizaracianine was selected for the remainder of the trial; therefore, the patient received a single 2.5 mg dose of nizaracianine at the time of the first incision. No changes in vital signs or electrocardiographic parameters were observed within 5 min of administration. Trocars were inserted, and the robotic system was docked to facilitate the procedure.</w:t>
      </w:r>
    </w:p>
    <w:p w14:paraId="2148DC1E" w14:textId="456803E7" w:rsidR="00510644" w:rsidRPr="00A65AD9" w:rsidRDefault="00510644" w:rsidP="007B4720">
      <w:pPr>
        <w:rPr>
          <w:lang w:val="en-GB"/>
        </w:rPr>
      </w:pPr>
    </w:p>
    <w:p w14:paraId="613F22A1" w14:textId="0753FA41" w:rsidR="001E3D6F" w:rsidRPr="00A65AD9" w:rsidRDefault="004B7137" w:rsidP="007B4720">
      <w:pPr>
        <w:rPr>
          <w:lang w:val="en-GB"/>
        </w:rPr>
      </w:pPr>
      <w:r>
        <w:rPr>
          <w:lang w:val="en-GB"/>
        </w:rPr>
        <w:t xml:space="preserve">At the start of the procedure, the sigmoid colon was mobilized using diathermy to divide adhesions surrounding the inflammatory infiltrate and adjacent sigmoid segments. The sigmoid colon was ultimately fully medialised. Assessment of the left ureter was first performed 1 h and 30 min after administration of nizaracianine. Assessments were performed systematically by using questionnaires designed for the TRIPHASE Trial. The ureter was invisible under white light imaging and was presumed to have shifted medially due to the acute inflammatory process. However, NIR imaging enabled visualisation of the ureter through the peritoneum with an SBR of 8.8, demonstrating a more lateral position than anticipated (</w:t>
      </w:r>
      <w:r>
        <w:rPr>
          <w:b/>
          <w:bCs/>
          <w:lang w:val="en-GB"/>
        </w:rPr>
        <w:t>Figure 2</w:t>
      </w:r>
      <w:r>
        <w:rPr>
          <w:lang w:val="en-GB"/>
        </w:rPr>
        <w:t xml:space="preserve">). Nizaracianine imaging also confirmed the absence of iatrogenic injury during mobilisation of the sigmoid colon, as no leakage or spillage of urine/nizaracianine was observed using NIR imaging. </w:t>
      </w:r>
    </w:p>
    <w:p w14:paraId="6DFC89B5" w14:textId="77777777" w:rsidR="00500C8B" w:rsidRDefault="00500C8B" w:rsidP="007B4720">
      <w:pPr>
        <w:rPr>
          <w:lang w:val="en-GB"/>
        </w:rPr>
      </w:pPr>
    </w:p>
    <w:p w14:paraId="67F7642F" w14:textId="4A7B0F08" w:rsidR="001E3D6F" w:rsidRPr="00500C8B" w:rsidRDefault="001E3D6F" w:rsidP="007B4720">
      <w:pPr>
        <w:rPr>
          <w:b/>
          <w:bCs/>
          <w:lang w:val="en-GB"/>
        </w:rPr>
      </w:pPr>
      <w:r>
        <w:rPr>
          <w:b/>
          <w:bCs/>
          <w:lang w:val="en-GB"/>
        </w:rPr>
        <w:t>White light and NIR imaging with retroperitoneal fascia intact</w:t>
      </w:r>
    </w:p>
    <w:p w14:paraId="0F3DBDC8" w14:textId="7682B94C" w:rsidR="001E3D6F" w:rsidRPr="00A65AD9" w:rsidRDefault="001E3D6F" w:rsidP="007B4720">
      <w:pPr>
        <w:rPr>
          <w:lang w:val="en-GB"/>
        </w:rPr>
      </w:pPr>
      <w:r>
        <w:rPr>
          <w:lang w:val="en-GB"/>
        </w:rPr>
        <w:lastRenderedPageBreak/>
        <w:t xml:space="preserve">Dissection of the retroperitoneal fascia was performed, followed by opening of the mesorectum, with preservation of the superior rectal artery to maintain adequate rectal perfusion. The sigmoid colon was skeletonised proximal to the ink demarcation marking the intended distal anastomotic plane. After 2 h, the left ureter was reassessed. White light imaging enabled only partial visualisation, whereas NIR imaging allowed complete visualisation of the ureter with an SBR of 10.9 (</w:t>
      </w:r>
      <w:r>
        <w:rPr>
          <w:b/>
          <w:bCs/>
          <w:lang w:val="en-GB"/>
        </w:rPr>
        <w:t>Figure 3</w:t>
      </w:r>
      <w:r>
        <w:rPr>
          <w:lang w:val="en-GB"/>
        </w:rPr>
        <w:t>).</w:t>
      </w:r>
    </w:p>
    <w:p w14:paraId="20CEAA49" w14:textId="6DDF2341" w:rsidR="00EA6CDA" w:rsidRPr="00A65AD9" w:rsidRDefault="00EA6CDA" w:rsidP="007B4720">
      <w:pPr>
        <w:rPr>
          <w:b/>
          <w:bCs/>
          <w:lang w:val="en-GB"/>
        </w:rPr>
      </w:pPr>
      <w:r>
        <w:rPr>
          <w:lang w:val="en-GB"/>
        </w:rPr>
        <w:t xml:space="preserve"> </w:t>
      </w:r>
    </w:p>
    <w:p w14:paraId="33677056" w14:textId="7B3A388E" w:rsidR="00EA6CDA" w:rsidRPr="00500C8B" w:rsidRDefault="00EA6CDA" w:rsidP="007B4720">
      <w:pPr>
        <w:rPr>
          <w:b/>
          <w:bCs/>
          <w:lang w:val="en-GB"/>
        </w:rPr>
      </w:pPr>
      <w:r>
        <w:rPr>
          <w:b/>
          <w:bCs/>
          <w:lang w:val="en-GB"/>
        </w:rPr>
        <w:t>White light and NIR imaging with retroperitoneal fascia dissected</w:t>
      </w:r>
    </w:p>
    <w:p w14:paraId="735CE705" w14:textId="1DAE2D95" w:rsidR="00A703A3" w:rsidRDefault="004B7137" w:rsidP="007B4720">
      <w:pPr>
        <w:rPr>
          <w:lang w:val="en-GB"/>
        </w:rPr>
      </w:pPr>
      <w:r>
        <w:rPr>
          <w:lang w:val="en-GB"/>
        </w:rPr>
        <w:t xml:space="preserve">Multiple diverticula were identified proximal to the inflammatory segment, necessitating a more proximal resection margin than initially anticipated. To ensure sufficient length for a tension-free anastomosis, mobilisation of the descending colon was required. Adhesions and a more dorsal course of the left colic flexure hindered mobilisation, necessitating a more proximal approach. The greater omentum was dissected from the transverse colon, thereby entering the lesser sac (bursa omentalis). Despite this approach, mobilisation of the descending colon remained challenging due to persistent dorsal fixation. During this process, an iatrogenic injury to the afferent colonic limb occurred, resulting in faecal contamination, which was managed with thorough irrigation. Complete mobilisation of the descending colon was ultimately achieved through alternating distal and proximal approaches.</w:t>
      </w:r>
    </w:p>
    <w:p w14:paraId="59B38326" w14:textId="77777777" w:rsidR="00F37FF6" w:rsidRPr="00A65AD9" w:rsidRDefault="00F37FF6" w:rsidP="007B4720">
      <w:pPr>
        <w:rPr>
          <w:lang w:val="en-GB"/>
        </w:rPr>
      </w:pPr>
    </w:p>
    <w:p w14:paraId="636CAE2E" w14:textId="71E4FEBF" w:rsidR="00682A3A" w:rsidRPr="00A65AD9" w:rsidRDefault="004B7137" w:rsidP="007B4720">
      <w:pPr>
        <w:rPr>
          <w:lang w:val="en-GB"/>
        </w:rPr>
      </w:pPr>
      <w:r>
        <w:rPr>
          <w:lang w:val="en-GB"/>
        </w:rPr>
        <w:t xml:space="preserve">The efferent limb of the sigmoid colon was transected at the level of the ink demarcation using an Endo GIA</w:t>
      </w:r>
      <w:r>
        <w:rPr>
          <w:vertAlign w:val="superscript"/>
          <w:lang w:val="en-GB"/>
        </w:rPr>
        <w:t>TM</w:t>
      </w:r>
      <w:r>
        <w:rPr>
          <w:lang w:val="en-GB"/>
        </w:rPr>
        <w:t xml:space="preserve"> stapler (60 mm, purple cartridge). The procedure was then converted to a limited lower abdominal laparotomy to allow exteriorisation of the sigmoid colon, descending colon, and distal transverse colon. The defect in the transverse colon was repaired, as was an additional serosal injury identified during exteriorisation, located distal to the initial defect. The resection plane of the afferent limb was defined and divided using diathermy. A circular stapler (28 mm, black cartridge) was introduced, and the afferent limb was returned to the abdominal cavity. The abdomen was irrigated again, and a drain was placed in the left paracolic gutter. Continuity was restored with an end-to-side isoperistaltic anastomosis, the integrity of which was confirmed with an air leak (insufflation) test. Finally, the position, integrity, and function of the left ureter were reassessed using nizaracianine. While white light imaging allowed identification of the ureter, it did not adequately delineate its course or confirm its integrity and function. In contrast, NIR imaging clearly demonstrated the full course, integrity, and function of the ureter. This was confirmed by visualization of ureteral peristaltic flow of nifuracianine along the full ureteral course, without any signs of leakage, with an SBR of 11.4 (</w:t>
      </w:r>
      <w:r>
        <w:rPr>
          <w:b/>
          <w:bCs/>
          <w:lang w:val="en-GB"/>
        </w:rPr>
        <w:t>Figure 4</w:t>
      </w:r>
      <w:r>
        <w:rPr>
          <w:lang w:val="en-GB"/>
        </w:rPr>
        <w:t>).</w:t>
      </w:r>
    </w:p>
    <w:p w14:paraId="377C7D0B" w14:textId="77777777" w:rsidR="00F37FF6" w:rsidRDefault="00F37FF6" w:rsidP="007B4720">
      <w:pPr>
        <w:rPr>
          <w:lang w:val="en-GB"/>
        </w:rPr>
      </w:pPr>
    </w:p>
    <w:p w14:paraId="73B8D5B5" w14:textId="29C2F6A2" w:rsidR="00EA6CDA" w:rsidRPr="00F37FF6" w:rsidRDefault="00EA6CDA" w:rsidP="007B4720">
      <w:pPr>
        <w:rPr>
          <w:b/>
          <w:bCs/>
          <w:lang w:val="en-GB"/>
        </w:rPr>
      </w:pPr>
      <w:r>
        <w:rPr>
          <w:b/>
          <w:bCs/>
          <w:lang w:val="en-GB"/>
        </w:rPr>
        <w:t>White light and NIR imaging with retroperitoneal fascia dissected</w:t>
      </w:r>
    </w:p>
    <w:p w14:paraId="279FC145" w14:textId="56EA59C9" w:rsidR="00EA6CDA" w:rsidRPr="00A65AD9" w:rsidRDefault="00EA6CDA" w:rsidP="007B4720">
      <w:pPr>
        <w:rPr>
          <w:lang w:val="en-GB"/>
        </w:rPr>
      </w:pPr>
      <w:r>
        <w:rPr>
          <w:lang w:val="en-GB"/>
        </w:rPr>
        <w:t xml:space="preserve">At the time of surgical closure, no clinically significant alterations in vital signs or electrocardiographic parameters were observed. In the postoperative questionnaire mandated by the TRIPHASE trial, the surgeon reported that nizaracianine markedly improved identification of the left ureter, enhanced intraoperative decision-making, reduced the extent of dissection required, and contributed to the avoidance of ureteric injury.</w:t>
      </w:r>
    </w:p>
    <w:p w14:paraId="36C640A5" w14:textId="77777777" w:rsidR="00EA6CDA" w:rsidRPr="00A65AD9" w:rsidRDefault="00EA6CDA" w:rsidP="007B4720">
      <w:pPr>
        <w:rPr>
          <w:lang w:val="en-GB"/>
        </w:rPr>
      </w:pPr>
    </w:p>
    <w:p w14:paraId="6EAAC5D7" w14:textId="77777777" w:rsidR="00EA6CDA" w:rsidRPr="00A65AD9" w:rsidRDefault="00EA6CDA" w:rsidP="007B4720">
      <w:pPr>
        <w:rPr>
          <w:lang w:val="en-GB"/>
        </w:rPr>
      </w:pPr>
      <w:r>
        <w:rPr>
          <w:lang w:val="en-GB"/>
        </w:rPr>
        <w:t xml:space="preserve">The postoperative course was complicated. The patient developed a perforated diverticulum in the remaining descending colon, necessitating a left-sided hemicolectomy on day four. Despite </w:t>
        <w:lastRenderedPageBreak/>
        <w:t>placement of a drain in the left paracolic gutter, a left upper quadrant abscess subsequently developed and was successfully managed with ultrasound-guided percutaneous drainage. The patient was discharged on antibiotic therapy with planned outpatient follow-up.</w:t>
      </w:r>
    </w:p>
    <w:p w14:paraId="2874C962" w14:textId="77777777" w:rsidR="00EA6CDA" w:rsidRPr="00A65AD9" w:rsidRDefault="00EA6CDA" w:rsidP="007B4720">
      <w:pPr>
        <w:rPr>
          <w:lang w:val="en-GB"/>
        </w:rPr>
      </w:pPr>
    </w:p>
    <w:p w14:paraId="235E8D3E" w14:textId="316F4109" w:rsidR="00EA6CDA" w:rsidRPr="00A65AD9" w:rsidRDefault="00EA6CDA" w:rsidP="007B4720">
      <w:pPr>
        <w:rPr>
          <w:lang w:val="en-GB"/>
        </w:rPr>
      </w:pPr>
      <w:r>
        <w:rPr>
          <w:lang w:val="en-GB"/>
        </w:rPr>
        <w:t xml:space="preserve">At 21 days after the initial procedure, follow-up in accordance with the TRIPHASE trial protocol showed no clinically significant abnormalities in vital signs, electrocardiography, haematology, biochemistry, or urinalysis. No treatment-related adverse events were observed, indicating that nizaracianine was well tolerated in this patient.</w:t>
      </w:r>
    </w:p>
    <w:p w14:paraId="6FE52A6F" w14:textId="171F6058" w:rsidR="00EA13F2" w:rsidRPr="00A65AD9" w:rsidRDefault="00EA13F2" w:rsidP="007B4720">
      <w:pPr>
        <w:rPr>
          <w:lang w:val="en-GB"/>
        </w:rPr>
      </w:pPr>
    </w:p>
    <w:p w14:paraId="16B6E186" w14:textId="623ED81D" w:rsidR="00A703A3" w:rsidRDefault="004B7137" w:rsidP="007B4720">
      <w:pPr>
        <w:rPr>
          <w:b/>
          <w:lang w:val="en-GB"/>
        </w:rPr>
      </w:pPr>
      <w:r>
        <w:rPr>
          <w:b/>
          <w:lang w:val="en-GB"/>
        </w:rPr>
        <w:t>FIGURE AND TABLE LEGENDS:</w:t>
      </w:r>
    </w:p>
    <w:p w14:paraId="2909F45D" w14:textId="77777777" w:rsidR="008242E7" w:rsidRPr="00A65AD9" w:rsidRDefault="008242E7" w:rsidP="007B4720">
      <w:pPr>
        <w:rPr>
          <w:lang w:val="en-GB"/>
        </w:rPr>
      </w:pPr>
    </w:p>
    <w:p w14:paraId="6D590C49" w14:textId="246DB503" w:rsidR="00A703A3" w:rsidRDefault="004B7137" w:rsidP="007B4720">
      <w:pPr>
        <w:rPr>
          <w:lang w:val="en-GB"/>
        </w:rPr>
      </w:pPr>
      <w:r>
        <w:rPr>
          <w:b/>
          <w:bCs/>
          <w:lang w:val="en-GB"/>
        </w:rPr>
        <w:t xml:space="preserve">Figure 1: </w:t>
      </w:r>
      <w:r>
        <w:rPr>
          <w:lang w:val="en-GB"/>
        </w:rPr>
        <w:t xml:space="preserve"> </w:t>
      </w:r>
      <w:r>
        <w:rPr>
          <w:b/>
          <w:bCs/>
          <w:lang w:val="en-GB"/>
        </w:rPr>
        <w:t xml:space="preserve">CT-scan of patient at initial presentation. </w:t>
      </w:r>
      <w:r>
        <w:rPr>
          <w:lang w:val="en-GB"/>
        </w:rPr>
        <w:t xml:space="preserve">Frontal and sagittal CT-planes depicting diverticulitis of the sigmoid with extensive infiltration with left ureter involvement, and multiple gas configurations surrounding inflamed diverticula. </w:t>
      </w:r>
    </w:p>
    <w:p w14:paraId="47940951" w14:textId="77777777" w:rsidR="008242E7" w:rsidRPr="008242E7" w:rsidRDefault="008242E7" w:rsidP="007B4720">
      <w:pPr>
        <w:rPr>
          <w:b/>
          <w:bCs/>
          <w:lang w:val="en-GB"/>
        </w:rPr>
      </w:pPr>
    </w:p>
    <w:p w14:paraId="607AB739" w14:textId="31177176" w:rsidR="00A703A3" w:rsidRDefault="004B7137" w:rsidP="007B4720">
      <w:pPr>
        <w:rPr>
          <w:lang w:val="en-GB"/>
        </w:rPr>
      </w:pPr>
      <w:r>
        <w:rPr>
          <w:b/>
          <w:bCs/>
          <w:lang w:val="en-GB"/>
        </w:rPr>
        <w:t xml:space="preserve">Figure 2: First look of the left ureter.</w:t>
      </w:r>
      <w:r>
        <w:rPr>
          <w:lang w:val="en-GB"/>
        </w:rPr>
        <w:t xml:space="preserve"> White light and NIR imaging with retroperitoneal fascia intact. Magnification: 3x.</w:t>
      </w:r>
    </w:p>
    <w:p w14:paraId="597D4A92" w14:textId="77777777" w:rsidR="0038662A" w:rsidRPr="008242E7" w:rsidRDefault="0038662A" w:rsidP="007B4720">
      <w:pPr>
        <w:rPr>
          <w:b/>
          <w:bCs/>
          <w:lang w:val="en-GB"/>
        </w:rPr>
      </w:pPr>
    </w:p>
    <w:p w14:paraId="32526491" w14:textId="0C0D178B" w:rsidR="004B3159" w:rsidRDefault="004B7137" w:rsidP="004B3159">
      <w:pPr>
        <w:rPr>
          <w:lang w:val="en-GB"/>
        </w:rPr>
      </w:pPr>
      <w:r>
        <w:rPr>
          <w:b/>
          <w:bCs/>
          <w:lang w:val="en-GB"/>
        </w:rPr>
        <w:t xml:space="preserve">Figure 3: Second look of the left ureter.</w:t>
      </w:r>
      <w:r>
        <w:rPr>
          <w:lang w:val="en-GB"/>
        </w:rPr>
        <w:t xml:space="preserve"> White light and NIR imaging with retroperitoneal dissection. Magnification: 3x.</w:t>
      </w:r>
    </w:p>
    <w:p w14:paraId="16B6B6DA" w14:textId="77777777" w:rsidR="008A1FDD" w:rsidRPr="0038662A" w:rsidRDefault="008A1FDD" w:rsidP="007B4720">
      <w:pPr>
        <w:rPr>
          <w:b/>
          <w:bCs/>
          <w:lang w:val="en-GB"/>
        </w:rPr>
      </w:pPr>
    </w:p>
    <w:p w14:paraId="249C8A93" w14:textId="77777777" w:rsidR="004B3159" w:rsidRDefault="004B7137" w:rsidP="004B3159">
      <w:pPr>
        <w:rPr>
          <w:lang w:val="en-GB"/>
        </w:rPr>
      </w:pPr>
      <w:r>
        <w:rPr>
          <w:b/>
          <w:bCs/>
          <w:lang w:val="en-GB"/>
        </w:rPr>
        <w:t xml:space="preserve">Figure 4: Last look of the left ureter.</w:t>
      </w:r>
      <w:r>
        <w:rPr>
          <w:lang w:val="en-GB"/>
        </w:rPr>
        <w:t xml:space="preserve"> White light and NIR imaging with retroperitoneal dissection. Magnification: 3x.</w:t>
      </w:r>
    </w:p>
    <w:p w14:paraId="10219198" w14:textId="77777777" w:rsidR="00543DC2" w:rsidRPr="00543DC2" w:rsidRDefault="00543DC2" w:rsidP="007B4720">
      <w:pPr>
        <w:rPr>
          <w:b/>
          <w:bCs/>
          <w:lang w:val="en-GB"/>
        </w:rPr>
      </w:pPr>
    </w:p>
    <w:p w14:paraId="5B19FE0D" w14:textId="3D90A1A0" w:rsidR="00A703A3" w:rsidRPr="00543DC2" w:rsidRDefault="004B7137" w:rsidP="007B4720">
      <w:pPr>
        <w:rPr>
          <w:b/>
          <w:bCs/>
          <w:lang w:val="en-GB"/>
        </w:rPr>
      </w:pPr>
      <w:r>
        <w:rPr>
          <w:b/>
          <w:bCs/>
          <w:lang w:val="en-GB"/>
        </w:rPr>
        <w:t xml:space="preserve">Table 1: Baseline characteristics. </w:t>
      </w:r>
      <w:r>
        <w:rPr>
          <w:lang w:val="en-GB"/>
        </w:rPr>
        <w:t xml:space="preserve">Parameters obtained during screening three days prior to surgery, in accordance with the TRIPHASE Trial protocol.</w:t>
      </w:r>
    </w:p>
    <w:p w14:paraId="0F341350" w14:textId="77777777" w:rsidR="00A703A3" w:rsidRPr="00A65AD9" w:rsidRDefault="00A703A3" w:rsidP="007B4720">
      <w:pPr>
        <w:rPr>
          <w:lang w:val="en-GB"/>
        </w:rPr>
      </w:pPr>
    </w:p>
    <w:p w14:paraId="5BD5AEB1" w14:textId="5FE35460" w:rsidR="00A703A3" w:rsidRPr="00A65AD9" w:rsidRDefault="004B7137" w:rsidP="007B4720">
      <w:pPr>
        <w:rPr>
          <w:b/>
          <w:lang w:val="en-GB"/>
        </w:rPr>
      </w:pPr>
      <w:r>
        <w:rPr>
          <w:b/>
          <w:lang w:val="en-GB"/>
        </w:rPr>
        <w:t>DISCUSSION:</w:t>
      </w:r>
    </w:p>
    <w:p w14:paraId="2F9B92D8" w14:textId="7228A085" w:rsidR="00A703A3" w:rsidRPr="00A65AD9" w:rsidRDefault="004B7137" w:rsidP="007B4720">
      <w:pPr>
        <w:rPr>
          <w:lang w:val="en-GB"/>
        </w:rPr>
      </w:pPr>
      <w:r>
        <w:rPr>
          <w:lang w:val="en-GB"/>
        </w:rPr>
        <w:t xml:space="preserve">Complicated diverticulitis remains a challenge for surgeons and requires ongoing risk assessment and surgical planning. This case demonstrates that a visual aid, such as nizaracianine, can help guide surgeons intraoperatively and reduce the risk of ureteral injury. Accurate intraoperative identification of the ureters remains challenging, particularly given their retroperitoneal location, which often precludes direct visualisation. This difficulty is further compounded by factors such as anatomical variation, adhesions, inflammatory disease, and malignancy, all of which may distort the surgical field within the lower abdomen.</w:t>
      </w:r>
    </w:p>
    <w:p w14:paraId="7E5D3A70" w14:textId="77777777" w:rsidR="00A703A3" w:rsidRPr="00A65AD9" w:rsidRDefault="00A703A3" w:rsidP="007B4720">
      <w:pPr>
        <w:rPr>
          <w:lang w:val="en-GB"/>
        </w:rPr>
      </w:pPr>
    </w:p>
    <w:p w14:paraId="5997CFF3" w14:textId="186A6AD8" w:rsidR="00A703A3" w:rsidRPr="00A65AD9" w:rsidRDefault="004B7137" w:rsidP="007B4720">
      <w:pPr>
        <w:rPr>
          <w:lang w:val="en-GB"/>
        </w:rPr>
      </w:pPr>
      <w:r>
        <w:rPr>
          <w:lang w:val="en-GB"/>
        </w:rPr>
        <w:t>Historically, techniques such as retroperitoneal fascia dissection and the placement of double-J stents or ureteric catheters have been employed to enhance ureteric palpability and visibility. However, these approaches are invasive, prolong operative time, and require additional resources, including specialised equipment and personnel. Moreover, they are associated with an increased risk of genitourinary complications, including urinary tract infection, haematuria, and renal impairment</w:t>
      </w:r>
      <w:r>
        <w:rPr>
          <w:vertAlign w:val="superscript"/>
          <w:lang w:val="en-GB"/>
        </w:rPr>
        <w:t>2–4</w:t>
      </w:r>
      <w:r>
        <w:rPr>
          <w:lang w:val="en-GB"/>
        </w:rPr>
        <w:t>.</w:t>
      </w:r>
    </w:p>
    <w:p w14:paraId="26A45A65" w14:textId="77777777" w:rsidR="004573A7" w:rsidRPr="00A65AD9" w:rsidRDefault="004573A7" w:rsidP="007B4720">
      <w:pPr>
        <w:rPr>
          <w:lang w:val="en-GB"/>
        </w:rPr>
      </w:pPr>
    </w:p>
    <w:p w14:paraId="2AA039BA" w14:textId="7899BED0" w:rsidR="00A703A3" w:rsidRPr="00A65AD9" w:rsidRDefault="004B7137" w:rsidP="007B4720">
      <w:pPr>
        <w:rPr>
          <w:lang w:val="en-GB"/>
        </w:rPr>
      </w:pPr>
      <w:r>
        <w:rPr>
          <w:lang w:val="en-GB"/>
        </w:rPr>
        <w:t xml:space="preserve">The limitations of these methods are further accentuated in laparoscopic and robotic surgery, </w:t>
        <w:lastRenderedPageBreak/>
        <w:t xml:space="preserve">where the absence of tactile feedback reduces their effectiveness. Consequently, there remains a clear need for a non-invasive modality that reliably identifies the ureter and could potentially reduce patient morbidity, operative duration, or healthcare costs. </w:t>
      </w:r>
    </w:p>
    <w:p w14:paraId="5FD34E57" w14:textId="77777777" w:rsidR="00A703A3" w:rsidRPr="00A65AD9" w:rsidRDefault="00A703A3" w:rsidP="007B4720">
      <w:pPr>
        <w:rPr>
          <w:lang w:val="en-GB"/>
        </w:rPr>
      </w:pPr>
    </w:p>
    <w:p w14:paraId="48713B2B" w14:textId="21F42A9B" w:rsidR="00A703A3" w:rsidRPr="00A65AD9" w:rsidRDefault="004B7137" w:rsidP="007B4720">
      <w:pPr>
        <w:rPr>
          <w:lang w:val="en-GB"/>
        </w:rPr>
      </w:pPr>
      <w:r>
        <w:rPr>
          <w:lang w:val="en-GB"/>
        </w:rPr>
        <w:t xml:space="preserve">The effect of nizaracianine in this case is evident, as reflected in the surgeon’s intra- and postoperative assessments, SBR analysis, and illustrated in </w:t>
      </w:r>
      <w:r>
        <w:rPr>
          <w:b/>
          <w:bCs/>
          <w:lang w:val="en-GB"/>
        </w:rPr>
        <w:t xml:space="preserve">Figure 2, Figure 3, </w:t>
      </w:r>
      <w:r>
        <w:rPr>
          <w:lang w:val="en-GB"/>
        </w:rPr>
        <w:t xml:space="preserve">and </w:t>
      </w:r>
      <w:r>
        <w:rPr>
          <w:b/>
          <w:bCs/>
          <w:lang w:val="en-GB"/>
        </w:rPr>
        <w:t xml:space="preserve">Figure 4</w:t>
      </w:r>
      <w:r>
        <w:rPr>
          <w:lang w:val="en-GB"/>
        </w:rPr>
        <w:t xml:space="preserve">. However, the consistency of this effect may be subject to variation. As previously noted, NIR fluorescence has a tissue penetration depth of several millimetres, depending on tissue density, which may limit visualisation of ureters that are deeply situated or obscured. Notably, in such circumstances, the immediate risk of iatrogenic injury is also likely to be reduced.</w:t>
      </w:r>
    </w:p>
    <w:p w14:paraId="3AF7B91D" w14:textId="77777777" w:rsidR="00A703A3" w:rsidRPr="00A65AD9" w:rsidRDefault="00A703A3" w:rsidP="007B4720">
      <w:pPr>
        <w:rPr>
          <w:lang w:val="en-GB"/>
        </w:rPr>
      </w:pPr>
    </w:p>
    <w:p w14:paraId="133C837D" w14:textId="135ADDE6" w:rsidR="006F477F" w:rsidRPr="00A65AD9" w:rsidRDefault="00682A3A" w:rsidP="007B4720">
      <w:pPr>
        <w:rPr>
          <w:lang w:val="en-GB"/>
        </w:rPr>
      </w:pPr>
      <w:r>
        <w:rPr>
          <w:lang w:val="en-GB"/>
        </w:rPr>
        <w:t xml:space="preserve">Time of administration also has a considerable impact on the effect of Nizaracianine. As the effect is based on SBR, it is beneficial to minimize the background signal as much as possible. High background signal commonly occurs in the initial period after dosing, due to relatively high intra- and extracellular compartment nizaracianine concentrations. Administration should therefore occur at least at the start of surgery to obtain the effects described in this report. </w:t>
      </w:r>
    </w:p>
    <w:p w14:paraId="45178D48" w14:textId="77777777" w:rsidR="006F477F" w:rsidRPr="00A65AD9" w:rsidRDefault="006F477F" w:rsidP="007B4720">
      <w:pPr>
        <w:rPr>
          <w:lang w:val="en-GB"/>
        </w:rPr>
      </w:pPr>
    </w:p>
    <w:p w14:paraId="42D48979" w14:textId="4604CFB8" w:rsidR="006F477F" w:rsidRPr="00A65AD9" w:rsidRDefault="006F477F" w:rsidP="007B4720">
      <w:pPr>
        <w:rPr>
          <w:lang w:val="en-GB"/>
        </w:rPr>
      </w:pPr>
      <w:r>
        <w:rPr>
          <w:lang w:val="en-GB"/>
        </w:rPr>
        <w:t xml:space="preserve">On the other hand, SBR analysis for urine flow is also prone to subjective evaluation. The background region of interest is typically drawn from the white-light image, as it reflects the surgeon's regular view. However, this approach cannot be applied to urine evaluation, as both the signal and background regions of interest shift due to peristalsis. </w:t>
      </w:r>
      <w:r>
        <w:t>To minimize error in SBR measurements, the background ROI must be drawn on the NIR image and have the same size and shape as the signal ROI.</w:t>
      </w:r>
    </w:p>
    <w:p w14:paraId="25CD5E9B" w14:textId="77777777" w:rsidR="00682A3A" w:rsidRPr="00A65AD9" w:rsidRDefault="00682A3A" w:rsidP="007B4720">
      <w:pPr>
        <w:rPr>
          <w:lang w:val="en-GB"/>
        </w:rPr>
      </w:pPr>
    </w:p>
    <w:p w14:paraId="4C8554DE" w14:textId="6DD8B48A" w:rsidR="00A703A3" w:rsidRPr="00A65AD9" w:rsidRDefault="004B7137" w:rsidP="007B4720">
      <w:pPr>
        <w:rPr>
          <w:lang w:val="en-GB"/>
        </w:rPr>
      </w:pPr>
      <w:r>
        <w:rPr>
          <w:lang w:val="en-GB"/>
        </w:rPr>
        <w:t xml:space="preserve">A recognised limitation of nizaracianine is its dependence on urinary flow for effective visualization. Consequently, ureteric identification is not continuous, in contrast to techniques such as retrograde administration of ICG or the use of the f</w:t>
      </w:r>
      <w:r>
        <w:t xml:space="preserve">luorescent ureteral catheter</w:t>
      </w:r>
      <w:r>
        <w:rPr>
          <w:vertAlign w:val="superscript"/>
          <w:lang w:val="en-GB"/>
        </w:rPr>
        <w:t>16,17</w:t>
      </w:r>
      <w:r>
        <w:rPr>
          <w:lang w:val="en-GB"/>
        </w:rPr>
        <w:t xml:space="preserve">. This may introduce intermittent delays while awaiting passage of fluorescent urine. Furthermore, perioperative fluid restriction commonly results in mild dehydration, potentially reducing urine production and, therefore, the delivery of nizaracianine to the ureters. This may lead to periods when the ureter lies within the detectable range of NIR imaging yet remains undetected, increasing the risk of false-negative findings. Accordingly, negative NIR imaging results should be interpreted with caution.</w:t>
      </w:r>
    </w:p>
    <w:p w14:paraId="11DC96D6" w14:textId="77777777" w:rsidR="00A83846" w:rsidRPr="00A65AD9" w:rsidRDefault="00A83846" w:rsidP="007B4720">
      <w:pPr>
        <w:rPr>
          <w:lang w:val="en-GB"/>
        </w:rPr>
      </w:pPr>
    </w:p>
    <w:p w14:paraId="3FBF2667" w14:textId="71A5BEF2" w:rsidR="004C1FE2" w:rsidRPr="00A65AD9" w:rsidRDefault="004C1FE2" w:rsidP="007B4720">
      <w:pPr>
        <w:rPr>
          <w:lang w:val="en-GB"/>
        </w:rPr>
      </w:pPr>
      <w:r>
        <w:rPr>
          <w:lang w:val="en-GB"/>
        </w:rPr>
        <w:t xml:space="preserve">To address these limitations, experience with NIR imaging and/or adherence to standardized NIR imaging protocols is recommended. For ureter identification specifically, we suggest imaging for a minimum of 10 s to account for reduced urinary flow. Maintaining a consistent camera-tissue distance and hovering over the suspected ureter location to cover a larger area is also important. If the fluorescent signal is limited or absent, cautious, stepwise dissection is advised, with frequent NIR imaging performed throughout.</w:t>
      </w:r>
    </w:p>
    <w:p w14:paraId="23310774" w14:textId="77777777" w:rsidR="004C1FE2" w:rsidRPr="00A65AD9" w:rsidRDefault="004C1FE2" w:rsidP="007B4720">
      <w:pPr>
        <w:rPr>
          <w:lang w:val="en-GB"/>
        </w:rPr>
      </w:pPr>
    </w:p>
    <w:p w14:paraId="79B744C1" w14:textId="7D10F140" w:rsidR="00EB0A6F" w:rsidRPr="00A65AD9" w:rsidRDefault="004C1FE2" w:rsidP="007B4720">
      <w:pPr>
        <w:rPr>
          <w:lang w:val="en-GB"/>
        </w:rPr>
      </w:pPr>
      <w:r>
        <w:rPr>
          <w:lang w:val="en-GB"/>
        </w:rPr>
        <w:t xml:space="preserve">The TRIPHASE trial implemented structured, timepoint-based action items to be performed during surgery. This included timing of dose administration, imaging, collection of vital signs and ECG, and administration of questionnaires. Study coordinators were trained on the study </w:t>
        <w:lastRenderedPageBreak/>
        <w:t xml:space="preserve">protocol, with particular emphasis on the use of the NIR imaging system and image analysis. Also, blinded independent reviewers always independently measured </w:t>
      </w:r>
      <w:r>
        <w:t xml:space="preserve">SBRs. </w:t>
      </w:r>
      <w:r>
        <w:rPr>
          <w:lang w:val="en-GB"/>
        </w:rPr>
        <w:t>These standardized procedures ensured thorough and comparable data collection across all study sites.</w:t>
      </w:r>
    </w:p>
    <w:p w14:paraId="6DE02074" w14:textId="77777777" w:rsidR="004C1FE2" w:rsidRPr="00A65AD9" w:rsidRDefault="004C1FE2" w:rsidP="007B4720">
      <w:pPr>
        <w:rPr>
          <w:lang w:val="en-GB"/>
        </w:rPr>
      </w:pPr>
    </w:p>
    <w:p w14:paraId="5ED38A05" w14:textId="66F5D357" w:rsidR="004C1FE2" w:rsidRPr="00A65AD9" w:rsidRDefault="00503451" w:rsidP="007B4720">
      <w:pPr>
        <w:rPr>
          <w:lang w:val="en-GB"/>
        </w:rPr>
      </w:pPr>
      <w:r>
        <w:rPr>
          <w:lang w:val="en-GB"/>
        </w:rPr>
        <w:t xml:space="preserve">The TRIPHASE Trial aims to confirm this using two complementary methods: subjective assessments obtained through structured questionnaires, and objective measurements derived from quantitative image and safety analyses. This combination will ultimately indicate whether nizaracianine improves ureter identification compared to white light, reduces dissection otherwise considered necessary, and confirms ureter function and integrity at the end of surgery. </w:t>
      </w:r>
    </w:p>
    <w:p w14:paraId="4E30DD74" w14:textId="77777777" w:rsidR="004C1FE2" w:rsidRPr="00A65AD9" w:rsidRDefault="004C1FE2" w:rsidP="007B4720">
      <w:pPr>
        <w:rPr>
          <w:lang w:val="en-GB"/>
        </w:rPr>
      </w:pPr>
    </w:p>
    <w:p w14:paraId="3652CF0E" w14:textId="3A1BE51C" w:rsidR="00FB34A2" w:rsidRPr="00A65AD9" w:rsidRDefault="00FB34A2" w:rsidP="007B4720">
      <w:pPr>
        <w:rPr>
          <w:lang w:val="en-GB"/>
        </w:rPr>
      </w:pPr>
      <w:r>
        <w:rPr>
          <w:lang w:val="en-GB"/>
        </w:rPr>
        <w:t xml:space="preserve">Reductions in ureter injury, general morbidity, or healthcare costs will not be investigated, as the TRIPHASE trial is neither powered nor designed to assess these endpoints. Following market approval, nizaracianine can be further investigated on a larger scale. For instance, its impact on healthcare costs could then be assessed using Health Technology Assessments. Ureter injury prevalence could be investigated in larger randomized trials; however, it remains to be determined whether the actual value and contribution of nizaracianine lies in the prevention of ureter injury, or in its general role as an intraoperative diagnostic tool to guide surgeons.</w:t>
      </w:r>
    </w:p>
    <w:p w14:paraId="32159F7E" w14:textId="77777777" w:rsidR="00A703A3" w:rsidRPr="00A65AD9" w:rsidRDefault="00A703A3" w:rsidP="007B4720">
      <w:pPr>
        <w:rPr>
          <w:lang w:val="en-GB"/>
        </w:rPr>
      </w:pPr>
    </w:p>
    <w:p w14:paraId="02946C42" w14:textId="167D39B9" w:rsidR="00A703A3" w:rsidRPr="00A65AD9" w:rsidRDefault="004B7137" w:rsidP="007B4720">
      <w:pPr>
        <w:pBdr>
          <w:top w:val="nil"/>
          <w:left w:val="nil"/>
          <w:bottom w:val="nil"/>
          <w:right w:val="nil"/>
          <w:between w:val="nil"/>
        </w:pBdr>
        <w:rPr>
          <w:lang w:val="en-GB"/>
        </w:rPr>
      </w:pPr>
      <w:r>
        <w:rPr>
          <w:b/>
          <w:lang w:val="en-GB"/>
        </w:rPr>
        <w:t>ACKNOWLEDGMENTS:</w:t>
      </w:r>
    </w:p>
    <w:p w14:paraId="1309DE65" w14:textId="490CB637" w:rsidR="00A703A3" w:rsidRPr="00A65AD9" w:rsidRDefault="00503451" w:rsidP="007B4720">
      <w:pPr>
        <w:pBdr>
          <w:top w:val="nil"/>
          <w:left w:val="nil"/>
          <w:bottom w:val="nil"/>
          <w:right w:val="nil"/>
          <w:between w:val="nil"/>
        </w:pBdr>
        <w:rPr>
          <w:lang w:val="en-GB"/>
        </w:rPr>
      </w:pPr>
      <w:r>
        <w:rPr>
          <w:lang w:val="en-GB"/>
        </w:rPr>
        <w:t xml:space="preserve">The authors sincerely thank the entire surgical team at LUMC for their assistance during the robot-assisted sigmoidectomy and their contribution to the collection of all TRIPHASE trial-related data.</w:t>
      </w:r>
    </w:p>
    <w:p w14:paraId="353E1661" w14:textId="7B5E84A0" w:rsidR="00524DB5" w:rsidRPr="00A65AD9" w:rsidRDefault="00524DB5" w:rsidP="007B4720">
      <w:pPr>
        <w:rPr>
          <w:b/>
          <w:lang w:val="en-GB"/>
        </w:rPr>
      </w:pPr>
    </w:p>
    <w:p w14:paraId="755CB1FD" w14:textId="1377940C" w:rsidR="00A703A3" w:rsidRPr="00A65AD9" w:rsidRDefault="004B7137" w:rsidP="007B4720">
      <w:pPr>
        <w:pBdr>
          <w:top w:val="nil"/>
          <w:left w:val="nil"/>
          <w:bottom w:val="nil"/>
          <w:right w:val="nil"/>
          <w:between w:val="nil"/>
        </w:pBdr>
        <w:rPr>
          <w:lang w:val="en-GB"/>
        </w:rPr>
      </w:pPr>
      <w:r>
        <w:rPr>
          <w:b/>
          <w:lang w:val="en-GB"/>
        </w:rPr>
        <w:t>DISCLOSURES:</w:t>
      </w:r>
    </w:p>
    <w:p w14:paraId="002532EC" w14:textId="6725CADD" w:rsidR="00A703A3" w:rsidRPr="00A65AD9" w:rsidRDefault="004B7137" w:rsidP="007B4720">
      <w:pPr>
        <w:rPr>
          <w:lang w:val="en-GB"/>
        </w:rPr>
      </w:pPr>
      <w:r>
        <w:rPr>
          <w:lang w:val="en-GB"/>
        </w:rPr>
        <w:t xml:space="preserve">John V. Frangioni is the founder and CEO of Curadel Pharma, Inc, a for-profit company marketing the FLARE technology platform for NIR fluorescence-guided surgery. The other authors declare no competing interests.</w:t>
      </w:r>
    </w:p>
    <w:p w14:paraId="2E1F2C87" w14:textId="5F5D117A" w:rsidR="009D2F64" w:rsidRPr="00A65AD9" w:rsidRDefault="009D2F64" w:rsidP="007B4720">
      <w:pPr>
        <w:rPr>
          <w:lang w:val="en-GB"/>
        </w:rPr>
      </w:pPr>
    </w:p>
    <w:p w14:paraId="0C13C658" w14:textId="4B357D43" w:rsidR="00A703A3" w:rsidRPr="00A65AD9" w:rsidRDefault="004B7137" w:rsidP="007B4720">
      <w:pPr>
        <w:pBdr>
          <w:top w:val="nil"/>
          <w:left w:val="nil"/>
          <w:bottom w:val="nil"/>
          <w:right w:val="nil"/>
          <w:between w:val="nil"/>
        </w:pBdr>
        <w:rPr>
          <w:lang w:val="en-GB"/>
        </w:rPr>
      </w:pPr>
      <w:bookmarkStart w:id="1" w:name="bookmark=id.3j2qqm3" w:colFirst="0" w:colLast="0"/>
      <w:bookmarkEnd w:id="1"/>
      <w:r>
        <w:rPr>
          <w:b/>
          <w:lang w:val="en-GB"/>
        </w:rPr>
        <w:t>REFERENCES:</w:t>
      </w:r>
    </w:p>
    <w:p w14:paraId="2913DC5E" w14:textId="6D4686AE"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Cirstoiu M, et al. Strategies of preventing ureteral iatrogenic injuries in obstetrics gynecology. J Med Life. 2012;5(3):277-279. </w:t>
      </w:r>
    </w:p>
    <w:p w14:paraId="79F9D88A" w14:textId="7E96023C"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Visco AG, et al. Cost-effectiveness of universal cystoscopy to identify ureteral injury at hysterectomy. Obstet Gynecol. 2001;97(5 Pt 1):685-692. </w:t>
      </w:r>
    </w:p>
    <w:p w14:paraId="00F51089" w14:textId="156B5AA4"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Wu HH, et al. The detection of ureteral injuries after hysterectomy. J Minim Invasive Gynecol. 2006;13(5):403-408. </w:t>
      </w:r>
    </w:p>
    <w:p w14:paraId="5488088C" w14:textId="5A21B82C"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Sérénon V, et al. Iatrogenic ureteral injury during colorectal surgery has a significant impact on patient outcomes: a French multicentric retrospective cohort study. Colorectal Dis. 2023;25(7):1433-1445. </w:t>
      </w:r>
    </w:p>
    <w:p w14:paraId="01BCC638" w14:textId="3ED6DB2D"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Basic D, et al. Iatrogenic ureteral trauma: a 16-year single tertiary centre experience. Srp Arh Celok Lek. 2015;143(3-4):162-168. </w:t>
      </w:r>
    </w:p>
    <w:p w14:paraId="420D0BBD" w14:textId="51121916"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Dowling RA, et al. Iatrogenic ureteral injury. J Urol. 1986;135(5):912-915. </w:t>
      </w:r>
    </w:p>
    <w:p w14:paraId="098830C0" w14:textId="52976458"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Palaniappa NC, et al. Incidence of iatrogenic ureteral injury after laparoscopic colectomy. Arch Surg. 2012;147(3):267. </w:t>
      </w:r>
    </w:p>
    <w:p w14:paraId="48C2ED1F" w14:textId="7774A4E8"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lastRenderedPageBreak/>
        <w:t xml:space="preserve">Wei G, et al. Systematic review of urological injury during caesarean section and hysterectomy. Int Urogynecol J. 2023;34(2):371-389. </w:t>
      </w:r>
    </w:p>
    <w:p w14:paraId="790FA104" w14:textId="0316F479"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Halabi WJ, et al. Ureteral injuries in colorectal surgery: an analysis of trends, outcomes, and risk factors over a 10-year period in the United States. Dis Colon Rectum. 2014;57(2):179-186. </w:t>
      </w:r>
    </w:p>
    <w:p w14:paraId="67A0FFBA" w14:textId="33E6BBE8"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Faber RA, Verbeek FPR, de Valk KS, Burggraaf J, Vahrmeijer AL, Mieog JSD. A systematic review of clinically available and experimental dyes for intraoperative near-infrared fluorescence imaging of the ureters during laparoscopic surgery. Laparosc Surg. 2021:</w:t>
      </w:r>
      <w:r>
        <w:t xml:space="preserve"> </w:t>
      </w:r>
      <w:r>
        <w:rPr>
          <w:rFonts w:ascii="Calibri" w:eastAsia="Times New Roman" w:hAnsi="Calibri" w:cs="Calibri"/>
          <w:sz w:val="24"/>
          <w:szCs w:val="24"/>
          <w:lang w:val="en-IN" w:eastAsia="en-IN"/>
        </w:rPr>
        <w:t>DOI:10.21037/ls-20-111.</w:t>
      </w:r>
    </w:p>
    <w:p w14:paraId="267F645B" w14:textId="314063C6"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Pesch CMW, van Hoorn CG, Burggraaf J, Vahrmeijer AL, Mieog JSD. Near-infrared fluorescence imaging for intraoperative ureter identification: a systematic review. J Surg Res. 2026;326:146-158. </w:t>
      </w:r>
    </w:p>
    <w:p w14:paraId="0039AC1D" w14:textId="22349ADF"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Vahrmeijer AL, et al. Image-guided cancer surgery using near-infrared fluorescence. Nat Rev Clin Oncol. 2013;10(9):507-518. </w:t>
      </w:r>
    </w:p>
    <w:p w14:paraId="3F8C78BA" w14:textId="002B9EEF"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Faber RA, et al. Indocyanine green near-infrared fluorescence bowel perfusion assessment to prevent anastomotic leakage in minimally invasive colorectal surgery (AVOID): a multicentre, randomised, controlled, phase 3 trial. Lancet Gastroenterol Hepatol. 2024;9(10):924-934. </w:t>
      </w:r>
    </w:p>
    <w:p w14:paraId="0B004726" w14:textId="58452CCA"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de Valk KS, et al. A zwitterionic near-infrared fluorophore for real-time ureter identification during laparoscopic abdominopelvic surgery. Nat Commun. 2019;10(1):3118. </w:t>
      </w:r>
    </w:p>
    <w:p w14:paraId="24B63AEC" w14:textId="40837F4A" w:rsidR="00F373C2" w:rsidRPr="00621BE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Neijenhuis LKA, et al. Pharmacokinetics, safety, tolerability and fluorescence imaging of nizaracianine triflutate administered in three divided doses to healthy volunteers. Br J Clin Pharmacol. 2026;</w:t>
      </w:r>
      <w:r>
        <w:rPr>
          <w:rStyle w:val="cit"/>
          <w:rFonts w:ascii="Calibri" w:hAnsi="Calibri" w:cs="Calibri"/>
          <w:sz w:val="24"/>
          <w:szCs w:val="24"/>
          <w:shd w:val="clear" w:color="auto" w:fill="FFFFFF"/>
        </w:rPr>
        <w:t>92(7):2085-2094</w:t>
      </w:r>
      <w:r>
        <w:rPr>
          <w:rFonts w:ascii="Calibri" w:eastAsia="Times New Roman" w:hAnsi="Calibri" w:cs="Calibri"/>
          <w:sz w:val="24"/>
          <w:szCs w:val="24"/>
          <w:lang w:val="en-IN" w:eastAsia="en-IN"/>
        </w:rPr>
        <w:t xml:space="preserve">. </w:t>
      </w:r>
    </w:p>
    <w:p w14:paraId="7DFF3976" w14:textId="192E8BE1" w:rsidR="00F373C2" w:rsidRPr="00C90DD1" w:rsidRDefault="00F373C2" w:rsidP="00C90DD1">
      <w:pPr>
        <w:pStyle w:val="ListParagraph"/>
        <w:numPr>
          <w:ilvl w:val="0"/>
          <w:numId w:val="39"/>
        </w:numPr>
        <w:spacing w:after="0" w:line="240" w:lineRule="auto"/>
        <w:ind w:left="0" w:firstLine="0"/>
        <w:jc w:val="both"/>
        <w:rPr>
          <w:rFonts w:ascii="Calibri" w:eastAsia="Times New Roman" w:hAnsi="Calibri" w:cs="Calibri"/>
          <w:sz w:val="24"/>
          <w:szCs w:val="24"/>
          <w:lang w:val="en-IN" w:eastAsia="en-IN"/>
        </w:rPr>
      </w:pPr>
      <w:r>
        <w:rPr>
          <w:rFonts w:ascii="Calibri" w:eastAsia="Times New Roman" w:hAnsi="Calibri" w:cs="Calibri"/>
          <w:sz w:val="24"/>
          <w:szCs w:val="24"/>
          <w:lang w:val="en-IN" w:eastAsia="en-IN"/>
        </w:rPr>
        <w:t xml:space="preserve">Siddighi S, Yune JJ, Hardesty J. Indocyanine green for intraoperative localization of ureter. Am J Obstet Gynecol. 2014;211(4):436.e1-2. </w:t>
      </w:r>
    </w:p>
    <w:p w14:paraId="0489B697" w14:textId="1AEB0667" w:rsidR="00F373C2" w:rsidRPr="00C90DD1" w:rsidRDefault="00F373C2" w:rsidP="00C90DD1">
      <w:pPr>
        <w:pStyle w:val="ListParagraph"/>
        <w:numPr>
          <w:ilvl w:val="0"/>
          <w:numId w:val="39"/>
        </w:numPr>
        <w:pBdr>
          <w:top w:val="nil"/>
          <w:left w:val="nil"/>
          <w:bottom w:val="nil"/>
          <w:right w:val="nil"/>
          <w:between w:val="nil"/>
        </w:pBdr>
        <w:spacing w:after="0" w:line="240" w:lineRule="auto"/>
        <w:ind w:left="0" w:firstLine="0"/>
        <w:jc w:val="both"/>
        <w:rPr>
          <w:rFonts w:ascii="Calibri" w:hAnsi="Calibri" w:cs="Calibri"/>
          <w:bCs/>
          <w:sz w:val="24"/>
          <w:szCs w:val="24"/>
          <w:lang w:val="nl-NL"/>
        </w:rPr>
      </w:pPr>
      <w:r>
        <w:rPr>
          <w:rFonts w:ascii="Calibri" w:eastAsia="Times New Roman" w:hAnsi="Calibri" w:cs="Calibri"/>
          <w:sz w:val="24"/>
          <w:szCs w:val="24"/>
          <w:lang w:val="en-IN" w:eastAsia="en-IN"/>
        </w:rPr>
        <w:t xml:space="preserve">Ryu S, Hara K, Kitagawa T, Okamoto A, Marukuchi R, Ito R, et al. Fluorescence vessel and ureter navigation during laparoscopic lateral lymph node dissection. Langenbecks Arch Surg. 2022;407(1):305-312. </w:t>
      </w:r>
    </w:p>
    <w:sectPr w:rsidR="00F373C2" w:rsidRPr="00C90DD1" w:rsidSect="007B4720">
      <w:headerReference w:type="even" r:id="rId15"/>
      <w:headerReference w:type="default" r:id="rId16"/>
      <w:footerReference w:type="even" r:id="rId17"/>
      <w:headerReference w:type="first" r:id="rId18"/>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50C93" w14:textId="77777777" w:rsidR="004B7137" w:rsidRDefault="004B7137">
      <w:r>
        <w:separator/>
      </w:r>
    </w:p>
  </w:endnote>
  <w:endnote w:type="continuationSeparator" w:id="0">
    <w:p w14:paraId="2C416C43" w14:textId="77777777" w:rsidR="004B7137" w:rsidRDefault="004B7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A165" w14:textId="77777777" w:rsidR="004B7137" w:rsidRDefault="004B7137">
      <w:r>
        <w:separator/>
      </w:r>
    </w:p>
  </w:footnote>
  <w:footnote w:type="continuationSeparator" w:id="0">
    <w:p w14:paraId="2736BC73" w14:textId="77777777" w:rsidR="004B7137" w:rsidRDefault="004B7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4B7137">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BC09" w14:textId="4DF58F45" w:rsidR="00BA5A89" w:rsidRDefault="00BA5A89">
    <w:pPr>
      <w:pBdr>
        <w:top w:val="nil"/>
        <w:left w:val="nil"/>
        <w:bottom w:val="nil"/>
        <w:right w:val="nil"/>
        <w:between w:val="nil"/>
      </w:pBdr>
      <w:tabs>
        <w:tab w:val="center" w:pos="4680"/>
        <w:tab w:val="right" w:pos="9360"/>
      </w:tabs>
      <w:jc w:val="right"/>
      <w:rPr>
        <w:b/>
        <w:noProof/>
        <w:color w:val="1F497D"/>
        <w:sz w:val="32"/>
        <w:szCs w:val="32"/>
      </w:rPr>
    </w:pPr>
  </w:p>
  <w:p w14:paraId="09104647" w14:textId="3DBCE243"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18F1"/>
    <w:multiLevelType w:val="hybridMultilevel"/>
    <w:tmpl w:val="F8545232"/>
    <w:lvl w:ilvl="0" w:tplc="A0EAAC00">
      <w:start w:val="1"/>
      <w:numFmt w:val="decimal"/>
      <w:lvlText w:val="%1."/>
      <w:lvlJc w:val="left"/>
      <w:pPr>
        <w:ind w:left="1020" w:hanging="360"/>
      </w:pPr>
    </w:lvl>
    <w:lvl w:ilvl="1" w:tplc="13D4F26E">
      <w:start w:val="1"/>
      <w:numFmt w:val="decimal"/>
      <w:lvlText w:val="%2."/>
      <w:lvlJc w:val="left"/>
      <w:pPr>
        <w:ind w:left="1020" w:hanging="360"/>
      </w:pPr>
    </w:lvl>
    <w:lvl w:ilvl="2" w:tplc="10B424C2">
      <w:start w:val="1"/>
      <w:numFmt w:val="decimal"/>
      <w:lvlText w:val="%3."/>
      <w:lvlJc w:val="left"/>
      <w:pPr>
        <w:ind w:left="1020" w:hanging="360"/>
      </w:pPr>
    </w:lvl>
    <w:lvl w:ilvl="3" w:tplc="6936D8D2">
      <w:start w:val="1"/>
      <w:numFmt w:val="decimal"/>
      <w:lvlText w:val="%4."/>
      <w:lvlJc w:val="left"/>
      <w:pPr>
        <w:ind w:left="1020" w:hanging="360"/>
      </w:pPr>
    </w:lvl>
    <w:lvl w:ilvl="4" w:tplc="739C8B42">
      <w:start w:val="1"/>
      <w:numFmt w:val="decimal"/>
      <w:lvlText w:val="%5."/>
      <w:lvlJc w:val="left"/>
      <w:pPr>
        <w:ind w:left="1020" w:hanging="360"/>
      </w:pPr>
    </w:lvl>
    <w:lvl w:ilvl="5" w:tplc="F732CF38">
      <w:start w:val="1"/>
      <w:numFmt w:val="decimal"/>
      <w:lvlText w:val="%6."/>
      <w:lvlJc w:val="left"/>
      <w:pPr>
        <w:ind w:left="1020" w:hanging="360"/>
      </w:pPr>
    </w:lvl>
    <w:lvl w:ilvl="6" w:tplc="4192E05A">
      <w:start w:val="1"/>
      <w:numFmt w:val="decimal"/>
      <w:lvlText w:val="%7."/>
      <w:lvlJc w:val="left"/>
      <w:pPr>
        <w:ind w:left="1020" w:hanging="360"/>
      </w:pPr>
    </w:lvl>
    <w:lvl w:ilvl="7" w:tplc="6CDA47D6">
      <w:start w:val="1"/>
      <w:numFmt w:val="decimal"/>
      <w:lvlText w:val="%8."/>
      <w:lvlJc w:val="left"/>
      <w:pPr>
        <w:ind w:left="1020" w:hanging="360"/>
      </w:pPr>
    </w:lvl>
    <w:lvl w:ilvl="8" w:tplc="41802966">
      <w:start w:val="1"/>
      <w:numFmt w:val="decimal"/>
      <w:lvlText w:val="%9."/>
      <w:lvlJc w:val="left"/>
      <w:pPr>
        <w:ind w:left="1020" w:hanging="360"/>
      </w:pPr>
    </w:lvl>
  </w:abstractNum>
  <w:abstractNum w:abstractNumId="1" w15:restartNumberingAfterBreak="0">
    <w:nsid w:val="0FE15FCA"/>
    <w:multiLevelType w:val="hybridMultilevel"/>
    <w:tmpl w:val="E132C326"/>
    <w:lvl w:ilvl="0" w:tplc="FEBC22CC">
      <w:start w:val="1"/>
      <w:numFmt w:val="bullet"/>
      <w:lvlText w:val=""/>
      <w:lvlJc w:val="left"/>
      <w:pPr>
        <w:ind w:left="360" w:hanging="360"/>
      </w:pPr>
      <w:rPr>
        <w:rFonts w:ascii="Symbol" w:hAnsi="Symbol" w:hint="default"/>
        <w:color w:val="808080" w:themeColor="background1" w:themeShade="80"/>
        <w:sz w:val="28"/>
        <w:szCs w:val="28"/>
      </w:rPr>
    </w:lvl>
    <w:lvl w:ilvl="1" w:tplc="6C2E8914" w:tentative="1">
      <w:start w:val="1"/>
      <w:numFmt w:val="bullet"/>
      <w:lvlText w:val="o"/>
      <w:lvlJc w:val="left"/>
      <w:pPr>
        <w:ind w:left="1440" w:hanging="360"/>
      </w:pPr>
      <w:rPr>
        <w:rFonts w:ascii="Courier New" w:hAnsi="Courier New" w:cs="Courier New" w:hint="default"/>
      </w:rPr>
    </w:lvl>
    <w:lvl w:ilvl="2" w:tplc="348C581A" w:tentative="1">
      <w:start w:val="1"/>
      <w:numFmt w:val="bullet"/>
      <w:lvlText w:val=""/>
      <w:lvlJc w:val="left"/>
      <w:pPr>
        <w:ind w:left="2160" w:hanging="360"/>
      </w:pPr>
      <w:rPr>
        <w:rFonts w:ascii="Wingdings" w:hAnsi="Wingdings" w:hint="default"/>
      </w:rPr>
    </w:lvl>
    <w:lvl w:ilvl="3" w:tplc="2F9282A4" w:tentative="1">
      <w:start w:val="1"/>
      <w:numFmt w:val="bullet"/>
      <w:lvlText w:val=""/>
      <w:lvlJc w:val="left"/>
      <w:pPr>
        <w:ind w:left="2880" w:hanging="360"/>
      </w:pPr>
      <w:rPr>
        <w:rFonts w:ascii="Symbol" w:hAnsi="Symbol" w:hint="default"/>
      </w:rPr>
    </w:lvl>
    <w:lvl w:ilvl="4" w:tplc="4E9C37BE" w:tentative="1">
      <w:start w:val="1"/>
      <w:numFmt w:val="bullet"/>
      <w:lvlText w:val="o"/>
      <w:lvlJc w:val="left"/>
      <w:pPr>
        <w:ind w:left="3600" w:hanging="360"/>
      </w:pPr>
      <w:rPr>
        <w:rFonts w:ascii="Courier New" w:hAnsi="Courier New" w:cs="Courier New" w:hint="default"/>
      </w:rPr>
    </w:lvl>
    <w:lvl w:ilvl="5" w:tplc="02C0F686" w:tentative="1">
      <w:start w:val="1"/>
      <w:numFmt w:val="bullet"/>
      <w:lvlText w:val=""/>
      <w:lvlJc w:val="left"/>
      <w:pPr>
        <w:ind w:left="4320" w:hanging="360"/>
      </w:pPr>
      <w:rPr>
        <w:rFonts w:ascii="Wingdings" w:hAnsi="Wingdings" w:hint="default"/>
      </w:rPr>
    </w:lvl>
    <w:lvl w:ilvl="6" w:tplc="195427F2" w:tentative="1">
      <w:start w:val="1"/>
      <w:numFmt w:val="bullet"/>
      <w:lvlText w:val=""/>
      <w:lvlJc w:val="left"/>
      <w:pPr>
        <w:ind w:left="5040" w:hanging="360"/>
      </w:pPr>
      <w:rPr>
        <w:rFonts w:ascii="Symbol" w:hAnsi="Symbol" w:hint="default"/>
      </w:rPr>
    </w:lvl>
    <w:lvl w:ilvl="7" w:tplc="FC48EB5E" w:tentative="1">
      <w:start w:val="1"/>
      <w:numFmt w:val="bullet"/>
      <w:lvlText w:val="o"/>
      <w:lvlJc w:val="left"/>
      <w:pPr>
        <w:ind w:left="5760" w:hanging="360"/>
      </w:pPr>
      <w:rPr>
        <w:rFonts w:ascii="Courier New" w:hAnsi="Courier New" w:cs="Courier New" w:hint="default"/>
      </w:rPr>
    </w:lvl>
    <w:lvl w:ilvl="8" w:tplc="300247F4"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F176C7A2">
      <w:start w:val="1"/>
      <w:numFmt w:val="decimal"/>
      <w:lvlText w:val="%1."/>
      <w:lvlJc w:val="left"/>
      <w:pPr>
        <w:ind w:left="720" w:hanging="360"/>
      </w:pPr>
    </w:lvl>
    <w:lvl w:ilvl="1" w:tplc="33C21E24" w:tentative="1">
      <w:start w:val="1"/>
      <w:numFmt w:val="lowerLetter"/>
      <w:lvlText w:val="%2."/>
      <w:lvlJc w:val="left"/>
      <w:pPr>
        <w:ind w:left="1440" w:hanging="360"/>
      </w:pPr>
    </w:lvl>
    <w:lvl w:ilvl="2" w:tplc="9AF67C4A" w:tentative="1">
      <w:start w:val="1"/>
      <w:numFmt w:val="lowerRoman"/>
      <w:lvlText w:val="%3."/>
      <w:lvlJc w:val="right"/>
      <w:pPr>
        <w:ind w:left="2160" w:hanging="180"/>
      </w:pPr>
    </w:lvl>
    <w:lvl w:ilvl="3" w:tplc="C4CA1AE2" w:tentative="1">
      <w:start w:val="1"/>
      <w:numFmt w:val="decimal"/>
      <w:lvlText w:val="%4."/>
      <w:lvlJc w:val="left"/>
      <w:pPr>
        <w:ind w:left="2880" w:hanging="360"/>
      </w:pPr>
    </w:lvl>
    <w:lvl w:ilvl="4" w:tplc="9496A6F8" w:tentative="1">
      <w:start w:val="1"/>
      <w:numFmt w:val="lowerLetter"/>
      <w:lvlText w:val="%5."/>
      <w:lvlJc w:val="left"/>
      <w:pPr>
        <w:ind w:left="3600" w:hanging="360"/>
      </w:pPr>
    </w:lvl>
    <w:lvl w:ilvl="5" w:tplc="E1C28118" w:tentative="1">
      <w:start w:val="1"/>
      <w:numFmt w:val="lowerRoman"/>
      <w:lvlText w:val="%6."/>
      <w:lvlJc w:val="right"/>
      <w:pPr>
        <w:ind w:left="4320" w:hanging="180"/>
      </w:pPr>
    </w:lvl>
    <w:lvl w:ilvl="6" w:tplc="E684F9E8" w:tentative="1">
      <w:start w:val="1"/>
      <w:numFmt w:val="decimal"/>
      <w:lvlText w:val="%7."/>
      <w:lvlJc w:val="left"/>
      <w:pPr>
        <w:ind w:left="5040" w:hanging="360"/>
      </w:pPr>
    </w:lvl>
    <w:lvl w:ilvl="7" w:tplc="F4C6D416" w:tentative="1">
      <w:start w:val="1"/>
      <w:numFmt w:val="lowerLetter"/>
      <w:lvlText w:val="%8."/>
      <w:lvlJc w:val="left"/>
      <w:pPr>
        <w:ind w:left="5760" w:hanging="360"/>
      </w:pPr>
    </w:lvl>
    <w:lvl w:ilvl="8" w:tplc="0986A1FC" w:tentative="1">
      <w:start w:val="1"/>
      <w:numFmt w:val="lowerRoman"/>
      <w:lvlText w:val="%9."/>
      <w:lvlJc w:val="right"/>
      <w:pPr>
        <w:ind w:left="6480" w:hanging="180"/>
      </w:pPr>
    </w:lvl>
  </w:abstractNum>
  <w:abstractNum w:abstractNumId="3" w15:restartNumberingAfterBreak="0">
    <w:nsid w:val="13FE2620"/>
    <w:multiLevelType w:val="multilevel"/>
    <w:tmpl w:val="D1486AB4"/>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316D04"/>
    <w:multiLevelType w:val="multilevel"/>
    <w:tmpl w:val="FF9A6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3950C8"/>
    <w:multiLevelType w:val="multilevel"/>
    <w:tmpl w:val="86E2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A043A"/>
    <w:multiLevelType w:val="hybridMultilevel"/>
    <w:tmpl w:val="97EA5562"/>
    <w:lvl w:ilvl="0" w:tplc="0EAE8F88">
      <w:start w:val="1"/>
      <w:numFmt w:val="decimal"/>
      <w:lvlText w:val="%1."/>
      <w:lvlJc w:val="left"/>
      <w:pPr>
        <w:ind w:left="720" w:hanging="360"/>
      </w:pPr>
    </w:lvl>
    <w:lvl w:ilvl="1" w:tplc="F1D4F700" w:tentative="1">
      <w:start w:val="1"/>
      <w:numFmt w:val="lowerLetter"/>
      <w:lvlText w:val="%2."/>
      <w:lvlJc w:val="left"/>
      <w:pPr>
        <w:ind w:left="1440" w:hanging="360"/>
      </w:pPr>
    </w:lvl>
    <w:lvl w:ilvl="2" w:tplc="60C0193A" w:tentative="1">
      <w:start w:val="1"/>
      <w:numFmt w:val="lowerRoman"/>
      <w:lvlText w:val="%3."/>
      <w:lvlJc w:val="right"/>
      <w:pPr>
        <w:ind w:left="2160" w:hanging="180"/>
      </w:pPr>
    </w:lvl>
    <w:lvl w:ilvl="3" w:tplc="11EA96FA" w:tentative="1">
      <w:start w:val="1"/>
      <w:numFmt w:val="decimal"/>
      <w:lvlText w:val="%4."/>
      <w:lvlJc w:val="left"/>
      <w:pPr>
        <w:ind w:left="2880" w:hanging="360"/>
      </w:pPr>
    </w:lvl>
    <w:lvl w:ilvl="4" w:tplc="651C4DF6" w:tentative="1">
      <w:start w:val="1"/>
      <w:numFmt w:val="lowerLetter"/>
      <w:lvlText w:val="%5."/>
      <w:lvlJc w:val="left"/>
      <w:pPr>
        <w:ind w:left="3600" w:hanging="360"/>
      </w:pPr>
    </w:lvl>
    <w:lvl w:ilvl="5" w:tplc="2684D8AA" w:tentative="1">
      <w:start w:val="1"/>
      <w:numFmt w:val="lowerRoman"/>
      <w:lvlText w:val="%6."/>
      <w:lvlJc w:val="right"/>
      <w:pPr>
        <w:ind w:left="4320" w:hanging="180"/>
      </w:pPr>
    </w:lvl>
    <w:lvl w:ilvl="6" w:tplc="AD04EA98" w:tentative="1">
      <w:start w:val="1"/>
      <w:numFmt w:val="decimal"/>
      <w:lvlText w:val="%7."/>
      <w:lvlJc w:val="left"/>
      <w:pPr>
        <w:ind w:left="5040" w:hanging="360"/>
      </w:pPr>
    </w:lvl>
    <w:lvl w:ilvl="7" w:tplc="90349EDE" w:tentative="1">
      <w:start w:val="1"/>
      <w:numFmt w:val="lowerLetter"/>
      <w:lvlText w:val="%8."/>
      <w:lvlJc w:val="left"/>
      <w:pPr>
        <w:ind w:left="5760" w:hanging="360"/>
      </w:pPr>
    </w:lvl>
    <w:lvl w:ilvl="8" w:tplc="4C6AD8A0" w:tentative="1">
      <w:start w:val="1"/>
      <w:numFmt w:val="lowerRoman"/>
      <w:lvlText w:val="%9."/>
      <w:lvlJc w:val="right"/>
      <w:pPr>
        <w:ind w:left="6480" w:hanging="180"/>
      </w:pPr>
    </w:lvl>
  </w:abstractNum>
  <w:abstractNum w:abstractNumId="7" w15:restartNumberingAfterBreak="0">
    <w:nsid w:val="22026F8B"/>
    <w:multiLevelType w:val="multilevel"/>
    <w:tmpl w:val="DBF4C59A"/>
    <w:lvl w:ilvl="0">
      <w:start w:val="1"/>
      <w:numFmt w:val="decimal"/>
      <w:lvlText w:val="%1."/>
      <w:lvlJc w:val="left"/>
      <w:pPr>
        <w:ind w:left="375" w:hanging="375"/>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8" w15:restartNumberingAfterBreak="0">
    <w:nsid w:val="240A5F44"/>
    <w:multiLevelType w:val="hybridMultilevel"/>
    <w:tmpl w:val="87FAFC60"/>
    <w:lvl w:ilvl="0" w:tplc="5000892A">
      <w:start w:val="1"/>
      <w:numFmt w:val="decimal"/>
      <w:lvlText w:val="%1."/>
      <w:lvlJc w:val="left"/>
      <w:pPr>
        <w:ind w:left="720" w:hanging="360"/>
      </w:pPr>
    </w:lvl>
    <w:lvl w:ilvl="1" w:tplc="96C0EBD0" w:tentative="1">
      <w:start w:val="1"/>
      <w:numFmt w:val="lowerLetter"/>
      <w:lvlText w:val="%2."/>
      <w:lvlJc w:val="left"/>
      <w:pPr>
        <w:ind w:left="1440" w:hanging="360"/>
      </w:pPr>
    </w:lvl>
    <w:lvl w:ilvl="2" w:tplc="24F65868" w:tentative="1">
      <w:start w:val="1"/>
      <w:numFmt w:val="lowerRoman"/>
      <w:lvlText w:val="%3."/>
      <w:lvlJc w:val="right"/>
      <w:pPr>
        <w:ind w:left="2160" w:hanging="180"/>
      </w:pPr>
    </w:lvl>
    <w:lvl w:ilvl="3" w:tplc="F8603ADA" w:tentative="1">
      <w:start w:val="1"/>
      <w:numFmt w:val="decimal"/>
      <w:lvlText w:val="%4."/>
      <w:lvlJc w:val="left"/>
      <w:pPr>
        <w:ind w:left="2880" w:hanging="360"/>
      </w:pPr>
    </w:lvl>
    <w:lvl w:ilvl="4" w:tplc="4D565CEE" w:tentative="1">
      <w:start w:val="1"/>
      <w:numFmt w:val="lowerLetter"/>
      <w:lvlText w:val="%5."/>
      <w:lvlJc w:val="left"/>
      <w:pPr>
        <w:ind w:left="3600" w:hanging="360"/>
      </w:pPr>
    </w:lvl>
    <w:lvl w:ilvl="5" w:tplc="A018644E" w:tentative="1">
      <w:start w:val="1"/>
      <w:numFmt w:val="lowerRoman"/>
      <w:lvlText w:val="%6."/>
      <w:lvlJc w:val="right"/>
      <w:pPr>
        <w:ind w:left="4320" w:hanging="180"/>
      </w:pPr>
    </w:lvl>
    <w:lvl w:ilvl="6" w:tplc="6A9E9652" w:tentative="1">
      <w:start w:val="1"/>
      <w:numFmt w:val="decimal"/>
      <w:lvlText w:val="%7."/>
      <w:lvlJc w:val="left"/>
      <w:pPr>
        <w:ind w:left="5040" w:hanging="360"/>
      </w:pPr>
    </w:lvl>
    <w:lvl w:ilvl="7" w:tplc="4E8EF48E" w:tentative="1">
      <w:start w:val="1"/>
      <w:numFmt w:val="lowerLetter"/>
      <w:lvlText w:val="%8."/>
      <w:lvlJc w:val="left"/>
      <w:pPr>
        <w:ind w:left="5760" w:hanging="360"/>
      </w:pPr>
    </w:lvl>
    <w:lvl w:ilvl="8" w:tplc="92984F18"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373D0"/>
    <w:multiLevelType w:val="hybridMultilevel"/>
    <w:tmpl w:val="64823644"/>
    <w:lvl w:ilvl="0" w:tplc="9968B7C2">
      <w:start w:val="1"/>
      <w:numFmt w:val="bullet"/>
      <w:lvlText w:val=""/>
      <w:lvlJc w:val="left"/>
      <w:pPr>
        <w:ind w:left="720" w:hanging="360"/>
      </w:pPr>
      <w:rPr>
        <w:rFonts w:ascii="Symbol" w:hAnsi="Symbol" w:hint="default"/>
      </w:rPr>
    </w:lvl>
    <w:lvl w:ilvl="1" w:tplc="1594575A" w:tentative="1">
      <w:start w:val="1"/>
      <w:numFmt w:val="bullet"/>
      <w:lvlText w:val="o"/>
      <w:lvlJc w:val="left"/>
      <w:pPr>
        <w:ind w:left="1440" w:hanging="360"/>
      </w:pPr>
      <w:rPr>
        <w:rFonts w:ascii="Courier New" w:hAnsi="Courier New" w:cs="Courier New" w:hint="default"/>
      </w:rPr>
    </w:lvl>
    <w:lvl w:ilvl="2" w:tplc="AAA6526C" w:tentative="1">
      <w:start w:val="1"/>
      <w:numFmt w:val="bullet"/>
      <w:lvlText w:val=""/>
      <w:lvlJc w:val="left"/>
      <w:pPr>
        <w:ind w:left="2160" w:hanging="360"/>
      </w:pPr>
      <w:rPr>
        <w:rFonts w:ascii="Wingdings" w:hAnsi="Wingdings" w:hint="default"/>
      </w:rPr>
    </w:lvl>
    <w:lvl w:ilvl="3" w:tplc="6240A0B4" w:tentative="1">
      <w:start w:val="1"/>
      <w:numFmt w:val="bullet"/>
      <w:lvlText w:val=""/>
      <w:lvlJc w:val="left"/>
      <w:pPr>
        <w:ind w:left="2880" w:hanging="360"/>
      </w:pPr>
      <w:rPr>
        <w:rFonts w:ascii="Symbol" w:hAnsi="Symbol" w:hint="default"/>
      </w:rPr>
    </w:lvl>
    <w:lvl w:ilvl="4" w:tplc="9D10EEA6" w:tentative="1">
      <w:start w:val="1"/>
      <w:numFmt w:val="bullet"/>
      <w:lvlText w:val="o"/>
      <w:lvlJc w:val="left"/>
      <w:pPr>
        <w:ind w:left="3600" w:hanging="360"/>
      </w:pPr>
      <w:rPr>
        <w:rFonts w:ascii="Courier New" w:hAnsi="Courier New" w:cs="Courier New" w:hint="default"/>
      </w:rPr>
    </w:lvl>
    <w:lvl w:ilvl="5" w:tplc="EFDED856" w:tentative="1">
      <w:start w:val="1"/>
      <w:numFmt w:val="bullet"/>
      <w:lvlText w:val=""/>
      <w:lvlJc w:val="left"/>
      <w:pPr>
        <w:ind w:left="4320" w:hanging="360"/>
      </w:pPr>
      <w:rPr>
        <w:rFonts w:ascii="Wingdings" w:hAnsi="Wingdings" w:hint="default"/>
      </w:rPr>
    </w:lvl>
    <w:lvl w:ilvl="6" w:tplc="F8D6EE12" w:tentative="1">
      <w:start w:val="1"/>
      <w:numFmt w:val="bullet"/>
      <w:lvlText w:val=""/>
      <w:lvlJc w:val="left"/>
      <w:pPr>
        <w:ind w:left="5040" w:hanging="360"/>
      </w:pPr>
      <w:rPr>
        <w:rFonts w:ascii="Symbol" w:hAnsi="Symbol" w:hint="default"/>
      </w:rPr>
    </w:lvl>
    <w:lvl w:ilvl="7" w:tplc="DD80FB6E" w:tentative="1">
      <w:start w:val="1"/>
      <w:numFmt w:val="bullet"/>
      <w:lvlText w:val="o"/>
      <w:lvlJc w:val="left"/>
      <w:pPr>
        <w:ind w:left="5760" w:hanging="360"/>
      </w:pPr>
      <w:rPr>
        <w:rFonts w:ascii="Courier New" w:hAnsi="Courier New" w:cs="Courier New" w:hint="default"/>
      </w:rPr>
    </w:lvl>
    <w:lvl w:ilvl="8" w:tplc="5FAC9E3E"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E07ABC"/>
    <w:multiLevelType w:val="hybridMultilevel"/>
    <w:tmpl w:val="DF8229D0"/>
    <w:lvl w:ilvl="0" w:tplc="834A467E">
      <w:start w:val="1"/>
      <w:numFmt w:val="decimal"/>
      <w:lvlText w:val="%1."/>
      <w:lvlJc w:val="left"/>
      <w:pPr>
        <w:ind w:left="720" w:hanging="360"/>
      </w:pPr>
    </w:lvl>
    <w:lvl w:ilvl="1" w:tplc="DBBC7638" w:tentative="1">
      <w:start w:val="1"/>
      <w:numFmt w:val="lowerLetter"/>
      <w:lvlText w:val="%2."/>
      <w:lvlJc w:val="left"/>
      <w:pPr>
        <w:ind w:left="1440" w:hanging="360"/>
      </w:pPr>
    </w:lvl>
    <w:lvl w:ilvl="2" w:tplc="D374C8E0" w:tentative="1">
      <w:start w:val="1"/>
      <w:numFmt w:val="lowerRoman"/>
      <w:lvlText w:val="%3."/>
      <w:lvlJc w:val="right"/>
      <w:pPr>
        <w:ind w:left="2160" w:hanging="180"/>
      </w:pPr>
    </w:lvl>
    <w:lvl w:ilvl="3" w:tplc="DAAA2C0C" w:tentative="1">
      <w:start w:val="1"/>
      <w:numFmt w:val="decimal"/>
      <w:lvlText w:val="%4."/>
      <w:lvlJc w:val="left"/>
      <w:pPr>
        <w:ind w:left="2880" w:hanging="360"/>
      </w:pPr>
    </w:lvl>
    <w:lvl w:ilvl="4" w:tplc="4E1AC95C" w:tentative="1">
      <w:start w:val="1"/>
      <w:numFmt w:val="lowerLetter"/>
      <w:lvlText w:val="%5."/>
      <w:lvlJc w:val="left"/>
      <w:pPr>
        <w:ind w:left="3600" w:hanging="360"/>
      </w:pPr>
    </w:lvl>
    <w:lvl w:ilvl="5" w:tplc="6B6809B6" w:tentative="1">
      <w:start w:val="1"/>
      <w:numFmt w:val="lowerRoman"/>
      <w:lvlText w:val="%6."/>
      <w:lvlJc w:val="right"/>
      <w:pPr>
        <w:ind w:left="4320" w:hanging="180"/>
      </w:pPr>
    </w:lvl>
    <w:lvl w:ilvl="6" w:tplc="C8AE4C82" w:tentative="1">
      <w:start w:val="1"/>
      <w:numFmt w:val="decimal"/>
      <w:lvlText w:val="%7."/>
      <w:lvlJc w:val="left"/>
      <w:pPr>
        <w:ind w:left="5040" w:hanging="360"/>
      </w:pPr>
    </w:lvl>
    <w:lvl w:ilvl="7" w:tplc="AC20F58C" w:tentative="1">
      <w:start w:val="1"/>
      <w:numFmt w:val="lowerLetter"/>
      <w:lvlText w:val="%8."/>
      <w:lvlJc w:val="left"/>
      <w:pPr>
        <w:ind w:left="5760" w:hanging="360"/>
      </w:pPr>
    </w:lvl>
    <w:lvl w:ilvl="8" w:tplc="A072B17E" w:tentative="1">
      <w:start w:val="1"/>
      <w:numFmt w:val="lowerRoman"/>
      <w:lvlText w:val="%9."/>
      <w:lvlJc w:val="right"/>
      <w:pPr>
        <w:ind w:left="6480" w:hanging="180"/>
      </w:p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C1A0466"/>
    <w:multiLevelType w:val="hybridMultilevel"/>
    <w:tmpl w:val="C3763DC2"/>
    <w:lvl w:ilvl="0" w:tplc="C57E1D46">
      <w:start w:val="1"/>
      <w:numFmt w:val="decimal"/>
      <w:lvlText w:val="%1."/>
      <w:lvlJc w:val="left"/>
      <w:pPr>
        <w:ind w:left="720" w:hanging="360"/>
      </w:pPr>
      <w:rPr>
        <w:rFonts w:hint="default"/>
      </w:rPr>
    </w:lvl>
    <w:lvl w:ilvl="1" w:tplc="77AEB852" w:tentative="1">
      <w:start w:val="1"/>
      <w:numFmt w:val="lowerLetter"/>
      <w:lvlText w:val="%2."/>
      <w:lvlJc w:val="left"/>
      <w:pPr>
        <w:ind w:left="1440" w:hanging="360"/>
      </w:pPr>
    </w:lvl>
    <w:lvl w:ilvl="2" w:tplc="CF5A6A1A" w:tentative="1">
      <w:start w:val="1"/>
      <w:numFmt w:val="lowerRoman"/>
      <w:lvlText w:val="%3."/>
      <w:lvlJc w:val="right"/>
      <w:pPr>
        <w:ind w:left="2160" w:hanging="180"/>
      </w:pPr>
    </w:lvl>
    <w:lvl w:ilvl="3" w:tplc="DC3C6A76" w:tentative="1">
      <w:start w:val="1"/>
      <w:numFmt w:val="decimal"/>
      <w:lvlText w:val="%4."/>
      <w:lvlJc w:val="left"/>
      <w:pPr>
        <w:ind w:left="2880" w:hanging="360"/>
      </w:pPr>
    </w:lvl>
    <w:lvl w:ilvl="4" w:tplc="9AAE78BA" w:tentative="1">
      <w:start w:val="1"/>
      <w:numFmt w:val="lowerLetter"/>
      <w:lvlText w:val="%5."/>
      <w:lvlJc w:val="left"/>
      <w:pPr>
        <w:ind w:left="3600" w:hanging="360"/>
      </w:pPr>
    </w:lvl>
    <w:lvl w:ilvl="5" w:tplc="DD1AA76A" w:tentative="1">
      <w:start w:val="1"/>
      <w:numFmt w:val="lowerRoman"/>
      <w:lvlText w:val="%6."/>
      <w:lvlJc w:val="right"/>
      <w:pPr>
        <w:ind w:left="4320" w:hanging="180"/>
      </w:pPr>
    </w:lvl>
    <w:lvl w:ilvl="6" w:tplc="174E92E2" w:tentative="1">
      <w:start w:val="1"/>
      <w:numFmt w:val="decimal"/>
      <w:lvlText w:val="%7."/>
      <w:lvlJc w:val="left"/>
      <w:pPr>
        <w:ind w:left="5040" w:hanging="360"/>
      </w:pPr>
    </w:lvl>
    <w:lvl w:ilvl="7" w:tplc="79B6A53C" w:tentative="1">
      <w:start w:val="1"/>
      <w:numFmt w:val="lowerLetter"/>
      <w:lvlText w:val="%8."/>
      <w:lvlJc w:val="left"/>
      <w:pPr>
        <w:ind w:left="5760" w:hanging="360"/>
      </w:pPr>
    </w:lvl>
    <w:lvl w:ilvl="8" w:tplc="A05EE1E2" w:tentative="1">
      <w:start w:val="1"/>
      <w:numFmt w:val="lowerRoman"/>
      <w:lvlText w:val="%9."/>
      <w:lvlJc w:val="right"/>
      <w:pPr>
        <w:ind w:left="6480" w:hanging="180"/>
      </w:p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8D081224">
      <w:start w:val="1"/>
      <w:numFmt w:val="bullet"/>
      <w:lvlText w:val=""/>
      <w:lvlJc w:val="left"/>
      <w:pPr>
        <w:ind w:left="720" w:hanging="360"/>
      </w:pPr>
      <w:rPr>
        <w:rFonts w:ascii="Symbol" w:hAnsi="Symbol" w:hint="default"/>
      </w:rPr>
    </w:lvl>
    <w:lvl w:ilvl="1" w:tplc="7396E216" w:tentative="1">
      <w:start w:val="1"/>
      <w:numFmt w:val="bullet"/>
      <w:lvlText w:val="o"/>
      <w:lvlJc w:val="left"/>
      <w:pPr>
        <w:ind w:left="1440" w:hanging="360"/>
      </w:pPr>
      <w:rPr>
        <w:rFonts w:ascii="Courier New" w:hAnsi="Courier New" w:cs="Courier New" w:hint="default"/>
      </w:rPr>
    </w:lvl>
    <w:lvl w:ilvl="2" w:tplc="0F6AB028" w:tentative="1">
      <w:start w:val="1"/>
      <w:numFmt w:val="bullet"/>
      <w:lvlText w:val=""/>
      <w:lvlJc w:val="left"/>
      <w:pPr>
        <w:ind w:left="2160" w:hanging="360"/>
      </w:pPr>
      <w:rPr>
        <w:rFonts w:ascii="Wingdings" w:hAnsi="Wingdings" w:hint="default"/>
      </w:rPr>
    </w:lvl>
    <w:lvl w:ilvl="3" w:tplc="97A87CFA" w:tentative="1">
      <w:start w:val="1"/>
      <w:numFmt w:val="bullet"/>
      <w:lvlText w:val=""/>
      <w:lvlJc w:val="left"/>
      <w:pPr>
        <w:ind w:left="2880" w:hanging="360"/>
      </w:pPr>
      <w:rPr>
        <w:rFonts w:ascii="Symbol" w:hAnsi="Symbol" w:hint="default"/>
      </w:rPr>
    </w:lvl>
    <w:lvl w:ilvl="4" w:tplc="054223CA" w:tentative="1">
      <w:start w:val="1"/>
      <w:numFmt w:val="bullet"/>
      <w:lvlText w:val="o"/>
      <w:lvlJc w:val="left"/>
      <w:pPr>
        <w:ind w:left="3600" w:hanging="360"/>
      </w:pPr>
      <w:rPr>
        <w:rFonts w:ascii="Courier New" w:hAnsi="Courier New" w:cs="Courier New" w:hint="default"/>
      </w:rPr>
    </w:lvl>
    <w:lvl w:ilvl="5" w:tplc="801A0466" w:tentative="1">
      <w:start w:val="1"/>
      <w:numFmt w:val="bullet"/>
      <w:lvlText w:val=""/>
      <w:lvlJc w:val="left"/>
      <w:pPr>
        <w:ind w:left="4320" w:hanging="360"/>
      </w:pPr>
      <w:rPr>
        <w:rFonts w:ascii="Wingdings" w:hAnsi="Wingdings" w:hint="default"/>
      </w:rPr>
    </w:lvl>
    <w:lvl w:ilvl="6" w:tplc="294819F8" w:tentative="1">
      <w:start w:val="1"/>
      <w:numFmt w:val="bullet"/>
      <w:lvlText w:val=""/>
      <w:lvlJc w:val="left"/>
      <w:pPr>
        <w:ind w:left="5040" w:hanging="360"/>
      </w:pPr>
      <w:rPr>
        <w:rFonts w:ascii="Symbol" w:hAnsi="Symbol" w:hint="default"/>
      </w:rPr>
    </w:lvl>
    <w:lvl w:ilvl="7" w:tplc="AD50479C" w:tentative="1">
      <w:start w:val="1"/>
      <w:numFmt w:val="bullet"/>
      <w:lvlText w:val="o"/>
      <w:lvlJc w:val="left"/>
      <w:pPr>
        <w:ind w:left="5760" w:hanging="360"/>
      </w:pPr>
      <w:rPr>
        <w:rFonts w:ascii="Courier New" w:hAnsi="Courier New" w:cs="Courier New" w:hint="default"/>
      </w:rPr>
    </w:lvl>
    <w:lvl w:ilvl="8" w:tplc="A126DEC8"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F7469B"/>
    <w:multiLevelType w:val="multilevel"/>
    <w:tmpl w:val="0F5A659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2"/>
      <w:numFmt w:val="decimal"/>
      <w:lvlText w:val="%5."/>
      <w:lvlJc w:val="left"/>
      <w:pPr>
        <w:tabs>
          <w:tab w:val="num" w:pos="3600"/>
        </w:tabs>
        <w:ind w:left="3600" w:hanging="360"/>
      </w:pPr>
      <w:rPr>
        <w:rFonts w:hint="default"/>
      </w:rPr>
    </w:lvl>
    <w:lvl w:ilvl="5">
      <w:start w:val="14"/>
      <w:numFmt w:val="decimal"/>
      <w:lvlText w:val="%6."/>
      <w:lvlJc w:val="left"/>
      <w:pPr>
        <w:tabs>
          <w:tab w:val="num" w:pos="4320"/>
        </w:tabs>
        <w:ind w:left="4320" w:hanging="360"/>
      </w:pPr>
      <w:rPr>
        <w:rFonts w:hint="default"/>
      </w:rPr>
    </w:lvl>
    <w:lvl w:ilvl="6">
      <w:start w:val="14"/>
      <w:numFmt w:val="decimal"/>
      <w:lvlText w:val="%7."/>
      <w:lvlJc w:val="left"/>
      <w:pPr>
        <w:tabs>
          <w:tab w:val="num" w:pos="5040"/>
        </w:tabs>
        <w:ind w:left="5040" w:hanging="360"/>
      </w:pPr>
      <w:rPr>
        <w:rFonts w:hint="default"/>
      </w:rPr>
    </w:lvl>
    <w:lvl w:ilvl="7">
      <w:start w:val="10"/>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A781EA8"/>
    <w:multiLevelType w:val="multilevel"/>
    <w:tmpl w:val="FBAA620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E27D7"/>
    <w:multiLevelType w:val="hybridMultilevel"/>
    <w:tmpl w:val="20ACD3A2"/>
    <w:lvl w:ilvl="0" w:tplc="81563B52">
      <w:start w:val="1"/>
      <w:numFmt w:val="decimal"/>
      <w:lvlText w:val="%1."/>
      <w:lvlJc w:val="left"/>
      <w:pPr>
        <w:ind w:left="1020" w:hanging="360"/>
      </w:pPr>
    </w:lvl>
    <w:lvl w:ilvl="1" w:tplc="1E027B42">
      <w:start w:val="1"/>
      <w:numFmt w:val="decimal"/>
      <w:lvlText w:val="%2."/>
      <w:lvlJc w:val="left"/>
      <w:pPr>
        <w:ind w:left="1020" w:hanging="360"/>
      </w:pPr>
    </w:lvl>
    <w:lvl w:ilvl="2" w:tplc="09F0AE30">
      <w:start w:val="1"/>
      <w:numFmt w:val="decimal"/>
      <w:lvlText w:val="%3."/>
      <w:lvlJc w:val="left"/>
      <w:pPr>
        <w:ind w:left="1020" w:hanging="360"/>
      </w:pPr>
    </w:lvl>
    <w:lvl w:ilvl="3" w:tplc="E4AA0E76">
      <w:start w:val="1"/>
      <w:numFmt w:val="decimal"/>
      <w:lvlText w:val="%4."/>
      <w:lvlJc w:val="left"/>
      <w:pPr>
        <w:ind w:left="1020" w:hanging="360"/>
      </w:pPr>
    </w:lvl>
    <w:lvl w:ilvl="4" w:tplc="2D7E8B3C">
      <w:start w:val="1"/>
      <w:numFmt w:val="decimal"/>
      <w:lvlText w:val="%5."/>
      <w:lvlJc w:val="left"/>
      <w:pPr>
        <w:ind w:left="1020" w:hanging="360"/>
      </w:pPr>
    </w:lvl>
    <w:lvl w:ilvl="5" w:tplc="136A3DA2">
      <w:start w:val="1"/>
      <w:numFmt w:val="decimal"/>
      <w:lvlText w:val="%6."/>
      <w:lvlJc w:val="left"/>
      <w:pPr>
        <w:ind w:left="1020" w:hanging="360"/>
      </w:pPr>
    </w:lvl>
    <w:lvl w:ilvl="6" w:tplc="BAC6C7D8">
      <w:start w:val="1"/>
      <w:numFmt w:val="decimal"/>
      <w:lvlText w:val="%7."/>
      <w:lvlJc w:val="left"/>
      <w:pPr>
        <w:ind w:left="1020" w:hanging="360"/>
      </w:pPr>
    </w:lvl>
    <w:lvl w:ilvl="7" w:tplc="61FA1626">
      <w:start w:val="1"/>
      <w:numFmt w:val="decimal"/>
      <w:lvlText w:val="%8."/>
      <w:lvlJc w:val="left"/>
      <w:pPr>
        <w:ind w:left="1020" w:hanging="360"/>
      </w:pPr>
    </w:lvl>
    <w:lvl w:ilvl="8" w:tplc="2398D9F4">
      <w:start w:val="1"/>
      <w:numFmt w:val="decimal"/>
      <w:lvlText w:val="%9."/>
      <w:lvlJc w:val="left"/>
      <w:pPr>
        <w:ind w:left="1020" w:hanging="360"/>
      </w:pPr>
    </w:lvl>
  </w:abstractNum>
  <w:abstractNum w:abstractNumId="25" w15:restartNumberingAfterBreak="0">
    <w:nsid w:val="4C1756D6"/>
    <w:multiLevelType w:val="multilevel"/>
    <w:tmpl w:val="2D4AD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4772EC"/>
    <w:multiLevelType w:val="multilevel"/>
    <w:tmpl w:val="399E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FC11D4"/>
    <w:multiLevelType w:val="hybridMultilevel"/>
    <w:tmpl w:val="84D43CAC"/>
    <w:lvl w:ilvl="0" w:tplc="F6C81008">
      <w:start w:val="1"/>
      <w:numFmt w:val="bullet"/>
      <w:lvlText w:val=""/>
      <w:lvlJc w:val="left"/>
      <w:pPr>
        <w:ind w:left="360" w:hanging="360"/>
      </w:pPr>
      <w:rPr>
        <w:rFonts w:ascii="Symbol" w:hAnsi="Symbol" w:hint="default"/>
        <w:sz w:val="28"/>
        <w:szCs w:val="28"/>
      </w:rPr>
    </w:lvl>
    <w:lvl w:ilvl="1" w:tplc="77A8E574" w:tentative="1">
      <w:start w:val="1"/>
      <w:numFmt w:val="bullet"/>
      <w:lvlText w:val="o"/>
      <w:lvlJc w:val="left"/>
      <w:pPr>
        <w:ind w:left="1080" w:hanging="360"/>
      </w:pPr>
      <w:rPr>
        <w:rFonts w:ascii="Courier New" w:hAnsi="Courier New" w:cs="Courier New" w:hint="default"/>
      </w:rPr>
    </w:lvl>
    <w:lvl w:ilvl="2" w:tplc="4FA4D14E" w:tentative="1">
      <w:start w:val="1"/>
      <w:numFmt w:val="bullet"/>
      <w:lvlText w:val=""/>
      <w:lvlJc w:val="left"/>
      <w:pPr>
        <w:ind w:left="1800" w:hanging="360"/>
      </w:pPr>
      <w:rPr>
        <w:rFonts w:ascii="Wingdings" w:hAnsi="Wingdings" w:hint="default"/>
      </w:rPr>
    </w:lvl>
    <w:lvl w:ilvl="3" w:tplc="52F01EAC" w:tentative="1">
      <w:start w:val="1"/>
      <w:numFmt w:val="bullet"/>
      <w:lvlText w:val=""/>
      <w:lvlJc w:val="left"/>
      <w:pPr>
        <w:ind w:left="2520" w:hanging="360"/>
      </w:pPr>
      <w:rPr>
        <w:rFonts w:ascii="Symbol" w:hAnsi="Symbol" w:hint="default"/>
      </w:rPr>
    </w:lvl>
    <w:lvl w:ilvl="4" w:tplc="246E0A48" w:tentative="1">
      <w:start w:val="1"/>
      <w:numFmt w:val="bullet"/>
      <w:lvlText w:val="o"/>
      <w:lvlJc w:val="left"/>
      <w:pPr>
        <w:ind w:left="3240" w:hanging="360"/>
      </w:pPr>
      <w:rPr>
        <w:rFonts w:ascii="Courier New" w:hAnsi="Courier New" w:cs="Courier New" w:hint="default"/>
      </w:rPr>
    </w:lvl>
    <w:lvl w:ilvl="5" w:tplc="C9BCE0E2" w:tentative="1">
      <w:start w:val="1"/>
      <w:numFmt w:val="bullet"/>
      <w:lvlText w:val=""/>
      <w:lvlJc w:val="left"/>
      <w:pPr>
        <w:ind w:left="3960" w:hanging="360"/>
      </w:pPr>
      <w:rPr>
        <w:rFonts w:ascii="Wingdings" w:hAnsi="Wingdings" w:hint="default"/>
      </w:rPr>
    </w:lvl>
    <w:lvl w:ilvl="6" w:tplc="D7FA1F78" w:tentative="1">
      <w:start w:val="1"/>
      <w:numFmt w:val="bullet"/>
      <w:lvlText w:val=""/>
      <w:lvlJc w:val="left"/>
      <w:pPr>
        <w:ind w:left="4680" w:hanging="360"/>
      </w:pPr>
      <w:rPr>
        <w:rFonts w:ascii="Symbol" w:hAnsi="Symbol" w:hint="default"/>
      </w:rPr>
    </w:lvl>
    <w:lvl w:ilvl="7" w:tplc="A1667734" w:tentative="1">
      <w:start w:val="1"/>
      <w:numFmt w:val="bullet"/>
      <w:lvlText w:val="o"/>
      <w:lvlJc w:val="left"/>
      <w:pPr>
        <w:ind w:left="5400" w:hanging="360"/>
      </w:pPr>
      <w:rPr>
        <w:rFonts w:ascii="Courier New" w:hAnsi="Courier New" w:cs="Courier New" w:hint="default"/>
      </w:rPr>
    </w:lvl>
    <w:lvl w:ilvl="8" w:tplc="71AAEB34" w:tentative="1">
      <w:start w:val="1"/>
      <w:numFmt w:val="bullet"/>
      <w:lvlText w:val=""/>
      <w:lvlJc w:val="left"/>
      <w:pPr>
        <w:ind w:left="6120" w:hanging="360"/>
      </w:pPr>
      <w:rPr>
        <w:rFonts w:ascii="Wingdings" w:hAnsi="Wingdings" w:hint="default"/>
      </w:rPr>
    </w:lvl>
  </w:abstractNum>
  <w:abstractNum w:abstractNumId="29" w15:restartNumberingAfterBreak="0">
    <w:nsid w:val="51392F97"/>
    <w:multiLevelType w:val="multilevel"/>
    <w:tmpl w:val="137863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A257DDD"/>
    <w:multiLevelType w:val="multilevel"/>
    <w:tmpl w:val="A3FE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704E3"/>
    <w:multiLevelType w:val="hybridMultilevel"/>
    <w:tmpl w:val="BEECF7A8"/>
    <w:lvl w:ilvl="0" w:tplc="5290E050">
      <w:start w:val="1"/>
      <w:numFmt w:val="decimal"/>
      <w:lvlText w:val="%1."/>
      <w:lvlJc w:val="left"/>
      <w:pPr>
        <w:ind w:left="4329" w:hanging="360"/>
      </w:pPr>
      <w:rPr>
        <w:rFonts w:hint="default"/>
      </w:rPr>
    </w:lvl>
    <w:lvl w:ilvl="1" w:tplc="9760A66C">
      <w:numFmt w:val="bullet"/>
      <w:lvlText w:val=""/>
      <w:lvlJc w:val="left"/>
      <w:pPr>
        <w:ind w:left="5049" w:hanging="360"/>
      </w:pPr>
      <w:rPr>
        <w:rFonts w:ascii="Symbol" w:eastAsia="Times New Roman" w:hAnsi="Symbol" w:cs="Times New Roman" w:hint="default"/>
      </w:rPr>
    </w:lvl>
    <w:lvl w:ilvl="2" w:tplc="9C8E5954" w:tentative="1">
      <w:start w:val="1"/>
      <w:numFmt w:val="lowerRoman"/>
      <w:lvlText w:val="%3."/>
      <w:lvlJc w:val="right"/>
      <w:pPr>
        <w:ind w:left="5769" w:hanging="180"/>
      </w:pPr>
    </w:lvl>
    <w:lvl w:ilvl="3" w:tplc="5866C4B6" w:tentative="1">
      <w:start w:val="1"/>
      <w:numFmt w:val="decimal"/>
      <w:lvlText w:val="%4."/>
      <w:lvlJc w:val="left"/>
      <w:pPr>
        <w:ind w:left="6489" w:hanging="360"/>
      </w:pPr>
    </w:lvl>
    <w:lvl w:ilvl="4" w:tplc="2834AC24" w:tentative="1">
      <w:start w:val="1"/>
      <w:numFmt w:val="lowerLetter"/>
      <w:lvlText w:val="%5."/>
      <w:lvlJc w:val="left"/>
      <w:pPr>
        <w:ind w:left="7209" w:hanging="360"/>
      </w:pPr>
    </w:lvl>
    <w:lvl w:ilvl="5" w:tplc="6C6A89BC" w:tentative="1">
      <w:start w:val="1"/>
      <w:numFmt w:val="lowerRoman"/>
      <w:lvlText w:val="%6."/>
      <w:lvlJc w:val="right"/>
      <w:pPr>
        <w:ind w:left="7929" w:hanging="180"/>
      </w:pPr>
    </w:lvl>
    <w:lvl w:ilvl="6" w:tplc="5BDC7000" w:tentative="1">
      <w:start w:val="1"/>
      <w:numFmt w:val="decimal"/>
      <w:lvlText w:val="%7."/>
      <w:lvlJc w:val="left"/>
      <w:pPr>
        <w:ind w:left="8649" w:hanging="360"/>
      </w:pPr>
    </w:lvl>
    <w:lvl w:ilvl="7" w:tplc="35509790" w:tentative="1">
      <w:start w:val="1"/>
      <w:numFmt w:val="lowerLetter"/>
      <w:lvlText w:val="%8."/>
      <w:lvlJc w:val="left"/>
      <w:pPr>
        <w:ind w:left="9369" w:hanging="360"/>
      </w:pPr>
    </w:lvl>
    <w:lvl w:ilvl="8" w:tplc="0B10B51A" w:tentative="1">
      <w:start w:val="1"/>
      <w:numFmt w:val="lowerRoman"/>
      <w:lvlText w:val="%9."/>
      <w:lvlJc w:val="right"/>
      <w:pPr>
        <w:ind w:left="10089" w:hanging="180"/>
      </w:pPr>
    </w:lvl>
  </w:abstractNum>
  <w:abstractNum w:abstractNumId="32" w15:restartNumberingAfterBreak="0">
    <w:nsid w:val="671C6898"/>
    <w:multiLevelType w:val="hybridMultilevel"/>
    <w:tmpl w:val="CB621320"/>
    <w:lvl w:ilvl="0" w:tplc="046262B0">
      <w:start w:val="1"/>
      <w:numFmt w:val="bullet"/>
      <w:lvlText w:val=""/>
      <w:lvlJc w:val="left"/>
      <w:pPr>
        <w:ind w:left="720" w:hanging="360"/>
      </w:pPr>
      <w:rPr>
        <w:rFonts w:ascii="Symbol" w:hAnsi="Symbol" w:hint="default"/>
      </w:rPr>
    </w:lvl>
    <w:lvl w:ilvl="1" w:tplc="86E6BCA4" w:tentative="1">
      <w:start w:val="1"/>
      <w:numFmt w:val="bullet"/>
      <w:lvlText w:val="o"/>
      <w:lvlJc w:val="left"/>
      <w:pPr>
        <w:ind w:left="1440" w:hanging="360"/>
      </w:pPr>
      <w:rPr>
        <w:rFonts w:ascii="Courier New" w:hAnsi="Courier New" w:cs="Courier New" w:hint="default"/>
      </w:rPr>
    </w:lvl>
    <w:lvl w:ilvl="2" w:tplc="64B2932A" w:tentative="1">
      <w:start w:val="1"/>
      <w:numFmt w:val="bullet"/>
      <w:lvlText w:val=""/>
      <w:lvlJc w:val="left"/>
      <w:pPr>
        <w:ind w:left="2160" w:hanging="360"/>
      </w:pPr>
      <w:rPr>
        <w:rFonts w:ascii="Wingdings" w:hAnsi="Wingdings" w:hint="default"/>
      </w:rPr>
    </w:lvl>
    <w:lvl w:ilvl="3" w:tplc="2716D1EC" w:tentative="1">
      <w:start w:val="1"/>
      <w:numFmt w:val="bullet"/>
      <w:lvlText w:val=""/>
      <w:lvlJc w:val="left"/>
      <w:pPr>
        <w:ind w:left="2880" w:hanging="360"/>
      </w:pPr>
      <w:rPr>
        <w:rFonts w:ascii="Symbol" w:hAnsi="Symbol" w:hint="default"/>
      </w:rPr>
    </w:lvl>
    <w:lvl w:ilvl="4" w:tplc="F5485000" w:tentative="1">
      <w:start w:val="1"/>
      <w:numFmt w:val="bullet"/>
      <w:lvlText w:val="o"/>
      <w:lvlJc w:val="left"/>
      <w:pPr>
        <w:ind w:left="3600" w:hanging="360"/>
      </w:pPr>
      <w:rPr>
        <w:rFonts w:ascii="Courier New" w:hAnsi="Courier New" w:cs="Courier New" w:hint="default"/>
      </w:rPr>
    </w:lvl>
    <w:lvl w:ilvl="5" w:tplc="635AE524" w:tentative="1">
      <w:start w:val="1"/>
      <w:numFmt w:val="bullet"/>
      <w:lvlText w:val=""/>
      <w:lvlJc w:val="left"/>
      <w:pPr>
        <w:ind w:left="4320" w:hanging="360"/>
      </w:pPr>
      <w:rPr>
        <w:rFonts w:ascii="Wingdings" w:hAnsi="Wingdings" w:hint="default"/>
      </w:rPr>
    </w:lvl>
    <w:lvl w:ilvl="6" w:tplc="2482F29E" w:tentative="1">
      <w:start w:val="1"/>
      <w:numFmt w:val="bullet"/>
      <w:lvlText w:val=""/>
      <w:lvlJc w:val="left"/>
      <w:pPr>
        <w:ind w:left="5040" w:hanging="360"/>
      </w:pPr>
      <w:rPr>
        <w:rFonts w:ascii="Symbol" w:hAnsi="Symbol" w:hint="default"/>
      </w:rPr>
    </w:lvl>
    <w:lvl w:ilvl="7" w:tplc="2CB81B54" w:tentative="1">
      <w:start w:val="1"/>
      <w:numFmt w:val="bullet"/>
      <w:lvlText w:val="o"/>
      <w:lvlJc w:val="left"/>
      <w:pPr>
        <w:ind w:left="5760" w:hanging="360"/>
      </w:pPr>
      <w:rPr>
        <w:rFonts w:ascii="Courier New" w:hAnsi="Courier New" w:cs="Courier New" w:hint="default"/>
      </w:rPr>
    </w:lvl>
    <w:lvl w:ilvl="8" w:tplc="A45600B2" w:tentative="1">
      <w:start w:val="1"/>
      <w:numFmt w:val="bullet"/>
      <w:lvlText w:val=""/>
      <w:lvlJc w:val="left"/>
      <w:pPr>
        <w:ind w:left="6480" w:hanging="360"/>
      </w:pPr>
      <w:rPr>
        <w:rFonts w:ascii="Wingdings" w:hAnsi="Wingdings" w:hint="default"/>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B74056D"/>
    <w:multiLevelType w:val="multilevel"/>
    <w:tmpl w:val="9E1E91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7B6BC2"/>
    <w:multiLevelType w:val="hybridMultilevel"/>
    <w:tmpl w:val="2694621A"/>
    <w:lvl w:ilvl="0" w:tplc="84A0712A">
      <w:start w:val="1"/>
      <w:numFmt w:val="bullet"/>
      <w:lvlText w:val=""/>
      <w:lvlJc w:val="left"/>
      <w:pPr>
        <w:ind w:left="720" w:hanging="360"/>
      </w:pPr>
      <w:rPr>
        <w:rFonts w:ascii="Symbol" w:hAnsi="Symbol" w:hint="default"/>
      </w:rPr>
    </w:lvl>
    <w:lvl w:ilvl="1" w:tplc="F724D50C" w:tentative="1">
      <w:start w:val="1"/>
      <w:numFmt w:val="bullet"/>
      <w:lvlText w:val="o"/>
      <w:lvlJc w:val="left"/>
      <w:pPr>
        <w:ind w:left="1440" w:hanging="360"/>
      </w:pPr>
      <w:rPr>
        <w:rFonts w:ascii="Courier New" w:hAnsi="Courier New" w:cs="Courier New" w:hint="default"/>
      </w:rPr>
    </w:lvl>
    <w:lvl w:ilvl="2" w:tplc="C9D81600" w:tentative="1">
      <w:start w:val="1"/>
      <w:numFmt w:val="bullet"/>
      <w:lvlText w:val=""/>
      <w:lvlJc w:val="left"/>
      <w:pPr>
        <w:ind w:left="2160" w:hanging="360"/>
      </w:pPr>
      <w:rPr>
        <w:rFonts w:ascii="Wingdings" w:hAnsi="Wingdings" w:hint="default"/>
      </w:rPr>
    </w:lvl>
    <w:lvl w:ilvl="3" w:tplc="78C47B3A" w:tentative="1">
      <w:start w:val="1"/>
      <w:numFmt w:val="bullet"/>
      <w:lvlText w:val=""/>
      <w:lvlJc w:val="left"/>
      <w:pPr>
        <w:ind w:left="2880" w:hanging="360"/>
      </w:pPr>
      <w:rPr>
        <w:rFonts w:ascii="Symbol" w:hAnsi="Symbol" w:hint="default"/>
      </w:rPr>
    </w:lvl>
    <w:lvl w:ilvl="4" w:tplc="E990D1F6" w:tentative="1">
      <w:start w:val="1"/>
      <w:numFmt w:val="bullet"/>
      <w:lvlText w:val="o"/>
      <w:lvlJc w:val="left"/>
      <w:pPr>
        <w:ind w:left="3600" w:hanging="360"/>
      </w:pPr>
      <w:rPr>
        <w:rFonts w:ascii="Courier New" w:hAnsi="Courier New" w:cs="Courier New" w:hint="default"/>
      </w:rPr>
    </w:lvl>
    <w:lvl w:ilvl="5" w:tplc="435C9238" w:tentative="1">
      <w:start w:val="1"/>
      <w:numFmt w:val="bullet"/>
      <w:lvlText w:val=""/>
      <w:lvlJc w:val="left"/>
      <w:pPr>
        <w:ind w:left="4320" w:hanging="360"/>
      </w:pPr>
      <w:rPr>
        <w:rFonts w:ascii="Wingdings" w:hAnsi="Wingdings" w:hint="default"/>
      </w:rPr>
    </w:lvl>
    <w:lvl w:ilvl="6" w:tplc="E1AABBE8" w:tentative="1">
      <w:start w:val="1"/>
      <w:numFmt w:val="bullet"/>
      <w:lvlText w:val=""/>
      <w:lvlJc w:val="left"/>
      <w:pPr>
        <w:ind w:left="5040" w:hanging="360"/>
      </w:pPr>
      <w:rPr>
        <w:rFonts w:ascii="Symbol" w:hAnsi="Symbol" w:hint="default"/>
      </w:rPr>
    </w:lvl>
    <w:lvl w:ilvl="7" w:tplc="44502634" w:tentative="1">
      <w:start w:val="1"/>
      <w:numFmt w:val="bullet"/>
      <w:lvlText w:val="o"/>
      <w:lvlJc w:val="left"/>
      <w:pPr>
        <w:ind w:left="5760" w:hanging="360"/>
      </w:pPr>
      <w:rPr>
        <w:rFonts w:ascii="Courier New" w:hAnsi="Courier New" w:cs="Courier New" w:hint="default"/>
      </w:rPr>
    </w:lvl>
    <w:lvl w:ilvl="8" w:tplc="E8B4F27A" w:tentative="1">
      <w:start w:val="1"/>
      <w:numFmt w:val="bullet"/>
      <w:lvlText w:val=""/>
      <w:lvlJc w:val="left"/>
      <w:pPr>
        <w:ind w:left="6480" w:hanging="360"/>
      </w:pPr>
      <w:rPr>
        <w:rFonts w:ascii="Wingdings" w:hAnsi="Wingdings" w:hint="default"/>
      </w:rPr>
    </w:lvl>
  </w:abstractNum>
  <w:abstractNum w:abstractNumId="37" w15:restartNumberingAfterBreak="0">
    <w:nsid w:val="7980701F"/>
    <w:multiLevelType w:val="hybridMultilevel"/>
    <w:tmpl w:val="EDCE8ABC"/>
    <w:lvl w:ilvl="0" w:tplc="0ED2E966">
      <w:start w:val="1"/>
      <w:numFmt w:val="decimal"/>
      <w:lvlText w:val="%1."/>
      <w:lvlJc w:val="left"/>
      <w:pPr>
        <w:ind w:left="720" w:hanging="360"/>
      </w:pPr>
    </w:lvl>
    <w:lvl w:ilvl="1" w:tplc="80EA12C8" w:tentative="1">
      <w:start w:val="1"/>
      <w:numFmt w:val="lowerLetter"/>
      <w:lvlText w:val="%2."/>
      <w:lvlJc w:val="left"/>
      <w:pPr>
        <w:ind w:left="1440" w:hanging="360"/>
      </w:pPr>
    </w:lvl>
    <w:lvl w:ilvl="2" w:tplc="CF4AD58A" w:tentative="1">
      <w:start w:val="1"/>
      <w:numFmt w:val="lowerRoman"/>
      <w:lvlText w:val="%3."/>
      <w:lvlJc w:val="right"/>
      <w:pPr>
        <w:ind w:left="2160" w:hanging="180"/>
      </w:pPr>
    </w:lvl>
    <w:lvl w:ilvl="3" w:tplc="BB94B894" w:tentative="1">
      <w:start w:val="1"/>
      <w:numFmt w:val="decimal"/>
      <w:lvlText w:val="%4."/>
      <w:lvlJc w:val="left"/>
      <w:pPr>
        <w:ind w:left="2880" w:hanging="360"/>
      </w:pPr>
    </w:lvl>
    <w:lvl w:ilvl="4" w:tplc="A156EA82" w:tentative="1">
      <w:start w:val="1"/>
      <w:numFmt w:val="lowerLetter"/>
      <w:lvlText w:val="%5."/>
      <w:lvlJc w:val="left"/>
      <w:pPr>
        <w:ind w:left="3600" w:hanging="360"/>
      </w:pPr>
    </w:lvl>
    <w:lvl w:ilvl="5" w:tplc="2F66D90E" w:tentative="1">
      <w:start w:val="1"/>
      <w:numFmt w:val="lowerRoman"/>
      <w:lvlText w:val="%6."/>
      <w:lvlJc w:val="right"/>
      <w:pPr>
        <w:ind w:left="4320" w:hanging="180"/>
      </w:pPr>
    </w:lvl>
    <w:lvl w:ilvl="6" w:tplc="8C9E012E" w:tentative="1">
      <w:start w:val="1"/>
      <w:numFmt w:val="decimal"/>
      <w:lvlText w:val="%7."/>
      <w:lvlJc w:val="left"/>
      <w:pPr>
        <w:ind w:left="5040" w:hanging="360"/>
      </w:pPr>
    </w:lvl>
    <w:lvl w:ilvl="7" w:tplc="9514A3FC" w:tentative="1">
      <w:start w:val="1"/>
      <w:numFmt w:val="lowerLetter"/>
      <w:lvlText w:val="%8."/>
      <w:lvlJc w:val="left"/>
      <w:pPr>
        <w:ind w:left="5760" w:hanging="360"/>
      </w:pPr>
    </w:lvl>
    <w:lvl w:ilvl="8" w:tplc="9D1227BC" w:tentative="1">
      <w:start w:val="1"/>
      <w:numFmt w:val="lowerRoman"/>
      <w:lvlText w:val="%9."/>
      <w:lvlJc w:val="right"/>
      <w:pPr>
        <w:ind w:left="6480" w:hanging="180"/>
      </w:pPr>
    </w:lvl>
  </w:abstractNum>
  <w:abstractNum w:abstractNumId="38" w15:restartNumberingAfterBreak="0">
    <w:nsid w:val="79964A28"/>
    <w:multiLevelType w:val="multilevel"/>
    <w:tmpl w:val="9E1E91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66020482">
    <w:abstractNumId w:val="14"/>
  </w:num>
  <w:num w:numId="2" w16cid:durableId="1283347961">
    <w:abstractNumId w:val="20"/>
  </w:num>
  <w:num w:numId="3" w16cid:durableId="1480875942">
    <w:abstractNumId w:val="35"/>
  </w:num>
  <w:num w:numId="4" w16cid:durableId="1098989543">
    <w:abstractNumId w:val="9"/>
  </w:num>
  <w:num w:numId="5" w16cid:durableId="1840929096">
    <w:abstractNumId w:val="26"/>
  </w:num>
  <w:num w:numId="6" w16cid:durableId="1971546755">
    <w:abstractNumId w:val="33"/>
  </w:num>
  <w:num w:numId="7" w16cid:durableId="1630698826">
    <w:abstractNumId w:val="15"/>
  </w:num>
  <w:num w:numId="8" w16cid:durableId="1003356946">
    <w:abstractNumId w:val="18"/>
  </w:num>
  <w:num w:numId="9" w16cid:durableId="452749842">
    <w:abstractNumId w:val="10"/>
  </w:num>
  <w:num w:numId="10" w16cid:durableId="969703329">
    <w:abstractNumId w:val="16"/>
  </w:num>
  <w:num w:numId="11" w16cid:durableId="1127509275">
    <w:abstractNumId w:val="22"/>
  </w:num>
  <w:num w:numId="12" w16cid:durableId="1548301470">
    <w:abstractNumId w:val="12"/>
  </w:num>
  <w:num w:numId="13" w16cid:durableId="341322786">
    <w:abstractNumId w:val="37"/>
  </w:num>
  <w:num w:numId="14" w16cid:durableId="108361016">
    <w:abstractNumId w:val="36"/>
  </w:num>
  <w:num w:numId="15" w16cid:durableId="614216953">
    <w:abstractNumId w:val="13"/>
  </w:num>
  <w:num w:numId="16" w16cid:durableId="1411655534">
    <w:abstractNumId w:val="8"/>
  </w:num>
  <w:num w:numId="17" w16cid:durableId="1036195758">
    <w:abstractNumId w:val="6"/>
  </w:num>
  <w:num w:numId="18" w16cid:durableId="2078936315">
    <w:abstractNumId w:val="19"/>
  </w:num>
  <w:num w:numId="19" w16cid:durableId="2026207198">
    <w:abstractNumId w:val="11"/>
  </w:num>
  <w:num w:numId="20" w16cid:durableId="387724968">
    <w:abstractNumId w:val="28"/>
  </w:num>
  <w:num w:numId="21" w16cid:durableId="55128345">
    <w:abstractNumId w:val="1"/>
  </w:num>
  <w:num w:numId="22" w16cid:durableId="1830562838">
    <w:abstractNumId w:val="2"/>
  </w:num>
  <w:num w:numId="23" w16cid:durableId="1131020968">
    <w:abstractNumId w:val="7"/>
  </w:num>
  <w:num w:numId="24" w16cid:durableId="1093818016">
    <w:abstractNumId w:val="4"/>
  </w:num>
  <w:num w:numId="25" w16cid:durableId="1404989393">
    <w:abstractNumId w:val="32"/>
  </w:num>
  <w:num w:numId="26" w16cid:durableId="775445932">
    <w:abstractNumId w:val="30"/>
  </w:num>
  <w:num w:numId="27" w16cid:durableId="1927420960">
    <w:abstractNumId w:val="23"/>
  </w:num>
  <w:num w:numId="28" w16cid:durableId="1762721880">
    <w:abstractNumId w:val="27"/>
  </w:num>
  <w:num w:numId="29" w16cid:durableId="1431705135">
    <w:abstractNumId w:val="5"/>
  </w:num>
  <w:num w:numId="30" w16cid:durableId="994454286">
    <w:abstractNumId w:val="17"/>
  </w:num>
  <w:num w:numId="31" w16cid:durableId="1351494727">
    <w:abstractNumId w:val="31"/>
  </w:num>
  <w:num w:numId="32" w16cid:durableId="703293725">
    <w:abstractNumId w:val="21"/>
  </w:num>
  <w:num w:numId="33" w16cid:durableId="2028100329">
    <w:abstractNumId w:val="25"/>
  </w:num>
  <w:num w:numId="34" w16cid:durableId="1289700867">
    <w:abstractNumId w:val="0"/>
  </w:num>
  <w:num w:numId="35" w16cid:durableId="1298872387">
    <w:abstractNumId w:val="34"/>
  </w:num>
  <w:num w:numId="36" w16cid:durableId="2020616062">
    <w:abstractNumId w:val="29"/>
  </w:num>
  <w:num w:numId="37" w16cid:durableId="161091103">
    <w:abstractNumId w:val="24"/>
  </w:num>
  <w:num w:numId="38" w16cid:durableId="1632441568">
    <w:abstractNumId w:val="38"/>
  </w:num>
  <w:num w:numId="39" w16cid:durableId="11344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05334"/>
    <w:rsid w:val="00011457"/>
    <w:rsid w:val="00013652"/>
    <w:rsid w:val="000240D2"/>
    <w:rsid w:val="00034DD1"/>
    <w:rsid w:val="00040A8E"/>
    <w:rsid w:val="0004355D"/>
    <w:rsid w:val="00057B67"/>
    <w:rsid w:val="000604F6"/>
    <w:rsid w:val="00061E0E"/>
    <w:rsid w:val="00074204"/>
    <w:rsid w:val="0007506F"/>
    <w:rsid w:val="00076815"/>
    <w:rsid w:val="00081F44"/>
    <w:rsid w:val="00082A5F"/>
    <w:rsid w:val="00082FE0"/>
    <w:rsid w:val="000875C1"/>
    <w:rsid w:val="000A5EDF"/>
    <w:rsid w:val="000B41B6"/>
    <w:rsid w:val="000B5EB6"/>
    <w:rsid w:val="000C5BE9"/>
    <w:rsid w:val="000E04EE"/>
    <w:rsid w:val="000E2ABF"/>
    <w:rsid w:val="000E3F21"/>
    <w:rsid w:val="000E4C51"/>
    <w:rsid w:val="000E7274"/>
    <w:rsid w:val="0010752F"/>
    <w:rsid w:val="001131D1"/>
    <w:rsid w:val="00117992"/>
    <w:rsid w:val="00121A97"/>
    <w:rsid w:val="0014636D"/>
    <w:rsid w:val="00147CBA"/>
    <w:rsid w:val="00152E7B"/>
    <w:rsid w:val="0015327B"/>
    <w:rsid w:val="001624E4"/>
    <w:rsid w:val="00171CED"/>
    <w:rsid w:val="0017200A"/>
    <w:rsid w:val="00181A81"/>
    <w:rsid w:val="00184550"/>
    <w:rsid w:val="0018707A"/>
    <w:rsid w:val="00194C04"/>
    <w:rsid w:val="00194CE8"/>
    <w:rsid w:val="001959A2"/>
    <w:rsid w:val="001A1CA1"/>
    <w:rsid w:val="001B55FC"/>
    <w:rsid w:val="001B57E7"/>
    <w:rsid w:val="001C7C2F"/>
    <w:rsid w:val="001E3D6F"/>
    <w:rsid w:val="001F3109"/>
    <w:rsid w:val="001F6DD3"/>
    <w:rsid w:val="002037F7"/>
    <w:rsid w:val="00205122"/>
    <w:rsid w:val="00210DD6"/>
    <w:rsid w:val="00214319"/>
    <w:rsid w:val="002237C9"/>
    <w:rsid w:val="0022524B"/>
    <w:rsid w:val="0023296D"/>
    <w:rsid w:val="00232DDC"/>
    <w:rsid w:val="002367A2"/>
    <w:rsid w:val="00237B20"/>
    <w:rsid w:val="00252077"/>
    <w:rsid w:val="00253079"/>
    <w:rsid w:val="002707DC"/>
    <w:rsid w:val="00273EDD"/>
    <w:rsid w:val="00274C05"/>
    <w:rsid w:val="002B16ED"/>
    <w:rsid w:val="002B4896"/>
    <w:rsid w:val="002E285D"/>
    <w:rsid w:val="002E46F0"/>
    <w:rsid w:val="002F7114"/>
    <w:rsid w:val="00302124"/>
    <w:rsid w:val="0031658E"/>
    <w:rsid w:val="003166A8"/>
    <w:rsid w:val="003174D2"/>
    <w:rsid w:val="00335AE3"/>
    <w:rsid w:val="003360A9"/>
    <w:rsid w:val="00351087"/>
    <w:rsid w:val="003548DA"/>
    <w:rsid w:val="00362224"/>
    <w:rsid w:val="00381EEE"/>
    <w:rsid w:val="0038662A"/>
    <w:rsid w:val="0038669D"/>
    <w:rsid w:val="00387CDA"/>
    <w:rsid w:val="00394423"/>
    <w:rsid w:val="003A5297"/>
    <w:rsid w:val="003B0C46"/>
    <w:rsid w:val="003B3F63"/>
    <w:rsid w:val="003D0F44"/>
    <w:rsid w:val="003D67E2"/>
    <w:rsid w:val="003D76C2"/>
    <w:rsid w:val="003F071F"/>
    <w:rsid w:val="00404D6C"/>
    <w:rsid w:val="0040579A"/>
    <w:rsid w:val="00414ADE"/>
    <w:rsid w:val="00435735"/>
    <w:rsid w:val="004361C8"/>
    <w:rsid w:val="00436F4D"/>
    <w:rsid w:val="004375E3"/>
    <w:rsid w:val="00446863"/>
    <w:rsid w:val="00452416"/>
    <w:rsid w:val="00454A97"/>
    <w:rsid w:val="004573A7"/>
    <w:rsid w:val="004602B1"/>
    <w:rsid w:val="00461E11"/>
    <w:rsid w:val="004620C9"/>
    <w:rsid w:val="00467506"/>
    <w:rsid w:val="0047017F"/>
    <w:rsid w:val="0048007C"/>
    <w:rsid w:val="00486C79"/>
    <w:rsid w:val="00491312"/>
    <w:rsid w:val="004939EE"/>
    <w:rsid w:val="004969D3"/>
    <w:rsid w:val="004B3159"/>
    <w:rsid w:val="004B7137"/>
    <w:rsid w:val="004C0985"/>
    <w:rsid w:val="004C1FE2"/>
    <w:rsid w:val="004C6AA7"/>
    <w:rsid w:val="004D362E"/>
    <w:rsid w:val="004E33FF"/>
    <w:rsid w:val="004F1A28"/>
    <w:rsid w:val="004F6AD9"/>
    <w:rsid w:val="00500C8B"/>
    <w:rsid w:val="00503451"/>
    <w:rsid w:val="00510644"/>
    <w:rsid w:val="00513CCF"/>
    <w:rsid w:val="00516914"/>
    <w:rsid w:val="00523ED7"/>
    <w:rsid w:val="00524DB5"/>
    <w:rsid w:val="00533773"/>
    <w:rsid w:val="00540DBF"/>
    <w:rsid w:val="00542756"/>
    <w:rsid w:val="00543DC2"/>
    <w:rsid w:val="00550A85"/>
    <w:rsid w:val="00551D82"/>
    <w:rsid w:val="00555AE6"/>
    <w:rsid w:val="00556040"/>
    <w:rsid w:val="005734D7"/>
    <w:rsid w:val="00575E55"/>
    <w:rsid w:val="00585BF5"/>
    <w:rsid w:val="005A01D0"/>
    <w:rsid w:val="005A1C50"/>
    <w:rsid w:val="005A637B"/>
    <w:rsid w:val="005A6F5E"/>
    <w:rsid w:val="005B4306"/>
    <w:rsid w:val="005C7BB1"/>
    <w:rsid w:val="005D2A77"/>
    <w:rsid w:val="005E1EE7"/>
    <w:rsid w:val="005E63B4"/>
    <w:rsid w:val="00604100"/>
    <w:rsid w:val="006045C9"/>
    <w:rsid w:val="006053E6"/>
    <w:rsid w:val="00615035"/>
    <w:rsid w:val="00615DE1"/>
    <w:rsid w:val="00620842"/>
    <w:rsid w:val="00621BE1"/>
    <w:rsid w:val="00622578"/>
    <w:rsid w:val="006239A1"/>
    <w:rsid w:val="00634672"/>
    <w:rsid w:val="006421AD"/>
    <w:rsid w:val="00642B70"/>
    <w:rsid w:val="00646AE5"/>
    <w:rsid w:val="00662A47"/>
    <w:rsid w:val="0066457D"/>
    <w:rsid w:val="00671E3F"/>
    <w:rsid w:val="006755EE"/>
    <w:rsid w:val="006824BF"/>
    <w:rsid w:val="00682A3A"/>
    <w:rsid w:val="00695932"/>
    <w:rsid w:val="006A6821"/>
    <w:rsid w:val="006B6CC4"/>
    <w:rsid w:val="006E4797"/>
    <w:rsid w:val="006E7C64"/>
    <w:rsid w:val="006F1186"/>
    <w:rsid w:val="006F477F"/>
    <w:rsid w:val="007011D1"/>
    <w:rsid w:val="00702ADE"/>
    <w:rsid w:val="0070444F"/>
    <w:rsid w:val="007111C9"/>
    <w:rsid w:val="00714BE0"/>
    <w:rsid w:val="00736371"/>
    <w:rsid w:val="00751D3D"/>
    <w:rsid w:val="00755C35"/>
    <w:rsid w:val="00757D89"/>
    <w:rsid w:val="00770834"/>
    <w:rsid w:val="00770EC4"/>
    <w:rsid w:val="00775C9A"/>
    <w:rsid w:val="0077713C"/>
    <w:rsid w:val="0079581C"/>
    <w:rsid w:val="00796D88"/>
    <w:rsid w:val="00796F3C"/>
    <w:rsid w:val="007A4BBA"/>
    <w:rsid w:val="007B4720"/>
    <w:rsid w:val="007B488F"/>
    <w:rsid w:val="007B72A4"/>
    <w:rsid w:val="007D1EE4"/>
    <w:rsid w:val="007D6BE0"/>
    <w:rsid w:val="007E4F1E"/>
    <w:rsid w:val="007F13E9"/>
    <w:rsid w:val="007F2030"/>
    <w:rsid w:val="007F20B8"/>
    <w:rsid w:val="00803DCF"/>
    <w:rsid w:val="00823D20"/>
    <w:rsid w:val="008242E7"/>
    <w:rsid w:val="00833B96"/>
    <w:rsid w:val="008425A4"/>
    <w:rsid w:val="00843921"/>
    <w:rsid w:val="0084510B"/>
    <w:rsid w:val="008461C6"/>
    <w:rsid w:val="0085421A"/>
    <w:rsid w:val="00855078"/>
    <w:rsid w:val="0085548D"/>
    <w:rsid w:val="0087717B"/>
    <w:rsid w:val="00886B6A"/>
    <w:rsid w:val="008A05A5"/>
    <w:rsid w:val="008A1FDD"/>
    <w:rsid w:val="008A4859"/>
    <w:rsid w:val="008B27DD"/>
    <w:rsid w:val="008B2D50"/>
    <w:rsid w:val="008B35D2"/>
    <w:rsid w:val="008B7B94"/>
    <w:rsid w:val="008D0653"/>
    <w:rsid w:val="008D10EB"/>
    <w:rsid w:val="008D293E"/>
    <w:rsid w:val="008E19AC"/>
    <w:rsid w:val="008E374D"/>
    <w:rsid w:val="008E3E37"/>
    <w:rsid w:val="008E64BE"/>
    <w:rsid w:val="00911EF7"/>
    <w:rsid w:val="00917BB3"/>
    <w:rsid w:val="00921860"/>
    <w:rsid w:val="0093043C"/>
    <w:rsid w:val="009409EA"/>
    <w:rsid w:val="00957982"/>
    <w:rsid w:val="00962CBF"/>
    <w:rsid w:val="00974900"/>
    <w:rsid w:val="00987370"/>
    <w:rsid w:val="00994F50"/>
    <w:rsid w:val="009954C4"/>
    <w:rsid w:val="009A1844"/>
    <w:rsid w:val="009A4B3E"/>
    <w:rsid w:val="009B673A"/>
    <w:rsid w:val="009C028B"/>
    <w:rsid w:val="009C0538"/>
    <w:rsid w:val="009C121E"/>
    <w:rsid w:val="009C1994"/>
    <w:rsid w:val="009D1141"/>
    <w:rsid w:val="009D2F64"/>
    <w:rsid w:val="009F1E81"/>
    <w:rsid w:val="00A05F66"/>
    <w:rsid w:val="00A12A5E"/>
    <w:rsid w:val="00A1684A"/>
    <w:rsid w:val="00A46217"/>
    <w:rsid w:val="00A530F1"/>
    <w:rsid w:val="00A61636"/>
    <w:rsid w:val="00A624BE"/>
    <w:rsid w:val="00A65AD9"/>
    <w:rsid w:val="00A66C1E"/>
    <w:rsid w:val="00A703A3"/>
    <w:rsid w:val="00A749E0"/>
    <w:rsid w:val="00A77809"/>
    <w:rsid w:val="00A83846"/>
    <w:rsid w:val="00A87575"/>
    <w:rsid w:val="00A9144F"/>
    <w:rsid w:val="00AB06C3"/>
    <w:rsid w:val="00AB4038"/>
    <w:rsid w:val="00AC353C"/>
    <w:rsid w:val="00AD4511"/>
    <w:rsid w:val="00AD46F5"/>
    <w:rsid w:val="00B00001"/>
    <w:rsid w:val="00B0407D"/>
    <w:rsid w:val="00B15DD1"/>
    <w:rsid w:val="00B26759"/>
    <w:rsid w:val="00B26FD1"/>
    <w:rsid w:val="00B328D1"/>
    <w:rsid w:val="00B371A3"/>
    <w:rsid w:val="00B41927"/>
    <w:rsid w:val="00B5393A"/>
    <w:rsid w:val="00B66177"/>
    <w:rsid w:val="00B76E2E"/>
    <w:rsid w:val="00B8099C"/>
    <w:rsid w:val="00B81064"/>
    <w:rsid w:val="00B84FC7"/>
    <w:rsid w:val="00B87681"/>
    <w:rsid w:val="00B92EF4"/>
    <w:rsid w:val="00BA2C4D"/>
    <w:rsid w:val="00BA5A89"/>
    <w:rsid w:val="00BB1BCC"/>
    <w:rsid w:val="00BD312C"/>
    <w:rsid w:val="00BD358A"/>
    <w:rsid w:val="00BD3767"/>
    <w:rsid w:val="00BE22A2"/>
    <w:rsid w:val="00BE2769"/>
    <w:rsid w:val="00BF0C5B"/>
    <w:rsid w:val="00BF5E7A"/>
    <w:rsid w:val="00C11D93"/>
    <w:rsid w:val="00C27C71"/>
    <w:rsid w:val="00C331C5"/>
    <w:rsid w:val="00C366E0"/>
    <w:rsid w:val="00C505DD"/>
    <w:rsid w:val="00C51EE9"/>
    <w:rsid w:val="00C550F3"/>
    <w:rsid w:val="00C64A99"/>
    <w:rsid w:val="00C652D8"/>
    <w:rsid w:val="00C875D1"/>
    <w:rsid w:val="00C90DD1"/>
    <w:rsid w:val="00C91B58"/>
    <w:rsid w:val="00CA016A"/>
    <w:rsid w:val="00CB1713"/>
    <w:rsid w:val="00CB1783"/>
    <w:rsid w:val="00CD0EAD"/>
    <w:rsid w:val="00CE3484"/>
    <w:rsid w:val="00CE34C3"/>
    <w:rsid w:val="00CE5E4F"/>
    <w:rsid w:val="00CF187C"/>
    <w:rsid w:val="00D0769E"/>
    <w:rsid w:val="00D07A90"/>
    <w:rsid w:val="00D143C0"/>
    <w:rsid w:val="00D2510B"/>
    <w:rsid w:val="00D44D16"/>
    <w:rsid w:val="00D4696C"/>
    <w:rsid w:val="00D55590"/>
    <w:rsid w:val="00D57F1F"/>
    <w:rsid w:val="00D6537F"/>
    <w:rsid w:val="00D661BB"/>
    <w:rsid w:val="00D74B5C"/>
    <w:rsid w:val="00D86D57"/>
    <w:rsid w:val="00D9000A"/>
    <w:rsid w:val="00D959E7"/>
    <w:rsid w:val="00DA0158"/>
    <w:rsid w:val="00DA154A"/>
    <w:rsid w:val="00DA3C5C"/>
    <w:rsid w:val="00DA7D8B"/>
    <w:rsid w:val="00DB0810"/>
    <w:rsid w:val="00DB1446"/>
    <w:rsid w:val="00DC0E61"/>
    <w:rsid w:val="00DC18A7"/>
    <w:rsid w:val="00DD0D2A"/>
    <w:rsid w:val="00DD62D4"/>
    <w:rsid w:val="00DE14D2"/>
    <w:rsid w:val="00DE363E"/>
    <w:rsid w:val="00E03054"/>
    <w:rsid w:val="00E3380D"/>
    <w:rsid w:val="00E401D5"/>
    <w:rsid w:val="00E430F1"/>
    <w:rsid w:val="00E56EEA"/>
    <w:rsid w:val="00E626C2"/>
    <w:rsid w:val="00E8050E"/>
    <w:rsid w:val="00EA13F2"/>
    <w:rsid w:val="00EA6CDA"/>
    <w:rsid w:val="00EB0A6F"/>
    <w:rsid w:val="00EB1E68"/>
    <w:rsid w:val="00EC0649"/>
    <w:rsid w:val="00EC57F0"/>
    <w:rsid w:val="00ED7EE6"/>
    <w:rsid w:val="00F22FB1"/>
    <w:rsid w:val="00F36869"/>
    <w:rsid w:val="00F373C2"/>
    <w:rsid w:val="00F37FF6"/>
    <w:rsid w:val="00F41DE1"/>
    <w:rsid w:val="00F72213"/>
    <w:rsid w:val="00F72CC6"/>
    <w:rsid w:val="00F93ACB"/>
    <w:rsid w:val="00FA3B53"/>
    <w:rsid w:val="00FA6C9C"/>
    <w:rsid w:val="00FA6D15"/>
    <w:rsid w:val="00FB06E4"/>
    <w:rsid w:val="00FB34A2"/>
    <w:rsid w:val="00FB465D"/>
    <w:rsid w:val="00FC3AA6"/>
    <w:rsid w:val="00FD4F39"/>
    <w:rsid w:val="00FF0323"/>
    <w:rsid w:val="00FF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159"/>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39"/>
    <w:rsid w:val="00510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42756"/>
    <w:rPr>
      <w:rFonts w:asciiTheme="minorHAnsi" w:eastAsiaTheme="minorHAnsi" w:hAnsiTheme="minorHAnsi" w:cstheme="minorBidi"/>
      <w:sz w:val="22"/>
      <w:szCs w:val="22"/>
    </w:rPr>
  </w:style>
  <w:style w:type="character" w:styleId="Strong">
    <w:name w:val="Strong"/>
    <w:basedOn w:val="DefaultParagraphFont"/>
    <w:uiPriority w:val="22"/>
    <w:qFormat/>
    <w:rsid w:val="00DB0810"/>
    <w:rPr>
      <w:b/>
      <w:bCs/>
    </w:rPr>
  </w:style>
  <w:style w:type="character" w:styleId="UnresolvedMention">
    <w:name w:val="Unresolved Mention"/>
    <w:basedOn w:val="DefaultParagraphFont"/>
    <w:uiPriority w:val="99"/>
    <w:semiHidden/>
    <w:unhideWhenUsed/>
    <w:rsid w:val="00274C05"/>
    <w:rPr>
      <w:color w:val="605E5C"/>
      <w:shd w:val="clear" w:color="auto" w:fill="E1DFDD"/>
    </w:rPr>
  </w:style>
  <w:style w:type="character" w:customStyle="1" w:styleId="period">
    <w:name w:val="period"/>
    <w:basedOn w:val="DefaultParagraphFont"/>
    <w:rsid w:val="007F20B8"/>
  </w:style>
  <w:style w:type="character" w:customStyle="1" w:styleId="cit">
    <w:name w:val="cit"/>
    <w:basedOn w:val="DefaultParagraphFont"/>
    <w:rsid w:val="007F2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oole@lumc.nl" TargetMode="External"/><Relationship Id="rId13" Type="http://schemas.openxmlformats.org/officeDocument/2006/relationships/hyperlink" Target="mailto:f.a.holman@lumc.nl"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vahrmeijer@lumc.n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c.m.j.peeters@lumc.n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vfrangioni@curade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wbordo@curadel.com" TargetMode="External"/><Relationship Id="rId14" Type="http://schemas.openxmlformats.org/officeDocument/2006/relationships/hyperlink" Target="mailto:c.m.w.pesch@lumc.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97789-0DDA-4B0D-AC15-95299D96D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4843</Words>
  <Characters>30707</Characters>
  <Application>Microsoft Office Word</Application>
  <DocSecurity>0</DocSecurity>
  <Lines>255</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2026-08-12T11:17:00Z</dcterms:created>
  <dcterms:modified xsi:type="dcterms:W3CDTF">2026-08-13T03:49:00Z</dcterms:modified>
</cp:coreProperties>
</file>