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2716" w14:textId="77777777" w:rsidR="008D00AB" w:rsidRPr="00DD309C" w:rsidRDefault="008D00AB" w:rsidP="008D00AB">
      <w:pPr>
        <w:rPr>
          <w:color w:val="000000" w:themeColor="text1"/>
        </w:rPr>
      </w:pPr>
      <w:r w:rsidRPr="00DD309C">
        <w:rPr>
          <w:b/>
          <w:color w:val="000000" w:themeColor="text1"/>
        </w:rPr>
        <w:t>TITLE:</w:t>
      </w:r>
    </w:p>
    <w:p w14:paraId="06162E6C" w14:textId="398230BE" w:rsidR="008D00AB" w:rsidRDefault="0067263C" w:rsidP="008D00AB">
      <w:pPr>
        <w:rPr>
          <w:color w:val="000000" w:themeColor="text1"/>
        </w:rPr>
      </w:pPr>
      <w:r w:rsidRPr="0067263C">
        <w:rPr>
          <w:color w:val="000000" w:themeColor="text1"/>
        </w:rPr>
        <w:t>DNA-FISH Metaphase Spreads to Distinguish Extrachromosomal DNA from Homogeneously Staining Regions in Human Cancer Cell Lines</w:t>
      </w:r>
    </w:p>
    <w:p w14:paraId="2CC816CA" w14:textId="77777777" w:rsidR="0067263C" w:rsidRPr="00DD309C" w:rsidRDefault="0067263C" w:rsidP="008D00AB">
      <w:pPr>
        <w:rPr>
          <w:b/>
          <w:color w:val="000000" w:themeColor="text1"/>
        </w:rPr>
      </w:pPr>
    </w:p>
    <w:p w14:paraId="1BFF8D53" w14:textId="77777777" w:rsidR="008D00AB" w:rsidRPr="00DD309C" w:rsidRDefault="008D00AB" w:rsidP="008D00AB">
      <w:pPr>
        <w:rPr>
          <w:color w:val="000000" w:themeColor="text1"/>
        </w:rPr>
      </w:pPr>
      <w:r w:rsidRPr="00DD309C">
        <w:rPr>
          <w:b/>
          <w:color w:val="000000" w:themeColor="text1"/>
        </w:rPr>
        <w:t>AUTHORS AND AFFILIATIONS:</w:t>
      </w:r>
    </w:p>
    <w:p w14:paraId="35DD6373" w14:textId="776DD809" w:rsidR="008D00AB" w:rsidRPr="00DD309C" w:rsidRDefault="008D00AB" w:rsidP="008D00AB">
      <w:pPr>
        <w:rPr>
          <w:color w:val="000000" w:themeColor="text1"/>
          <w:vertAlign w:val="superscript"/>
        </w:rPr>
      </w:pPr>
      <w:r w:rsidRPr="00DD309C">
        <w:rPr>
          <w:color w:val="000000" w:themeColor="text1"/>
        </w:rPr>
        <w:t>Lauren Marie</w:t>
      </w:r>
      <w:r w:rsidR="00545C1E">
        <w:rPr>
          <w:color w:val="000000" w:themeColor="text1"/>
        </w:rPr>
        <w:t xml:space="preserve"> </w:t>
      </w:r>
      <w:r w:rsidR="00545C1E" w:rsidRPr="00DD309C">
        <w:rPr>
          <w:color w:val="000000" w:themeColor="text1"/>
        </w:rPr>
        <w:t>Masters</w:t>
      </w:r>
      <w:r w:rsidRPr="00DD309C">
        <w:rPr>
          <w:color w:val="000000" w:themeColor="text1"/>
          <w:vertAlign w:val="superscript"/>
        </w:rPr>
        <w:t>1</w:t>
      </w:r>
      <w:r w:rsidR="000A3E40">
        <w:rPr>
          <w:color w:val="000000" w:themeColor="text1"/>
        </w:rPr>
        <w:t>,</w:t>
      </w:r>
      <w:r w:rsidRPr="00DD309C">
        <w:rPr>
          <w:color w:val="000000" w:themeColor="text1"/>
        </w:rPr>
        <w:t xml:space="preserve"> Katelin Maria</w:t>
      </w:r>
      <w:r w:rsidR="00545C1E">
        <w:rPr>
          <w:color w:val="000000" w:themeColor="text1"/>
        </w:rPr>
        <w:t xml:space="preserve"> </w:t>
      </w:r>
      <w:r w:rsidR="00545C1E" w:rsidRPr="00DD309C">
        <w:rPr>
          <w:color w:val="000000" w:themeColor="text1"/>
        </w:rPr>
        <w:t>Hagstrom</w:t>
      </w:r>
      <w:r w:rsidRPr="00DD309C">
        <w:rPr>
          <w:color w:val="000000" w:themeColor="text1"/>
          <w:vertAlign w:val="superscript"/>
        </w:rPr>
        <w:t>1</w:t>
      </w:r>
      <w:r w:rsidR="000A3E40">
        <w:rPr>
          <w:color w:val="000000" w:themeColor="text1"/>
        </w:rPr>
        <w:t>,</w:t>
      </w:r>
      <w:r w:rsidRPr="00DD309C">
        <w:rPr>
          <w:color w:val="000000" w:themeColor="text1"/>
        </w:rPr>
        <w:t xml:space="preserve"> Graham Scott</w:t>
      </w:r>
      <w:r w:rsidR="00545C1E">
        <w:rPr>
          <w:color w:val="000000" w:themeColor="text1"/>
        </w:rPr>
        <w:t xml:space="preserve"> </w:t>
      </w:r>
      <w:r w:rsidR="00545C1E" w:rsidRPr="00DD309C">
        <w:rPr>
          <w:color w:val="000000" w:themeColor="text1"/>
        </w:rPr>
        <w:t>Erwin</w:t>
      </w:r>
      <w:r w:rsidRPr="00DD309C">
        <w:rPr>
          <w:color w:val="000000" w:themeColor="text1"/>
          <w:vertAlign w:val="superscript"/>
        </w:rPr>
        <w:t>1</w:t>
      </w:r>
      <w:r w:rsidR="003D2965">
        <w:rPr>
          <w:color w:val="000000" w:themeColor="text1"/>
          <w:vertAlign w:val="superscript"/>
        </w:rPr>
        <w:t>*</w:t>
      </w:r>
    </w:p>
    <w:p w14:paraId="48CC9FCB" w14:textId="77777777" w:rsidR="00545C1E" w:rsidRDefault="00545C1E" w:rsidP="008D00AB">
      <w:pPr>
        <w:rPr>
          <w:color w:val="000000" w:themeColor="text1"/>
          <w:vertAlign w:val="superscript"/>
        </w:rPr>
      </w:pPr>
    </w:p>
    <w:p w14:paraId="093CF265" w14:textId="1561176E" w:rsidR="008D00AB" w:rsidRPr="00DD309C" w:rsidRDefault="008D00AB" w:rsidP="008D00AB">
      <w:pPr>
        <w:rPr>
          <w:color w:val="000000" w:themeColor="text1"/>
        </w:rPr>
      </w:pPr>
      <w:r w:rsidRPr="00DD309C">
        <w:rPr>
          <w:color w:val="000000" w:themeColor="text1"/>
          <w:vertAlign w:val="superscript"/>
        </w:rPr>
        <w:t>1</w:t>
      </w:r>
      <w:r w:rsidRPr="00DD309C">
        <w:rPr>
          <w:color w:val="000000" w:themeColor="text1"/>
        </w:rPr>
        <w:t>Molecular and Human Genetics Department, Baylor College of Medicine, Houston, TX</w:t>
      </w:r>
    </w:p>
    <w:p w14:paraId="2503A688" w14:textId="77777777" w:rsidR="009634D1" w:rsidRDefault="009634D1" w:rsidP="008D00AB">
      <w:pPr>
        <w:rPr>
          <w:color w:val="000000" w:themeColor="text1"/>
        </w:rPr>
      </w:pPr>
    </w:p>
    <w:p w14:paraId="7299CCB1" w14:textId="5A84ECAD" w:rsidR="000A3E40" w:rsidRDefault="000A3E40" w:rsidP="008D00AB">
      <w:pPr>
        <w:rPr>
          <w:color w:val="000000" w:themeColor="text1"/>
        </w:rPr>
      </w:pPr>
      <w:r>
        <w:rPr>
          <w:color w:val="000000" w:themeColor="text1"/>
        </w:rPr>
        <w:t>Email addresses of the coauthors:</w:t>
      </w:r>
    </w:p>
    <w:p w14:paraId="2C0C417E" w14:textId="7843BE3A" w:rsidR="000A3E40" w:rsidRDefault="008D00AB" w:rsidP="008D00AB">
      <w:pPr>
        <w:rPr>
          <w:color w:val="000000" w:themeColor="text1"/>
        </w:rPr>
      </w:pPr>
      <w:r w:rsidRPr="00DD309C">
        <w:rPr>
          <w:color w:val="000000" w:themeColor="text1"/>
        </w:rPr>
        <w:t>Lauren Masters</w:t>
      </w:r>
      <w:r w:rsidR="000A3E40">
        <w:rPr>
          <w:color w:val="000000" w:themeColor="text1"/>
        </w:rPr>
        <w:t xml:space="preserve">                </w:t>
      </w:r>
      <w:proofErr w:type="gramStart"/>
      <w:r w:rsidR="000A3E40">
        <w:rPr>
          <w:color w:val="000000" w:themeColor="text1"/>
        </w:rPr>
        <w:t xml:space="preserve">   (</w:t>
      </w:r>
      <w:proofErr w:type="gramEnd"/>
      <w:r w:rsidR="000A3E40" w:rsidRPr="000A3E40">
        <w:t>Lauren.Masters@bcm.edu</w:t>
      </w:r>
      <w:r w:rsidR="000A3E40">
        <w:rPr>
          <w:color w:val="000000" w:themeColor="text1"/>
        </w:rPr>
        <w:t>)</w:t>
      </w:r>
    </w:p>
    <w:p w14:paraId="022BC857" w14:textId="6B118B2A" w:rsidR="008D00AB" w:rsidRPr="00DD309C" w:rsidRDefault="008D00AB" w:rsidP="008D00AB">
      <w:pPr>
        <w:rPr>
          <w:color w:val="000000" w:themeColor="text1"/>
        </w:rPr>
      </w:pPr>
      <w:r w:rsidRPr="00DD309C">
        <w:rPr>
          <w:color w:val="000000" w:themeColor="text1"/>
        </w:rPr>
        <w:t>Katelin Hagstrom</w:t>
      </w:r>
      <w:r w:rsidR="000A3E40">
        <w:rPr>
          <w:color w:val="000000" w:themeColor="text1"/>
        </w:rPr>
        <w:t xml:space="preserve">             </w:t>
      </w:r>
      <w:proofErr w:type="gramStart"/>
      <w:r w:rsidR="000A3E40">
        <w:rPr>
          <w:color w:val="000000" w:themeColor="text1"/>
        </w:rPr>
        <w:t xml:space="preserve">   (</w:t>
      </w:r>
      <w:proofErr w:type="gramEnd"/>
      <w:r w:rsidRPr="009634D1">
        <w:t>Katelin.Hagstrom@bcm.edu</w:t>
      </w:r>
      <w:r w:rsidR="000A3E40">
        <w:rPr>
          <w:color w:val="000000" w:themeColor="text1"/>
        </w:rPr>
        <w:t>)</w:t>
      </w:r>
    </w:p>
    <w:p w14:paraId="7B64B5A4" w14:textId="77777777" w:rsidR="009634D1" w:rsidRDefault="009634D1" w:rsidP="008D00AB">
      <w:pPr>
        <w:rPr>
          <w:color w:val="000000" w:themeColor="text1"/>
        </w:rPr>
      </w:pPr>
    </w:p>
    <w:p w14:paraId="486CDB57" w14:textId="6BDC724B" w:rsidR="000A3E40" w:rsidRDefault="000A3E40" w:rsidP="008D00AB">
      <w:pPr>
        <w:rPr>
          <w:color w:val="000000" w:themeColor="text1"/>
        </w:rPr>
      </w:pPr>
      <w:r>
        <w:rPr>
          <w:color w:val="000000" w:themeColor="text1"/>
        </w:rPr>
        <w:t>Corresponding author:</w:t>
      </w:r>
    </w:p>
    <w:p w14:paraId="64B15532" w14:textId="6DA8731A" w:rsidR="008D00AB" w:rsidRPr="00DD309C" w:rsidRDefault="000A3E40" w:rsidP="008D00AB">
      <w:pPr>
        <w:rPr>
          <w:color w:val="000000" w:themeColor="text1"/>
        </w:rPr>
      </w:pPr>
      <w:r w:rsidRPr="00DD309C">
        <w:rPr>
          <w:color w:val="000000" w:themeColor="text1"/>
        </w:rPr>
        <w:t>Graham Scott</w:t>
      </w:r>
      <w:r>
        <w:rPr>
          <w:color w:val="000000" w:themeColor="text1"/>
        </w:rPr>
        <w:t xml:space="preserve"> </w:t>
      </w:r>
      <w:r w:rsidRPr="00DD309C">
        <w:rPr>
          <w:color w:val="000000" w:themeColor="text1"/>
        </w:rPr>
        <w:t>Erwin</w:t>
      </w:r>
      <w:r>
        <w:t xml:space="preserve">         </w:t>
      </w:r>
      <w:proofErr w:type="gramStart"/>
      <w:r>
        <w:t xml:space="preserve">   (</w:t>
      </w:r>
      <w:proofErr w:type="gramEnd"/>
      <w:r w:rsidR="008D00AB" w:rsidRPr="009634D1">
        <w:t>Graham.Erwin@bcm.edu</w:t>
      </w:r>
      <w:r>
        <w:rPr>
          <w:color w:val="000000" w:themeColor="text1"/>
        </w:rPr>
        <w:t>)</w:t>
      </w:r>
    </w:p>
    <w:p w14:paraId="021E43B9" w14:textId="77777777" w:rsidR="008D00AB" w:rsidRPr="00DD309C" w:rsidRDefault="008D00AB" w:rsidP="008D00AB">
      <w:pPr>
        <w:pBdr>
          <w:top w:val="nil"/>
          <w:left w:val="nil"/>
          <w:bottom w:val="nil"/>
          <w:right w:val="nil"/>
          <w:between w:val="nil"/>
        </w:pBdr>
        <w:rPr>
          <w:color w:val="000000" w:themeColor="text1"/>
        </w:rPr>
      </w:pPr>
    </w:p>
    <w:p w14:paraId="5E18D18B" w14:textId="77777777" w:rsidR="008D00AB" w:rsidRPr="00DD309C" w:rsidRDefault="008D00AB" w:rsidP="008D00AB">
      <w:pPr>
        <w:rPr>
          <w:color w:val="000000" w:themeColor="text1"/>
        </w:rPr>
      </w:pPr>
      <w:r w:rsidRPr="00DD309C">
        <w:rPr>
          <w:b/>
          <w:color w:val="000000" w:themeColor="text1"/>
        </w:rPr>
        <w:t>SUMMARY:</w:t>
      </w:r>
    </w:p>
    <w:p w14:paraId="792BAA52" w14:textId="77777777" w:rsidR="008D00AB" w:rsidRPr="00DD309C" w:rsidRDefault="008D00AB" w:rsidP="008D00AB">
      <w:pPr>
        <w:rPr>
          <w:color w:val="000000" w:themeColor="text1"/>
        </w:rPr>
      </w:pPr>
      <w:r w:rsidRPr="00DD309C">
        <w:rPr>
          <w:color w:val="000000" w:themeColor="text1"/>
        </w:rPr>
        <w:t>We report a DNA-FISH metaphase spread protocol that visually detects locus copy number and location within the genome. This approach enables single-cell resolution of amplification states, specifically in cancer cell lines containing extrachromosomal DNA and homogeneously staining regions.</w:t>
      </w:r>
    </w:p>
    <w:p w14:paraId="1B32010E" w14:textId="77777777" w:rsidR="008D00AB" w:rsidRPr="00DD309C" w:rsidRDefault="008D00AB" w:rsidP="008D00AB">
      <w:pPr>
        <w:rPr>
          <w:color w:val="000000" w:themeColor="text1"/>
        </w:rPr>
      </w:pPr>
    </w:p>
    <w:p w14:paraId="685F33E6" w14:textId="77777777" w:rsidR="008D00AB" w:rsidRPr="00DD309C" w:rsidRDefault="008D00AB" w:rsidP="008D00AB">
      <w:pPr>
        <w:rPr>
          <w:color w:val="000000" w:themeColor="text1"/>
        </w:rPr>
      </w:pPr>
      <w:r w:rsidRPr="00DD309C">
        <w:rPr>
          <w:b/>
          <w:color w:val="000000" w:themeColor="text1"/>
        </w:rPr>
        <w:t>ABSTRACT:</w:t>
      </w:r>
    </w:p>
    <w:p w14:paraId="4EA093D9" w14:textId="6D79D619" w:rsidR="008D00AB" w:rsidRDefault="00982B7A" w:rsidP="008D00AB">
      <w:pPr>
        <w:rPr>
          <w:color w:val="000000" w:themeColor="text1"/>
        </w:rPr>
      </w:pPr>
      <w:r w:rsidRPr="00982B7A">
        <w:rPr>
          <w:color w:val="000000" w:themeColor="text1"/>
        </w:rPr>
        <w:t>Whole-genome sequencing identifies focal DNA amplifications with base-pair resolution but cannot determine whether amplified sequences reside on extrachromosomal DNA (</w:t>
      </w:r>
      <w:proofErr w:type="spellStart"/>
      <w:r w:rsidRPr="00982B7A">
        <w:rPr>
          <w:color w:val="000000" w:themeColor="text1"/>
        </w:rPr>
        <w:t>ecDNA</w:t>
      </w:r>
      <w:proofErr w:type="spellEnd"/>
      <w:r w:rsidRPr="00982B7A">
        <w:rPr>
          <w:color w:val="000000" w:themeColor="text1"/>
        </w:rPr>
        <w:t xml:space="preserve">, also known as double minutes) or within chromosomally integrated homogeneously staining regions (HSRs). DNA fluorescence in situ hybridization (DNA-FISH) metaphase spreads remain the gold standard for distinguishing these amplification states at single-cell resolution. Here, we present a detailed protocol for DNA-FISH metaphase spreads using human cancer cell lines, encompassing cell culture, metaphase arrest, hypotonic treatment, fixation, chromosome spreading, fluorescent probe hybridization, and fluorescence imaging. The protocol incorporates intermediate quality-control steps to verify successful chromosome dispersion and optimize metaphase spread quality, making the workflow accessible to laboratories without specialized cytogenetics expertise. </w:t>
      </w:r>
      <w:r w:rsidR="00E53946">
        <w:rPr>
          <w:color w:val="000000" w:themeColor="text1"/>
        </w:rPr>
        <w:t>Results</w:t>
      </w:r>
      <w:r w:rsidRPr="00982B7A">
        <w:rPr>
          <w:color w:val="000000" w:themeColor="text1"/>
        </w:rPr>
        <w:t xml:space="preserve"> demonstrate clear visualization of </w:t>
      </w:r>
      <w:proofErr w:type="spellStart"/>
      <w:r w:rsidRPr="00982B7A">
        <w:rPr>
          <w:color w:val="000000" w:themeColor="text1"/>
        </w:rPr>
        <w:t>ecDNA</w:t>
      </w:r>
      <w:proofErr w:type="spellEnd"/>
      <w:r w:rsidRPr="00982B7A">
        <w:rPr>
          <w:color w:val="000000" w:themeColor="text1"/>
        </w:rPr>
        <w:t xml:space="preserve"> and HSR amplification states using locus-specific probes and illustrate common technical artifacts that can affect interpretation. This protocol provides a robust and reproducible approach for studying the structural organization of oncogene amplification in cancer cells.</w:t>
      </w:r>
    </w:p>
    <w:p w14:paraId="6B877E3E" w14:textId="77777777" w:rsidR="00982B7A" w:rsidRPr="00DD309C" w:rsidRDefault="00982B7A" w:rsidP="008D00AB">
      <w:pPr>
        <w:rPr>
          <w:color w:val="000000" w:themeColor="text1"/>
        </w:rPr>
      </w:pPr>
    </w:p>
    <w:p w14:paraId="0154C766" w14:textId="77777777" w:rsidR="008D00AB" w:rsidRPr="00DD309C" w:rsidRDefault="008D00AB" w:rsidP="008D00AB">
      <w:pPr>
        <w:rPr>
          <w:color w:val="000000" w:themeColor="text1"/>
        </w:rPr>
      </w:pPr>
      <w:r w:rsidRPr="00DD309C">
        <w:rPr>
          <w:b/>
          <w:color w:val="000000" w:themeColor="text1"/>
        </w:rPr>
        <w:t>INTRODUCTION:</w:t>
      </w:r>
    </w:p>
    <w:p w14:paraId="2C72462F" w14:textId="66387866" w:rsidR="008D00AB" w:rsidRPr="00DD309C" w:rsidRDefault="008D00AB" w:rsidP="008D00AB">
      <w:pPr>
        <w:rPr>
          <w:bCs/>
          <w:color w:val="000000" w:themeColor="text1"/>
        </w:rPr>
      </w:pPr>
      <w:r w:rsidRPr="00DD309C">
        <w:rPr>
          <w:bCs/>
          <w:color w:val="000000" w:themeColor="text1"/>
        </w:rPr>
        <w:t>The human genome is organized not only by its sequence, but also by its structure, and changes in either sequence or structure can lead to cancer</w:t>
      </w:r>
      <w:r w:rsidRPr="00EE75A1">
        <w:rPr>
          <w:bCs/>
          <w:color w:val="000000" w:themeColor="text1"/>
          <w:vertAlign w:val="superscript"/>
        </w:rPr>
        <w:fldChar w:fldCharType="begin"/>
      </w:r>
      <w:r w:rsidR="00707A15" w:rsidRPr="00EE75A1">
        <w:rPr>
          <w:bCs/>
          <w:color w:val="000000" w:themeColor="text1"/>
          <w:vertAlign w:val="superscript"/>
        </w:rPr>
        <w:instrText xml:space="preserve"> ADDIN ZOTERO_ITEM CSL_CITATION {"citationID":"pnRuG19E","properties":{"formattedCitation":"[1\\uc0\\u8211{}4]","plainCitation":"[1–4]","noteIndex":0},"citationItems":[{"id":1430,"uris":["http://zotero.org/users/14101681/items/P4ETJF2F"],"itemData":{"id":1430,"type":"article-journal","abstract":"Gene amplification is a copy number increase of a restricted region of a chromosome arm. It is prevalent in some tumors and is associated with overexpression of the amplified gene(s). Amplified DNA can be organized as extrachromosomal elements, as repeated units at a single locus or scattered throughout the genome. Common chromosomal fragile sites, defects in DNA replication or telomere dysfunction might promote amplification. Some regions of amplification are complex, yet elements of the pattern are reproduced in different tumor types. A genetic basis for amplification is suggested by its relative frequency in some tumor subtypes, and its occurrence in \"early\" preneoplastic lesions. Clinically, amplification has prognostic and diagnostic usefulness, and is a mechanism of acquired drug resistance.","container-title":"Trends in genetics: TIG","DOI":"10.1016/j.tig.2006.06.007","ISSN":"0168-9525","issue":"8","journalAbbreviation":"Trends Genet","language":"eng","page":"447-455","PMID":"16787682","source":"PubMed","title":"Gene amplification in cancer","volume":"22","author":[{"family":"Albertson","given":"Donna G."}],"issued":{"date-parts":[["2006",8]]}}},{"id":1434,"uris":["http://zotero.org/users/14101681/items/A336ZW4M"],"itemData":{"id":1434,"type":"article-journal","abstract":"The term gene amplification refers to an increase in copy number of a gene. Upregulation of gene expression through amplification is a general mechanism to increase gene dosage. Oncogene amplifications have been shown in solid human cancers and they are often associated with progression of cancer. Defining oncogene amplification is useful since it is used as a prognostic marker in clinical oncology nowadays, especially v-erb-b2 avian erythroblastic leukemia viral oncogene homolog 2 (HER2) targeted agents are used in breast cancer patients with high level of HER2 overexpression as a therapeutic approach. However, patients without HER2 overexpression do not appear to benefit from these agents. We concluded that determination of oncogene amplification in solid tumors is an important factor in treatment of human cancers with many unknowns. We have referred to PubMed and some databases to prepare this article.","container-title":"North American Journal of Medical Sciences","DOI":"10.4103/1947-2714.163641","ISSN":"2250-1541","issue":"8","journalAbbreviation":"N Am J Med Sci","page":"341-346","PMID":"26417556","PMCID":"PMC4561439","source":"PubMed Central","title":"Amplification of Cellular Oncogenes in Solid Tumors","volume":"7","author":[{"family":"Bagci","given":"Ozkan"},{"family":"Kurtgöz","given":"Serkan"}],"issued":{"date-parts":[["2015",8]]}}},{"id":1432,"uris":["http://zotero.org/users/14101681/items/F6M4JZLR"],"itemData":{"id":1432,"type":"article-journal","container-title":"Cancer Treatment Reviews","DOI":"10.1016/0305-7372(84)90038-0","ISSN":"0305-7372","journalAbbreviation":"Cancer Treatment Reviews","page":"9-17","source":"ScienceDirect","title":"Gene amplification and drug resistance in cultured animal cells","volume":"11","author":[{"family":"Schimke","given":"R. T."},{"family":"Beverley","given":"S."},{"family":"Brown","given":"P."},{"family":"Cassin","given":"R."},{"family":"Federspiel","given":"N."},{"family":"Gasser","given":"C."},{"family":"Hill","given":"A."},{"family":"Johnston","given":"R."},{"family":"Mariani","given":"B."},{"family":"Mosse","given":"E."},{"family":"Rath","given":"H."},{"family":"Smouse","given":"D."},{"family":"Tlsty","given":"T."}],"issued":{"date-parts":[["1984",3,1]]}}},{"id":2239,"uris":["http://zotero.org/users/14101681/items/SRLY7287"],"itemData":{"id":2239,"type":"article-journal","abstract":"Mutational processes that alter large genomic regions occur frequently in developing tumors. They range from simple copy number gains and losses to the shattering and reassembly of entire chromosomes. These catastrophic events, such as chromothripsis, chromoplexy and the formation of extrachromosomal DNA, affect the expression of many genes and therefore have a substantial effect on the fitness of the cells in which they arise. In this review, we cover large genomic alterations, the mechanisms that cause them and their effect on tumor development and evolution.","container-title":"Nature Cancer","DOI":"10.1038/s43018-023-00711-y","ISSN":"2662-1347","issue":"2","journalAbbreviation":"Nat Cancer","language":"en","license":"2024 Springer Nature America, Inc","page":"228-239","publisher":"Nature Publishing Group","source":"www.nature.com","title":"Aneuploidy and complex genomic rearrangements in cancer evolution","volume":"5","author":[{"family":"Baker","given":"Toby M."},{"family":"Waise","given":"Sara"},{"family":"Tarabichi","given":"Maxime"},{"family":"Van Loo","given":"Peter"}],"issued":{"date-parts":[["2024",2]]}}}],"schema":"https://github.com/citation-style-language/schema/raw/master/csl-citation.json"} </w:instrText>
      </w:r>
      <w:r w:rsidRPr="00EE75A1">
        <w:rPr>
          <w:bCs/>
          <w:color w:val="000000" w:themeColor="text1"/>
          <w:vertAlign w:val="superscript"/>
        </w:rPr>
        <w:fldChar w:fldCharType="separate"/>
      </w:r>
      <w:r w:rsidR="00FF0E9C" w:rsidRPr="00EE75A1">
        <w:rPr>
          <w:color w:val="000000"/>
          <w:vertAlign w:val="superscript"/>
        </w:rPr>
        <w:t>1–4</w:t>
      </w:r>
      <w:r w:rsidRPr="00EE75A1">
        <w:rPr>
          <w:bCs/>
          <w:color w:val="000000" w:themeColor="text1"/>
          <w:vertAlign w:val="superscript"/>
        </w:rPr>
        <w:fldChar w:fldCharType="end"/>
      </w:r>
      <w:r w:rsidRPr="00DD309C">
        <w:rPr>
          <w:bCs/>
          <w:color w:val="000000" w:themeColor="text1"/>
        </w:rPr>
        <w:t>. Oncogene amplification is present in approximately 40% of all tumors, where it contributes to tumor initiation, growth, metastasis, and drug resistance</w:t>
      </w:r>
      <w:r w:rsidRPr="00EE75A1">
        <w:rPr>
          <w:bCs/>
          <w:color w:val="000000" w:themeColor="text1"/>
          <w:vertAlign w:val="superscript"/>
        </w:rPr>
        <w:fldChar w:fldCharType="begin"/>
      </w:r>
      <w:r w:rsidR="00707A15" w:rsidRPr="00EE75A1">
        <w:rPr>
          <w:bCs/>
          <w:color w:val="000000" w:themeColor="text1"/>
          <w:vertAlign w:val="superscript"/>
        </w:rPr>
        <w:instrText xml:space="preserve"> ADDIN ZOTERO_ITEM CSL_CITATION {"citationID":"NFtVbxCo","properties":{"formattedCitation":"[5]","plainCitation":"[5]","noteIndex":0},"citationItems":[{"id":1375,"uris":["http://zotero.org/users/14101681/items/Y5GNNSSY"],"itemData":{"id":1375,"type":"article-journal","abstract":"Identification of driver genes contributes to the understanding of cancer etiology and is imperative for the development of individualized therapies. Gene amplification is a major event in oncogenesis. Driver genes with tumor-specific amplification-dependent overexpression can be therapeutic targets. In this study, we aimed to identify amplification-dependent driver genes in 1,454 solid tumors, across more than 15 cancer types, by integrative analysis of gene expression and copy number. Amplification-dependent overexpression of 64 known driver oncogenes were found in 587 tumors (40%); genes frequently observed were MYC (25%) and MET (18%) in colorectal cancer; SKP2 (21%) in lung squamous cell carcinoma; HIST1H3B (19%) and MYCN (13%) in liver cancer; KIT (57%) in gastrointestinal stromal tumors; and FOXL2 (12%) in squamous cell carcinoma across tissues. Genomic aberrations in 138 known cancer driver genes and 491 established fusion genes were found in 1,127 tumors (78%). Further analyses of 820 cancer-related genes revealed 16 as potential driver genes, with amplification-dependent overexpression restricted to the remaining 22% of samples (327 tumors) initially undetermined genetic drivers. Among them, AXL, which encodes a receptor tyrosine kinase, was recurrently overexpressed and amplified in sarcomas. Our studies of amplification-dependent overexpression identified potential drug targets in individual tumors.","container-title":"Scientific Reports","DOI":"10.1038/s41598-017-00219-3","ISSN":"2045-2322","issue":"1","journalAbbreviation":"Sci Rep","language":"en","license":"2017 The Author(s)","page":"641","publisher":"Nature Publishing Group","source":"www.nature.com","title":"Integrated analysis of gene expression and copy number identified potential cancer driver genes with amplification-dependent overexpression in 1,454 solid tumors","volume":"7","author":[{"family":"Ohshima","given":"Keiichi"},{"family":"Hatakeyama","given":"Keiichi"},{"family":"Nagashima","given":"Takeshi"},{"family":"Watanabe","given":"Yuko"},{"family":"Kanto","given":"Kaori"},{"family":"Doi","given":"Yuki"},{"family":"Ide","given":"Tomomi"},{"family":"Shimoda","given":"Yuji"},{"family":"Tanabe","given":"Tomoe"},{"family":"Ohnami","given":"Sumiko"},{"family":"Ohnami","given":"Shumpei"},{"family":"Serizawa","given":"Masakuni"},{"family":"Maruyama","given":"Koji"},{"family":"Akiyama","given":"Yasuto"},{"family":"Urakami","given":"Kenichi"},{"family":"Kusuhara","given":"Masatoshi"},{"family":"Mochizuki","given":"Tohru"},{"family":"Yamaguchi","given":"Ken"}],"issued":{"date-parts":[["2017",4,4]]}}}],"schema":"https://github.com/citation-style-language/schema/raw/master/csl-citation.json"} </w:instrText>
      </w:r>
      <w:r w:rsidRPr="00EE75A1">
        <w:rPr>
          <w:bCs/>
          <w:color w:val="000000" w:themeColor="text1"/>
          <w:vertAlign w:val="superscript"/>
        </w:rPr>
        <w:fldChar w:fldCharType="separate"/>
      </w:r>
      <w:r w:rsidR="00FF0E9C" w:rsidRPr="00EE75A1">
        <w:rPr>
          <w:color w:val="000000"/>
          <w:vertAlign w:val="superscript"/>
        </w:rPr>
        <w:t>5</w:t>
      </w:r>
      <w:r w:rsidRPr="00EE75A1">
        <w:rPr>
          <w:bCs/>
          <w:color w:val="000000" w:themeColor="text1"/>
          <w:vertAlign w:val="superscript"/>
        </w:rPr>
        <w:fldChar w:fldCharType="end"/>
      </w:r>
      <w:r w:rsidRPr="00DD309C">
        <w:rPr>
          <w:bCs/>
          <w:color w:val="000000" w:themeColor="text1"/>
        </w:rPr>
        <w:t>. In some cases, amplified oncogenes are carried on extrachromosomal DNAs (</w:t>
      </w:r>
      <w:proofErr w:type="spellStart"/>
      <w:r w:rsidRPr="00DD309C">
        <w:rPr>
          <w:bCs/>
          <w:color w:val="000000" w:themeColor="text1"/>
        </w:rPr>
        <w:t>ecDNAs</w:t>
      </w:r>
      <w:proofErr w:type="spellEnd"/>
      <w:r w:rsidRPr="00DD309C">
        <w:rPr>
          <w:bCs/>
          <w:color w:val="000000" w:themeColor="text1"/>
        </w:rPr>
        <w:t xml:space="preserve">, also called double minutes), which are circular, self-replicating, double-stranded DNA </w:t>
      </w:r>
      <w:r w:rsidRPr="00DD309C">
        <w:rPr>
          <w:bCs/>
          <w:color w:val="000000" w:themeColor="text1"/>
        </w:rPr>
        <w:lastRenderedPageBreak/>
        <w:t>elements that reside outside of the linear chromosomes</w:t>
      </w:r>
      <w:r w:rsidRPr="000E482D">
        <w:rPr>
          <w:bCs/>
          <w:color w:val="000000" w:themeColor="text1"/>
          <w:vertAlign w:val="superscript"/>
        </w:rPr>
        <w:fldChar w:fldCharType="begin"/>
      </w:r>
      <w:r w:rsidR="00707A15" w:rsidRPr="000E482D">
        <w:rPr>
          <w:bCs/>
          <w:color w:val="000000" w:themeColor="text1"/>
          <w:vertAlign w:val="superscript"/>
        </w:rPr>
        <w:instrText xml:space="preserve"> ADDIN ZOTERO_ITEM CSL_CITATION {"citationID":"pgJS43wo","properties":{"formattedCitation":"[6\\uc0\\u8211{}9]","plainCitation":"[6–9]","noteIndex":0},"citationItems":[{"id":1437,"uris":["http://zotero.org/users/14101681/items/YR6YTEJJ"],"itemData":{"id":1437,"type":"article-journal","abstract":"The genome of cancer cells contains circular extrachromosomal DNA (ecDNA) elements not found in normal cells. Analysis of clinical samples reveal they are common in most cancers and their presence indicates poor prognosis. They often contain enhancers and driver oncogenes that are highly expressed. The circular ecDNA topology leads to an open chromatin conformation and generates new gene regulatory interactions, including with distal enhancers. The absence of centromeres leads to random distribution of ecDNAs during cell division and genes encoded on them are transmitted in a non-mendelian manner. ecDNA can integrate into and exit from chromosomal DNA. The numbers of specific ecDNAs can change in response to treatment. This dynamic ability to remodel the cancer genome challenges long-standing fundamentals, providing new insights into tumor heterogeneity, cancer genome remodeling, and drug resistance.","container-title":"Biochemical Society Transactions","DOI":"10.1042/BST20221045","ISSN":"1470-8752","issue":"6","journalAbbreviation":"Biochem Soc Trans","language":"eng","page":"1911-1920","PMID":"36355400","PMCID":"PMC9788557","source":"PubMed","title":"Extrachromosomal DNA (ecDNA): an origin of tumor heterogeneity, genomic remodeling, and drug resistance","title-short":"Extrachromosomal DNA (ecDNA)","volume":"50","author":[{"family":"Pecorino","given":"Lauren T."},{"family":"Verhaak","given":"Roel G. W."},{"family":"Henssen","given":"Anton"},{"family":"Mischel","given":"Paul S."}],"issued":{"date-parts":[["2022",12,16]]}}},{"id":633,"uris":["http://zotero.org/users/14101681/items/UE373K8E"],"itemData":{"id":633,"type":"article-journal","abstract":"In 6 cases chromosome preparations made without culture from human malignant tumours showed varying numbers of minute double chromatin bodies in addition to the ordinary chromosomes. The ordinary chromosomes appeared structurally intact, but each tumour had a different abnormal karyotype with some variation from cell to cell.","container-title":"The Lancet","DOI":"10.1016/S0140-6736(65)90131-5","ISSN":"01406736","issue":"7402","journalAbbreviation":"The Lancet","language":"en","license":"https://www.elsevier.com/tdm/userlicense/1.0/","page":"55-58","source":"DOI.org (Crossref)","title":"MINUTE CHROMATIN BODIES IN MALIGNANT TUMOURS OF CHILDHOOD","volume":"286","author":[{"family":"Cox","given":"David"},{"family":"Yuncken","given":"Catherine"},{"family":"Spriggs","given":"A.I."}],"issued":{"date-parts":[["1965",7]]}}},{"id":84,"uris":["http://zotero.org/users/14101681/items/YXL3F2NX"],"itemData":{"id":84,"type":"article-journal","abstract":"We have cloned a 2.0-kb EcoRl fragment of human genomic DNA (NB-19-21) which has homology to the v-myc oncogene but is distinct from the classical cmyc gene. This sequence is amplified from 25- to 700-fold in eight of nine tested human neuroblastoma cell lines which contain either homogeneously staining regions or double minutes (HSRs or DMs), the caryological manifestations of amplified genes. In the remaining line, the c-myc proto-oncogene is amplified approximately 30-fold. NB-19-21 hybridizes to a 3.2-kb cytoplasmic, poly(A)+ RNA species that is abundant only in lines in which the sequence is amplified. We propose that the gene encoding the NB-19-2%related RNA species may represent a new oncogene, which we call N-myc. NB-19-21 derives from chromosome 2; but in the five HSR-containing lines that have amplified this sequence, none has HSRs on chromosome 2. NB-19-21 is associated with DMs in a DM-containing line. A second, randomly cloned, amplified DNA segment from the HSR of one of the neuroblastoma lines is amplified in a subset of the lines in which NB-19-21 is amplified. In addition, this probe identifies a novel joint in the amplification unit of one line relative to that of the others. We suggest that, in the eight lines which have amplified NB-19-21, the amplification units are overlapping, but not identical, and that transposition of the common sequences may occur prior to amplification.","container-title":"Cell","DOI":"10.1016/0092-8674(83)90169-1","ISSN":"00928674","issue":"2","journalAbbreviation":"Cell","language":"en","license":"https://www.elsevier.com/tdm/userlicense/1.0/","page":"359-367","source":"DOI.org (Crossref)","title":"Transposition and amplification of oncogene-related sequences in human neuroblastomas","volume":"35","author":[{"family":"Kohl","given":"Nancy E."},{"family":"Kanda","given":"Naotoshi"},{"family":"Schreck","given":"Rhona R."},{"family":"Bruns","given":"Gail"},{"family":"Latt","given":"Samuel A."},{"family":"Gilbert","given":"Fred"},{"family":"Alt","given":"Frederick W."}],"issued":{"date-parts":[["1983",12]]}}},{"id":1397,"uris":["http://zotero.org/users/14101681/items/QRAIB7MW"],"itemData":{"id":1397,"type":"article-journal","abstract":"The presence of double minute chromosomes (dmin) in cancer cells is known to be correlated with gene amplifications. In human high grade astrocytomas or glioblastomas, about 50% of cytogenetically characterized cases display dmin. G5 is a cell line which has been established from a human glioblastoma containing multiple dmin. In order to identify the DNA content of these dmin, three techniques were successively used: conventional cytogenetic analysis, comparative genomic hybridization (CGH), and fluorescent in situ hybridization (FISH). The karyotype of G5 cells showed numerical chromosome changes (hypertriploidy), several marker chromosomes, and multiple dmin. CGH experiments detected two strong DNA amplification areas located in 9p21-22 and 9p24, as well as an underrepresentation of chromosomes 6, 10, 11, 13, 14, and 18q. By using FISH with a chromosome 9-specific painting probe to metaphase chromosomes of the G5 cell line, dmin were shown to contain DNA sequences originating from chromosome 9. This study demonstrates the usefulness of a combination of classical karyotyping, CGH, and FISH to identify the chromosomal origin of amplified DNA sequences in dmin.","container-title":"Human Genetics","DOI":"10.1007/s004390050205","ISSN":"1432-1203","issue":"3","journalAbbreviation":"Hum Genet","language":"en","page":"265-270","source":"Springer Link","title":"Characterization of double minute chromosomes’ DNA content in a human high grade astrocytoma cell line by using comparative genomic hybridization and fluorescence in situ hybridization","volume":"98","author":[{"family":"Giollant","given":"Michel"},{"family":"Bertrand","given":"Suzanne"},{"family":"Verrelle","given":"Pierre"},{"family":"Manoir","given":"Stanislas","non-dropping-particle":"du"},{"family":"Ried","given":"Thomas"},{"family":"Mornex","given":"Françoise"},{"family":"Doré","given":"Jean-François"},{"family":"Cremer","given":"Thomas"},{"family":"Malet","given":"P."},{"family":"Tchirkov","given":"A."},{"literal":"Andrei Tchirkov"}],"issued":{"date-parts":[["1996",7,1]]}}}],"schema":"https://github.com/citation-style-language/schema/raw/master/csl-citation.json"} </w:instrText>
      </w:r>
      <w:r w:rsidRPr="000E482D">
        <w:rPr>
          <w:bCs/>
          <w:color w:val="000000" w:themeColor="text1"/>
          <w:vertAlign w:val="superscript"/>
        </w:rPr>
        <w:fldChar w:fldCharType="separate"/>
      </w:r>
      <w:r w:rsidR="00FF0E9C" w:rsidRPr="000E482D">
        <w:rPr>
          <w:color w:val="000000"/>
          <w:vertAlign w:val="superscript"/>
        </w:rPr>
        <w:t>6–9</w:t>
      </w:r>
      <w:r w:rsidRPr="000E482D">
        <w:rPr>
          <w:bCs/>
          <w:color w:val="000000" w:themeColor="text1"/>
          <w:vertAlign w:val="superscript"/>
        </w:rPr>
        <w:fldChar w:fldCharType="end"/>
      </w:r>
      <w:r w:rsidRPr="00DD309C">
        <w:rPr>
          <w:bCs/>
          <w:color w:val="000000" w:themeColor="text1"/>
        </w:rPr>
        <w:t xml:space="preserve">. </w:t>
      </w:r>
      <w:proofErr w:type="spellStart"/>
      <w:r w:rsidRPr="00DD309C">
        <w:rPr>
          <w:bCs/>
          <w:color w:val="000000" w:themeColor="text1"/>
        </w:rPr>
        <w:t>ecDNAs</w:t>
      </w:r>
      <w:proofErr w:type="spellEnd"/>
      <w:r w:rsidRPr="00DD309C">
        <w:rPr>
          <w:bCs/>
          <w:color w:val="000000" w:themeColor="text1"/>
        </w:rPr>
        <w:t xml:space="preserve"> are hundreds of kilobases to megabases in size</w:t>
      </w:r>
      <w:r w:rsidRPr="000E482D">
        <w:rPr>
          <w:bCs/>
          <w:color w:val="000000" w:themeColor="text1"/>
          <w:vertAlign w:val="superscript"/>
        </w:rPr>
        <w:fldChar w:fldCharType="begin"/>
      </w:r>
      <w:r w:rsidR="00707A15" w:rsidRPr="000E482D">
        <w:rPr>
          <w:bCs/>
          <w:color w:val="000000" w:themeColor="text1"/>
          <w:vertAlign w:val="superscript"/>
        </w:rPr>
        <w:instrText xml:space="preserve"> ADDIN ZOTERO_ITEM CSL_CITATION {"citationID":"w66BSHl8","properties":{"unsorted":false,"formattedCitation":"[10,11]","plainCitation":"[10,11]","noteIndex":0},"citationItems":[{"id":1189,"uris":["http://zotero.org/users/14101681/items/TC4JBW2N"],"itemData":{"id":1189,"type":"article-journal","abstract":"Cancer is driven by somatically acquired point mutations and chromosomal rearrangements, conventionally thought to accumulate gradually over time. Using next-generation sequencing, we characterize a phenomenon, which we term chromothripsis, whereby tens to hundreds of genomic rearrangements occur in a one-off cellular crisis. Rearrangements involving one or a few chromosomes crisscross back and forth across involved regions, generating frequent oscillations between two copy number states. These genomic hallmarks are highly improbable if rearrangements accumulate over time and instead imply that nearly all occur during a single cellular catastrophe. The stamp of chromothripsis can be seen in at least 2%-3% of all cancers, across many subtypes, and is present in </w:instrText>
      </w:r>
      <w:r w:rsidR="00707A15" w:rsidRPr="000E482D">
        <w:rPr>
          <w:rFonts w:ascii="Cambria Math" w:hAnsi="Cambria Math" w:cs="Cambria Math"/>
          <w:bCs/>
          <w:color w:val="000000" w:themeColor="text1"/>
          <w:vertAlign w:val="superscript"/>
        </w:rPr>
        <w:instrText>∼</w:instrText>
      </w:r>
      <w:r w:rsidR="00707A15" w:rsidRPr="000E482D">
        <w:rPr>
          <w:bCs/>
          <w:color w:val="000000" w:themeColor="text1"/>
          <w:vertAlign w:val="superscript"/>
        </w:rPr>
        <w:instrText xml:space="preserve">25% of bone cancers. We find that one, or indeed more than one, cancer-causing lesion can emerge out of the genomic crisis. This phenomenon has important implications for the origins of genomic remodeling and temporal emergence of cancer.","container-title":"Cell","DOI":"10.1016/j.cell.2010.11.055","ISSN":"1097-4172","issue":"1","journalAbbreviation":"Cell","language":"eng","page":"27-40","PMID":"21215367","PMCID":"PMC3065307","source":"PubMed","title":"Massive genomic rearrangement acquired in a single catastrophic event during cancer development","volume":"144","author":[{"family":"Stephens","given":"Philip J."},{"family":"Greenman","given":"Chris D."},{"family":"Fu","given":"Beiyuan"},{"family":"Yang","given":"Fengtang"},{"family":"Bignell","given":"Graham R."},{"family":"Mudie","given":"Laura J."},{"family":"Pleasance","given":"Erin D."},{"family":"Lau","given":"King Wai"},{"family":"Beare","given":"David"},{"family":"Stebbings","given":"Lucy A."},{"family":"McLaren","given":"Stuart"},{"family":"Lin","given":"Meng-Lay"},{"family":"McBride","given":"David J."},{"family":"Varela","given":"Ignacio"},{"family":"Nik-Zainal","given":"Serena"},{"family":"Leroy","given":"Catherine"},{"family":"Jia","given":"Mingming"},{"family":"Menzies","given":"Andrew"},{"family":"Butler","given":"Adam P."},{"family":"Teague","given":"Jon W."},{"family":"Quail","given":"Michael A."},{"family":"Burton","given":"John"},{"family":"Swerdlow","given":"Harold"},{"family":"Carter","given":"Nigel P."},{"family":"Morsberger","given":"Laura A."},{"family":"Iacobuzio-Donahue","given":"Christine"},{"family":"Follows","given":"George A."},{"family":"Green","given":"Anthony R."},{"family":"Flanagan","given":"Adrienne M."},{"family":"Stratton","given":"Michael R."},{"family":"Futreal","given":"P. Andrew"},{"family":"Campbell","given":"Peter J."}],"issued":{"date-parts":[["2011",1,7]]}}},{"id":2234,"uris":["http://zotero.org/users/14101681/items/QJ8SKUDL"],"itemData":{"id":2234,"type":"article-journal","abstract":"Genome sequencing has uncovered a new mutational phenomenon in cancer and congenital disorders called chromothripsis. Chromothripsis is characterized by extensive genomic rearrangements and an oscillating pattern of DNA copy number levels, all curiously restricted to one or a few chromosomes. The mechanism for chromothripsis is unknown, but we previously proposed that it could occur through the physical isolation of chromosomes in aberrant nuclear structures called micronuclei. Here, using a combination of live-cell imaging and single-cell genome sequencing, we demonstrate that micronucleus formation can indeed generate a spectrum of genomic rearrangements, some of which recapitulate all known features of chromothripsis. These events are restricted to the missegregated chromosome and occur within one cell division. We demonstrate that the mechanism for chromothripsis can involve the fragmentation and subsequent reassembly of a single chromatid from a micronucleus. Collectively, these experiments establish a new mutational process of which chromothripsis is one extreme outcome.","container-title":"Nature","DOI":"10.1038/nature14493","ISSN":"0028-0836","issue":"7555","journalAbbreviation":"Nature","page":"179-184","PMID":"26017310","PMCID":"PMC4742237","source":"PubMed Central","title":"CHROMOTHRIPSIS FROM DNA DAMAGE IN MICRONUCLEI","volume":"522","author":[{"family":"Zhang","given":"Cheng-Zhong"},{"family":"Spektor","given":"Alexander"},{"family":"Cornils","given":"Hauke"},{"family":"Francis","given":"Joshua M."},{"family":"Jackson","given":"Emily K."},{"family":"Liu","given":"Shiwei"},{"family":"Meyerson","given":"Matthew"},{"family":"Pellman","given":"David"}],"issued":{"date-parts":[["2015",6,11]]}}}],"schema":"https://github.com/citation-style-language/schema/raw/master/csl-citation.json"} </w:instrText>
      </w:r>
      <w:r w:rsidRPr="000E482D">
        <w:rPr>
          <w:bCs/>
          <w:color w:val="000000" w:themeColor="text1"/>
          <w:vertAlign w:val="superscript"/>
        </w:rPr>
        <w:fldChar w:fldCharType="separate"/>
      </w:r>
      <w:r w:rsidR="00FF0E9C" w:rsidRPr="000E482D">
        <w:rPr>
          <w:color w:val="000000"/>
          <w:vertAlign w:val="superscript"/>
        </w:rPr>
        <w:t>10,11</w:t>
      </w:r>
      <w:r w:rsidRPr="000E482D">
        <w:rPr>
          <w:bCs/>
          <w:color w:val="000000" w:themeColor="text1"/>
          <w:vertAlign w:val="superscript"/>
        </w:rPr>
        <w:fldChar w:fldCharType="end"/>
      </w:r>
      <w:r w:rsidRPr="00DD309C">
        <w:rPr>
          <w:bCs/>
          <w:color w:val="000000" w:themeColor="text1"/>
        </w:rPr>
        <w:t>. Due to their lack of centromeres, they segregate asymmetrically during mitosis, leading to as many as 100+ copies in a single nucleus</w:t>
      </w:r>
      <w:r w:rsidRPr="000E482D">
        <w:rPr>
          <w:bCs/>
          <w:color w:val="000000" w:themeColor="text1"/>
          <w:vertAlign w:val="superscript"/>
        </w:rPr>
        <w:fldChar w:fldCharType="begin"/>
      </w:r>
      <w:r w:rsidR="00707A15" w:rsidRPr="000E482D">
        <w:rPr>
          <w:bCs/>
          <w:color w:val="000000" w:themeColor="text1"/>
          <w:vertAlign w:val="superscript"/>
        </w:rPr>
        <w:instrText xml:space="preserve"> ADDIN ZOTERO_ITEM CSL_CITATION {"citationID":"XqUpEW0f","properties":{"formattedCitation":"[12\\uc0\\u8211{}18]","plainCitation":"[12–18]","noteIndex":0},"citationItems":[{"id":241,"uris":["http://zotero.org/users/14101681/items/IS3E4ZRU"],"itemData":{"id":241,"type":"article-journal","abstract":"Oncogene amplification on extrachromosomal DNA (ecDNA) is a common event, driving aggressive tumor growth, drug resistance and shorter survival. Currently, the impact of nonchromosomal oncogene inheritance—random identity by descent—is poorly understood. Also unclear is the impact of ecDNA on somatic variation and selection. Here integrating theoretical models of random segregation, unbiased image analysis, CRISPR-based ecDNA tagging with live-cell imaging and CRISPR-C, we demonstrate that random ecDNA inheritance results in extensive intratumoral ecDNA copy number heterogeneity and rapid adaptation to metabolic stress and targeted treatment. Observed ecDNAs benefit host cell survival or growth and can change within a single cell cycle. ecDNA inheritance can predict, a priori, some of the aggressive features of ecDNA-containing cancers. These properties are facilitated by the ability of ecDNA to rapidly adapt genomes in a way that is not possible through chromosomal oncogene amplification. These results show how the nonchromosomal random inheritance pattern of ecDNA contributes to poor outcomes for patients with cancer., Random segregation of extrachromosomal DNA contributes to intratumoral heterogeneity and facilitates the rapid adaptation of human tumor cells to anticancer drugs.","container-title":"Nature Genetics","DOI":"10.1038/s41588-022-01177-x","ISSN":"1061-4036","issue":"10","journalAbbreviation":"Nat Genet","page":"1527-1533","PMID":"36123406","PMCID":"PMC9534767","source":"PubMed Central","title":"The evolutionary dynamics of extrachromosomal DNA in human cancers","volume":"54","author":[{"family":"Lange","given":"Joshua T."},{"family":"Rose","given":"John C."},{"family":"Chen","given":"Celine Y."},{"family":"Pichugin","given":"Yuriy"},{"family":"Xie","given":"Liangqi"},{"family":"Tang","given":"Jun"},{"family":"Hung","given":"King L."},{"family":"Yost","given":"Kathryn E."},{"family":"Shi","given":"Quanming"},{"family":"Erb","given":"Marcella L."},{"family":"Rajkumar","given":"Utkrisht"},{"family":"Wu","given":"Sihan"},{"family":"Taschner-Mandl","given":"Sabine"},{"family":"Bernkopf","given":"Marie"},{"family":"Swanton","given":"Charles"},{"family":"Liu","given":"Zhe"},{"family":"Huang","given":"Weini"},{"family":"Chang","given":"Howard Y."},{"family":"Bafna","given":"Vineet"},{"family":"Henssen","given":"Anton G."},{"family":"Werner","given":"Benjamin"},{"family":"Mischel","given":"Paul S."}],"issued":{"date-parts":[["2022"]]}}},{"id":1446,"uris":["http://zotero.org/users/14101681/items/RY89YJI9"],"itemData":{"id":1446,"type":"article-journal","abstract":"Human cells have twenty-three pairs of chromosomes. In cancer, however, genes can be amplified in chromosomes or in circular extrachromosomal DNA (ecDNA), although the frequency and functional importance of ecDNA are not understood. We performed whole-genome sequencing, structural modelling and cytogenetic analyses of 17 different cancer types, including analysis of the structure and function of chromosomes during metaphase of 2,572 dividing cells, and developed a software package called ECdetect to conduct unbiased, integrated ecDNA detection and analysis. Here we show that ecDNA was found in nearly half of human cancers; its frequency varied by tumour type, but it was almost never found in normal cells. Driver oncogenes were amplified most commonly in ecDNA, thereby increasing transcript level. Mathematical modelling predicted that ecDNA amplification would increase oncogene copy number and intratumoural heterogeneity more effectively than chromosomal amplification. We validated these predictions by quantitative analyses of cancer samples. The results presented here suggest that ecDNA contributes to accelerated evolution in cancer.","container-title":"Nature","DOI":"10.1038/nature21356","ISSN":"1476-4687","issue":"7643","journalAbbreviation":"Nature","language":"eng","page":"122-125","PMID":"28178237","PMCID":"PMC5334176","source":"PubMed","title":"Extrachromosomal oncogene amplification drives tumour evolution and genetic heterogeneity","volume":"543","author":[{"family":"Turner","given":"Kristen M."},{"family":"Deshpande","given":"Viraj"},{"family":"Beyter","given":"Doruk"},{"family":"Koga","given":"Tomoyuki"},{"family":"Rusert","given":"Jessica"},{"family":"Lee","given":"Catherine"},{"family":"Li","given":"Bin"},{"family":"Arden","given":"Karen"},{"family":"Ren","given":"Bing"},{"family":"Nathanson","given":"David A."},{"family":"Kornblum","given":"Harley I."},{"family":"Taylor","given":"Michael D."},{"family":"Kaushal","given":"Sharmeela"},{"family":"Cavenee","given":"Webster K."},{"family":"Wechsler-Reya","given":"Robert"},{"family":"Furnari","given":"Frank B."},{"family":"Vandenberg","given":"Scott R."},{"family":"Rao","given":"P. Nagesh"},{"family":"Wahl","given":"Geoffrey M."},{"family":"Bafna","given":"Vineet"},{"family":"Mischel","given":"Paul S."}],"issued":{"date-parts":[["2017",3,2]]}}},{"id":9,"uris":["http://zotero.org/users/14101681/items/PYGGXKHA"],"itemData":{"id":9,"type":"article-journal","abstract":"Oncogenes are commonly amplified on particles of extrachromosomal DNA (ecDNA) in cancer1,2, but our understanding of the structure of ecDNA and its effect on gene regulation is limited. Here, by integrating ultrastructural imaging, long-range optical mapping and computational analysis of whole-genome sequencing, we demonstrate the structure of circular ecDNA. Pan-cancer analyses reveal that oncogenes encoded on ecDNA are among the most highly expressed genes in the transcriptome of the tumours, linking increased copy number with high transcription levels. Quantitative assessment of the chromatin state reveals that although ecDNA is packaged into chromatin with intact domain structure, it lacks higher-order compaction that is typical of chromosomes and displays significantly enhanced chromatin accessibility. Furthermore, ecDNA is shown to have a significantly greater number of ultra-long-range interactions with active chromatin, which provides insight into how the structure of circular ecDNA affects oncogene function, and connects ecDNA biology with modern cancer genomics and epigenetics.","container-title":"Nature","DOI":"10.1038/s41586-019-1763-5","ISSN":"1476-4687","issue":"7784","language":"en","license":"2019 The Author(s), under exclusive licence to Springer Nature Limited","page":"699-703","publisher":"Nature Publishing Group","source":"www.nature.com","title":"Circular ecDNA promotes accessible chromatin and high oncogene expression","volume":"575","author":[{"family":"Wu","given":"Sihan"},{"family":"Turner","given":"Kristen M."},{"family":"Nguyen","given":"Nam"},{"family":"Raviram","given":"Ramya"},{"family":"Erb","given":"Marcella"},{"family":"Santini","given":"Jennifer"},{"family":"Luebeck","given":"Jens"},{"family":"Rajkumar","given":"Utkrisht"},{"family":"Diao","given":"Yarui"},{"family":"Li","given":"Bin"},{"family":"Zhang","given":"Wenjing"},{"family":"Jameson","given":"Nathan"},{"family":"Corces","given":"M. Ryan"},{"family":"Granja","given":"Jeffrey M."},{"family":"Chen","given":"Xingqi"},{"family":"Coruh","given":"Ceyda"},{"family":"Abnousi","given":"Armen"},{"family":"Houston","given":"Jack"},{"family":"Ye","given":"Zhen"},{"family":"Hu","given":"Rong"},{"family":"Yu","given":"Miao"},{"family":"Kim","given":"Hoon"},{"family":"Law","given":"Julie A."},{"family":"Verhaak","given":"Roel G. W."},{"family":"Hu","given":"Ming"},{"family":"Furnari","given":"Frank B."},{"family":"Chang","given":"Howard Y."},{"family":"Ren","given":"Bing"},{"family":"Bafna","given":"Vineet"},{"family":"Mischel","given":"Paul S."}],"issued":{"date-parts":[["2019",11]]}}},{"id":1882,"uris":["http://zotero.org/users/14101681/items/DMEQAQMH"],"itemData":{"id":1882,"type":"article-journal","abstract":"Focal oncogene amplification and rearrangements drive tumor growth and evolution in multiple cancer types. We present AmpliconArchitect (AA), a tool to reconstruct the fine structure of focally amplified regions using whole genome sequencing (WGS) and validate it extensively on multiple simulated and real datasets, across a wide range of coverage and copy numbers. Analysis of AA-reconstructed amplicons in a pan-cancer dataset reveals many novel properties of copy number amplifications in cancer. These findings support a model in which focal amplifications arise due to the formation and replication of extrachromosomal DNA. Applying AA to 68 viral-mediated cancer samples, we identify a large fraction of amplicons with specific structural signatures suggestive of hybrid, human-viral extrachromosomal DNA. AA reconstruction, integrated with metaphase fluorescence in situ hybridization (FISH) and PacBio sequencing on the cell-line UPCI:SCC090 confirm the extrachromosomal origin and fine structure of a Forkhead box E1 (FOXE1)-containing hybrid amplicon., Focal amplifications are prevalent in many cancer genomes. Here, the authors present AmpliconArchitect (AA), a computational tool for reconstructing their architecture, and reveal an extrachromosomal origin for focal amplifications, including hybrid human-virus elements in HPV-mediated cancers.","container-title":"Nature Communications","DOI":"10.1038/s41467-018-08200-y","ISSN":"2041-1723","journalAbbreviation":"Nat Commun","page":"392","PMID":"30674876","PMCID":"PMC6344493","source":"PubMed Central","title":"Exploring the landscape of focal amplifications in cancer using AmpliconArchitect","volume":"10","author":[{"family":"Deshpande","given":"Viraj"},{"family":"Luebeck","given":"Jens"},{"family":"Nguyen","given":"Nam-Phuong D."},{"family":"Bakhtiari","given":"Mehrdad"},{"family":"Turner","given":"Kristen M."},{"family":"Schwab","given":"Richard"},{"family":"Carter","given":"Hannah"},{"family":"Mischel","given":"Paul S."},{"family":"Bafna","given":"Vineet"}],"issued":{"date-parts":[["2019",1,23]]}}},{"id":1880,"uris":["http://zotero.org/users/14101681/items/UXIFL8Z5"],"itemData":{"id":1880,"type":"article-journal","container-title":"Hereditas","DOI":"10.1111/j.1601-5223.1978.tb01606.x","ISSN":"0018-0661","issue":"1","journalAbbreviation":"Hereditas","language":"eng","page":"81-92","PMID":"649427","source":"PubMed","title":"Have double minutes functioning centromeres?","volume":"88","author":[{"family":"Levan","given":"A."},{"family":"Levan","given":"G."}],"issued":{"date-parts":[["1978"]]}}},{"id":639,"uris":["http://zotero.org/users/14101681/items/NB9E7DHB"],"itemData":{"id":639,"type":"article-journal","abstract":"Neuroblastoma exhibits signiﬁcant inter- and intra-tumor genetic heterogeneity and varying clinical outcomes. Extrachromosomal DNAs (ecDNAs) may drive this heterogeneity by independently segregating during cell division, leading to rapid oncogene ampliﬁcation. While ecDNA-mediated oncogene ampliﬁcation is linked to poor prognosis in various cancers, the effects of ecDNA copy-number heterogeneity on intermediate phenotypes are poorly understood. Here, we leverage DNA and RNA sequencing from the same single cells in cell lines and neuroblastoma patients to investigate these effects. By analyzing ecDNA amplicon structures, we reveal extensive intercellular ecDNA copy-number heterogeneity. We also provide direct evidence of how this heterogeneity inﬂuences the expression of cargo genes, including MYCN and its downstream targets, and the overall transcriptional state of neuroblastoma cells. Our ﬁndings highlight the role of ecDNA copy number in promoting rapid adaptability of cellular states within tumors, underscoring the need for ecDNA-speciﬁc treatment strategies to address tumor formation and adaptation.","container-title":"Cell Reports","DOI":"10.1016/j.celrep.2024.114711","ISSN":"22111247","issue":"9","journalAbbreviation":"Cell Reports","language":"en","page":"114711","source":"DOI.org (Crossref)","title":"Intercellular extrachromosomal DNA copy-number heterogeneity drives neuroblastoma cell state diversity","volume":"43","author":[{"family":"Stöber","given":"Maja C."},{"family":"Chamorro González","given":"Rocío"},{"family":"Brückner","given":"Lotte"},{"family":"Conrad","given":"Thomas"},{"family":"Wittstruck","given":"Nadine"},{"family":"Szymansky","given":"Annabell"},{"family":"Eggert","given":"Angelika"},{"family":"Schulte","given":"Johannes H."},{"family":"Koche","given":"Richard P."},{"family":"Henssen","given":"Anton G."},{"family":"Schwarz","given":"Roland F."},{"family":"Haase","given":"Kerstin"}],"issued":{"date-parts":[["2024",9]]}}},{"id":1866,"uris":["http://zotero.org/users/14101681/items/7F9RI8MD"],"itemData":{"id":1866,"type":"article-journal","abstract":"Selection of mammalian cells in progressively increasing concentrations of methotrexate results in selective amplification of DNA sequences coding for dihydrofolate reductase (tetrahydrofolate dehydrogenase, 5,6,7,8-tetrahydrofolate:NADP+ oxidoreductase, EC 1.5.1.3). In some cell variants the amplified genes are stable with growth in the absence of methotrexate, whereas in other variants the amplified genes are lost from the population. We have previously reported that in a stably amplified variant of Chinese hamster ovary cells, the genes are localized to a single chromosome. Herein we report that in mouse S-180 and L5178Y cell lines unstably amplified dihydrofolate reductase DNA sequences are associated with small, paired chromosomal elements denoted \"double minute chromosomes,\" whereas in stably amplified cells of the same origin, the genes are associated with large chromosomes.","container-title":"Proceedings of the National Academy of Sciences of the United States of America","DOI":"10.1073/pnas.76.11.5669","ISSN":"0027-8424","issue":"11","journalAbbreviation":"Proc Natl Acad Sci U S A","language":"eng","page":"5669-5673","PMID":"293670","PMCID":"PMC411711","source":"PubMed","title":"Amplified dihydrofolate reductase genes in unstably methotrexate-resistant cells are associated with double minute chromosomes","volume":"76","author":[{"family":"Kaufman","given":"R. J."},{"family":"Brown","given":"P. C."},{"family":"Schimke","given":"R. T."}],"issued":{"date-parts":[["1979",11]]}}}],"schema":"https://github.com/citation-style-language/schema/raw/master/csl-citation.json"} </w:instrText>
      </w:r>
      <w:r w:rsidRPr="000E482D">
        <w:rPr>
          <w:bCs/>
          <w:color w:val="000000" w:themeColor="text1"/>
          <w:vertAlign w:val="superscript"/>
        </w:rPr>
        <w:fldChar w:fldCharType="separate"/>
      </w:r>
      <w:r w:rsidR="00FF0E9C" w:rsidRPr="000E482D">
        <w:rPr>
          <w:color w:val="000000"/>
          <w:vertAlign w:val="superscript"/>
        </w:rPr>
        <w:t>12–18</w:t>
      </w:r>
      <w:r w:rsidRPr="000E482D">
        <w:rPr>
          <w:bCs/>
          <w:color w:val="000000" w:themeColor="text1"/>
          <w:vertAlign w:val="superscript"/>
        </w:rPr>
        <w:fldChar w:fldCharType="end"/>
      </w:r>
      <w:r w:rsidRPr="00DD309C">
        <w:rPr>
          <w:bCs/>
          <w:color w:val="000000" w:themeColor="text1"/>
        </w:rPr>
        <w:t>. This uneven segregation generates copy number variability across daughter cells, which drives rapid tumor evolution and poor patient outcome</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{"citationID":"FKyZxF0o","properties":{"formattedCitation":"[17,19]","plainCitation":"[17,19]","noteIndex":0},"citationItems":[{"id":639,"uris":["http://zotero.org/users/14101681/items/NB9E7DHB"],"itemData":{"id":639,"type":"article-journal","abstract":"Neuroblastoma exhibits signiﬁcant inter- and intra-tumor genetic heterogeneity and varying clinical outcomes. Extrachromosomal DNAs (ecDNAs) may drive this heterogeneity by independently segregating during cell division, leading to rapid oncogene ampliﬁcation. While ecDNA-mediated oncogene ampliﬁcation is linked to poor prognosis in various cancers, the effects of ecDNA copy-number heterogeneity on intermediate phenotypes are poorly understood. Here, we leverage DNA and RNA sequencing from the same single cells in cell lines and neuroblastoma patients to investigate these effects. By analyzing ecDNA amplicon structures, we reveal extensive intercellular ecDNA copy-number heterogeneity. We also provide direct evidence of how this heterogeneity inﬂuences the expression of cargo genes, including MYCN and its downstream targets, and the overall transcriptional state of neuroblastoma cells. Our ﬁndings highlight the role of ecDNA copy number in promoting rapid adaptability of cellular states within tumors, underscoring the need for ecDNA-speciﬁc treatment strategies to address tumor formation and adaptation.","container-title":"Cell Reports","DOI":"10.1016/j.celrep.2024.114711","ISSN":"22111247","issue":"9","journalAbbreviation":"Cell Reports","language":"en","page":"114711","source":"DOI.org (Crossref)","title":"Intercellular extrachromosomal DNA copy-number heterogeneity drives neuroblastoma cell state diversity","volume":"43","author":[{"family":"Stöber","given":"Maja C."},{"family":"Chamorro González","given":"Rocío"},{"family":"Brückner","given":"Lotte"},{"family":"Conrad","given":"Thomas"},{"family":"Wittstruck","given":"Nadine"},{"family":"Szymansky","given":"Annabell"},{"family":"Eggert","given":"Angelika"},{"family":"Schulte","given":"Johannes H."},{"family":"Koche","given":"Richard P."},{"family":"Henssen","given":"Anton G."},{"family":"Schwarz","given":"Roland F."},{"family":"Haase","given":"Kerstin"}],"issued":{"date-parts":[["2024",9]]}}},{"id":411,"uris":["http://zotero.org/users/14101681/items/AFZKXZ8Y"],"itemData":{"id":411,"type":"article-journal","abstract":"Extrachromosomal DNA (ecDNA) amplification promotes intratumoral genetic heterogeneity and accelerated tumor evolution1–3; however, its frequency and clinical impact are unclear. Using computational analysis of whole-genome sequencing data from 3,212 cancer patients, we show that ecDNA amplification frequently occurs in most cancer types but not in blood or normal tissue. Oncogenes were highly enriched on amplified ecDNA, and the most common recurrent oncogene amplifications arose on ecDNA. EcDNA amplifications resulted in higher levels of oncogene transcription compared to copy number-matched linear DNA, coupled with enhanced chromatin accessibility, and more frequently resulted in transcript fusions. Patients whose cancers carried ecDNA had significantly shorter survival, even when controlled for tissue type, than patients whose cancers were not driven by ecDNA-based oncogene amplification. The results presented here demonstrate that ecDNA-based oncogene amplification is common in cancer, is different from chromosomal amplification and drives poor outcome for patients across many cancer types.","container-title":"Nature Genetics","DOI":"10.1038/s41588-020-0678-2","ISSN":"1546-1718","issue":"9","journalAbbreviation":"Nat Genet","language":"en","license":"2020 The Author(s), under exclusive licence to Springer Nature America, Inc.","page":"891-897","publisher":"Nature Publishing Group","source":"www.nature.com","title":"Extrachromosomal DNA is associated with oncogene amplification and poor outcome across multiple cancers","volume":"52","author":[{"family":"Kim","given":"Hoon"},{"family":"Nguyen","given":"Nam-Phuong"},{"family":"Turner","given":"Kristen"},{"family":"Wu","given":"Sihan"},{"family":"Gujar","given":"Amit D."},{"family":"Luebeck","given":"Jens"},{"family":"Liu","given":"Jihe"},{"family":"Deshpande","given":"Viraj"},{"family":"Rajkumar","given":"Utkrisht"},{"family":"Namburi","given":"Sandeep"},{"family":"Amin","given":"Samirkumar B."},{"family":"Yi","given":"Eunhee"},{"family":"Menghi","given":"Francesca"},{"family":"Schulte","given":"Johannes H."},{"family":"Henssen","given":"Anton G."},{"family":"Chang","given":"Howard Y."},{"family":"Beck","given":"Christine R."},{"family":"Mischel","given":"Paul S."},{"family":"Bafna","given":"Vineet"},{"family":"Verhaak","given":"Roel G. W."}],"issued":{"date-parts":[["2020",9]]}}}],"schema":"https://github.com/citation-style-language/schema/raw/master/csl-citation.json"}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17,19</w:t>
      </w:r>
      <w:r w:rsidRPr="00E71643">
        <w:rPr>
          <w:bCs/>
          <w:color w:val="000000" w:themeColor="text1"/>
          <w:vertAlign w:val="superscript"/>
        </w:rPr>
        <w:fldChar w:fldCharType="end"/>
      </w:r>
      <w:r w:rsidRPr="00DD309C">
        <w:rPr>
          <w:bCs/>
          <w:color w:val="000000" w:themeColor="text1"/>
        </w:rPr>
        <w:t>.</w:t>
      </w:r>
    </w:p>
    <w:p w14:paraId="36FB4068" w14:textId="77777777" w:rsidR="008D00AB" w:rsidRPr="00DD309C" w:rsidRDefault="008D00AB" w:rsidP="008D00AB">
      <w:pPr>
        <w:rPr>
          <w:bCs/>
          <w:color w:val="000000" w:themeColor="text1"/>
        </w:rPr>
      </w:pPr>
    </w:p>
    <w:p w14:paraId="5FE2B81F" w14:textId="400237A6" w:rsidR="008D00AB" w:rsidRPr="00DD309C" w:rsidRDefault="008D00AB" w:rsidP="008D00AB">
      <w:pPr>
        <w:rPr>
          <w:bCs/>
          <w:color w:val="000000" w:themeColor="text1"/>
        </w:rPr>
      </w:pPr>
      <w:proofErr w:type="spellStart"/>
      <w:r w:rsidRPr="00DD309C">
        <w:rPr>
          <w:bCs/>
          <w:color w:val="000000" w:themeColor="text1"/>
        </w:rPr>
        <w:t>ecDNAs</w:t>
      </w:r>
      <w:proofErr w:type="spellEnd"/>
      <w:r w:rsidRPr="00DD309C">
        <w:rPr>
          <w:bCs/>
          <w:color w:val="000000" w:themeColor="text1"/>
        </w:rPr>
        <w:t xml:space="preserve"> exist in a dynamic relationship with homogeneously staining regions (HSRs) (</w:t>
      </w:r>
      <w:r w:rsidRPr="00F23A8F">
        <w:rPr>
          <w:b/>
          <w:color w:val="000000" w:themeColor="text1"/>
        </w:rPr>
        <w:t>Figure 1A</w:t>
      </w:r>
      <w:r w:rsidRPr="00DD309C">
        <w:rPr>
          <w:bCs/>
          <w:color w:val="000000" w:themeColor="text1"/>
        </w:rPr>
        <w:t>)</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{"citationID":"m58zbwbd","properties":{"formattedCitation":"[8,18]","plainCitation":"[8,18]","noteIndex":0},"citationItems":[{"id":84,"uris":["http://zotero.org/users/14101681/items/YXL3F2NX"],"itemData":{"id":84,"type":"article-journal","abstract":"We have cloned a 2.0-kb EcoRl fragment of human genomic DNA (NB-19-21) which has homology to the v-myc oncogene but is distinct from the classical cmyc gene. This sequence is amplified from 25- to 700-fold in eight of nine tested human neuroblastoma cell lines which contain either homogeneously staining regions or double minutes (HSRs or DMs), the caryological manifestations of amplified genes. In the remaining line, the c-myc proto-oncogene is amplified approximately 30-fold. NB-19-21 hybridizes to a 3.2-kb cytoplasmic, poly(A)+ RNA species that is abundant only in lines in which the sequence is amplified. We propose that the gene encoding the NB-19-2%related RNA species may represent a new oncogene, which we call N-myc. NB-19-21 derives from chromosome 2; but in the five HSR-containing lines that have amplified this sequence, none has HSRs on chromosome 2. NB-19-21 is associated with DMs in a DM-containing line. A second, randomly cloned, amplified DNA segment from the HSR of one of the neuroblastoma lines is amplified in a subset of the lines in which NB-19-21 is amplified. In addition, this probe identifies a novel joint in the amplification unit of one line relative to that of the others. We suggest that, in the eight lines which have amplified NB-19-21, the amplification units are overlapping, but not identical, and that transposition of the common sequences may occur prior to amplification.","container-title":"Cell","DOI":"10.1016/0092-8674(83)90169-1","ISSN":"00928674","issue":"2","journalAbbreviation":"Cell","language":"en","license":"https://www.elsevier.com/tdm/userlicense/1.0/","page":"359-367","source":"DOI.org (Crossref)","title":"Transposition and amplification of oncogene-related sequences in human neuroblastomas","volume":"35","author":[{"family":"Kohl","given":"Nancy E."},{"family":"Kanda","given":"Naotoshi"},{"family":"Schreck","given":"Rhona R."},{"family":"Bruns","given":"Gail"},{"family":"Latt","given":"Samuel A."},{"family":"Gilbert","given":"Fred"},{"family":"Alt","given":"Frederick W."}],"issued":{"date-parts":[["1983",12]]}}},{"id":1866,"uris":["http://zotero.org/users/14101681/items/7F9RI8MD"],"itemData":{"id":1866,"type":"article-journal","abstract":"Selection of mammalian cells in progressively increasing concentrations of methotrexate results in selective amplification of DNA sequences coding for dihydrofolate reductase (tetrahydrofolate dehydrogenase, 5,6,7,8-tetrahydrofolate:NADP+ oxidoreductase, EC 1.5.1.3). In some cell variants the amplified genes are stable with growth in the absence of methotrexate, whereas in other variants the amplified genes are lost from the population. We have previously reported that in a stably amplified variant of Chinese hamster ovary cells, the genes are localized to a single chromosome. Herein we report that in mouse S-180 and L5178Y cell lines unstably amplified dihydrofolate reductase DNA sequences are associated with small, paired chromosomal elements denoted \"double minute chromosomes,\" whereas in stably amplified cells of the same origin, the genes are associated with large chromosomes.","container-title":"Proceedings of the National Academy of Sciences of the United States of America","DOI":"10.1073/pnas.76.11.5669","ISSN":"0027-8424","issue":"11","journalAbbreviation":"Proc Natl Acad Sci U S A","language":"eng","page":"5669-5673","PMID":"293670","PMCID":"PMC411711","source":"PubMed","title":"Amplified dihydrofolate reductase genes in unstably methotrexate-resistant cells are associated with double minute chromosomes","volume":"76","author":[{"family":"Kaufman","given":"R. J."},{"family":"Brown","given":"P. C."},{"family":"Schimke","given":"R. T."}],"issued":{"date-parts":[["1979",11]]}}}],"schema":"https://github.com/citation-style-language/schema/raw/master/csl-citation.json"}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8,18</w:t>
      </w:r>
      <w:r w:rsidRPr="00E71643">
        <w:rPr>
          <w:bCs/>
          <w:color w:val="000000" w:themeColor="text1"/>
          <w:vertAlign w:val="superscript"/>
        </w:rPr>
        <w:fldChar w:fldCharType="end"/>
      </w:r>
      <w:r w:rsidRPr="00DD309C">
        <w:rPr>
          <w:bCs/>
          <w:color w:val="000000" w:themeColor="text1"/>
        </w:rPr>
        <w:t xml:space="preserve">. HSRs are focal, intrachromosomal amplifications </w:t>
      </w:r>
      <w:r w:rsidR="00D443DB">
        <w:rPr>
          <w:bCs/>
          <w:color w:val="000000" w:themeColor="text1"/>
        </w:rPr>
        <w:t>that</w:t>
      </w:r>
      <w:r w:rsidRPr="00DD309C">
        <w:rPr>
          <w:bCs/>
          <w:color w:val="000000" w:themeColor="text1"/>
        </w:rPr>
        <w:t xml:space="preserve"> can arise through the reintegration of </w:t>
      </w:r>
      <w:proofErr w:type="spellStart"/>
      <w:r w:rsidRPr="00DD309C">
        <w:rPr>
          <w:bCs/>
          <w:color w:val="000000" w:themeColor="text1"/>
        </w:rPr>
        <w:t>ecDNAs</w:t>
      </w:r>
      <w:proofErr w:type="spellEnd"/>
      <w:r w:rsidRPr="00DD309C">
        <w:rPr>
          <w:bCs/>
          <w:color w:val="000000" w:themeColor="text1"/>
        </w:rPr>
        <w:t xml:space="preserve"> into a single locus in the genome</w:t>
      </w:r>
      <w:r w:rsidRPr="00E71643">
        <w:rPr>
          <w:bCs/>
          <w:color w:val="000000" w:themeColor="text1"/>
          <w:vertAlign w:val="superscript"/>
        </w:rPr>
        <w:fldChar w:fldCharType="begin"/>
      </w:r>
      <w:r w:rsidR="00C751C7" w:rsidRPr="00E71643">
        <w:rPr>
          <w:bCs/>
          <w:color w:val="000000" w:themeColor="text1"/>
          <w:vertAlign w:val="superscript"/>
        </w:rPr>
        <w:instrText xml:space="preserve"> ADDIN ZOTERO_ITEM CSL_CITATION {"citationID":"f30fI9p4","properties":{"unsorted":false,"formattedCitation":"[8,10,18,20\\uc0\\u8211{}31]","plainCitation":"[8,10,18,20–31]","noteIndex":0},"citationItems":[{"id":84,"uris":["http://zotero.org/users/14101681/items/YXL3F2NX"],"itemData":{"id":84,"type":"article-journal","abstract":"We have cloned a 2.0-kb EcoRl fragment of human genomic DNA (NB-19-21) which has homology to the v-myc oncogene but is distinct from the classical cmyc gene. This sequence is amplified from 25- to 700-fold in eight of nine tested human neuroblastoma cell lines which contain either homogeneously staining regions or double minutes (HSRs or DMs), the caryological manifestations of amplified genes. In the remaining line, the c-myc proto-oncogene is amplified approximately 30-fold. NB-19-21 hybridizes to a 3.2-kb cytoplasmic, poly(A)+ RNA species that is abundant only in lines in which the sequence is amplified. We propose that the gene encoding the NB-19-2%related RNA species may represent a new oncogene, which we call N-myc. NB-19-21 derives from chromosome 2; but in the five HSR-containing lines that have amplified this sequence, none has HSRs on chromosome 2. NB-19-21 is associated with DMs in a DM-containing line. A second, randomly cloned, amplified DNA segment from the HSR of one of the neuroblastoma lines is amplified in a subset of the lines in which NB-19-21 is amplified. In addition, this probe identifies a novel joint in the amplification unit of one line relative to that of the others. We suggest that, in the eight lines which have amplified NB-19-21, the amplification units are overlapping, but not identical, and that transposition of the common sequences may occur prior to amplification.","container-title":"Cell","DOI":"10.1016/0092-8674(83)90169-1","ISSN":"00928674","issue":"2","journalAbbreviation":"Cell","language":"en","license":"https://www.elsevier.com/tdm/userlicense/1.0/","page":"359-367","source":"DOI.org (Crossref)","title":"Transposition and amplification of oncogene-related sequences in human neuroblastomas","volume":"35","author":[{"family":"Kohl","given":"Nancy E."},{"family":"Kanda","given":"Naotoshi"},{"family":"Schreck","given":"Rhona R."},{"family":"Bruns","given":"Gail"},{"family":"Latt","given":"Samuel A."},{"family":"Gilbert","given":"Fred"},{"family":"Alt","given":"Frederick W."}],"issued":{"date-parts":[["1983",12]]}}},{"id":1189,"uris":["http://zotero.org/users/14101681/items/TC4JBW2N"],"itemData":{"id":1189,"type":"article-journal","abstract":"Cancer is driven by somatically acquired point mutations and chromosomal rearrangements, conventionally thought to accumulate gradually over time. Using next-generation sequencing, we characterize a phenomenon, which we term chromothripsis, whereby tens to hundreds of genomic rearrangements occur in a one-off cellular crisis. Rearrangements involving one or a few chromosomes crisscross back and forth across involved regions, generating frequent oscillations between two copy number states. These genomic hallmarks are highly improbable if rearrangements accumulate over time and instead imply that nearly all occur during a single cellular catastrophe. The stamp of chromothripsis can be seen in at least 2%-3% of all cancers, across many subtypes, and is present in </w:instrText>
      </w:r>
      <w:r w:rsidR="00C751C7" w:rsidRPr="00E71643">
        <w:rPr>
          <w:rFonts w:ascii="Cambria Math" w:hAnsi="Cambria Math" w:cs="Cambria Math"/>
          <w:bCs/>
          <w:color w:val="000000" w:themeColor="text1"/>
          <w:vertAlign w:val="superscript"/>
        </w:rPr>
        <w:instrText>∼</w:instrText>
      </w:r>
      <w:r w:rsidR="00C751C7" w:rsidRPr="00E71643">
        <w:rPr>
          <w:bCs/>
          <w:color w:val="000000" w:themeColor="text1"/>
          <w:vertAlign w:val="superscript"/>
        </w:rPr>
        <w:instrText xml:space="preserve">25% of bone cancers. We find that one, or indeed more than one, cancer-causing lesion can emerge out of the genomic crisis. This phenomenon has important implications for the origins of genomic remodeling and temporal emergence of cancer.","container-title":"Cell","DOI":"10.1016/j.cell.2010.11.055","ISSN":"1097-4172","issue":"1","journalAbbreviation":"Cell","language":"eng","page":"27-40","PMID":"21215367","PMCID":"PMC3065307","source":"PubMed","title":"Massive genomic rearrangement acquired in a single catastrophic event during cancer development","volume":"144","author":[{"family":"Stephens","given":"Philip J."},{"family":"Greenman","given":"Chris D."},{"family":"Fu","given":"Beiyuan"},{"family":"Yang","given":"Fengtang"},{"family":"Bignell","given":"Graham R."},{"family":"Mudie","given":"Laura J."},{"family":"Pleasance","given":"Erin D."},{"family":"Lau","given":"King Wai"},{"family":"Beare","given":"David"},{"family":"Stebbings","given":"Lucy A."},{"family":"McLaren","given":"Stuart"},{"family":"Lin","given":"Meng-Lay"},{"family":"McBride","given":"David J."},{"family":"Varela","given":"Ignacio"},{"family":"Nik-Zainal","given":"Serena"},{"family":"Leroy","given":"Catherine"},{"family":"Jia","given":"Mingming"},{"family":"Menzies","given":"Andrew"},{"family":"Butler","given":"Adam P."},{"family":"Teague","given":"Jon W."},{"family":"Quail","given":"Michael A."},{"family":"Burton","given":"John"},{"family":"Swerdlow","given":"Harold"},{"family":"Carter","given":"Nigel P."},{"family":"Morsberger","given":"Laura A."},{"family":"Iacobuzio-Donahue","given":"Christine"},{"family":"Follows","given":"George A."},{"family":"Green","given":"Anthony R."},{"family":"Flanagan","given":"Adrienne M."},{"family":"Stratton","given":"Michael R."},{"family":"Futreal","given":"P. Andrew"},{"family":"Campbell","given":"Peter J."}],"issued":{"date-parts":[["2011",1,7]]}}},{"id":1866,"uris":["http://zotero.org/users/14101681/items/7F9RI8MD"],"itemData":{"id":1866,"type":"article-journal","abstract":"Selection of mammalian cells in progressively increasing concentrations of methotrexate results in selective amplification of DNA sequences coding for dihydrofolate reductase (tetrahydrofolate dehydrogenase, 5,6,7,8-tetrahydrofolate:NADP+ oxidoreductase, EC 1.5.1.3). In some cell variants the amplified genes are stable with growth in the absence of methotrexate, whereas in other variants the amplified genes are lost from the population. We have previously reported that in a stably amplified variant of Chinese hamster ovary cells, the genes are localized to a single chromosome. Herein we report that in mouse S-180 and L5178Y cell lines unstably amplified dihydrofolate reductase DNA sequences are associated with small, paired chromosomal elements denoted \"double minute chromosomes,\" whereas in stably amplified cells of the same origin, the genes are associated with large chromosomes.","container-title":"Proceedings of the National Academy of Sciences of the United States of America","DOI":"10.1073/pnas.76.11.5669","ISSN":"0027-8424","issue":"11","journalAbbreviation":"Proc Natl Acad Sci U S A","language":"eng","page":"5669-5673","PMID":"293670","PMCID":"PMC411711","source":"PubMed","title":"Amplified dihydrofolate reductase genes in unstably methotrexate-resistant cells are associated with double minute chromosomes","volume":"76","author":[{"family":"Kaufman","given":"R. J."},{"family":"Brown","given":"P. C."},{"family":"Schimke","given":"R. T."}],"issued":{"date-parts":[["1979",11]]}}},{"id":1856,"uris":["http://zotero.org/users/14101681/items/U884T3CV"],"itemData":{"id":1856,"type":"article-journal","abstract":"Three new tissue culture cell lines, CHP-100, CHP-126, and CHP-134, have been established from explant cultures of human neuroblastoma. The cell lines have been characterized with respect to morphology, chromosomes constitution, growth, neural enzyme content, and their ability to grow in nude mice. The cells grow as dense masses comprised of fibroblast-or neuroblast-like cells with small processes. The cell lines differ in their neural enzyme acitivity. The chromosomal content of the 3 cell lines is near diploid, and all are capable of forming tumors in nude mice. The morphological findings indicate that the cells in culture resemble those found in the tumor, and the enzyme activities are consistent with those of nervous tissue. This the morphological, biochemical, and tumorigenic properties confirm that the 3 cell lines are neoplastic cells of neural origin.","container-title":"Cancer Research","ISSN":"0008-5472","issue":"9 pt.1","journalAbbreviation":"Cancer Res","language":"eng","page":"3094-3100","PMID":"10079","source":"PubMed","title":"Establishment and characterization of human neuroblastoma cell lines","volume":"36","author":[{"family":"Schlesinger","given":"H. R."},{"family":"Gerson","given":"J. M."},{"family":"Moorhead","given":"P. S."},{"family":"Maguire","given":"H."},{"family":"Hummeler","given":"K."}],"issued":{"date-parts":[["1976",9]]}}},{"id":510,"uris":["http://zotero.org/users/14101681/items/2332PY83"],"itemData":{"id":510,"type":"article-journal","abstract":"Four human neuroblastoma cell lines were studied by chromosome banding techniques. All of the lines contained a marker chromosome with a long nonbanding homogeneously staining region (HSR). The HSR-containing chromosome differed in each line. One line contained two classes of cells: one with an HSR marker chromosome and the other with double minute chromosomes. Each cell had one of these abnormalities; no cell had both. The presence of two additional chromosomal markers in all cells of this line indicates a common origin. These observations suggest that the double minute chromosomes are derived from the HSR.","container-title":"Science","DOI":"10.1126/science.71759","ISSN":"0036-8075, 1095-9203","issue":"4318","journalAbbreviation":"Science","language":"en","page":"739-741","source":"DOI.org (Crossref)","title":"Double Minute Chromosomes and the Homogeneously Staining Regions in Chromosomes of a Human Neuroblastoma Cell Line","volume":"198","author":[{"family":"Balaban-Malenbaum","given":"Gloria"},{"family":"Gilbert","given":"Fred"}],"issued":{"date-parts":[["1977",11,18]]}}},{"id":1860,"uris":["http://zotero.org/users/14101681/items/JP6P6EBR"],"itemData":{"id":1860,"type":"article-journal","abstract":"A human retinoblastoma cell line was found to contain a homogeneously staining region (HSR) on chromosome 1 (at 1p34). An HSR had previously been identified at the same site in a human neuroblastoma cell line. Of the original retinoblastoma line, a subpopulation was found which did not contain the 1pHSR but did contain a 3p+ chromosome in which the additional segment resembled a small HSR. The 3p+ was most likely the result of the translocation between the 1pHSR and the short arm of a chromosome 3. Preliminary results also indicate that the retinoblastoma cells with the 1pHSR produced tumors in athymic nu/nu mice in an average of 28 days, while identical numbers of the retinoblastoma cells with the 3p+ (probable HSR) produced tumors in an average of 75 days.","container-title":"Journal of the National Cancer Institute","ISSN":"0027-8874","issue":"2","journalAbbreviation":"J Natl Cancer Inst","language":"eng","page":"301-306","PMID":"6167750","source":"PubMed","title":"Homogeneously staining region in a retinoblastoma cell line: relevance to tumor initiation and progression","title-short":"Homogeneously staining region in a retinoblastoma cell line","volume":"67","author":[{"family":"Gilbert","given":"F."},{"family":"Balaban","given":"G."},{"family":"Breg","given":"W. R."},{"family":"Gallie","given":"B."},{"family":"Reid","given":"T."},{"family":"Nichols","given":"W."}],"issued":{"date-parts":[["1981",8]]}}},{"id":1858,"uris":["http://zotero.org/users/14101681/items/V95EBG4E"],"itemData":{"id":1858,"type":"article-journal","abstract":"Two human colon carcinoma cell lines derived from the same tumor specimen were characterized. The cell lines, COLO 320 and COLO 321, have amine precursor uptake and decarboxylation cell properties, such as ectopic production of norepinephrine, epinephrine, serotonin, adrenocorticotropic hormone, and parathyroid hormone. The cells were morphologically different from most colon cell lines. Double minutes (DM) were initially present in nearly 100% of the metaphases. In a few subcultures of COLO 320, DM have persisted for 1.5 years. However, in COLO 321 and some subcultures of COLO 320, a loss of DM was observed and new marker chromosomes with homogeneously staining regions were observed. These unusual cell lines should be valuable for studies of apudomas of the colon and the cytogenetic phenomena of DM and homogeneously staining regions.","container-title":"Cancer Research","ISSN":"0008-5472","issue":"12","journalAbbreviation":"Cancer Res","language":"eng","page":"4914-4924","PMID":"498117","source":"PubMed","title":"Cell lines from human colon carcinoma with unusual cell products, double minutes, and homogeneously staining regions","volume":"39","author":[{"family":"Quinn","given":"L. A."},{"family":"Moore","given":"G. E."},{"family":"Morgan","given":"R. T."},{"family":"Woods","given":"L. K."}],"issued":{"date-parts":[["1979",12]]}}},{"id":587,"uris":["http://zotero.org/users/14101681/items/W47BG5S3"],"itemData":{"id":587,"type":"article-journal","abstract":"Southern blot analysis of a number of EcoRI-digested human neuroblastoma DNAs has revealed the presence of a family of discrete restriction fragments, the majority of which are amplified in most, but not all, of the neuroblastoma cell lines tested. None of these sequences is abundantly present in DNA from other human tumors of different tissue origins, including several either known or presumed to contain amplified DNA. Hence, these sequences appear to be specifically amplified by neuroblastoma cells. Hybridization with metaphase chromosomes in situ has localized these sequences to either the homogeneously staining regions or double-minute chromosomes of different neuroblastoma cell lines, indicating that these chromosomal structures, although present in cell lines established from different patients, share many sequences and may have a common, but as yet unknown, function.","container-title":"Proceedings of the National Academy of Sciences of the United States of America","ISSN":"0027-8424","issue":"18","journalAbbreviation":"Proc Natl Acad Sci U S A","page":"5724-5728","PMID":"6577451","PMCID":"PMC384331","source":"PubMed Central","title":"Specific DNA sequence amplification in human neuroblastoma cells.","volume":"80","author":[{"family":"Montgomery","given":"K T"},{"family":"Biedler","given":"J L"},{"family":"Spengler","given":"B A"},{"family":"Melera","given":"P W"}],"issued":{"date-parts":[["1983",9]]}}},{"id":1227,"uris":["http://zotero.org/users/14101681/items/UJNUKQK5"],"itemData":{"id":1227,"type":"article-journal","abstract":"DNA sequence amplification is one of the most frequent manifestations of genomic instability in human tumors. We have shown previously that amplification of the dihydrofolate reductase (DHFR) gene in Chinese hamster cells is initiated by chromosome ...","container-title":"Proceedings of the National Academy of Sciences of the United States of America","DOI":"10.1073/pnas.130194897","issue":"14","language":"en","page":"7921","PMID":"10859355","source":"pmc.ncbi.nlm.nih.gov","title":"Amplification of the human dihydrofolate reductase gene via double minutes is initiated by chromosome breaks","volume":"97","author":[{"family":"Singer","given":"Michael J."},{"family":"Mesner","given":"Larry D."},{"family":"Friedman","given":"Cynthia L."},{"family":"Trask","given":"Barbara J."},{"family":"Hamlin","given":"Joyce L."}],"issued":{"date-parts":[["2000",6,20]]}}},{"id":180,"uris":["http://zotero.org/users/14101681/items/UI69A5M3"],"itemData":{"id":180,"type":"article-journal","abstract":"Oncogene amplification is closely linked to the pathogenesis of a broad spectrum of human malignant tumors. The amplified genes localize either to the extrachromosomal circular DNA, which has been referred to as cytogenetically visible double minutes (DMs), or submicroscopic episome, or to the chromosomal homogeneously staining region (HSR). The extrachromosomal circle from a chromosome arm can initiate gene amplification, resulting in the formation of DMs or HSR, if it had a sequence element required for replication initiation (the replication initiation region/matrix attachment region; the IR/MAR), under a genetic background that permits gene amplification. In this article, the nature, intracellular behavior, generation, and contribution to cancer genome plasticity of such extrachromosomal circles are summarized and discussed by reviewing recent articles on these topics. Such studies are critical in the understanding and treating human cancer, and also for the production of recombinant proteins such as biopharmaceuticals by increasing the recombinant genes in the cells.","container-title":"Genes","DOI":"10.3390/genes12101533","ISSN":"2073-4425","issue":"10","journalAbbreviation":"Genes (Basel)","page":"1533","PMID":"34680928","PMCID":"PMC8535887","publisher":"Multidisciplinary Digital Publishing Institute","source":"PubMed Central","title":"Gene Amplification and the Extrachromosomal Circular DNA","volume":"12","author":[{"family":"Shimizu","given":"Noriaki"}],"issued":{"date-parts":[["2021",9,28]]}}},{"id":769,"uris":["http://zotero.org/users/14101681/items/K69ZBZFW"],"itemData":{"id":769,"type":"article-journal","abstract":"Recent experiments have shown that gene amplification can be mediated by submicroscopic, autonomously replicating, circular extrachromosomal molecules. We refer to those molecules as episomes (S. Carroll, P. Gaudray, M. L. DeRose, J. F. Emery, J. L. Meinkoth, E. Nakkim, M. Subler, D. D. Von Hoff, and G. M. Wahl, Mol. Cell. Biol. 7:1740-1750, 1987). The experiments reported in this paper explore the way episomes are formed and their fate in the cell over time. The data reveal that in our system the episomes are initially 250 kilobases, but gradually enlarge until they become double minute chromosomes. In addition, we show that episomes or double minute chromosomes can integrate into chromosomes. Our results also suggest that episomes can be produced by deletion of the corresponding sequences from the chromosome.","container-title":"Molecular and Cellular Biology","ISSN":"0270-7306","issue":"4","journalAbbreviation":"Mol Cell Biol","page":"1525-1533","PMID":"2898098","PMCID":"PMC363312","source":"PubMed Central","title":"Double minute chromosomes can be produced from precursors derived from a chromosomal deletion.","volume":"8","author":[{"family":"Carroll","given":"S M"},{"family":"DeRose","given":"M L"},{"family":"Gaudray","given":"P"},{"family":"Moore","given":"C M"},{"family":"Needham-Vandevanter","given":"D R"},{"family":"Von Hoff","given":"D D"},{"family":"Wahl","given":"G M"}],"issued":{"date-parts":[["1988",4]]}}},{"id":1070,"uris":["http://zotero.org/users/14101681/items/UI9QCLW4"],"itemData":{"id":1070,"type":"article-journal","abstract":"Two human neuroendocrine tumor cell lines derived from a colon carcinoma contain either numerous double minute chromosomes (COLO 320 DM) or a homogeneously staining marker chromosome (COLO 320 HSR). We found amplification and enhanced expression of the cellular oncogene c-myc in both COLO 320 DM and HSR cells, and we were able to show that the homogeneously staining regions of the COLO 320 HSR marker chromosome contain amplified c-myc. From previous and present karyotypes, it appears that the homogeneously staining regions reside on a distorted X chromosome. Therefore, amplification of c-myc has been accompanied by translocation of the gene from its normal position on chromosome 8 (8q24). Because double minute chromosomes were features of primary cultures from the original tumor, it seems reasonable to suspect that amplification of c-myc may have contributed to tumorigenesis.","container-title":"Proceedings of the National Academy of Sciences of the United States of America","DOI":"10.1073/pnas.80.6.1707","ISSN":"0027-8424","issue":"6","journalAbbreviation":"Proc Natl Acad Sci U S A","language":"eng","page":"1707-1711","PMID":"6300869","PMCID":"PMC393672","source":"PubMed","title":"Homogeneously staining chromosomal regions contain amplified copies of an abundantly expressed cellular oncogene (c-myc) in malignant neuroendocrine cells from a human colon carcinoma","volume":"80","author":[{"family":"Alitalo","given":"K."},{"family":"Schwab","given":"M."},{"family":"Lin","given":"C. C."},{"family":"Varmus","given":"H. E."},{"family":"Bishop","given":"J. M."}],"issued":{"date-parts":[["1983",3]]}}},{"id":805,"uris":["http://zotero.org/users/14101681/items/H9J8THA5"],"itemData":{"id":805,"type":"article-journal","abstract":"DNA associated with double minutes (dm) of the Y1-DM mouse adrenocortical tumor cell line has been cloned in Charon 4A and a preliminary characterization has been made of a recombinant clone, AYldm-1, isolated from this dm DNA library [George, D. L. &amp; Powers, V. E. (1981) Cell 24, 117-123]. Cloned sequences in AYldm-1 are amplified in the genome of the Y1-DM cells. They are also amplified in the genome of a related Y1 subline (Y1-HSR), which has a homogeneously staining chromosomal region (HSR). Here we report that the amplified sequences complementary to AYldm-1 are localized to the HSR, as determined by in situ hybridization. In addition, we found that a population ofY1-DM cells originally containing only dm later consisted of two cell types. Some cells retained dm; others had lost dm but gained a HSR-bearing chromosome morphologically distinct from that in the Y1-HSR cell line. Subclones isolated from this mixed culture have either dm or a HSR, but not both. Southern blotting studies revealed that genomic DNA samples from subclones with a HSR, like subclones with dm, still possess amplified copies of DNA homologous to our recombinant probe. These experiments provide direct evidence that the dm and HSRs in these Y1 cells are structurally related and further support the hypothesis that these chromosomal anomalies result from a process of gene amplification.","container-title":"Proceedings of the National Academy of Sciences","DOI":"10.1073/pnas.79.5.1597","ISSN":"0027-8424, 1091-6490","issue":"5","journalAbbreviation":"Proc. Natl. Acad. Sci. U.S.A.","language":"en","page":"1597-1601","source":"DOI.org (Crossref)","title":"Amplified DNA sequences in Y1 mouse adrenal tumor cells: association with double minutes and localization to a homogeneously staining chromosomal region.","title-short":"Amplified DNA sequences in Y1 mouse adrenal tumor cells","volume":"79","author":[{"family":"George","given":"D L"},{"family":"Powers","given":"V E"}],"issued":{"date-parts":[["1982",3]]}}},{"id":915,"uris":["http://zotero.org/users/14101681/items/3K9KXDVP"],"itemData":{"id":915,"type":"article-journal","abstract":"Double minutes (dmin) and homogeneously staining regions (hsr) are the cytogenetic hallmarks of genomic amplification in cancer. Different mechanisms have been proposed to explain their genesis. Recently, our group showed that the MYC-containing dmin in leukemia cases arise by excision and amplification (episome model). In the present paper we investigated 10 cell lines from solid tumors showing MYCN amplification as dmin or hsr. Particularly revealing results were provided by the two subclones of the neuroblastoma cell line STA-NB-10, one showing dmin-only and the second hsr-only amplification. Both subclones showed a deletion, at 2p24.3, whose extension matched the amplicon extension. Additionally, the amplicon structure of the dmin and hsr forms was identical. This strongly argues that the episome model, already demonstrated in leukemias, applies to solid tumors as well, and that dmin and hsr are two faces of the same coin. The organization of the duplicated segments varied from very simple (no apparent changes from the normal sequence) to very complex. MYCN was always overexpressed (significantly overexpressed in three cases). The fusion junctions, always mediated by nonhomologous end joining, occasionally juxtaposed truncated genes in the same transcriptional orientation. Fusion transcripts involving NBAS (also known as NAG), FAM49A, BC035112 (also known as NCRNA00276), and SMC6 genes were indeed detected, although their role in the context of the tumor is not clear.","container-title":"Genome Research","DOI":"10.1101/gr.106252.110","ISSN":"1088-9051","issue":"9","journalAbbreviation":"Genome Res","page":"1198-1206","PMID":"20631050","PMCID":"PMC2928498","source":"PubMed Central","title":"Gene amplification as double minutes or homogeneously staining regions in solid tumors: Origin and structure","title-short":"Gene amplification as double minutes or homogeneously staining regions in solid tumors","volume":"20","author":[{"family":"Storlazzi","given":"Clelia Tiziana"},{"family":"Lonoce","given":"Angelo"},{"family":"Guastadisegni","given":"Maria C."},{"family":"Trombetta","given":"Domenico"},{"family":"D'Addabbo","given":"Pietro"},{"family":"Daniele","given":"Giulia"},{"family":"L'Abbate","given":"Alberto"},{"family":"Macchia","given":"Gemma"},{"family":"Surace","given":"Cecilia"},{"family":"Kok","given":"Klaas"},{"family":"Ullmann","given":"Reinhard"},{"family":"Purgato","given":"Stefania"},{"family":"Palumbo","given":"Orazio"},{"family":"Carella","given":"Massimo"},{"family":"Ambros","given":"Peter F."},{"family":"Rocchi","given":"Mariano"}],"issued":{"date-parts":[["2010",9]]}}},{"id":2458,"uris":["http://zotero.org/users/14101681/items/Y46RTFYV"],"itemData":{"id":2458,"type":"chapter","abstract":"Publisher Summary\nThis chapter focuses on in vitro cultivation of human neuroblastoma cells and presents several morphological and biochemical characteristics of human neuroblastoma cells in culture. Both the human and mouse neuroblastoma cell lines have morphological, biochemical, and electrophysiological attributes of neuronal cells. The chapter describes an earlier study in which large double-minute chromosomes (DMs) and ring forms, such as observed in methotrexate-resistant cells with amplified dihydrofolate reductase genes and in several human neuroblastoma cell lines, were observed in a small number of cases. Although a large number of human tumors with DMs have been described in the literature, the relative proportion of tumors or tumor cell lines characterized by DM-containing cells is low. Various studies of antifolate-resistant rodent cell lines have demonstrated that both homogeneously staining regions and DMs in those cells are cytological indicators of amplified dihydrofolate reductase genes.","container-title":"Advances in Cellular Neurobiology","DOI":"10.1016/B978-0-12-008304-6.50015-4","ISBN":"0-12-008304-3","page":"267-307","publisher":"Academic Press","publisher-place":"New York, NY","title":"Homogeneously Staining Regions and Double Minute Chromosomes, Prevalent Cytogenetic Abnormalities of Human Neuroblastoma Cells","volume":"4","author":[{"family":"Biedler","given":"June L."},{"family":"Meyers","given":"Marian B."},{"family":"Spengler","given":"Barbara A."}],"editor":[{"family":"Fedoroff","given":"Sergey"},{"family":"Hertz","given":"Leif"}],"issued":{"date-parts":[["1983",1,1]]}}}],"schema":"https://github.com/citation-style-language/schema/raw/master/csl-citation.json"} </w:instrText>
      </w:r>
      <w:r w:rsidRPr="00E71643">
        <w:rPr>
          <w:bCs/>
          <w:color w:val="000000" w:themeColor="text1"/>
          <w:vertAlign w:val="superscript"/>
        </w:rPr>
        <w:fldChar w:fldCharType="separate"/>
      </w:r>
      <w:r w:rsidR="00C751C7" w:rsidRPr="00E71643">
        <w:rPr>
          <w:color w:val="000000"/>
          <w:vertAlign w:val="superscript"/>
        </w:rPr>
        <w:t>8,10,18,20–31</w:t>
      </w:r>
      <w:r w:rsidRPr="00E71643">
        <w:rPr>
          <w:bCs/>
          <w:color w:val="000000" w:themeColor="text1"/>
          <w:vertAlign w:val="superscript"/>
        </w:rPr>
        <w:fldChar w:fldCharType="end"/>
      </w:r>
      <w:r w:rsidRPr="00DD309C">
        <w:rPr>
          <w:bCs/>
          <w:color w:val="000000" w:themeColor="text1"/>
        </w:rPr>
        <w:t xml:space="preserve">. These two states, </w:t>
      </w:r>
      <w:proofErr w:type="spellStart"/>
      <w:r w:rsidRPr="00DD309C">
        <w:rPr>
          <w:bCs/>
          <w:color w:val="000000" w:themeColor="text1"/>
        </w:rPr>
        <w:t>ecDNAs</w:t>
      </w:r>
      <w:proofErr w:type="spellEnd"/>
      <w:r w:rsidRPr="00DD309C">
        <w:rPr>
          <w:bCs/>
          <w:color w:val="000000" w:themeColor="text1"/>
        </w:rPr>
        <w:t xml:space="preserve"> and HSRs, can interconvert, revealing that oncogene amplification is structurally plastic</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{"citationID":"5tzI8j4L","properties":{"formattedCitation":"[24,25,32,33]","plainCitation":"[24,25,32,33]","noteIndex":0},"citationItems":[{"id":6,"uris":["http://zotero.org/users/14101681/items/4HE3BK94"],"itemData":{"id":6,"type":"article-journal","abstract":"Focal chromosomal amplification contributes to the initiation of cancer by mediating overexpression of oncogenes1–3, and to the development of cancer therapy resistance by increasing the expression of genes whose action diminishes the efficacy of anti-cancer drugs. Here we used whole-genome sequencing of clonal cell isolates that developed chemotherapeutic resistance to show that chromothripsis is a major driver of circular extrachromosomal DNA (ecDNA) amplification (also known as double minutes) through mechanisms that depend on poly(ADP-ribose) polymerases (PARP) and the catalytic subunit of DNA-dependent protein kinase (DNA-PKcs). Longitudinal analyses revealed that a further increase in drug tolerance is achieved by structural evolution of ecDNAs through additional rounds of chromothripsis. In situ Hi-C sequencing showed that ecDNAs preferentially tether near chromosome ends, where they re-integrate when DNA damage is present. Intrachromosomal amplifications that formed initially under low-level drug selection underwent continuing breakage–fusion–bridge cycles, generating amplicons more than 100 megabases in length that became trapped within interphase bridges and then shattered, thereby producing micronuclei whose encapsulated ecDNAs are substrates for chromothripsis. We identified similar genome rearrangement profiles linked to localized gene amplification in human cancers with acquired drug resistance or oncogene amplifications. We propose that chromothripsis is a primary mechanism that accelerates genomic DNA rearrangement and amplification into ecDNA and enables rapid acquisition of tolerance to altered growth conditions.","container-title":"Nature","DOI":"10.1038/s41586-020-03064-z","ISSN":"1476-4687","issue":"7848","language":"en","license":"2020 The Author(s), under exclusive licence to Springer Nature Limited","page":"137-141","publisher":"Nature Publishing Group","source":"www.nature.com","title":"Chromothripsis drives the evolution of gene amplification in cancer","volume":"591","author":[{"family":"Shoshani","given":"Ofer"},{"family":"Brunner","given":"Simon F."},{"family":"Yaeger","given":"Rona"},{"family":"Ly","given":"Peter"},{"family":"Nechemia-Arbely","given":"Yael"},{"family":"Kim","given":"Dong Hyun"},{"family":"Fang","given":"Rongxin"},{"family":"Castillon","given":"Guillaume A."},{"family":"Yu","given":"Miao"},{"family":"Li","given":"Julia S. Z."},{"family":"Sun","given":"Ying"},{"family":"Ellisman","given":"Mark H."},{"family":"Ren","given":"Bing"},{"family":"Campbell","given":"Peter J."},{"family":"Cleveland","given":"Don W."}],"issued":{"date-parts":[["2021",3]]}}},{"id":247,"uris":["http://zotero.org/users/14101681/items/5VVZGBBJ"],"itemData":{"id":247,"type":"article-journal","abstract":"Intratumoral heterogeneity contributes to cancer drug resistance, but the underlying mechanisms are not understood. Single-cell analyses of patient-derived models and clinical samples from glioblastoma patients treated with epidermal growth factor receptor (EGFR) tyrosine kinase inhibitors (TKIs) demonstrate that tumor cells reversibly up-regulate or suppress mutant EGFR expression, conferring distinct cellular phenotypes to reach an optimal equilibrium for growth. Resistance to EGFR TKIs is shown to occur by elimination of mutant EGFR from extrachromosomal DNA. After drug withdrawal, reemergence of clonal EGFR mutations on extrachromosomal DNA follows. These results indicate a highly specific, dynamic, and adaptive route by which cancers can evade therapies that target oncogenes maintained on extrachromosomal DNA.","container-title":"Science","DOI":"10.1126/science.1241328","issue":"6166","page":"72-76","publisher":"American Association for the Advancement of Science","source":"science.org (Atypon)","title":"Targeted Therapy Resistance Mediated by Dynamic Regulation of Extrachromosomal Mutant EGFR DNA","volume":"343","author":[{"family":"Nathanson","given":"David A."},{"family":"Gini","given":"Beatrice"},{"family":"Mottahedeh","given":"Jack"},{"family":"Visnyei","given":"Koppany"},{"family":"Koga","given":"Tomoyuki"},{"family":"Gomez","given":"German"},{"family":"Eskin","given":"Ascia"},{"family":"Hwang","given":"Kiwook"},{"family":"Wang","given":"Jun"},{"family":"Masui","given":"Kenta"},{"family":"Paucar","given":"Andres"},{"family":"Yang","given":"Huijun"},{"family":"Ohashi","given":"Minori"},{"family":"Zhu","given":"Shaojun"},{"family":"Wykosky","given":"Jill"},{"family":"Reed","given":"Rachel"},{"family":"Nelson","given":"Stanley F."},{"family":"Cloughesy","given":"Timothy F."},{"family":"James","given":"C. David"},{"family":"Rao","given":"P. Nagesh"},{"family":"Kornblum","given":"Harley I."},{"family":"Heath","given":"James R."},{"family":"Cavenee","given":"Webster K."},{"family":"Furnari","given":"Frank B."},{"family":"Mischel","given":"Paul S."}],"issued":{"date-parts":[["2014",1,3]]}}},{"id":587,"uris":["http://zotero.org/users/14101681/items/W47BG5S3"],"itemData":{"id":587,"type":"article-journal","abstract":"Southern blot analysis of a number of EcoRI-digested human neuroblastoma DNAs has revealed the presence of a family of discrete restriction fragments, the majority of which are amplified in most, but not all, of the neuroblastoma cell lines tested. None of these sequences is abundantly present in DNA from other human tumors of different tissue origins, including several either known or presumed to contain amplified DNA. Hence, these sequences appear to be specifically amplified by neuroblastoma cells. Hybridization with metaphase chromosomes in situ has localized these sequences to either the homogeneously staining regions or double-minute chromosomes of different neuroblastoma cell lines, indicating that these chromosomal structures, although present in cell lines established from different patients, share many sequences and may have a common, but as yet unknown, function.","container-title":"Proceedings of the National Academy of Sciences of the United States of America","ISSN":"0027-8424","issue":"18","journalAbbreviation":"Proc Natl Acad Sci U S A","page":"5724-5728","PMID":"6577451","PMCID":"PMC384331","source":"PubMed Central","title":"Specific DNA sequence amplification in human neuroblastoma cells.","volume":"80","author":[{"family":"Montgomery","given":"K T"},{"family":"Biedler","given":"J L"},{"family":"Spengler","given":"B A"},{"family":"Melera","given":"P W"}],"issued":{"date-parts":[["1983",9]]}}},{"id":1227,"uris":["http://zotero.org/users/14101681/items/UJNUKQK5"],"itemData":{"id":1227,"type":"article-journal","abstract":"DNA sequence amplification is one of the most frequent manifestations of genomic instability in human tumors. We have shown previously that amplification of the dihydrofolate reductase (DHFR) gene in Chinese hamster cells is initiated by chromosome ...","container-title":"Proceedings of the National Academy of Sciences of the United States of America","DOI":"10.1073/pnas.130194897","issue":"14","language":"en","page":"7921","PMID":"10859355","source":"pmc.ncbi.nlm.nih.gov","title":"Amplification of the human dihydrofolate reductase gene via double minutes is initiated by chromosome breaks","volume":"97","author":[{"family":"Singer","given":"Michael J."},{"family":"Mesner","given":"Larry D."},{"family":"Friedman","given":"Cynthia L."},{"family":"Trask","given":"Barbara J."},{"family":"Hamlin","given":"Joyce L."}],"issued":{"date-parts":[["2000",6,20]]}}}],"schema":"https://github.com/citation-style-language/schema/raw/master/csl-citation.json"}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24,25,32,33</w:t>
      </w:r>
      <w:r w:rsidRPr="00E71643">
        <w:rPr>
          <w:bCs/>
          <w:color w:val="000000" w:themeColor="text1"/>
          <w:vertAlign w:val="superscript"/>
        </w:rPr>
        <w:fldChar w:fldCharType="end"/>
      </w:r>
      <w:r w:rsidRPr="00DD309C">
        <w:rPr>
          <w:bCs/>
          <w:color w:val="000000" w:themeColor="text1"/>
        </w:rPr>
        <w:t xml:space="preserve">. This interconversion has therapeutic relevance because </w:t>
      </w:r>
      <w:proofErr w:type="spellStart"/>
      <w:r w:rsidRPr="00DD309C">
        <w:rPr>
          <w:bCs/>
          <w:color w:val="000000" w:themeColor="text1"/>
        </w:rPr>
        <w:t>ecDNAs</w:t>
      </w:r>
      <w:proofErr w:type="spellEnd"/>
      <w:r w:rsidRPr="00DD309C">
        <w:rPr>
          <w:bCs/>
          <w:color w:val="000000" w:themeColor="text1"/>
        </w:rPr>
        <w:t xml:space="preserve"> can transition to the HSR state in the presence of drugs</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S6PiDjTp","properties":{"unsorted":true,"formattedCitation":"[32\\uc0\\u8211{}38]","plainCitation":"[32–38]","noteIndex":0},"citationItems":[{"id":6,"uris":["http://zotero.org/users/14101681/items/4HE3BK94"],"itemData":{"id":6,"type":"article-journal","abstract":"Focal chromosomal amplification contributes to the initiation of cancer by mediating overexpression of oncogenes1–3, and to the development of cancer therapy resistance by increasing the expression of genes whose action diminishes the efficacy of anti-cancer drugs. Here we used whole-genome sequencing of clonal cell isolates that developed chemotherapeutic resistance to show that chromothripsis is a major driver of circular extrachromosomal DNA (ecDNA) amplification (also known as double minutes) through mechanisms that depend on poly(ADP-ribose) polymerases (PARP) and the catalytic subunit of DNA-dependent protein kinase (DNA-PKcs). Longitudinal analyses revealed that a further increase in drug tolerance is achieved by structural evolution of ecDNAs through additional rounds of chromothripsis. In situ Hi-C sequencing showed that ecDNAs preferentially tether near chromosome ends, where they re-integrate when DNA damage is present. Intrachromosomal amplifications that formed initially under low-level drug selection underwent continuing breakage–fusion–bridge cycles, generating amplicons more than 100 megabases in length that became trapped within interphase bridges and then shattered, thereby producing micronuclei whose encapsulated ecDNAs are substrates for chromothripsis. We identified similar genome rearrangement profiles linked to localized gene amplification in human cancers with acquired drug resistance or oncogene amplifications. We propose that chromothripsis is a primary mechanism that accelerates genomic DNA rearrangement and amplification into ecDNA and enables rapid acquisition of tolerance to altered growth conditions.","container-title":"Nature","DOI":"10.1038/s41586-020-03064-z","ISSN":"1476-4687","issue":"7848","language":"en","license":"2020 The Author(s), under exclusive licence to Springer Nature Limited","page":"137-141","publisher":"Nature Publishing Group","source":"www.nature.com","title":"Chromothripsis drives the evolution of gene amplification in cancer","volume":"591","author":[{"family":"Shoshani","given":"Ofer"},{"family":"Brunner","given":"Simon F."},{"family":"Yaeger","given":"Rona"},{"family":"Ly","given":"Peter"},{"family":"Nechemia-Arbely","given":"Yael"},{"family":"Kim","given":"Dong Hyun"},{"family":"Fang","given":"Rongxin"},{"family":"Castillon","given":"Guillaume A."},{"family":"Yu","given":"Miao"},{"family":"Li","given":"Julia S. Z."},{"family":"Sun","given":"Ying"},{"family":"Ellisman","given":"Mark H."},{"family":"Ren","given":"Bing"},{"family":"Campbell","given":"Peter J."},{"family":"Cleveland","given":"Don W."}],"issued":{"date-parts":[["2021",3]]}}},{"id":247,"uris":["http://zotero.org/users/14101681/items/5VVZGBBJ"],"itemData":{"id":247,"type":"article-journal","abstract":"Intratumoral heterogeneity contributes to cancer drug resistance, but the underlying mechanisms are not understood. Single-cell analyses of patient-derived models and clinical samples from glioblastoma patients treated with epidermal growth factor receptor (EGFR) tyrosine kinase inhibitors (TKIs) demonstrate that tumor cells reversibly up-regulate or suppress mutant EGFR expression, conferring distinct cellular phenotypes to reach an optimal equilibrium for growth. Resistance to EGFR TKIs is shown to occur by elimination of mutant EGFR from extrachromosomal DNA. After drug withdrawal, reemergence of clonal EGFR mutations on extrachromosomal DNA follows. These results indicate a highly specific, dynamic, and adaptive route by which cancers can evade therapies that target oncogenes maintained on extrachromosomal DNA.","container-title":"Science","DOI":"10.1126/science.1241328","issue":"6166","page":"72-76","publisher":"American Association for the Advancement of Science","source":"science.org (Atypon)","title":"Targeted Therapy Resistance Mediated by Dynamic Regulation of Extrachromosomal Mutant EGFR DNA","volume":"343","author":[{"family":"Nathanson","given":"David A."},{"family":"Gini","given":"Beatrice"},{"family":"Mottahedeh","given":"Jack"},{"family":"Visnyei","given":"Koppany"},{"family":"Koga","given":"Tomoyuki"},{"family":"Gomez","given":"German"},{"family":"Eskin","given":"Ascia"},{"family":"Hwang","given":"Kiwook"},{"family":"Wang","given":"Jun"},{"family":"Masui","given":"Kenta"},{"family":"Paucar","given":"Andres"},{"family":"Yang","given":"Huijun"},{"family":"Ohashi","given":"Minori"},{"family":"Zhu","given":"Shaojun"},{"family":"Wykosky","given":"Jill"},{"family":"Reed","given":"Rachel"},{"family":"Nelson","given":"Stanley F."},{"family":"Cloughesy","given":"Timothy F."},{"family":"James","given":"C. David"},{"family":"Rao","given":"P. Nagesh"},{"family":"Kornblum","given":"Harley I."},{"family":"Heath","given":"James R."},{"family":"Cavenee","given":"Webster K."},{"family":"Furnari","given":"Frank B."},{"family":"Mischel","given":"Paul S."}],"issued":{"date-parts":[["2014",1,3]]}}},{"id":98,"uris":["http://zotero.org/users/14101681/items/ICBCR9U8"],"itemData":{"id":98,"type":"article-journal","abstract":"Focal amplifications (FAs) can mediate targeted therapy resistance in cancer. Understanding the structure and dynamics of FAs is critical for designing treatments that overcome plasticity-mediated resistance. We developed a melanoma model of dual MAPK inhibitor resistance that bears BRAFV600 amplifications through either extrachromosomal DNA/double-minutes (ecDNA/DMs) or intrachromosomal homogenously staining regions (HSRs). Cells harboring BRAFV600E FAs displayed mode switching between DMs and HSRs, from both de novo genetic changes and selection of pre-existing subpopulations. Plasticity is not exclusive to ecDNAs, as cells harboring HSRs exhibit drug addiction-driven structural loss of BRAF amplicons upon dose reduction. FA mechanisms can couple with kinase domain duplications and alternative splicing to enhance resistance. Drug-responsive amplicon plasticity is observed in the clinic, and can involve other MAPK pathway genes, such as RAF1 and NRAS. BRAF FA-mediated dual-MAPKi-resistant cells are more sensitive to pro-ferroptotic drugs, extending the spectrum of ferroptosis sensitivity in MAPKi-resistance beyond cases of dedifferentiation.","container-title":"Cancer discovery","DOI":"10.1158/2159-8290.CD-20-0936","ISSN":"2159-8274","issue":"4","journalAbbreviation":"Cancer Discov","page":"1046-1069","PMID":"34930786","PMCID":"PMC9192483","source":"PubMed Central","title":"Plasticity of extrachromosomal and intrachromosomal BRAF amplifications in overcoming targeted therapy dosage challenges","volume":"12","author":[{"family":"Song","given":"Kai"},{"family":"Minami","given":"Jenna K."},{"family":"Huang","given":"Arthur"},{"family":"Dehkordi","given":"Siavash R."},{"family":"Lomeli","given":"Shirley H."},{"family":"Luebeck","given":"Jens"},{"family":"Goodman","given":"Mark H."},{"family":"Moriceau","given":"Gatien"},{"family":"Krijgsman","given":"Oscar"},{"family":"Dharanipragada","given":"Prashanthi"},{"family":"Ridgley","given":"Trevor"},{"family":"Crosson","given":"William P."},{"family":"Salazar","given":"Jesus"},{"family":"Pazol","given":"Eli"},{"family":"Karin","given":"Gabriel"},{"family":"Jayaraman","given":"Rachana"},{"family":"Balanis","given":"Nikolas G."},{"family":"Alhani","given":"Salwan"},{"family":"Sheu","given":"Kyle"},{"family":"Hoeve","given":"Johanna","dropping-particle":"ten"},{"family":"Palermo","given":"Amelia"},{"family":"Motika","given":"Stephen E."},{"family":"Senaratne","given":"T. Niroshi"},{"family":"Paraiso","given":"Kim H."},{"family":"Hergenrother","given":"Paul J."},{"family":"Rao","given":"P. Nagesh"},{"family":"Multani","given":"Asha S."},{"family":"Peeper","given":"Daniel S."},{"family":"Bafna","given":"Vineet"},{"family":"Lo","given":"Roger S."},{"family":"Graeber","given":"Thomas G."}],"issued":{"date-parts":[["2022",4,1]]}}},{"id":2074,"uris":["http://zotero.org/users/14101681/items/R25TUTNY"],"itemData":{"id":2074,"type":"article-journal","abstract":"Extrachromosomal DNA (ecDNA) drives the evolution of cancer cells. However, the functional significance of ecDNA and the molecular components involved in its replication and maintenance remain largely unknown. Here, using CRISPR-C technology, we generated ecDNA-carrying (ecDNA+) cell models. By leveraging these models alongside other well-established systems, we demonstrated that ecDNA can replicate and be maintained in ecDNA+ cells. The replication of ecDNA activates the ataxia telangiectasia mutated (ATM)-mediated DNA damage response (DDR) pathway. Topoisomerases, such as TOP1 and TOP2B, play a role in ecDNA replication-induced DNA double-strand breaks (DSBs). A subset of these elevated DSBs persists into the mitotic phase and is primarily repaired by the alternative non-homologous end joining (alt-NHEJ) pathway, which involves POLθ and LIG3. Correspondingly, ecDNA maintenance requires DDR, and inhibiting DDR impairs the circularization of ecDNA. In summary, we demonstrate reciprocal interactions between ecDNA maintenance and DDR, providing new insights into the detection and treatment of ecDNA+ tumors.","container-title":"Cell","DOI":"10.1016/j.cell.2025.04.012","ISSN":"0092-8674","issue":"13","journalAbbreviation":"Cell","page":"3405-3421.e27","source":"ScienceDirect","title":"Extrachromosomal DNA replication and maintenance couple with DNA damage pathway in tumors","volume":"188","author":[{"family":"Kang","given":"Xing"},{"family":"Li","given":"Xinran"},{"family":"Zhou","given":"Jiaqi"},{"family":"Zhang","given":"Yang"},{"family":"Qiu","given":"Lingyu"},{"family":"Tian","given":"Congcong"},{"family":"Deng","given":"Zhiwen"},{"family":"Liang","given":"Xiaoyan"},{"family":"Zhang","given":"Ziwei"},{"family":"Du","given":"Songlin"},{"family":"Hu","given":"Suili"},{"family":"Wang","given":"Nan"},{"family":"Yue","given":"Zhen"},{"family":"Xu","given":"Yajing"},{"family":"Gao","given":"Yuan"},{"family":"Dai","given":"Junbiao"},{"family":"Wang","given":"Zhiquan"},{"family":"Yu","given":"Chuanhe"},{"family":"Chen","given":"Jinyi"},{"family":"Wu","given":"Yuchun"},{"family":"Chen","given":"Liangming"},{"family":"Yao","given":"Yuan"},{"family":"Yao","given":"Sitong"},{"family":"Yang","given":"Xinran"},{"family":"Yan","given":"Lixia"},{"family":"Wen","given":"Qing"},{"family":"Depies","given":"Olivia M."},{"family":"Chan","given":"Kuiming"},{"family":"Liang","given":"Xiaohuan"},{"family":"Li","given":"Gang"},{"family":"Zi","given":"Zhike"},{"family":"Liu","given":"Xiangyu"},{"family":"Gan","given":"Haiyun"}],"issued":{"date-parts":[["2025",6,26]]}}},{"id":2059,"uris":["http://zotero.org/users/14101681/items/I5V8GVEE"],"itemData":{"id":2059,"type":"article-journal","abstract":"Human topoisomerases comprise a family of six enzymes: two type IB (TOP1 and mitochondrial TOP1 (TOP1MT), two type IIA (TOP2A and TOP2B) and two type IA (TOP3A and TOP3B) topoisomerases. In this Review, we discuss their biochemistry and their roles in transcription, DNA replication and chromatin remodelling, and highlight the recent progress made in understanding TOP3A and TOP3B. Because of recent advances in elucidating the high-order organization of the genome through chromatin loops and topologically associating domains (TADs), we integrate the functions of topoisomerases with genome organization. We also discuss the physiological and pathological formation of irreversible topoisomerase cleavage complexes (TOPccs) as they generate topoisomerase DNA–protein crosslinks (TOP-DPCs) coupled with DNA breaks. We discuss the expanding number of redundant pathways that repair TOP-DPCs, and the defects in those pathways, which are increasingly recognized as source of genomic damage leading to neurological diseases and cancer.","container-title":"Nature Reviews Molecular Cell Biology","DOI":"10.1038/s41580-022-00452-3","ISSN":"1471-0080","issue":"6","journalAbbreviation":"Nat Rev Mol Cell Biol","language":"en","license":"2022 This is a U.S. government work and not under copyright protection in the U.S.; foreign copyright protection may apply","page":"407-427","publisher":"Nature Publishing Group","source":"www.nature.com","title":"Human topoisomerases and their roles in genome stability and organization","volume":"23","author":[{"family":"Pommier","given":"Yves"},{"family":"Nussenzweig","given":"André"},{"family":"Takeda","given":"Shunichi"},{"family":"Austin","given":"Caroline"}],"issued":{"date-parts":[["2022",6]]}}},{"id":202,"uris":["http://zotero.org/users/14101681/items/XN75XKPB"],"itemData":{"id":202,"type":"article-journal","container-title":"Cell","DOI":"10.1016/S0092-8674(00)80201-9","ISSN":"0092-8674, 1097-4172","issue":"2","journalAbbreviation":"Cell","language":"English","page":"215-225","PMID":"9108477","publisher":"Elsevier","source":"www.cell.com","title":"Expression of Fragile Sites Triggers Intrachromosomal Mammalian Gene Amplification and Sets Boundaries to Early Amplicons","volume":"89","author":[{"family":"Coquelle","given":"Arnaud"},{"family":"Pipiras","given":"Eva"},{"family":"Toledo","given":"Franck"},{"family":"Buttin","given":"Gérard"},{"family":"Debatisse","given":"Michelle"}],"issued":{"date-parts":[["1997",4,18]]}}},{"id":206,"uris":["http://zotero.org/users/14101681/items/WJI22R76"],"itemData":{"id":206,"type":"article-journal","container-title":"Molecular Cell","DOI":"10.1016/S1097-2765(00)80137-9","ISSN":"1097-2765","issue":"2","journalAbbreviation":"Molecular Cell","language":"English","page":"259-265","PMID":"9734364","publisher":"Elsevier","source":"www.cell.com","title":"A New Role for Hypoxia in Tumor Progression: Induction of Fragile Site Triggering Genomic Rearrangements and Formation of Complex DMs and HSRs","title-short":"A New Role for Hypoxia in Tumor Progression","volume":"2","author":[{"family":"Coquelle","given":"Arnaud"},{"family":"Toledo","given":"Franck"},{"family":"Stern","given":"Sabine"},{"family":"Bieth","given":"Anne"},{"family":"Debatisse","given":"Michelle"}],"issued":{"date-parts":[["1998",8,1]]}}}],"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32–38</w:t>
      </w:r>
      <w:r w:rsidRPr="00E71643">
        <w:rPr>
          <w:bCs/>
          <w:color w:val="000000" w:themeColor="text1"/>
          <w:vertAlign w:val="superscript"/>
        </w:rPr>
        <w:fldChar w:fldCharType="end"/>
      </w:r>
      <w:r w:rsidRPr="00DD309C">
        <w:rPr>
          <w:bCs/>
          <w:color w:val="000000" w:themeColor="text1"/>
        </w:rPr>
        <w:t>. Cells that undergo this transition to the HSR state then become resistant to the drug under therapeutic pressure</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{"citationID":"TjmPtBKL","properties":{"formattedCitation":"[33]","plainCitation":"[33]","noteIndex":0},"citationItems":[{"id":247,"uris":["http://zotero.org/users/14101681/items/5VVZGBBJ"],"itemData":{"id":247,"type":"article-journal","abstract":"Intratumoral heterogeneity contributes to cancer drug resistance, but the underlying mechanisms are not understood. Single-cell analyses of patient-derived models and clinical samples from glioblastoma patients treated with epidermal growth factor receptor (EGFR) tyrosine kinase inhibitors (TKIs) demonstrate that tumor cells reversibly up-regulate or suppress mutant EGFR expression, conferring distinct cellular phenotypes to reach an optimal equilibrium for growth. Resistance to EGFR TKIs is shown to occur by elimination of mutant EGFR from extrachromosomal DNA. After drug withdrawal, reemergence of clonal EGFR mutations on extrachromosomal DNA follows. These results indicate a highly specific, dynamic, and adaptive route by which cancers can evade therapies that target oncogenes maintained on extrachromosomal DNA.","container-title":"Science","DOI":"10.1126/science.1241328","issue":"6166","page":"72-76","publisher":"American Association for the Advancement of Science","source":"science.org (Atypon)","title":"Targeted Therapy Resistance Mediated by Dynamic Regulation of Extrachromosomal Mutant EGFR DNA","volume":"343","author":[{"family":"Nathanson","given":"David A."},{"family":"Gini","given":"Beatrice"},{"family":"Mottahedeh","given":"Jack"},{"family":"Visnyei","given":"Koppany"},{"family":"Koga","given":"Tomoyuki"},{"family":"Gomez","given":"German"},{"family":"Eskin","given":"Ascia"},{"family":"Hwang","given":"Kiwook"},{"family":"Wang","given":"Jun"},{"family":"Masui","given":"Kenta"},{"family":"Paucar","given":"Andres"},{"family":"Yang","given":"Huijun"},{"family":"Ohashi","given":"Minori"},{"family":"Zhu","given":"Shaojun"},{"family":"Wykosky","given":"Jill"},{"family":"Reed","given":"Rachel"},{"family":"Nelson","given":"Stanley F."},{"family":"Cloughesy","given":"Timothy F."},{"family":"James","given":"C. David"},{"family":"Rao","given":"P. Nagesh"},{"family":"Kornblum","given":"Harley I."},{"family":"Heath","given":"James R."},{"family":"Cavenee","given":"Webster K."},{"family":"Furnari","given":"Frank B."},{"family":"Mischel","given":"Paul S."}],"issued":{"date-parts":[["2014",1,3]]}}}],"schema":"https://github.com/citation-style-language/schema/raw/master/csl-citation.json"}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33</w:t>
      </w:r>
      <w:r w:rsidRPr="00E71643">
        <w:rPr>
          <w:bCs/>
          <w:color w:val="000000" w:themeColor="text1"/>
          <w:vertAlign w:val="superscript"/>
        </w:rPr>
        <w:fldChar w:fldCharType="end"/>
      </w:r>
      <w:r w:rsidRPr="00DD309C">
        <w:rPr>
          <w:bCs/>
          <w:color w:val="000000" w:themeColor="text1"/>
        </w:rPr>
        <w:t>. HSRs also appear to be more frequent in malignant tumors than in benign tumors</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{"citationID":"7UPoZf7N","properties":{"formattedCitation":"[39]","plainCitation":"[39]","noteIndex":0},"citationItems":[{"id":"uFoMkJbN/l6Xoit5V","uris":["http://zotero.org/users/14101681/items/EGTU8H9W"],"itemData":{"id":1372,"type":"article-journal","abstract":"Gene amplification is a crucial process in cancer development, leading to the overexpression of oncogenes. It manifests cytogenetically as extrachromosomal double minutes (dmin), homogeneously staining regions (hsr), or ring chromosomes (r). This study investigates the prevalence and distribution of these amplification markers in a survey of 80 131 neoplasms spanning hematologic disorders, and benign and malignant solid tumors. The study reveals distinct variations in the frequency of dmin, hsr, and r among different tumor types. Rings were the most common (3.4%) sign of amplification, followed by dmin (1.3%), and hsr (0.8%). Rings were particularly frequent in malignant mesenchymal tumors, especially liposarcomas (47.5%) and osteosarcomas (23.4%), dmin were prevalent in neuroblastoma (30.9%) and pancreatic carcinoma (21.9%), and hsr frequencies were highest in head and neck carcinoma (14.0%) and neuroblastoma (9.0%). Combining all three amplification markers (dmin/hsr/r), malignant solid tumors consistently exhibited higher frequencies than hematologic disorders and benign solid tumors. The structural characteristics of these amplification markers and their potential role in tumorigenesis and tumor progression highlight the complex interplay between cancer-initiating gene-level alterations, for example, fusion genes, and subsequent amplification dynamics. Further research integrating cytogenetic and molecular approaches is warranted to better understand the underlying mechanisms of these amplifications, in particular, the enigmatic question of why certain malignancies display certain types of amplification. Comparing the present results with molecular genetic data proved challenging because of the diversity in definitions of amplification across studies. This study underscores the need for standardized definitions in future work.","container-title":"Genes, Chromosomes and Cancer","DOI":"10.1002/gcc.23214","ISSN":"1098-2264","issue":"1","language":"en","license":"© 2023 The Authors. Genes, Chromosomes and Cancer published by Wiley Periodicals LLC.","note":"_eprint: https://onlinelibrary.wiley.com/doi/pdf/10.1002/gcc.23214","page":"e23214","source":"Wiley Online Library","title":"Gene amplification in neoplasia: A cytogenetic survey of 80 131 cases","title-short":"Gene amplification in neoplasia","volume":"63","author":[{"family":"Mandahl","given":"Nils"},{"family":"Mertens","given":"Fredrik"},{"family":"Mitelman","given":"Felix"}],"issued":{"date-parts":[["2024"]]}}}],"schema":"https://github.com/citation-style-language/schema/raw/master/csl-citation.json"}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39</w:t>
      </w:r>
      <w:r w:rsidRPr="00E71643">
        <w:rPr>
          <w:bCs/>
          <w:color w:val="000000" w:themeColor="text1"/>
          <w:vertAlign w:val="superscript"/>
        </w:rPr>
        <w:fldChar w:fldCharType="end"/>
      </w:r>
      <w:r w:rsidRPr="00DD309C">
        <w:rPr>
          <w:bCs/>
          <w:color w:val="000000" w:themeColor="text1"/>
        </w:rPr>
        <w:t xml:space="preserve">. Despite their clinical relevance, no FDA-approved strategies target the HSR state, in part because methods to distinguish these amplification structures remain underutilized. </w:t>
      </w:r>
    </w:p>
    <w:p w14:paraId="17BE79CC" w14:textId="77777777" w:rsidR="008D00AB" w:rsidRPr="00DD309C" w:rsidRDefault="008D00AB" w:rsidP="008D00AB">
      <w:pPr>
        <w:rPr>
          <w:bCs/>
          <w:color w:val="000000" w:themeColor="text1"/>
        </w:rPr>
      </w:pPr>
    </w:p>
    <w:p w14:paraId="0153363E" w14:textId="3AA5444D" w:rsidR="008D00AB" w:rsidRPr="00DD309C" w:rsidRDefault="008D00AB" w:rsidP="008D00AB">
      <w:pPr>
        <w:rPr>
          <w:bCs/>
          <w:color w:val="000000" w:themeColor="text1"/>
        </w:rPr>
      </w:pPr>
      <w:r w:rsidRPr="00DD309C">
        <w:rPr>
          <w:bCs/>
          <w:color w:val="000000" w:themeColor="text1"/>
        </w:rPr>
        <w:t xml:space="preserve">Although </w:t>
      </w:r>
      <w:proofErr w:type="spellStart"/>
      <w:r w:rsidRPr="00DD309C">
        <w:rPr>
          <w:bCs/>
          <w:color w:val="000000" w:themeColor="text1"/>
        </w:rPr>
        <w:t>ecDNA</w:t>
      </w:r>
      <w:proofErr w:type="spellEnd"/>
      <w:r w:rsidRPr="00DD309C">
        <w:rPr>
          <w:bCs/>
          <w:color w:val="000000" w:themeColor="text1"/>
        </w:rPr>
        <w:t xml:space="preserve"> and HSR states have distinct clinical consequences, current sequencing approaches cannot reliably distinguish them. Whole-genome sequencing (WGS) now identifies amplified regions with base-pair resolution</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{"citationID":"WoLtjdg5","properties":{"formattedCitation":"[40]","plainCitation":"[40]","noteIndex":0},"citationItems":[{"id":2360,"uris":["http://zotero.org/users/14101681/items/CT5EL9F5"],"itemData":{"id":2360,"type":"article-journal","container-title":"The Journal of Molecular Diagnostics","DOI":"10.1016/j.jmoldx.2021.04.011","ISSN":"1525-1578","issue":"7","journalAbbreviation":"The Journal of Molecular Diagnostics","language":"English","page":"816-833","PMID":"33964451","publisher":"Elsevier","source":"www.jmdjournal.org","title":"Clinical Validation of Whole Genome Sequencing for Cancer Diagnostics","volume":"23","author":[{"family":"Roepman","given":"Paul"},{"family":"Bruijn","given":"Ewart","dropping-particle":"de"},{"family":"Lieshout","given":"Stef","dropping-particle":"van"},{"family":"Schoenmaker","given":"Lieke"},{"family":"Boelens","given":"Mirjam C."},{"family":"Dubbink","given":"Hendrikus J."},{"family":"Geurts-Giele","given":"Willemina R. R."},{"family":"Groenendijk","given":"Floris H."},{"family":"Huibers","given":"Manon M. H."},{"family":"Kranendonk","given":"Mariëtte E. G."},{"family":"Roemer","given":"Margaretha G. M."},{"family":"Samsom","given":"Kris G."},{"family":"Steehouwer","given":"Marloes"},{"family":"Leng","given":"Wendy W. J.","dropping-particle":"de"},{"family":"Hoischen","given":"Alexander"},{"family":"Ylstra","given":"Bauke"},{"family":"Monkhorst","given":"Kim"},{"family":"Hoeven","given":"Jacobus J. M.","dropping-particle":"van der"},{"family":"Cuppen","given":"Edwin"}],"issued":{"date-parts":[["2021",7,1]]}}}],"schema":"https://github.com/citation-style-language/schema/raw/master/csl-citation.json"}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40</w:t>
      </w:r>
      <w:r w:rsidRPr="00E71643">
        <w:rPr>
          <w:bCs/>
          <w:color w:val="000000" w:themeColor="text1"/>
          <w:vertAlign w:val="superscript"/>
        </w:rPr>
        <w:fldChar w:fldCharType="end"/>
      </w:r>
      <w:r w:rsidRPr="00DD309C">
        <w:rPr>
          <w:bCs/>
          <w:color w:val="000000" w:themeColor="text1"/>
        </w:rPr>
        <w:t xml:space="preserve">. WGS has been valuable </w:t>
      </w:r>
      <w:r w:rsidR="00CE75F3">
        <w:rPr>
          <w:bCs/>
          <w:color w:val="000000" w:themeColor="text1"/>
        </w:rPr>
        <w:t xml:space="preserve">in defining the sequence composition of </w:t>
      </w:r>
      <w:proofErr w:type="spellStart"/>
      <w:r w:rsidR="00CE75F3">
        <w:rPr>
          <w:bCs/>
          <w:color w:val="000000" w:themeColor="text1"/>
        </w:rPr>
        <w:t>ecDNAs</w:t>
      </w:r>
      <w:proofErr w:type="spellEnd"/>
      <w:r w:rsidR="00CE75F3">
        <w:rPr>
          <w:bCs/>
          <w:color w:val="000000" w:themeColor="text1"/>
        </w:rPr>
        <w:t xml:space="preserve"> and HSRs, but </w:t>
      </w:r>
      <w:r w:rsidRPr="00DD309C">
        <w:rPr>
          <w:bCs/>
          <w:color w:val="000000" w:themeColor="text1"/>
        </w:rPr>
        <w:t xml:space="preserve">at the expense of spatial resolution. Unlike traditional cytogenetic approaches, WGS alone cannot determine whether an amplified sequence resides on </w:t>
      </w:r>
      <w:proofErr w:type="spellStart"/>
      <w:r w:rsidRPr="00DD309C">
        <w:rPr>
          <w:bCs/>
          <w:color w:val="000000" w:themeColor="text1"/>
        </w:rPr>
        <w:t>ecDNAs</w:t>
      </w:r>
      <w:proofErr w:type="spellEnd"/>
      <w:r w:rsidRPr="00DD309C">
        <w:rPr>
          <w:bCs/>
          <w:color w:val="000000" w:themeColor="text1"/>
        </w:rPr>
        <w:t xml:space="preserve"> or is integrated into a chromosome as an HSR</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L9RjHdF2","properties":{"formattedCitation":"[41\\uc0\\u8211{}43]","plainCitation":"[41–43]","noteIndex":0},"citationItems":[{"id":2264,"uris":["http://zotero.org/users/14101681/items/7TF8VJQ3"],"itemData":{"id":2264,"type":"article-journal","abstract":"Identifying structural variation (SV) is essential for genome interpretation but has been historically difficult due to limitations inherent to available genome technologies. Detection methods that use ensemble algorithms and emerging sequencing technologies have enabled the discovery of thousands of SVs, uncovering information about their ubiquity, relationship to disease and possible effects on biological mechanisms. Given the variability in SV type and size, along with unique detection biases of emerging genomic platforms, multiplatform discovery is necessary to resolve the full spectrum of variation. Here, we review modern approaches for investigating SVs and proffer that, moving forwards, studies integrating biological information with detection will be necessary to comprehensively understand the impact of SV in the human genome.","container-title":"Nature Reviews Genetics","DOI":"10.1038/s41576-019-0180-9","ISSN":"1471-0064","issue":"3","journalAbbreviation":"Nat Rev Genet","language":"en","license":"2019 Springer Nature Limited","page":"171-189","publisher":"Nature Publishing Group","source":"www.nature.com","title":"Structural variation in the sequencing era","volume":"21","author":[{"family":"Ho","given":"Steve S."},{"family":"Urban","given":"Alexander E."},{"family":"Mills","given":"Ryan E."}],"issued":{"date-parts":[["2020",3]]}}},{"id":1449,"uris":["http://zotero.org/users/14101681/items/RESLYQX7"],"itemData":{"id":1449,"type":"article-journal","abstract":"Oncogene amplification is one of the most common drivers of genetic events in cancer, potently promoting tumor development, growth, and progression. The recent discovery that oncogene amplification commonly occurs on extrachromosomal DNA, driving intratumoral genetic heterogeneity and high copy number owing to its non-chromosomal mechanism of inheritance, raises important questions about how the subnuclear location of amplified oncogenes mediates tumor pathogenesis. Next-generation sequencing is powerful but does not provide spatial resolution for amplified oncogenes, and new approaches are needed for accurately quantifying oncogenes located on ecDNA. Here, we introduce ecSeg, an image analysis tool that integrates conventional microscopy with deep neural networks to accurately resolve ecDNA and oncogene amplification at the single cell level.","container-title":"iScience","DOI":"10.1016/j.isci.2019.10.035","ISSN":"2589-0042","journalAbbreviation":"iScience","language":"eng","page":"428-435","PMID":"31706138","PMCID":"PMC6849072","source":"PubMed","title":"EcSeg: Semantic Segmentation of Metaphase Images Containing Extrachromosomal DNA","title-short":"EcSeg","volume":"21","author":[{"family":"Rajkumar","given":"Utkrisht"},{"family":"Turner","given":"Kristen"},{"family":"Luebeck","given":"Jens"},{"family":"Deshpande","given":"Viraj"},{"family":"Chandraker","given":"Manmohan"},{"family":"Mischel","given":"Paul"},{"family":"Bafna","given":"Vineet"}],"issued":{"date-parts":[["2019",11,22]]}}},{"id":1426,"uris":["http://zotero.org/users/14101681/items/A4XIY44X"],"itemData":{"id":1426,"type":"article-journal","abstract":"Extrachromosomal DNA (ecDNA) are circular regions of DNA that are found in many cancers. They are an important means of oncogene amplification, and correlate with treatment resistance and poor prognosis. Consequently, there is great interest in exploring and targeting ecDNA vulnerabilities as potential new therapeutic targets for cancer treatment. However, the biological significance of ecDNA and their associated regulatory control remains unclear. Light microscopy has been a central tool in the identification and characterisation of ecDNA. In this review we describe the different cellular models available to study ecDNA, and the imaging tools used to characterise ecDNA and their regulation. The insights gained from quantitative imaging are discussed in comparison with genome sequencing and computational approaches. We suggest that there is a crucial need for ongoing innovation using imaging if we are to achieve a full understanding of the dynamic regulation and organisation of ecDNA and their role in tumourigenesis.","container-title":"Histochemistry and Cell Biology","DOI":"10.1007/s00418-024-02280-2","ISSN":"0948-6143","issue":"1-2","journalAbbreviation":"Histochem Cell Biol","page":"53-64","PMID":"38625562","PMCID":"PMC7616135","source":"PubMed Central","title":"Imaging extrachromosomal DNA (ecDNA) in cancer","volume":"162","author":[{"family":"Purshouse","given":"Karin"},{"family":"Pollard","given":"Steven M."},{"family":"Bickmore","given":"Wendy A."}],"issued":{"date-parts":[["2024"]]}}}],"schema":"https://github.com/citation-style-language/schema/raw/master/csl-citation.json"}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41–43</w:t>
      </w:r>
      <w:r w:rsidRPr="00E71643">
        <w:rPr>
          <w:bCs/>
          <w:color w:val="000000" w:themeColor="text1"/>
          <w:vertAlign w:val="superscript"/>
        </w:rPr>
        <w:fldChar w:fldCharType="end"/>
      </w:r>
      <w:r w:rsidRPr="00DD309C">
        <w:rPr>
          <w:bCs/>
          <w:color w:val="000000" w:themeColor="text1"/>
        </w:rPr>
        <w:t>. As a result, methods that preserve the spatial context of amplification remain essential for understanding the biology of these distinct states.</w:t>
      </w:r>
    </w:p>
    <w:p w14:paraId="7054A5AA" w14:textId="77777777" w:rsidR="008D00AB" w:rsidRPr="00DD309C" w:rsidRDefault="008D00AB" w:rsidP="008D00AB">
      <w:pPr>
        <w:rPr>
          <w:bCs/>
          <w:color w:val="000000" w:themeColor="text1"/>
        </w:rPr>
      </w:pPr>
    </w:p>
    <w:p w14:paraId="7A644CFD" w14:textId="2E16E1A9" w:rsidR="008D00AB" w:rsidRPr="00DD309C" w:rsidRDefault="008D00AB" w:rsidP="008D00AB">
      <w:pPr>
        <w:rPr>
          <w:bCs/>
          <w:color w:val="000000" w:themeColor="text1"/>
        </w:rPr>
      </w:pPr>
      <w:r w:rsidRPr="00DD309C">
        <w:rPr>
          <w:bCs/>
          <w:color w:val="000000" w:themeColor="text1"/>
        </w:rPr>
        <w:t xml:space="preserve">For the past 40 years, DNA fluorescence in situ hybridization (DNA-FISH) metaphase spreads have served as the gold standard for identifying and distinguishing </w:t>
      </w:r>
      <w:proofErr w:type="spellStart"/>
      <w:r w:rsidRPr="00DD309C">
        <w:rPr>
          <w:bCs/>
          <w:color w:val="000000" w:themeColor="text1"/>
        </w:rPr>
        <w:t>ecDNA</w:t>
      </w:r>
      <w:proofErr w:type="spellEnd"/>
      <w:r w:rsidRPr="00DD309C">
        <w:rPr>
          <w:bCs/>
          <w:color w:val="000000" w:themeColor="text1"/>
        </w:rPr>
        <w:t xml:space="preserve"> and HSR amplification states</w:t>
      </w:r>
      <w:r w:rsidRPr="00E71643">
        <w:rPr>
          <w:bCs/>
          <w:color w:val="000000" w:themeColor="text1"/>
          <w:vertAlign w:val="superscript"/>
        </w:rPr>
        <w:fldChar w:fldCharType="begin"/>
      </w:r>
      <w:r w:rsidR="0003421D" w:rsidRPr="00E71643">
        <w:rPr>
          <w:bCs/>
          <w:color w:val="000000" w:themeColor="text1"/>
          <w:vertAlign w:val="superscript"/>
        </w:rPr>
        <w:instrText xml:space="preserve"> ADDIN ZOTERO_ITEM CSL_CITATION {"citationID":"psigqkkf","properties":{"unsorted":true,"formattedCitation":"[42,44\\uc0\\u8211{}46]","plainCitation":"[42,44–46]","noteIndex":0},"citationItems":[{"id":1449,"uris":["http://zotero.org/users/14101681/items/RESLYQX7"],"itemData":{"id":1449,"type":"article-journal","abstract":"Oncogene amplification is one of the most common drivers of genetic events in cancer, potently promoting tumor development, growth, and progression. The recent discovery that oncogene amplification commonly occurs on extrachromosomal DNA, driving intratumoral genetic heterogeneity and high copy number owing to its non-chromosomal mechanism of inheritance, raises important questions about how the subnuclear location of amplified oncogenes mediates tumor pathogenesis. Next-generation sequencing is powerful but does not provide spatial resolution for amplified oncogenes, and new approaches are needed for accurately quantifying oncogenes located on ecDNA. Here, we introduce ecSeg, an image analysis tool that integrates conventional microscopy with deep neural networks to accurately resolve ecDNA and oncogene amplification at the single cell level.","container-title":"iScience","DOI":"10.1016/j.isci.2019.10.035","ISSN":"2589-0042","journalAbbreviation":"iScience","language":"eng","page":"428-435","PMID":"31706138","PMCID":"PMC6849072","source":"PubMed","title":"EcSeg: Semantic Segmentation of Metaphase Images Containing Extrachromosomal DNA","title-short":"EcSeg","volume":"21","author":[{"family":"Rajkumar","given":"Utkrisht"},{"family":"Turner","given":"Kristen"},{"family":"Luebeck","given":"Jens"},{"family":"Deshpande","given":"Viraj"},{"family":"Chandraker","given":"Manmohan"},{"family":"Mischel","given":"Paul"},{"family":"Bafna","given":"Vineet"}],"issued":{"date-parts":[["2019",11,22]]}}},{"id":2316,"uris":["http://zotero.org/users/14101681/items/TQMFPFJS"],"itemData":{"id":2316,"type":"article-journal","abstract":"We assessed fluorescence in situ hybridization (FISH) as an alternative to Southern blot analysis for determination of N-myc gene amplification in neuroblastoma. In the 44 pediatric solid tumor cell lines examined (20 neuroblastomas), the mean number of N-myc copies determined by FISH correlated closely with Southern blot results. There was wide intercellular variability in gene copy number in tumors that had evidence of amplification; however, tumors judged to be non-amplified completely lacked any cells with high N-myc copy number. FISH provided reliable estimates of N-myc amplification in 12 clinical samples even when the percentage of tumor was low. The other advantages of FISH over Southern blot analysis were speed and technical simplicity, ability to discern heterogeneous gene amplification among tumor cells in the same specimen, and capacity to determine the source of the amplified N-myc signal, whether extrachromosomal double-minute chromosomes, expanded intrachromosomal regions, or chromosome 2 aneuploidy. We conclude that FISH would refine the analysis of N-myc amplification in neuroblastoma and thus improve the assignment of patients to prognostic groups based on this unfavorable risk factor.","container-title":"The American Journal of Pathology","ISSN":"0002-9440","issue":"5","journalAbbreviation":"Am J Pathol","page":"1339-1346","PMID":"7684192","PMCID":"PMC1886925","source":"PubMed Central","title":"Detection of N-myc gene amplification by fluorescence in situ hybridization. Diagnostic utility for neuroblastoma.","volume":"142","author":[{"family":"Shapiro","given":"D. N."},{"family":"Valentine","given":"M. B."},{"family":"Rowe","given":"S. T."},{"family":"Sinclair","given":"A. E."},{"family":"Sublett","given":"J. E."},{"family":"Roberts","given":"W. M."},{"family":"Look","given":"A. T."}],"issued":{"date-parts":[["1993",5]]}}},{"id":2447,"uris":["http://zotero.org/users/14101681/items/R6VISYXP"],"itemData":{"id":2447,"type":"article-journal","abstract":"Genome instability, including chromothripsis, is a hallmark of cancer. Cancer cells frequently contain micronuclei?small, nucleus-like structures formed by chromosome missegregation?that are susceptible to rupture, exposing chromatin to cytoplasmic nucleases. Through an unbiased, imaging-based small interfering RNA screen that targeted all 204 known and putative human nucleases, we identified a previously uncharacterized cytoplasmic endonuclease, NEDD4-binding protein 2 (N4BP2), that enters ruptured micronuclei and initiates DNA damage, leading to chromosome fragmentation. N4BP2 promoted genome rearrangements (including chromothripsis), formation of extrachromosomal DNA (ecDNA) in drug-induced gene amplification, tumorigenesis, and tumor cell proliferation in an induced model of human high-grade glioma. Analysis of more than 10,000 human cancer genomes revealed elevated N4BP2 expression to be predictive of chromothripsis and copy number amplifications, including ecDNA. Massive genome rearrangements, or chromoanagenesis, are common in cancer and associated with poor prognosis. The most frequent form, chromothripsis, arises when one or more missegregated chromosomes form micronuclei that rupture, exposing their chromatin to the cytoplasm. Using an imaging-based small interfering RNA screen of human nucleases, Krupina et al. found that N4BP2, a previously uncharacterized cytoplasmic endonuclease, enters ruptured micronuclei and shatters chromosomes (see the Perspective by Clarke and Imieli?ski). N4BP2 was shown to promote the formation of extrachromosomal DNA and to enhance tumor growth in a human glioma model. Analysis of approximately 10,000 cancer genomes revealed that tumors with high N4BP2 expression were enriched for chromothripsis and copy number amplifications, implicating N4BP2 as a key driver of complex genome rearrangements. ?Di Jiang","container-title":"Science","DOI":"10.1126/science.ado0977","issue":"6778","journalAbbreviation":"Science","page":"1156-1163","publisher":"American Association for the Advancement of Science","title":"Chromothripsis and ecDNA initiated by N4BP2 nuclease fragmentation of cytoplasm-exposed chromosomes","volume":"390","author":[{"family":"Krupina","given":"Ksenia"},{"family":"Goginashvili","given":"Alexander"},{"family":"Baughn","given":"Michael W."},{"family":"Moore","given":"Stephen"},{"family":"Steele","given":"Christopher D."},{"family":"Nguyen","given":"Amy T."},{"family":"Zhang","given":"Daniel L."},{"family":"Koeppel","given":"Jonas"},{"family":"Trivedi","given":"Prasad"},{"family":"Malhotra","given":"Aarti"},{"family":"Jenkins","given":"David"},{"family":"Shiau","given":"Andrew K."},{"family":"Miyake","given":"Yohei"},{"family":"Koga","given":"Tomoyuki"},{"family":"Miki","given":"Shunichiro"},{"family":"Furnari","given":"Frank B."},{"family":"Campbell","given":"Peter J."},{"family":"Alexandrov","given":"Ludmil B."},{"family":"Cleveland","given":"Don W."}],"issued":{"date-parts":[["2025",12,11]]}}},{"id":855,"uris":["http://zotero.org/users/14101681/items/SPCK4US5"],"itemData":{"id":855,"type":"article-journal","container-title":"Genes &amp; Development","DOI":"10.1101/gad.3.12a.1913","ISSN":"0890-9369","issue":"12a","journalAbbreviation":"Genes &amp; Development","language":"en","page":"1913-1925","source":"DOI.org (Crossref)","title":"Early dihydrofolate reductase gene amplification events in CHO cells usually occur on the same chromosome arm as the original locus.","volume":"3","author":[{"family":"Trask","given":"B J"},{"family":"Hamlin","given":"J L"}],"issued":{"date-parts":[["1989",12,1]]}}}],"schema":"https://github.com/citation-style-language/schema/raw/master/csl-citation.json"} </w:instrText>
      </w:r>
      <w:r w:rsidRPr="00E71643">
        <w:rPr>
          <w:bCs/>
          <w:color w:val="000000" w:themeColor="text1"/>
          <w:vertAlign w:val="superscript"/>
        </w:rPr>
        <w:fldChar w:fldCharType="separate"/>
      </w:r>
      <w:r w:rsidR="0003421D" w:rsidRPr="00E71643">
        <w:rPr>
          <w:color w:val="000000"/>
          <w:vertAlign w:val="superscript"/>
        </w:rPr>
        <w:t>42,44–46</w:t>
      </w:r>
      <w:r w:rsidRPr="00E71643">
        <w:rPr>
          <w:bCs/>
          <w:color w:val="000000" w:themeColor="text1"/>
          <w:vertAlign w:val="superscript"/>
        </w:rPr>
        <w:fldChar w:fldCharType="end"/>
      </w:r>
      <w:r w:rsidRPr="00DD309C">
        <w:rPr>
          <w:bCs/>
          <w:color w:val="000000" w:themeColor="text1"/>
        </w:rPr>
        <w:t xml:space="preserve">. In fact, </w:t>
      </w:r>
      <w:proofErr w:type="spellStart"/>
      <w:r w:rsidRPr="00DD309C">
        <w:rPr>
          <w:bCs/>
          <w:color w:val="000000" w:themeColor="text1"/>
        </w:rPr>
        <w:t>ecDNAs</w:t>
      </w:r>
      <w:proofErr w:type="spellEnd"/>
      <w:r w:rsidRPr="00DD309C">
        <w:rPr>
          <w:bCs/>
          <w:color w:val="000000" w:themeColor="text1"/>
        </w:rPr>
        <w:t xml:space="preserve"> and HSRs were first identified and characterized through metaphase-based cytogenetic analyses</w:t>
      </w:r>
      <w:r w:rsidRPr="00BE58B7">
        <w:rPr>
          <w:bCs/>
          <w:color w:val="000000" w:themeColor="text1"/>
          <w:vertAlign w:val="superscript"/>
        </w:rPr>
        <w:fldChar w:fldCharType="begin"/>
      </w:r>
      <w:r w:rsidR="00707A15" w:rsidRPr="00BE58B7">
        <w:rPr>
          <w:bCs/>
          <w:color w:val="000000" w:themeColor="text1"/>
          <w:vertAlign w:val="superscript"/>
        </w:rPr>
        <w:instrText xml:space="preserve"> ADDIN ZOTERO_ITEM CSL_CITATION {"citationID":"EFjBpCn0","properties":{"formattedCitation":"[7,47]","plainCitation":"[7,47]","noteIndex":0},"citationItems":[{"id":633,"uris":["http://zotero.org/users/14101681/items/UE373K8E"],"itemData":{"id":633,"type":"article-journal","abstract":"In 6 cases chromosome preparations made without culture from human malignant tumours showed varying numbers of minute double chromatin bodies in addition to the ordinary chromosomes. The ordinary chromosomes appeared structurally intact, but each tumour had a different abnormal karyotype with some variation from cell to cell.","container-title":"The Lancet","DOI":"10.1016/S0140-6736(65)90131-5","ISSN":"01406736","issue":"7402","journalAbbreviation":"The Lancet","language":"en","license":"https://www.elsevier.com/tdm/userlicense/1.0/","page":"55-58","source":"DOI.org (Crossref)","title":"MINUTE CHROMATIN BODIES IN MALIGNANT TUMOURS OF CHILDHOOD","volume":"286","author":[{"family":"Cox","given":"David"},{"family":"Yuncken","given":"Catherine"},{"family":"Spriggs","given":"A.I."}],"issued":{"date-parts":[["1965",7]]}}},{"id":176,"uris":["http://zotero.org/users/14101681/items/RVPIEQL7"],"itemData":{"id":176,"type":"article-journal","abstract":"Four cell lines, SK-N-SH, SK-N-MC, SK-N-BE(2), and IMR-32, established in vitro from tumor tissue of patients with neuroblastoma were analyzed by trypsin-Giemsa banding methods. In two of the lines a large, abnormally staining chromosome region was observed. This \"homogeneously staining region\" (HSR) was considerably longer than any of the bands present in normal human cells and, as revealed by both G- and Q-banding, stained with an intermediate intensity. It was located on chromosomes #6, 10, 17, or 19 of the SK-N-BE(2) cell line and on chromosome #1 of the IMR-32 line. In concurrent studies, long HSR's were also observed in Chinese hamster sublines that had been exposed to and had developed high levels of resistance to methotrexate or methasquin and high levels of activity of target enzyme dihydrofolate reductase. For several sublines with the highest levels of enzyme activity, approximately 2% of the total cell protein was dihydrofolate reductase. Of 13 independently derived sublines with acquired resistance to antifolate, only those 7 with greater than 100-fold increases in enzyme activity consistently exhibited HSR's. These regions comprised 2-5% of the total length of the chromosome complement and were specifically localized, as demonstrated by G-banding. Analysis of chromosome replication patterns of the HSR in human neuroblastoma and in drug-resistant Chinese hamster cells by tritiated thymidine radioautography indicated that the long, abnormally staining region replicated relatively rapidly and synchronously and terminated replication before the midpoint of the S phase. The HSR thus appeared to represent a novel chromosome abnormality that may be present in cells with specialized functions. Drug-resistant Chinese hamster cells were characterized by overproduction of target enzyme, whereas human neuroblastoma cells had phenotypes of normal neuronal cells. Whether the HSR is transcriptionally active was not elucidated.-J Natl Cancer Inst 57: 683-695, 1976.aut","container-title":"Journal of the National Cancer Institute","DOI":"10.1093/jnci/57.3.683","ISSN":"1460-2105, 0027-8874","issue":"3","language":"en","page":"683-695","source":"DOI.org (Crossref)","title":"A Novel Chromosome Abnormality in Human Neuroblastoma and Antifolate-Resistant Chinese Hamster Cell Lines in Culture","volume":"57","author":[{"family":"Biedler","given":"June L."},{"family":"Spengler","given":"Barbara A."}],"issued":{"date-parts":[["1976",9]]}}}],"schema":"https://github.com/citation-style-language/schema/raw/master/csl-citation.json"} </w:instrText>
      </w:r>
      <w:r w:rsidRPr="00BE58B7">
        <w:rPr>
          <w:bCs/>
          <w:color w:val="000000" w:themeColor="text1"/>
          <w:vertAlign w:val="superscript"/>
        </w:rPr>
        <w:fldChar w:fldCharType="separate"/>
      </w:r>
      <w:r w:rsidR="00FF0E9C" w:rsidRPr="00BE58B7">
        <w:rPr>
          <w:color w:val="000000"/>
          <w:vertAlign w:val="superscript"/>
        </w:rPr>
        <w:t>7,47</w:t>
      </w:r>
      <w:r w:rsidRPr="00BE58B7">
        <w:rPr>
          <w:bCs/>
          <w:color w:val="000000" w:themeColor="text1"/>
          <w:vertAlign w:val="superscript"/>
        </w:rPr>
        <w:fldChar w:fldCharType="end"/>
      </w:r>
      <w:r w:rsidRPr="00DD309C">
        <w:rPr>
          <w:bCs/>
          <w:color w:val="000000" w:themeColor="text1"/>
        </w:rPr>
        <w:t xml:space="preserve">. Before the widespread use of fluorescent probes, in situ hybridization was performed using radiolabeled DNA probes, which have also been used to visualize </w:t>
      </w:r>
      <w:proofErr w:type="spellStart"/>
      <w:r w:rsidRPr="00DD309C">
        <w:rPr>
          <w:bCs/>
          <w:color w:val="000000" w:themeColor="text1"/>
        </w:rPr>
        <w:t>ecDNAs</w:t>
      </w:r>
      <w:proofErr w:type="spellEnd"/>
      <w:r w:rsidRPr="00DD309C">
        <w:rPr>
          <w:bCs/>
          <w:color w:val="000000" w:themeColor="text1"/>
        </w:rPr>
        <w:t xml:space="preserve"> and HSRs</w:t>
      </w:r>
      <w:r w:rsidRPr="00E71643">
        <w:rPr>
          <w:bCs/>
          <w:color w:val="000000" w:themeColor="text1"/>
          <w:vertAlign w:val="superscript"/>
        </w:rPr>
        <w:fldChar w:fldCharType="begin"/>
      </w:r>
      <w:r w:rsidR="00707A15" w:rsidRPr="00E71643">
        <w:rPr>
          <w:bCs/>
          <w:color w:val="000000" w:themeColor="text1"/>
          <w:vertAlign w:val="superscript"/>
        </w:rPr>
        <w:instrText xml:space="preserve"> ADDIN ZOTERO_ITEM CSL_CITATION {"citationID":"e8mNCYaL","properties":{"formattedCitation":"[48,49]","plainCitation":"[48,49]","noteIndex":0},"citationItems":[{"id":555,"uris":["http://zotero.org/users/14101681/items/A5LUNUZS"],"itemData":{"id":555,"type":"article-journal","abstract":"Methotrexate-resistant Chinese hamster ovary cells selected for high resistance by progressive increments of methotrexate in the culture medium have levels of dihydrofolate reductase (tetrahydrofolate dehydrogenase, 7,8-dihydrofolate: NADP+ oxidoreductase, EC 1.5.1.3) 200 times that of sensitive cells and a corresponding increase in the number of copies of the dihydrofolate reductase gene. The resistant cells contain an expanded region on the second chromosome (homogeneously staining region) that is not present in sensitive cells. In situ hybridization of DNA complementary to dihydrofolate reductase mRNA shows that the dihydrofolate reductase genes are specifically localized to the homogeneously staining region of this chromosome in the resistant cells.","container-title":"Proceedings of the National Academy of Sciences of the United States of America","ISSN":"0027-8424","issue":"11","journalAbbreviation":"Proc Natl Acad Sci U S A","page":"5553-5556","PMID":"281704","PMCID":"PMC393004","source":"PubMed Central","title":"Amplified dihydrofolate reductase genes are localized to a homogeneously staining region of a single chromosome in a methotrexate-resistant Chinese hamster ovary cell line.","volume":"75","author":[{"family":"Nunberg","given":"J H"},{"family":"Kaufman","given":"R J"},{"family":"Schimke","given":"R T"},{"family":"Urlaub","given":"G"}],"issued":{"date-parts":[["1978",11]]}}},{"id":2276,"uris":["http://zotero.org/users/14101681/items/GDQIIH44"],"itemData":{"id":2276,"type":"article-journal","container-title":"Journal of Medicinal Chemistry","DOI":"10.1021/jm00239a020","ISSN":"0022-2623","issue":"5","journalAbbreviation":"J. Med. Chem.","page":"526-528","publisher":"American Chemical Society","title":"Synthesis of a fluorescent derivative of amethopterin","volume":"18","author":[{"family":"Gapski","given":"G. R."},{"family":"Whiteley","given":"J. M."},{"family":"Rader","given":"J. I."},{"family":"Cramer","given":"P. L."},{"family":"Hendersen","given":"G. B."},{"family":"Neef","given":"V."},{"family":"Huennekens","given":"F. M."}],"issued":{"date-parts":[["1975",5,1]]}}}],"schema":"https://github.com/citation-style-language/schema/raw/master/csl-citation.json"} </w:instrText>
      </w:r>
      <w:r w:rsidRPr="00E71643">
        <w:rPr>
          <w:bCs/>
          <w:color w:val="000000" w:themeColor="text1"/>
          <w:vertAlign w:val="superscript"/>
        </w:rPr>
        <w:fldChar w:fldCharType="separate"/>
      </w:r>
      <w:r w:rsidR="00FF0E9C" w:rsidRPr="00E71643">
        <w:rPr>
          <w:color w:val="000000"/>
          <w:vertAlign w:val="superscript"/>
        </w:rPr>
        <w:t>48,49</w:t>
      </w:r>
      <w:r w:rsidRPr="00E71643">
        <w:rPr>
          <w:bCs/>
          <w:color w:val="000000" w:themeColor="text1"/>
          <w:vertAlign w:val="superscript"/>
        </w:rPr>
        <w:fldChar w:fldCharType="end"/>
      </w:r>
      <w:r w:rsidRPr="00DD309C">
        <w:rPr>
          <w:bCs/>
          <w:color w:val="000000" w:themeColor="text1"/>
        </w:rPr>
        <w:t>. As WGS gained in popularity, DNA-FISH metaphase spreads became less common. Many aspects of the workflow are scattered across the cytogenetic literature</w:t>
      </w:r>
      <w:r w:rsidR="00F23A8F">
        <w:rPr>
          <w:bCs/>
          <w:color w:val="000000" w:themeColor="text1"/>
        </w:rPr>
        <w:t>,</w:t>
      </w:r>
      <w:r w:rsidRPr="00DD309C">
        <w:rPr>
          <w:bCs/>
          <w:color w:val="000000" w:themeColor="text1"/>
        </w:rPr>
        <w:t xml:space="preserve"> and optimized protocols are typically retained within individual research groups or cytogenetics labs that treat the method as proprietary</w:t>
      </w:r>
      <w:r w:rsidRPr="00F23A8F">
        <w:rPr>
          <w:bCs/>
          <w:color w:val="000000" w:themeColor="text1"/>
          <w:vertAlign w:val="superscript"/>
        </w:rPr>
        <w:fldChar w:fldCharType="begin"/>
      </w:r>
      <w:r w:rsidR="00707A15" w:rsidRPr="00F23A8F">
        <w:rPr>
          <w:bCs/>
          <w:color w:val="000000" w:themeColor="text1"/>
          <w:vertAlign w:val="superscript"/>
        </w:rPr>
        <w:instrText xml:space="preserve"> ADDIN ZOTERO_ITEM CSL_CITATION {"citationID":"RU08seuh","properties":{"unsorted":false,"formattedCitation":"[50,51]","plainCitation":"[50,51]","noteIndex":0},"citationItems":[{"id":2270,"uris":["http://zotero.org/users/14101681/items/EXZ7JNML"],"itemData":{"id":2270,"type":"chapter","container-title":"Human chromosomes: manual of basic techniques","ISBN":"0-08-036839-5","original-publisher":"Pergamon Press","page":"4-45","publisher":"Pergamon Press","title":"Tissue Culture Techniques and Chromosome Preparation","author":[{"family":"Verma","given":"Ram S."},{"family":"Babu","given":"Arvind"}],"issued":{"date-parts":[["1989"]]}}},{"id":2267,"uris":["http://zotero.org/users/14101681/items/QTSWV3K7"],"itemData":{"id":2267,"type":"article-journal","abstract":"A combination of cytological and leukocyte culture techniques is described which constitutes a convenient, reliable approach for chromosome studies of humans and yields the following advantages: 1. Relative ease of obtaining blood and small volume required. 2. Adequate mitotic yield from the short-term culture of leukocytes. 3. High numbers of “exact count” quality metaphase spreads, permitting a critical analysis of chromosome morphology.","container-title":"Experimental Cell Research","DOI":"10.1016/0014-4827(60)90138-5","ISSN":"00144827","issue":"3","journalAbbreviation":"Experimental Cell Research","language":"en","license":"https://www.elsevier.com/tdm/userlicense/1.0/","page":"613-616","source":"DOI.org (Crossref)","title":"Chromosome preparations of leukocytes cultured from human peripheral blood","volume":"20","author":[{"family":"Moorhead","given":"P.S."},{"family":"Nowell","given":"P.C."},{"family":"Mellman","given":"W.J."},{"family":"Battips","given":"D.M."},{"family":"Hungerford","given":"D.A."}],"issued":{"date-parts":[["1960",9]]}}}],"schema":"https://github.com/citation-style-language/schema/raw/master/csl-citation.json"} </w:instrText>
      </w:r>
      <w:r w:rsidRPr="00F23A8F">
        <w:rPr>
          <w:bCs/>
          <w:color w:val="000000" w:themeColor="text1"/>
          <w:vertAlign w:val="superscript"/>
        </w:rPr>
        <w:fldChar w:fldCharType="separate"/>
      </w:r>
      <w:r w:rsidR="00FF0E9C" w:rsidRPr="00F23A8F">
        <w:rPr>
          <w:color w:val="000000"/>
          <w:vertAlign w:val="superscript"/>
        </w:rPr>
        <w:t>50,51</w:t>
      </w:r>
      <w:r w:rsidRPr="00F23A8F">
        <w:rPr>
          <w:bCs/>
          <w:color w:val="000000" w:themeColor="text1"/>
          <w:vertAlign w:val="superscript"/>
        </w:rPr>
        <w:fldChar w:fldCharType="end"/>
      </w:r>
      <w:r w:rsidRPr="00DD309C">
        <w:rPr>
          <w:bCs/>
          <w:color w:val="000000" w:themeColor="text1"/>
        </w:rPr>
        <w:t>. Here, we describe a DNA-FISH metaphase spread protocol</w:t>
      </w:r>
      <w:r w:rsidR="00F23A8F">
        <w:rPr>
          <w:bCs/>
          <w:color w:val="000000" w:themeColor="text1"/>
        </w:rPr>
        <w:t xml:space="preserve"> </w:t>
      </w:r>
      <w:r w:rsidRPr="00DD309C">
        <w:rPr>
          <w:bCs/>
          <w:color w:val="000000" w:themeColor="text1"/>
        </w:rPr>
        <w:t xml:space="preserve">to visually resolve amplification state at the single-cell level. </w:t>
      </w:r>
    </w:p>
    <w:p w14:paraId="74EA703B" w14:textId="77777777" w:rsidR="008D00AB" w:rsidRPr="00DD309C" w:rsidRDefault="008D00AB" w:rsidP="008D00AB">
      <w:pPr>
        <w:rPr>
          <w:bCs/>
          <w:color w:val="000000" w:themeColor="text1"/>
        </w:rPr>
      </w:pPr>
    </w:p>
    <w:p w14:paraId="247BF20E" w14:textId="77777777" w:rsidR="00246610" w:rsidRDefault="008D00AB" w:rsidP="00246610">
      <w:pPr>
        <w:rPr>
          <w:color w:val="000000" w:themeColor="text1"/>
        </w:rPr>
      </w:pPr>
      <w:r w:rsidRPr="00DD309C">
        <w:rPr>
          <w:b/>
          <w:bCs/>
          <w:color w:val="000000" w:themeColor="text1"/>
        </w:rPr>
        <w:t>PROTOCOL:</w:t>
      </w:r>
    </w:p>
    <w:p w14:paraId="7A551165" w14:textId="07BB4654" w:rsidR="00006FAE" w:rsidRDefault="00246610" w:rsidP="00246610">
      <w:pPr>
        <w:rPr>
          <w:rFonts w:eastAsia="Times New Roman"/>
          <w:lang w:val="en-IN" w:eastAsia="en-IN"/>
        </w:rPr>
      </w:pPr>
      <w:r w:rsidRPr="00246610">
        <w:rPr>
          <w:color w:val="000000" w:themeColor="text1"/>
        </w:rPr>
        <w:t>A</w:t>
      </w:r>
      <w:proofErr w:type="spellStart"/>
      <w:r w:rsidR="00006FAE" w:rsidRPr="00246610">
        <w:rPr>
          <w:rFonts w:eastAsia="Times New Roman"/>
          <w:lang w:val="en-IN" w:eastAsia="en-IN"/>
        </w:rPr>
        <w:t>ll</w:t>
      </w:r>
      <w:proofErr w:type="spellEnd"/>
      <w:r w:rsidR="00006FAE" w:rsidRPr="00246610">
        <w:rPr>
          <w:rFonts w:eastAsia="Times New Roman"/>
          <w:lang w:val="en-IN" w:eastAsia="en-IN"/>
        </w:rPr>
        <w:t xml:space="preserve"> human cell culture procedures </w:t>
      </w:r>
      <w:r w:rsidRPr="00246610">
        <w:rPr>
          <w:rFonts w:eastAsia="Times New Roman"/>
          <w:lang w:val="en-IN" w:eastAsia="en-IN"/>
        </w:rPr>
        <w:t xml:space="preserve">were performed </w:t>
      </w:r>
      <w:r w:rsidR="00006FAE" w:rsidRPr="00246610">
        <w:rPr>
          <w:rFonts w:eastAsia="Times New Roman"/>
          <w:lang w:val="en-IN" w:eastAsia="en-IN"/>
        </w:rPr>
        <w:t>in compliance with institutional guidelines.</w:t>
      </w:r>
    </w:p>
    <w:p w14:paraId="1574A199" w14:textId="77777777" w:rsidR="00DB15FB" w:rsidRPr="00246610" w:rsidRDefault="00DB15FB" w:rsidP="00246610">
      <w:pPr>
        <w:rPr>
          <w:color w:val="000000" w:themeColor="text1"/>
        </w:rPr>
      </w:pPr>
    </w:p>
    <w:p w14:paraId="2C8958E3" w14:textId="670B8493" w:rsidR="00006FAE" w:rsidRPr="00DB15FB" w:rsidRDefault="00006FAE" w:rsidP="00DB15FB">
      <w:pPr>
        <w:widowControl/>
        <w:outlineLvl w:val="0"/>
        <w:rPr>
          <w:rFonts w:eastAsia="Times New Roman"/>
          <w:b/>
          <w:bCs/>
          <w:kern w:val="36"/>
          <w:lang w:val="en-IN" w:eastAsia="en-IN"/>
        </w:rPr>
      </w:pPr>
      <w:r w:rsidRPr="00DB15FB">
        <w:rPr>
          <w:rFonts w:eastAsia="Times New Roman"/>
          <w:b/>
          <w:bCs/>
          <w:kern w:val="36"/>
          <w:lang w:val="en-IN" w:eastAsia="en-IN"/>
        </w:rPr>
        <w:t xml:space="preserve">1. Arrest </w:t>
      </w:r>
      <w:r w:rsidR="004E3EB1">
        <w:rPr>
          <w:rFonts w:eastAsia="Times New Roman"/>
          <w:b/>
          <w:bCs/>
          <w:kern w:val="36"/>
          <w:lang w:val="en-IN" w:eastAsia="en-IN"/>
        </w:rPr>
        <w:t>c</w:t>
      </w:r>
      <w:r w:rsidRPr="00DB15FB">
        <w:rPr>
          <w:rFonts w:eastAsia="Times New Roman"/>
          <w:b/>
          <w:bCs/>
          <w:kern w:val="36"/>
          <w:lang w:val="en-IN" w:eastAsia="en-IN"/>
        </w:rPr>
        <w:t xml:space="preserve">ells in </w:t>
      </w:r>
      <w:r w:rsidR="004E3EB1">
        <w:rPr>
          <w:rFonts w:eastAsia="Times New Roman"/>
          <w:b/>
          <w:bCs/>
          <w:kern w:val="36"/>
          <w:lang w:val="en-IN" w:eastAsia="en-IN"/>
        </w:rPr>
        <w:t>m</w:t>
      </w:r>
      <w:r w:rsidRPr="00DB15FB">
        <w:rPr>
          <w:rFonts w:eastAsia="Times New Roman"/>
          <w:b/>
          <w:bCs/>
          <w:kern w:val="36"/>
          <w:lang w:val="en-IN" w:eastAsia="en-IN"/>
        </w:rPr>
        <w:t xml:space="preserve">etaphase </w:t>
      </w:r>
      <w:r w:rsidR="004E3EB1">
        <w:rPr>
          <w:rFonts w:eastAsia="Times New Roman"/>
          <w:b/>
          <w:bCs/>
          <w:kern w:val="36"/>
          <w:lang w:val="en-IN" w:eastAsia="en-IN"/>
        </w:rPr>
        <w:t>u</w:t>
      </w:r>
      <w:r w:rsidRPr="00DB15FB">
        <w:rPr>
          <w:rFonts w:eastAsia="Times New Roman"/>
          <w:b/>
          <w:bCs/>
          <w:kern w:val="36"/>
          <w:lang w:val="en-IN" w:eastAsia="en-IN"/>
        </w:rPr>
        <w:t xml:space="preserve">sing </w:t>
      </w:r>
      <w:proofErr w:type="spellStart"/>
      <w:r w:rsidRPr="00DB15FB">
        <w:rPr>
          <w:rFonts w:eastAsia="Times New Roman"/>
          <w:b/>
          <w:bCs/>
          <w:kern w:val="36"/>
          <w:lang w:val="en-IN" w:eastAsia="en-IN"/>
        </w:rPr>
        <w:t>Colcemid</w:t>
      </w:r>
      <w:proofErr w:type="spellEnd"/>
      <w:r w:rsidRPr="00DB15FB">
        <w:rPr>
          <w:rFonts w:eastAsia="Times New Roman"/>
          <w:b/>
          <w:bCs/>
          <w:kern w:val="36"/>
          <w:lang w:val="en-IN" w:eastAsia="en-IN"/>
        </w:rPr>
        <w:t xml:space="preserve"> (N-methyl-N-deacetyl-colchicine)</w:t>
      </w:r>
    </w:p>
    <w:p w14:paraId="00A48B4F" w14:textId="77777777" w:rsidR="00DB15FB" w:rsidRPr="00DB15FB" w:rsidRDefault="00DB15FB" w:rsidP="00DB15FB">
      <w:pPr>
        <w:widowControl/>
        <w:outlineLvl w:val="0"/>
        <w:rPr>
          <w:rFonts w:eastAsia="Times New Roman"/>
          <w:b/>
          <w:bCs/>
          <w:kern w:val="36"/>
          <w:lang w:val="en-IN" w:eastAsia="en-IN"/>
        </w:rPr>
      </w:pPr>
    </w:p>
    <w:p w14:paraId="2C23C66C" w14:textId="551BAD95" w:rsidR="00006FAE" w:rsidRDefault="00006FAE" w:rsidP="00DB15FB">
      <w:pPr>
        <w:widowControl/>
        <w:rPr>
          <w:rFonts w:eastAsia="Times New Roman"/>
          <w:lang w:val="en-IN" w:eastAsia="en-IN"/>
        </w:rPr>
      </w:pPr>
      <w:r w:rsidRPr="00DB15FB">
        <w:rPr>
          <w:rFonts w:eastAsia="Times New Roman"/>
          <w:lang w:val="en-IN" w:eastAsia="en-IN"/>
        </w:rPr>
        <w:lastRenderedPageBreak/>
        <w:t xml:space="preserve">1.1. Begin with approximately 2.0 × 10⁶–2.0 × 10⁷ cancer cells or other cultured cells. Too few cells will </w:t>
      </w:r>
      <w:r w:rsidR="00FB3FDF">
        <w:rPr>
          <w:rFonts w:eastAsia="Times New Roman"/>
          <w:lang w:val="en-IN" w:eastAsia="en-IN"/>
        </w:rPr>
        <w:t>yield fewer metaphase spreads, whereas too many cells may result in</w:t>
      </w:r>
      <w:r w:rsidRPr="00DB15FB">
        <w:rPr>
          <w:rFonts w:eastAsia="Times New Roman"/>
          <w:lang w:val="en-IN" w:eastAsia="en-IN"/>
        </w:rPr>
        <w:t xml:space="preserve"> insufficient fixation.</w:t>
      </w:r>
    </w:p>
    <w:p w14:paraId="59B610B7" w14:textId="77777777" w:rsidR="00DB15FB" w:rsidRPr="00DB15FB" w:rsidRDefault="00DB15FB" w:rsidP="00DB15FB">
      <w:pPr>
        <w:widowControl/>
        <w:rPr>
          <w:rFonts w:eastAsia="Times New Roman"/>
          <w:lang w:val="en-IN" w:eastAsia="en-IN"/>
        </w:rPr>
      </w:pPr>
    </w:p>
    <w:p w14:paraId="737FDB6C" w14:textId="77777777" w:rsidR="00006FAE" w:rsidRDefault="00006FAE" w:rsidP="00DB15FB">
      <w:pPr>
        <w:widowControl/>
        <w:rPr>
          <w:rFonts w:eastAsia="Times New Roman"/>
          <w:lang w:val="en-IN" w:eastAsia="en-IN"/>
        </w:rPr>
      </w:pPr>
      <w:r w:rsidRPr="00DB15FB">
        <w:rPr>
          <w:rFonts w:eastAsia="Times New Roman"/>
          <w:lang w:val="en-IN" w:eastAsia="en-IN"/>
        </w:rPr>
        <w:t xml:space="preserve">1.2. Determine the appropriate </w:t>
      </w:r>
      <w:proofErr w:type="spellStart"/>
      <w:r w:rsidRPr="00DB15FB">
        <w:rPr>
          <w:rFonts w:eastAsia="Times New Roman"/>
          <w:lang w:val="en-IN" w:eastAsia="en-IN"/>
        </w:rPr>
        <w:t>Colcemid</w:t>
      </w:r>
      <w:proofErr w:type="spellEnd"/>
      <w:r w:rsidRPr="00DB15FB">
        <w:rPr>
          <w:rFonts w:eastAsia="Times New Roman"/>
          <w:lang w:val="en-IN" w:eastAsia="en-IN"/>
        </w:rPr>
        <w:t xml:space="preserve"> incubation time for the experimental system. Incubation time affects the number of metaphase spreads obtained and chromosome length, and optimal conditions vary among cell types.</w:t>
      </w:r>
    </w:p>
    <w:p w14:paraId="1D5EE2E4" w14:textId="77777777" w:rsidR="00DB15FB" w:rsidRPr="00DB15FB" w:rsidRDefault="00DB15FB" w:rsidP="00DB15FB">
      <w:pPr>
        <w:widowControl/>
        <w:rPr>
          <w:rFonts w:eastAsia="Times New Roman"/>
          <w:lang w:val="en-IN" w:eastAsia="en-IN"/>
        </w:rPr>
      </w:pPr>
    </w:p>
    <w:p w14:paraId="0B11B54D" w14:textId="77777777" w:rsidR="00006FAE" w:rsidRDefault="00006FAE" w:rsidP="00DB15FB">
      <w:pPr>
        <w:widowControl/>
        <w:rPr>
          <w:rFonts w:eastAsia="Times New Roman"/>
          <w:lang w:val="en-IN" w:eastAsia="en-IN"/>
        </w:rPr>
      </w:pPr>
      <w:r w:rsidRPr="00DB15FB">
        <w:rPr>
          <w:rFonts w:eastAsia="Times New Roman"/>
          <w:lang w:val="en-IN" w:eastAsia="en-IN"/>
        </w:rPr>
        <w:t>NOTE: Shorter incubation times result in fewer cells arrested in metaphase at the time of collection. Longer incubation times produce more condensed chromosomes with shorter arms, making analysis more difficult. For cancer cell lines with an approximate doubling time of 24 h, incubation periods ranging from 45 min to overnight produce suitable metaphase spreads. Optimize the incubation time for cells with slower doubling times. A 2 h incubation is generally sufficient to produce an adequate number of metaphase spreads with chromosome lengths suitable for analysis.</w:t>
      </w:r>
    </w:p>
    <w:p w14:paraId="62AFE768" w14:textId="77777777" w:rsidR="00DB15FB" w:rsidRPr="00DB15FB" w:rsidRDefault="00DB15FB" w:rsidP="00DB15FB">
      <w:pPr>
        <w:widowControl/>
        <w:rPr>
          <w:rFonts w:eastAsia="Times New Roman"/>
          <w:lang w:val="en-IN" w:eastAsia="en-IN"/>
        </w:rPr>
      </w:pPr>
    </w:p>
    <w:p w14:paraId="4164F036" w14:textId="77777777" w:rsidR="00006FAE" w:rsidRDefault="00006FAE" w:rsidP="00DB15FB">
      <w:pPr>
        <w:widowControl/>
        <w:rPr>
          <w:rFonts w:eastAsia="Times New Roman"/>
          <w:lang w:val="en-IN" w:eastAsia="en-IN"/>
        </w:rPr>
      </w:pPr>
      <w:r w:rsidRPr="00DB15FB">
        <w:rPr>
          <w:rFonts w:eastAsia="Times New Roman"/>
          <w:lang w:val="en-IN" w:eastAsia="en-IN"/>
        </w:rPr>
        <w:t xml:space="preserve">1.3. Calculate the amount of </w:t>
      </w:r>
      <w:proofErr w:type="spellStart"/>
      <w:r w:rsidRPr="00DB15FB">
        <w:rPr>
          <w:rFonts w:eastAsia="Times New Roman"/>
          <w:lang w:val="en-IN" w:eastAsia="en-IN"/>
        </w:rPr>
        <w:t>Colcemid</w:t>
      </w:r>
      <w:proofErr w:type="spellEnd"/>
      <w:r w:rsidRPr="00DB15FB">
        <w:rPr>
          <w:rFonts w:eastAsia="Times New Roman"/>
          <w:lang w:val="en-IN" w:eastAsia="en-IN"/>
        </w:rPr>
        <w:t xml:space="preserve"> required to achieve a final concentration of 10 </w:t>
      </w:r>
      <w:proofErr w:type="spellStart"/>
      <w:r w:rsidRPr="00DB15FB">
        <w:rPr>
          <w:rFonts w:eastAsia="Times New Roman"/>
          <w:lang w:val="en-IN" w:eastAsia="en-IN"/>
        </w:rPr>
        <w:t>μL</w:t>
      </w:r>
      <w:proofErr w:type="spellEnd"/>
      <w:r w:rsidRPr="00DB15FB">
        <w:rPr>
          <w:rFonts w:eastAsia="Times New Roman"/>
          <w:lang w:val="en-IN" w:eastAsia="en-IN"/>
        </w:rPr>
        <w:t>/mL in the appropriate cell culture medium.</w:t>
      </w:r>
    </w:p>
    <w:p w14:paraId="32B69F4E" w14:textId="77777777" w:rsidR="004E3EB1" w:rsidRPr="00DB15FB" w:rsidRDefault="004E3EB1" w:rsidP="00DB15FB">
      <w:pPr>
        <w:widowControl/>
        <w:rPr>
          <w:rFonts w:eastAsia="Times New Roman"/>
          <w:lang w:val="en-IN" w:eastAsia="en-IN"/>
        </w:rPr>
      </w:pPr>
    </w:p>
    <w:p w14:paraId="58602C05" w14:textId="77777777" w:rsidR="00006FAE" w:rsidRDefault="00006FAE" w:rsidP="00DB15FB">
      <w:pPr>
        <w:widowControl/>
        <w:rPr>
          <w:rFonts w:eastAsia="Times New Roman"/>
          <w:lang w:val="en-IN" w:eastAsia="en-IN"/>
        </w:rPr>
      </w:pPr>
      <w:r w:rsidRPr="00DB15FB">
        <w:rPr>
          <w:rFonts w:eastAsia="Times New Roman"/>
          <w:lang w:val="en-IN" w:eastAsia="en-IN"/>
        </w:rPr>
        <w:t xml:space="preserve">NOTE: Maintain cells in logarithmic growth by passaging or seeding them at least 24 h before metaphase arrest. Treat cells with </w:t>
      </w:r>
      <w:proofErr w:type="spellStart"/>
      <w:r w:rsidRPr="00DB15FB">
        <w:rPr>
          <w:rFonts w:eastAsia="Times New Roman"/>
          <w:lang w:val="en-IN" w:eastAsia="en-IN"/>
        </w:rPr>
        <w:t>Colcemid</w:t>
      </w:r>
      <w:proofErr w:type="spellEnd"/>
      <w:r w:rsidRPr="00DB15FB">
        <w:rPr>
          <w:rFonts w:eastAsia="Times New Roman"/>
          <w:lang w:val="en-IN" w:eastAsia="en-IN"/>
        </w:rPr>
        <w:t xml:space="preserve"> when cultures reach 70%–90% confluence.</w:t>
      </w:r>
    </w:p>
    <w:p w14:paraId="6519BFA0" w14:textId="77777777" w:rsidR="004E3EB1" w:rsidRPr="00DB15FB" w:rsidRDefault="004E3EB1" w:rsidP="00DB15FB">
      <w:pPr>
        <w:widowControl/>
        <w:rPr>
          <w:rFonts w:eastAsia="Times New Roman"/>
          <w:lang w:val="en-IN" w:eastAsia="en-IN"/>
        </w:rPr>
      </w:pPr>
    </w:p>
    <w:p w14:paraId="7C85A4F0" w14:textId="77777777" w:rsidR="00006FAE" w:rsidRDefault="00006FAE" w:rsidP="00DB15FB">
      <w:pPr>
        <w:widowControl/>
        <w:rPr>
          <w:rFonts w:eastAsia="Times New Roman"/>
          <w:lang w:val="en-IN" w:eastAsia="en-IN"/>
        </w:rPr>
      </w:pPr>
      <w:r w:rsidRPr="004A35BC">
        <w:rPr>
          <w:rFonts w:eastAsia="Times New Roman"/>
          <w:highlight w:val="yellow"/>
          <w:lang w:val="en-IN" w:eastAsia="en-IN"/>
        </w:rPr>
        <w:t xml:space="preserve">1.4. Dilute the </w:t>
      </w:r>
      <w:proofErr w:type="spellStart"/>
      <w:r w:rsidRPr="004A35BC">
        <w:rPr>
          <w:rFonts w:eastAsia="Times New Roman"/>
          <w:highlight w:val="yellow"/>
          <w:lang w:val="en-IN" w:eastAsia="en-IN"/>
        </w:rPr>
        <w:t>Colcemid</w:t>
      </w:r>
      <w:proofErr w:type="spellEnd"/>
      <w:r w:rsidRPr="004A35BC">
        <w:rPr>
          <w:rFonts w:eastAsia="Times New Roman"/>
          <w:highlight w:val="yellow"/>
          <w:lang w:val="en-IN" w:eastAsia="en-IN"/>
        </w:rPr>
        <w:t xml:space="preserve"> stock solution 1:1 with sterile ultrapure water. Add the appropriate volume to the culture and incubate for 45 min to overnight in a cell culture incubator.</w:t>
      </w:r>
    </w:p>
    <w:p w14:paraId="7EE904FB" w14:textId="77777777" w:rsidR="004E3EB1" w:rsidRPr="004E3EB1" w:rsidRDefault="004E3EB1" w:rsidP="00DB15FB">
      <w:pPr>
        <w:widowControl/>
        <w:rPr>
          <w:rFonts w:eastAsia="Times New Roman"/>
          <w:b/>
          <w:bCs/>
          <w:lang w:val="en-IN" w:eastAsia="en-IN"/>
        </w:rPr>
      </w:pPr>
    </w:p>
    <w:p w14:paraId="2E158552" w14:textId="3D198012" w:rsidR="00006FAE" w:rsidRDefault="00006FAE" w:rsidP="00DB15FB">
      <w:pPr>
        <w:widowControl/>
        <w:outlineLvl w:val="0"/>
        <w:rPr>
          <w:rFonts w:eastAsia="Times New Roman"/>
          <w:b/>
          <w:bCs/>
          <w:kern w:val="36"/>
          <w:lang w:val="en-IN" w:eastAsia="en-IN"/>
        </w:rPr>
      </w:pPr>
      <w:r w:rsidRPr="004E3EB1">
        <w:rPr>
          <w:rFonts w:eastAsia="Times New Roman"/>
          <w:b/>
          <w:bCs/>
          <w:kern w:val="36"/>
          <w:lang w:val="en-IN" w:eastAsia="en-IN"/>
        </w:rPr>
        <w:t xml:space="preserve">2. Harvest </w:t>
      </w:r>
      <w:r w:rsidR="004E3EB1" w:rsidRPr="004E3EB1">
        <w:rPr>
          <w:rFonts w:eastAsia="Times New Roman"/>
          <w:b/>
          <w:bCs/>
          <w:kern w:val="36"/>
          <w:lang w:val="en-IN" w:eastAsia="en-IN"/>
        </w:rPr>
        <w:t>c</w:t>
      </w:r>
      <w:r w:rsidRPr="004E3EB1">
        <w:rPr>
          <w:rFonts w:eastAsia="Times New Roman"/>
          <w:b/>
          <w:bCs/>
          <w:kern w:val="36"/>
          <w:lang w:val="en-IN" w:eastAsia="en-IN"/>
        </w:rPr>
        <w:t>ells</w:t>
      </w:r>
    </w:p>
    <w:p w14:paraId="57079239" w14:textId="77777777" w:rsidR="004E3EB1" w:rsidRPr="004E3EB1" w:rsidRDefault="004E3EB1" w:rsidP="00DB15FB">
      <w:pPr>
        <w:widowControl/>
        <w:outlineLvl w:val="0"/>
        <w:rPr>
          <w:rFonts w:eastAsia="Times New Roman"/>
          <w:b/>
          <w:bCs/>
          <w:kern w:val="36"/>
          <w:lang w:val="en-IN" w:eastAsia="en-IN"/>
        </w:rPr>
      </w:pPr>
    </w:p>
    <w:p w14:paraId="0AA877A1" w14:textId="36C81CF3" w:rsidR="00006FAE" w:rsidRDefault="00006FAE" w:rsidP="00DB15FB">
      <w:pPr>
        <w:widowControl/>
        <w:rPr>
          <w:rFonts w:eastAsia="Times New Roman"/>
          <w:lang w:val="en-IN" w:eastAsia="en-IN"/>
        </w:rPr>
      </w:pPr>
      <w:r w:rsidRPr="004A35BC">
        <w:rPr>
          <w:rFonts w:eastAsia="Times New Roman"/>
          <w:highlight w:val="yellow"/>
          <w:lang w:val="en-IN" w:eastAsia="en-IN"/>
        </w:rPr>
        <w:t xml:space="preserve">2.1. Prepare fresh Carnoy's fixative (3:1 </w:t>
      </w:r>
      <w:r w:rsidR="004269D4" w:rsidRPr="004A35BC">
        <w:rPr>
          <w:rFonts w:eastAsia="Times New Roman"/>
          <w:highlight w:val="yellow"/>
          <w:lang w:val="en-IN" w:eastAsia="en-IN"/>
        </w:rPr>
        <w:t>methanol: acetic</w:t>
      </w:r>
      <w:r w:rsidRPr="004A35BC">
        <w:rPr>
          <w:rFonts w:eastAsia="Times New Roman"/>
          <w:highlight w:val="yellow"/>
          <w:lang w:val="en-IN" w:eastAsia="en-IN"/>
        </w:rPr>
        <w:t xml:space="preserve"> acid). Keep the fixative on ice throughout the fixation procedure.</w:t>
      </w:r>
    </w:p>
    <w:p w14:paraId="6A9E6D3B" w14:textId="77777777" w:rsidR="00F669C5" w:rsidRPr="00DB15FB" w:rsidRDefault="00F669C5" w:rsidP="00DB15FB">
      <w:pPr>
        <w:widowControl/>
        <w:rPr>
          <w:rFonts w:eastAsia="Times New Roman"/>
          <w:lang w:val="en-IN" w:eastAsia="en-IN"/>
        </w:rPr>
      </w:pPr>
    </w:p>
    <w:p w14:paraId="7C0210FC" w14:textId="77777777" w:rsidR="00006FAE" w:rsidRDefault="00006FAE" w:rsidP="00DB15FB">
      <w:pPr>
        <w:widowControl/>
        <w:rPr>
          <w:rFonts w:eastAsia="Times New Roman"/>
          <w:lang w:val="en-IN" w:eastAsia="en-IN"/>
        </w:rPr>
      </w:pPr>
      <w:r w:rsidRPr="004A35BC">
        <w:rPr>
          <w:rFonts w:eastAsia="Times New Roman"/>
          <w:highlight w:val="yellow"/>
          <w:lang w:val="en-IN" w:eastAsia="en-IN"/>
        </w:rPr>
        <w:t>2.2. Prepare a fresh 0.075 M KCl solution and warm it in a 37 °C water bath.</w:t>
      </w:r>
    </w:p>
    <w:p w14:paraId="1D958C28" w14:textId="77777777" w:rsidR="00F669C5" w:rsidRPr="00DB15FB" w:rsidRDefault="00F669C5" w:rsidP="00DB15FB">
      <w:pPr>
        <w:widowControl/>
        <w:rPr>
          <w:rFonts w:eastAsia="Times New Roman"/>
          <w:lang w:val="en-IN" w:eastAsia="en-IN"/>
        </w:rPr>
      </w:pPr>
    </w:p>
    <w:p w14:paraId="765287E8" w14:textId="77777777" w:rsidR="00006FAE" w:rsidRDefault="00006FAE" w:rsidP="00DB15FB">
      <w:pPr>
        <w:widowControl/>
        <w:rPr>
          <w:rFonts w:eastAsia="Times New Roman"/>
          <w:lang w:val="en-IN" w:eastAsia="en-IN"/>
        </w:rPr>
      </w:pPr>
      <w:r w:rsidRPr="00DB15FB">
        <w:rPr>
          <w:rFonts w:eastAsia="Times New Roman"/>
          <w:lang w:val="en-IN" w:eastAsia="en-IN"/>
        </w:rPr>
        <w:t>2.3. Collect the cells as a pellet and record the cell count. Use this value to calculate the final resuspension volume.</w:t>
      </w:r>
    </w:p>
    <w:p w14:paraId="192A886A" w14:textId="77777777" w:rsidR="00F669C5" w:rsidRPr="00DB15FB" w:rsidRDefault="00F669C5" w:rsidP="00DB15FB">
      <w:pPr>
        <w:widowControl/>
        <w:rPr>
          <w:rFonts w:eastAsia="Times New Roman"/>
          <w:lang w:val="en-IN" w:eastAsia="en-IN"/>
        </w:rPr>
      </w:pPr>
    </w:p>
    <w:p w14:paraId="5734D2EE" w14:textId="77777777" w:rsidR="00006FAE" w:rsidRDefault="00006FAE" w:rsidP="00DB15FB">
      <w:pPr>
        <w:widowControl/>
        <w:rPr>
          <w:rFonts w:eastAsia="Times New Roman"/>
          <w:lang w:val="en-IN" w:eastAsia="en-IN"/>
        </w:rPr>
      </w:pPr>
      <w:r w:rsidRPr="00DB15FB">
        <w:rPr>
          <w:rFonts w:eastAsia="Times New Roman"/>
          <w:lang w:val="en-IN" w:eastAsia="en-IN"/>
        </w:rPr>
        <w:t xml:space="preserve">NOTE: Detach adherent cells by trypsinization. Transfer suspension cells directly into 15 mL centrifuge tubes. Dispose of </w:t>
      </w:r>
      <w:proofErr w:type="spellStart"/>
      <w:r w:rsidRPr="00DB15FB">
        <w:rPr>
          <w:rFonts w:eastAsia="Times New Roman"/>
          <w:lang w:val="en-IN" w:eastAsia="en-IN"/>
        </w:rPr>
        <w:t>Colcemid</w:t>
      </w:r>
      <w:proofErr w:type="spellEnd"/>
      <w:r w:rsidRPr="00DB15FB">
        <w:rPr>
          <w:rFonts w:eastAsia="Times New Roman"/>
          <w:lang w:val="en-IN" w:eastAsia="en-IN"/>
        </w:rPr>
        <w:t xml:space="preserve"> and </w:t>
      </w:r>
      <w:proofErr w:type="spellStart"/>
      <w:r w:rsidRPr="00DB15FB">
        <w:rPr>
          <w:rFonts w:eastAsia="Times New Roman"/>
          <w:lang w:val="en-IN" w:eastAsia="en-IN"/>
        </w:rPr>
        <w:t>Colcemid</w:t>
      </w:r>
      <w:proofErr w:type="spellEnd"/>
      <w:r w:rsidRPr="00DB15FB">
        <w:rPr>
          <w:rFonts w:eastAsia="Times New Roman"/>
          <w:lang w:val="en-IN" w:eastAsia="en-IN"/>
        </w:rPr>
        <w:t>-containing media according to institutional hazardous waste guidelines.</w:t>
      </w:r>
    </w:p>
    <w:p w14:paraId="34F348E9" w14:textId="77777777" w:rsidR="00F669C5" w:rsidRPr="00DB15FB" w:rsidRDefault="00F669C5" w:rsidP="00DB15FB">
      <w:pPr>
        <w:widowControl/>
        <w:rPr>
          <w:rFonts w:eastAsia="Times New Roman"/>
          <w:lang w:val="en-IN" w:eastAsia="en-IN"/>
        </w:rPr>
      </w:pPr>
    </w:p>
    <w:p w14:paraId="208CD3D9"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2.4. Wash the cells with PBS.</w:t>
      </w:r>
    </w:p>
    <w:p w14:paraId="04D9D6BD" w14:textId="77777777" w:rsidR="00F669C5" w:rsidRPr="004A35BC" w:rsidRDefault="00F669C5" w:rsidP="00DB15FB">
      <w:pPr>
        <w:widowControl/>
        <w:rPr>
          <w:rFonts w:eastAsia="Times New Roman"/>
          <w:highlight w:val="yellow"/>
          <w:lang w:val="en-IN" w:eastAsia="en-IN"/>
        </w:rPr>
      </w:pPr>
    </w:p>
    <w:p w14:paraId="55A7E813"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2.5. Gently resuspend the cells in 10 mL of warm 0.075 M KCl and mix by gentle inversion. This hypotonic treatment swells the cells, allowing them to rupture and disperse chromosomes during slide preparation.</w:t>
      </w:r>
    </w:p>
    <w:p w14:paraId="7E199ACA" w14:textId="77777777" w:rsidR="00F669C5" w:rsidRPr="004A35BC" w:rsidRDefault="00F669C5" w:rsidP="00DB15FB">
      <w:pPr>
        <w:widowControl/>
        <w:rPr>
          <w:rFonts w:eastAsia="Times New Roman"/>
          <w:highlight w:val="yellow"/>
          <w:lang w:val="en-IN" w:eastAsia="en-IN"/>
        </w:rPr>
      </w:pPr>
    </w:p>
    <w:p w14:paraId="257EFC3E"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2.6. Incubate the cells in a 37 °C water bath for 30 min.</w:t>
      </w:r>
    </w:p>
    <w:p w14:paraId="361CCAF0" w14:textId="77777777" w:rsidR="00F669C5" w:rsidRPr="004A35BC" w:rsidRDefault="00F669C5" w:rsidP="00DB15FB">
      <w:pPr>
        <w:widowControl/>
        <w:rPr>
          <w:rFonts w:eastAsia="Times New Roman"/>
          <w:highlight w:val="yellow"/>
          <w:lang w:val="en-IN" w:eastAsia="en-IN"/>
        </w:rPr>
      </w:pPr>
    </w:p>
    <w:p w14:paraId="139F9A1D"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2.7. Slowly add 2 mL of ice-cold Carnoy's fixative while gently mixing the suspension by inversion.</w:t>
      </w:r>
    </w:p>
    <w:p w14:paraId="09C08179" w14:textId="77777777" w:rsidR="00F669C5" w:rsidRPr="004A35BC" w:rsidRDefault="00F669C5" w:rsidP="00DB15FB">
      <w:pPr>
        <w:widowControl/>
        <w:rPr>
          <w:rFonts w:eastAsia="Times New Roman"/>
          <w:highlight w:val="yellow"/>
          <w:lang w:val="en-IN" w:eastAsia="en-IN"/>
        </w:rPr>
      </w:pPr>
    </w:p>
    <w:p w14:paraId="6CE7F7DD"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2.8. Allow the cells to stand for 5 min.</w:t>
      </w:r>
    </w:p>
    <w:p w14:paraId="497DE274" w14:textId="77777777" w:rsidR="00F669C5" w:rsidRPr="004A35BC" w:rsidRDefault="00F669C5" w:rsidP="00DB15FB">
      <w:pPr>
        <w:widowControl/>
        <w:rPr>
          <w:rFonts w:eastAsia="Times New Roman"/>
          <w:highlight w:val="yellow"/>
          <w:lang w:val="en-IN" w:eastAsia="en-IN"/>
        </w:rPr>
      </w:pPr>
    </w:p>
    <w:p w14:paraId="1A1CD55E"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 xml:space="preserve">2.9. Centrifuge at 500 × </w:t>
      </w:r>
      <w:r w:rsidRPr="004A35BC">
        <w:rPr>
          <w:rFonts w:eastAsia="Times New Roman"/>
          <w:i/>
          <w:iCs/>
          <w:highlight w:val="yellow"/>
          <w:lang w:val="en-IN" w:eastAsia="en-IN"/>
        </w:rPr>
        <w:t>g</w:t>
      </w:r>
      <w:r w:rsidRPr="004A35BC">
        <w:rPr>
          <w:rFonts w:eastAsia="Times New Roman"/>
          <w:highlight w:val="yellow"/>
          <w:lang w:val="en-IN" w:eastAsia="en-IN"/>
        </w:rPr>
        <w:t xml:space="preserve"> for 5 min at room temperature (RT).</w:t>
      </w:r>
    </w:p>
    <w:p w14:paraId="0711BF8D" w14:textId="77777777" w:rsidR="00F669C5" w:rsidRPr="004A35BC" w:rsidRDefault="00F669C5" w:rsidP="00DB15FB">
      <w:pPr>
        <w:widowControl/>
        <w:rPr>
          <w:rFonts w:eastAsia="Times New Roman"/>
          <w:highlight w:val="yellow"/>
          <w:lang w:val="en-IN" w:eastAsia="en-IN"/>
        </w:rPr>
      </w:pPr>
    </w:p>
    <w:p w14:paraId="5F324931"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2.10. Carefully aspirate the supernatant or remove it with a pipette.</w:t>
      </w:r>
    </w:p>
    <w:p w14:paraId="5D40855E" w14:textId="77777777" w:rsidR="00F669C5" w:rsidRPr="004A35BC" w:rsidRDefault="00F669C5" w:rsidP="00DB15FB">
      <w:pPr>
        <w:widowControl/>
        <w:rPr>
          <w:rFonts w:eastAsia="Times New Roman"/>
          <w:highlight w:val="yellow"/>
          <w:lang w:val="en-IN" w:eastAsia="en-IN"/>
        </w:rPr>
      </w:pPr>
    </w:p>
    <w:p w14:paraId="272ED909" w14:textId="77777777" w:rsidR="00006FAE" w:rsidRDefault="00006FAE" w:rsidP="00DB15FB">
      <w:pPr>
        <w:widowControl/>
        <w:rPr>
          <w:rFonts w:eastAsia="Times New Roman"/>
          <w:lang w:val="en-IN" w:eastAsia="en-IN"/>
        </w:rPr>
      </w:pPr>
      <w:r w:rsidRPr="004A35BC">
        <w:rPr>
          <w:rFonts w:eastAsia="Times New Roman"/>
          <w:highlight w:val="yellow"/>
          <w:lang w:val="en-IN" w:eastAsia="en-IN"/>
        </w:rPr>
        <w:t>2.11. Slowly add 10 mL of ice-cold Carnoy's fixative in 0.5 mL increments while gently mixing after each addition.</w:t>
      </w:r>
    </w:p>
    <w:p w14:paraId="0F68AA5B" w14:textId="77777777" w:rsidR="00F669C5" w:rsidRPr="00DB15FB" w:rsidRDefault="00F669C5" w:rsidP="00DB15FB">
      <w:pPr>
        <w:widowControl/>
        <w:rPr>
          <w:rFonts w:eastAsia="Times New Roman"/>
          <w:lang w:val="en-IN" w:eastAsia="en-IN"/>
        </w:rPr>
      </w:pPr>
    </w:p>
    <w:p w14:paraId="4B48E7E4" w14:textId="77777777" w:rsidR="00006FAE" w:rsidRPr="004A35BC" w:rsidRDefault="00006FAE" w:rsidP="00DB15FB">
      <w:pPr>
        <w:widowControl/>
        <w:rPr>
          <w:rFonts w:eastAsia="Times New Roman"/>
          <w:highlight w:val="yellow"/>
          <w:lang w:val="en-IN" w:eastAsia="en-IN"/>
        </w:rPr>
      </w:pPr>
      <w:r w:rsidRPr="004A35BC">
        <w:rPr>
          <w:rFonts w:eastAsia="Times New Roman"/>
          <w:highlight w:val="yellow"/>
          <w:lang w:val="en-IN" w:eastAsia="en-IN"/>
        </w:rPr>
        <w:t>2.12. Allow the cells to stand for 10 min at RT.</w:t>
      </w:r>
    </w:p>
    <w:p w14:paraId="1C062635" w14:textId="77777777" w:rsidR="00F669C5" w:rsidRPr="004A35BC" w:rsidRDefault="00F669C5" w:rsidP="00DB15FB">
      <w:pPr>
        <w:widowControl/>
        <w:rPr>
          <w:rFonts w:eastAsia="Times New Roman"/>
          <w:highlight w:val="yellow"/>
          <w:lang w:val="en-IN" w:eastAsia="en-IN"/>
        </w:rPr>
      </w:pPr>
    </w:p>
    <w:p w14:paraId="46F4E374" w14:textId="77777777" w:rsidR="00006FAE" w:rsidRDefault="00006FAE" w:rsidP="00DB15FB">
      <w:pPr>
        <w:widowControl/>
        <w:rPr>
          <w:rFonts w:eastAsia="Times New Roman"/>
          <w:lang w:val="en-IN" w:eastAsia="en-IN"/>
        </w:rPr>
      </w:pPr>
      <w:r w:rsidRPr="004A35BC">
        <w:rPr>
          <w:rFonts w:eastAsia="Times New Roman"/>
          <w:highlight w:val="yellow"/>
          <w:lang w:val="en-IN" w:eastAsia="en-IN"/>
        </w:rPr>
        <w:t xml:space="preserve">2.13. Centrifuge at 650 × </w:t>
      </w:r>
      <w:r w:rsidRPr="004A35BC">
        <w:rPr>
          <w:rFonts w:eastAsia="Times New Roman"/>
          <w:i/>
          <w:iCs/>
          <w:highlight w:val="yellow"/>
          <w:lang w:val="en-IN" w:eastAsia="en-IN"/>
        </w:rPr>
        <w:t>g</w:t>
      </w:r>
      <w:r w:rsidRPr="004A35BC">
        <w:rPr>
          <w:rFonts w:eastAsia="Times New Roman"/>
          <w:highlight w:val="yellow"/>
          <w:lang w:val="en-IN" w:eastAsia="en-IN"/>
        </w:rPr>
        <w:t xml:space="preserve"> for 5 min at RT.</w:t>
      </w:r>
    </w:p>
    <w:p w14:paraId="4011B539" w14:textId="77777777" w:rsidR="00F669C5" w:rsidRPr="00DB15FB" w:rsidRDefault="00F669C5" w:rsidP="00DB15FB">
      <w:pPr>
        <w:widowControl/>
        <w:rPr>
          <w:rFonts w:eastAsia="Times New Roman"/>
          <w:lang w:val="en-IN" w:eastAsia="en-IN"/>
        </w:rPr>
      </w:pPr>
    </w:p>
    <w:p w14:paraId="3BC6B9E0" w14:textId="535B15CF" w:rsidR="00006FAE" w:rsidRDefault="00006FAE" w:rsidP="00DB15FB">
      <w:pPr>
        <w:widowControl/>
        <w:rPr>
          <w:rFonts w:eastAsia="Times New Roman"/>
          <w:lang w:val="en-IN" w:eastAsia="en-IN"/>
        </w:rPr>
      </w:pPr>
      <w:r w:rsidRPr="00DB15FB">
        <w:rPr>
          <w:rFonts w:eastAsia="Times New Roman"/>
          <w:lang w:val="en-IN" w:eastAsia="en-IN"/>
        </w:rPr>
        <w:t>2.14. Repeat steps 2.10–2.13 twice</w:t>
      </w:r>
    </w:p>
    <w:p w14:paraId="72D12D4F" w14:textId="77777777" w:rsidR="00F669C5" w:rsidRPr="00DB15FB" w:rsidRDefault="00F669C5" w:rsidP="00DB15FB">
      <w:pPr>
        <w:widowControl/>
        <w:rPr>
          <w:rFonts w:eastAsia="Times New Roman"/>
          <w:lang w:val="en-IN" w:eastAsia="en-IN"/>
        </w:rPr>
      </w:pPr>
    </w:p>
    <w:p w14:paraId="51D58CF5" w14:textId="20004D43" w:rsidR="00006FAE" w:rsidRDefault="00006FAE" w:rsidP="00DB15FB">
      <w:pPr>
        <w:widowControl/>
        <w:rPr>
          <w:rFonts w:eastAsia="Times New Roman"/>
          <w:lang w:val="en-IN" w:eastAsia="en-IN"/>
        </w:rPr>
      </w:pPr>
      <w:r w:rsidRPr="004A35BC">
        <w:rPr>
          <w:rFonts w:eastAsia="Times New Roman"/>
          <w:highlight w:val="yellow"/>
          <w:lang w:val="en-IN" w:eastAsia="en-IN"/>
        </w:rPr>
        <w:t>2.1</w:t>
      </w:r>
      <w:r w:rsidR="00FB3FDF" w:rsidRPr="004A35BC">
        <w:rPr>
          <w:rFonts w:eastAsia="Times New Roman"/>
          <w:highlight w:val="yellow"/>
          <w:lang w:val="en-IN" w:eastAsia="en-IN"/>
        </w:rPr>
        <w:t>5</w:t>
      </w:r>
      <w:r w:rsidRPr="004A35BC">
        <w:rPr>
          <w:rFonts w:eastAsia="Times New Roman"/>
          <w:highlight w:val="yellow"/>
          <w:lang w:val="en-IN" w:eastAsia="en-IN"/>
        </w:rPr>
        <w:t>. During the final wash, leave the cells suspended in Carnoy's fixative.</w:t>
      </w:r>
    </w:p>
    <w:p w14:paraId="1C0473DB" w14:textId="77777777" w:rsidR="00F669C5" w:rsidRPr="00DB15FB" w:rsidRDefault="00F669C5" w:rsidP="00DB15FB">
      <w:pPr>
        <w:widowControl/>
        <w:rPr>
          <w:rFonts w:eastAsia="Times New Roman"/>
          <w:lang w:val="en-IN" w:eastAsia="en-IN"/>
        </w:rPr>
      </w:pPr>
    </w:p>
    <w:p w14:paraId="088D70E5" w14:textId="0E09ADD6" w:rsidR="00006FAE" w:rsidRDefault="00006FAE" w:rsidP="00DB15FB">
      <w:pPr>
        <w:widowControl/>
        <w:rPr>
          <w:rFonts w:eastAsia="Times New Roman"/>
          <w:lang w:val="en-IN" w:eastAsia="en-IN"/>
        </w:rPr>
      </w:pPr>
      <w:r w:rsidRPr="00DB15FB">
        <w:rPr>
          <w:rFonts w:eastAsia="Times New Roman"/>
          <w:lang w:val="en-IN" w:eastAsia="en-IN"/>
        </w:rPr>
        <w:t>PAUSE: Store the fixed cell suspension at −20 °C or proceed immediately to Section 3.</w:t>
      </w:r>
    </w:p>
    <w:p w14:paraId="5F9EC382" w14:textId="77777777" w:rsidR="00F669C5" w:rsidRPr="00DB15FB" w:rsidRDefault="00F669C5" w:rsidP="00DB15FB">
      <w:pPr>
        <w:widowControl/>
        <w:rPr>
          <w:rFonts w:eastAsia="Times New Roman"/>
          <w:lang w:val="en-IN" w:eastAsia="en-IN"/>
        </w:rPr>
      </w:pPr>
    </w:p>
    <w:p w14:paraId="3530A528" w14:textId="77777777" w:rsidR="00006FAE" w:rsidRPr="00DB15FB" w:rsidRDefault="00006FAE" w:rsidP="00DB15FB">
      <w:pPr>
        <w:widowControl/>
        <w:rPr>
          <w:rFonts w:eastAsia="Times New Roman"/>
          <w:lang w:val="en-IN" w:eastAsia="en-IN"/>
        </w:rPr>
      </w:pPr>
      <w:r w:rsidRPr="00DB15FB">
        <w:rPr>
          <w:rFonts w:eastAsia="Times New Roman"/>
          <w:lang w:val="en-IN" w:eastAsia="en-IN"/>
        </w:rPr>
        <w:t>NOTE: For samples containing fewer than approximately 3 × 10⁶ cells, perform fixation in 1.5 mL microcentrifuge tubes instead of larger conical tubes. Reduce the volumes of 0.075 M KCl and Carnoy's fixative 10-fold while maintaining all incubation times, temperatures, and centrifugation conditions.</w:t>
      </w:r>
    </w:p>
    <w:p w14:paraId="13E29A93" w14:textId="77777777" w:rsidR="008D00AB" w:rsidRDefault="008D00AB" w:rsidP="008D00AB">
      <w:pPr>
        <w:pBdr>
          <w:top w:val="nil"/>
          <w:left w:val="nil"/>
          <w:bottom w:val="nil"/>
          <w:right w:val="nil"/>
          <w:between w:val="nil"/>
        </w:pBdr>
        <w:rPr>
          <w:b/>
          <w:color w:val="000000" w:themeColor="text1"/>
        </w:rPr>
      </w:pPr>
    </w:p>
    <w:p w14:paraId="52AA1952" w14:textId="71152C0C" w:rsidR="0076492F" w:rsidRPr="006B3DC4" w:rsidRDefault="0076492F" w:rsidP="006B3DC4">
      <w:pPr>
        <w:widowControl/>
        <w:outlineLvl w:val="1"/>
        <w:rPr>
          <w:rFonts w:eastAsia="Times New Roman"/>
          <w:b/>
          <w:bCs/>
          <w:lang w:val="en-IN" w:eastAsia="en-IN"/>
        </w:rPr>
      </w:pPr>
      <w:r w:rsidRPr="006B3DC4">
        <w:rPr>
          <w:rFonts w:eastAsia="Times New Roman"/>
          <w:b/>
          <w:bCs/>
          <w:lang w:val="en-IN" w:eastAsia="en-IN"/>
        </w:rPr>
        <w:t xml:space="preserve">3. Tabletop </w:t>
      </w:r>
      <w:r w:rsidR="00603BE2">
        <w:rPr>
          <w:rFonts w:eastAsia="Times New Roman"/>
          <w:b/>
          <w:bCs/>
          <w:lang w:val="en-IN" w:eastAsia="en-IN"/>
        </w:rPr>
        <w:t>d</w:t>
      </w:r>
      <w:r w:rsidRPr="006B3DC4">
        <w:rPr>
          <w:rFonts w:eastAsia="Times New Roman"/>
          <w:b/>
          <w:bCs/>
          <w:lang w:val="en-IN" w:eastAsia="en-IN"/>
        </w:rPr>
        <w:t>ropping</w:t>
      </w:r>
    </w:p>
    <w:p w14:paraId="4626D3A5" w14:textId="77777777" w:rsidR="006B3DC4" w:rsidRPr="006B3DC4" w:rsidRDefault="006B3DC4" w:rsidP="006B3DC4">
      <w:pPr>
        <w:widowControl/>
        <w:outlineLvl w:val="1"/>
        <w:rPr>
          <w:rFonts w:eastAsia="Times New Roman"/>
          <w:lang w:val="en-IN" w:eastAsia="en-IN"/>
        </w:rPr>
      </w:pPr>
    </w:p>
    <w:p w14:paraId="629A33FB" w14:textId="77777777" w:rsidR="0076492F" w:rsidRDefault="0076492F" w:rsidP="006B3DC4">
      <w:pPr>
        <w:widowControl/>
        <w:rPr>
          <w:rFonts w:eastAsia="Times New Roman"/>
          <w:lang w:val="en-IN" w:eastAsia="en-IN"/>
        </w:rPr>
      </w:pPr>
      <w:r w:rsidRPr="006B3DC4">
        <w:rPr>
          <w:rFonts w:eastAsia="Times New Roman"/>
          <w:lang w:val="en-IN" w:eastAsia="en-IN"/>
        </w:rPr>
        <w:t>3.1. Retrieve the sample from −20 °C and thaw it to RT.</w:t>
      </w:r>
    </w:p>
    <w:p w14:paraId="038F0D50" w14:textId="77777777" w:rsidR="006B3DC4" w:rsidRPr="006B3DC4" w:rsidRDefault="006B3DC4" w:rsidP="006B3DC4">
      <w:pPr>
        <w:widowControl/>
        <w:rPr>
          <w:rFonts w:eastAsia="Times New Roman"/>
          <w:lang w:val="en-IN" w:eastAsia="en-IN"/>
        </w:rPr>
      </w:pPr>
    </w:p>
    <w:p w14:paraId="50C9122D" w14:textId="77777777" w:rsidR="0076492F" w:rsidRDefault="0076492F" w:rsidP="006B3DC4">
      <w:pPr>
        <w:widowControl/>
        <w:rPr>
          <w:rFonts w:eastAsia="Times New Roman"/>
          <w:lang w:val="en-IN" w:eastAsia="en-IN"/>
        </w:rPr>
      </w:pPr>
      <w:r w:rsidRPr="006B3DC4">
        <w:rPr>
          <w:rFonts w:eastAsia="Times New Roman"/>
          <w:lang w:val="en-IN" w:eastAsia="en-IN"/>
        </w:rPr>
        <w:t xml:space="preserve">3.2. Centrifuge at 800 × </w:t>
      </w:r>
      <w:r w:rsidRPr="006B3DC4">
        <w:rPr>
          <w:rFonts w:eastAsia="Times New Roman"/>
          <w:i/>
          <w:iCs/>
          <w:lang w:val="en-IN" w:eastAsia="en-IN"/>
        </w:rPr>
        <w:t>g</w:t>
      </w:r>
      <w:r w:rsidRPr="006B3DC4">
        <w:rPr>
          <w:rFonts w:eastAsia="Times New Roman"/>
          <w:lang w:val="en-IN" w:eastAsia="en-IN"/>
        </w:rPr>
        <w:t xml:space="preserve"> for 7 min at RT.</w:t>
      </w:r>
    </w:p>
    <w:p w14:paraId="3A80A690" w14:textId="77777777" w:rsidR="006B3DC4" w:rsidRPr="006B3DC4" w:rsidRDefault="006B3DC4" w:rsidP="006B3DC4">
      <w:pPr>
        <w:widowControl/>
        <w:rPr>
          <w:rFonts w:eastAsia="Times New Roman"/>
          <w:lang w:val="en-IN" w:eastAsia="en-IN"/>
        </w:rPr>
      </w:pPr>
    </w:p>
    <w:p w14:paraId="4CCB3B10" w14:textId="77777777" w:rsidR="0076492F" w:rsidRDefault="0076492F" w:rsidP="006B3DC4">
      <w:pPr>
        <w:widowControl/>
        <w:rPr>
          <w:rFonts w:eastAsia="Times New Roman"/>
          <w:lang w:val="en-IN" w:eastAsia="en-IN"/>
        </w:rPr>
      </w:pPr>
      <w:r w:rsidRPr="006B3DC4">
        <w:rPr>
          <w:rFonts w:eastAsia="Times New Roman"/>
          <w:lang w:val="en-IN" w:eastAsia="en-IN"/>
        </w:rPr>
        <w:t>3.3. Label the glass slides and place them on ice.</w:t>
      </w:r>
    </w:p>
    <w:p w14:paraId="634985AD" w14:textId="77777777" w:rsidR="006B3DC4" w:rsidRPr="006B3DC4" w:rsidRDefault="006B3DC4" w:rsidP="006B3DC4">
      <w:pPr>
        <w:widowControl/>
        <w:rPr>
          <w:rFonts w:eastAsia="Times New Roman"/>
          <w:lang w:val="en-IN" w:eastAsia="en-IN"/>
        </w:rPr>
      </w:pPr>
    </w:p>
    <w:p w14:paraId="2BA5B22D" w14:textId="33881932" w:rsidR="0076492F" w:rsidRDefault="0076492F" w:rsidP="006B3DC4">
      <w:pPr>
        <w:widowControl/>
        <w:rPr>
          <w:rFonts w:eastAsia="Times New Roman"/>
          <w:lang w:val="en-IN" w:eastAsia="en-IN"/>
        </w:rPr>
      </w:pPr>
      <w:r w:rsidRPr="006B3DC4">
        <w:rPr>
          <w:rFonts w:eastAsia="Times New Roman"/>
          <w:lang w:val="en-IN" w:eastAsia="en-IN"/>
        </w:rPr>
        <w:t>3.4. Using the cell count obtained before fixation, calculate the volume of Carnoy's fixative required to resuspend the pellet at a final concentration of approximately 5 × 10⁶ cells/</w:t>
      </w:r>
      <w:proofErr w:type="spellStart"/>
      <w:r w:rsidRPr="006B3DC4">
        <w:rPr>
          <w:rFonts w:eastAsia="Times New Roman"/>
          <w:lang w:val="en-IN" w:eastAsia="en-IN"/>
        </w:rPr>
        <w:t>m</w:t>
      </w:r>
      <w:r w:rsidR="007818B5">
        <w:rPr>
          <w:rFonts w:eastAsia="Times New Roman"/>
          <w:lang w:val="en-IN" w:eastAsia="en-IN"/>
        </w:rPr>
        <w:t>L</w:t>
      </w:r>
      <w:r w:rsidRPr="006B3DC4">
        <w:rPr>
          <w:rFonts w:eastAsia="Times New Roman"/>
          <w:lang w:val="en-IN" w:eastAsia="en-IN"/>
        </w:rPr>
        <w:t>.</w:t>
      </w:r>
      <w:proofErr w:type="spellEnd"/>
      <w:r w:rsidRPr="006B3DC4">
        <w:rPr>
          <w:rFonts w:eastAsia="Times New Roman"/>
          <w:lang w:val="en-IN" w:eastAsia="en-IN"/>
        </w:rPr>
        <w:t xml:space="preserve"> After centrifugation, carefully remove the supernatant with a pipette, leaving the calculated volume of fixative above the pellet.</w:t>
      </w:r>
    </w:p>
    <w:p w14:paraId="539CD483" w14:textId="77777777" w:rsidR="006B3DC4" w:rsidRPr="006B3DC4" w:rsidRDefault="006B3DC4" w:rsidP="006B3DC4">
      <w:pPr>
        <w:widowControl/>
        <w:rPr>
          <w:rFonts w:eastAsia="Times New Roman"/>
          <w:lang w:val="en-IN" w:eastAsia="en-IN"/>
        </w:rPr>
      </w:pPr>
    </w:p>
    <w:p w14:paraId="0EB12844" w14:textId="77777777" w:rsidR="0076492F" w:rsidRPr="004A35BC" w:rsidRDefault="0076492F" w:rsidP="006B3DC4">
      <w:pPr>
        <w:widowControl/>
        <w:rPr>
          <w:rFonts w:eastAsia="Times New Roman"/>
          <w:highlight w:val="yellow"/>
          <w:lang w:val="en-IN" w:eastAsia="en-IN"/>
        </w:rPr>
      </w:pPr>
      <w:r w:rsidRPr="004A35BC">
        <w:rPr>
          <w:rFonts w:eastAsia="Times New Roman"/>
          <w:highlight w:val="yellow"/>
          <w:lang w:val="en-IN" w:eastAsia="en-IN"/>
        </w:rPr>
        <w:t>3.5. Resuspend the fixed cells in Carnoy's fixative using a P1000 pipette.</w:t>
      </w:r>
    </w:p>
    <w:p w14:paraId="49A04F62" w14:textId="77777777" w:rsidR="006B3DC4" w:rsidRPr="004A35BC" w:rsidRDefault="006B3DC4" w:rsidP="006B3DC4">
      <w:pPr>
        <w:widowControl/>
        <w:rPr>
          <w:rFonts w:eastAsia="Times New Roman"/>
          <w:highlight w:val="yellow"/>
          <w:lang w:val="en-IN" w:eastAsia="en-IN"/>
        </w:rPr>
      </w:pPr>
    </w:p>
    <w:p w14:paraId="3D6269DB" w14:textId="77777777" w:rsidR="0076492F" w:rsidRPr="004A35BC" w:rsidRDefault="0076492F" w:rsidP="006B3DC4">
      <w:pPr>
        <w:widowControl/>
        <w:rPr>
          <w:rFonts w:eastAsia="Times New Roman"/>
          <w:highlight w:val="yellow"/>
          <w:lang w:val="en-IN" w:eastAsia="en-IN"/>
        </w:rPr>
      </w:pPr>
      <w:r w:rsidRPr="004A35BC">
        <w:rPr>
          <w:rFonts w:eastAsia="Times New Roman"/>
          <w:highlight w:val="yellow"/>
          <w:lang w:val="en-IN" w:eastAsia="en-IN"/>
        </w:rPr>
        <w:lastRenderedPageBreak/>
        <w:t xml:space="preserve">3.6. Transfer approximately 300 </w:t>
      </w:r>
      <w:proofErr w:type="spellStart"/>
      <w:r w:rsidRPr="004A35BC">
        <w:rPr>
          <w:rFonts w:eastAsia="Times New Roman"/>
          <w:highlight w:val="yellow"/>
          <w:lang w:val="en-IN" w:eastAsia="en-IN"/>
        </w:rPr>
        <w:t>μL</w:t>
      </w:r>
      <w:proofErr w:type="spellEnd"/>
      <w:r w:rsidRPr="004A35BC">
        <w:rPr>
          <w:rFonts w:eastAsia="Times New Roman"/>
          <w:highlight w:val="yellow"/>
          <w:lang w:val="en-IN" w:eastAsia="en-IN"/>
        </w:rPr>
        <w:t xml:space="preserve"> of the fixed-cell suspension into a 1.5 mL microcentrifuge tube.</w:t>
      </w:r>
    </w:p>
    <w:p w14:paraId="6CA25621" w14:textId="77777777" w:rsidR="006B3DC4" w:rsidRPr="004A35BC" w:rsidRDefault="006B3DC4" w:rsidP="006B3DC4">
      <w:pPr>
        <w:widowControl/>
        <w:rPr>
          <w:rFonts w:eastAsia="Times New Roman"/>
          <w:highlight w:val="yellow"/>
          <w:lang w:val="en-IN" w:eastAsia="en-IN"/>
        </w:rPr>
      </w:pPr>
    </w:p>
    <w:p w14:paraId="73C4A061" w14:textId="5F78843A" w:rsidR="0076492F" w:rsidRPr="004A35BC" w:rsidRDefault="0076492F" w:rsidP="006B3DC4">
      <w:pPr>
        <w:widowControl/>
        <w:rPr>
          <w:rFonts w:eastAsia="Times New Roman"/>
          <w:highlight w:val="yellow"/>
          <w:lang w:val="en-IN" w:eastAsia="en-IN"/>
        </w:rPr>
      </w:pPr>
      <w:r w:rsidRPr="004A35BC">
        <w:rPr>
          <w:rFonts w:eastAsia="Times New Roman"/>
          <w:highlight w:val="yellow"/>
          <w:lang w:val="en-IN" w:eastAsia="en-IN"/>
        </w:rPr>
        <w:t xml:space="preserve">3.7. Thoroughly resuspend the sample </w:t>
      </w:r>
      <w:r w:rsidR="007C5DEB" w:rsidRPr="004A35BC">
        <w:rPr>
          <w:rFonts w:eastAsia="Times New Roman"/>
          <w:highlight w:val="yellow"/>
          <w:lang w:val="en-IN" w:eastAsia="en-IN"/>
        </w:rPr>
        <w:t xml:space="preserve">using a P200 pipette </w:t>
      </w:r>
      <w:r w:rsidRPr="004A35BC">
        <w:rPr>
          <w:rFonts w:eastAsia="Times New Roman"/>
          <w:highlight w:val="yellow"/>
          <w:lang w:val="en-IN" w:eastAsia="en-IN"/>
        </w:rPr>
        <w:t>by pipetting up and down several times.</w:t>
      </w:r>
    </w:p>
    <w:p w14:paraId="42B765EB" w14:textId="77777777" w:rsidR="006B3DC4" w:rsidRPr="004A35BC" w:rsidRDefault="006B3DC4" w:rsidP="006B3DC4">
      <w:pPr>
        <w:widowControl/>
        <w:rPr>
          <w:rFonts w:eastAsia="Times New Roman"/>
          <w:highlight w:val="yellow"/>
          <w:lang w:val="en-IN" w:eastAsia="en-IN"/>
        </w:rPr>
      </w:pPr>
    </w:p>
    <w:p w14:paraId="59499236" w14:textId="77777777" w:rsidR="0076492F" w:rsidRPr="004A35BC" w:rsidRDefault="0076492F" w:rsidP="006B3DC4">
      <w:pPr>
        <w:widowControl/>
        <w:rPr>
          <w:rFonts w:eastAsia="Times New Roman"/>
          <w:highlight w:val="yellow"/>
          <w:lang w:val="en-IN" w:eastAsia="en-IN"/>
        </w:rPr>
      </w:pPr>
      <w:r w:rsidRPr="004A35BC">
        <w:rPr>
          <w:rFonts w:eastAsia="Times New Roman"/>
          <w:highlight w:val="yellow"/>
          <w:lang w:val="en-IN" w:eastAsia="en-IN"/>
        </w:rPr>
        <w:t xml:space="preserve">3.8. Aspirate 60 </w:t>
      </w:r>
      <w:proofErr w:type="spellStart"/>
      <w:r w:rsidRPr="004A35BC">
        <w:rPr>
          <w:rFonts w:eastAsia="Times New Roman"/>
          <w:highlight w:val="yellow"/>
          <w:lang w:val="en-IN" w:eastAsia="en-IN"/>
        </w:rPr>
        <w:t>μL</w:t>
      </w:r>
      <w:proofErr w:type="spellEnd"/>
      <w:r w:rsidRPr="004A35BC">
        <w:rPr>
          <w:rFonts w:eastAsia="Times New Roman"/>
          <w:highlight w:val="yellow"/>
          <w:lang w:val="en-IN" w:eastAsia="en-IN"/>
        </w:rPr>
        <w:t xml:space="preserve"> of the resuspended cells using a P200 pipette.</w:t>
      </w:r>
    </w:p>
    <w:p w14:paraId="22A2C99D" w14:textId="77777777" w:rsidR="006B3DC4" w:rsidRPr="004A35BC" w:rsidRDefault="006B3DC4" w:rsidP="006B3DC4">
      <w:pPr>
        <w:widowControl/>
        <w:rPr>
          <w:rFonts w:eastAsia="Times New Roman"/>
          <w:highlight w:val="yellow"/>
          <w:lang w:val="en-IN" w:eastAsia="en-IN"/>
        </w:rPr>
      </w:pPr>
    </w:p>
    <w:p w14:paraId="767B0DE3" w14:textId="77777777" w:rsidR="0076492F" w:rsidRPr="004A35BC" w:rsidRDefault="0076492F" w:rsidP="006B3DC4">
      <w:pPr>
        <w:widowControl/>
        <w:rPr>
          <w:rFonts w:eastAsia="Times New Roman"/>
          <w:highlight w:val="yellow"/>
          <w:lang w:val="en-IN" w:eastAsia="en-IN"/>
        </w:rPr>
      </w:pPr>
      <w:r w:rsidRPr="004A35BC">
        <w:rPr>
          <w:rFonts w:eastAsia="Times New Roman"/>
          <w:highlight w:val="yellow"/>
          <w:lang w:val="en-IN" w:eastAsia="en-IN"/>
        </w:rPr>
        <w:t xml:space="preserve">3.9. Hold the pipette tip approximately 1 m above the glass slide on ice and aim for the </w:t>
      </w:r>
      <w:proofErr w:type="spellStart"/>
      <w:r w:rsidRPr="004A35BC">
        <w:rPr>
          <w:rFonts w:eastAsia="Times New Roman"/>
          <w:highlight w:val="yellow"/>
          <w:lang w:val="en-IN" w:eastAsia="en-IN"/>
        </w:rPr>
        <w:t>center</w:t>
      </w:r>
      <w:proofErr w:type="spellEnd"/>
      <w:r w:rsidRPr="004A35BC">
        <w:rPr>
          <w:rFonts w:eastAsia="Times New Roman"/>
          <w:highlight w:val="yellow"/>
          <w:lang w:val="en-IN" w:eastAsia="en-IN"/>
        </w:rPr>
        <w:t xml:space="preserve"> of the slide.</w:t>
      </w:r>
    </w:p>
    <w:p w14:paraId="50293929" w14:textId="77777777" w:rsidR="006B3DC4" w:rsidRPr="004A35BC" w:rsidRDefault="006B3DC4" w:rsidP="006B3DC4">
      <w:pPr>
        <w:widowControl/>
        <w:rPr>
          <w:rFonts w:eastAsia="Times New Roman"/>
          <w:highlight w:val="yellow"/>
          <w:lang w:val="en-IN" w:eastAsia="en-IN"/>
        </w:rPr>
      </w:pPr>
    </w:p>
    <w:p w14:paraId="69D0A95C" w14:textId="77777777" w:rsidR="0076492F" w:rsidRDefault="0076492F" w:rsidP="006B3DC4">
      <w:pPr>
        <w:widowControl/>
        <w:rPr>
          <w:rFonts w:eastAsia="Times New Roman"/>
          <w:lang w:val="en-IN" w:eastAsia="en-IN"/>
        </w:rPr>
      </w:pPr>
      <w:r w:rsidRPr="004A35BC">
        <w:rPr>
          <w:rFonts w:eastAsia="Times New Roman"/>
          <w:highlight w:val="yellow"/>
          <w:lang w:val="en-IN" w:eastAsia="en-IN"/>
        </w:rPr>
        <w:t>3.10. Slowly dispense one drop of the cell suspension onto the slide.</w:t>
      </w:r>
    </w:p>
    <w:p w14:paraId="5DBDB937" w14:textId="77777777" w:rsidR="006B3DC4" w:rsidRPr="006B3DC4" w:rsidRDefault="006B3DC4" w:rsidP="006B3DC4">
      <w:pPr>
        <w:widowControl/>
        <w:rPr>
          <w:rFonts w:eastAsia="Times New Roman"/>
          <w:lang w:val="en-IN" w:eastAsia="en-IN"/>
        </w:rPr>
      </w:pPr>
    </w:p>
    <w:p w14:paraId="04FE1DD8" w14:textId="77777777" w:rsidR="0076492F" w:rsidRDefault="0076492F" w:rsidP="006B3DC4">
      <w:pPr>
        <w:widowControl/>
        <w:rPr>
          <w:rFonts w:eastAsia="Times New Roman"/>
          <w:lang w:val="en-IN" w:eastAsia="en-IN"/>
        </w:rPr>
      </w:pPr>
      <w:r w:rsidRPr="006B3DC4">
        <w:rPr>
          <w:rFonts w:eastAsia="Times New Roman"/>
          <w:lang w:val="en-IN" w:eastAsia="en-IN"/>
        </w:rPr>
        <w:t>NOTE: Mark the drop location on the edge of the slide with an ethanol-resistant marker to facilitate identification during subsequent steps.</w:t>
      </w:r>
    </w:p>
    <w:p w14:paraId="55D0357C" w14:textId="77777777" w:rsidR="006B3DC4" w:rsidRPr="006B3DC4" w:rsidRDefault="006B3DC4" w:rsidP="006B3DC4">
      <w:pPr>
        <w:widowControl/>
        <w:rPr>
          <w:rFonts w:eastAsia="Times New Roman"/>
          <w:lang w:val="en-IN" w:eastAsia="en-IN"/>
        </w:rPr>
      </w:pPr>
    </w:p>
    <w:p w14:paraId="23CB9EC5" w14:textId="77777777" w:rsidR="0076492F" w:rsidRDefault="0076492F" w:rsidP="006B3DC4">
      <w:pPr>
        <w:widowControl/>
        <w:rPr>
          <w:rFonts w:eastAsia="Times New Roman"/>
          <w:lang w:val="en-IN" w:eastAsia="en-IN"/>
        </w:rPr>
      </w:pPr>
      <w:r w:rsidRPr="006B3DC4">
        <w:rPr>
          <w:rFonts w:eastAsia="Times New Roman"/>
          <w:lang w:val="en-IN" w:eastAsia="en-IN"/>
        </w:rPr>
        <w:t>3.11. Allow the cells to dry on ice for 10 min.</w:t>
      </w:r>
    </w:p>
    <w:p w14:paraId="778B983D" w14:textId="77777777" w:rsidR="006B3DC4" w:rsidRPr="006B3DC4" w:rsidRDefault="006B3DC4" w:rsidP="006B3DC4">
      <w:pPr>
        <w:widowControl/>
        <w:rPr>
          <w:rFonts w:eastAsia="Times New Roman"/>
          <w:lang w:val="en-IN" w:eastAsia="en-IN"/>
        </w:rPr>
      </w:pPr>
    </w:p>
    <w:p w14:paraId="5596A0FD" w14:textId="77777777" w:rsidR="0076492F" w:rsidRDefault="0076492F" w:rsidP="006B3DC4">
      <w:pPr>
        <w:widowControl/>
        <w:rPr>
          <w:rFonts w:eastAsia="Times New Roman"/>
          <w:lang w:val="en-IN" w:eastAsia="en-IN"/>
        </w:rPr>
      </w:pPr>
      <w:r w:rsidRPr="004A35BC">
        <w:rPr>
          <w:rFonts w:eastAsia="Times New Roman"/>
          <w:highlight w:val="yellow"/>
          <w:lang w:val="en-IN" w:eastAsia="en-IN"/>
        </w:rPr>
        <w:t>3.12. Place the slides on a slide incubator at 80 °C for 10 min.</w:t>
      </w:r>
    </w:p>
    <w:p w14:paraId="01E089D5" w14:textId="77777777" w:rsidR="006B3DC4" w:rsidRPr="006B3DC4" w:rsidRDefault="006B3DC4" w:rsidP="006B3DC4">
      <w:pPr>
        <w:widowControl/>
        <w:rPr>
          <w:rFonts w:eastAsia="Times New Roman"/>
          <w:lang w:val="en-IN" w:eastAsia="en-IN"/>
        </w:rPr>
      </w:pPr>
    </w:p>
    <w:p w14:paraId="0EAAF74F" w14:textId="77777777" w:rsidR="0076492F" w:rsidRDefault="0076492F" w:rsidP="006B3DC4">
      <w:pPr>
        <w:widowControl/>
        <w:rPr>
          <w:rFonts w:eastAsia="Times New Roman"/>
          <w:lang w:val="en-IN" w:eastAsia="en-IN"/>
        </w:rPr>
      </w:pPr>
      <w:r w:rsidRPr="006B3DC4">
        <w:rPr>
          <w:rFonts w:eastAsia="Times New Roman"/>
          <w:lang w:val="en-IN" w:eastAsia="en-IN"/>
        </w:rPr>
        <w:t>3.13. Remove the slides with tongs and allow them to cool to the touch.</w:t>
      </w:r>
    </w:p>
    <w:p w14:paraId="28BEA256" w14:textId="77777777" w:rsidR="006B3DC4" w:rsidRPr="006B3DC4" w:rsidRDefault="006B3DC4" w:rsidP="006B3DC4">
      <w:pPr>
        <w:widowControl/>
        <w:rPr>
          <w:rFonts w:eastAsia="Times New Roman"/>
          <w:lang w:val="en-IN" w:eastAsia="en-IN"/>
        </w:rPr>
      </w:pPr>
    </w:p>
    <w:p w14:paraId="4FDE4CAB" w14:textId="77777777" w:rsidR="0076492F" w:rsidRDefault="0076492F" w:rsidP="006B3DC4">
      <w:pPr>
        <w:widowControl/>
        <w:rPr>
          <w:rFonts w:eastAsia="Times New Roman"/>
          <w:lang w:val="en-IN" w:eastAsia="en-IN"/>
        </w:rPr>
      </w:pPr>
      <w:r w:rsidRPr="004A35BC">
        <w:rPr>
          <w:rFonts w:eastAsia="Times New Roman"/>
          <w:highlight w:val="yellow"/>
          <w:lang w:val="en-IN" w:eastAsia="en-IN"/>
        </w:rPr>
        <w:t>3.14. Examine the slides using a phase-contrast microscope with a 10× or 20× objective. Confirm the presence of multiple well-dispersed metaphase spreads without excessive overlap.</w:t>
      </w:r>
    </w:p>
    <w:p w14:paraId="522FFB21" w14:textId="77777777" w:rsidR="006B3DC4" w:rsidRPr="006B3DC4" w:rsidRDefault="006B3DC4" w:rsidP="006B3DC4">
      <w:pPr>
        <w:widowControl/>
        <w:rPr>
          <w:rFonts w:eastAsia="Times New Roman"/>
          <w:lang w:val="en-IN" w:eastAsia="en-IN"/>
        </w:rPr>
      </w:pPr>
    </w:p>
    <w:p w14:paraId="18B0008B" w14:textId="4B1CDD1E" w:rsidR="006B3DC4" w:rsidRPr="006B3DC4" w:rsidRDefault="006B3DC4" w:rsidP="006B3DC4">
      <w:pPr>
        <w:widowControl/>
        <w:outlineLvl w:val="0"/>
        <w:rPr>
          <w:rFonts w:eastAsia="Times New Roman"/>
          <w:b/>
          <w:bCs/>
          <w:kern w:val="36"/>
          <w:lang w:val="en-IN" w:eastAsia="en-IN"/>
        </w:rPr>
      </w:pPr>
      <w:r w:rsidRPr="006B3DC4">
        <w:rPr>
          <w:rFonts w:eastAsia="Times New Roman"/>
          <w:b/>
          <w:bCs/>
          <w:kern w:val="36"/>
          <w:lang w:val="en-IN" w:eastAsia="en-IN"/>
        </w:rPr>
        <w:t xml:space="preserve">4. Pretreat the </w:t>
      </w:r>
      <w:r w:rsidR="00603BE2">
        <w:rPr>
          <w:rFonts w:eastAsia="Times New Roman"/>
          <w:b/>
          <w:bCs/>
          <w:kern w:val="36"/>
          <w:lang w:val="en-IN" w:eastAsia="en-IN"/>
        </w:rPr>
        <w:t>s</w:t>
      </w:r>
      <w:r w:rsidRPr="006B3DC4">
        <w:rPr>
          <w:rFonts w:eastAsia="Times New Roman"/>
          <w:b/>
          <w:bCs/>
          <w:kern w:val="36"/>
          <w:lang w:val="en-IN" w:eastAsia="en-IN"/>
        </w:rPr>
        <w:t>lide</w:t>
      </w:r>
    </w:p>
    <w:p w14:paraId="0817EA28" w14:textId="77777777" w:rsidR="006B3DC4" w:rsidRPr="006B3DC4" w:rsidRDefault="006B3DC4" w:rsidP="006B3DC4">
      <w:pPr>
        <w:widowControl/>
        <w:outlineLvl w:val="0"/>
        <w:rPr>
          <w:rFonts w:eastAsia="Times New Roman"/>
          <w:kern w:val="36"/>
          <w:lang w:val="en-IN" w:eastAsia="en-IN"/>
        </w:rPr>
      </w:pPr>
    </w:p>
    <w:p w14:paraId="33119011" w14:textId="0B5C15D0" w:rsidR="006B3DC4" w:rsidRDefault="006B3DC4" w:rsidP="006B3DC4">
      <w:pPr>
        <w:widowControl/>
        <w:rPr>
          <w:rFonts w:eastAsia="Times New Roman"/>
          <w:lang w:val="en-IN" w:eastAsia="en-IN"/>
        </w:rPr>
      </w:pPr>
      <w:r w:rsidRPr="006B3DC4">
        <w:rPr>
          <w:rFonts w:eastAsia="Times New Roman"/>
          <w:lang w:val="en-IN" w:eastAsia="en-IN"/>
        </w:rPr>
        <w:t>4.1. Prepare Coplin jars for the wash steps</w:t>
      </w:r>
    </w:p>
    <w:p w14:paraId="07D49873" w14:textId="77777777" w:rsidR="006B3DC4" w:rsidRPr="006B3DC4" w:rsidRDefault="006B3DC4" w:rsidP="006B3DC4">
      <w:pPr>
        <w:widowControl/>
        <w:rPr>
          <w:rFonts w:eastAsia="Times New Roman"/>
          <w:lang w:val="en-IN" w:eastAsia="en-IN"/>
        </w:rPr>
      </w:pPr>
    </w:p>
    <w:p w14:paraId="43D09F29" w14:textId="77777777" w:rsidR="006B3DC4" w:rsidRDefault="006B3DC4" w:rsidP="006B3DC4">
      <w:pPr>
        <w:widowControl/>
        <w:rPr>
          <w:rFonts w:eastAsia="Times New Roman"/>
          <w:lang w:val="en-IN" w:eastAsia="en-IN"/>
        </w:rPr>
      </w:pPr>
      <w:r w:rsidRPr="006B3DC4">
        <w:rPr>
          <w:rFonts w:eastAsia="Times New Roman"/>
          <w:lang w:val="en-IN" w:eastAsia="en-IN"/>
        </w:rPr>
        <w:t>4.1.1. Prepare each reagent fresh: 70% acetic acid (40 mL), PBS (40 mL), PBS (45 mL), 70% ethanol (40 mL), 85% ethanol (40 mL), and 100% ethanol (40 mL).</w:t>
      </w:r>
    </w:p>
    <w:p w14:paraId="3DF4FA90" w14:textId="77777777" w:rsidR="00617AA7" w:rsidRPr="006B3DC4" w:rsidRDefault="00617AA7" w:rsidP="006B3DC4">
      <w:pPr>
        <w:widowControl/>
        <w:rPr>
          <w:rFonts w:eastAsia="Times New Roman"/>
          <w:lang w:val="en-IN" w:eastAsia="en-IN"/>
        </w:rPr>
      </w:pPr>
    </w:p>
    <w:p w14:paraId="3576D092"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4.2. Place the glass slides in 70% acetic acid for 2 min.</w:t>
      </w:r>
    </w:p>
    <w:p w14:paraId="115ADD61" w14:textId="77777777" w:rsidR="00617AA7" w:rsidRPr="004A35BC" w:rsidRDefault="00617AA7" w:rsidP="006B3DC4">
      <w:pPr>
        <w:widowControl/>
        <w:rPr>
          <w:rFonts w:eastAsia="Times New Roman"/>
          <w:highlight w:val="yellow"/>
          <w:lang w:val="en-IN" w:eastAsia="en-IN"/>
        </w:rPr>
      </w:pPr>
    </w:p>
    <w:p w14:paraId="2A2C415D"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4.3. Place the glass slides in 40 mL of PBS for 30 s.</w:t>
      </w:r>
    </w:p>
    <w:p w14:paraId="3EB85A82" w14:textId="77777777" w:rsidR="00617AA7" w:rsidRPr="004A35BC" w:rsidRDefault="00617AA7" w:rsidP="006B3DC4">
      <w:pPr>
        <w:widowControl/>
        <w:rPr>
          <w:rFonts w:eastAsia="Times New Roman"/>
          <w:highlight w:val="yellow"/>
          <w:lang w:val="en-IN" w:eastAsia="en-IN"/>
        </w:rPr>
      </w:pPr>
    </w:p>
    <w:p w14:paraId="7ED45BD5"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4.4. Place the glass slides in 45 mL of PBS for 5 min.</w:t>
      </w:r>
    </w:p>
    <w:p w14:paraId="4F866C31" w14:textId="77777777" w:rsidR="00617AA7" w:rsidRPr="004A35BC" w:rsidRDefault="00617AA7" w:rsidP="006B3DC4">
      <w:pPr>
        <w:widowControl/>
        <w:rPr>
          <w:rFonts w:eastAsia="Times New Roman"/>
          <w:highlight w:val="yellow"/>
          <w:lang w:val="en-IN" w:eastAsia="en-IN"/>
        </w:rPr>
      </w:pPr>
    </w:p>
    <w:p w14:paraId="33D3EC6C" w14:textId="77777777" w:rsidR="006B3DC4" w:rsidRDefault="006B3DC4" w:rsidP="006B3DC4">
      <w:pPr>
        <w:widowControl/>
        <w:rPr>
          <w:rFonts w:eastAsia="Times New Roman"/>
          <w:lang w:val="en-IN" w:eastAsia="en-IN"/>
        </w:rPr>
      </w:pPr>
      <w:r w:rsidRPr="004A35BC">
        <w:rPr>
          <w:rFonts w:eastAsia="Times New Roman"/>
          <w:highlight w:val="yellow"/>
          <w:lang w:val="en-IN" w:eastAsia="en-IN"/>
        </w:rPr>
        <w:t>4.5. Dehydrate the glass slides sequentially in 70%, 85%, and 100% ethanol for 1 min each.</w:t>
      </w:r>
    </w:p>
    <w:p w14:paraId="4A3F105C" w14:textId="77777777" w:rsidR="00617AA7" w:rsidRPr="006B3DC4" w:rsidRDefault="00617AA7" w:rsidP="006B3DC4">
      <w:pPr>
        <w:widowControl/>
        <w:rPr>
          <w:rFonts w:eastAsia="Times New Roman"/>
          <w:lang w:val="en-IN" w:eastAsia="en-IN"/>
        </w:rPr>
      </w:pPr>
    </w:p>
    <w:p w14:paraId="6421B064" w14:textId="77777777" w:rsidR="006B3DC4" w:rsidRPr="006B3DC4" w:rsidRDefault="006B3DC4" w:rsidP="006B3DC4">
      <w:pPr>
        <w:widowControl/>
        <w:rPr>
          <w:rFonts w:eastAsia="Times New Roman"/>
          <w:lang w:val="en-IN" w:eastAsia="en-IN"/>
        </w:rPr>
      </w:pPr>
      <w:r w:rsidRPr="006B3DC4">
        <w:rPr>
          <w:rFonts w:eastAsia="Times New Roman"/>
          <w:lang w:val="en-IN" w:eastAsia="en-IN"/>
        </w:rPr>
        <w:t>4.6. Air-dry the slides at RT for 10 min.</w:t>
      </w:r>
    </w:p>
    <w:p w14:paraId="7B78DF44" w14:textId="4FBEC44B" w:rsidR="006B3DC4" w:rsidRPr="006B3DC4" w:rsidRDefault="006B3DC4" w:rsidP="006B3DC4">
      <w:pPr>
        <w:widowControl/>
        <w:rPr>
          <w:rFonts w:eastAsia="Times New Roman"/>
          <w:lang w:val="en-IN" w:eastAsia="en-IN"/>
        </w:rPr>
      </w:pPr>
    </w:p>
    <w:p w14:paraId="671A25F7" w14:textId="383860B7" w:rsidR="006B3DC4" w:rsidRDefault="006B3DC4" w:rsidP="006B3DC4">
      <w:pPr>
        <w:widowControl/>
        <w:outlineLvl w:val="0"/>
        <w:rPr>
          <w:rFonts w:eastAsia="Times New Roman"/>
          <w:b/>
          <w:bCs/>
          <w:kern w:val="36"/>
          <w:lang w:val="en-IN" w:eastAsia="en-IN"/>
        </w:rPr>
      </w:pPr>
      <w:r w:rsidRPr="00617AA7">
        <w:rPr>
          <w:rFonts w:eastAsia="Times New Roman"/>
          <w:b/>
          <w:bCs/>
          <w:kern w:val="36"/>
          <w:lang w:val="en-IN" w:eastAsia="en-IN"/>
        </w:rPr>
        <w:t xml:space="preserve">5. Prepare the </w:t>
      </w:r>
      <w:r w:rsidR="00603BE2">
        <w:rPr>
          <w:rFonts w:eastAsia="Times New Roman"/>
          <w:b/>
          <w:bCs/>
          <w:kern w:val="36"/>
          <w:lang w:val="en-IN" w:eastAsia="en-IN"/>
        </w:rPr>
        <w:t>p</w:t>
      </w:r>
      <w:r w:rsidRPr="00617AA7">
        <w:rPr>
          <w:rFonts w:eastAsia="Times New Roman"/>
          <w:b/>
          <w:bCs/>
          <w:kern w:val="36"/>
          <w:lang w:val="en-IN" w:eastAsia="en-IN"/>
        </w:rPr>
        <w:t>robe</w:t>
      </w:r>
    </w:p>
    <w:p w14:paraId="262D956C" w14:textId="77777777" w:rsidR="008F3D5D" w:rsidRPr="00617AA7" w:rsidRDefault="008F3D5D" w:rsidP="006B3DC4">
      <w:pPr>
        <w:widowControl/>
        <w:outlineLvl w:val="0"/>
        <w:rPr>
          <w:rFonts w:eastAsia="Times New Roman"/>
          <w:b/>
          <w:bCs/>
          <w:kern w:val="36"/>
          <w:lang w:val="en-IN" w:eastAsia="en-IN"/>
        </w:rPr>
      </w:pPr>
    </w:p>
    <w:p w14:paraId="712F7514" w14:textId="63D91944" w:rsidR="006B3DC4" w:rsidRDefault="006B3DC4" w:rsidP="006B3DC4">
      <w:pPr>
        <w:widowControl/>
        <w:rPr>
          <w:rFonts w:eastAsia="Times New Roman"/>
          <w:lang w:val="en-IN" w:eastAsia="en-IN"/>
        </w:rPr>
      </w:pPr>
      <w:r w:rsidRPr="006B3DC4">
        <w:rPr>
          <w:rFonts w:eastAsia="Times New Roman"/>
          <w:lang w:val="en-IN" w:eastAsia="en-IN"/>
        </w:rPr>
        <w:lastRenderedPageBreak/>
        <w:t xml:space="preserve">NOTE: This protocol uses commercially available locus-specific DNA-FISH probes that hybridize to a genomic region of interest. </w:t>
      </w:r>
    </w:p>
    <w:p w14:paraId="7DCF8429" w14:textId="77777777" w:rsidR="008F3D5D" w:rsidRPr="006B3DC4" w:rsidRDefault="008F3D5D" w:rsidP="006B3DC4">
      <w:pPr>
        <w:widowControl/>
        <w:rPr>
          <w:rFonts w:eastAsia="Times New Roman"/>
          <w:lang w:val="en-IN" w:eastAsia="en-IN"/>
        </w:rPr>
      </w:pPr>
    </w:p>
    <w:p w14:paraId="44AB863D" w14:textId="381346CF" w:rsidR="006B3DC4" w:rsidRDefault="006B3DC4" w:rsidP="006B3DC4">
      <w:pPr>
        <w:widowControl/>
        <w:rPr>
          <w:rFonts w:eastAsia="Times New Roman"/>
          <w:lang w:val="en-IN" w:eastAsia="en-IN"/>
        </w:rPr>
      </w:pPr>
      <w:r w:rsidRPr="006B3DC4">
        <w:rPr>
          <w:rFonts w:eastAsia="Times New Roman"/>
          <w:lang w:val="en-IN" w:eastAsia="en-IN"/>
        </w:rPr>
        <w:t xml:space="preserve">5.1. </w:t>
      </w:r>
      <w:r w:rsidR="008F3D5D" w:rsidRPr="006B3DC4">
        <w:rPr>
          <w:rFonts w:eastAsia="Times New Roman"/>
          <w:lang w:val="en-IN" w:eastAsia="en-IN"/>
        </w:rPr>
        <w:t>Select a probe targeting the amplified locus to be examined.</w:t>
      </w:r>
      <w:r w:rsidR="008F3D5D">
        <w:rPr>
          <w:rFonts w:eastAsia="Times New Roman"/>
          <w:lang w:val="en-IN" w:eastAsia="en-IN"/>
        </w:rPr>
        <w:t xml:space="preserve"> </w:t>
      </w:r>
      <w:r w:rsidRPr="006B3DC4">
        <w:rPr>
          <w:rFonts w:eastAsia="Times New Roman"/>
          <w:lang w:val="en-IN" w:eastAsia="en-IN"/>
        </w:rPr>
        <w:t>Thaw the probe and hybridization buffer according to the manufacturer's instructions. Allow the probe to reach RT before use.</w:t>
      </w:r>
    </w:p>
    <w:p w14:paraId="08393AA3" w14:textId="77777777" w:rsidR="008F3D5D" w:rsidRPr="006B3DC4" w:rsidRDefault="008F3D5D" w:rsidP="006B3DC4">
      <w:pPr>
        <w:widowControl/>
        <w:rPr>
          <w:rFonts w:eastAsia="Times New Roman"/>
          <w:lang w:val="en-IN" w:eastAsia="en-IN"/>
        </w:rPr>
      </w:pPr>
    </w:p>
    <w:p w14:paraId="0349A350" w14:textId="77777777" w:rsidR="006B3DC4" w:rsidRDefault="006B3DC4" w:rsidP="006B3DC4">
      <w:pPr>
        <w:widowControl/>
        <w:rPr>
          <w:rFonts w:eastAsia="Times New Roman"/>
          <w:lang w:val="en-IN" w:eastAsia="en-IN"/>
        </w:rPr>
      </w:pPr>
      <w:r w:rsidRPr="006B3DC4">
        <w:rPr>
          <w:rFonts w:eastAsia="Times New Roman"/>
          <w:lang w:val="en-IN" w:eastAsia="en-IN"/>
        </w:rPr>
        <w:t xml:space="preserve">5.2. Prepare a probe mixture containing 1 </w:t>
      </w:r>
      <w:proofErr w:type="spellStart"/>
      <w:r w:rsidRPr="006B3DC4">
        <w:rPr>
          <w:rFonts w:eastAsia="Times New Roman"/>
          <w:lang w:val="en-IN" w:eastAsia="en-IN"/>
        </w:rPr>
        <w:t>μL</w:t>
      </w:r>
      <w:proofErr w:type="spellEnd"/>
      <w:r w:rsidRPr="006B3DC4">
        <w:rPr>
          <w:rFonts w:eastAsia="Times New Roman"/>
          <w:lang w:val="en-IN" w:eastAsia="en-IN"/>
        </w:rPr>
        <w:t xml:space="preserve"> of probe and 4 </w:t>
      </w:r>
      <w:proofErr w:type="spellStart"/>
      <w:r w:rsidRPr="006B3DC4">
        <w:rPr>
          <w:rFonts w:eastAsia="Times New Roman"/>
          <w:lang w:val="en-IN" w:eastAsia="en-IN"/>
        </w:rPr>
        <w:t>μL</w:t>
      </w:r>
      <w:proofErr w:type="spellEnd"/>
      <w:r w:rsidRPr="006B3DC4">
        <w:rPr>
          <w:rFonts w:eastAsia="Times New Roman"/>
          <w:lang w:val="en-IN" w:eastAsia="en-IN"/>
        </w:rPr>
        <w:t xml:space="preserve"> of hybridization buffer for each glass slide.</w:t>
      </w:r>
    </w:p>
    <w:p w14:paraId="26E7A927" w14:textId="77777777" w:rsidR="008F3D5D" w:rsidRPr="006B3DC4" w:rsidRDefault="008F3D5D" w:rsidP="006B3DC4">
      <w:pPr>
        <w:widowControl/>
        <w:rPr>
          <w:rFonts w:eastAsia="Times New Roman"/>
          <w:lang w:val="en-IN" w:eastAsia="en-IN"/>
        </w:rPr>
      </w:pPr>
    </w:p>
    <w:p w14:paraId="3B0ADCAD" w14:textId="29CEE172" w:rsidR="006B3DC4" w:rsidRDefault="006B3DC4" w:rsidP="006B3DC4">
      <w:pPr>
        <w:widowControl/>
        <w:rPr>
          <w:rFonts w:eastAsia="Times New Roman"/>
          <w:lang w:val="en-IN" w:eastAsia="en-IN"/>
        </w:rPr>
      </w:pPr>
      <w:r w:rsidRPr="006B3DC4">
        <w:rPr>
          <w:rFonts w:eastAsia="Times New Roman"/>
          <w:lang w:val="en-IN" w:eastAsia="en-IN"/>
        </w:rPr>
        <w:t>NOTE: The optimal probe concentration may depend on the manufacturer and the probe. The concentration specified here has been optimized</w:t>
      </w:r>
      <w:r w:rsidR="0090705F">
        <w:rPr>
          <w:rFonts w:eastAsia="Times New Roman"/>
          <w:lang w:val="en-IN" w:eastAsia="en-IN"/>
        </w:rPr>
        <w:t xml:space="preserve"> as per</w:t>
      </w:r>
      <w:r w:rsidRPr="006B3DC4">
        <w:rPr>
          <w:rFonts w:eastAsia="Times New Roman"/>
          <w:lang w:val="en-IN" w:eastAsia="en-IN"/>
        </w:rPr>
        <w:t xml:space="preserve"> </w:t>
      </w:r>
      <w:r w:rsidR="0090705F">
        <w:rPr>
          <w:rFonts w:eastAsia="Times New Roman"/>
          <w:lang w:val="en-IN" w:eastAsia="en-IN"/>
        </w:rPr>
        <w:t xml:space="preserve">the </w:t>
      </w:r>
      <w:r w:rsidRPr="006B3DC4">
        <w:rPr>
          <w:rFonts w:eastAsia="Times New Roman"/>
          <w:lang w:val="en-IN" w:eastAsia="en-IN"/>
        </w:rPr>
        <w:t>probes</w:t>
      </w:r>
      <w:r w:rsidR="0090705F">
        <w:rPr>
          <w:rFonts w:eastAsia="Times New Roman"/>
          <w:lang w:val="en-IN" w:eastAsia="en-IN"/>
        </w:rPr>
        <w:t xml:space="preserve"> used in this study</w:t>
      </w:r>
      <w:r w:rsidRPr="006B3DC4">
        <w:rPr>
          <w:rFonts w:eastAsia="Times New Roman"/>
          <w:lang w:val="en-IN" w:eastAsia="en-IN"/>
        </w:rPr>
        <w:t>. However, optimize the probe concentration for each new locus.</w:t>
      </w:r>
    </w:p>
    <w:p w14:paraId="369C8E0A" w14:textId="77777777" w:rsidR="008F3D5D" w:rsidRPr="006B3DC4" w:rsidRDefault="008F3D5D" w:rsidP="006B3DC4">
      <w:pPr>
        <w:widowControl/>
        <w:rPr>
          <w:rFonts w:eastAsia="Times New Roman"/>
          <w:lang w:val="en-IN" w:eastAsia="en-IN"/>
        </w:rPr>
      </w:pPr>
    </w:p>
    <w:p w14:paraId="2AC09D90" w14:textId="77777777" w:rsidR="006B3DC4" w:rsidRDefault="006B3DC4" w:rsidP="006B3DC4">
      <w:pPr>
        <w:widowControl/>
        <w:rPr>
          <w:rFonts w:eastAsia="Times New Roman"/>
          <w:lang w:val="en-IN" w:eastAsia="en-IN"/>
        </w:rPr>
      </w:pPr>
      <w:r w:rsidRPr="004A35BC">
        <w:rPr>
          <w:rFonts w:eastAsia="Times New Roman"/>
          <w:highlight w:val="yellow"/>
          <w:lang w:val="en-IN" w:eastAsia="en-IN"/>
        </w:rPr>
        <w:t xml:space="preserve">5.3. Apply 5 </w:t>
      </w:r>
      <w:proofErr w:type="spellStart"/>
      <w:r w:rsidRPr="004A35BC">
        <w:rPr>
          <w:rFonts w:eastAsia="Times New Roman"/>
          <w:highlight w:val="yellow"/>
          <w:lang w:val="en-IN" w:eastAsia="en-IN"/>
        </w:rPr>
        <w:t>μL</w:t>
      </w:r>
      <w:proofErr w:type="spellEnd"/>
      <w:r w:rsidRPr="004A35BC">
        <w:rPr>
          <w:rFonts w:eastAsia="Times New Roman"/>
          <w:highlight w:val="yellow"/>
          <w:lang w:val="en-IN" w:eastAsia="en-IN"/>
        </w:rPr>
        <w:t xml:space="preserve"> of the probe/hybridization buffer mixture to the </w:t>
      </w:r>
      <w:proofErr w:type="spellStart"/>
      <w:r w:rsidRPr="004A35BC">
        <w:rPr>
          <w:rFonts w:eastAsia="Times New Roman"/>
          <w:highlight w:val="yellow"/>
          <w:lang w:val="en-IN" w:eastAsia="en-IN"/>
        </w:rPr>
        <w:t>center</w:t>
      </w:r>
      <w:proofErr w:type="spellEnd"/>
      <w:r w:rsidRPr="004A35BC">
        <w:rPr>
          <w:rFonts w:eastAsia="Times New Roman"/>
          <w:highlight w:val="yellow"/>
          <w:lang w:val="en-IN" w:eastAsia="en-IN"/>
        </w:rPr>
        <w:t xml:space="preserve"> of each drop location on the glass slide.</w:t>
      </w:r>
    </w:p>
    <w:p w14:paraId="1C67F6BB" w14:textId="77777777" w:rsidR="00C2059D" w:rsidRPr="006B3DC4" w:rsidRDefault="00C2059D" w:rsidP="006B3DC4">
      <w:pPr>
        <w:widowControl/>
        <w:rPr>
          <w:rFonts w:eastAsia="Times New Roman"/>
          <w:lang w:val="en-IN" w:eastAsia="en-IN"/>
        </w:rPr>
      </w:pPr>
    </w:p>
    <w:p w14:paraId="3A695715" w14:textId="77777777" w:rsidR="006B3DC4" w:rsidRDefault="006B3DC4" w:rsidP="006B3DC4">
      <w:pPr>
        <w:widowControl/>
        <w:rPr>
          <w:rFonts w:eastAsia="Times New Roman"/>
          <w:lang w:val="en-IN" w:eastAsia="en-IN"/>
        </w:rPr>
      </w:pPr>
      <w:r w:rsidRPr="006B3DC4">
        <w:rPr>
          <w:rFonts w:eastAsia="Times New Roman"/>
          <w:lang w:val="en-IN" w:eastAsia="en-IN"/>
        </w:rPr>
        <w:t>NOTE: Probes are light-sensitive. Minimize light exposure throughout the remaining procedure by storing the slides in a dark drawer between steps and while processing other slides.</w:t>
      </w:r>
    </w:p>
    <w:p w14:paraId="0BC7C6AE" w14:textId="77777777" w:rsidR="00C2059D" w:rsidRPr="006B3DC4" w:rsidRDefault="00C2059D" w:rsidP="006B3DC4">
      <w:pPr>
        <w:widowControl/>
        <w:rPr>
          <w:rFonts w:eastAsia="Times New Roman"/>
          <w:lang w:val="en-IN" w:eastAsia="en-IN"/>
        </w:rPr>
      </w:pPr>
    </w:p>
    <w:p w14:paraId="763E9C30"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5.4. Carefully place a coverslip over the sample.</w:t>
      </w:r>
    </w:p>
    <w:p w14:paraId="3B338B93" w14:textId="77777777" w:rsidR="00C2059D" w:rsidRPr="004A35BC" w:rsidRDefault="00C2059D" w:rsidP="006B3DC4">
      <w:pPr>
        <w:widowControl/>
        <w:rPr>
          <w:rFonts w:eastAsia="Times New Roman"/>
          <w:highlight w:val="yellow"/>
          <w:lang w:val="en-IN" w:eastAsia="en-IN"/>
        </w:rPr>
      </w:pPr>
    </w:p>
    <w:p w14:paraId="5AFADC4A"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5.5. Seal the edges of the coverslip with rubber cement.</w:t>
      </w:r>
    </w:p>
    <w:p w14:paraId="2A648D9E" w14:textId="77777777" w:rsidR="00C2059D" w:rsidRPr="004A35BC" w:rsidRDefault="00C2059D" w:rsidP="006B3DC4">
      <w:pPr>
        <w:widowControl/>
        <w:rPr>
          <w:rFonts w:eastAsia="Times New Roman"/>
          <w:highlight w:val="yellow"/>
          <w:lang w:val="en-IN" w:eastAsia="en-IN"/>
        </w:rPr>
      </w:pPr>
    </w:p>
    <w:p w14:paraId="64E1F0A7"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5.6. Place the glass slides in a humid chamber.</w:t>
      </w:r>
    </w:p>
    <w:p w14:paraId="5A105213" w14:textId="77777777" w:rsidR="00C2059D" w:rsidRPr="004A35BC" w:rsidRDefault="00C2059D" w:rsidP="006B3DC4">
      <w:pPr>
        <w:widowControl/>
        <w:rPr>
          <w:rFonts w:eastAsia="Times New Roman"/>
          <w:highlight w:val="yellow"/>
          <w:lang w:val="en-IN" w:eastAsia="en-IN"/>
        </w:rPr>
      </w:pPr>
    </w:p>
    <w:p w14:paraId="4ADA147A" w14:textId="77777777" w:rsidR="006B3DC4" w:rsidRDefault="006B3DC4" w:rsidP="006B3DC4">
      <w:pPr>
        <w:widowControl/>
        <w:rPr>
          <w:rFonts w:eastAsia="Times New Roman"/>
          <w:lang w:val="en-IN" w:eastAsia="en-IN"/>
        </w:rPr>
      </w:pPr>
      <w:r w:rsidRPr="004A35BC">
        <w:rPr>
          <w:rFonts w:eastAsia="Times New Roman"/>
          <w:highlight w:val="yellow"/>
          <w:lang w:val="en-IN" w:eastAsia="en-IN"/>
        </w:rPr>
        <w:t>5.7. Hybridize the probe according to the manufacturer's protocol. Allow hybridization to proceed overnight (12–18 h).</w:t>
      </w:r>
    </w:p>
    <w:p w14:paraId="287B9AC8" w14:textId="77777777" w:rsidR="00C2059D" w:rsidRPr="006B3DC4" w:rsidRDefault="00C2059D" w:rsidP="006B3DC4">
      <w:pPr>
        <w:widowControl/>
        <w:rPr>
          <w:rFonts w:eastAsia="Times New Roman"/>
          <w:lang w:val="en-IN" w:eastAsia="en-IN"/>
        </w:rPr>
      </w:pPr>
    </w:p>
    <w:p w14:paraId="48CD6926" w14:textId="4F9A1D14" w:rsidR="006B3DC4" w:rsidRPr="00603BE2" w:rsidRDefault="006B3DC4" w:rsidP="006B3DC4">
      <w:pPr>
        <w:widowControl/>
        <w:outlineLvl w:val="0"/>
        <w:rPr>
          <w:rFonts w:eastAsia="Times New Roman"/>
          <w:b/>
          <w:bCs/>
          <w:kern w:val="36"/>
          <w:lang w:val="en-IN" w:eastAsia="en-IN"/>
        </w:rPr>
      </w:pPr>
      <w:r w:rsidRPr="00603BE2">
        <w:rPr>
          <w:rFonts w:eastAsia="Times New Roman"/>
          <w:b/>
          <w:bCs/>
          <w:kern w:val="36"/>
          <w:lang w:val="en-IN" w:eastAsia="en-IN"/>
        </w:rPr>
        <w:t xml:space="preserve">6. </w:t>
      </w:r>
      <w:r w:rsidR="00F919C8" w:rsidRPr="00F919C8">
        <w:rPr>
          <w:rFonts w:eastAsia="Times New Roman"/>
          <w:b/>
          <w:bCs/>
          <w:kern w:val="36"/>
          <w:lang w:val="en-IN" w:eastAsia="en-IN"/>
        </w:rPr>
        <w:t>Post-hybridization washes, counterstaining, mounting, and imaging</w:t>
      </w:r>
    </w:p>
    <w:p w14:paraId="4D62820E" w14:textId="77777777" w:rsidR="00C2059D" w:rsidRPr="006B3DC4" w:rsidRDefault="00C2059D" w:rsidP="006B3DC4">
      <w:pPr>
        <w:widowControl/>
        <w:outlineLvl w:val="0"/>
        <w:rPr>
          <w:rFonts w:eastAsia="Times New Roman"/>
          <w:kern w:val="36"/>
          <w:lang w:val="en-IN" w:eastAsia="en-IN"/>
        </w:rPr>
      </w:pPr>
    </w:p>
    <w:p w14:paraId="0B47B8E4" w14:textId="3F967CEA" w:rsidR="006B3DC4" w:rsidRDefault="006B3DC4" w:rsidP="006B3DC4">
      <w:pPr>
        <w:widowControl/>
        <w:rPr>
          <w:rFonts w:eastAsia="Times New Roman"/>
          <w:lang w:val="en-IN" w:eastAsia="en-IN"/>
        </w:rPr>
      </w:pPr>
      <w:r w:rsidRPr="006B3DC4">
        <w:rPr>
          <w:rFonts w:eastAsia="Times New Roman"/>
          <w:lang w:val="en-IN" w:eastAsia="en-IN"/>
        </w:rPr>
        <w:t>6.1. Prepare Coplin jars for the wash steps</w:t>
      </w:r>
    </w:p>
    <w:p w14:paraId="39EECB2F" w14:textId="77777777" w:rsidR="00C2059D" w:rsidRPr="006B3DC4" w:rsidRDefault="00C2059D" w:rsidP="006B3DC4">
      <w:pPr>
        <w:widowControl/>
        <w:rPr>
          <w:rFonts w:eastAsia="Times New Roman"/>
          <w:lang w:val="en-IN" w:eastAsia="en-IN"/>
        </w:rPr>
      </w:pPr>
    </w:p>
    <w:p w14:paraId="598CAD63" w14:textId="77777777" w:rsidR="006B3DC4" w:rsidRDefault="006B3DC4" w:rsidP="006B3DC4">
      <w:pPr>
        <w:widowControl/>
        <w:rPr>
          <w:rFonts w:eastAsia="Times New Roman"/>
          <w:lang w:val="en-IN" w:eastAsia="en-IN"/>
        </w:rPr>
      </w:pPr>
      <w:r w:rsidRPr="006B3DC4">
        <w:rPr>
          <w:rFonts w:eastAsia="Times New Roman"/>
          <w:lang w:val="en-IN" w:eastAsia="en-IN"/>
        </w:rPr>
        <w:t>6.1.1. Prepare each reagent fresh: 2× SSC (40 mL), 0.4× SSC (40 mL), 70% ethanol (40 mL), 85% ethanol (40 mL), 100% ethanol (40 mL), and PBS (45 mL).</w:t>
      </w:r>
    </w:p>
    <w:p w14:paraId="21B3DFBD" w14:textId="77777777" w:rsidR="00C2059D" w:rsidRPr="006B3DC4" w:rsidRDefault="00C2059D" w:rsidP="006B3DC4">
      <w:pPr>
        <w:widowControl/>
        <w:rPr>
          <w:rFonts w:eastAsia="Times New Roman"/>
          <w:lang w:val="en-IN" w:eastAsia="en-IN"/>
        </w:rPr>
      </w:pPr>
    </w:p>
    <w:p w14:paraId="04E48F67" w14:textId="77777777" w:rsidR="006B3DC4" w:rsidRDefault="006B3DC4" w:rsidP="006B3DC4">
      <w:pPr>
        <w:widowControl/>
        <w:rPr>
          <w:rFonts w:eastAsia="Times New Roman"/>
          <w:lang w:val="en-IN" w:eastAsia="en-IN"/>
        </w:rPr>
      </w:pPr>
      <w:r w:rsidRPr="006B3DC4">
        <w:rPr>
          <w:rFonts w:eastAsia="Times New Roman"/>
          <w:lang w:val="en-IN" w:eastAsia="en-IN"/>
        </w:rPr>
        <w:t>6.1.2. Prepare and store SSC as a 20× stock solution (3 M NaCl, 0.3 M sodium citrate, pH 7.0). To prepare 1 L, dissolve 175.3 g NaCl and 88.2 g sodium citrate in 1 L of ultrapure water. Dilute the stock to prepare 2× SSC and 0.4× SSC working solutions as needed.</w:t>
      </w:r>
    </w:p>
    <w:p w14:paraId="58932F18" w14:textId="77777777" w:rsidR="00C2059D" w:rsidRPr="006B3DC4" w:rsidRDefault="00C2059D" w:rsidP="006B3DC4">
      <w:pPr>
        <w:widowControl/>
        <w:rPr>
          <w:rFonts w:eastAsia="Times New Roman"/>
          <w:lang w:val="en-IN" w:eastAsia="en-IN"/>
        </w:rPr>
      </w:pPr>
    </w:p>
    <w:p w14:paraId="4F5E0D20" w14:textId="77777777" w:rsidR="006B3DC4" w:rsidRDefault="006B3DC4" w:rsidP="006B3DC4">
      <w:pPr>
        <w:widowControl/>
        <w:rPr>
          <w:rFonts w:eastAsia="Times New Roman"/>
          <w:lang w:val="en-IN" w:eastAsia="en-IN"/>
        </w:rPr>
      </w:pPr>
      <w:r w:rsidRPr="006B3DC4">
        <w:rPr>
          <w:rFonts w:eastAsia="Times New Roman"/>
          <w:lang w:val="en-IN" w:eastAsia="en-IN"/>
        </w:rPr>
        <w:t>6.2. Warm the 0.4× SSC solution to 72 °C in a water bath.</w:t>
      </w:r>
    </w:p>
    <w:p w14:paraId="6BE3CDA6" w14:textId="77777777" w:rsidR="00C2059D" w:rsidRPr="006B3DC4" w:rsidRDefault="00C2059D" w:rsidP="006B3DC4">
      <w:pPr>
        <w:widowControl/>
        <w:rPr>
          <w:rFonts w:eastAsia="Times New Roman"/>
          <w:lang w:val="en-IN" w:eastAsia="en-IN"/>
        </w:rPr>
      </w:pPr>
    </w:p>
    <w:p w14:paraId="662A72FE"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6.3. Remove the glass slides from the humid chamber and carefully remove the rubber cement.</w:t>
      </w:r>
    </w:p>
    <w:p w14:paraId="4532D627" w14:textId="77777777" w:rsidR="00C2059D" w:rsidRPr="004A35BC" w:rsidRDefault="00C2059D" w:rsidP="006B3DC4">
      <w:pPr>
        <w:widowControl/>
        <w:rPr>
          <w:rFonts w:eastAsia="Times New Roman"/>
          <w:highlight w:val="yellow"/>
          <w:lang w:val="en-IN" w:eastAsia="en-IN"/>
        </w:rPr>
      </w:pPr>
    </w:p>
    <w:p w14:paraId="058A6979"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lastRenderedPageBreak/>
        <w:t>6.4. Place the glass slides in 2× SSC for 2 min at RT. Carefully remove the coverslips.</w:t>
      </w:r>
    </w:p>
    <w:p w14:paraId="45F6F36B" w14:textId="77777777" w:rsidR="00C2059D" w:rsidRPr="004A35BC" w:rsidRDefault="00C2059D" w:rsidP="006B3DC4">
      <w:pPr>
        <w:widowControl/>
        <w:rPr>
          <w:rFonts w:eastAsia="Times New Roman"/>
          <w:highlight w:val="yellow"/>
          <w:lang w:val="en-IN" w:eastAsia="en-IN"/>
        </w:rPr>
      </w:pPr>
    </w:p>
    <w:p w14:paraId="29FCE95A"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6.5. Place the glass slides in prewarmed 0.4× SSC at 72 °C for 2 min.</w:t>
      </w:r>
    </w:p>
    <w:p w14:paraId="2147F316" w14:textId="77777777" w:rsidR="00C2059D" w:rsidRPr="004A35BC" w:rsidRDefault="00C2059D" w:rsidP="006B3DC4">
      <w:pPr>
        <w:widowControl/>
        <w:rPr>
          <w:rFonts w:eastAsia="Times New Roman"/>
          <w:highlight w:val="yellow"/>
          <w:lang w:val="en-IN" w:eastAsia="en-IN"/>
        </w:rPr>
      </w:pPr>
    </w:p>
    <w:p w14:paraId="6690E37B"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6.6. Place the glass slides in 2× SSC for 1 min at RT.</w:t>
      </w:r>
    </w:p>
    <w:p w14:paraId="3BC5B5CE" w14:textId="77777777" w:rsidR="00C2059D" w:rsidRPr="004A35BC" w:rsidRDefault="00C2059D" w:rsidP="006B3DC4">
      <w:pPr>
        <w:widowControl/>
        <w:rPr>
          <w:rFonts w:eastAsia="Times New Roman"/>
          <w:highlight w:val="yellow"/>
          <w:lang w:val="en-IN" w:eastAsia="en-IN"/>
        </w:rPr>
      </w:pPr>
    </w:p>
    <w:p w14:paraId="5F73D1F4"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6.7. Dehydrate the glass slides sequentially in 70%, 85%, and 100% ethanol for 1 min each.</w:t>
      </w:r>
    </w:p>
    <w:p w14:paraId="1072BE9F" w14:textId="77777777" w:rsidR="00C2059D" w:rsidRPr="004A35BC" w:rsidRDefault="00C2059D" w:rsidP="006B3DC4">
      <w:pPr>
        <w:widowControl/>
        <w:rPr>
          <w:rFonts w:eastAsia="Times New Roman"/>
          <w:highlight w:val="yellow"/>
          <w:lang w:val="en-IN" w:eastAsia="en-IN"/>
        </w:rPr>
      </w:pPr>
    </w:p>
    <w:p w14:paraId="794A6989" w14:textId="77777777" w:rsidR="006B3DC4" w:rsidRDefault="006B3DC4" w:rsidP="006B3DC4">
      <w:pPr>
        <w:widowControl/>
        <w:rPr>
          <w:rFonts w:eastAsia="Times New Roman"/>
          <w:lang w:val="en-IN" w:eastAsia="en-IN"/>
        </w:rPr>
      </w:pPr>
      <w:r w:rsidRPr="004A35BC">
        <w:rPr>
          <w:rFonts w:eastAsia="Times New Roman"/>
          <w:highlight w:val="yellow"/>
          <w:lang w:val="en-IN" w:eastAsia="en-IN"/>
        </w:rPr>
        <w:t>6.8. Air-dry the slides at RT for 10 min in the dark.</w:t>
      </w:r>
    </w:p>
    <w:p w14:paraId="6A9B6F84" w14:textId="77777777" w:rsidR="00C2059D" w:rsidRPr="006B3DC4" w:rsidRDefault="00C2059D" w:rsidP="006B3DC4">
      <w:pPr>
        <w:widowControl/>
        <w:rPr>
          <w:rFonts w:eastAsia="Times New Roman"/>
          <w:lang w:val="en-IN" w:eastAsia="en-IN"/>
        </w:rPr>
      </w:pPr>
    </w:p>
    <w:p w14:paraId="36BF9C30" w14:textId="77777777" w:rsidR="006B3DC4" w:rsidRDefault="006B3DC4" w:rsidP="006B3DC4">
      <w:pPr>
        <w:widowControl/>
        <w:rPr>
          <w:rFonts w:eastAsia="Times New Roman"/>
          <w:lang w:val="en-IN" w:eastAsia="en-IN"/>
        </w:rPr>
      </w:pPr>
      <w:r w:rsidRPr="006B3DC4">
        <w:rPr>
          <w:rFonts w:eastAsia="Times New Roman"/>
          <w:lang w:val="en-IN" w:eastAsia="en-IN"/>
        </w:rPr>
        <w:t xml:space="preserve">6.9. Dilute 1 mg/mL DAPI 1:1000 in PBS to a final volume of 1 </w:t>
      </w:r>
      <w:proofErr w:type="spellStart"/>
      <w:r w:rsidRPr="006B3DC4">
        <w:rPr>
          <w:rFonts w:eastAsia="Times New Roman"/>
          <w:lang w:val="en-IN" w:eastAsia="en-IN"/>
        </w:rPr>
        <w:t>mL.</w:t>
      </w:r>
      <w:proofErr w:type="spellEnd"/>
    </w:p>
    <w:p w14:paraId="48E2489D" w14:textId="77777777" w:rsidR="00C2059D" w:rsidRPr="006B3DC4" w:rsidRDefault="00C2059D" w:rsidP="006B3DC4">
      <w:pPr>
        <w:widowControl/>
        <w:rPr>
          <w:rFonts w:eastAsia="Times New Roman"/>
          <w:lang w:val="en-IN" w:eastAsia="en-IN"/>
        </w:rPr>
      </w:pPr>
    </w:p>
    <w:p w14:paraId="6FD7BB2C" w14:textId="77777777" w:rsidR="006B3DC4" w:rsidRDefault="006B3DC4" w:rsidP="006B3DC4">
      <w:pPr>
        <w:widowControl/>
        <w:rPr>
          <w:rFonts w:eastAsia="Times New Roman"/>
          <w:lang w:val="en-IN" w:eastAsia="en-IN"/>
        </w:rPr>
      </w:pPr>
      <w:r w:rsidRPr="006B3DC4">
        <w:rPr>
          <w:rFonts w:eastAsia="Times New Roman"/>
          <w:lang w:val="en-IN" w:eastAsia="en-IN"/>
        </w:rPr>
        <w:t>NOTE: This aliquot can be stored at 4 °C for up to 1 week.</w:t>
      </w:r>
    </w:p>
    <w:p w14:paraId="2D676C02" w14:textId="77777777" w:rsidR="00C2059D" w:rsidRPr="006B3DC4" w:rsidRDefault="00C2059D" w:rsidP="006B3DC4">
      <w:pPr>
        <w:widowControl/>
        <w:rPr>
          <w:rFonts w:eastAsia="Times New Roman"/>
          <w:lang w:val="en-IN" w:eastAsia="en-IN"/>
        </w:rPr>
      </w:pPr>
    </w:p>
    <w:p w14:paraId="423469BD"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 xml:space="preserve">6.10. Pipette 10 </w:t>
      </w:r>
      <w:proofErr w:type="spellStart"/>
      <w:r w:rsidRPr="004A35BC">
        <w:rPr>
          <w:rFonts w:eastAsia="Times New Roman"/>
          <w:highlight w:val="yellow"/>
          <w:lang w:val="en-IN" w:eastAsia="en-IN"/>
        </w:rPr>
        <w:t>μL</w:t>
      </w:r>
      <w:proofErr w:type="spellEnd"/>
      <w:r w:rsidRPr="004A35BC">
        <w:rPr>
          <w:rFonts w:eastAsia="Times New Roman"/>
          <w:highlight w:val="yellow"/>
          <w:lang w:val="en-IN" w:eastAsia="en-IN"/>
        </w:rPr>
        <w:t xml:space="preserve"> of the diluted DAPI onto each glass slide at the marked drop location.</w:t>
      </w:r>
    </w:p>
    <w:p w14:paraId="1BD26BC7" w14:textId="77777777" w:rsidR="00C2059D" w:rsidRPr="004A35BC" w:rsidRDefault="00C2059D" w:rsidP="006B3DC4">
      <w:pPr>
        <w:widowControl/>
        <w:rPr>
          <w:rFonts w:eastAsia="Times New Roman"/>
          <w:highlight w:val="yellow"/>
          <w:lang w:val="en-IN" w:eastAsia="en-IN"/>
        </w:rPr>
      </w:pPr>
    </w:p>
    <w:p w14:paraId="6FC96115" w14:textId="49B32F2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 xml:space="preserve">6.11. Carefully place a coverslip over the sample to </w:t>
      </w:r>
      <w:r w:rsidR="00591449" w:rsidRPr="004A35BC">
        <w:rPr>
          <w:rFonts w:eastAsia="Times New Roman"/>
          <w:highlight w:val="yellow"/>
          <w:lang w:val="en-IN" w:eastAsia="en-IN"/>
        </w:rPr>
        <w:t>ensure the DAPI solution spreads</w:t>
      </w:r>
      <w:r w:rsidRPr="004A35BC">
        <w:rPr>
          <w:rFonts w:eastAsia="Times New Roman"/>
          <w:highlight w:val="yellow"/>
          <w:lang w:val="en-IN" w:eastAsia="en-IN"/>
        </w:rPr>
        <w:t xml:space="preserve"> evenly.</w:t>
      </w:r>
    </w:p>
    <w:p w14:paraId="0B02A544" w14:textId="77777777" w:rsidR="00C2059D" w:rsidRPr="004A35BC" w:rsidRDefault="00C2059D" w:rsidP="006B3DC4">
      <w:pPr>
        <w:widowControl/>
        <w:rPr>
          <w:rFonts w:eastAsia="Times New Roman"/>
          <w:highlight w:val="yellow"/>
          <w:lang w:val="en-IN" w:eastAsia="en-IN"/>
        </w:rPr>
      </w:pPr>
    </w:p>
    <w:p w14:paraId="1B9E5246"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6.12. Incubate the slides in the dark for 5–10 min.</w:t>
      </w:r>
    </w:p>
    <w:p w14:paraId="6F265B2D" w14:textId="77777777" w:rsidR="00C2059D" w:rsidRPr="004A35BC" w:rsidRDefault="00C2059D" w:rsidP="006B3DC4">
      <w:pPr>
        <w:widowControl/>
        <w:rPr>
          <w:rFonts w:eastAsia="Times New Roman"/>
          <w:highlight w:val="yellow"/>
          <w:lang w:val="en-IN" w:eastAsia="en-IN"/>
        </w:rPr>
      </w:pPr>
    </w:p>
    <w:p w14:paraId="23C713C9"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6.13. Place the glass slides in PBS for 30 s.</w:t>
      </w:r>
    </w:p>
    <w:p w14:paraId="737D3F01" w14:textId="77777777" w:rsidR="00C2059D" w:rsidRPr="004A35BC" w:rsidRDefault="00C2059D" w:rsidP="006B3DC4">
      <w:pPr>
        <w:widowControl/>
        <w:rPr>
          <w:rFonts w:eastAsia="Times New Roman"/>
          <w:highlight w:val="yellow"/>
          <w:lang w:val="en-IN" w:eastAsia="en-IN"/>
        </w:rPr>
      </w:pPr>
    </w:p>
    <w:p w14:paraId="274EBD05"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6.14. Remove the coverslips.</w:t>
      </w:r>
    </w:p>
    <w:p w14:paraId="18FDC163" w14:textId="77777777" w:rsidR="00C2059D" w:rsidRPr="004A35BC" w:rsidRDefault="00C2059D" w:rsidP="006B3DC4">
      <w:pPr>
        <w:widowControl/>
        <w:rPr>
          <w:rFonts w:eastAsia="Times New Roman"/>
          <w:highlight w:val="yellow"/>
          <w:lang w:val="en-IN" w:eastAsia="en-IN"/>
        </w:rPr>
      </w:pPr>
    </w:p>
    <w:p w14:paraId="12B628BC"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6.15. Place the glass slides in PBS for 2 min.</w:t>
      </w:r>
    </w:p>
    <w:p w14:paraId="4E83B2F3" w14:textId="77777777" w:rsidR="00C2059D" w:rsidRPr="004A35BC" w:rsidRDefault="00C2059D" w:rsidP="006B3DC4">
      <w:pPr>
        <w:widowControl/>
        <w:rPr>
          <w:rFonts w:eastAsia="Times New Roman"/>
          <w:highlight w:val="yellow"/>
          <w:lang w:val="en-IN" w:eastAsia="en-IN"/>
        </w:rPr>
      </w:pPr>
    </w:p>
    <w:p w14:paraId="71456572"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6.16. Dehydrate the glass slides by briefly dipping them in 70%, 85%, and 100% ethanol for approximately 10 s each.</w:t>
      </w:r>
    </w:p>
    <w:p w14:paraId="55456B84" w14:textId="77777777" w:rsidR="00C2059D" w:rsidRPr="004A35BC" w:rsidRDefault="00C2059D" w:rsidP="006B3DC4">
      <w:pPr>
        <w:widowControl/>
        <w:rPr>
          <w:rFonts w:eastAsia="Times New Roman"/>
          <w:highlight w:val="yellow"/>
          <w:lang w:val="en-IN" w:eastAsia="en-IN"/>
        </w:rPr>
      </w:pPr>
    </w:p>
    <w:p w14:paraId="0E51CC9D" w14:textId="77777777" w:rsidR="006B3DC4" w:rsidRPr="004A35BC" w:rsidRDefault="006B3DC4" w:rsidP="006B3DC4">
      <w:pPr>
        <w:widowControl/>
        <w:rPr>
          <w:rFonts w:eastAsia="Times New Roman"/>
          <w:highlight w:val="yellow"/>
          <w:lang w:val="en-IN" w:eastAsia="en-IN"/>
        </w:rPr>
      </w:pPr>
      <w:r w:rsidRPr="004A35BC">
        <w:rPr>
          <w:rFonts w:eastAsia="Times New Roman"/>
          <w:highlight w:val="yellow"/>
          <w:lang w:val="en-IN" w:eastAsia="en-IN"/>
        </w:rPr>
        <w:t>6.17. Air-dry the slides at RT for 10 min in the dark.</w:t>
      </w:r>
    </w:p>
    <w:p w14:paraId="2C61D74A" w14:textId="77777777" w:rsidR="00C2059D" w:rsidRPr="004A35BC" w:rsidRDefault="00C2059D" w:rsidP="006B3DC4">
      <w:pPr>
        <w:widowControl/>
        <w:rPr>
          <w:rFonts w:eastAsia="Times New Roman"/>
          <w:highlight w:val="yellow"/>
          <w:lang w:val="en-IN" w:eastAsia="en-IN"/>
        </w:rPr>
      </w:pPr>
    </w:p>
    <w:p w14:paraId="732362CC" w14:textId="77777777" w:rsidR="006B3DC4" w:rsidRDefault="006B3DC4" w:rsidP="006B3DC4">
      <w:pPr>
        <w:widowControl/>
        <w:rPr>
          <w:rFonts w:eastAsia="Times New Roman"/>
          <w:lang w:val="en-IN" w:eastAsia="en-IN"/>
        </w:rPr>
      </w:pPr>
      <w:r w:rsidRPr="004A35BC">
        <w:rPr>
          <w:rFonts w:eastAsia="Times New Roman"/>
          <w:highlight w:val="yellow"/>
          <w:lang w:val="en-IN" w:eastAsia="en-IN"/>
        </w:rPr>
        <w:t xml:space="preserve">6.18. Add 15 </w:t>
      </w:r>
      <w:proofErr w:type="spellStart"/>
      <w:r w:rsidRPr="004A35BC">
        <w:rPr>
          <w:rFonts w:eastAsia="Times New Roman"/>
          <w:highlight w:val="yellow"/>
          <w:lang w:val="en-IN" w:eastAsia="en-IN"/>
        </w:rPr>
        <w:t>μL</w:t>
      </w:r>
      <w:proofErr w:type="spellEnd"/>
      <w:r w:rsidRPr="004A35BC">
        <w:rPr>
          <w:rFonts w:eastAsia="Times New Roman"/>
          <w:highlight w:val="yellow"/>
          <w:lang w:val="en-IN" w:eastAsia="en-IN"/>
        </w:rPr>
        <w:t xml:space="preserve"> of mounting medium to each glass slide, then place a coverslip on top.</w:t>
      </w:r>
    </w:p>
    <w:p w14:paraId="757BF17B" w14:textId="77777777" w:rsidR="00C2059D" w:rsidRPr="006B3DC4" w:rsidRDefault="00C2059D" w:rsidP="006B3DC4">
      <w:pPr>
        <w:widowControl/>
        <w:rPr>
          <w:rFonts w:eastAsia="Times New Roman"/>
          <w:lang w:val="en-IN" w:eastAsia="en-IN"/>
        </w:rPr>
      </w:pPr>
    </w:p>
    <w:p w14:paraId="2F921C0E" w14:textId="77777777" w:rsidR="006B3DC4" w:rsidRDefault="006B3DC4" w:rsidP="006B3DC4">
      <w:pPr>
        <w:widowControl/>
        <w:rPr>
          <w:rFonts w:eastAsia="Times New Roman"/>
          <w:lang w:val="en-IN" w:eastAsia="en-IN"/>
        </w:rPr>
      </w:pPr>
      <w:r w:rsidRPr="006B3DC4">
        <w:rPr>
          <w:rFonts w:eastAsia="Times New Roman"/>
          <w:lang w:val="en-IN" w:eastAsia="en-IN"/>
        </w:rPr>
        <w:t>6.19. Allow the mounting medium to spread evenly, then gently blot away any excess.</w:t>
      </w:r>
    </w:p>
    <w:p w14:paraId="56A5CE41" w14:textId="77777777" w:rsidR="00C2059D" w:rsidRPr="006B3DC4" w:rsidRDefault="00C2059D" w:rsidP="006B3DC4">
      <w:pPr>
        <w:widowControl/>
        <w:rPr>
          <w:rFonts w:eastAsia="Times New Roman"/>
          <w:lang w:val="en-IN" w:eastAsia="en-IN"/>
        </w:rPr>
      </w:pPr>
    </w:p>
    <w:p w14:paraId="134B06F3" w14:textId="77777777" w:rsidR="006B3DC4" w:rsidRDefault="006B3DC4" w:rsidP="006B3DC4">
      <w:pPr>
        <w:widowControl/>
        <w:rPr>
          <w:rFonts w:eastAsia="Times New Roman"/>
          <w:lang w:val="en-IN" w:eastAsia="en-IN"/>
        </w:rPr>
      </w:pPr>
      <w:r w:rsidRPr="004A35BC">
        <w:rPr>
          <w:rFonts w:eastAsia="Times New Roman"/>
          <w:highlight w:val="yellow"/>
          <w:lang w:val="en-IN" w:eastAsia="en-IN"/>
        </w:rPr>
        <w:t>6.20. Seal the edges of the coverslip with nail polish.</w:t>
      </w:r>
    </w:p>
    <w:p w14:paraId="38FC9214" w14:textId="77777777" w:rsidR="00C2059D" w:rsidRPr="006B3DC4" w:rsidRDefault="00C2059D" w:rsidP="006B3DC4">
      <w:pPr>
        <w:widowControl/>
        <w:rPr>
          <w:rFonts w:eastAsia="Times New Roman"/>
          <w:lang w:val="en-IN" w:eastAsia="en-IN"/>
        </w:rPr>
      </w:pPr>
    </w:p>
    <w:p w14:paraId="40566527" w14:textId="77777777" w:rsidR="006B3DC4" w:rsidRDefault="006B3DC4" w:rsidP="006B3DC4">
      <w:pPr>
        <w:widowControl/>
        <w:rPr>
          <w:rFonts w:eastAsia="Times New Roman"/>
          <w:lang w:val="en-IN" w:eastAsia="en-IN"/>
        </w:rPr>
      </w:pPr>
      <w:r w:rsidRPr="006B3DC4">
        <w:rPr>
          <w:rFonts w:eastAsia="Times New Roman"/>
          <w:lang w:val="en-IN" w:eastAsia="en-IN"/>
        </w:rPr>
        <w:t>6.21. Allow the nail polish to dry for 15 min at RT in the dark.</w:t>
      </w:r>
    </w:p>
    <w:p w14:paraId="2BBAD17A" w14:textId="77777777" w:rsidR="00C2059D" w:rsidRPr="006B3DC4" w:rsidRDefault="00C2059D" w:rsidP="006B3DC4">
      <w:pPr>
        <w:widowControl/>
        <w:rPr>
          <w:rFonts w:eastAsia="Times New Roman"/>
          <w:lang w:val="en-IN" w:eastAsia="en-IN"/>
        </w:rPr>
      </w:pPr>
    </w:p>
    <w:p w14:paraId="4D7370F1" w14:textId="09E48B37" w:rsidR="006B3DC4" w:rsidRDefault="006B3DC4" w:rsidP="006B3DC4">
      <w:pPr>
        <w:widowControl/>
        <w:rPr>
          <w:rFonts w:eastAsia="Times New Roman"/>
          <w:lang w:val="en-IN" w:eastAsia="en-IN"/>
        </w:rPr>
      </w:pPr>
      <w:r w:rsidRPr="006B3DC4">
        <w:rPr>
          <w:rFonts w:eastAsia="Times New Roman"/>
          <w:lang w:val="en-IN" w:eastAsia="en-IN"/>
        </w:rPr>
        <w:t>PAUSE: Store the slides at 4 °C for long-term storage.</w:t>
      </w:r>
    </w:p>
    <w:p w14:paraId="5A4BDA43" w14:textId="77777777" w:rsidR="00C2059D" w:rsidRPr="006B3DC4" w:rsidRDefault="00C2059D" w:rsidP="006B3DC4">
      <w:pPr>
        <w:widowControl/>
        <w:rPr>
          <w:rFonts w:eastAsia="Times New Roman"/>
          <w:lang w:val="en-IN" w:eastAsia="en-IN"/>
        </w:rPr>
      </w:pPr>
    </w:p>
    <w:p w14:paraId="60C0BD58" w14:textId="485669DF" w:rsidR="006B3DC4" w:rsidRDefault="006B3DC4" w:rsidP="006B3DC4">
      <w:pPr>
        <w:widowControl/>
        <w:rPr>
          <w:rFonts w:eastAsia="Times New Roman"/>
          <w:lang w:val="en-IN" w:eastAsia="en-IN"/>
        </w:rPr>
      </w:pPr>
      <w:r w:rsidRPr="006B3DC4">
        <w:rPr>
          <w:rFonts w:eastAsia="Times New Roman"/>
          <w:lang w:val="en-IN" w:eastAsia="en-IN"/>
        </w:rPr>
        <w:t>6.2</w:t>
      </w:r>
      <w:r w:rsidR="005F4DD6">
        <w:rPr>
          <w:rFonts w:eastAsia="Times New Roman"/>
          <w:lang w:val="en-IN" w:eastAsia="en-IN"/>
        </w:rPr>
        <w:t>2</w:t>
      </w:r>
      <w:r w:rsidRPr="006B3DC4">
        <w:rPr>
          <w:rFonts w:eastAsia="Times New Roman"/>
          <w:lang w:val="en-IN" w:eastAsia="en-IN"/>
        </w:rPr>
        <w:t>. Image the slides.</w:t>
      </w:r>
    </w:p>
    <w:p w14:paraId="3A4AC764" w14:textId="77777777" w:rsidR="00C2059D" w:rsidRPr="006B3DC4" w:rsidRDefault="00C2059D" w:rsidP="006B3DC4">
      <w:pPr>
        <w:widowControl/>
        <w:rPr>
          <w:rFonts w:eastAsia="Times New Roman"/>
          <w:lang w:val="en-IN" w:eastAsia="en-IN"/>
        </w:rPr>
      </w:pPr>
    </w:p>
    <w:p w14:paraId="559E573F" w14:textId="595E5159" w:rsidR="004964B6" w:rsidRDefault="006B3DC4" w:rsidP="005F4DD6">
      <w:pPr>
        <w:widowControl/>
        <w:rPr>
          <w:rFonts w:eastAsia="Times New Roman"/>
          <w:lang w:val="en-IN" w:eastAsia="en-IN"/>
        </w:rPr>
      </w:pPr>
      <w:r w:rsidRPr="006B3DC4">
        <w:rPr>
          <w:rFonts w:eastAsia="Times New Roman"/>
          <w:lang w:val="en-IN" w:eastAsia="en-IN"/>
        </w:rPr>
        <w:lastRenderedPageBreak/>
        <w:t xml:space="preserve">NOTE: Images were acquired using an inverted fluorescence microscope with a 60× oil-immersion objective. </w:t>
      </w:r>
    </w:p>
    <w:p w14:paraId="4F1A4C00" w14:textId="77777777" w:rsidR="005F4DD6" w:rsidRDefault="005F4DD6" w:rsidP="005F4DD6">
      <w:pPr>
        <w:widowControl/>
        <w:rPr>
          <w:rFonts w:eastAsia="Times New Roman"/>
          <w:lang w:val="en-IN" w:eastAsia="en-IN"/>
        </w:rPr>
      </w:pPr>
    </w:p>
    <w:p w14:paraId="7975B698" w14:textId="77777777" w:rsidR="00F42321" w:rsidRDefault="00F42321" w:rsidP="005F4DD6">
      <w:pPr>
        <w:widowControl/>
        <w:rPr>
          <w:rFonts w:eastAsia="Times New Roman"/>
          <w:lang w:val="en-IN" w:eastAsia="en-IN"/>
        </w:rPr>
      </w:pPr>
      <w:r w:rsidRPr="006B3DC4">
        <w:rPr>
          <w:rFonts w:eastAsia="Times New Roman"/>
          <w:lang w:val="en-IN" w:eastAsia="en-IN"/>
        </w:rPr>
        <w:t>6.2</w:t>
      </w:r>
      <w:r>
        <w:rPr>
          <w:rFonts w:eastAsia="Times New Roman"/>
          <w:lang w:val="en-IN" w:eastAsia="en-IN"/>
        </w:rPr>
        <w:t>3</w:t>
      </w:r>
      <w:r w:rsidRPr="006B3DC4">
        <w:rPr>
          <w:rFonts w:eastAsia="Times New Roman"/>
          <w:lang w:val="en-IN" w:eastAsia="en-IN"/>
        </w:rPr>
        <w:t xml:space="preserve">. </w:t>
      </w:r>
      <w:r w:rsidR="005F4DD6" w:rsidRPr="006B3DC4">
        <w:rPr>
          <w:rFonts w:eastAsia="Times New Roman"/>
          <w:lang w:val="en-IN" w:eastAsia="en-IN"/>
        </w:rPr>
        <w:t xml:space="preserve">Collect multiple z-stacks for each fluorescence channel to capture signal throughout the full depth of the metaphase spread. </w:t>
      </w:r>
    </w:p>
    <w:p w14:paraId="07E8B117" w14:textId="77777777" w:rsidR="00F42321" w:rsidRDefault="00F42321" w:rsidP="005F4DD6">
      <w:pPr>
        <w:widowControl/>
        <w:rPr>
          <w:rFonts w:eastAsia="Times New Roman"/>
          <w:lang w:val="en-IN" w:eastAsia="en-IN"/>
        </w:rPr>
      </w:pPr>
    </w:p>
    <w:p w14:paraId="2A04482F" w14:textId="77777777" w:rsidR="000706DA" w:rsidRDefault="00F42321" w:rsidP="005F4DD6">
      <w:pPr>
        <w:widowControl/>
        <w:rPr>
          <w:rFonts w:eastAsia="Times New Roman"/>
          <w:lang w:val="en-IN" w:eastAsia="en-IN"/>
        </w:rPr>
      </w:pPr>
      <w:r w:rsidRPr="006B3DC4">
        <w:rPr>
          <w:rFonts w:eastAsia="Times New Roman"/>
          <w:lang w:val="en-IN" w:eastAsia="en-IN"/>
        </w:rPr>
        <w:t>6.2</w:t>
      </w:r>
      <w:r>
        <w:rPr>
          <w:rFonts w:eastAsia="Times New Roman"/>
          <w:lang w:val="en-IN" w:eastAsia="en-IN"/>
        </w:rPr>
        <w:t>4</w:t>
      </w:r>
      <w:r w:rsidRPr="006B3DC4">
        <w:rPr>
          <w:rFonts w:eastAsia="Times New Roman"/>
          <w:lang w:val="en-IN" w:eastAsia="en-IN"/>
        </w:rPr>
        <w:t xml:space="preserve">. </w:t>
      </w:r>
      <w:r w:rsidR="005F4DD6" w:rsidRPr="006B3DC4">
        <w:rPr>
          <w:rFonts w:eastAsia="Times New Roman"/>
          <w:lang w:val="en-IN" w:eastAsia="en-IN"/>
        </w:rPr>
        <w:t xml:space="preserve">Deconvolve the image stacks using a maximum-likelihood estimation algorithm to enhance signal clarity and reduce out-of-focus fluorescence. </w:t>
      </w:r>
    </w:p>
    <w:p w14:paraId="64159F61" w14:textId="77777777" w:rsidR="000706DA" w:rsidRDefault="000706DA" w:rsidP="005F4DD6">
      <w:pPr>
        <w:widowControl/>
        <w:rPr>
          <w:rFonts w:eastAsia="Times New Roman"/>
          <w:lang w:val="en-IN" w:eastAsia="en-IN"/>
        </w:rPr>
      </w:pPr>
    </w:p>
    <w:p w14:paraId="7486EFE7" w14:textId="2F332902" w:rsidR="005F4DD6" w:rsidRPr="006B3DC4" w:rsidRDefault="000706DA" w:rsidP="005F4DD6">
      <w:pPr>
        <w:widowControl/>
        <w:rPr>
          <w:rFonts w:eastAsia="Times New Roman"/>
          <w:lang w:val="en-IN" w:eastAsia="en-IN"/>
        </w:rPr>
      </w:pPr>
      <w:r w:rsidRPr="006B3DC4">
        <w:rPr>
          <w:rFonts w:eastAsia="Times New Roman"/>
          <w:lang w:val="en-IN" w:eastAsia="en-IN"/>
        </w:rPr>
        <w:t>6.2</w:t>
      </w:r>
      <w:r>
        <w:rPr>
          <w:rFonts w:eastAsia="Times New Roman"/>
          <w:lang w:val="en-IN" w:eastAsia="en-IN"/>
        </w:rPr>
        <w:t>5</w:t>
      </w:r>
      <w:r w:rsidRPr="006B3DC4">
        <w:rPr>
          <w:rFonts w:eastAsia="Times New Roman"/>
          <w:lang w:val="en-IN" w:eastAsia="en-IN"/>
        </w:rPr>
        <w:t xml:space="preserve">. </w:t>
      </w:r>
      <w:r w:rsidR="005F4DD6" w:rsidRPr="006B3DC4">
        <w:rPr>
          <w:rFonts w:eastAsia="Times New Roman"/>
          <w:lang w:val="en-IN" w:eastAsia="en-IN"/>
        </w:rPr>
        <w:t xml:space="preserve">Process and </w:t>
      </w:r>
      <w:proofErr w:type="spellStart"/>
      <w:r w:rsidR="005F4DD6" w:rsidRPr="006B3DC4">
        <w:rPr>
          <w:rFonts w:eastAsia="Times New Roman"/>
          <w:lang w:val="en-IN" w:eastAsia="en-IN"/>
        </w:rPr>
        <w:t>analyze</w:t>
      </w:r>
      <w:proofErr w:type="spellEnd"/>
      <w:r w:rsidR="005F4DD6" w:rsidRPr="006B3DC4">
        <w:rPr>
          <w:rFonts w:eastAsia="Times New Roman"/>
          <w:lang w:val="en-IN" w:eastAsia="en-IN"/>
        </w:rPr>
        <w:t xml:space="preserve"> the final images in ImageJ, and select the optimal focal plane for each metaphase spread before downstream analysis.</w:t>
      </w:r>
    </w:p>
    <w:p w14:paraId="16647AA0" w14:textId="77777777" w:rsidR="005F4DD6" w:rsidRPr="00DD309C" w:rsidRDefault="005F4DD6" w:rsidP="005F4DD6">
      <w:pPr>
        <w:widowControl/>
        <w:rPr>
          <w:b/>
          <w:color w:val="000000" w:themeColor="text1"/>
        </w:rPr>
      </w:pPr>
    </w:p>
    <w:p w14:paraId="7750B62B" w14:textId="77777777" w:rsidR="008D00AB" w:rsidRPr="00DD309C" w:rsidRDefault="008D00AB" w:rsidP="008D00AB">
      <w:pPr>
        <w:pBdr>
          <w:top w:val="nil"/>
          <w:left w:val="nil"/>
          <w:bottom w:val="nil"/>
          <w:right w:val="nil"/>
          <w:between w:val="nil"/>
        </w:pBdr>
        <w:rPr>
          <w:color w:val="000000" w:themeColor="text1"/>
        </w:rPr>
      </w:pPr>
      <w:r w:rsidRPr="00DD309C">
        <w:rPr>
          <w:b/>
          <w:bCs/>
          <w:color w:val="000000" w:themeColor="text1"/>
        </w:rPr>
        <w:t>REPRESENTATIVE RESULTS:</w:t>
      </w:r>
    </w:p>
    <w:p w14:paraId="4BB132AC" w14:textId="6DA0C4D1" w:rsidR="00C65870" w:rsidRDefault="00C65870" w:rsidP="00C65870">
      <w:pPr>
        <w:rPr>
          <w:color w:val="000000" w:themeColor="text1"/>
          <w:lang w:val="en-IN"/>
        </w:rPr>
      </w:pPr>
      <w:r w:rsidRPr="00C65870">
        <w:rPr>
          <w:color w:val="000000" w:themeColor="text1"/>
          <w:lang w:val="en-IN"/>
        </w:rPr>
        <w:t>This protocol (</w:t>
      </w:r>
      <w:r w:rsidRPr="00C65870">
        <w:rPr>
          <w:b/>
          <w:bCs/>
          <w:color w:val="000000" w:themeColor="text1"/>
          <w:lang w:val="en-IN"/>
        </w:rPr>
        <w:t>Figure 1B</w:t>
      </w:r>
      <w:r w:rsidRPr="00C65870">
        <w:rPr>
          <w:color w:val="000000" w:themeColor="text1"/>
          <w:lang w:val="en-IN"/>
        </w:rPr>
        <w:t>) yields clean, well-dispersed, intact metaphase chromosomes suitable for cytogenetic analysis, with chromosomes and DNA-FISH signals clearly visible by fluorescence microscopy. Using a brightfield/phase-contrast microscope at low magnification (10× or 20×) is an important quality-control step to verify that nuclei have burst and chromosomes have dispersed (</w:t>
      </w:r>
      <w:r w:rsidRPr="00C65870">
        <w:rPr>
          <w:b/>
          <w:bCs/>
          <w:color w:val="000000" w:themeColor="text1"/>
          <w:lang w:val="en-IN"/>
        </w:rPr>
        <w:t>Figure 2</w:t>
      </w:r>
      <w:r w:rsidRPr="00C65870">
        <w:rPr>
          <w:color w:val="000000" w:themeColor="text1"/>
          <w:lang w:val="en-IN"/>
        </w:rPr>
        <w:t xml:space="preserve">). Successful fixation and tabletop dropping should yield well-dispersed metaphase spreads with multiple visible chromosome bursts across the slide. The yield of high-quality metaphase spreads is cell line-dependent and is also influenced by the duration of </w:t>
      </w:r>
      <w:proofErr w:type="spellStart"/>
      <w:r w:rsidRPr="00C65870">
        <w:rPr>
          <w:color w:val="000000" w:themeColor="text1"/>
          <w:lang w:val="en-IN"/>
        </w:rPr>
        <w:t>Colcemid</w:t>
      </w:r>
      <w:proofErr w:type="spellEnd"/>
      <w:r w:rsidRPr="00C65870">
        <w:rPr>
          <w:color w:val="000000" w:themeColor="text1"/>
          <w:lang w:val="en-IN"/>
        </w:rPr>
        <w:t xml:space="preserve"> treatment. As a general benchmark, </w:t>
      </w:r>
      <w:r w:rsidR="007E47D1" w:rsidRPr="007E47D1">
        <w:rPr>
          <w:color w:val="000000" w:themeColor="text1"/>
        </w:rPr>
        <w:t>successful preparations typically yield</w:t>
      </w:r>
      <w:r w:rsidR="007E47D1">
        <w:rPr>
          <w:color w:val="000000" w:themeColor="text1"/>
        </w:rPr>
        <w:t xml:space="preserve"> </w:t>
      </w:r>
      <w:r w:rsidRPr="00C65870">
        <w:rPr>
          <w:color w:val="000000" w:themeColor="text1"/>
          <w:lang w:val="en-IN"/>
        </w:rPr>
        <w:t xml:space="preserve">approximately 3–5 </w:t>
      </w:r>
      <w:r w:rsidR="00FD2282">
        <w:rPr>
          <w:color w:val="000000" w:themeColor="text1"/>
          <w:lang w:val="en-IN"/>
        </w:rPr>
        <w:t>cells that burst at metaphase per field of view using a 20× objective</w:t>
      </w:r>
      <w:r w:rsidR="00FD2282" w:rsidRPr="00FD2282">
        <w:rPr>
          <w:color w:val="000000" w:themeColor="text1"/>
          <w:vertAlign w:val="superscript"/>
          <w:lang w:val="en-IN"/>
        </w:rPr>
        <w:t>52</w:t>
      </w:r>
      <w:r w:rsidRPr="00C65870">
        <w:rPr>
          <w:color w:val="000000" w:themeColor="text1"/>
          <w:lang w:val="en-IN"/>
        </w:rPr>
        <w:t>. Suboptimal metaphase spreads often exhibit cell clumping, a low proportion of burst nuclei, and/or poor chromosome dispersion, all of which interfere with downstream interpretation.</w:t>
      </w:r>
    </w:p>
    <w:p w14:paraId="4730FE97" w14:textId="77777777" w:rsidR="00C65870" w:rsidRPr="00C65870" w:rsidRDefault="00C65870" w:rsidP="00C65870">
      <w:pPr>
        <w:rPr>
          <w:color w:val="000000" w:themeColor="text1"/>
          <w:lang w:val="en-IN"/>
        </w:rPr>
      </w:pPr>
    </w:p>
    <w:p w14:paraId="67F1CFDE" w14:textId="6DA5F2AC" w:rsidR="00C65870" w:rsidRDefault="00C65870" w:rsidP="00C65870">
      <w:pPr>
        <w:rPr>
          <w:color w:val="000000" w:themeColor="text1"/>
          <w:lang w:val="en-IN"/>
        </w:rPr>
      </w:pPr>
      <w:r w:rsidRPr="00C65870">
        <w:rPr>
          <w:color w:val="000000" w:themeColor="text1"/>
          <w:lang w:val="en-IN"/>
        </w:rPr>
        <w:t xml:space="preserve">Representative DNA-FISH metaphase spread images illustrating </w:t>
      </w:r>
      <w:proofErr w:type="spellStart"/>
      <w:r w:rsidRPr="00C65870">
        <w:rPr>
          <w:color w:val="000000" w:themeColor="text1"/>
          <w:lang w:val="en-IN"/>
        </w:rPr>
        <w:t>ecDNA</w:t>
      </w:r>
      <w:proofErr w:type="spellEnd"/>
      <w:r w:rsidRPr="00C65870">
        <w:rPr>
          <w:color w:val="000000" w:themeColor="text1"/>
          <w:lang w:val="en-IN"/>
        </w:rPr>
        <w:t xml:space="preserve"> and HSR amplification states are shown in </w:t>
      </w:r>
      <w:r w:rsidRPr="00C65870">
        <w:rPr>
          <w:b/>
          <w:bCs/>
          <w:color w:val="000000" w:themeColor="text1"/>
          <w:lang w:val="en-IN"/>
        </w:rPr>
        <w:t>Figure 3</w:t>
      </w:r>
      <w:r w:rsidRPr="00C65870">
        <w:rPr>
          <w:color w:val="000000" w:themeColor="text1"/>
          <w:lang w:val="en-IN"/>
        </w:rPr>
        <w:t xml:space="preserve">. In the </w:t>
      </w:r>
      <w:proofErr w:type="spellStart"/>
      <w:r w:rsidRPr="00C65870">
        <w:rPr>
          <w:color w:val="000000" w:themeColor="text1"/>
          <w:lang w:val="en-IN"/>
        </w:rPr>
        <w:t>ecDNA</w:t>
      </w:r>
      <w:proofErr w:type="spellEnd"/>
      <w:r w:rsidRPr="00C65870">
        <w:rPr>
          <w:color w:val="000000" w:themeColor="text1"/>
          <w:lang w:val="en-IN"/>
        </w:rPr>
        <w:t xml:space="preserve"> state, the locus-specific probe should be detected outside the linear chromosomes (</w:t>
      </w:r>
      <w:r w:rsidRPr="003B0D77">
        <w:rPr>
          <w:b/>
          <w:bCs/>
          <w:color w:val="000000" w:themeColor="text1"/>
          <w:lang w:val="en-IN"/>
        </w:rPr>
        <w:t>Figure 3A,C</w:t>
      </w:r>
      <w:r w:rsidRPr="00C65870">
        <w:rPr>
          <w:color w:val="000000" w:themeColor="text1"/>
          <w:lang w:val="en-IN"/>
        </w:rPr>
        <w:t xml:space="preserve">). Within a single sample, the number of </w:t>
      </w:r>
      <w:proofErr w:type="spellStart"/>
      <w:r w:rsidRPr="00C65870">
        <w:rPr>
          <w:color w:val="000000" w:themeColor="text1"/>
          <w:lang w:val="en-IN"/>
        </w:rPr>
        <w:t>ecDNA</w:t>
      </w:r>
      <w:proofErr w:type="spellEnd"/>
      <w:r w:rsidRPr="00C65870">
        <w:rPr>
          <w:color w:val="000000" w:themeColor="text1"/>
          <w:lang w:val="en-IN"/>
        </w:rPr>
        <w:t xml:space="preserve"> signals may vary substantially from cell to cell, reflecting the unequal distribution of </w:t>
      </w:r>
      <w:proofErr w:type="spellStart"/>
      <w:r w:rsidRPr="00C65870">
        <w:rPr>
          <w:color w:val="000000" w:themeColor="text1"/>
          <w:lang w:val="en-IN"/>
        </w:rPr>
        <w:t>ecDNA</w:t>
      </w:r>
      <w:proofErr w:type="spellEnd"/>
      <w:r w:rsidRPr="00C65870">
        <w:rPr>
          <w:color w:val="000000" w:themeColor="text1"/>
          <w:lang w:val="en-IN"/>
        </w:rPr>
        <w:t xml:space="preserve"> during cell division</w:t>
      </w:r>
      <w:r w:rsidRPr="00994DC4">
        <w:rPr>
          <w:color w:val="000000" w:themeColor="text1"/>
          <w:vertAlign w:val="superscript"/>
          <w:lang w:val="en-IN"/>
        </w:rPr>
        <w:t>12,13</w:t>
      </w:r>
      <w:r w:rsidRPr="00C65870">
        <w:rPr>
          <w:color w:val="000000" w:themeColor="text1"/>
          <w:lang w:val="en-IN"/>
        </w:rPr>
        <w:t xml:space="preserve">. This heterogeneity is a characteristic feature of </w:t>
      </w:r>
      <w:proofErr w:type="spellStart"/>
      <w:r w:rsidRPr="00C65870">
        <w:rPr>
          <w:color w:val="000000" w:themeColor="text1"/>
          <w:lang w:val="en-IN"/>
        </w:rPr>
        <w:t>ecDNA</w:t>
      </w:r>
      <w:proofErr w:type="spellEnd"/>
      <w:r w:rsidRPr="00C65870">
        <w:rPr>
          <w:color w:val="000000" w:themeColor="text1"/>
          <w:lang w:val="en-IN"/>
        </w:rPr>
        <w:t>-containing cell lines and should be expected.</w:t>
      </w:r>
    </w:p>
    <w:p w14:paraId="7DBAC4AF" w14:textId="77777777" w:rsidR="00C65870" w:rsidRPr="00C65870" w:rsidRDefault="00C65870" w:rsidP="00C65870">
      <w:pPr>
        <w:rPr>
          <w:color w:val="000000" w:themeColor="text1"/>
          <w:lang w:val="en-IN"/>
        </w:rPr>
      </w:pPr>
    </w:p>
    <w:p w14:paraId="42C05A41" w14:textId="59B7B383" w:rsidR="00C65870" w:rsidRDefault="00C65870" w:rsidP="00C65870">
      <w:pPr>
        <w:rPr>
          <w:color w:val="000000" w:themeColor="text1"/>
          <w:lang w:val="en-IN"/>
        </w:rPr>
      </w:pPr>
      <w:r w:rsidRPr="00C65870">
        <w:rPr>
          <w:color w:val="000000" w:themeColor="text1"/>
          <w:lang w:val="en-IN"/>
        </w:rPr>
        <w:t>In the HSR state, the probe signal appears as a dense cluster on a linear chromosome (</w:t>
      </w:r>
      <w:r w:rsidRPr="00994DC4">
        <w:rPr>
          <w:b/>
          <w:bCs/>
          <w:color w:val="000000" w:themeColor="text1"/>
          <w:lang w:val="en-IN"/>
        </w:rPr>
        <w:t>Figure 3B,D</w:t>
      </w:r>
      <w:r w:rsidRPr="00C65870">
        <w:rPr>
          <w:color w:val="000000" w:themeColor="text1"/>
          <w:lang w:val="en-IN"/>
        </w:rPr>
        <w:t xml:space="preserve">). Unlike </w:t>
      </w:r>
      <w:proofErr w:type="spellStart"/>
      <w:r w:rsidRPr="00C65870">
        <w:rPr>
          <w:color w:val="000000" w:themeColor="text1"/>
          <w:lang w:val="en-IN"/>
        </w:rPr>
        <w:t>ecDNA</w:t>
      </w:r>
      <w:proofErr w:type="spellEnd"/>
      <w:r w:rsidRPr="00C65870">
        <w:rPr>
          <w:color w:val="000000" w:themeColor="text1"/>
          <w:lang w:val="en-IN"/>
        </w:rPr>
        <w:t>, HSR signals are relatively consistent across nuclei within a single sample, reflecting the mitotic stability of chromosomally integrated amplification</w:t>
      </w:r>
      <w:r w:rsidRPr="00994DC4">
        <w:rPr>
          <w:color w:val="000000" w:themeColor="text1"/>
          <w:vertAlign w:val="superscript"/>
          <w:lang w:val="en-IN"/>
        </w:rPr>
        <w:t>3,13,18,53</w:t>
      </w:r>
      <w:r w:rsidRPr="00C65870">
        <w:rPr>
          <w:color w:val="000000" w:themeColor="text1"/>
          <w:lang w:val="en-IN"/>
        </w:rPr>
        <w:t>. Because HSRs most often do not reside on the chromosome from which they originated, including a centromere probe for the endogenous chromosome is helpful. This centromere probe enables identification of both the native copy of the locus and the HSR-associated amplification. In some cell lines, multiple HSRs may be observed within the same metaphase spread, as demonstrated in GBM39</w:t>
      </w:r>
      <w:r w:rsidR="00977927">
        <w:rPr>
          <w:color w:val="000000" w:themeColor="text1"/>
          <w:lang w:val="en-IN"/>
        </w:rPr>
        <w:t>hsr</w:t>
      </w:r>
      <w:r w:rsidRPr="00C65870">
        <w:rPr>
          <w:color w:val="000000" w:themeColor="text1"/>
          <w:lang w:val="en-IN"/>
        </w:rPr>
        <w:t xml:space="preserve"> cells (</w:t>
      </w:r>
      <w:r w:rsidRPr="00AB5A8D">
        <w:rPr>
          <w:b/>
          <w:bCs/>
          <w:color w:val="000000" w:themeColor="text1"/>
          <w:lang w:val="en-IN"/>
        </w:rPr>
        <w:t>Figure 3D</w:t>
      </w:r>
      <w:r w:rsidRPr="00C65870">
        <w:rPr>
          <w:color w:val="000000" w:themeColor="text1"/>
          <w:lang w:val="en-IN"/>
        </w:rPr>
        <w:t xml:space="preserve">). </w:t>
      </w:r>
      <w:r w:rsidR="007740CC" w:rsidRPr="007740CC">
        <w:rPr>
          <w:color w:val="000000" w:themeColor="text1"/>
          <w:lang w:val="en-IN"/>
        </w:rPr>
        <w:t xml:space="preserve">In addition, HSRs can vary considerably in size, with some appearing as small chromosomally integrated signals that may be difficult to distinguish from </w:t>
      </w:r>
      <w:proofErr w:type="spellStart"/>
      <w:r w:rsidR="007740CC" w:rsidRPr="007740CC">
        <w:rPr>
          <w:color w:val="000000" w:themeColor="text1"/>
          <w:lang w:val="en-IN"/>
        </w:rPr>
        <w:t>ecDNA</w:t>
      </w:r>
      <w:proofErr w:type="spellEnd"/>
      <w:r w:rsidR="007740CC" w:rsidRPr="007740CC">
        <w:rPr>
          <w:color w:val="000000" w:themeColor="text1"/>
          <w:lang w:val="en-IN"/>
        </w:rPr>
        <w:t xml:space="preserve"> without careful evaluation of their chromosomal localization (</w:t>
      </w:r>
      <w:r w:rsidR="007740CC" w:rsidRPr="007740CC">
        <w:rPr>
          <w:b/>
          <w:bCs/>
          <w:color w:val="000000" w:themeColor="text1"/>
          <w:lang w:val="en-IN"/>
        </w:rPr>
        <w:t>Supplementary Figure 1</w:t>
      </w:r>
      <w:r w:rsidR="007740CC" w:rsidRPr="007740CC">
        <w:rPr>
          <w:color w:val="000000" w:themeColor="text1"/>
          <w:lang w:val="en-IN"/>
        </w:rPr>
        <w:t>).</w:t>
      </w:r>
      <w:r w:rsidR="007740CC">
        <w:rPr>
          <w:color w:val="000000" w:themeColor="text1"/>
          <w:lang w:val="en-IN"/>
        </w:rPr>
        <w:t xml:space="preserve"> </w:t>
      </w:r>
      <w:r w:rsidRPr="00C65870">
        <w:rPr>
          <w:color w:val="000000" w:themeColor="text1"/>
          <w:lang w:val="en-IN"/>
        </w:rPr>
        <w:t xml:space="preserve">Because cancer genomes vary substantially among </w:t>
      </w:r>
      <w:proofErr w:type="spellStart"/>
      <w:r w:rsidRPr="00C65870">
        <w:rPr>
          <w:color w:val="000000" w:themeColor="text1"/>
          <w:lang w:val="en-IN"/>
        </w:rPr>
        <w:t>tumor</w:t>
      </w:r>
      <w:proofErr w:type="spellEnd"/>
      <w:r w:rsidRPr="00C65870">
        <w:rPr>
          <w:color w:val="000000" w:themeColor="text1"/>
          <w:lang w:val="en-IN"/>
        </w:rPr>
        <w:t xml:space="preserve"> types and cell lines, </w:t>
      </w:r>
      <w:proofErr w:type="spellStart"/>
      <w:r w:rsidRPr="00C65870">
        <w:rPr>
          <w:color w:val="000000" w:themeColor="text1"/>
          <w:lang w:val="en-IN"/>
        </w:rPr>
        <w:t>ecDNA</w:t>
      </w:r>
      <w:proofErr w:type="spellEnd"/>
      <w:r w:rsidRPr="00C65870">
        <w:rPr>
          <w:color w:val="000000" w:themeColor="text1"/>
          <w:lang w:val="en-IN"/>
        </w:rPr>
        <w:t xml:space="preserve"> and HSR signal patterns may differ in abundance, chromosomal context, and overall appearance.</w:t>
      </w:r>
    </w:p>
    <w:p w14:paraId="61FB4156" w14:textId="77777777" w:rsidR="00C65870" w:rsidRPr="00C65870" w:rsidRDefault="00C65870" w:rsidP="00C65870">
      <w:pPr>
        <w:rPr>
          <w:color w:val="000000" w:themeColor="text1"/>
          <w:lang w:val="en-IN"/>
        </w:rPr>
      </w:pPr>
    </w:p>
    <w:p w14:paraId="68534AF3" w14:textId="0F0E9879" w:rsidR="00C65870" w:rsidRDefault="00C65870" w:rsidP="00C65870">
      <w:pPr>
        <w:rPr>
          <w:color w:val="000000" w:themeColor="text1"/>
          <w:lang w:val="en-IN"/>
        </w:rPr>
      </w:pPr>
      <w:r w:rsidRPr="00C65870">
        <w:rPr>
          <w:color w:val="000000" w:themeColor="text1"/>
          <w:lang w:val="en-IN"/>
        </w:rPr>
        <w:t xml:space="preserve">Representative images of common technical errors are shown in </w:t>
      </w:r>
      <w:r w:rsidRPr="00C65870">
        <w:rPr>
          <w:b/>
          <w:bCs/>
          <w:color w:val="000000" w:themeColor="text1"/>
          <w:lang w:val="en-IN"/>
        </w:rPr>
        <w:t>Figure 4</w:t>
      </w:r>
      <w:r w:rsidRPr="00C65870">
        <w:rPr>
          <w:color w:val="000000" w:themeColor="text1"/>
          <w:lang w:val="en-IN"/>
        </w:rPr>
        <w:t xml:space="preserve"> to aid in the interpretation of unsuccessful preparations. In some cases, DNA condenses</w:t>
      </w:r>
      <w:r w:rsidR="00286079">
        <w:rPr>
          <w:color w:val="000000" w:themeColor="text1"/>
          <w:lang w:val="en-IN"/>
        </w:rPr>
        <w:t>,</w:t>
      </w:r>
      <w:r w:rsidRPr="00C65870">
        <w:rPr>
          <w:color w:val="000000" w:themeColor="text1"/>
          <w:lang w:val="en-IN"/>
        </w:rPr>
        <w:t xml:space="preserve"> but the nuclei fail to burst, making the resulting image difficult to interpret (</w:t>
      </w:r>
      <w:r w:rsidRPr="00286079">
        <w:rPr>
          <w:b/>
          <w:bCs/>
          <w:color w:val="000000" w:themeColor="text1"/>
          <w:lang w:val="en-IN"/>
        </w:rPr>
        <w:t>Figure 4A</w:t>
      </w:r>
      <w:r w:rsidRPr="00C65870">
        <w:rPr>
          <w:color w:val="000000" w:themeColor="text1"/>
          <w:lang w:val="en-IN"/>
        </w:rPr>
        <w:t xml:space="preserve">). Nuclei that fail to burst are commonly observed, particularly when many cells have not entered metaphase. However, if fewer than 5–10% of nuclei burst, increasing the </w:t>
      </w:r>
      <w:proofErr w:type="spellStart"/>
      <w:r w:rsidRPr="00C65870">
        <w:rPr>
          <w:color w:val="000000" w:themeColor="text1"/>
          <w:lang w:val="en-IN"/>
        </w:rPr>
        <w:t>Colcemid</w:t>
      </w:r>
      <w:proofErr w:type="spellEnd"/>
      <w:r w:rsidRPr="00C65870">
        <w:rPr>
          <w:color w:val="000000" w:themeColor="text1"/>
          <w:lang w:val="en-IN"/>
        </w:rPr>
        <w:t xml:space="preserve"> incubation time, </w:t>
      </w:r>
      <w:r w:rsidR="00877A0B">
        <w:rPr>
          <w:color w:val="000000" w:themeColor="text1"/>
          <w:lang w:val="en-IN"/>
        </w:rPr>
        <w:t xml:space="preserve">the drop height, or </w:t>
      </w:r>
      <w:r w:rsidRPr="00C65870">
        <w:rPr>
          <w:color w:val="000000" w:themeColor="text1"/>
          <w:lang w:val="en-IN"/>
        </w:rPr>
        <w:t xml:space="preserve">the KCl incubation may increase the number of successful metaphase spreads. In other cases, nuclei burst but do not complete metaphase arrest, resulting in </w:t>
      </w:r>
      <w:r w:rsidR="00D83F0E">
        <w:rPr>
          <w:color w:val="000000" w:themeColor="text1"/>
          <w:lang w:val="en-IN"/>
        </w:rPr>
        <w:t>uncondensed DNA that spills out of</w:t>
      </w:r>
      <w:r w:rsidRPr="00C65870">
        <w:rPr>
          <w:color w:val="000000" w:themeColor="text1"/>
          <w:lang w:val="en-IN"/>
        </w:rPr>
        <w:t xml:space="preserve"> the cell and prevents accurate localization of the probe signal (</w:t>
      </w:r>
      <w:r w:rsidRPr="00286079">
        <w:rPr>
          <w:b/>
          <w:bCs/>
          <w:color w:val="000000" w:themeColor="text1"/>
          <w:lang w:val="en-IN"/>
        </w:rPr>
        <w:t>Figure 4B</w:t>
      </w:r>
      <w:r w:rsidRPr="00C65870">
        <w:rPr>
          <w:color w:val="000000" w:themeColor="text1"/>
          <w:lang w:val="en-IN"/>
        </w:rPr>
        <w:t xml:space="preserve">). Increasing the </w:t>
      </w:r>
      <w:proofErr w:type="spellStart"/>
      <w:r w:rsidRPr="00C65870">
        <w:rPr>
          <w:color w:val="000000" w:themeColor="text1"/>
          <w:lang w:val="en-IN"/>
        </w:rPr>
        <w:t>Colcemid</w:t>
      </w:r>
      <w:proofErr w:type="spellEnd"/>
      <w:r w:rsidRPr="00C65870">
        <w:rPr>
          <w:color w:val="000000" w:themeColor="text1"/>
          <w:lang w:val="en-IN"/>
        </w:rPr>
        <w:t xml:space="preserve"> incubation time can increase the proportion of cells arrested in metaphase. However, excessive </w:t>
      </w:r>
      <w:proofErr w:type="spellStart"/>
      <w:r w:rsidRPr="00C65870">
        <w:rPr>
          <w:color w:val="000000" w:themeColor="text1"/>
          <w:lang w:val="en-IN"/>
        </w:rPr>
        <w:t>Colcemid</w:t>
      </w:r>
      <w:proofErr w:type="spellEnd"/>
      <w:r w:rsidRPr="00C65870">
        <w:rPr>
          <w:color w:val="000000" w:themeColor="text1"/>
          <w:lang w:val="en-IN"/>
        </w:rPr>
        <w:t xml:space="preserve"> exposure can lead to </w:t>
      </w:r>
      <w:r w:rsidR="00C069A2">
        <w:rPr>
          <w:color w:val="000000" w:themeColor="text1"/>
          <w:lang w:val="en-IN"/>
        </w:rPr>
        <w:t>over condensed</w:t>
      </w:r>
      <w:r w:rsidR="00877A0B">
        <w:rPr>
          <w:color w:val="000000" w:themeColor="text1"/>
          <w:lang w:val="en-IN"/>
        </w:rPr>
        <w:t xml:space="preserve"> chromosomes with shortened chromosome arms</w:t>
      </w:r>
      <w:r w:rsidR="00877A0B" w:rsidRPr="00877A0B">
        <w:rPr>
          <w:color w:val="000000" w:themeColor="text1"/>
          <w:vertAlign w:val="superscript"/>
          <w:lang w:val="en-IN"/>
        </w:rPr>
        <w:t>54</w:t>
      </w:r>
      <w:r w:rsidRPr="00C65870">
        <w:rPr>
          <w:color w:val="000000" w:themeColor="text1"/>
          <w:lang w:val="en-IN"/>
        </w:rPr>
        <w:t xml:space="preserve">. Therefore, optimization of the </w:t>
      </w:r>
      <w:proofErr w:type="spellStart"/>
      <w:r w:rsidRPr="00C65870">
        <w:rPr>
          <w:color w:val="000000" w:themeColor="text1"/>
          <w:lang w:val="en-IN"/>
        </w:rPr>
        <w:t>Colcemid</w:t>
      </w:r>
      <w:proofErr w:type="spellEnd"/>
      <w:r w:rsidRPr="00C65870">
        <w:rPr>
          <w:color w:val="000000" w:themeColor="text1"/>
          <w:lang w:val="en-IN"/>
        </w:rPr>
        <w:t xml:space="preserve"> incubation time is essential. Poor chromosome spreading can also result in overlapping chromosomes, obscuring interpretation and making it difficult to determine the true location of the probe signal (</w:t>
      </w:r>
      <w:r w:rsidRPr="00877A0B">
        <w:rPr>
          <w:b/>
          <w:bCs/>
          <w:color w:val="000000" w:themeColor="text1"/>
          <w:lang w:val="en-IN"/>
        </w:rPr>
        <w:t>Figure 4C</w:t>
      </w:r>
      <w:r w:rsidRPr="00C65870">
        <w:rPr>
          <w:color w:val="000000" w:themeColor="text1"/>
          <w:lang w:val="en-IN"/>
        </w:rPr>
        <w:t xml:space="preserve">). Reducing </w:t>
      </w:r>
      <w:r w:rsidR="00877A0B">
        <w:rPr>
          <w:color w:val="000000" w:themeColor="text1"/>
          <w:lang w:val="en-IN"/>
        </w:rPr>
        <w:t xml:space="preserve">cell concentration </w:t>
      </w:r>
      <w:r w:rsidRPr="00C65870">
        <w:rPr>
          <w:color w:val="000000" w:themeColor="text1"/>
          <w:lang w:val="en-IN"/>
        </w:rPr>
        <w:t>in Carnoy's fixative before tabletop dropping can decrease chromosome overlap.</w:t>
      </w:r>
    </w:p>
    <w:p w14:paraId="1ABCB185" w14:textId="77777777" w:rsidR="00C65870" w:rsidRPr="00C65870" w:rsidRDefault="00C65870" w:rsidP="00C65870">
      <w:pPr>
        <w:rPr>
          <w:color w:val="000000" w:themeColor="text1"/>
          <w:lang w:val="en-IN"/>
        </w:rPr>
      </w:pPr>
    </w:p>
    <w:p w14:paraId="5E6F3639" w14:textId="77777777" w:rsidR="00C65870" w:rsidRDefault="00C65870" w:rsidP="00C65870">
      <w:pPr>
        <w:rPr>
          <w:color w:val="000000" w:themeColor="text1"/>
          <w:lang w:val="en-IN"/>
        </w:rPr>
      </w:pPr>
      <w:r w:rsidRPr="00C65870">
        <w:rPr>
          <w:color w:val="000000" w:themeColor="text1"/>
          <w:lang w:val="en-IN"/>
        </w:rPr>
        <w:t xml:space="preserve">When evaluating whether a signal represents true chromosomal integration, several criteria can help confirm the amplification state. First, if the signal is integrated into an HSR, it should appear on both sister chromatids because integrated sequences are replicated along with the host chromosome. Second, the signal should localize to the same focal plane as the DAPI-stained chromosome. Signals detected in a different focal plane may instead represent </w:t>
      </w:r>
      <w:proofErr w:type="spellStart"/>
      <w:r w:rsidRPr="00C65870">
        <w:rPr>
          <w:color w:val="000000" w:themeColor="text1"/>
          <w:lang w:val="en-IN"/>
        </w:rPr>
        <w:t>ecDNA</w:t>
      </w:r>
      <w:proofErr w:type="spellEnd"/>
      <w:r w:rsidRPr="00C65870">
        <w:rPr>
          <w:color w:val="000000" w:themeColor="text1"/>
          <w:lang w:val="en-IN"/>
        </w:rPr>
        <w:t xml:space="preserve"> overlapping the chromosome rather than true HSR integration. Finally, spectral karyotyping can be used to determine whether the locus has been stably integrated into the same chromosome across the cell population</w:t>
      </w:r>
      <w:r w:rsidRPr="00ED77E2">
        <w:rPr>
          <w:color w:val="000000" w:themeColor="text1"/>
          <w:vertAlign w:val="superscript"/>
          <w:lang w:val="en-IN"/>
        </w:rPr>
        <w:t>55</w:t>
      </w:r>
      <w:r w:rsidRPr="00C65870">
        <w:rPr>
          <w:color w:val="000000" w:themeColor="text1"/>
          <w:lang w:val="en-IN"/>
        </w:rPr>
        <w:t>.</w:t>
      </w:r>
    </w:p>
    <w:p w14:paraId="5EEB91A1" w14:textId="77777777" w:rsidR="00C65870" w:rsidRPr="00C65870" w:rsidRDefault="00C65870" w:rsidP="00C65870">
      <w:pPr>
        <w:rPr>
          <w:color w:val="000000" w:themeColor="text1"/>
          <w:lang w:val="en-IN"/>
        </w:rPr>
      </w:pPr>
    </w:p>
    <w:p w14:paraId="6B8022C3" w14:textId="77777777" w:rsidR="00C65870" w:rsidRPr="00C65870" w:rsidRDefault="00C65870" w:rsidP="00C65870">
      <w:pPr>
        <w:rPr>
          <w:color w:val="000000" w:themeColor="text1"/>
          <w:lang w:val="en-IN"/>
        </w:rPr>
      </w:pPr>
      <w:r w:rsidRPr="00C65870">
        <w:rPr>
          <w:color w:val="000000" w:themeColor="text1"/>
          <w:lang w:val="en-IN"/>
        </w:rPr>
        <w:t>Numerous approaches to metaphase spread preparation have been described</w:t>
      </w:r>
      <w:r w:rsidRPr="00ED77E2">
        <w:rPr>
          <w:color w:val="000000" w:themeColor="text1"/>
          <w:vertAlign w:val="superscript"/>
          <w:lang w:val="en-IN"/>
        </w:rPr>
        <w:t>56–60</w:t>
      </w:r>
      <w:r w:rsidRPr="00C65870">
        <w:rPr>
          <w:color w:val="000000" w:themeColor="text1"/>
          <w:lang w:val="en-IN"/>
        </w:rPr>
        <w:t>, and the method presented here represents one of many effective protocols. Important variables, including slide temperature, humidity, drop height, and cell concentration in the fixative, are sensitive to environmental conditions. To maintain consistent humidity within a laboratory, a cytogenetic drying chamber can be used during slide preparation. Individual optimization of these variables may be necessary to achieve consistent, high-quality metaphase spreads.</w:t>
      </w:r>
    </w:p>
    <w:p w14:paraId="48BEEB38" w14:textId="77777777" w:rsidR="008D00AB" w:rsidRPr="00DD309C" w:rsidRDefault="008D00AB" w:rsidP="008D00AB">
      <w:pPr>
        <w:rPr>
          <w:b/>
          <w:bCs/>
          <w:color w:val="000000" w:themeColor="text1"/>
        </w:rPr>
      </w:pPr>
    </w:p>
    <w:p w14:paraId="5F528D12" w14:textId="77777777" w:rsidR="008D00AB" w:rsidRPr="00DD309C" w:rsidRDefault="008D00AB" w:rsidP="008D00AB">
      <w:pPr>
        <w:rPr>
          <w:color w:val="000000" w:themeColor="text1"/>
        </w:rPr>
      </w:pPr>
      <w:r w:rsidRPr="00DD309C">
        <w:rPr>
          <w:b/>
          <w:color w:val="000000" w:themeColor="text1"/>
        </w:rPr>
        <w:t>FIGURE AND TABLE LEGENDS:</w:t>
      </w:r>
    </w:p>
    <w:p w14:paraId="0EA6AE2E" w14:textId="4F23C5B6" w:rsidR="006E3CFD" w:rsidRDefault="006E3CFD" w:rsidP="006E3CFD">
      <w:pPr>
        <w:pStyle w:val="NormalWeb"/>
        <w:spacing w:before="0" w:beforeAutospacing="0" w:after="0" w:afterAutospacing="0"/>
        <w:jc w:val="both"/>
        <w:rPr>
          <w:rFonts w:ascii="Calibri" w:hAnsi="Calibri" w:cs="Calibri"/>
        </w:rPr>
      </w:pPr>
      <w:r w:rsidRPr="006E3CFD">
        <w:rPr>
          <w:rStyle w:val="Strong"/>
          <w:rFonts w:ascii="Calibri" w:hAnsi="Calibri" w:cs="Calibri"/>
        </w:rPr>
        <w:t>Figure 1:</w:t>
      </w:r>
      <w:r w:rsidRPr="006E3CFD">
        <w:rPr>
          <w:rFonts w:ascii="Calibri" w:hAnsi="Calibri" w:cs="Calibri"/>
        </w:rPr>
        <w:t xml:space="preserve"> </w:t>
      </w:r>
      <w:r w:rsidRPr="006E3CFD">
        <w:rPr>
          <w:rStyle w:val="Strong"/>
          <w:rFonts w:ascii="Calibri" w:hAnsi="Calibri" w:cs="Calibri"/>
        </w:rPr>
        <w:t xml:space="preserve">Overview of </w:t>
      </w:r>
      <w:proofErr w:type="spellStart"/>
      <w:r w:rsidRPr="006E3CFD">
        <w:rPr>
          <w:rStyle w:val="Strong"/>
          <w:rFonts w:ascii="Calibri" w:hAnsi="Calibri" w:cs="Calibri"/>
        </w:rPr>
        <w:t>ecDNA</w:t>
      </w:r>
      <w:proofErr w:type="spellEnd"/>
      <w:r w:rsidRPr="006E3CFD">
        <w:rPr>
          <w:rStyle w:val="Strong"/>
          <w:rFonts w:ascii="Calibri" w:hAnsi="Calibri" w:cs="Calibri"/>
        </w:rPr>
        <w:t xml:space="preserve"> and HSR amplification states and the DNA-FISH metaphase spread workflow.</w:t>
      </w:r>
      <w:r w:rsidRPr="006E3CFD">
        <w:rPr>
          <w:rFonts w:ascii="Calibri" w:hAnsi="Calibri" w:cs="Calibri"/>
        </w:rPr>
        <w:t xml:space="preserve"> (</w:t>
      </w:r>
      <w:r w:rsidRPr="006E3CFD">
        <w:rPr>
          <w:rFonts w:ascii="Calibri" w:hAnsi="Calibri" w:cs="Calibri"/>
          <w:b/>
          <w:bCs/>
        </w:rPr>
        <w:t>A</w:t>
      </w:r>
      <w:r w:rsidRPr="006E3CFD">
        <w:rPr>
          <w:rFonts w:ascii="Calibri" w:hAnsi="Calibri" w:cs="Calibri"/>
        </w:rPr>
        <w:t>) Schematic illustrating the interconversion between extrachromosomal DNA (</w:t>
      </w:r>
      <w:proofErr w:type="spellStart"/>
      <w:r w:rsidRPr="006E3CFD">
        <w:rPr>
          <w:rFonts w:ascii="Calibri" w:hAnsi="Calibri" w:cs="Calibri"/>
        </w:rPr>
        <w:t>ecDNA</w:t>
      </w:r>
      <w:proofErr w:type="spellEnd"/>
      <w:r w:rsidRPr="006E3CFD">
        <w:rPr>
          <w:rFonts w:ascii="Calibri" w:hAnsi="Calibri" w:cs="Calibri"/>
        </w:rPr>
        <w:t>), also known as double minutes, and homogeneously staining region (HSR) amplification states. (</w:t>
      </w:r>
      <w:r w:rsidRPr="006E3CFD">
        <w:rPr>
          <w:rFonts w:ascii="Calibri" w:hAnsi="Calibri" w:cs="Calibri"/>
          <w:b/>
          <w:bCs/>
        </w:rPr>
        <w:t>B</w:t>
      </w:r>
      <w:r w:rsidRPr="006E3CFD">
        <w:rPr>
          <w:rFonts w:ascii="Calibri" w:hAnsi="Calibri" w:cs="Calibri"/>
        </w:rPr>
        <w:t>) Workflow for DNA-FISH metaphase spreads. Cells are arrested in metaphase, swollen in a hypotonic solution, and fixed. Fixed cells are then dropped onto a glass slide from a height of 1 m. Upon impact, nuclei burst</w:t>
      </w:r>
      <w:r w:rsidR="00277094">
        <w:rPr>
          <w:rFonts w:ascii="Calibri" w:hAnsi="Calibri" w:cs="Calibri"/>
        </w:rPr>
        <w:t>, and chromosomes disperse across the slide surface</w:t>
      </w:r>
      <w:r w:rsidRPr="006E3CFD">
        <w:rPr>
          <w:rFonts w:ascii="Calibri" w:hAnsi="Calibri" w:cs="Calibri"/>
        </w:rPr>
        <w:t>. Dispersed chromosomes are confirmed by phase-contrast microscopy. A DNA-FISH probe is then applied and hybridized to the target DNA locus. The hybridized signal is subsequently visualized by fluorescence microscopy.</w:t>
      </w:r>
    </w:p>
    <w:p w14:paraId="7669DB57" w14:textId="77777777" w:rsidR="00277094" w:rsidRPr="006E3CFD" w:rsidRDefault="00277094" w:rsidP="006E3CFD">
      <w:pPr>
        <w:pStyle w:val="NormalWeb"/>
        <w:spacing w:before="0" w:beforeAutospacing="0" w:after="0" w:afterAutospacing="0"/>
        <w:jc w:val="both"/>
        <w:rPr>
          <w:rFonts w:ascii="Calibri" w:hAnsi="Calibri" w:cs="Calibri"/>
        </w:rPr>
      </w:pPr>
    </w:p>
    <w:p w14:paraId="2B74E378" w14:textId="77777777" w:rsidR="006E3CFD" w:rsidRDefault="006E3CFD" w:rsidP="006E3CFD">
      <w:pPr>
        <w:pStyle w:val="NormalWeb"/>
        <w:spacing w:before="0" w:beforeAutospacing="0" w:after="0" w:afterAutospacing="0"/>
        <w:jc w:val="both"/>
        <w:rPr>
          <w:rFonts w:ascii="Calibri" w:hAnsi="Calibri" w:cs="Calibri"/>
        </w:rPr>
      </w:pPr>
      <w:r w:rsidRPr="006E3CFD">
        <w:rPr>
          <w:rStyle w:val="Strong"/>
          <w:rFonts w:ascii="Calibri" w:hAnsi="Calibri" w:cs="Calibri"/>
        </w:rPr>
        <w:lastRenderedPageBreak/>
        <w:t>Figure 2:</w:t>
      </w:r>
      <w:r w:rsidRPr="006E3CFD">
        <w:rPr>
          <w:rFonts w:ascii="Calibri" w:hAnsi="Calibri" w:cs="Calibri"/>
        </w:rPr>
        <w:t xml:space="preserve"> </w:t>
      </w:r>
      <w:r w:rsidRPr="006E3CFD">
        <w:rPr>
          <w:rStyle w:val="Strong"/>
          <w:rFonts w:ascii="Calibri" w:hAnsi="Calibri" w:cs="Calibri"/>
        </w:rPr>
        <w:t>Confirmation of metaphase spreads by phase-contrast microscopy at 10× magnification.</w:t>
      </w:r>
      <w:r w:rsidRPr="006E3CFD">
        <w:rPr>
          <w:rFonts w:ascii="Calibri" w:hAnsi="Calibri" w:cs="Calibri"/>
        </w:rPr>
        <w:t xml:space="preserve"> White boxes indicate burst nuclei with well-dispersed chromosomes, representing successful metaphase spread preparations. The presence of multiple burst nuclei across the field of view confirms successful metaphase arrest, hypotonic swelling, and nuclear rupture upon contact with the glass slide. Scale bar = 100 </w:t>
      </w:r>
      <w:proofErr w:type="spellStart"/>
      <w:r w:rsidRPr="006E3CFD">
        <w:rPr>
          <w:rFonts w:ascii="Calibri" w:hAnsi="Calibri" w:cs="Calibri"/>
        </w:rPr>
        <w:t>μm</w:t>
      </w:r>
      <w:proofErr w:type="spellEnd"/>
      <w:r w:rsidRPr="006E3CFD">
        <w:rPr>
          <w:rFonts w:ascii="Calibri" w:hAnsi="Calibri" w:cs="Calibri"/>
        </w:rPr>
        <w:t>.</w:t>
      </w:r>
    </w:p>
    <w:p w14:paraId="5550ED95" w14:textId="77777777" w:rsidR="00277094" w:rsidRPr="006E3CFD" w:rsidRDefault="00277094" w:rsidP="006E3CFD">
      <w:pPr>
        <w:pStyle w:val="NormalWeb"/>
        <w:spacing w:before="0" w:beforeAutospacing="0" w:after="0" w:afterAutospacing="0"/>
        <w:jc w:val="both"/>
        <w:rPr>
          <w:rFonts w:ascii="Calibri" w:hAnsi="Calibri" w:cs="Calibri"/>
        </w:rPr>
      </w:pPr>
    </w:p>
    <w:p w14:paraId="3E473462" w14:textId="77777777" w:rsidR="006E3CFD" w:rsidRDefault="006E3CFD" w:rsidP="006E3CFD">
      <w:pPr>
        <w:pStyle w:val="NormalWeb"/>
        <w:spacing w:before="0" w:beforeAutospacing="0" w:after="0" w:afterAutospacing="0"/>
        <w:jc w:val="both"/>
        <w:rPr>
          <w:rFonts w:ascii="Calibri" w:hAnsi="Calibri" w:cs="Calibri"/>
        </w:rPr>
      </w:pPr>
      <w:r w:rsidRPr="006E3CFD">
        <w:rPr>
          <w:rStyle w:val="Strong"/>
          <w:rFonts w:ascii="Calibri" w:hAnsi="Calibri" w:cs="Calibri"/>
        </w:rPr>
        <w:t>Figure 3:</w:t>
      </w:r>
      <w:r w:rsidRPr="006E3CFD">
        <w:rPr>
          <w:rFonts w:ascii="Calibri" w:hAnsi="Calibri" w:cs="Calibri"/>
        </w:rPr>
        <w:t xml:space="preserve"> </w:t>
      </w:r>
      <w:r w:rsidRPr="006E3CFD">
        <w:rPr>
          <w:rStyle w:val="Strong"/>
          <w:rFonts w:ascii="Calibri" w:hAnsi="Calibri" w:cs="Calibri"/>
        </w:rPr>
        <w:t xml:space="preserve">Representative DNA-FISH metaphase spread images distinguishing </w:t>
      </w:r>
      <w:proofErr w:type="spellStart"/>
      <w:r w:rsidRPr="006E3CFD">
        <w:rPr>
          <w:rStyle w:val="Strong"/>
          <w:rFonts w:ascii="Calibri" w:hAnsi="Calibri" w:cs="Calibri"/>
        </w:rPr>
        <w:t>ecDNA</w:t>
      </w:r>
      <w:proofErr w:type="spellEnd"/>
      <w:r w:rsidRPr="006E3CFD">
        <w:rPr>
          <w:rStyle w:val="Strong"/>
          <w:rFonts w:ascii="Calibri" w:hAnsi="Calibri" w:cs="Calibri"/>
        </w:rPr>
        <w:t xml:space="preserve"> and HSR amplification states.</w:t>
      </w:r>
      <w:r w:rsidRPr="006E3CFD">
        <w:rPr>
          <w:rFonts w:ascii="Calibri" w:hAnsi="Calibri" w:cs="Calibri"/>
        </w:rPr>
        <w:t xml:space="preserve"> (</w:t>
      </w:r>
      <w:r w:rsidRPr="00CE5D31">
        <w:rPr>
          <w:rFonts w:ascii="Calibri" w:hAnsi="Calibri" w:cs="Calibri"/>
          <w:b/>
          <w:bCs/>
        </w:rPr>
        <w:t>A</w:t>
      </w:r>
      <w:r w:rsidRPr="006E3CFD">
        <w:rPr>
          <w:rFonts w:ascii="Calibri" w:hAnsi="Calibri" w:cs="Calibri"/>
        </w:rPr>
        <w:t xml:space="preserve">) DNA-FISH metaphase spread of a COLO320DM cell showing MYC signal (red) localized to </w:t>
      </w:r>
      <w:proofErr w:type="spellStart"/>
      <w:r w:rsidRPr="006E3CFD">
        <w:rPr>
          <w:rFonts w:ascii="Calibri" w:hAnsi="Calibri" w:cs="Calibri"/>
        </w:rPr>
        <w:t>ecDNA</w:t>
      </w:r>
      <w:proofErr w:type="spellEnd"/>
      <w:r w:rsidRPr="006E3CFD">
        <w:rPr>
          <w:rFonts w:ascii="Calibri" w:hAnsi="Calibri" w:cs="Calibri"/>
        </w:rPr>
        <w:t xml:space="preserve"> (examples indicated by white arrows); a chromosome 8 centromere probe (green) identifies the endogenous chromosome 8, where the native MYC locus resides. (</w:t>
      </w:r>
      <w:r w:rsidRPr="00CE5D31">
        <w:rPr>
          <w:rFonts w:ascii="Calibri" w:hAnsi="Calibri" w:cs="Calibri"/>
          <w:b/>
          <w:bCs/>
        </w:rPr>
        <w:t>B</w:t>
      </w:r>
      <w:r w:rsidRPr="006E3CFD">
        <w:rPr>
          <w:rFonts w:ascii="Calibri" w:hAnsi="Calibri" w:cs="Calibri"/>
        </w:rPr>
        <w:t>) DNA-FISH metaphase spread of a COLO320HSR cell showing MYC signal (red) localized to HSRs (examples indicated by white arrows); a chromosome 8 centromere probe (green) identifies the endogenous chromosome 8, where the native MYC locus resides. (</w:t>
      </w:r>
      <w:r w:rsidRPr="00CE5D31">
        <w:rPr>
          <w:rFonts w:ascii="Calibri" w:hAnsi="Calibri" w:cs="Calibri"/>
          <w:b/>
          <w:bCs/>
        </w:rPr>
        <w:t>C</w:t>
      </w:r>
      <w:r w:rsidRPr="006E3CFD">
        <w:rPr>
          <w:rFonts w:ascii="Calibri" w:hAnsi="Calibri" w:cs="Calibri"/>
        </w:rPr>
        <w:t xml:space="preserve">) DNA-FISH metaphase spread of a GBM39ec cell showing EGFR signal (red) localized to </w:t>
      </w:r>
      <w:proofErr w:type="spellStart"/>
      <w:r w:rsidRPr="006E3CFD">
        <w:rPr>
          <w:rFonts w:ascii="Calibri" w:hAnsi="Calibri" w:cs="Calibri"/>
        </w:rPr>
        <w:t>ecDNA</w:t>
      </w:r>
      <w:proofErr w:type="spellEnd"/>
      <w:r w:rsidRPr="006E3CFD">
        <w:rPr>
          <w:rFonts w:ascii="Calibri" w:hAnsi="Calibri" w:cs="Calibri"/>
        </w:rPr>
        <w:t xml:space="preserve"> (examples indicated by white arrows); a chromosome 7 centromere probe (green) identifies the endogenous chromosome 7, where the native EGFR locus resides. (</w:t>
      </w:r>
      <w:r w:rsidRPr="00CE5D31">
        <w:rPr>
          <w:rFonts w:ascii="Calibri" w:hAnsi="Calibri" w:cs="Calibri"/>
          <w:b/>
          <w:bCs/>
        </w:rPr>
        <w:t>D</w:t>
      </w:r>
      <w:r w:rsidRPr="006E3CFD">
        <w:rPr>
          <w:rFonts w:ascii="Calibri" w:hAnsi="Calibri" w:cs="Calibri"/>
        </w:rPr>
        <w:t xml:space="preserve">) DNA-FISH metaphase spread of a GBM39hsr cell showing EGFR signal (red) localized to HSRs (examples indicated by white arrows); a chromosome 7 centromere probe (green) identifies the endogenous chromosome 7, where the native EGFR locus resides. DAPI (blue) stains DNA in all panels. Scale bars = 10 </w:t>
      </w:r>
      <w:proofErr w:type="spellStart"/>
      <w:r w:rsidRPr="006E3CFD">
        <w:rPr>
          <w:rFonts w:ascii="Calibri" w:hAnsi="Calibri" w:cs="Calibri"/>
        </w:rPr>
        <w:t>μm</w:t>
      </w:r>
      <w:proofErr w:type="spellEnd"/>
      <w:r w:rsidRPr="006E3CFD">
        <w:rPr>
          <w:rFonts w:ascii="Calibri" w:hAnsi="Calibri" w:cs="Calibri"/>
        </w:rPr>
        <w:t>.</w:t>
      </w:r>
    </w:p>
    <w:p w14:paraId="2E330852" w14:textId="77777777" w:rsidR="00CE5D31" w:rsidRPr="006E3CFD" w:rsidRDefault="00CE5D31" w:rsidP="006E3CFD">
      <w:pPr>
        <w:pStyle w:val="NormalWeb"/>
        <w:spacing w:before="0" w:beforeAutospacing="0" w:after="0" w:afterAutospacing="0"/>
        <w:jc w:val="both"/>
        <w:rPr>
          <w:rFonts w:ascii="Calibri" w:hAnsi="Calibri" w:cs="Calibri"/>
        </w:rPr>
      </w:pPr>
    </w:p>
    <w:p w14:paraId="4CB15982" w14:textId="77777777" w:rsidR="006E3CFD" w:rsidRDefault="006E3CFD" w:rsidP="006E3CFD">
      <w:pPr>
        <w:pStyle w:val="NormalWeb"/>
        <w:spacing w:before="0" w:beforeAutospacing="0" w:after="0" w:afterAutospacing="0"/>
        <w:jc w:val="both"/>
        <w:rPr>
          <w:rFonts w:ascii="Calibri" w:hAnsi="Calibri" w:cs="Calibri"/>
        </w:rPr>
      </w:pPr>
      <w:r w:rsidRPr="006E3CFD">
        <w:rPr>
          <w:rStyle w:val="Strong"/>
          <w:rFonts w:ascii="Calibri" w:hAnsi="Calibri" w:cs="Calibri"/>
        </w:rPr>
        <w:t>Figure 4:</w:t>
      </w:r>
      <w:r w:rsidRPr="006E3CFD">
        <w:rPr>
          <w:rFonts w:ascii="Calibri" w:hAnsi="Calibri" w:cs="Calibri"/>
        </w:rPr>
        <w:t xml:space="preserve"> </w:t>
      </w:r>
      <w:r w:rsidRPr="006E3CFD">
        <w:rPr>
          <w:rStyle w:val="Strong"/>
          <w:rFonts w:ascii="Calibri" w:hAnsi="Calibri" w:cs="Calibri"/>
        </w:rPr>
        <w:t>Representative images of unsuccessful metaphase spread preparations.</w:t>
      </w:r>
      <w:r w:rsidRPr="006E3CFD">
        <w:rPr>
          <w:rFonts w:ascii="Calibri" w:hAnsi="Calibri" w:cs="Calibri"/>
        </w:rPr>
        <w:t xml:space="preserve"> (</w:t>
      </w:r>
      <w:r w:rsidRPr="00047A20">
        <w:rPr>
          <w:rFonts w:ascii="Calibri" w:hAnsi="Calibri" w:cs="Calibri"/>
          <w:b/>
          <w:bCs/>
        </w:rPr>
        <w:t>A</w:t>
      </w:r>
      <w:r w:rsidRPr="006E3CFD">
        <w:rPr>
          <w:rFonts w:ascii="Calibri" w:hAnsi="Calibri" w:cs="Calibri"/>
        </w:rPr>
        <w:t>) Example of COLO320DM nuclei that failed to burst, with DNA retained within intact nuclei. (</w:t>
      </w:r>
      <w:r w:rsidRPr="00047A20">
        <w:rPr>
          <w:rFonts w:ascii="Calibri" w:hAnsi="Calibri" w:cs="Calibri"/>
          <w:b/>
          <w:bCs/>
        </w:rPr>
        <w:t>B</w:t>
      </w:r>
      <w:r w:rsidRPr="006E3CFD">
        <w:rPr>
          <w:rFonts w:ascii="Calibri" w:hAnsi="Calibri" w:cs="Calibri"/>
        </w:rPr>
        <w:t>) Example of a COLO320HSR cell that failed to complete metaphase arrest, resulting in non-condensed DNA. (</w:t>
      </w:r>
      <w:r w:rsidRPr="00047A20">
        <w:rPr>
          <w:rFonts w:ascii="Calibri" w:hAnsi="Calibri" w:cs="Calibri"/>
          <w:b/>
          <w:bCs/>
        </w:rPr>
        <w:t>C</w:t>
      </w:r>
      <w:r w:rsidRPr="006E3CFD">
        <w:rPr>
          <w:rFonts w:ascii="Calibri" w:hAnsi="Calibri" w:cs="Calibri"/>
        </w:rPr>
        <w:t xml:space="preserve">) Example of two COLO320HSR nuclei that burst in close proximity, producing overlapping chromosomes. DAPI (blue), MYC (red), and chromosome 8 centromere probe (green). Scale bars = 10 </w:t>
      </w:r>
      <w:proofErr w:type="spellStart"/>
      <w:r w:rsidRPr="006E3CFD">
        <w:rPr>
          <w:rFonts w:ascii="Calibri" w:hAnsi="Calibri" w:cs="Calibri"/>
        </w:rPr>
        <w:t>μm</w:t>
      </w:r>
      <w:proofErr w:type="spellEnd"/>
      <w:r w:rsidRPr="006E3CFD">
        <w:rPr>
          <w:rFonts w:ascii="Calibri" w:hAnsi="Calibri" w:cs="Calibri"/>
        </w:rPr>
        <w:t>.</w:t>
      </w:r>
    </w:p>
    <w:p w14:paraId="650F4B36" w14:textId="77777777" w:rsidR="00047A20" w:rsidRPr="006E3CFD" w:rsidRDefault="00047A20" w:rsidP="006E3CFD">
      <w:pPr>
        <w:pStyle w:val="NormalWeb"/>
        <w:spacing w:before="0" w:beforeAutospacing="0" w:after="0" w:afterAutospacing="0"/>
        <w:jc w:val="both"/>
        <w:rPr>
          <w:rFonts w:ascii="Calibri" w:hAnsi="Calibri" w:cs="Calibri"/>
        </w:rPr>
      </w:pPr>
    </w:p>
    <w:p w14:paraId="4AC3BC1F" w14:textId="738F1304" w:rsidR="006E3CFD" w:rsidRPr="006E3CFD" w:rsidRDefault="00DF0FBA" w:rsidP="006E3CFD">
      <w:pPr>
        <w:pStyle w:val="NormalWeb"/>
        <w:spacing w:before="0" w:beforeAutospacing="0" w:after="0" w:afterAutospacing="0"/>
        <w:jc w:val="both"/>
        <w:rPr>
          <w:rFonts w:ascii="Calibri" w:hAnsi="Calibri" w:cs="Calibri"/>
        </w:rPr>
      </w:pPr>
      <w:r>
        <w:rPr>
          <w:rStyle w:val="Strong"/>
          <w:rFonts w:ascii="Calibri" w:hAnsi="Calibri" w:cs="Calibri"/>
        </w:rPr>
        <w:t>Supplementary Figure 1</w:t>
      </w:r>
      <w:r w:rsidR="006E3CFD" w:rsidRPr="006E3CFD">
        <w:rPr>
          <w:rStyle w:val="Strong"/>
          <w:rFonts w:ascii="Calibri" w:hAnsi="Calibri" w:cs="Calibri"/>
        </w:rPr>
        <w:t>:</w:t>
      </w:r>
      <w:r w:rsidR="006E3CFD" w:rsidRPr="006E3CFD">
        <w:rPr>
          <w:rFonts w:ascii="Calibri" w:hAnsi="Calibri" w:cs="Calibri"/>
        </w:rPr>
        <w:t xml:space="preserve"> </w:t>
      </w:r>
      <w:r w:rsidR="006E3CFD" w:rsidRPr="006E3CFD">
        <w:rPr>
          <w:rStyle w:val="Strong"/>
          <w:rFonts w:ascii="Calibri" w:hAnsi="Calibri" w:cs="Calibri"/>
        </w:rPr>
        <w:t>Small HSRs within the COLO320DM cell line.</w:t>
      </w:r>
      <w:r w:rsidR="006E3CFD" w:rsidRPr="006E3CFD">
        <w:rPr>
          <w:rFonts w:ascii="Calibri" w:hAnsi="Calibri" w:cs="Calibri"/>
        </w:rPr>
        <w:t xml:space="preserve"> The dashed white box (left) indicates the region magnified on the right. White arrows indicate small HSRs integrated into linear chromosomes</w:t>
      </w:r>
      <w:r w:rsidR="00047A20">
        <w:rPr>
          <w:rFonts w:ascii="Calibri" w:hAnsi="Calibri" w:cs="Calibri"/>
        </w:rPr>
        <w:t>, which are readily visualized in</w:t>
      </w:r>
      <w:r w:rsidR="006E3CFD" w:rsidRPr="006E3CFD">
        <w:rPr>
          <w:rFonts w:ascii="Calibri" w:hAnsi="Calibri" w:cs="Calibri"/>
        </w:rPr>
        <w:t xml:space="preserve"> well-dispersed metaphase spreads. Scale bars = 10 </w:t>
      </w:r>
      <w:proofErr w:type="spellStart"/>
      <w:r w:rsidR="006E3CFD" w:rsidRPr="006E3CFD">
        <w:rPr>
          <w:rFonts w:ascii="Calibri" w:hAnsi="Calibri" w:cs="Calibri"/>
        </w:rPr>
        <w:t>μm</w:t>
      </w:r>
      <w:proofErr w:type="spellEnd"/>
      <w:r w:rsidR="006E3CFD" w:rsidRPr="006E3CFD">
        <w:rPr>
          <w:rFonts w:ascii="Calibri" w:hAnsi="Calibri" w:cs="Calibri"/>
        </w:rPr>
        <w:t>.</w:t>
      </w:r>
    </w:p>
    <w:p w14:paraId="44DEECCD" w14:textId="77777777" w:rsidR="008D00AB" w:rsidRPr="00DD309C" w:rsidRDefault="008D00AB" w:rsidP="008D00AB">
      <w:pPr>
        <w:rPr>
          <w:color w:val="000000" w:themeColor="text1"/>
        </w:rPr>
      </w:pPr>
    </w:p>
    <w:p w14:paraId="372F568E" w14:textId="77777777" w:rsidR="008D00AB" w:rsidRPr="00DD309C" w:rsidRDefault="008D00AB" w:rsidP="008D00AB">
      <w:pPr>
        <w:rPr>
          <w:b/>
          <w:color w:val="000000" w:themeColor="text1"/>
        </w:rPr>
      </w:pPr>
      <w:r w:rsidRPr="00DD309C">
        <w:rPr>
          <w:b/>
          <w:color w:val="000000" w:themeColor="text1"/>
        </w:rPr>
        <w:t>DISCUSSION:</w:t>
      </w:r>
    </w:p>
    <w:p w14:paraId="2E185683" w14:textId="53CA0869" w:rsidR="008D00AB" w:rsidRPr="00DD309C" w:rsidRDefault="008D00AB" w:rsidP="008D00AB">
      <w:pPr>
        <w:rPr>
          <w:color w:val="000000" w:themeColor="text1"/>
        </w:rPr>
      </w:pPr>
      <w:r w:rsidRPr="00DD309C">
        <w:rPr>
          <w:color w:val="000000" w:themeColor="text1"/>
        </w:rPr>
        <w:t>Despite their well-established advantages, DNA-FISH metaphase spreads are underused in the era of WGS. The physical organization of amplified DNA is functionally significant, as it can influence downstream biological behavior and therapeutic response</w:t>
      </w:r>
      <w:r w:rsidRPr="00672BBD">
        <w:rPr>
          <w:color w:val="000000" w:themeColor="text1"/>
          <w:vertAlign w:val="superscript"/>
        </w:rPr>
        <w:fldChar w:fldCharType="begin"/>
      </w:r>
      <w:r w:rsidR="00707A15" w:rsidRPr="00672BBD">
        <w:rPr>
          <w:color w:val="000000" w:themeColor="text1"/>
          <w:vertAlign w:val="superscript"/>
        </w:rPr>
        <w:instrText xml:space="preserve"> ADDIN ZOTERO_ITEM CSL_CITATION {"citationID":"rvorrFvV","properties":{"formattedCitation":"[61\\uc0\\u8211{}64]","plainCitation":"[61–64]","noteIndex":0},"citationItems":[{"id":2327,"uris":["http://zotero.org/users/14101681/items/DDIK7QSI"],"itemData":{"id":2327,"type":"article-journal","abstract":"A fundamental property of genomes is their topological organization in three-dimensional space in the cell nucleus. New imaging technologies and genome-wide biochemical approaches combined with functional data are starting to reveal the functional implications of genome topology, as discussed in this Review, and will enable a better understanding of how genome organization influences gene function, and vice versa.","container-title":"Nature Structural &amp; Molecular Biology","DOI":"10.1038/nsmb.2474","ISSN":"1545-9985","issue":"3","journalAbbreviation":"Nat Struct Mol Biol","language":"en","license":"2013 Springer Nature America, Inc.","page":"290-299","publisher":"Nature Publishing Group","source":"www.nature.com","title":"Functional implications of genome topology","volume":"20","author":[{"family":"Cavalli","given":"Giacomo"},{"family":"Misteli","given":"Tom"}],"issued":{"date-parts":[["2013",3]]}}},{"id":2329,"uris":["http://zotero.org/users/14101681/items/TF2MLNN7"],"itemData":{"id":2329,"type":"article-journal","abstract":"The extent to which the nucleus is functionally organized has broad biological implications. Evidence supports the idea that basic nuclear functions, such as transcription, are structurally integrated within the nucleus. Moreover, recent studies indicate that the linear arrangement of genes within eukaryotic genomes is nonrandom. We suggest that determining the relationship between nuclear organization and the linear arrangement of genes will lead to a greater understanding of how transcriptomes, dedicated to a particular cellular function or fate, are coordinately regulated. Current network theories may provide a useful framework for modeling the inherent complexity the functional organization of the nucleus.","container-title":"Genes &amp; Development","DOI":"10.1101/gad.1209304","ISSN":"0890-9369, 1549-5477","issue":"12","journalAbbreviation":"Genes Dev.","language":"en","page":"1371-1384","PMID":"15198979","publisher":"Cold Spring Harbor Lab","source":"genesdev.cshlp.org","title":"Form follows function: the genomic organization of cellular differentiation","title-short":"Form follows function","volume":"18","author":[{"family":"Kosak","given":"Steven T."},{"family":"Groudine","given":"Mark"}],"issued":{"date-parts":[["2004",6,15]]}}},{"id":2325,"uris":["http://zotero.org/users/14101681/items/ILKP4EHG"],"itemData":{"id":2325,"type":"article-journal","abstract":"A hallmark of cancers is uncontrolled cell proliferation, frequently associated with an underlying imbalance in gene expression. This transcriptional dysregulation observed in cancers is multifaceted and involves chromosomal rearrangements, chimeric transcription factors, or altered epigenetic marks. Traditionally, chromatin dysregulation in cancers has been considered a downstream effect of driver mutations. However, here we present a broader perspective on the alteration of chromatin organization in the establishment, diversification, and therapeutic resistance of cancers. We hypothesize that the chromatin organization controls the accessibility of the transcriptional machinery to regulate gene expression in cancerous cells and preserves the structural integrity of the nucleus by regulating nuclear volume. Disruption of this large-scale chromatin in proliferating cancerous cells in conventional chemotherapies induces DNA damage and provides a positive feedback loop for chromatin rearrangements and tumor diversification. Consequently, the surviving cells from these chemotherapies become tolerant to higher doses of the therapeutic reagents, which are significantly toxic to normal cells. Furthermore, the disorganization of chromatin induced by these therapies accentuates nuclear fragility, thereby increasing the invasive potential of these tumors. Therefore, we believe that understanding the changes in chromatin organization in cancerous cells is expected to deliver more effective pharmacological interventions with minimal effects on non-cancerous cells.","container-title":"Cancers","DOI":"10.3390/cancers15020466","ISSN":"2072-6694","issue":"2","language":"en","license":"http://creativecommons.org/licenses/by/3.0/","page":"466","publisher":"Multidisciplinary Digital Publishing Institute","source":"www.mdpi.com","title":"Chromatin and Cancer: Implications of Disrupted Chromatin Organization in Tumorigenesis and Its Diversification","title-short":"Chromatin and Cancer","volume":"15","author":[{"family":"Sehgal","given":"Poonam"},{"family":"Chaturvedi","given":"Pankaj"}],"issued":{"date-parts":[["2023",1]]}}},{"id":2332,"uris":["http://zotero.org/users/14101681/items/FAZREZA2"],"itemData":{"id":2332,"type":"article-journal","container-title":"Cell","DOI":"10.1016/j.cell.2007.01.028","ISSN":"0092-8674, 1097-4172","issue":"4","journalAbbreviation":"Cell","language":"English","page":"787-800","PMID":"17320514","publisher":"Elsevier","source":"www.cell.com","title":"Beyond the Sequence: Cellular Organization of Genome Function","title-short":"Beyond the Sequence","volume":"128","author":[{"family":"Misteli","given":"Tom"}],"issued":{"date-parts":[["2007",2,23]]}}}],"schema":"https://github.com/citation-style-language/schema/raw/master/csl-citation.json"} </w:instrText>
      </w:r>
      <w:r w:rsidRPr="00672BBD">
        <w:rPr>
          <w:color w:val="000000" w:themeColor="text1"/>
          <w:vertAlign w:val="superscript"/>
        </w:rPr>
        <w:fldChar w:fldCharType="separate"/>
      </w:r>
      <w:r w:rsidR="00FF0E9C" w:rsidRPr="00672BBD">
        <w:rPr>
          <w:color w:val="000000"/>
          <w:vertAlign w:val="superscript"/>
        </w:rPr>
        <w:t>61–64</w:t>
      </w:r>
      <w:r w:rsidRPr="00672BBD">
        <w:rPr>
          <w:color w:val="000000" w:themeColor="text1"/>
          <w:vertAlign w:val="superscript"/>
        </w:rPr>
        <w:fldChar w:fldCharType="end"/>
      </w:r>
      <w:r w:rsidRPr="00DD309C">
        <w:rPr>
          <w:color w:val="000000" w:themeColor="text1"/>
        </w:rPr>
        <w:t xml:space="preserve">. Focally amplified oncogenes can exist on </w:t>
      </w:r>
      <w:proofErr w:type="spellStart"/>
      <w:r w:rsidRPr="00DD309C">
        <w:rPr>
          <w:color w:val="000000" w:themeColor="text1"/>
        </w:rPr>
        <w:t>ecDNA</w:t>
      </w:r>
      <w:proofErr w:type="spellEnd"/>
      <w:r w:rsidRPr="00DD309C">
        <w:rPr>
          <w:color w:val="000000" w:themeColor="text1"/>
        </w:rPr>
        <w:t xml:space="preserve"> or within HSRs, and these two amplification states are not functionally equivalent</w:t>
      </w:r>
      <w:r w:rsidRPr="00EB2E54">
        <w:rPr>
          <w:color w:val="000000" w:themeColor="text1"/>
          <w:vertAlign w:val="superscript"/>
        </w:rPr>
        <w:fldChar w:fldCharType="begin"/>
      </w:r>
      <w:r w:rsidR="00707A15" w:rsidRPr="00EB2E54">
        <w:rPr>
          <w:color w:val="000000" w:themeColor="text1"/>
          <w:vertAlign w:val="superscript"/>
        </w:rPr>
        <w:instrText xml:space="preserve"> ADDIN ZOTERO_ITEM CSL_CITATION {"citationID":"VkXMRhIi","properties":{"formattedCitation":"[14,65\\uc0\\u8211{}67]","plainCitation":"[14,65–67]","noteIndex":0},"citationItems":[{"id":9,"uris":["http://zotero.org/users/14101681/items/PYGGXKHA"],"itemData":{"id":9,"type":"article-journal","abstract":"Oncogenes are commonly amplified on particles of extrachromosomal DNA (ecDNA) in cancer1,2, but our understanding of the structure of ecDNA and its effect on gene regulation is limited. Here, by integrating ultrastructural imaging, long-range optical mapping and computational analysis of whole-genome sequencing, we demonstrate the structure of circular ecDNA. Pan-cancer analyses reveal that oncogenes encoded on ecDNA are among the most highly expressed genes in the transcriptome of the tumours, linking increased copy number with high transcription levels. Quantitative assessment of the chromatin state reveals that although ecDNA is packaged into chromatin with intact domain structure, it lacks higher-order compaction that is typical of chromosomes and displays significantly enhanced chromatin accessibility. Furthermore, ecDNA is shown to have a significantly greater number of ultra-long-range interactions with active chromatin, which provides insight into how the structure of circular ecDNA affects oncogene function, and connects ecDNA biology with modern cancer genomics and epigenetics.","container-title":"Nature","DOI":"10.1038/s41586-019-1763-5","ISSN":"1476-4687","issue":"7784","language":"en","license":"2019 The Author(s), under exclusive licence to Springer Nature Limited","page":"699-703","publisher":"Nature Publishing Group","source":"www.nature.com","title":"Circular ecDNA promotes accessible chromatin and high oncogene expression","volume":"575","author":[{"family":"Wu","given":"Sihan"},{"family":"Turner","given":"Kristen M."},{"family":"Nguyen","given":"Nam"},{"family":"Raviram","given":"Ramya"},{"family":"Erb","given":"Marcella"},{"family":"Santini","given":"Jennifer"},{"family":"Luebeck","given":"Jens"},{"family":"Rajkumar","given":"Utkrisht"},{"family":"Diao","given":"Yarui"},{"family":"Li","given":"Bin"},{"family":"Zhang","given":"Wenjing"},{"family":"Jameson","given":"Nathan"},{"family":"Corces","given":"M. Ryan"},{"family":"Granja","given":"Jeffrey M."},{"family":"Chen","given":"Xingqi"},{"family":"Coruh","given":"Ceyda"},{"family":"Abnousi","given":"Armen"},{"family":"Houston","given":"Jack"},{"family":"Ye","given":"Zhen"},{"family":"Hu","given":"Rong"},{"family":"Yu","given":"Miao"},{"family":"Kim","given":"Hoon"},{"family":"Law","given":"Julie A."},{"family":"Verhaak","given":"Roel G. W."},{"family":"Hu","given":"Ming"},{"family":"Furnari","given":"Frank B."},{"family":"Chang","given":"Howard Y."},{"family":"Ren","given":"Bing"},{"family":"Bafna","given":"Vineet"},{"family":"Mischel","given":"Paul S."}],"issued":{"date-parts":[["2019",11]]}}},{"id":1538,"uris":["http://zotero.org/users/14101681/items/UQZHFLAN"],"itemData":{"id":1538,"type":"article-journal","container-title":"Cancer Cell","DOI":"10.1016/j.ccell.2021.03.006","ISSN":"1535-6108, 1878-3686","issue":"5","journalAbbreviation":"Cancer Cell","language":"English","page":"694-707.e7","PMID":"33836152","publisher":"Elsevier","source":"www.cell.com","title":"Oncogenic extrachromosomal DNA functions as mobile enhancers to globally amplify chromosomal transcription","volume":"39","author":[{"family":"Zhu","given":"Yanfen"},{"family":"Gujar","given":"Amit D."},{"family":"Wong","given":"Chee-Hong"},{"family":"Tjong","given":"Harianto"},{"family":"Ngan","given":"Chew Yee"},{"family":"Gong","given":"Liang"},{"family":"Chen","given":"Yi-An"},{"family":"Kim","given":"Hoon"},{"family":"Liu","given":"Jihe"},{"family":"Li","given":"Meihong"},{"family":"Mil-Homens","given":"Adam"},{"family":"Maurya","given":"Rahul"},{"family":"Kuhlberg","given":"Chris"},{"family":"Sun","given":"Fanyue"},{"family":"Yi","given":"Eunhee"},{"family":"deCarvalho","given":"Ana C."},{"family":"Ruan","given":"Yijun"},{"family":"Verhaak","given":"Roel G. W."},{"family":"Wei","given":"Chia-Lin"}],"issued":{"date-parts":[["2021",5,10]]}}},{"id":85,"uris":["http://zotero.org/users/14101681/items/4KC2RYTP"],"itemData":{"id":85,"type":"article-journal","abstract":"Extrachromosomal DNA (ecDNA) is prevalent in human cancers and mediates high oncogene expression through gene amplification and altered gene regulation. Gene induction typically involves cis regulatory elements that contact and activate genes on the same chromosome,. Here we show that ecDNA hubs, clusters of ~10–100 ecDNAs within the nucleus, enable intermolecular enhancer-gene interactions to promote oncogene overexpression. ecDNAs encoding multiple distinct oncogenes form hubs in diverse cancer cell types and primary tumors. Each ecDNA is more likely to transcribe the oncogene when spatially clustered with additional ecDNAs. ecDNA hubs are tethered by the BET protein BRD4 in a MYC-amplified colorectal cancer cell line. BET inhibitor JQ1 disperses ecDNA hubs and preferentially inhibits ecDNA-based oncogene transcription. The BRD4-bound PVT1 promoter is ectopically fused to MYC and duplicated in ecDNA, receiving promiscuous enhancer input to drive potent MYC expression. Further, the PVT1 promoter on an exogenous episome suffices to mediate gene activation in trans by ecDNA hubs in a JQ1-sensitive manner. Systematic CRISPRi silencing of ecDNA enhancers reveals intermolecular enhancer-gene activation among multiple oncogene loci amplified on distinct ecDNAs. Thus, protein-tethered ecDNA hubs enable intermolecular transcriptional regulation and may serve as units of oncogene function, cooperative evolution, and potential targets for cancer therapy.","container-title":"Nature","DOI":"10.1038/s41586-021-04116-8","ISSN":"0028-0836","issue":"7890","journalAbbreviation":"Nature","page":"731-736","PMID":"34819668","PMCID":"PMC9126690","source":"PubMed Central","title":"ecDNA hubs drive cooperative intermolecular oncogene expression","volume":"600","author":[{"family":"Hung","given":"King L."},{"family":"Yost","given":"Kathryn E."},{"family":"Xie","given":"Liangqi"},{"family":"Shi","given":"Quanming"},{"family":"Helmsauer","given":"Konstantin"},{"family":"Luebeck","given":"Jens"},{"family":"Schöpflin","given":"Robert"},{"family":"Lange","given":"Joshua T."},{"family":"Chamorro","given":"Rocio"},{"family":"Weiser","given":"Natasha E."},{"family":"Chen","given":"Celine"},{"family":"Valieva","given":"Maria E."},{"family":"Wong","given":"Ivy Tsz-Lo"},{"family":"Wu","given":"Sihan"},{"family":"Dehkordi","given":"Siavash R."},{"family":"Duffy","given":"Connor V."},{"family":"Kraft","given":"Katerina"},{"family":"Tang","given":"Jun"},{"family":"Belk","given":"Julia A."},{"family":"Rose","given":"John C."},{"family":"Corces","given":"M. Ryan"},{"family":"Granja","given":"Jeffrey M."},{"family":"Li","given":"Rui"},{"family":"Rajkumar","given":"Utkrisht"},{"family":"Friedlein","given":"Jordan"},{"family":"Bagchi","given":"Anindya"},{"family":"Satpathy","given":"Ansuman T."},{"family":"Tjian","given":"Robert"},{"family":"Mundlos","given":"Stefan"},{"family":"Bafna","given":"Vineet"},{"family":"Henssen","given":"Anton G."},{"family":"Mischel","given":"Paul S."},{"family":"Liu","given":"Zhe"},{"family":"Chang","given":"Howard Y."}],"issued":{"date-parts":[["2021",12]]}}},{"id":2261,"uris":["http://zotero.org/users/14101681/items/ZXCS5CCV"],"itemData":{"id":2261,"type":"article-journal","container-title":"Cancer Cell","DOI":"10.1016/j.ccell.2025.08.008","ISSN":"1535-6108, 1878-3686","issue":"12","journalAbbreviation":"Cancer Cell","language":"English","page":"2191-2205.e6","PMID":"40972571","publisher":"Elsevier","source":"www.cell.com","title":"Extrachromosomal DNA associates with nuclear condensates and reorganizes chromatin structures to enhance oncogenic transcription","volume":"43","author":[{"family":"Taghbalout","given":"Aziz"},{"family":"Tung","given":"Chia-Hao"},{"family":"Clow","given":"Patricia A."},{"family":"Tjong","given":"Harianto"},{"family":"Wang","given":"Ping"},{"family":"Wong","given":"Chee Hong"},{"family":"Mao","given":"Diane D."},{"family":"Maurya","given":"Rahul"},{"family":"Huang","given":"Meng-Fan"},{"family":"Ngan","given":"Chew Yee"},{"family":"Kim","given":"Albert H."},{"family":"Wei","given":"Chia-Lin"}],"issued":{"date-parts":[["2025",12,8]]}}}],"schema":"https://github.com/citation-style-language/schema/raw/master/csl-citation.json"} </w:instrText>
      </w:r>
      <w:r w:rsidRPr="00EB2E54">
        <w:rPr>
          <w:color w:val="000000" w:themeColor="text1"/>
          <w:vertAlign w:val="superscript"/>
        </w:rPr>
        <w:fldChar w:fldCharType="separate"/>
      </w:r>
      <w:r w:rsidR="00FF0E9C" w:rsidRPr="00EB2E54">
        <w:rPr>
          <w:color w:val="000000"/>
          <w:vertAlign w:val="superscript"/>
        </w:rPr>
        <w:t>14,65–67</w:t>
      </w:r>
      <w:r w:rsidRPr="00EB2E54">
        <w:rPr>
          <w:color w:val="000000" w:themeColor="text1"/>
          <w:vertAlign w:val="superscript"/>
        </w:rPr>
        <w:fldChar w:fldCharType="end"/>
      </w:r>
      <w:r w:rsidRPr="00DD309C">
        <w:rPr>
          <w:color w:val="000000" w:themeColor="text1"/>
        </w:rPr>
        <w:t xml:space="preserve">. For example, therapies targeting genes amplified on </w:t>
      </w:r>
      <w:proofErr w:type="spellStart"/>
      <w:r w:rsidRPr="00DD309C">
        <w:rPr>
          <w:color w:val="000000" w:themeColor="text1"/>
        </w:rPr>
        <w:t>ecDNA</w:t>
      </w:r>
      <w:proofErr w:type="spellEnd"/>
      <w:r w:rsidRPr="00DD309C">
        <w:rPr>
          <w:color w:val="000000" w:themeColor="text1"/>
        </w:rPr>
        <w:t xml:space="preserve"> can induce cell death, whereas cells that transition to an HSR state may remain viable and display drug resistance</w:t>
      </w:r>
      <w:r w:rsidRPr="00EB2E54">
        <w:rPr>
          <w:color w:val="000000" w:themeColor="text1"/>
          <w:vertAlign w:val="superscript"/>
        </w:rPr>
        <w:fldChar w:fldCharType="begin"/>
      </w:r>
      <w:r w:rsidR="00707A15" w:rsidRPr="00EB2E54">
        <w:rPr>
          <w:color w:val="000000" w:themeColor="text1"/>
          <w:vertAlign w:val="superscript"/>
        </w:rPr>
        <w:instrText xml:space="preserve"> ADDIN ZOTERO_ITEM CSL_CITATION {"citationID":"ex9Fqbfy","properties":{"formattedCitation":"[33,34,39]","plainCitation":"[33,34,39]","noteIndex":0},"citationItems":[{"id":"uFoMkJbN/l6Xoit5V","uris":["http://zotero.org/users/14101681/items/EGTU8H9W"],"itemData":{"id":1372,"type":"article-journal","abstract":"Gene amplification is a crucial process in cancer development, leading to the overexpression of oncogenes. It manifests cytogenetically as extrachromosomal double minutes (dmin), homogeneously staining regions (hsr), or ring chromosomes (r). This study investigates the prevalence and distribution of these amplification markers in a survey of 80 131 neoplasms spanning hematologic disorders, and benign and malignant solid tumors. The study reveals distinct variations in the frequency of dmin, hsr, and r among different tumor types. Rings were the most common (3.4%) sign of amplification, followed by dmin (1.3%), and hsr (0.8%). Rings were particularly frequent in malignant mesenchymal tumors, especially liposarcomas (47.5%) and osteosarcomas (23.4%), dmin were prevalent in neuroblastoma (30.9%) and pancreatic carcinoma (21.9%), and hsr frequencies were highest in head and neck carcinoma (14.0%) and neuroblastoma (9.0%). Combining all three amplification markers (dmin/hsr/r), malignant solid tumors consistently exhibited higher frequencies than hematologic disorders and benign solid tumors. The structural characteristics of these amplification markers and their potential role in tumorigenesis and tumor progression highlight the complex interplay between cancer-initiating gene-level alterations, for example, fusion genes, and subsequent amplification dynamics. Further research integrating cytogenetic and molecular approaches is warranted to better understand the underlying mechanisms of these amplifications, in particular, the enigmatic question of why certain malignancies display certain types of amplification. Comparing the present results with molecular genetic data proved challenging because of the diversity in definitions of amplification across studies. This study underscores the need for standardized definitions in future work.","container-title":"Genes, Chromosomes and Cancer","DOI":"10.1002/gcc.23214","ISSN":"1098-2264","issue":"1","language":"en","license":"© 2023 The Authors. Genes, Chromosomes and Cancer published by Wiley Periodicals LLC.","note":"_eprint: https://onlinelibrary.wiley.com/doi/pdf/10.1002/gcc.23214","page":"e23214","source":"Wiley Online Library","title":"Gene amplification in neoplasia: A cytogenetic survey of 80 131 cases","title-short":"Gene amplification in neoplasia","volume":"63","author":[{"family":"Mandahl","given":"Nils"},{"family":"Mertens","given":"Fredrik"},{"family":"Mitelman","given":"Felix"}],"issued":{"date-parts":[["2024"]]}}},{"id":247,"uris":["http://zotero.org/users/14101681/items/5VVZGBBJ"],"itemData":{"id":247,"type":"article-journal","abstract":"Intratumoral heterogeneity contributes to cancer drug resistance, but the underlying mechanisms are not understood. Single-cell analyses of patient-derived models and clinical samples from glioblastoma patients treated with epidermal growth factor receptor (EGFR) tyrosine kinase inhibitors (TKIs) demonstrate that tumor cells reversibly up-regulate or suppress mutant EGFR expression, conferring distinct cellular phenotypes to reach an optimal equilibrium for growth. Resistance to EGFR TKIs is shown to occur by elimination of mutant EGFR from extrachromosomal DNA. After drug withdrawal, reemergence of clonal EGFR mutations on extrachromosomal DNA follows. These results indicate a highly specific, dynamic, and adaptive route by which cancers can evade therapies that target oncogenes maintained on extrachromosomal DNA.","container-title":"Science","DOI":"10.1126/science.1241328","issue":"6166","page":"72-76","publisher":"American Association for the Advancement of Science","source":"science.org (Atypon)","title":"Targeted Therapy Resistance Mediated by Dynamic Regulation of Extrachromosomal Mutant EGFR DNA","volume":"343","author":[{"family":"Nathanson","given":"David A."},{"family":"Gini","given":"Beatrice"},{"family":"Mottahedeh","given":"Jack"},{"family":"Visnyei","given":"Koppany"},{"family":"Koga","given":"Tomoyuki"},{"family":"Gomez","given":"German"},{"family":"Eskin","given":"Ascia"},{"family":"Hwang","given":"Kiwook"},{"family":"Wang","given":"Jun"},{"family":"Masui","given":"Kenta"},{"family":"Paucar","given":"Andres"},{"family":"Yang","given":"Huijun"},{"family":"Ohashi","given":"Minori"},{"family":"Zhu","given":"Shaojun"},{"family":"Wykosky","given":"Jill"},{"family":"Reed","given":"Rachel"},{"family":"Nelson","given":"Stanley F."},{"family":"Cloughesy","given":"Timothy F."},{"family":"James","given":"C. David"},{"family":"Rao","given":"P. Nagesh"},{"family":"Kornblum","given":"Harley I."},{"family":"Heath","given":"James R."},{"family":"Cavenee","given":"Webster K."},{"family":"Furnari","given":"Frank B."},{"family":"Mischel","given":"Paul S."}],"issued":{"date-parts":[["2014",1,3]]}}},{"id":98,"uris":["http://zotero.org/users/14101681/items/ICBCR9U8"],"itemData":{"id":98,"type":"article-journal","abstract":"Focal amplifications (FAs) can mediate targeted therapy resistance in cancer. Understanding the structure and dynamics of FAs is critical for designing treatments that overcome plasticity-mediated resistance. We developed a melanoma model of dual MAPK inhibitor resistance that bears BRAFV600 amplifications through either extrachromosomal DNA/double-minutes (ecDNA/DMs) or intrachromosomal homogenously staining regions (HSRs). Cells harboring BRAFV600E FAs displayed mode switching between DMs and HSRs, from both de novo genetic changes and selection of pre-existing subpopulations. Plasticity is not exclusive to ecDNAs, as cells harboring HSRs exhibit drug addiction-driven structural loss of BRAF amplicons upon dose reduction. FA mechanisms can couple with kinase domain duplications and alternative splicing to enhance resistance. Drug-responsive amplicon plasticity is observed in the clinic, and can involve other MAPK pathway genes, such as RAF1 and NRAS. BRAF FA-mediated dual-MAPKi-resistant cells are more sensitive to pro-ferroptotic drugs, extending the spectrum of ferroptosis sensitivity in MAPKi-resistance beyond cases of dedifferentiation.","container-title":"Cancer discovery","DOI":"10.1158/2159-8290.CD-20-0936","ISSN":"2159-8274","issue":"4","journalAbbreviation":"Cancer Discov","page":"1046-1069","PMID":"34930786","PMCID":"PMC9192483","source":"PubMed Central","title":"Plasticity of extrachromosomal and intrachromosomal BRAF amplifications in overcoming targeted therapy dosage challenges","volume":"12","author":[{"family":"Song","given":"Kai"},{"family":"Minami","given":"Jenna K."},{"family":"Huang","given":"Arthur"},{"family":"Dehkordi","given":"Siavash R."},{"family":"Lomeli","given":"Shirley H."},{"family":"Luebeck","given":"Jens"},{"family":"Goodman","given":"Mark H."},{"family":"Moriceau","given":"Gatien"},{"family":"Krijgsman","given":"Oscar"},{"family":"Dharanipragada","given":"Prashanthi"},{"family":"Ridgley","given":"Trevor"},{"family":"Crosson","given":"William P."},{"family":"Salazar","given":"Jesus"},{"family":"Pazol","given":"Eli"},{"family":"Karin","given":"Gabriel"},{"family":"Jayaraman","given":"Rachana"},{"family":"Balanis","given":"Nikolas G."},{"family":"Alhani","given":"Salwan"},{"family":"Sheu","given":"Kyle"},{"family":"Hoeve","given":"Johanna","dropping-particle":"ten"},{"family":"Palermo","given":"Amelia"},{"family":"Motika","given":"Stephen E."},{"family":"Senaratne","given":"T. Niroshi"},{"family":"Paraiso","given":"Kim H."},{"family":"Hergenrother","given":"Paul J."},{"family":"Rao","given":"P. Nagesh"},{"family":"Multani","given":"Asha S."},{"family":"Peeper","given":"Daniel S."},{"family":"Bafna","given":"Vineet"},{"family":"Lo","given":"Roger S."},{"family":"Graeber","given":"Thomas G."}],"issued":{"date-parts":[["2022",4,1]]}}}],"schema":"https://github.com/citation-style-language/schema/raw/master/csl-citation.json"} </w:instrText>
      </w:r>
      <w:r w:rsidRPr="00EB2E54">
        <w:rPr>
          <w:color w:val="000000" w:themeColor="text1"/>
          <w:vertAlign w:val="superscript"/>
        </w:rPr>
        <w:fldChar w:fldCharType="separate"/>
      </w:r>
      <w:r w:rsidR="00FF0E9C" w:rsidRPr="00EB2E54">
        <w:rPr>
          <w:color w:val="000000"/>
          <w:vertAlign w:val="superscript"/>
        </w:rPr>
        <w:t>33,34,39</w:t>
      </w:r>
      <w:r w:rsidRPr="00EB2E54">
        <w:rPr>
          <w:color w:val="000000" w:themeColor="text1"/>
          <w:vertAlign w:val="superscript"/>
        </w:rPr>
        <w:fldChar w:fldCharType="end"/>
      </w:r>
      <w:r w:rsidRPr="00DD309C">
        <w:rPr>
          <w:color w:val="000000" w:themeColor="text1"/>
        </w:rPr>
        <w:t xml:space="preserve">. Accordingly, researchers need methods that reliably distinguish </w:t>
      </w:r>
      <w:proofErr w:type="spellStart"/>
      <w:r w:rsidRPr="00DD309C">
        <w:rPr>
          <w:color w:val="000000" w:themeColor="text1"/>
        </w:rPr>
        <w:t>ecDNA</w:t>
      </w:r>
      <w:proofErr w:type="spellEnd"/>
      <w:r w:rsidRPr="00DD309C">
        <w:rPr>
          <w:color w:val="000000" w:themeColor="text1"/>
        </w:rPr>
        <w:t xml:space="preserve"> from HSR amplification to understand how gene amplification contributes to cancer progression and treatment response. </w:t>
      </w:r>
    </w:p>
    <w:p w14:paraId="76BB99A8" w14:textId="77777777" w:rsidR="008D00AB" w:rsidRPr="00DD309C" w:rsidRDefault="008D00AB" w:rsidP="008D00AB">
      <w:pPr>
        <w:rPr>
          <w:color w:val="000000" w:themeColor="text1"/>
        </w:rPr>
      </w:pPr>
    </w:p>
    <w:p w14:paraId="0191F89B" w14:textId="4DB0AA60" w:rsidR="008D00AB" w:rsidRDefault="008D00AB" w:rsidP="008D00AB">
      <w:pPr>
        <w:rPr>
          <w:rStyle w:val="normaltextrun"/>
          <w:color w:val="000000"/>
        </w:rPr>
      </w:pPr>
      <w:r w:rsidRPr="00DD309C">
        <w:rPr>
          <w:bCs/>
          <w:color w:val="000000" w:themeColor="text1"/>
        </w:rPr>
        <w:t xml:space="preserve">In this approach, cells were first arrested in metaphase, generating highly condensed chromatin, </w:t>
      </w:r>
      <w:r w:rsidRPr="00DD309C">
        <w:rPr>
          <w:bCs/>
          <w:color w:val="000000" w:themeColor="text1"/>
        </w:rPr>
        <w:lastRenderedPageBreak/>
        <w:t>allowing visualization of chromosome structures suitable for cytogenetic analysis</w:t>
      </w:r>
      <w:r w:rsidRPr="00DC1DE6">
        <w:rPr>
          <w:bCs/>
          <w:color w:val="000000" w:themeColor="text1"/>
          <w:vertAlign w:val="superscript"/>
        </w:rPr>
        <w:fldChar w:fldCharType="begin"/>
      </w:r>
      <w:r w:rsidR="00707A15" w:rsidRPr="00DC1DE6">
        <w:rPr>
          <w:bCs/>
          <w:color w:val="000000" w:themeColor="text1"/>
          <w:vertAlign w:val="superscript"/>
        </w:rPr>
        <w:instrText xml:space="preserve"> ADDIN ZOTERO_ITEM CSL_CITATION {"citationID":"sXsWnEAt","properties":{"formattedCitation":"[7,68]","plainCitation":"[7,68]","noteIndex":0},"citationItems":[{"id":633,"uris":["http://zotero.org/users/14101681/items/UE373K8E"],"itemData":{"id":633,"type":"article-journal","abstract":"In 6 cases chromosome preparations made without culture from human malignant tumours showed varying numbers of minute double chromatin bodies in addition to the ordinary chromosomes. The ordinary chromosomes appeared structurally intact, but each tumour had a different abnormal karyotype with some variation from cell to cell.","container-title":"The Lancet","DOI":"10.1016/S0140-6736(65)90131-5","ISSN":"01406736","issue":"7402","journalAbbreviation":"The Lancet","language":"en","license":"https://www.elsevier.com/tdm/userlicense/1.0/","page":"55-58","source":"DOI.org (Crossref)","title":"MINUTE CHROMATIN BODIES IN MALIGNANT TUMOURS OF CHILDHOOD","volume":"286","author":[{"family":"Cox","given":"David"},{"family":"Yuncken","given":"Catherine"},{"family":"Spriggs","given":"A.I."}],"issued":{"date-parts":[["1965",7]]}}},{"id":1931,"uris":["http://zotero.org/users/14101681/items/AE8RIDDQ"],"itemData":{"id":1931,"type":"article-journal","container-title":"Journal of Heredity","DOI":"10.1093/oxfordjournals.jhered.a106344","ISSN":"0022-1503","issue":"1","journalAbbreviation":"J Hered","page":"23-30","source":"Silverchair","title":"MAMMALIAN CHROMOSOMES IN VITRO: II. A Method for Spreading the Chromosomes of Cells in Tissue Culture","title-short":"MAMMALIAN CHROMOSOMES IN VITRO","volume":"44","author":[{"family":"HSU","given":"T. C."},{"family":"POMERAT","given":"C. M."}],"issued":{"date-parts":[["1953",1,1]]}}}],"schema":"https://github.com/citation-style-language/schema/raw/master/csl-citation.json"} </w:instrText>
      </w:r>
      <w:r w:rsidRPr="00DC1DE6">
        <w:rPr>
          <w:bCs/>
          <w:color w:val="000000" w:themeColor="text1"/>
          <w:vertAlign w:val="superscript"/>
        </w:rPr>
        <w:fldChar w:fldCharType="separate"/>
      </w:r>
      <w:r w:rsidR="00FF0E9C" w:rsidRPr="00DC1DE6">
        <w:rPr>
          <w:color w:val="000000"/>
          <w:vertAlign w:val="superscript"/>
        </w:rPr>
        <w:t>7,68</w:t>
      </w:r>
      <w:r w:rsidRPr="00DC1DE6">
        <w:rPr>
          <w:bCs/>
          <w:color w:val="000000" w:themeColor="text1"/>
          <w:vertAlign w:val="superscript"/>
        </w:rPr>
        <w:fldChar w:fldCharType="end"/>
      </w:r>
      <w:r w:rsidRPr="00DD309C">
        <w:rPr>
          <w:bCs/>
          <w:color w:val="000000" w:themeColor="text1"/>
        </w:rPr>
        <w:t xml:space="preserve">. To ensure chromosomes dispersed upon contact with the glass slide, </w:t>
      </w:r>
      <w:r w:rsidRPr="00DD309C">
        <w:rPr>
          <w:rStyle w:val="normaltextrun"/>
          <w:color w:val="000000"/>
        </w:rPr>
        <w:t xml:space="preserve">cells were then </w:t>
      </w:r>
      <w:r w:rsidR="00DC1DE6">
        <w:rPr>
          <w:rStyle w:val="normaltextrun"/>
          <w:color w:val="000000"/>
        </w:rPr>
        <w:t>swollen</w:t>
      </w:r>
      <w:r w:rsidRPr="00DD309C">
        <w:rPr>
          <w:rStyle w:val="normaltextrun"/>
          <w:color w:val="000000"/>
        </w:rPr>
        <w:t xml:space="preserve"> with a hypotonic solution. After multiple rounds of Carnoy’s fixation, cells were dropped onto slides from a height of one meter to burst nuclei and create metaphase chromosome spreads. Slides were then baked, washed, and hybridized overnight with a fluorescent DNA probe targeting a gene of interest, and counterstained with DAPI to visualize total DNA. Including a centromere probe for the endogenous chromosome</w:t>
      </w:r>
      <w:r w:rsidRPr="00DD309C">
        <w:rPr>
          <w:rStyle w:val="apple-converted-space"/>
          <w:color w:val="000000"/>
        </w:rPr>
        <w:t> </w:t>
      </w:r>
      <w:r w:rsidRPr="00DD309C">
        <w:rPr>
          <w:rStyle w:val="normaltextrun"/>
          <w:color w:val="000000"/>
        </w:rPr>
        <w:t>containing</w:t>
      </w:r>
      <w:r w:rsidRPr="00DD309C">
        <w:rPr>
          <w:rStyle w:val="apple-converted-space"/>
          <w:color w:val="000000"/>
        </w:rPr>
        <w:t> </w:t>
      </w:r>
      <w:r w:rsidRPr="00DD309C">
        <w:rPr>
          <w:rStyle w:val="normaltextrun"/>
          <w:color w:val="000000"/>
        </w:rPr>
        <w:t>the locus of interest help</w:t>
      </w:r>
      <w:r w:rsidR="00691711">
        <w:rPr>
          <w:rStyle w:val="normaltextrun"/>
          <w:color w:val="000000"/>
        </w:rPr>
        <w:t>ed</w:t>
      </w:r>
      <w:r w:rsidRPr="00DD309C">
        <w:rPr>
          <w:rStyle w:val="apple-converted-space"/>
          <w:color w:val="000000"/>
        </w:rPr>
        <w:t> </w:t>
      </w:r>
      <w:r w:rsidRPr="00DD309C">
        <w:rPr>
          <w:rStyle w:val="normaltextrun"/>
          <w:color w:val="000000"/>
        </w:rPr>
        <w:t>identify</w:t>
      </w:r>
      <w:r w:rsidRPr="00DD309C">
        <w:rPr>
          <w:rStyle w:val="apple-converted-space"/>
          <w:color w:val="000000"/>
        </w:rPr>
        <w:t> </w:t>
      </w:r>
      <w:r w:rsidRPr="00DD309C">
        <w:rPr>
          <w:rStyle w:val="normaltextrun"/>
          <w:color w:val="000000"/>
        </w:rPr>
        <w:t>the endogenous copy of the</w:t>
      </w:r>
      <w:r w:rsidRPr="00DD309C">
        <w:rPr>
          <w:rStyle w:val="apple-converted-space"/>
          <w:color w:val="000000"/>
        </w:rPr>
        <w:t> </w:t>
      </w:r>
      <w:r w:rsidRPr="00DD309C">
        <w:rPr>
          <w:rStyle w:val="normaltextrun"/>
          <w:color w:val="000000"/>
        </w:rPr>
        <w:t>locus when</w:t>
      </w:r>
      <w:r w:rsidRPr="00DD309C">
        <w:rPr>
          <w:rStyle w:val="apple-converted-space"/>
          <w:color w:val="000000"/>
        </w:rPr>
        <w:t> </w:t>
      </w:r>
      <w:r w:rsidRPr="00DD309C">
        <w:rPr>
          <w:rStyle w:val="normaltextrun"/>
          <w:color w:val="000000"/>
        </w:rPr>
        <w:t xml:space="preserve">present. </w:t>
      </w:r>
      <w:r w:rsidR="00B07778" w:rsidRPr="00B07778">
        <w:rPr>
          <w:rStyle w:val="normaltextrun"/>
          <w:color w:val="000000"/>
        </w:rPr>
        <w:t xml:space="preserve">This approach enabled </w:t>
      </w:r>
      <w:r w:rsidR="00B07778">
        <w:rPr>
          <w:rStyle w:val="normaltextrun"/>
          <w:color w:val="000000"/>
        </w:rPr>
        <w:t xml:space="preserve">the </w:t>
      </w:r>
      <w:r w:rsidR="00B07778" w:rsidRPr="00B07778">
        <w:rPr>
          <w:rStyle w:val="normaltextrun"/>
          <w:color w:val="000000"/>
        </w:rPr>
        <w:t xml:space="preserve">determination of whether a genomic locus was present on </w:t>
      </w:r>
      <w:proofErr w:type="spellStart"/>
      <w:r w:rsidR="00B07778" w:rsidRPr="00B07778">
        <w:rPr>
          <w:rStyle w:val="normaltextrun"/>
          <w:color w:val="000000"/>
        </w:rPr>
        <w:t>ecDNA</w:t>
      </w:r>
      <w:proofErr w:type="spellEnd"/>
      <w:r w:rsidR="00B07778" w:rsidRPr="00B07778">
        <w:rPr>
          <w:rStyle w:val="normaltextrun"/>
          <w:color w:val="000000"/>
        </w:rPr>
        <w:t>, integrated within a chromosomal HSR, or present in other copy-number configurations.</w:t>
      </w:r>
    </w:p>
    <w:p w14:paraId="677D148F" w14:textId="77777777" w:rsidR="00B07778" w:rsidRPr="00DD309C" w:rsidRDefault="00B07778" w:rsidP="008D00AB">
      <w:pPr>
        <w:rPr>
          <w:color w:val="000000" w:themeColor="text1"/>
        </w:rPr>
      </w:pPr>
    </w:p>
    <w:p w14:paraId="57FAF4C6" w14:textId="782862FC" w:rsidR="008D00AB" w:rsidRPr="00DD309C" w:rsidRDefault="008D00AB" w:rsidP="008D00AB">
      <w:pPr>
        <w:rPr>
          <w:color w:val="000000" w:themeColor="text1"/>
        </w:rPr>
      </w:pPr>
      <w:r w:rsidRPr="00DD309C">
        <w:rPr>
          <w:color w:val="000000" w:themeColor="text1"/>
        </w:rPr>
        <w:t>Motivated by a longstanding interest in genome structure and repetitive DNA</w:t>
      </w:r>
      <w:r w:rsidRPr="00B07778">
        <w:rPr>
          <w:color w:val="000000" w:themeColor="text1"/>
          <w:vertAlign w:val="superscript"/>
        </w:rPr>
        <w:fldChar w:fldCharType="begin"/>
      </w:r>
      <w:r w:rsidR="00707A15" w:rsidRPr="00B07778">
        <w:rPr>
          <w:color w:val="000000" w:themeColor="text1"/>
          <w:vertAlign w:val="superscript"/>
        </w:rPr>
        <w:instrText xml:space="preserve"> ADDIN ZOTERO_ITEM CSL_CITATION {"citationID":"DEbyVHpx","properties":{"unsorted":true,"formattedCitation":"[69\\uc0\\u8211{}72]","plainCitation":"[69–72]","noteIndex":0},"citationItems":[{"id":2241,"uris":["http://zotero.org/users/14101681/items/BT7W79RD"],"itemData":{"id":2241,"type":"article-journal","abstract":"Targeting the genome with sequence-specific synthetic molecules is a major goal at the interface of chemistry, biology, and personalized medicine. Pyrrole/imidazole-based polyamides can be rationally designed to target specific DNA sequences with exquisite precision in vitro; yet, the biological outcomes are often difficult to interpret using current models of binding energetics. To directly identify the binding sites of polyamides across the genome, we designed, synthesized, and tested polyamide derivatives that enabled covalent crosslinking and localization of polyamide–DNA interaction sites in live human cells. Bioinformatic analysis of the data reveals that clustered binding sites, spanning a broad range of affinities, best predict occupancy in cells. In contrast to the prevailing paradigm of targeting single high-affinity sites, our results point to a new design principle to deploy polyamides and perhaps other synthetic molecules to effectively target desired genomic sites in vivo.","container-title":"Angewandte Chemie","DOI":"10.1002/ange.201405497","ISSN":"1521-3757","issue":"38","language":"en","license":"© 2014 WILEY-VCH Verlag GmbH &amp; Co. KGaA, Weinheim","note":"_eprint: https://onlinelibrary.wiley.com/doi/pdf/10.1002/ange.201405497","page":"10288-10292","source":"Wiley Online Library","title":"Mapping Polyamide–DNA Interactions in Human Cells Reveals a New Design Strategy for Effective Targeting of Genomic Sites","volume":"126","author":[{"family":"Erwin","given":"Graham S."},{"family":"Bhimsaria","given":"Devesh"},{"family":"Eguchi","given":"Asuka"},{"family":"Ansari","given":"Aseem Z."}],"issued":{"date-parts":[["2014"]]}}},{"id":2246,"uris":["http://zotero.org/users/14101681/items/G4SP4I3P"],"itemData":{"id":2246,"type":"article-journal","abstract":"Targeting the genome with sequence-specific DNA-binding molecules is a major goal at the interface of chemistry, biology, and precision medicine. Polyamides, composed of N-methylpyrrole and N-methylimidazole monomers, are a class of synthetic molecules that can be rationally designed to “read” specific DNA sequences. However, the impact of different chromatin states on polyamide binding in live cells remains an unresolved question that impedes their deployment in vivo. Here, we use cross-linking of small molecules to isolate chromatin coupled to sequencing to map the binding of two bioactive and structurally distinct polyamides to genomes directly within live H1 human embryonic stem cells. This genome-wide view from live cells reveals that polyamide-based synthetic genome readers bind cognate sites that span a range of binding affinities. Polyamides can access cognate sites within repressive heterochromatin. The occupancy patterns suggest that polyamides could be harnessed to target loci within regions of the genome that are inaccessible to other DNA-targeting molecules.","container-title":"Proceedings of the National Academy of Sciences","DOI":"10.1073/pnas.1604847113","issue":"47","page":"E7418-E7427","publisher":"Proceedings of the National Academy of Sciences","source":"pnas.org (Atypon)","title":"Synthetic genome readers target clustered binding sites across diverse chromatin states","volume":"113","author":[{"family":"Erwin","given":"Graham S."},{"family":"Grieshop","given":"Matthew P."},{"family":"Bhimsaria","given":"Devesh"},{"family":"Do","given":"Truman J."},{"family":"Rodríguez-Martínez","given":"José A."},{"family":"Mehta","given":"Charu"},{"family":"Khanna","given":"Kanika"},{"family":"Swanson","given":"Scott A."},{"family":"Stewart","given":"Ron"},{"family":"Thomson","given":"James A."},{"family":"Ramanathan","given":"Parameswaran"},{"family":"Ansari","given":"Aseem Z."}],"issued":{"date-parts":[["2016",11,22]]}}},{"id":1486,"uris":["http://zotero.org/users/14101681/items/PZPZ2K8I"],"itemData":{"id":1486,"type":"article-journal","abstract":"The release of paused RNA polymerase II into productive elongation is highly regulated, especially at genes that affect human development and disease. To exert control over this rate-limiting step, we designed sequence-specific synthetic transcription elongation factors (Syn-TEFs). These molecules are composed of programmable DNA-binding ligands flexibly tethered to a small molecule that engages the transcription elongation machinery. By limiting activity to targeted loci, Syn-TEFs convert constituent modules from broad-spectrum inhibitors of transcription into gene-specific stimulators. Here we present Syn-TEF1, a molecule that actively enables transcription across repressive GAA repeats that silence frataxin expression in Friedreich's ataxia, a terminal neurodegenerative disease with no effective therapy. The modular design of Syn-TEF1 defines a general framework for developing a class of molecules that license transcription elongation at targeted genomic loci.","container-title":"Science (New York, N.Y.)","DOI":"10.1126/science.aan6414","ISSN":"1095-9203","issue":"6370","journalAbbreviation":"Science","language":"eng","page":"1617-1622","PMID":"29192133","PMCID":"PMC6037176","source":"PubMed","title":"Synthetic transcription elongation factors license transcription across repressive chromatin","volume":"358","author":[{"family":"Erwin","given":"Graham S."},{"family":"Grieshop","given":"Matthew P."},{"family":"Ali","given":"Asfa"},{"family":"Qi","given":"Jun"},{"family":"Lawlor","given":"Matthew"},{"family":"Kumar","given":"Deepak"},{"family":"Ahmad","given":"Istaq"},{"family":"McNally","given":"Anna"},{"family":"Teider","given":"Natalia"},{"family":"Worringer","given":"Katie"},{"family":"Sivasankaran","given":"Rajeev"},{"family":"Syed","given":"Deeba N."},{"family":"Eguchi","given":"Asuka"},{"family":"Ashraf","given":"Md"},{"family":"Jeffery","given":"Justin"},{"family":"Xu","given":"Mousheng"},{"family":"Park","given":"Paul M. C."},{"family":"Mukhtar","given":"Hasan"},{"family":"Srivastava","given":"Achal K."},{"family":"Faruq","given":"Mohammed"},{"family":"Bradner","given":"James E."},{"family":"Ansari","given":"Aseem Z."}],"issued":{"date-parts":[["2017",12,22]]}}},{"id":2250,"uris":["http://zotero.org/users/14101681/items/IFB6D7BC"],"itemData":{"id":2250,"type":"article-journal","abstract":"Expansion of a single repetitive DNA sequence, termed a tandem repeat (TR), is known to cause more than 50 diseases1,2. However, repeat expansions are often not explored beyond neurological and neurodegenerative disorders. In some cancers, mutations accumulate in short tracts of TRs, a phenomenon termed microsatellite instability; however, larger repeat expansions have not been systematically analysed in cancer3–8. Here we identified TR expansions in 2,622 cancer genomes spanning 29 cancer types. In seven cancer types, we found 160 recurrent repeat expansions (rREs), most of which (155/160) were subtype specific. We found that rREs were non-uniformly distributed in the genome with enrichment near candidate cis-regulatory elements, suggesting a potential role in gene regulation. One rRE, a GAAA-repeat expansion, located near a regulatory element in the first intron of UGT2B7 was detected in 34% of renal cell carcinoma samples and was validated by long-read DNA sequencing. Moreover, in preliminary experiments, treating cells that harbour this rRE with a GAAA-targeting molecule led to a dose-dependent decrease in cell proliferation. Overall, our results suggest that rREs may be an important but unexplored source of genetic variation in human cancer, and we provide a comprehensive catalogue for further study.","container-title":"Nature","DOI":"10.1038/s41586-022-05515-1","ISSN":"1476-4687","issue":"7942","language":"en","license":"2022 The Author(s)","page":"96-102","publisher":"Nature Publishing Group","source":"www.nature.com","title":"Recurrent repeat expansions in human cancer genomes","volume":"613","author":[{"family":"Erwin","given":"Graham S."},{"family":"Gürsoy","given":"Gamze"},{"family":"Al-Abri","given":"Rashid"},{"family":"Suriyaprakash","given":"Ashwini"},{"family":"Dolzhenko","given":"Egor"},{"family":"Zhu","given":"Kevin"},{"family":"Hoerner","given":"Christian R."},{"family":"White","given":"Shannon M."},{"family":"Ramirez","given":"Lucia"},{"family":"Vadlakonda","given":"Ananya"},{"family":"Vadlakonda","given":"Alekhya"},{"family":"Kraut","given":"Konor","non-dropping-particle":"von"},{"family":"Park","given":"Julia"},{"family":"Brannon","given":"Charlotte M."},{"family":"Sumano","given":"Daniel A."},{"family":"Kirtikar","given":"Raushun A."},{"family":"Erwin","given":"Alicia A."},{"family":"Metzner","given":"Thomas J."},{"family":"Yuen","given":"Ryan K. C."},{"family":"Fan","given":"Alice C."},{"family":"Leppert","given":"John T."},{"family":"Eberle","given":"Michael A."},{"family":"Gerstein","given":"Mark"},{"family":"Snyder","given":"Michael P."}],"issued":{"date-parts":[["2023",1]]}}}],"schema":"https://github.com/citation-style-language/schema/raw/master/csl-citation.json"} </w:instrText>
      </w:r>
      <w:r w:rsidRPr="00B07778">
        <w:rPr>
          <w:color w:val="000000" w:themeColor="text1"/>
          <w:vertAlign w:val="superscript"/>
        </w:rPr>
        <w:fldChar w:fldCharType="separate"/>
      </w:r>
      <w:r w:rsidR="00FF0E9C" w:rsidRPr="00B07778">
        <w:rPr>
          <w:color w:val="000000"/>
          <w:vertAlign w:val="superscript"/>
        </w:rPr>
        <w:t>69–72</w:t>
      </w:r>
      <w:r w:rsidRPr="00B07778">
        <w:rPr>
          <w:color w:val="000000" w:themeColor="text1"/>
          <w:vertAlign w:val="superscript"/>
        </w:rPr>
        <w:fldChar w:fldCharType="end"/>
      </w:r>
      <w:r w:rsidRPr="00DD309C">
        <w:rPr>
          <w:color w:val="000000" w:themeColor="text1"/>
        </w:rPr>
        <w:t>,</w:t>
      </w:r>
      <w:r w:rsidR="00B07778">
        <w:rPr>
          <w:color w:val="000000" w:themeColor="text1"/>
        </w:rPr>
        <w:t xml:space="preserve"> </w:t>
      </w:r>
      <w:r w:rsidRPr="00DD309C">
        <w:rPr>
          <w:color w:val="000000" w:themeColor="text1"/>
        </w:rPr>
        <w:t>we sought to establish a robust DNA-FISH metaphase spread workflow for resolving amplification state. A major strength of this protocol is its emphasis on ensuring that nuclei burst effectively</w:t>
      </w:r>
      <w:r w:rsidR="00DE36FD">
        <w:rPr>
          <w:color w:val="000000" w:themeColor="text1"/>
        </w:rPr>
        <w:t>, producing</w:t>
      </w:r>
      <w:r w:rsidRPr="00DD309C">
        <w:rPr>
          <w:color w:val="000000" w:themeColor="text1"/>
        </w:rPr>
        <w:t xml:space="preserve"> well-dispersed chromosome spreads. For example, we were able to clearly visualize small integrated HSRs within COLO320DM cells (</w:t>
      </w:r>
      <w:r w:rsidR="00DE36FD" w:rsidRPr="00DE36FD">
        <w:rPr>
          <w:b/>
          <w:bCs/>
          <w:color w:val="000000" w:themeColor="text1"/>
        </w:rPr>
        <w:t>Supplementary Figure 1</w:t>
      </w:r>
      <w:r w:rsidRPr="00DD309C">
        <w:rPr>
          <w:color w:val="000000" w:themeColor="text1"/>
        </w:rPr>
        <w:t>). These small HSRs have been previously reported</w:t>
      </w:r>
      <w:r w:rsidRPr="00BE5912">
        <w:rPr>
          <w:color w:val="000000" w:themeColor="text1"/>
          <w:vertAlign w:val="superscript"/>
        </w:rPr>
        <w:fldChar w:fldCharType="begin"/>
      </w:r>
      <w:r w:rsidR="00707A15" w:rsidRPr="00BE5912">
        <w:rPr>
          <w:color w:val="000000" w:themeColor="text1"/>
          <w:vertAlign w:val="superscript"/>
        </w:rPr>
        <w:instrText xml:space="preserve"> ADDIN ZOTERO_ITEM CSL_CITATION {"citationID":"YMWrFNWO","properties":{"unsorted":false,"formattedCitation":"[73,74]","plainCitation":"[73,74]","noteIndex":0},"citationItems":[{"id":2425,"uris":["http://zotero.org/users/14101681/items/PK3ZC8CY"],"itemData":{"id":2425,"type":"article-journal","container-title":"Nature Genetics","DOI":"10.1038/ng0196-65","ISSN":"1061-4036, 1546-1718","issue":"1","journalAbbreviation":"Nat Genet","language":"en","license":"http://www.springer.com/tdm","page":"65-71","source":"DOI.org (Crossref)","title":"Selective capture of acentric fragments by micronuclei provides a rapid method for purifying extrachromosomally amplified DNA","volume":"12","author":[{"family":"Shimizu","given":"Noriaki"},{"family":"Kanda","given":"Teru"},{"family":"Wahl","given":"Geoffrey M."}],"issued":{"date-parts":[["1996",1]]}}},{"id":2426,"uris":["http://zotero.org/users/14101681/items/NWEF4Y69"],"itemData":{"id":2426,"type":"article-journal","abstract":"Extrachromosomal DNA (ecDNA) is a critical driver of cancer progression, contributing to tumour growth, evolution, and therapeutic resistance through oncogene amplification. Despite its significance, the replication of ecDNA remains poorly understood. In this study, we investigated the replication dynamics of ecDNA using high-resolution replication timing analysis (Repli-seq) and DNAscent, a method for measuring origin firing and replication fork movement, that we applied to both bulk DNA and to ecDNA isolated with FINE (Fluorescence-activated cell sorting-based Isolation of Native ecDNA), a new method for isolating, chromatinized ecDNA without DNA or protein digestion. We demonstrate that ecDNA in the COLO 320DM colorectal cancer cell line exhibits largely asynchronous replication throughout the S phase, contrasting with the conserved replication timing of the corresponding chromosomal DNA in RPE-1 cells and the chromosomally reintegrated ecDNA in COLO 320HSR. Replication origins on ecDNA are redistributed, and replication forks exhibit reduced velocity and increased stalling. Under replication stress induced by hydroxyurea treatment, ecDNA replication is further compromised, leading to altered origin activation, reduced fork velocity and eventual ecDNA depletion from cells. Our findings reveal fundamental differences in the replication dynamics of ecDNA, providing insights that could inform the development of therapies targeting ecDNA-associated oncogene amplification in cancer.","container-title":"Nucleic Acids Research","DOI":"10.1093/nar/gkaf711","ISSN":"1362-4962","issue":"14","journalAbbreviation":"Nucleic Acids Res","page":"gkaf711","source":"Silverchair","title":"ecDNA replication is disorganized and vulnerable to replication stress","volume":"53","author":[{"family":"Jaworski","given":"Jedrzej J"},{"family":"Pfuderer","given":"Pauline L"},{"family":"Czyz","given":"Pawel"},{"family":"Petris","given":"Gianluca"},{"family":"Boemo","given":"Michael A"},{"family":"Sale","given":"Julian E"}],"issued":{"date-parts":[["2025",8,12]]}}}],"schema":"https://github.com/citation-style-language/schema/raw/master/csl-citation.json"} </w:instrText>
      </w:r>
      <w:r w:rsidRPr="00BE5912">
        <w:rPr>
          <w:color w:val="000000" w:themeColor="text1"/>
          <w:vertAlign w:val="superscript"/>
        </w:rPr>
        <w:fldChar w:fldCharType="separate"/>
      </w:r>
      <w:r w:rsidR="00FF0E9C" w:rsidRPr="00BE5912">
        <w:rPr>
          <w:color w:val="000000"/>
          <w:vertAlign w:val="superscript"/>
        </w:rPr>
        <w:t>73,74</w:t>
      </w:r>
      <w:r w:rsidRPr="00BE5912">
        <w:rPr>
          <w:color w:val="000000" w:themeColor="text1"/>
          <w:vertAlign w:val="superscript"/>
        </w:rPr>
        <w:fldChar w:fldCharType="end"/>
      </w:r>
      <w:r w:rsidRPr="00DD309C">
        <w:rPr>
          <w:color w:val="000000" w:themeColor="text1"/>
        </w:rPr>
        <w:t>, but are easily overlooked when metaphase spreads are poorly dispersed or unclear. This protocol also describes intermediate validation steps during metaphase preparation to increase the likelihood of a successful outcome. Historically, expertise in metaphase preparation was transmitted by apprenticeship in cytogenetics laboratories. As research labs have focused more on sequencing and less on cytogenetics, fewer scientists possess this hands-on knowledge. This protocol aims to make the workflow more accessible to researchers without access to a cytogenetics lab.</w:t>
      </w:r>
    </w:p>
    <w:p w14:paraId="518D3F0C" w14:textId="77777777" w:rsidR="008D00AB" w:rsidRPr="00DD309C" w:rsidRDefault="008D00AB" w:rsidP="008D00AB">
      <w:pPr>
        <w:rPr>
          <w:color w:val="000000" w:themeColor="text1"/>
        </w:rPr>
      </w:pPr>
    </w:p>
    <w:p w14:paraId="32B8A2FA" w14:textId="786892A8" w:rsidR="008D00AB" w:rsidRPr="00DD309C" w:rsidRDefault="008D00AB" w:rsidP="008D00AB">
      <w:pPr>
        <w:rPr>
          <w:color w:val="000000" w:themeColor="text1"/>
        </w:rPr>
      </w:pPr>
      <w:r w:rsidRPr="00DD309C">
        <w:rPr>
          <w:color w:val="000000" w:themeColor="text1"/>
        </w:rPr>
        <w:t xml:space="preserve">While this technique distinguishes gene amplification states at </w:t>
      </w:r>
      <w:r w:rsidR="00B20576">
        <w:rPr>
          <w:color w:val="000000" w:themeColor="text1"/>
        </w:rPr>
        <w:t>the single-cell level, it has some limitations</w:t>
      </w:r>
      <w:r w:rsidRPr="00DD309C">
        <w:rPr>
          <w:color w:val="000000" w:themeColor="text1"/>
        </w:rPr>
        <w:t xml:space="preserve">. DNA-FISH metaphase spreads do not provide exact copy number quantification for HSRs, as signal intensity reflects probe hybridization events rather than precise copy number. Additionally, prior knowledge of the locus of interest is required to select an appropriate probe. As a result, only the targeted locus will be visualized, and other potentially amplified regions will go undetected. DNA-FISH metaphase spreads also lack the base-pair resolution that sequencing provides. Finally, the protocol requires actively dividing cells that can </w:t>
      </w:r>
      <w:r w:rsidR="00B73660">
        <w:rPr>
          <w:color w:val="000000" w:themeColor="text1"/>
        </w:rPr>
        <w:t xml:space="preserve">be either maintained in culture or plated and incubated long enough to complete </w:t>
      </w:r>
      <w:proofErr w:type="spellStart"/>
      <w:r w:rsidR="00B73660">
        <w:rPr>
          <w:color w:val="000000" w:themeColor="text1"/>
        </w:rPr>
        <w:t>Colcemid</w:t>
      </w:r>
      <w:proofErr w:type="spellEnd"/>
      <w:r w:rsidR="00B73660">
        <w:rPr>
          <w:color w:val="000000" w:themeColor="text1"/>
        </w:rPr>
        <w:t xml:space="preserve"> treatment, depending</w:t>
      </w:r>
      <w:r w:rsidRPr="00DD309C">
        <w:rPr>
          <w:color w:val="000000" w:themeColor="text1"/>
        </w:rPr>
        <w:t xml:space="preserve"> on the cell type’s doubling time. Within these constraints, the protocol is compatible with a wide range of biological systems, including established cancer cell lines, primary tumor samples, and patient-derived cells, though optimization may be required for different cell types and model systems. </w:t>
      </w:r>
    </w:p>
    <w:p w14:paraId="70510EB5" w14:textId="77777777" w:rsidR="008D00AB" w:rsidRPr="00DD309C" w:rsidRDefault="008D00AB" w:rsidP="008D00AB">
      <w:pPr>
        <w:rPr>
          <w:color w:val="000000" w:themeColor="text1"/>
        </w:rPr>
      </w:pPr>
    </w:p>
    <w:p w14:paraId="668C876C" w14:textId="0B1BDFD5" w:rsidR="008D00AB" w:rsidRDefault="00AA24CE" w:rsidP="008D00AB">
      <w:pPr>
        <w:rPr>
          <w:color w:val="000000" w:themeColor="text1"/>
        </w:rPr>
      </w:pPr>
      <w:r w:rsidRPr="00AA24CE">
        <w:rPr>
          <w:color w:val="000000" w:themeColor="text1"/>
        </w:rPr>
        <w:t xml:space="preserve">This protocol lowers the barrier to performing these analyses outside of a specialized cytogenetics laboratory. As more laboratories adopt DNA-FISH metaphase spreads, the field will be better positioned to determine when and why amplified oncogenes switch between </w:t>
      </w:r>
      <w:proofErr w:type="spellStart"/>
      <w:r w:rsidRPr="00AA24CE">
        <w:rPr>
          <w:color w:val="000000" w:themeColor="text1"/>
        </w:rPr>
        <w:t>ecDNA</w:t>
      </w:r>
      <w:proofErr w:type="spellEnd"/>
      <w:r w:rsidRPr="00AA24CE">
        <w:rPr>
          <w:color w:val="000000" w:themeColor="text1"/>
        </w:rPr>
        <w:t xml:space="preserve"> and HSR states</w:t>
      </w:r>
      <w:r>
        <w:rPr>
          <w:color w:val="000000" w:themeColor="text1"/>
        </w:rPr>
        <w:t>.</w:t>
      </w:r>
    </w:p>
    <w:p w14:paraId="735ABE2A" w14:textId="77777777" w:rsidR="00AA24CE" w:rsidRPr="00DD309C" w:rsidRDefault="00AA24CE" w:rsidP="008D00AB">
      <w:pPr>
        <w:rPr>
          <w:color w:val="000000" w:themeColor="text1"/>
        </w:rPr>
      </w:pPr>
    </w:p>
    <w:p w14:paraId="38341D37" w14:textId="77777777" w:rsidR="008D00AB" w:rsidRPr="00DD309C" w:rsidRDefault="008D00AB" w:rsidP="008D00AB">
      <w:pPr>
        <w:pBdr>
          <w:top w:val="nil"/>
          <w:left w:val="nil"/>
          <w:bottom w:val="nil"/>
          <w:right w:val="nil"/>
          <w:between w:val="nil"/>
        </w:pBdr>
        <w:rPr>
          <w:color w:val="000000" w:themeColor="text1"/>
        </w:rPr>
      </w:pPr>
      <w:r w:rsidRPr="00DD309C">
        <w:rPr>
          <w:b/>
          <w:color w:val="000000" w:themeColor="text1"/>
        </w:rPr>
        <w:t>ACKNOWLEDGMENTS:</w:t>
      </w:r>
    </w:p>
    <w:p w14:paraId="42519ECC" w14:textId="18A6E8D4" w:rsidR="008D00AB" w:rsidRPr="00DD309C" w:rsidRDefault="008D00AB" w:rsidP="008D00AB">
      <w:pPr>
        <w:rPr>
          <w:color w:val="000000" w:themeColor="text1"/>
        </w:rPr>
      </w:pPr>
      <w:r w:rsidRPr="00DD309C">
        <w:rPr>
          <w:color w:val="000000" w:themeColor="text1"/>
        </w:rPr>
        <w:t xml:space="preserve">This work was supported by NIH R00HG011467 and CPRIT RR23004 to G.S.E. Imaging for this project was supported by the Integrated Microscopy Core at Baylor College of Medicine with </w:t>
      </w:r>
      <w:r w:rsidRPr="00DD309C">
        <w:rPr>
          <w:color w:val="000000" w:themeColor="text1"/>
        </w:rPr>
        <w:lastRenderedPageBreak/>
        <w:t xml:space="preserve">funding from the NIH (P30 DK056338, P30 CA125123, S10OD030414). </w:t>
      </w:r>
      <w:r w:rsidR="00C03ACF">
        <w:rPr>
          <w:color w:val="000000" w:themeColor="text1"/>
        </w:rPr>
        <w:t>The authors</w:t>
      </w:r>
      <w:r w:rsidRPr="00DD309C">
        <w:rPr>
          <w:color w:val="000000" w:themeColor="text1"/>
        </w:rPr>
        <w:t xml:space="preserve"> thank Dr. Pawel Stankiewicz for</w:t>
      </w:r>
      <w:r w:rsidR="00C03ACF">
        <w:rPr>
          <w:color w:val="000000" w:themeColor="text1"/>
        </w:rPr>
        <w:t xml:space="preserve"> </w:t>
      </w:r>
      <w:r w:rsidR="00473272">
        <w:rPr>
          <w:color w:val="000000" w:themeColor="text1"/>
        </w:rPr>
        <w:t xml:space="preserve">his </w:t>
      </w:r>
      <w:r w:rsidRPr="00DD309C">
        <w:rPr>
          <w:color w:val="000000" w:themeColor="text1"/>
        </w:rPr>
        <w:t xml:space="preserve">advice early on. </w:t>
      </w:r>
      <w:r w:rsidR="00FF7A3B">
        <w:rPr>
          <w:color w:val="000000" w:themeColor="text1"/>
        </w:rPr>
        <w:t>The authors also</w:t>
      </w:r>
      <w:r w:rsidRPr="00DD309C">
        <w:rPr>
          <w:color w:val="000000" w:themeColor="text1"/>
        </w:rPr>
        <w:t xml:space="preserve"> thank Dr. Paul Mischel (Stanford University) for providing the GBM39ec and GBM39hsr cell lines. </w:t>
      </w:r>
    </w:p>
    <w:p w14:paraId="5045CD74" w14:textId="77777777" w:rsidR="008D00AB" w:rsidRPr="00DD309C" w:rsidRDefault="008D00AB" w:rsidP="008D00AB">
      <w:pPr>
        <w:rPr>
          <w:b/>
          <w:color w:val="000000" w:themeColor="text1"/>
        </w:rPr>
      </w:pPr>
    </w:p>
    <w:p w14:paraId="20E7B0B6" w14:textId="77777777" w:rsidR="008D00AB" w:rsidRPr="00DD309C" w:rsidRDefault="008D00AB" w:rsidP="008D00AB">
      <w:pPr>
        <w:pBdr>
          <w:top w:val="nil"/>
          <w:left w:val="nil"/>
          <w:bottom w:val="nil"/>
          <w:right w:val="nil"/>
          <w:between w:val="nil"/>
        </w:pBdr>
        <w:rPr>
          <w:color w:val="000000" w:themeColor="text1"/>
        </w:rPr>
      </w:pPr>
      <w:r w:rsidRPr="00DD309C">
        <w:rPr>
          <w:b/>
          <w:color w:val="000000" w:themeColor="text1"/>
        </w:rPr>
        <w:t xml:space="preserve">DISCLOSURES: </w:t>
      </w:r>
    </w:p>
    <w:p w14:paraId="7372FA39" w14:textId="77777777" w:rsidR="008D00AB" w:rsidRPr="00DD309C" w:rsidRDefault="008D00AB" w:rsidP="008D00AB">
      <w:pPr>
        <w:tabs>
          <w:tab w:val="left" w:pos="823"/>
        </w:tabs>
        <w:rPr>
          <w:color w:val="000000" w:themeColor="text1"/>
        </w:rPr>
      </w:pPr>
      <w:r w:rsidRPr="00DD309C">
        <w:rPr>
          <w:color w:val="000000" w:themeColor="text1"/>
        </w:rPr>
        <w:t>The authors declare no competing interests.</w:t>
      </w:r>
    </w:p>
    <w:p w14:paraId="1CF6612F" w14:textId="77777777" w:rsidR="008D00AB" w:rsidRPr="00DD309C" w:rsidRDefault="008D00AB" w:rsidP="008D00AB">
      <w:pPr>
        <w:rPr>
          <w:color w:val="000000" w:themeColor="text1"/>
        </w:rPr>
      </w:pPr>
    </w:p>
    <w:p w14:paraId="44DAE2BF" w14:textId="7CD7C496" w:rsidR="00C40CF8" w:rsidRPr="00C40CF8" w:rsidRDefault="008D00AB" w:rsidP="00C40CF8">
      <w:pPr>
        <w:rPr>
          <w:b/>
          <w:color w:val="000000" w:themeColor="text1"/>
        </w:rPr>
      </w:pPr>
      <w:r w:rsidRPr="00DD309C">
        <w:rPr>
          <w:b/>
          <w:color w:val="000000" w:themeColor="text1"/>
        </w:rPr>
        <w:t>REFERENCES:</w:t>
      </w:r>
    </w:p>
    <w:p w14:paraId="66539AF1" w14:textId="51D1B4A1" w:rsidR="00C40CF8" w:rsidRPr="003773CD" w:rsidRDefault="00C40CF8" w:rsidP="000F446E">
      <w:pPr>
        <w:rPr>
          <w:bCs/>
          <w:color w:val="000000" w:themeColor="text1"/>
        </w:rPr>
      </w:pPr>
      <w:r w:rsidRPr="003773CD">
        <w:rPr>
          <w:bCs/>
          <w:color w:val="000000" w:themeColor="text1"/>
        </w:rPr>
        <w:t xml:space="preserve">1. Albertson DG. Gene amplification in cancer. Trends Genet. </w:t>
      </w:r>
      <w:proofErr w:type="gramStart"/>
      <w:r w:rsidRPr="003773CD">
        <w:rPr>
          <w:bCs/>
          <w:color w:val="000000" w:themeColor="text1"/>
        </w:rPr>
        <w:t>2006;22:447</w:t>
      </w:r>
      <w:proofErr w:type="gramEnd"/>
      <w:r w:rsidRPr="003773CD">
        <w:rPr>
          <w:bCs/>
          <w:color w:val="000000" w:themeColor="text1"/>
        </w:rPr>
        <w:t>-</w:t>
      </w:r>
      <w:r w:rsidR="007B29E7">
        <w:rPr>
          <w:bCs/>
          <w:color w:val="000000" w:themeColor="text1"/>
        </w:rPr>
        <w:t>4</w:t>
      </w:r>
      <w:r w:rsidRPr="003773CD">
        <w:rPr>
          <w:bCs/>
          <w:color w:val="000000" w:themeColor="text1"/>
        </w:rPr>
        <w:t>55.</w:t>
      </w:r>
    </w:p>
    <w:p w14:paraId="387AC0C4" w14:textId="6CC3DD7D" w:rsidR="00C40CF8" w:rsidRPr="003773CD" w:rsidRDefault="00C40CF8" w:rsidP="000F446E">
      <w:pPr>
        <w:rPr>
          <w:bCs/>
          <w:color w:val="000000" w:themeColor="text1"/>
        </w:rPr>
      </w:pPr>
      <w:r w:rsidRPr="003773CD">
        <w:rPr>
          <w:bCs/>
          <w:color w:val="000000" w:themeColor="text1"/>
        </w:rPr>
        <w:t xml:space="preserve">2. Bagci O, </w:t>
      </w:r>
      <w:proofErr w:type="spellStart"/>
      <w:r w:rsidRPr="003773CD">
        <w:rPr>
          <w:bCs/>
          <w:color w:val="000000" w:themeColor="text1"/>
        </w:rPr>
        <w:t>Kurtgöz</w:t>
      </w:r>
      <w:proofErr w:type="spellEnd"/>
      <w:r w:rsidRPr="003773CD">
        <w:rPr>
          <w:bCs/>
          <w:color w:val="000000" w:themeColor="text1"/>
        </w:rPr>
        <w:t xml:space="preserve"> S. Amplification of cellular oncogenes in solid tumors. N Am J Med Sci. </w:t>
      </w:r>
      <w:proofErr w:type="gramStart"/>
      <w:r w:rsidRPr="003773CD">
        <w:rPr>
          <w:bCs/>
          <w:color w:val="000000" w:themeColor="text1"/>
        </w:rPr>
        <w:t>2015;7:341</w:t>
      </w:r>
      <w:proofErr w:type="gramEnd"/>
      <w:r w:rsidRPr="003773CD">
        <w:rPr>
          <w:bCs/>
          <w:color w:val="000000" w:themeColor="text1"/>
        </w:rPr>
        <w:t>-</w:t>
      </w:r>
      <w:r w:rsidR="007B29E7">
        <w:rPr>
          <w:bCs/>
          <w:color w:val="000000" w:themeColor="text1"/>
        </w:rPr>
        <w:t>34</w:t>
      </w:r>
      <w:r w:rsidRPr="003773CD">
        <w:rPr>
          <w:bCs/>
          <w:color w:val="000000" w:themeColor="text1"/>
        </w:rPr>
        <w:t>6.</w:t>
      </w:r>
    </w:p>
    <w:p w14:paraId="75131724" w14:textId="711F7E06" w:rsidR="00C40CF8" w:rsidRPr="003773CD" w:rsidRDefault="00C40CF8" w:rsidP="000F446E">
      <w:pPr>
        <w:rPr>
          <w:bCs/>
          <w:color w:val="000000" w:themeColor="text1"/>
        </w:rPr>
      </w:pPr>
      <w:r w:rsidRPr="003773CD">
        <w:rPr>
          <w:bCs/>
          <w:color w:val="000000" w:themeColor="text1"/>
        </w:rPr>
        <w:t xml:space="preserve">3. Schimke RT, et al. Gene amplification and drug resistance in cultured animal cells. Cancer Treat Rev. </w:t>
      </w:r>
      <w:proofErr w:type="gramStart"/>
      <w:r w:rsidRPr="003773CD">
        <w:rPr>
          <w:bCs/>
          <w:color w:val="000000" w:themeColor="text1"/>
        </w:rPr>
        <w:t>1984;11:9</w:t>
      </w:r>
      <w:proofErr w:type="gramEnd"/>
      <w:r w:rsidRPr="003773CD">
        <w:rPr>
          <w:bCs/>
          <w:color w:val="000000" w:themeColor="text1"/>
        </w:rPr>
        <w:t>-17.</w:t>
      </w:r>
    </w:p>
    <w:p w14:paraId="56F35064" w14:textId="4F4D7B9C" w:rsidR="00C40CF8" w:rsidRPr="003773CD" w:rsidRDefault="00C40CF8" w:rsidP="000F446E">
      <w:pPr>
        <w:rPr>
          <w:bCs/>
          <w:color w:val="000000" w:themeColor="text1"/>
        </w:rPr>
      </w:pPr>
      <w:r w:rsidRPr="003773CD">
        <w:rPr>
          <w:bCs/>
          <w:color w:val="000000" w:themeColor="text1"/>
        </w:rPr>
        <w:t xml:space="preserve">4. Baker TM, </w:t>
      </w:r>
      <w:proofErr w:type="spellStart"/>
      <w:r w:rsidRPr="003773CD">
        <w:rPr>
          <w:bCs/>
          <w:color w:val="000000" w:themeColor="text1"/>
        </w:rPr>
        <w:t>Waise</w:t>
      </w:r>
      <w:proofErr w:type="spellEnd"/>
      <w:r w:rsidRPr="003773CD">
        <w:rPr>
          <w:bCs/>
          <w:color w:val="000000" w:themeColor="text1"/>
        </w:rPr>
        <w:t xml:space="preserve"> S, </w:t>
      </w:r>
      <w:proofErr w:type="spellStart"/>
      <w:r w:rsidRPr="003773CD">
        <w:rPr>
          <w:bCs/>
          <w:color w:val="000000" w:themeColor="text1"/>
        </w:rPr>
        <w:t>Tarabichi</w:t>
      </w:r>
      <w:proofErr w:type="spellEnd"/>
      <w:r w:rsidRPr="003773CD">
        <w:rPr>
          <w:bCs/>
          <w:color w:val="000000" w:themeColor="text1"/>
        </w:rPr>
        <w:t xml:space="preserve"> M, Van Loo P. Aneuploidy and complex genomic rearrangements in cancer evolution. Nat Cancer. </w:t>
      </w:r>
      <w:proofErr w:type="gramStart"/>
      <w:r w:rsidRPr="003773CD">
        <w:rPr>
          <w:bCs/>
          <w:color w:val="000000" w:themeColor="text1"/>
        </w:rPr>
        <w:t>2024;5:228</w:t>
      </w:r>
      <w:proofErr w:type="gramEnd"/>
      <w:r w:rsidRPr="003773CD">
        <w:rPr>
          <w:bCs/>
          <w:color w:val="000000" w:themeColor="text1"/>
        </w:rPr>
        <w:t>-</w:t>
      </w:r>
      <w:r w:rsidR="007B29E7">
        <w:rPr>
          <w:bCs/>
          <w:color w:val="000000" w:themeColor="text1"/>
        </w:rPr>
        <w:t>2</w:t>
      </w:r>
      <w:r w:rsidRPr="003773CD">
        <w:rPr>
          <w:bCs/>
          <w:color w:val="000000" w:themeColor="text1"/>
        </w:rPr>
        <w:t>39.</w:t>
      </w:r>
    </w:p>
    <w:p w14:paraId="2D754CA3" w14:textId="51028E81" w:rsidR="00C40CF8" w:rsidRPr="003773CD" w:rsidRDefault="00C40CF8" w:rsidP="000F446E">
      <w:pPr>
        <w:rPr>
          <w:bCs/>
          <w:color w:val="000000" w:themeColor="text1"/>
        </w:rPr>
      </w:pPr>
      <w:r w:rsidRPr="003773CD">
        <w:rPr>
          <w:bCs/>
          <w:color w:val="000000" w:themeColor="text1"/>
        </w:rPr>
        <w:t xml:space="preserve">5. Ohshima K, et al. Integrated analysis of gene expression and copy number identified potential cancer driver genes with amplification-dependent overexpression in 1,454 solid tumors. Sci Rep. </w:t>
      </w:r>
      <w:proofErr w:type="gramStart"/>
      <w:r w:rsidRPr="003773CD">
        <w:rPr>
          <w:bCs/>
          <w:color w:val="000000" w:themeColor="text1"/>
        </w:rPr>
        <w:t>2017;7:641</w:t>
      </w:r>
      <w:proofErr w:type="gramEnd"/>
      <w:r w:rsidRPr="003773CD">
        <w:rPr>
          <w:bCs/>
          <w:color w:val="000000" w:themeColor="text1"/>
        </w:rPr>
        <w:t>.</w:t>
      </w:r>
    </w:p>
    <w:p w14:paraId="7F0A99BC" w14:textId="5670DFD1" w:rsidR="00C40CF8" w:rsidRPr="003773CD" w:rsidRDefault="00C40CF8" w:rsidP="000F446E">
      <w:pPr>
        <w:rPr>
          <w:bCs/>
          <w:color w:val="000000" w:themeColor="text1"/>
        </w:rPr>
      </w:pPr>
      <w:r w:rsidRPr="003773CD">
        <w:rPr>
          <w:bCs/>
          <w:color w:val="000000" w:themeColor="text1"/>
        </w:rPr>
        <w:t xml:space="preserve">6. Pecorino LT, </w:t>
      </w:r>
      <w:proofErr w:type="spellStart"/>
      <w:r w:rsidRPr="003773CD">
        <w:rPr>
          <w:bCs/>
          <w:color w:val="000000" w:themeColor="text1"/>
        </w:rPr>
        <w:t>Verhaak</w:t>
      </w:r>
      <w:proofErr w:type="spellEnd"/>
      <w:r w:rsidRPr="003773CD">
        <w:rPr>
          <w:bCs/>
          <w:color w:val="000000" w:themeColor="text1"/>
        </w:rPr>
        <w:t xml:space="preserve"> RGW, </w:t>
      </w:r>
      <w:proofErr w:type="spellStart"/>
      <w:r w:rsidRPr="003773CD">
        <w:rPr>
          <w:bCs/>
          <w:color w:val="000000" w:themeColor="text1"/>
        </w:rPr>
        <w:t>Henssen</w:t>
      </w:r>
      <w:proofErr w:type="spellEnd"/>
      <w:r w:rsidRPr="003773CD">
        <w:rPr>
          <w:bCs/>
          <w:color w:val="000000" w:themeColor="text1"/>
        </w:rPr>
        <w:t xml:space="preserve"> A, Mischel PS. Extrachromosomal DNA (</w:t>
      </w:r>
      <w:proofErr w:type="spellStart"/>
      <w:r w:rsidRPr="003773CD">
        <w:rPr>
          <w:bCs/>
          <w:color w:val="000000" w:themeColor="text1"/>
        </w:rPr>
        <w:t>ecDNA</w:t>
      </w:r>
      <w:proofErr w:type="spellEnd"/>
      <w:r w:rsidRPr="003773CD">
        <w:rPr>
          <w:bCs/>
          <w:color w:val="000000" w:themeColor="text1"/>
        </w:rPr>
        <w:t xml:space="preserve">): An origin of tumor heterogeneity, genomic remodeling, and drug resistance. </w:t>
      </w:r>
      <w:proofErr w:type="spellStart"/>
      <w:r w:rsidRPr="003773CD">
        <w:rPr>
          <w:bCs/>
          <w:color w:val="000000" w:themeColor="text1"/>
        </w:rPr>
        <w:t>Biochem</w:t>
      </w:r>
      <w:proofErr w:type="spellEnd"/>
      <w:r w:rsidRPr="003773CD">
        <w:rPr>
          <w:bCs/>
          <w:color w:val="000000" w:themeColor="text1"/>
        </w:rPr>
        <w:t xml:space="preserve"> Soc Trans. </w:t>
      </w:r>
      <w:proofErr w:type="gramStart"/>
      <w:r w:rsidRPr="003773CD">
        <w:rPr>
          <w:bCs/>
          <w:color w:val="000000" w:themeColor="text1"/>
        </w:rPr>
        <w:t>2022;50:1911</w:t>
      </w:r>
      <w:proofErr w:type="gramEnd"/>
      <w:r w:rsidRPr="003773CD">
        <w:rPr>
          <w:bCs/>
          <w:color w:val="000000" w:themeColor="text1"/>
        </w:rPr>
        <w:t>-</w:t>
      </w:r>
      <w:r w:rsidR="007B29E7">
        <w:rPr>
          <w:bCs/>
          <w:color w:val="000000" w:themeColor="text1"/>
        </w:rPr>
        <w:t>19</w:t>
      </w:r>
      <w:r w:rsidRPr="003773CD">
        <w:rPr>
          <w:bCs/>
          <w:color w:val="000000" w:themeColor="text1"/>
        </w:rPr>
        <w:t>20.</w:t>
      </w:r>
    </w:p>
    <w:p w14:paraId="50C70785" w14:textId="1AA57D3C" w:rsidR="00C40CF8" w:rsidRPr="003773CD" w:rsidRDefault="00C40CF8" w:rsidP="000F446E">
      <w:pPr>
        <w:rPr>
          <w:bCs/>
          <w:color w:val="000000" w:themeColor="text1"/>
        </w:rPr>
      </w:pPr>
      <w:r w:rsidRPr="003773CD">
        <w:rPr>
          <w:bCs/>
          <w:color w:val="000000" w:themeColor="text1"/>
        </w:rPr>
        <w:t xml:space="preserve">7. Cox D, </w:t>
      </w:r>
      <w:proofErr w:type="spellStart"/>
      <w:r w:rsidRPr="003773CD">
        <w:rPr>
          <w:bCs/>
          <w:color w:val="000000" w:themeColor="text1"/>
        </w:rPr>
        <w:t>Yuncken</w:t>
      </w:r>
      <w:proofErr w:type="spellEnd"/>
      <w:r w:rsidRPr="003773CD">
        <w:rPr>
          <w:bCs/>
          <w:color w:val="000000" w:themeColor="text1"/>
        </w:rPr>
        <w:t xml:space="preserve"> C, Spriggs AI. Minute chromatin bodies in malignant </w:t>
      </w:r>
      <w:proofErr w:type="spellStart"/>
      <w:r w:rsidRPr="003773CD">
        <w:rPr>
          <w:bCs/>
          <w:color w:val="000000" w:themeColor="text1"/>
        </w:rPr>
        <w:t>tumours</w:t>
      </w:r>
      <w:proofErr w:type="spellEnd"/>
      <w:r w:rsidRPr="003773CD">
        <w:rPr>
          <w:bCs/>
          <w:color w:val="000000" w:themeColor="text1"/>
        </w:rPr>
        <w:t xml:space="preserve"> of childhood. Lancet. </w:t>
      </w:r>
      <w:proofErr w:type="gramStart"/>
      <w:r w:rsidRPr="003773CD">
        <w:rPr>
          <w:bCs/>
          <w:color w:val="000000" w:themeColor="text1"/>
        </w:rPr>
        <w:t>1965;286:55</w:t>
      </w:r>
      <w:proofErr w:type="gramEnd"/>
      <w:r w:rsidRPr="003773CD">
        <w:rPr>
          <w:bCs/>
          <w:color w:val="000000" w:themeColor="text1"/>
        </w:rPr>
        <w:t>-</w:t>
      </w:r>
      <w:r w:rsidR="007B29E7">
        <w:rPr>
          <w:bCs/>
          <w:color w:val="000000" w:themeColor="text1"/>
        </w:rPr>
        <w:t>5</w:t>
      </w:r>
      <w:r w:rsidRPr="003773CD">
        <w:rPr>
          <w:bCs/>
          <w:color w:val="000000" w:themeColor="text1"/>
        </w:rPr>
        <w:t>8.</w:t>
      </w:r>
    </w:p>
    <w:p w14:paraId="69D00F0E" w14:textId="40823CEF" w:rsidR="00C40CF8" w:rsidRPr="003773CD" w:rsidRDefault="00C40CF8" w:rsidP="000F446E">
      <w:pPr>
        <w:rPr>
          <w:bCs/>
          <w:color w:val="000000" w:themeColor="text1"/>
        </w:rPr>
      </w:pPr>
      <w:r w:rsidRPr="003773CD">
        <w:rPr>
          <w:bCs/>
          <w:color w:val="000000" w:themeColor="text1"/>
        </w:rPr>
        <w:t xml:space="preserve">8. Kohl NE, et al. Transposition and amplification of oncogene-related sequences in human neuroblastomas. Cell. </w:t>
      </w:r>
      <w:proofErr w:type="gramStart"/>
      <w:r w:rsidRPr="003773CD">
        <w:rPr>
          <w:bCs/>
          <w:color w:val="000000" w:themeColor="text1"/>
        </w:rPr>
        <w:t>1983;35:359</w:t>
      </w:r>
      <w:proofErr w:type="gramEnd"/>
      <w:r w:rsidRPr="003773CD">
        <w:rPr>
          <w:bCs/>
          <w:color w:val="000000" w:themeColor="text1"/>
        </w:rPr>
        <w:t>-</w:t>
      </w:r>
      <w:r w:rsidR="007B29E7">
        <w:rPr>
          <w:bCs/>
          <w:color w:val="000000" w:themeColor="text1"/>
        </w:rPr>
        <w:t>3</w:t>
      </w:r>
      <w:r w:rsidRPr="003773CD">
        <w:rPr>
          <w:bCs/>
          <w:color w:val="000000" w:themeColor="text1"/>
        </w:rPr>
        <w:t>67.</w:t>
      </w:r>
    </w:p>
    <w:p w14:paraId="0940B808" w14:textId="56260CC5" w:rsidR="00C40CF8" w:rsidRPr="003773CD" w:rsidRDefault="00C40CF8" w:rsidP="000F446E">
      <w:pPr>
        <w:rPr>
          <w:bCs/>
          <w:color w:val="000000" w:themeColor="text1"/>
        </w:rPr>
      </w:pPr>
      <w:r w:rsidRPr="003773CD">
        <w:rPr>
          <w:bCs/>
          <w:color w:val="000000" w:themeColor="text1"/>
        </w:rPr>
        <w:t xml:space="preserve">9. </w:t>
      </w:r>
      <w:proofErr w:type="spellStart"/>
      <w:r w:rsidRPr="003773CD">
        <w:rPr>
          <w:bCs/>
          <w:color w:val="000000" w:themeColor="text1"/>
        </w:rPr>
        <w:t>Giollant</w:t>
      </w:r>
      <w:proofErr w:type="spellEnd"/>
      <w:r w:rsidRPr="003773CD">
        <w:rPr>
          <w:bCs/>
          <w:color w:val="000000" w:themeColor="text1"/>
        </w:rPr>
        <w:t xml:space="preserve"> M, et al. Characterization of double minute chromosomes' DNA content in a human high-grade astrocytoma cell line using comparative genomic hybridization and fluorescence in situ hybridization. Hum Genet. </w:t>
      </w:r>
      <w:proofErr w:type="gramStart"/>
      <w:r w:rsidRPr="003773CD">
        <w:rPr>
          <w:bCs/>
          <w:color w:val="000000" w:themeColor="text1"/>
        </w:rPr>
        <w:t>1996;98:265</w:t>
      </w:r>
      <w:proofErr w:type="gramEnd"/>
      <w:r w:rsidRPr="003773CD">
        <w:rPr>
          <w:bCs/>
          <w:color w:val="000000" w:themeColor="text1"/>
        </w:rPr>
        <w:t>-</w:t>
      </w:r>
      <w:r w:rsidR="007B29E7">
        <w:rPr>
          <w:bCs/>
          <w:color w:val="000000" w:themeColor="text1"/>
        </w:rPr>
        <w:t>2</w:t>
      </w:r>
      <w:r w:rsidRPr="003773CD">
        <w:rPr>
          <w:bCs/>
          <w:color w:val="000000" w:themeColor="text1"/>
        </w:rPr>
        <w:t>70.</w:t>
      </w:r>
    </w:p>
    <w:p w14:paraId="51791858" w14:textId="753309F8" w:rsidR="00C40CF8" w:rsidRPr="003773CD" w:rsidRDefault="00C40CF8" w:rsidP="000F446E">
      <w:pPr>
        <w:rPr>
          <w:bCs/>
          <w:color w:val="000000" w:themeColor="text1"/>
        </w:rPr>
      </w:pPr>
      <w:r w:rsidRPr="003773CD">
        <w:rPr>
          <w:bCs/>
          <w:color w:val="000000" w:themeColor="text1"/>
        </w:rPr>
        <w:t xml:space="preserve">10. Stephens PJ, et al. Massive genomic rearrangement acquired in a single catastrophic event during cancer development. Cell. </w:t>
      </w:r>
      <w:proofErr w:type="gramStart"/>
      <w:r w:rsidRPr="003773CD">
        <w:rPr>
          <w:bCs/>
          <w:color w:val="000000" w:themeColor="text1"/>
        </w:rPr>
        <w:t>2011;144:27</w:t>
      </w:r>
      <w:proofErr w:type="gramEnd"/>
      <w:r w:rsidRPr="003773CD">
        <w:rPr>
          <w:bCs/>
          <w:color w:val="000000" w:themeColor="text1"/>
        </w:rPr>
        <w:t>-40.</w:t>
      </w:r>
    </w:p>
    <w:p w14:paraId="18BA28C0" w14:textId="6DEDBEB7" w:rsidR="00C40CF8" w:rsidRPr="003773CD" w:rsidRDefault="00C40CF8" w:rsidP="000F446E">
      <w:pPr>
        <w:rPr>
          <w:bCs/>
          <w:color w:val="000000" w:themeColor="text1"/>
        </w:rPr>
      </w:pPr>
      <w:r w:rsidRPr="003773CD">
        <w:rPr>
          <w:bCs/>
          <w:color w:val="000000" w:themeColor="text1"/>
        </w:rPr>
        <w:t xml:space="preserve">11. Zhang CZ, et al. </w:t>
      </w:r>
      <w:proofErr w:type="spellStart"/>
      <w:r w:rsidRPr="003773CD">
        <w:rPr>
          <w:bCs/>
          <w:color w:val="000000" w:themeColor="text1"/>
        </w:rPr>
        <w:t>Chromothripsis</w:t>
      </w:r>
      <w:proofErr w:type="spellEnd"/>
      <w:r w:rsidRPr="003773CD">
        <w:rPr>
          <w:bCs/>
          <w:color w:val="000000" w:themeColor="text1"/>
        </w:rPr>
        <w:t xml:space="preserve"> from DNA damage in micronuclei. Nature. </w:t>
      </w:r>
      <w:proofErr w:type="gramStart"/>
      <w:r w:rsidRPr="003773CD">
        <w:rPr>
          <w:bCs/>
          <w:color w:val="000000" w:themeColor="text1"/>
        </w:rPr>
        <w:t>2015;522:179</w:t>
      </w:r>
      <w:proofErr w:type="gramEnd"/>
      <w:r w:rsidRPr="003773CD">
        <w:rPr>
          <w:bCs/>
          <w:color w:val="000000" w:themeColor="text1"/>
        </w:rPr>
        <w:t>-</w:t>
      </w:r>
      <w:r w:rsidR="007B29E7">
        <w:rPr>
          <w:bCs/>
          <w:color w:val="000000" w:themeColor="text1"/>
        </w:rPr>
        <w:t>1</w:t>
      </w:r>
      <w:r w:rsidRPr="003773CD">
        <w:rPr>
          <w:bCs/>
          <w:color w:val="000000" w:themeColor="text1"/>
        </w:rPr>
        <w:t>84.</w:t>
      </w:r>
    </w:p>
    <w:p w14:paraId="571DAE14" w14:textId="3B5CD756" w:rsidR="00C40CF8" w:rsidRPr="003773CD" w:rsidRDefault="00C40CF8" w:rsidP="000F446E">
      <w:pPr>
        <w:rPr>
          <w:bCs/>
          <w:color w:val="000000" w:themeColor="text1"/>
        </w:rPr>
      </w:pPr>
      <w:r w:rsidRPr="003773CD">
        <w:rPr>
          <w:bCs/>
          <w:color w:val="000000" w:themeColor="text1"/>
        </w:rPr>
        <w:t xml:space="preserve">12. Lange JT, et al. The evolutionary dynamics of extrachromosomal DNA in human cancers. Nat Genet. </w:t>
      </w:r>
      <w:proofErr w:type="gramStart"/>
      <w:r w:rsidRPr="003773CD">
        <w:rPr>
          <w:bCs/>
          <w:color w:val="000000" w:themeColor="text1"/>
        </w:rPr>
        <w:t>2022;54:1527</w:t>
      </w:r>
      <w:proofErr w:type="gramEnd"/>
      <w:r w:rsidRPr="003773CD">
        <w:rPr>
          <w:bCs/>
          <w:color w:val="000000" w:themeColor="text1"/>
        </w:rPr>
        <w:t>-</w:t>
      </w:r>
      <w:r w:rsidR="007B29E7">
        <w:rPr>
          <w:bCs/>
          <w:color w:val="000000" w:themeColor="text1"/>
        </w:rPr>
        <w:t>15</w:t>
      </w:r>
      <w:r w:rsidRPr="003773CD">
        <w:rPr>
          <w:bCs/>
          <w:color w:val="000000" w:themeColor="text1"/>
        </w:rPr>
        <w:t>33.</w:t>
      </w:r>
    </w:p>
    <w:p w14:paraId="700ADF98" w14:textId="2FB2B925" w:rsidR="00C40CF8" w:rsidRPr="003773CD" w:rsidRDefault="00C40CF8" w:rsidP="000F446E">
      <w:pPr>
        <w:rPr>
          <w:bCs/>
          <w:color w:val="000000" w:themeColor="text1"/>
        </w:rPr>
      </w:pPr>
      <w:r w:rsidRPr="003773CD">
        <w:rPr>
          <w:bCs/>
          <w:color w:val="000000" w:themeColor="text1"/>
        </w:rPr>
        <w:t xml:space="preserve">13. Turner KM, et al. Extrachromosomal oncogene amplification drives </w:t>
      </w:r>
      <w:proofErr w:type="spellStart"/>
      <w:r w:rsidRPr="003773CD">
        <w:rPr>
          <w:bCs/>
          <w:color w:val="000000" w:themeColor="text1"/>
        </w:rPr>
        <w:t>tumour</w:t>
      </w:r>
      <w:proofErr w:type="spellEnd"/>
      <w:r w:rsidRPr="003773CD">
        <w:rPr>
          <w:bCs/>
          <w:color w:val="000000" w:themeColor="text1"/>
        </w:rPr>
        <w:t xml:space="preserve"> evolution and genetic heterogeneity. Nature. </w:t>
      </w:r>
      <w:proofErr w:type="gramStart"/>
      <w:r w:rsidRPr="003773CD">
        <w:rPr>
          <w:bCs/>
          <w:color w:val="000000" w:themeColor="text1"/>
        </w:rPr>
        <w:t>2017;543:122</w:t>
      </w:r>
      <w:proofErr w:type="gramEnd"/>
      <w:r w:rsidRPr="003773CD">
        <w:rPr>
          <w:bCs/>
          <w:color w:val="000000" w:themeColor="text1"/>
        </w:rPr>
        <w:t>-</w:t>
      </w:r>
      <w:r w:rsidR="007B29E7">
        <w:rPr>
          <w:bCs/>
          <w:color w:val="000000" w:themeColor="text1"/>
        </w:rPr>
        <w:t>12</w:t>
      </w:r>
      <w:r w:rsidRPr="003773CD">
        <w:rPr>
          <w:bCs/>
          <w:color w:val="000000" w:themeColor="text1"/>
        </w:rPr>
        <w:t>5.</w:t>
      </w:r>
    </w:p>
    <w:p w14:paraId="23460BDA" w14:textId="752F4038" w:rsidR="00C40CF8" w:rsidRPr="003773CD" w:rsidRDefault="00C40CF8" w:rsidP="000F446E">
      <w:pPr>
        <w:rPr>
          <w:bCs/>
          <w:color w:val="000000" w:themeColor="text1"/>
        </w:rPr>
      </w:pPr>
      <w:r w:rsidRPr="003773CD">
        <w:rPr>
          <w:bCs/>
          <w:color w:val="000000" w:themeColor="text1"/>
        </w:rPr>
        <w:t xml:space="preserve">14. Wu S, et al. Circular </w:t>
      </w:r>
      <w:proofErr w:type="spellStart"/>
      <w:r w:rsidRPr="003773CD">
        <w:rPr>
          <w:bCs/>
          <w:color w:val="000000" w:themeColor="text1"/>
        </w:rPr>
        <w:t>ecDNA</w:t>
      </w:r>
      <w:proofErr w:type="spellEnd"/>
      <w:r w:rsidRPr="003773CD">
        <w:rPr>
          <w:bCs/>
          <w:color w:val="000000" w:themeColor="text1"/>
        </w:rPr>
        <w:t xml:space="preserve"> promotes accessible chromatin and high oncogene expression. Nature. </w:t>
      </w:r>
      <w:proofErr w:type="gramStart"/>
      <w:r w:rsidRPr="003773CD">
        <w:rPr>
          <w:bCs/>
          <w:color w:val="000000" w:themeColor="text1"/>
        </w:rPr>
        <w:t>2019;575:699</w:t>
      </w:r>
      <w:proofErr w:type="gramEnd"/>
      <w:r w:rsidRPr="003773CD">
        <w:rPr>
          <w:bCs/>
          <w:color w:val="000000" w:themeColor="text1"/>
        </w:rPr>
        <w:t>-703.</w:t>
      </w:r>
    </w:p>
    <w:p w14:paraId="545FD965" w14:textId="0583CBD2" w:rsidR="00C40CF8" w:rsidRPr="003773CD" w:rsidRDefault="00C40CF8" w:rsidP="000F446E">
      <w:pPr>
        <w:rPr>
          <w:bCs/>
          <w:color w:val="000000" w:themeColor="text1"/>
        </w:rPr>
      </w:pPr>
      <w:r w:rsidRPr="003773CD">
        <w:rPr>
          <w:bCs/>
          <w:color w:val="000000" w:themeColor="text1"/>
        </w:rPr>
        <w:t xml:space="preserve">15. Deshpande V, et al. Exploring the landscape of focal amplifications in cancer using </w:t>
      </w:r>
      <w:proofErr w:type="spellStart"/>
      <w:r w:rsidRPr="003773CD">
        <w:rPr>
          <w:bCs/>
          <w:color w:val="000000" w:themeColor="text1"/>
        </w:rPr>
        <w:t>AmpliconArchitect</w:t>
      </w:r>
      <w:proofErr w:type="spellEnd"/>
      <w:r w:rsidRPr="003773CD">
        <w:rPr>
          <w:bCs/>
          <w:color w:val="000000" w:themeColor="text1"/>
        </w:rPr>
        <w:t xml:space="preserve">. Nat Commun. </w:t>
      </w:r>
      <w:proofErr w:type="gramStart"/>
      <w:r w:rsidRPr="003773CD">
        <w:rPr>
          <w:bCs/>
          <w:color w:val="000000" w:themeColor="text1"/>
        </w:rPr>
        <w:t>2019;10:392</w:t>
      </w:r>
      <w:proofErr w:type="gramEnd"/>
      <w:r w:rsidRPr="003773CD">
        <w:rPr>
          <w:bCs/>
          <w:color w:val="000000" w:themeColor="text1"/>
        </w:rPr>
        <w:t>.</w:t>
      </w:r>
    </w:p>
    <w:p w14:paraId="08493C21" w14:textId="596448FE" w:rsidR="00C40CF8" w:rsidRPr="003773CD" w:rsidRDefault="00C40CF8" w:rsidP="000F446E">
      <w:pPr>
        <w:rPr>
          <w:bCs/>
          <w:color w:val="000000" w:themeColor="text1"/>
        </w:rPr>
      </w:pPr>
      <w:r w:rsidRPr="003773CD">
        <w:rPr>
          <w:bCs/>
          <w:color w:val="000000" w:themeColor="text1"/>
        </w:rPr>
        <w:t xml:space="preserve">16. Levan A, Levan G. Have double minutes functioning centromeres? </w:t>
      </w:r>
      <w:proofErr w:type="spellStart"/>
      <w:r w:rsidRPr="003773CD">
        <w:rPr>
          <w:bCs/>
          <w:color w:val="000000" w:themeColor="text1"/>
        </w:rPr>
        <w:t>Hereditas</w:t>
      </w:r>
      <w:proofErr w:type="spellEnd"/>
      <w:r w:rsidRPr="003773CD">
        <w:rPr>
          <w:bCs/>
          <w:color w:val="000000" w:themeColor="text1"/>
        </w:rPr>
        <w:t xml:space="preserve">. </w:t>
      </w:r>
      <w:proofErr w:type="gramStart"/>
      <w:r w:rsidRPr="003773CD">
        <w:rPr>
          <w:bCs/>
          <w:color w:val="000000" w:themeColor="text1"/>
        </w:rPr>
        <w:t>1978;88:81</w:t>
      </w:r>
      <w:proofErr w:type="gramEnd"/>
      <w:r w:rsidRPr="003773CD">
        <w:rPr>
          <w:bCs/>
          <w:color w:val="000000" w:themeColor="text1"/>
        </w:rPr>
        <w:t>-92.</w:t>
      </w:r>
    </w:p>
    <w:p w14:paraId="6689ABA0" w14:textId="44F90520" w:rsidR="00C40CF8" w:rsidRPr="003773CD" w:rsidRDefault="00C40CF8" w:rsidP="000F446E">
      <w:pPr>
        <w:rPr>
          <w:bCs/>
          <w:color w:val="000000" w:themeColor="text1"/>
        </w:rPr>
      </w:pPr>
      <w:r w:rsidRPr="003773CD">
        <w:rPr>
          <w:bCs/>
          <w:color w:val="000000" w:themeColor="text1"/>
        </w:rPr>
        <w:t xml:space="preserve">17. Stöber MC, et al. Intercellular extrachromosomal DNA copy-number heterogeneity drives neuroblastoma cell state diversity. Cell Rep. </w:t>
      </w:r>
      <w:proofErr w:type="gramStart"/>
      <w:r w:rsidRPr="003773CD">
        <w:rPr>
          <w:bCs/>
          <w:color w:val="000000" w:themeColor="text1"/>
        </w:rPr>
        <w:t>2024;43:114711</w:t>
      </w:r>
      <w:proofErr w:type="gramEnd"/>
      <w:r w:rsidRPr="003773CD">
        <w:rPr>
          <w:bCs/>
          <w:color w:val="000000" w:themeColor="text1"/>
        </w:rPr>
        <w:t>.</w:t>
      </w:r>
    </w:p>
    <w:p w14:paraId="29E737A5" w14:textId="0CB3F87C" w:rsidR="00C40CF8" w:rsidRPr="003773CD" w:rsidRDefault="00C40CF8" w:rsidP="000F446E">
      <w:pPr>
        <w:rPr>
          <w:bCs/>
          <w:color w:val="000000" w:themeColor="text1"/>
        </w:rPr>
      </w:pPr>
      <w:r w:rsidRPr="003773CD">
        <w:rPr>
          <w:bCs/>
          <w:color w:val="000000" w:themeColor="text1"/>
        </w:rPr>
        <w:t xml:space="preserve">18. Kaufman RJ, Brown PC, Schimke RT. Amplified dihydrofolate reductase genes in unstably methotrexate-resistant cells are associated with double minute chromosomes. Proc Natl Acad </w:t>
      </w:r>
      <w:r w:rsidRPr="003773CD">
        <w:rPr>
          <w:bCs/>
          <w:color w:val="000000" w:themeColor="text1"/>
        </w:rPr>
        <w:lastRenderedPageBreak/>
        <w:t xml:space="preserve">Sci U S A. </w:t>
      </w:r>
      <w:proofErr w:type="gramStart"/>
      <w:r w:rsidRPr="003773CD">
        <w:rPr>
          <w:bCs/>
          <w:color w:val="000000" w:themeColor="text1"/>
        </w:rPr>
        <w:t>1979;76:5669</w:t>
      </w:r>
      <w:proofErr w:type="gramEnd"/>
      <w:r w:rsidRPr="003773CD">
        <w:rPr>
          <w:bCs/>
          <w:color w:val="000000" w:themeColor="text1"/>
        </w:rPr>
        <w:t>-</w:t>
      </w:r>
      <w:r w:rsidR="007B29E7">
        <w:rPr>
          <w:bCs/>
          <w:color w:val="000000" w:themeColor="text1"/>
        </w:rPr>
        <w:t>56</w:t>
      </w:r>
      <w:r w:rsidRPr="003773CD">
        <w:rPr>
          <w:bCs/>
          <w:color w:val="000000" w:themeColor="text1"/>
        </w:rPr>
        <w:t>73.</w:t>
      </w:r>
    </w:p>
    <w:p w14:paraId="2C27BE98" w14:textId="2F265D35" w:rsidR="00C40CF8" w:rsidRPr="003773CD" w:rsidRDefault="00C40CF8" w:rsidP="000F446E">
      <w:pPr>
        <w:rPr>
          <w:bCs/>
          <w:color w:val="000000" w:themeColor="text1"/>
        </w:rPr>
      </w:pPr>
      <w:r w:rsidRPr="003773CD">
        <w:rPr>
          <w:bCs/>
          <w:color w:val="000000" w:themeColor="text1"/>
        </w:rPr>
        <w:t xml:space="preserve">19. Kim H, et al. Extrachromosomal DNA is associated with oncogene amplification and poor outcome across multiple cancers. Nat Genet. </w:t>
      </w:r>
      <w:proofErr w:type="gramStart"/>
      <w:r w:rsidRPr="003773CD">
        <w:rPr>
          <w:bCs/>
          <w:color w:val="000000" w:themeColor="text1"/>
        </w:rPr>
        <w:t>2020;52:891</w:t>
      </w:r>
      <w:proofErr w:type="gramEnd"/>
      <w:r w:rsidRPr="003773CD">
        <w:rPr>
          <w:bCs/>
          <w:color w:val="000000" w:themeColor="text1"/>
        </w:rPr>
        <w:t>-</w:t>
      </w:r>
      <w:r w:rsidR="007B29E7">
        <w:rPr>
          <w:bCs/>
          <w:color w:val="000000" w:themeColor="text1"/>
        </w:rPr>
        <w:t>89</w:t>
      </w:r>
      <w:r w:rsidRPr="003773CD">
        <w:rPr>
          <w:bCs/>
          <w:color w:val="000000" w:themeColor="text1"/>
        </w:rPr>
        <w:t>7.</w:t>
      </w:r>
    </w:p>
    <w:p w14:paraId="0058F610" w14:textId="63D92A6F" w:rsidR="00C40CF8" w:rsidRPr="003773CD" w:rsidRDefault="00C40CF8" w:rsidP="000F446E">
      <w:pPr>
        <w:rPr>
          <w:bCs/>
          <w:color w:val="000000" w:themeColor="text1"/>
        </w:rPr>
      </w:pPr>
      <w:r w:rsidRPr="003773CD">
        <w:rPr>
          <w:bCs/>
          <w:color w:val="000000" w:themeColor="text1"/>
        </w:rPr>
        <w:t xml:space="preserve">20. Schlesinger HR, et al. Establishment and characterization of human neuroblastoma cell lines. Cancer Res. </w:t>
      </w:r>
      <w:proofErr w:type="gramStart"/>
      <w:r w:rsidRPr="003773CD">
        <w:rPr>
          <w:bCs/>
          <w:color w:val="000000" w:themeColor="text1"/>
        </w:rPr>
        <w:t>1976;36:3094</w:t>
      </w:r>
      <w:proofErr w:type="gramEnd"/>
      <w:r w:rsidRPr="003773CD">
        <w:rPr>
          <w:bCs/>
          <w:color w:val="000000" w:themeColor="text1"/>
        </w:rPr>
        <w:t>-</w:t>
      </w:r>
      <w:r w:rsidR="007B29E7">
        <w:rPr>
          <w:bCs/>
          <w:color w:val="000000" w:themeColor="text1"/>
        </w:rPr>
        <w:t>3</w:t>
      </w:r>
      <w:r w:rsidRPr="003773CD">
        <w:rPr>
          <w:bCs/>
          <w:color w:val="000000" w:themeColor="text1"/>
        </w:rPr>
        <w:t>100.</w:t>
      </w:r>
    </w:p>
    <w:p w14:paraId="2B67DC0F" w14:textId="3C7BDEF8" w:rsidR="00C40CF8" w:rsidRPr="003773CD" w:rsidRDefault="00C40CF8" w:rsidP="000F446E">
      <w:pPr>
        <w:rPr>
          <w:bCs/>
          <w:color w:val="000000" w:themeColor="text1"/>
        </w:rPr>
      </w:pPr>
      <w:r w:rsidRPr="003773CD">
        <w:rPr>
          <w:bCs/>
          <w:color w:val="000000" w:themeColor="text1"/>
        </w:rPr>
        <w:t>21. Balaban-</w:t>
      </w:r>
      <w:proofErr w:type="spellStart"/>
      <w:r w:rsidRPr="003773CD">
        <w:rPr>
          <w:bCs/>
          <w:color w:val="000000" w:themeColor="text1"/>
        </w:rPr>
        <w:t>Malenbaum</w:t>
      </w:r>
      <w:proofErr w:type="spellEnd"/>
      <w:r w:rsidRPr="003773CD">
        <w:rPr>
          <w:bCs/>
          <w:color w:val="000000" w:themeColor="text1"/>
        </w:rPr>
        <w:t xml:space="preserve"> G, Gilbert F. Double minute chromosomes and the homogeneously staining regions in chromosomes of a human neuroblastoma cell line. Science. </w:t>
      </w:r>
      <w:proofErr w:type="gramStart"/>
      <w:r w:rsidRPr="003773CD">
        <w:rPr>
          <w:bCs/>
          <w:color w:val="000000" w:themeColor="text1"/>
        </w:rPr>
        <w:t>1977;198:739</w:t>
      </w:r>
      <w:proofErr w:type="gramEnd"/>
      <w:r w:rsidRPr="003773CD">
        <w:rPr>
          <w:bCs/>
          <w:color w:val="000000" w:themeColor="text1"/>
        </w:rPr>
        <w:t>-</w:t>
      </w:r>
      <w:r w:rsidR="007B29E7">
        <w:rPr>
          <w:bCs/>
          <w:color w:val="000000" w:themeColor="text1"/>
        </w:rPr>
        <w:t>7</w:t>
      </w:r>
      <w:r w:rsidRPr="003773CD">
        <w:rPr>
          <w:bCs/>
          <w:color w:val="000000" w:themeColor="text1"/>
        </w:rPr>
        <w:t>41.</w:t>
      </w:r>
    </w:p>
    <w:p w14:paraId="0E4572FB" w14:textId="2A799F70" w:rsidR="00C40CF8" w:rsidRPr="003773CD" w:rsidRDefault="00C40CF8" w:rsidP="000F446E">
      <w:pPr>
        <w:rPr>
          <w:bCs/>
          <w:color w:val="000000" w:themeColor="text1"/>
        </w:rPr>
      </w:pPr>
      <w:r w:rsidRPr="003773CD">
        <w:rPr>
          <w:bCs/>
          <w:color w:val="000000" w:themeColor="text1"/>
        </w:rPr>
        <w:t xml:space="preserve">22. Gilbert F, et al. Homogeneously staining region in a retinoblastoma cell line: Relevance to tumor initiation and progression. J Natl Cancer Inst. </w:t>
      </w:r>
      <w:proofErr w:type="gramStart"/>
      <w:r w:rsidRPr="003773CD">
        <w:rPr>
          <w:bCs/>
          <w:color w:val="000000" w:themeColor="text1"/>
        </w:rPr>
        <w:t>1981;67:301</w:t>
      </w:r>
      <w:proofErr w:type="gramEnd"/>
      <w:r w:rsidRPr="003773CD">
        <w:rPr>
          <w:bCs/>
          <w:color w:val="000000" w:themeColor="text1"/>
        </w:rPr>
        <w:t>-</w:t>
      </w:r>
      <w:r w:rsidR="007B29E7">
        <w:rPr>
          <w:bCs/>
          <w:color w:val="000000" w:themeColor="text1"/>
        </w:rPr>
        <w:t>30</w:t>
      </w:r>
      <w:r w:rsidRPr="003773CD">
        <w:rPr>
          <w:bCs/>
          <w:color w:val="000000" w:themeColor="text1"/>
        </w:rPr>
        <w:t>6.</w:t>
      </w:r>
    </w:p>
    <w:p w14:paraId="7A2C0C04" w14:textId="58D5361A" w:rsidR="00C40CF8" w:rsidRPr="003773CD" w:rsidRDefault="00C40CF8" w:rsidP="000F446E">
      <w:pPr>
        <w:rPr>
          <w:bCs/>
          <w:color w:val="000000" w:themeColor="text1"/>
        </w:rPr>
      </w:pPr>
      <w:r w:rsidRPr="003773CD">
        <w:rPr>
          <w:bCs/>
          <w:color w:val="000000" w:themeColor="text1"/>
        </w:rPr>
        <w:t xml:space="preserve">23. Quinn LA, Moore GE, Morgan RT, Woods LK. Cell lines from human colon carcinoma with unusual cell products, double minutes, and homogeneously staining regions. Cancer Res. </w:t>
      </w:r>
      <w:proofErr w:type="gramStart"/>
      <w:r w:rsidRPr="003773CD">
        <w:rPr>
          <w:bCs/>
          <w:color w:val="000000" w:themeColor="text1"/>
        </w:rPr>
        <w:t>1979;39:4914</w:t>
      </w:r>
      <w:proofErr w:type="gramEnd"/>
      <w:r w:rsidRPr="003773CD">
        <w:rPr>
          <w:bCs/>
          <w:color w:val="000000" w:themeColor="text1"/>
        </w:rPr>
        <w:t>-</w:t>
      </w:r>
      <w:r w:rsidR="007B29E7">
        <w:rPr>
          <w:bCs/>
          <w:color w:val="000000" w:themeColor="text1"/>
        </w:rPr>
        <w:t>49</w:t>
      </w:r>
      <w:r w:rsidRPr="003773CD">
        <w:rPr>
          <w:bCs/>
          <w:color w:val="000000" w:themeColor="text1"/>
        </w:rPr>
        <w:t>24.</w:t>
      </w:r>
    </w:p>
    <w:p w14:paraId="55BD2820" w14:textId="2A8ACC30" w:rsidR="00C40CF8" w:rsidRPr="003773CD" w:rsidRDefault="00C40CF8" w:rsidP="000F446E">
      <w:pPr>
        <w:rPr>
          <w:bCs/>
          <w:color w:val="000000" w:themeColor="text1"/>
        </w:rPr>
      </w:pPr>
      <w:r w:rsidRPr="003773CD">
        <w:rPr>
          <w:bCs/>
          <w:color w:val="000000" w:themeColor="text1"/>
        </w:rPr>
        <w:t xml:space="preserve">24. Montgomery KT, Biedler JL, Spengler BA, </w:t>
      </w:r>
      <w:proofErr w:type="spellStart"/>
      <w:r w:rsidRPr="003773CD">
        <w:rPr>
          <w:bCs/>
          <w:color w:val="000000" w:themeColor="text1"/>
        </w:rPr>
        <w:t>Melera</w:t>
      </w:r>
      <w:proofErr w:type="spellEnd"/>
      <w:r w:rsidRPr="003773CD">
        <w:rPr>
          <w:bCs/>
          <w:color w:val="000000" w:themeColor="text1"/>
        </w:rPr>
        <w:t xml:space="preserve"> PW. Specific DNA sequence amplification in human neuroblastoma cells. Proc Natl Acad Sci U S A. </w:t>
      </w:r>
      <w:proofErr w:type="gramStart"/>
      <w:r w:rsidRPr="003773CD">
        <w:rPr>
          <w:bCs/>
          <w:color w:val="000000" w:themeColor="text1"/>
        </w:rPr>
        <w:t>1983;80:5724</w:t>
      </w:r>
      <w:proofErr w:type="gramEnd"/>
      <w:r w:rsidRPr="003773CD">
        <w:rPr>
          <w:bCs/>
          <w:color w:val="000000" w:themeColor="text1"/>
        </w:rPr>
        <w:t>-</w:t>
      </w:r>
      <w:r w:rsidR="007B29E7">
        <w:rPr>
          <w:bCs/>
          <w:color w:val="000000" w:themeColor="text1"/>
        </w:rPr>
        <w:t>572</w:t>
      </w:r>
      <w:r w:rsidRPr="003773CD">
        <w:rPr>
          <w:bCs/>
          <w:color w:val="000000" w:themeColor="text1"/>
        </w:rPr>
        <w:t>8.</w:t>
      </w:r>
    </w:p>
    <w:p w14:paraId="6302F282" w14:textId="7726AD81" w:rsidR="00C40CF8" w:rsidRPr="003773CD" w:rsidRDefault="00C40CF8" w:rsidP="000F446E">
      <w:pPr>
        <w:rPr>
          <w:bCs/>
          <w:color w:val="000000" w:themeColor="text1"/>
        </w:rPr>
      </w:pPr>
      <w:r w:rsidRPr="003773CD">
        <w:rPr>
          <w:bCs/>
          <w:color w:val="000000" w:themeColor="text1"/>
        </w:rPr>
        <w:t xml:space="preserve">25. Singer MJ, et al. Amplification of the human dihydrofolate reductase gene via double minutes is initiated by chromosome breaks. Proc Natl Acad Sci U S A. </w:t>
      </w:r>
      <w:proofErr w:type="gramStart"/>
      <w:r w:rsidRPr="003773CD">
        <w:rPr>
          <w:bCs/>
          <w:color w:val="000000" w:themeColor="text1"/>
        </w:rPr>
        <w:t>2000;97:7921</w:t>
      </w:r>
      <w:proofErr w:type="gramEnd"/>
      <w:r w:rsidRPr="003773CD">
        <w:rPr>
          <w:bCs/>
          <w:color w:val="000000" w:themeColor="text1"/>
        </w:rPr>
        <w:t>-</w:t>
      </w:r>
      <w:r w:rsidR="007B29E7">
        <w:rPr>
          <w:bCs/>
          <w:color w:val="000000" w:themeColor="text1"/>
        </w:rPr>
        <w:t>792</w:t>
      </w:r>
      <w:r w:rsidRPr="003773CD">
        <w:rPr>
          <w:bCs/>
          <w:color w:val="000000" w:themeColor="text1"/>
        </w:rPr>
        <w:t>6.</w:t>
      </w:r>
    </w:p>
    <w:p w14:paraId="3C070E19" w14:textId="27BFFC17" w:rsidR="00C40CF8" w:rsidRPr="003773CD" w:rsidRDefault="00C40CF8" w:rsidP="000F446E">
      <w:pPr>
        <w:rPr>
          <w:bCs/>
          <w:color w:val="000000" w:themeColor="text1"/>
        </w:rPr>
      </w:pPr>
      <w:r w:rsidRPr="003773CD">
        <w:rPr>
          <w:bCs/>
          <w:color w:val="000000" w:themeColor="text1"/>
        </w:rPr>
        <w:t xml:space="preserve">26. Shimizu N. Gene amplification and the extrachromosomal circular DNA. Genes (Basel). </w:t>
      </w:r>
      <w:proofErr w:type="gramStart"/>
      <w:r w:rsidRPr="003773CD">
        <w:rPr>
          <w:bCs/>
          <w:color w:val="000000" w:themeColor="text1"/>
        </w:rPr>
        <w:t>2021;12:1533</w:t>
      </w:r>
      <w:proofErr w:type="gramEnd"/>
      <w:r w:rsidRPr="003773CD">
        <w:rPr>
          <w:bCs/>
          <w:color w:val="000000" w:themeColor="text1"/>
        </w:rPr>
        <w:t>.</w:t>
      </w:r>
    </w:p>
    <w:p w14:paraId="2C464356" w14:textId="1DB07319" w:rsidR="00C40CF8" w:rsidRPr="003773CD" w:rsidRDefault="00C40CF8" w:rsidP="000F446E">
      <w:pPr>
        <w:rPr>
          <w:bCs/>
          <w:color w:val="000000" w:themeColor="text1"/>
        </w:rPr>
      </w:pPr>
      <w:r w:rsidRPr="003773CD">
        <w:rPr>
          <w:bCs/>
          <w:color w:val="000000" w:themeColor="text1"/>
        </w:rPr>
        <w:t xml:space="preserve">27. Carroll SM, et al. Double minute chromosomes can be produced from precursors derived from a chromosomal deletion. Mol Cell Biol. </w:t>
      </w:r>
      <w:proofErr w:type="gramStart"/>
      <w:r w:rsidRPr="003773CD">
        <w:rPr>
          <w:bCs/>
          <w:color w:val="000000" w:themeColor="text1"/>
        </w:rPr>
        <w:t>1988;8:1525</w:t>
      </w:r>
      <w:proofErr w:type="gramEnd"/>
      <w:r w:rsidRPr="003773CD">
        <w:rPr>
          <w:bCs/>
          <w:color w:val="000000" w:themeColor="text1"/>
        </w:rPr>
        <w:t>-</w:t>
      </w:r>
      <w:r w:rsidR="007B29E7">
        <w:rPr>
          <w:bCs/>
          <w:color w:val="000000" w:themeColor="text1"/>
        </w:rPr>
        <w:t>15</w:t>
      </w:r>
      <w:r w:rsidRPr="003773CD">
        <w:rPr>
          <w:bCs/>
          <w:color w:val="000000" w:themeColor="text1"/>
        </w:rPr>
        <w:t>33.</w:t>
      </w:r>
    </w:p>
    <w:p w14:paraId="6597B59C" w14:textId="4ECBC118" w:rsidR="00C40CF8" w:rsidRPr="003773CD" w:rsidRDefault="00C40CF8" w:rsidP="000F446E">
      <w:pPr>
        <w:rPr>
          <w:bCs/>
          <w:color w:val="000000" w:themeColor="text1"/>
        </w:rPr>
      </w:pPr>
      <w:r w:rsidRPr="003773CD">
        <w:rPr>
          <w:bCs/>
          <w:color w:val="000000" w:themeColor="text1"/>
        </w:rPr>
        <w:t xml:space="preserve">28. </w:t>
      </w:r>
      <w:proofErr w:type="spellStart"/>
      <w:r w:rsidRPr="003773CD">
        <w:rPr>
          <w:bCs/>
          <w:color w:val="000000" w:themeColor="text1"/>
        </w:rPr>
        <w:t>Alitalo</w:t>
      </w:r>
      <w:proofErr w:type="spellEnd"/>
      <w:r w:rsidRPr="003773CD">
        <w:rPr>
          <w:bCs/>
          <w:color w:val="000000" w:themeColor="text1"/>
        </w:rPr>
        <w:t xml:space="preserve"> K, et al. Homogeneously staining chromosomal regions contain amplified copies of an abundantly expressed cellular oncogene (c-</w:t>
      </w:r>
      <w:proofErr w:type="spellStart"/>
      <w:r w:rsidRPr="003773CD">
        <w:rPr>
          <w:bCs/>
          <w:color w:val="000000" w:themeColor="text1"/>
        </w:rPr>
        <w:t>myc</w:t>
      </w:r>
      <w:proofErr w:type="spellEnd"/>
      <w:r w:rsidRPr="003773CD">
        <w:rPr>
          <w:bCs/>
          <w:color w:val="000000" w:themeColor="text1"/>
        </w:rPr>
        <w:t xml:space="preserve">) in malignant neuroendocrine cells from a human colon carcinoma. Proc Natl Acad Sci U S A. </w:t>
      </w:r>
      <w:proofErr w:type="gramStart"/>
      <w:r w:rsidRPr="003773CD">
        <w:rPr>
          <w:bCs/>
          <w:color w:val="000000" w:themeColor="text1"/>
        </w:rPr>
        <w:t>1983;80:1707</w:t>
      </w:r>
      <w:proofErr w:type="gramEnd"/>
      <w:r w:rsidRPr="003773CD">
        <w:rPr>
          <w:bCs/>
          <w:color w:val="000000" w:themeColor="text1"/>
        </w:rPr>
        <w:t>-</w:t>
      </w:r>
      <w:r w:rsidR="007B29E7">
        <w:rPr>
          <w:bCs/>
          <w:color w:val="000000" w:themeColor="text1"/>
        </w:rPr>
        <w:t>17</w:t>
      </w:r>
      <w:r w:rsidRPr="003773CD">
        <w:rPr>
          <w:bCs/>
          <w:color w:val="000000" w:themeColor="text1"/>
        </w:rPr>
        <w:t>11.</w:t>
      </w:r>
    </w:p>
    <w:p w14:paraId="2924D0EF" w14:textId="35AD8BB9" w:rsidR="00C40CF8" w:rsidRPr="003773CD" w:rsidRDefault="00C40CF8" w:rsidP="000F446E">
      <w:pPr>
        <w:rPr>
          <w:bCs/>
          <w:color w:val="000000" w:themeColor="text1"/>
        </w:rPr>
      </w:pPr>
      <w:r w:rsidRPr="003773CD">
        <w:rPr>
          <w:bCs/>
          <w:color w:val="000000" w:themeColor="text1"/>
        </w:rPr>
        <w:t xml:space="preserve">29. George DL, Powers VE. Amplified DNA sequences in Y1 mouse adrenal tumor cells: Association with double minutes and localization to a homogeneously staining chromosomal region. Proc Natl Acad Sci U S A. </w:t>
      </w:r>
      <w:proofErr w:type="gramStart"/>
      <w:r w:rsidRPr="003773CD">
        <w:rPr>
          <w:bCs/>
          <w:color w:val="000000" w:themeColor="text1"/>
        </w:rPr>
        <w:t>1982;79:1597</w:t>
      </w:r>
      <w:proofErr w:type="gramEnd"/>
      <w:r w:rsidRPr="003773CD">
        <w:rPr>
          <w:bCs/>
          <w:color w:val="000000" w:themeColor="text1"/>
        </w:rPr>
        <w:t>-</w:t>
      </w:r>
      <w:r w:rsidR="007B29E7">
        <w:rPr>
          <w:bCs/>
          <w:color w:val="000000" w:themeColor="text1"/>
        </w:rPr>
        <w:t>1</w:t>
      </w:r>
      <w:r w:rsidRPr="003773CD">
        <w:rPr>
          <w:bCs/>
          <w:color w:val="000000" w:themeColor="text1"/>
        </w:rPr>
        <w:t>601.</w:t>
      </w:r>
    </w:p>
    <w:p w14:paraId="7B93E8C1" w14:textId="200199DE" w:rsidR="00155DD4" w:rsidRPr="003773CD" w:rsidRDefault="00C40CF8" w:rsidP="000F446E">
      <w:pPr>
        <w:rPr>
          <w:bCs/>
          <w:color w:val="000000" w:themeColor="text1"/>
        </w:rPr>
      </w:pPr>
      <w:r w:rsidRPr="003773CD">
        <w:rPr>
          <w:bCs/>
          <w:color w:val="000000" w:themeColor="text1"/>
        </w:rPr>
        <w:t xml:space="preserve">30. </w:t>
      </w:r>
      <w:proofErr w:type="spellStart"/>
      <w:r w:rsidRPr="003773CD">
        <w:rPr>
          <w:bCs/>
          <w:color w:val="000000" w:themeColor="text1"/>
        </w:rPr>
        <w:t>Storlazzi</w:t>
      </w:r>
      <w:proofErr w:type="spellEnd"/>
      <w:r w:rsidRPr="003773CD">
        <w:rPr>
          <w:bCs/>
          <w:color w:val="000000" w:themeColor="text1"/>
        </w:rPr>
        <w:t xml:space="preserve"> CT, et al. Gene amplification as double minutes or homogeneously staining regions in solid tumors: Origin and structure. Genome Res. </w:t>
      </w:r>
      <w:proofErr w:type="gramStart"/>
      <w:r w:rsidRPr="003773CD">
        <w:rPr>
          <w:bCs/>
          <w:color w:val="000000" w:themeColor="text1"/>
        </w:rPr>
        <w:t>2010;20:1198</w:t>
      </w:r>
      <w:proofErr w:type="gramEnd"/>
      <w:r w:rsidRPr="003773CD">
        <w:rPr>
          <w:bCs/>
          <w:color w:val="000000" w:themeColor="text1"/>
        </w:rPr>
        <w:t>-</w:t>
      </w:r>
      <w:r w:rsidR="007B29E7">
        <w:rPr>
          <w:bCs/>
          <w:color w:val="000000" w:themeColor="text1"/>
        </w:rPr>
        <w:t>1</w:t>
      </w:r>
      <w:r w:rsidRPr="003773CD">
        <w:rPr>
          <w:bCs/>
          <w:color w:val="000000" w:themeColor="text1"/>
        </w:rPr>
        <w:t>206.</w:t>
      </w:r>
    </w:p>
    <w:p w14:paraId="02BC6513" w14:textId="0905B2C5" w:rsidR="00155DD4" w:rsidRPr="003773CD" w:rsidRDefault="00155DD4" w:rsidP="000F446E">
      <w:pPr>
        <w:rPr>
          <w:bCs/>
          <w:color w:val="000000" w:themeColor="text1"/>
        </w:rPr>
      </w:pPr>
      <w:r w:rsidRPr="003773CD">
        <w:rPr>
          <w:bCs/>
          <w:color w:val="000000" w:themeColor="text1"/>
        </w:rPr>
        <w:t>31. Biedler JL, Meyers MB, Spengler BA. Homogeneously staining regions and double minute chromosomes, prevalent cytogenetic abnormalities of human neuroblastoma cells. In: Fedoroff S, Hertz L, editors. Advances in Cellular Neurobiology. Academic Press; New York, NY; 1983. p. 267-307.</w:t>
      </w:r>
    </w:p>
    <w:p w14:paraId="5656004A" w14:textId="4EB04101" w:rsidR="00155DD4" w:rsidRPr="003773CD" w:rsidRDefault="00155DD4" w:rsidP="000F446E">
      <w:pPr>
        <w:rPr>
          <w:bCs/>
          <w:color w:val="000000" w:themeColor="text1"/>
        </w:rPr>
      </w:pPr>
      <w:r w:rsidRPr="003773CD">
        <w:rPr>
          <w:bCs/>
          <w:color w:val="000000" w:themeColor="text1"/>
        </w:rPr>
        <w:t xml:space="preserve">32. Shoshani O, et al. </w:t>
      </w:r>
      <w:proofErr w:type="spellStart"/>
      <w:r w:rsidRPr="003773CD">
        <w:rPr>
          <w:bCs/>
          <w:color w:val="000000" w:themeColor="text1"/>
        </w:rPr>
        <w:t>Chromothripsis</w:t>
      </w:r>
      <w:proofErr w:type="spellEnd"/>
      <w:r w:rsidRPr="003773CD">
        <w:rPr>
          <w:bCs/>
          <w:color w:val="000000" w:themeColor="text1"/>
        </w:rPr>
        <w:t xml:space="preserve"> drives the evolution of gene amplification in cancer. Nature. </w:t>
      </w:r>
      <w:proofErr w:type="gramStart"/>
      <w:r w:rsidRPr="003773CD">
        <w:rPr>
          <w:bCs/>
          <w:color w:val="000000" w:themeColor="text1"/>
        </w:rPr>
        <w:t>2021;591:137</w:t>
      </w:r>
      <w:proofErr w:type="gramEnd"/>
      <w:r w:rsidRPr="003773CD">
        <w:rPr>
          <w:bCs/>
          <w:color w:val="000000" w:themeColor="text1"/>
        </w:rPr>
        <w:t>-</w:t>
      </w:r>
      <w:r w:rsidR="007B29E7">
        <w:rPr>
          <w:bCs/>
          <w:color w:val="000000" w:themeColor="text1"/>
        </w:rPr>
        <w:t>1</w:t>
      </w:r>
      <w:r w:rsidRPr="003773CD">
        <w:rPr>
          <w:bCs/>
          <w:color w:val="000000" w:themeColor="text1"/>
        </w:rPr>
        <w:t>41.</w:t>
      </w:r>
    </w:p>
    <w:p w14:paraId="4B567478" w14:textId="3CF98843" w:rsidR="00155DD4" w:rsidRPr="003773CD" w:rsidRDefault="00155DD4" w:rsidP="000F446E">
      <w:pPr>
        <w:rPr>
          <w:bCs/>
          <w:color w:val="000000" w:themeColor="text1"/>
        </w:rPr>
      </w:pPr>
      <w:r w:rsidRPr="003773CD">
        <w:rPr>
          <w:bCs/>
          <w:color w:val="000000" w:themeColor="text1"/>
        </w:rPr>
        <w:t xml:space="preserve">33. Nathanson DA, et al. Targeted therapy resistance mediated by dynamic regulation of extrachromosomal mutant EGFR DNA. Science. </w:t>
      </w:r>
      <w:proofErr w:type="gramStart"/>
      <w:r w:rsidRPr="003773CD">
        <w:rPr>
          <w:bCs/>
          <w:color w:val="000000" w:themeColor="text1"/>
        </w:rPr>
        <w:t>2014;343:72</w:t>
      </w:r>
      <w:proofErr w:type="gramEnd"/>
      <w:r w:rsidRPr="003773CD">
        <w:rPr>
          <w:bCs/>
          <w:color w:val="000000" w:themeColor="text1"/>
        </w:rPr>
        <w:t>-</w:t>
      </w:r>
      <w:r w:rsidR="007B29E7">
        <w:rPr>
          <w:bCs/>
          <w:color w:val="000000" w:themeColor="text1"/>
        </w:rPr>
        <w:t>7</w:t>
      </w:r>
      <w:r w:rsidRPr="003773CD">
        <w:rPr>
          <w:bCs/>
          <w:color w:val="000000" w:themeColor="text1"/>
        </w:rPr>
        <w:t>6.</w:t>
      </w:r>
    </w:p>
    <w:p w14:paraId="0FEF8370" w14:textId="3CE73F17" w:rsidR="00155DD4" w:rsidRPr="003773CD" w:rsidRDefault="00155DD4" w:rsidP="000F446E">
      <w:pPr>
        <w:rPr>
          <w:bCs/>
          <w:color w:val="000000" w:themeColor="text1"/>
        </w:rPr>
      </w:pPr>
      <w:r w:rsidRPr="003773CD">
        <w:rPr>
          <w:bCs/>
          <w:color w:val="000000" w:themeColor="text1"/>
        </w:rPr>
        <w:t xml:space="preserve">34. Song K, et al. Plasticity of extrachromosomal and intrachromosomal BRAF amplifications in overcoming targeted therapy dosage challenges. Cancer </w:t>
      </w:r>
      <w:proofErr w:type="spellStart"/>
      <w:r w:rsidRPr="003773CD">
        <w:rPr>
          <w:bCs/>
          <w:color w:val="000000" w:themeColor="text1"/>
        </w:rPr>
        <w:t>Discov</w:t>
      </w:r>
      <w:proofErr w:type="spellEnd"/>
      <w:r w:rsidRPr="003773CD">
        <w:rPr>
          <w:bCs/>
          <w:color w:val="000000" w:themeColor="text1"/>
        </w:rPr>
        <w:t xml:space="preserve">. </w:t>
      </w:r>
      <w:proofErr w:type="gramStart"/>
      <w:r w:rsidRPr="003773CD">
        <w:rPr>
          <w:bCs/>
          <w:color w:val="000000" w:themeColor="text1"/>
        </w:rPr>
        <w:t>2022;12:1046</w:t>
      </w:r>
      <w:proofErr w:type="gramEnd"/>
      <w:r w:rsidRPr="003773CD">
        <w:rPr>
          <w:bCs/>
          <w:color w:val="000000" w:themeColor="text1"/>
        </w:rPr>
        <w:t>-</w:t>
      </w:r>
      <w:r w:rsidR="007B29E7">
        <w:rPr>
          <w:bCs/>
          <w:color w:val="000000" w:themeColor="text1"/>
        </w:rPr>
        <w:t>10</w:t>
      </w:r>
      <w:r w:rsidRPr="003773CD">
        <w:rPr>
          <w:bCs/>
          <w:color w:val="000000" w:themeColor="text1"/>
        </w:rPr>
        <w:t>69.</w:t>
      </w:r>
    </w:p>
    <w:p w14:paraId="6B154B7C" w14:textId="0F561D85" w:rsidR="00155DD4" w:rsidRPr="003773CD" w:rsidRDefault="00155DD4" w:rsidP="000F446E">
      <w:pPr>
        <w:rPr>
          <w:bCs/>
          <w:color w:val="000000" w:themeColor="text1"/>
        </w:rPr>
      </w:pPr>
      <w:r w:rsidRPr="003773CD">
        <w:rPr>
          <w:bCs/>
          <w:color w:val="000000" w:themeColor="text1"/>
        </w:rPr>
        <w:t xml:space="preserve">35. Kang X, et al. Extrachromosomal DNA replication and maintenance couple with the DNA damage pathway in tumors. Cell. </w:t>
      </w:r>
      <w:proofErr w:type="gramStart"/>
      <w:r w:rsidRPr="003773CD">
        <w:rPr>
          <w:bCs/>
          <w:color w:val="000000" w:themeColor="text1"/>
        </w:rPr>
        <w:t>2025;188:3405</w:t>
      </w:r>
      <w:proofErr w:type="gramEnd"/>
      <w:r w:rsidRPr="003773CD">
        <w:rPr>
          <w:bCs/>
          <w:color w:val="000000" w:themeColor="text1"/>
        </w:rPr>
        <w:t>-3421.</w:t>
      </w:r>
      <w:r w:rsidR="00C12257" w:rsidRPr="00C12257">
        <w:rPr>
          <w:bCs/>
          <w:color w:val="000000" w:themeColor="text1"/>
        </w:rPr>
        <w:t>e27</w:t>
      </w:r>
      <w:r w:rsidR="00C12257">
        <w:rPr>
          <w:bCs/>
          <w:color w:val="000000" w:themeColor="text1"/>
        </w:rPr>
        <w:t>.</w:t>
      </w:r>
    </w:p>
    <w:p w14:paraId="64F881B0" w14:textId="7AD75727" w:rsidR="00155DD4" w:rsidRPr="003773CD" w:rsidRDefault="00155DD4" w:rsidP="000F446E">
      <w:pPr>
        <w:rPr>
          <w:bCs/>
          <w:color w:val="000000" w:themeColor="text1"/>
        </w:rPr>
      </w:pPr>
      <w:r w:rsidRPr="003773CD">
        <w:rPr>
          <w:bCs/>
          <w:color w:val="000000" w:themeColor="text1"/>
        </w:rPr>
        <w:t xml:space="preserve">36. Pommier Y, </w:t>
      </w:r>
      <w:proofErr w:type="spellStart"/>
      <w:r w:rsidRPr="003773CD">
        <w:rPr>
          <w:bCs/>
          <w:color w:val="000000" w:themeColor="text1"/>
        </w:rPr>
        <w:t>Nussenzweig</w:t>
      </w:r>
      <w:proofErr w:type="spellEnd"/>
      <w:r w:rsidRPr="003773CD">
        <w:rPr>
          <w:bCs/>
          <w:color w:val="000000" w:themeColor="text1"/>
        </w:rPr>
        <w:t xml:space="preserve"> A, Takeda S, Austin C. Human topoisomerases and their roles in genome stability and organization. Nat Rev Mol Cell Biol. </w:t>
      </w:r>
      <w:proofErr w:type="gramStart"/>
      <w:r w:rsidRPr="003773CD">
        <w:rPr>
          <w:bCs/>
          <w:color w:val="000000" w:themeColor="text1"/>
        </w:rPr>
        <w:t>2022;23:407</w:t>
      </w:r>
      <w:proofErr w:type="gramEnd"/>
      <w:r w:rsidRPr="003773CD">
        <w:rPr>
          <w:bCs/>
          <w:color w:val="000000" w:themeColor="text1"/>
        </w:rPr>
        <w:t>-</w:t>
      </w:r>
      <w:r w:rsidR="007B29E7">
        <w:rPr>
          <w:bCs/>
          <w:color w:val="000000" w:themeColor="text1"/>
        </w:rPr>
        <w:t>4</w:t>
      </w:r>
      <w:r w:rsidRPr="003773CD">
        <w:rPr>
          <w:bCs/>
          <w:color w:val="000000" w:themeColor="text1"/>
        </w:rPr>
        <w:t>27.</w:t>
      </w:r>
    </w:p>
    <w:p w14:paraId="2C94247D" w14:textId="45BCAC97" w:rsidR="00155DD4" w:rsidRPr="003773CD" w:rsidRDefault="00155DD4" w:rsidP="000F446E">
      <w:pPr>
        <w:rPr>
          <w:bCs/>
          <w:color w:val="000000" w:themeColor="text1"/>
        </w:rPr>
      </w:pPr>
      <w:r w:rsidRPr="003773CD">
        <w:rPr>
          <w:bCs/>
          <w:color w:val="000000" w:themeColor="text1"/>
        </w:rPr>
        <w:t xml:space="preserve">37. </w:t>
      </w:r>
      <w:proofErr w:type="spellStart"/>
      <w:r w:rsidRPr="003773CD">
        <w:rPr>
          <w:bCs/>
          <w:color w:val="000000" w:themeColor="text1"/>
        </w:rPr>
        <w:t>Coquelle</w:t>
      </w:r>
      <w:proofErr w:type="spellEnd"/>
      <w:r w:rsidRPr="003773CD">
        <w:rPr>
          <w:bCs/>
          <w:color w:val="000000" w:themeColor="text1"/>
        </w:rPr>
        <w:t xml:space="preserve"> A, et al. Expression of fragile sites triggers intrachromosomal mammalian gene </w:t>
      </w:r>
      <w:r w:rsidRPr="003773CD">
        <w:rPr>
          <w:bCs/>
          <w:color w:val="000000" w:themeColor="text1"/>
        </w:rPr>
        <w:lastRenderedPageBreak/>
        <w:t xml:space="preserve">amplification and sets boundaries to early amplicons. Cell. </w:t>
      </w:r>
      <w:proofErr w:type="gramStart"/>
      <w:r w:rsidRPr="003773CD">
        <w:rPr>
          <w:bCs/>
          <w:color w:val="000000" w:themeColor="text1"/>
        </w:rPr>
        <w:t>1997;89:215</w:t>
      </w:r>
      <w:proofErr w:type="gramEnd"/>
      <w:r w:rsidRPr="003773CD">
        <w:rPr>
          <w:bCs/>
          <w:color w:val="000000" w:themeColor="text1"/>
        </w:rPr>
        <w:t>-</w:t>
      </w:r>
      <w:r w:rsidR="007B29E7">
        <w:rPr>
          <w:bCs/>
          <w:color w:val="000000" w:themeColor="text1"/>
        </w:rPr>
        <w:t>2</w:t>
      </w:r>
      <w:r w:rsidRPr="003773CD">
        <w:rPr>
          <w:bCs/>
          <w:color w:val="000000" w:themeColor="text1"/>
        </w:rPr>
        <w:t>25.</w:t>
      </w:r>
    </w:p>
    <w:p w14:paraId="5C6F7A97" w14:textId="45B8ACCF" w:rsidR="00155DD4" w:rsidRPr="003773CD" w:rsidRDefault="00155DD4" w:rsidP="000F446E">
      <w:pPr>
        <w:rPr>
          <w:bCs/>
          <w:color w:val="000000" w:themeColor="text1"/>
        </w:rPr>
      </w:pPr>
      <w:r w:rsidRPr="003773CD">
        <w:rPr>
          <w:bCs/>
          <w:color w:val="000000" w:themeColor="text1"/>
        </w:rPr>
        <w:t xml:space="preserve">38. </w:t>
      </w:r>
      <w:proofErr w:type="spellStart"/>
      <w:r w:rsidRPr="003773CD">
        <w:rPr>
          <w:bCs/>
          <w:color w:val="000000" w:themeColor="text1"/>
        </w:rPr>
        <w:t>Coquelle</w:t>
      </w:r>
      <w:proofErr w:type="spellEnd"/>
      <w:r w:rsidRPr="003773CD">
        <w:rPr>
          <w:bCs/>
          <w:color w:val="000000" w:themeColor="text1"/>
        </w:rPr>
        <w:t xml:space="preserve"> A, et al. A new role for hypoxia in tumor progression: Induction of fragile site triggering genomic rearrangements and formation of complex double minutes and homogeneously staining regions. Mol Cell. </w:t>
      </w:r>
      <w:proofErr w:type="gramStart"/>
      <w:r w:rsidRPr="003773CD">
        <w:rPr>
          <w:bCs/>
          <w:color w:val="000000" w:themeColor="text1"/>
        </w:rPr>
        <w:t>1998;2:259</w:t>
      </w:r>
      <w:proofErr w:type="gramEnd"/>
      <w:r w:rsidRPr="003773CD">
        <w:rPr>
          <w:bCs/>
          <w:color w:val="000000" w:themeColor="text1"/>
        </w:rPr>
        <w:t>-</w:t>
      </w:r>
      <w:r w:rsidR="007B29E7">
        <w:rPr>
          <w:bCs/>
          <w:color w:val="000000" w:themeColor="text1"/>
        </w:rPr>
        <w:t>2</w:t>
      </w:r>
      <w:r w:rsidRPr="003773CD">
        <w:rPr>
          <w:bCs/>
          <w:color w:val="000000" w:themeColor="text1"/>
        </w:rPr>
        <w:t>65.</w:t>
      </w:r>
    </w:p>
    <w:p w14:paraId="268B031E" w14:textId="65978BB8" w:rsidR="00155DD4" w:rsidRPr="003773CD" w:rsidRDefault="00155DD4" w:rsidP="000F446E">
      <w:pPr>
        <w:rPr>
          <w:bCs/>
          <w:color w:val="000000" w:themeColor="text1"/>
        </w:rPr>
      </w:pPr>
      <w:r w:rsidRPr="003773CD">
        <w:rPr>
          <w:bCs/>
          <w:color w:val="000000" w:themeColor="text1"/>
        </w:rPr>
        <w:t>39. Mandahl N, Mertens F, Mitelman F. Gene amplification in neoplasia: A cytogenetic survey of 80,131 cases. Genes Chromosomes Cancer. 2024;</w:t>
      </w:r>
      <w:proofErr w:type="gramStart"/>
      <w:r w:rsidRPr="003773CD">
        <w:rPr>
          <w:bCs/>
          <w:color w:val="000000" w:themeColor="text1"/>
        </w:rPr>
        <w:t>63:e</w:t>
      </w:r>
      <w:proofErr w:type="gramEnd"/>
      <w:r w:rsidRPr="003773CD">
        <w:rPr>
          <w:bCs/>
          <w:color w:val="000000" w:themeColor="text1"/>
        </w:rPr>
        <w:t>23214.</w:t>
      </w:r>
    </w:p>
    <w:p w14:paraId="1FD211A9" w14:textId="65BE7005" w:rsidR="00155DD4" w:rsidRPr="003773CD" w:rsidRDefault="00155DD4" w:rsidP="000F446E">
      <w:pPr>
        <w:rPr>
          <w:bCs/>
          <w:color w:val="000000" w:themeColor="text1"/>
        </w:rPr>
      </w:pPr>
      <w:r w:rsidRPr="003773CD">
        <w:rPr>
          <w:bCs/>
          <w:color w:val="000000" w:themeColor="text1"/>
        </w:rPr>
        <w:t xml:space="preserve">40. </w:t>
      </w:r>
      <w:proofErr w:type="spellStart"/>
      <w:r w:rsidRPr="003773CD">
        <w:rPr>
          <w:bCs/>
          <w:color w:val="000000" w:themeColor="text1"/>
        </w:rPr>
        <w:t>Roepman</w:t>
      </w:r>
      <w:proofErr w:type="spellEnd"/>
      <w:r w:rsidRPr="003773CD">
        <w:rPr>
          <w:bCs/>
          <w:color w:val="000000" w:themeColor="text1"/>
        </w:rPr>
        <w:t xml:space="preserve"> P, et al. Clinical validation of whole genome sequencing for cancer diagnostics. J Mol </w:t>
      </w:r>
      <w:proofErr w:type="spellStart"/>
      <w:r w:rsidRPr="003773CD">
        <w:rPr>
          <w:bCs/>
          <w:color w:val="000000" w:themeColor="text1"/>
        </w:rPr>
        <w:t>Diagn</w:t>
      </w:r>
      <w:proofErr w:type="spellEnd"/>
      <w:r w:rsidRPr="003773CD">
        <w:rPr>
          <w:bCs/>
          <w:color w:val="000000" w:themeColor="text1"/>
        </w:rPr>
        <w:t xml:space="preserve">. </w:t>
      </w:r>
      <w:proofErr w:type="gramStart"/>
      <w:r w:rsidRPr="003773CD">
        <w:rPr>
          <w:bCs/>
          <w:color w:val="000000" w:themeColor="text1"/>
        </w:rPr>
        <w:t>2021;23:816</w:t>
      </w:r>
      <w:proofErr w:type="gramEnd"/>
      <w:r w:rsidRPr="003773CD">
        <w:rPr>
          <w:bCs/>
          <w:color w:val="000000" w:themeColor="text1"/>
        </w:rPr>
        <w:t>-</w:t>
      </w:r>
      <w:r w:rsidR="007B29E7">
        <w:rPr>
          <w:bCs/>
          <w:color w:val="000000" w:themeColor="text1"/>
        </w:rPr>
        <w:t>8</w:t>
      </w:r>
      <w:r w:rsidRPr="003773CD">
        <w:rPr>
          <w:bCs/>
          <w:color w:val="000000" w:themeColor="text1"/>
        </w:rPr>
        <w:t>33.</w:t>
      </w:r>
    </w:p>
    <w:p w14:paraId="60DFC6D8" w14:textId="6A774D0C" w:rsidR="00155DD4" w:rsidRPr="003773CD" w:rsidRDefault="00155DD4" w:rsidP="000F446E">
      <w:pPr>
        <w:rPr>
          <w:bCs/>
          <w:color w:val="000000" w:themeColor="text1"/>
        </w:rPr>
      </w:pPr>
      <w:r w:rsidRPr="003773CD">
        <w:rPr>
          <w:bCs/>
          <w:color w:val="000000" w:themeColor="text1"/>
        </w:rPr>
        <w:t xml:space="preserve">41. Ho SS, Urban AE, Mills RE. Structural variation in the sequencing era. Nat Rev Genet. </w:t>
      </w:r>
      <w:proofErr w:type="gramStart"/>
      <w:r w:rsidRPr="003773CD">
        <w:rPr>
          <w:bCs/>
          <w:color w:val="000000" w:themeColor="text1"/>
        </w:rPr>
        <w:t>2020;21:171</w:t>
      </w:r>
      <w:proofErr w:type="gramEnd"/>
      <w:r w:rsidRPr="003773CD">
        <w:rPr>
          <w:bCs/>
          <w:color w:val="000000" w:themeColor="text1"/>
        </w:rPr>
        <w:t>-</w:t>
      </w:r>
      <w:r w:rsidR="007B29E7">
        <w:rPr>
          <w:bCs/>
          <w:color w:val="000000" w:themeColor="text1"/>
        </w:rPr>
        <w:t>1</w:t>
      </w:r>
      <w:r w:rsidRPr="003773CD">
        <w:rPr>
          <w:bCs/>
          <w:color w:val="000000" w:themeColor="text1"/>
        </w:rPr>
        <w:t>89.</w:t>
      </w:r>
    </w:p>
    <w:p w14:paraId="2FE7542C" w14:textId="7DCBA9D0" w:rsidR="00155DD4" w:rsidRPr="003773CD" w:rsidRDefault="00155DD4" w:rsidP="000F446E">
      <w:pPr>
        <w:rPr>
          <w:bCs/>
          <w:color w:val="000000" w:themeColor="text1"/>
        </w:rPr>
      </w:pPr>
      <w:r w:rsidRPr="003773CD">
        <w:rPr>
          <w:bCs/>
          <w:color w:val="000000" w:themeColor="text1"/>
        </w:rPr>
        <w:t xml:space="preserve">42. Rajkumar U, et al. </w:t>
      </w:r>
      <w:proofErr w:type="spellStart"/>
      <w:r w:rsidRPr="003773CD">
        <w:rPr>
          <w:bCs/>
          <w:color w:val="000000" w:themeColor="text1"/>
        </w:rPr>
        <w:t>EcSeg</w:t>
      </w:r>
      <w:proofErr w:type="spellEnd"/>
      <w:r w:rsidRPr="003773CD">
        <w:rPr>
          <w:bCs/>
          <w:color w:val="000000" w:themeColor="text1"/>
        </w:rPr>
        <w:t xml:space="preserve">: Semantic segmentation of metaphase images containing extrachromosomal DNA. </w:t>
      </w:r>
      <w:proofErr w:type="spellStart"/>
      <w:r w:rsidRPr="003773CD">
        <w:rPr>
          <w:bCs/>
          <w:color w:val="000000" w:themeColor="text1"/>
        </w:rPr>
        <w:t>iScience</w:t>
      </w:r>
      <w:proofErr w:type="spellEnd"/>
      <w:r w:rsidRPr="003773CD">
        <w:rPr>
          <w:bCs/>
          <w:color w:val="000000" w:themeColor="text1"/>
        </w:rPr>
        <w:t xml:space="preserve">. </w:t>
      </w:r>
      <w:proofErr w:type="gramStart"/>
      <w:r w:rsidRPr="003773CD">
        <w:rPr>
          <w:bCs/>
          <w:color w:val="000000" w:themeColor="text1"/>
        </w:rPr>
        <w:t>2019;21:428</w:t>
      </w:r>
      <w:proofErr w:type="gramEnd"/>
      <w:r w:rsidRPr="003773CD">
        <w:rPr>
          <w:bCs/>
          <w:color w:val="000000" w:themeColor="text1"/>
        </w:rPr>
        <w:t>-</w:t>
      </w:r>
      <w:r w:rsidR="007B29E7">
        <w:rPr>
          <w:bCs/>
          <w:color w:val="000000" w:themeColor="text1"/>
        </w:rPr>
        <w:t>4</w:t>
      </w:r>
      <w:r w:rsidRPr="003773CD">
        <w:rPr>
          <w:bCs/>
          <w:color w:val="000000" w:themeColor="text1"/>
        </w:rPr>
        <w:t>35.</w:t>
      </w:r>
    </w:p>
    <w:p w14:paraId="66960697" w14:textId="33FFC5D9" w:rsidR="00155DD4" w:rsidRPr="003773CD" w:rsidRDefault="00155DD4" w:rsidP="000F446E">
      <w:pPr>
        <w:rPr>
          <w:bCs/>
          <w:color w:val="000000" w:themeColor="text1"/>
        </w:rPr>
      </w:pPr>
      <w:r w:rsidRPr="003773CD">
        <w:rPr>
          <w:bCs/>
          <w:color w:val="000000" w:themeColor="text1"/>
        </w:rPr>
        <w:t xml:space="preserve">43. </w:t>
      </w:r>
      <w:proofErr w:type="spellStart"/>
      <w:r w:rsidRPr="003773CD">
        <w:rPr>
          <w:bCs/>
          <w:color w:val="000000" w:themeColor="text1"/>
        </w:rPr>
        <w:t>Purshouse</w:t>
      </w:r>
      <w:proofErr w:type="spellEnd"/>
      <w:r w:rsidRPr="003773CD">
        <w:rPr>
          <w:bCs/>
          <w:color w:val="000000" w:themeColor="text1"/>
        </w:rPr>
        <w:t xml:space="preserve"> K, Pollard SM, Bickmore WA. Imaging extrachromosomal DNA (</w:t>
      </w:r>
      <w:proofErr w:type="spellStart"/>
      <w:r w:rsidRPr="003773CD">
        <w:rPr>
          <w:bCs/>
          <w:color w:val="000000" w:themeColor="text1"/>
        </w:rPr>
        <w:t>ecDNA</w:t>
      </w:r>
      <w:proofErr w:type="spellEnd"/>
      <w:r w:rsidRPr="003773CD">
        <w:rPr>
          <w:bCs/>
          <w:color w:val="000000" w:themeColor="text1"/>
        </w:rPr>
        <w:t xml:space="preserve">) in cancer. </w:t>
      </w:r>
      <w:proofErr w:type="spellStart"/>
      <w:r w:rsidRPr="003773CD">
        <w:rPr>
          <w:bCs/>
          <w:color w:val="000000" w:themeColor="text1"/>
        </w:rPr>
        <w:t>Histochem</w:t>
      </w:r>
      <w:proofErr w:type="spellEnd"/>
      <w:r w:rsidRPr="003773CD">
        <w:rPr>
          <w:bCs/>
          <w:color w:val="000000" w:themeColor="text1"/>
        </w:rPr>
        <w:t xml:space="preserve"> Cell Biol. </w:t>
      </w:r>
      <w:proofErr w:type="gramStart"/>
      <w:r w:rsidRPr="003773CD">
        <w:rPr>
          <w:bCs/>
          <w:color w:val="000000" w:themeColor="text1"/>
        </w:rPr>
        <w:t>2024;162:53</w:t>
      </w:r>
      <w:proofErr w:type="gramEnd"/>
      <w:r w:rsidRPr="003773CD">
        <w:rPr>
          <w:bCs/>
          <w:color w:val="000000" w:themeColor="text1"/>
        </w:rPr>
        <w:t>-64.</w:t>
      </w:r>
    </w:p>
    <w:p w14:paraId="03C9E18E" w14:textId="664F1145" w:rsidR="00155DD4" w:rsidRPr="003773CD" w:rsidRDefault="00155DD4" w:rsidP="000F446E">
      <w:pPr>
        <w:rPr>
          <w:bCs/>
          <w:color w:val="000000" w:themeColor="text1"/>
        </w:rPr>
      </w:pPr>
      <w:r w:rsidRPr="003773CD">
        <w:rPr>
          <w:bCs/>
          <w:color w:val="000000" w:themeColor="text1"/>
        </w:rPr>
        <w:t>44. Shapiro DN, et al. Detection of N-</w:t>
      </w:r>
      <w:proofErr w:type="spellStart"/>
      <w:r w:rsidRPr="003773CD">
        <w:rPr>
          <w:bCs/>
          <w:color w:val="000000" w:themeColor="text1"/>
        </w:rPr>
        <w:t>myc</w:t>
      </w:r>
      <w:proofErr w:type="spellEnd"/>
      <w:r w:rsidRPr="003773CD">
        <w:rPr>
          <w:bCs/>
          <w:color w:val="000000" w:themeColor="text1"/>
        </w:rPr>
        <w:t xml:space="preserve"> gene amplification by fluorescence in situ hybridization: Diagnostic utility for neuroblastoma. Am J </w:t>
      </w:r>
      <w:proofErr w:type="spellStart"/>
      <w:r w:rsidRPr="003773CD">
        <w:rPr>
          <w:bCs/>
          <w:color w:val="000000" w:themeColor="text1"/>
        </w:rPr>
        <w:t>Pathol</w:t>
      </w:r>
      <w:proofErr w:type="spellEnd"/>
      <w:r w:rsidRPr="003773CD">
        <w:rPr>
          <w:bCs/>
          <w:color w:val="000000" w:themeColor="text1"/>
        </w:rPr>
        <w:t xml:space="preserve">. </w:t>
      </w:r>
      <w:proofErr w:type="gramStart"/>
      <w:r w:rsidRPr="003773CD">
        <w:rPr>
          <w:bCs/>
          <w:color w:val="000000" w:themeColor="text1"/>
        </w:rPr>
        <w:t>1993;142:1339</w:t>
      </w:r>
      <w:proofErr w:type="gramEnd"/>
      <w:r w:rsidRPr="003773CD">
        <w:rPr>
          <w:bCs/>
          <w:color w:val="000000" w:themeColor="text1"/>
        </w:rPr>
        <w:t>-</w:t>
      </w:r>
      <w:r w:rsidR="003D2F4E">
        <w:rPr>
          <w:bCs/>
          <w:color w:val="000000" w:themeColor="text1"/>
        </w:rPr>
        <w:t>13</w:t>
      </w:r>
      <w:r w:rsidRPr="003773CD">
        <w:rPr>
          <w:bCs/>
          <w:color w:val="000000" w:themeColor="text1"/>
        </w:rPr>
        <w:t>46.</w:t>
      </w:r>
    </w:p>
    <w:p w14:paraId="655C2E94" w14:textId="5A2145AF" w:rsidR="00155DD4" w:rsidRPr="003773CD" w:rsidRDefault="00155DD4" w:rsidP="000F446E">
      <w:pPr>
        <w:rPr>
          <w:bCs/>
          <w:color w:val="000000" w:themeColor="text1"/>
        </w:rPr>
      </w:pPr>
      <w:r w:rsidRPr="003773CD">
        <w:rPr>
          <w:bCs/>
          <w:color w:val="000000" w:themeColor="text1"/>
        </w:rPr>
        <w:t xml:space="preserve">45. </w:t>
      </w:r>
      <w:proofErr w:type="spellStart"/>
      <w:r w:rsidRPr="003773CD">
        <w:rPr>
          <w:bCs/>
          <w:color w:val="000000" w:themeColor="text1"/>
        </w:rPr>
        <w:t>Krupina</w:t>
      </w:r>
      <w:proofErr w:type="spellEnd"/>
      <w:r w:rsidRPr="003773CD">
        <w:rPr>
          <w:bCs/>
          <w:color w:val="000000" w:themeColor="text1"/>
        </w:rPr>
        <w:t xml:space="preserve"> K, et al. </w:t>
      </w:r>
      <w:proofErr w:type="spellStart"/>
      <w:r w:rsidRPr="003773CD">
        <w:rPr>
          <w:bCs/>
          <w:color w:val="000000" w:themeColor="text1"/>
        </w:rPr>
        <w:t>Chromothripsis</w:t>
      </w:r>
      <w:proofErr w:type="spellEnd"/>
      <w:r w:rsidRPr="003773CD">
        <w:rPr>
          <w:bCs/>
          <w:color w:val="000000" w:themeColor="text1"/>
        </w:rPr>
        <w:t xml:space="preserve"> and </w:t>
      </w:r>
      <w:proofErr w:type="spellStart"/>
      <w:r w:rsidRPr="003773CD">
        <w:rPr>
          <w:bCs/>
          <w:color w:val="000000" w:themeColor="text1"/>
        </w:rPr>
        <w:t>ecDNA</w:t>
      </w:r>
      <w:proofErr w:type="spellEnd"/>
      <w:r w:rsidRPr="003773CD">
        <w:rPr>
          <w:bCs/>
          <w:color w:val="000000" w:themeColor="text1"/>
        </w:rPr>
        <w:t xml:space="preserve"> initiated by N4BP2 nuclease fragmentation of cytoplasm-exposed chromosomes. Science. </w:t>
      </w:r>
      <w:proofErr w:type="gramStart"/>
      <w:r w:rsidRPr="003773CD">
        <w:rPr>
          <w:bCs/>
          <w:color w:val="000000" w:themeColor="text1"/>
        </w:rPr>
        <w:t>2025;390:1156</w:t>
      </w:r>
      <w:proofErr w:type="gramEnd"/>
      <w:r w:rsidRPr="003773CD">
        <w:rPr>
          <w:bCs/>
          <w:color w:val="000000" w:themeColor="text1"/>
        </w:rPr>
        <w:t>-</w:t>
      </w:r>
      <w:r w:rsidR="003D2F4E">
        <w:rPr>
          <w:bCs/>
          <w:color w:val="000000" w:themeColor="text1"/>
        </w:rPr>
        <w:t>11</w:t>
      </w:r>
      <w:r w:rsidRPr="003773CD">
        <w:rPr>
          <w:bCs/>
          <w:color w:val="000000" w:themeColor="text1"/>
        </w:rPr>
        <w:t>63.</w:t>
      </w:r>
    </w:p>
    <w:p w14:paraId="209C6534" w14:textId="0C0FB485" w:rsidR="00155DD4" w:rsidRPr="003773CD" w:rsidRDefault="00155DD4" w:rsidP="000F446E">
      <w:pPr>
        <w:rPr>
          <w:bCs/>
          <w:color w:val="000000" w:themeColor="text1"/>
        </w:rPr>
      </w:pPr>
      <w:r w:rsidRPr="003773CD">
        <w:rPr>
          <w:bCs/>
          <w:color w:val="000000" w:themeColor="text1"/>
        </w:rPr>
        <w:t xml:space="preserve">46. Trask BJ, Hamlin JL. Early dihydrofolate reductase gene amplification events in CHO cells usually occur on the same chromosome arm as the original locus. Genes Dev. </w:t>
      </w:r>
      <w:proofErr w:type="gramStart"/>
      <w:r w:rsidRPr="003773CD">
        <w:rPr>
          <w:bCs/>
          <w:color w:val="000000" w:themeColor="text1"/>
        </w:rPr>
        <w:t>1989;3:1913</w:t>
      </w:r>
      <w:proofErr w:type="gramEnd"/>
      <w:r w:rsidRPr="003773CD">
        <w:rPr>
          <w:bCs/>
          <w:color w:val="000000" w:themeColor="text1"/>
        </w:rPr>
        <w:t>-</w:t>
      </w:r>
      <w:r w:rsidR="003D2F4E">
        <w:rPr>
          <w:bCs/>
          <w:color w:val="000000" w:themeColor="text1"/>
        </w:rPr>
        <w:t>19</w:t>
      </w:r>
      <w:r w:rsidRPr="003773CD">
        <w:rPr>
          <w:bCs/>
          <w:color w:val="000000" w:themeColor="text1"/>
        </w:rPr>
        <w:t>25.</w:t>
      </w:r>
    </w:p>
    <w:p w14:paraId="6DB0405D" w14:textId="65246B6E" w:rsidR="00155DD4" w:rsidRPr="003773CD" w:rsidRDefault="00155DD4" w:rsidP="000F446E">
      <w:pPr>
        <w:rPr>
          <w:bCs/>
          <w:color w:val="000000" w:themeColor="text1"/>
        </w:rPr>
      </w:pPr>
      <w:r w:rsidRPr="003773CD">
        <w:rPr>
          <w:bCs/>
          <w:color w:val="000000" w:themeColor="text1"/>
        </w:rPr>
        <w:t xml:space="preserve">47. Biedler JL, Spengler BA. A novel chromosome abnormality in human neuroblastoma and antifolate-resistant Chinese hamster cell lines in culture. J Natl Cancer Inst. </w:t>
      </w:r>
      <w:proofErr w:type="gramStart"/>
      <w:r w:rsidRPr="003773CD">
        <w:rPr>
          <w:bCs/>
          <w:color w:val="000000" w:themeColor="text1"/>
        </w:rPr>
        <w:t>1976;57:683</w:t>
      </w:r>
      <w:proofErr w:type="gramEnd"/>
      <w:r w:rsidRPr="003773CD">
        <w:rPr>
          <w:bCs/>
          <w:color w:val="000000" w:themeColor="text1"/>
        </w:rPr>
        <w:t>-</w:t>
      </w:r>
      <w:r w:rsidR="003D2F4E">
        <w:rPr>
          <w:bCs/>
          <w:color w:val="000000" w:themeColor="text1"/>
        </w:rPr>
        <w:t>6</w:t>
      </w:r>
      <w:r w:rsidRPr="003773CD">
        <w:rPr>
          <w:bCs/>
          <w:color w:val="000000" w:themeColor="text1"/>
        </w:rPr>
        <w:t>95.</w:t>
      </w:r>
    </w:p>
    <w:p w14:paraId="6ED63429" w14:textId="44EA6740" w:rsidR="00155DD4" w:rsidRPr="003773CD" w:rsidRDefault="00155DD4" w:rsidP="000F446E">
      <w:pPr>
        <w:rPr>
          <w:bCs/>
          <w:color w:val="000000" w:themeColor="text1"/>
        </w:rPr>
      </w:pPr>
      <w:r w:rsidRPr="003773CD">
        <w:rPr>
          <w:bCs/>
          <w:color w:val="000000" w:themeColor="text1"/>
        </w:rPr>
        <w:t xml:space="preserve">48. Nunberg JH, Kaufman RJ, Schimke RT, Urlaub G. Amplified dihydrofolate reductase genes are localized to a homogeneously staining region of a single chromosome in a methotrexate-resistant Chinese hamster ovary cell line. Proc Natl Acad Sci U S A. </w:t>
      </w:r>
      <w:proofErr w:type="gramStart"/>
      <w:r w:rsidRPr="003773CD">
        <w:rPr>
          <w:bCs/>
          <w:color w:val="000000" w:themeColor="text1"/>
        </w:rPr>
        <w:t>1978;75:5553</w:t>
      </w:r>
      <w:proofErr w:type="gramEnd"/>
      <w:r w:rsidRPr="003773CD">
        <w:rPr>
          <w:bCs/>
          <w:color w:val="000000" w:themeColor="text1"/>
        </w:rPr>
        <w:t>-</w:t>
      </w:r>
      <w:r w:rsidR="003D2F4E">
        <w:rPr>
          <w:bCs/>
          <w:color w:val="000000" w:themeColor="text1"/>
        </w:rPr>
        <w:t>555</w:t>
      </w:r>
      <w:r w:rsidRPr="003773CD">
        <w:rPr>
          <w:bCs/>
          <w:color w:val="000000" w:themeColor="text1"/>
        </w:rPr>
        <w:t>6.</w:t>
      </w:r>
    </w:p>
    <w:p w14:paraId="3B3062A1" w14:textId="3413A857" w:rsidR="00155DD4" w:rsidRPr="003773CD" w:rsidRDefault="00155DD4" w:rsidP="000F446E">
      <w:pPr>
        <w:rPr>
          <w:bCs/>
          <w:color w:val="000000" w:themeColor="text1"/>
        </w:rPr>
      </w:pPr>
      <w:r w:rsidRPr="003773CD">
        <w:rPr>
          <w:bCs/>
          <w:color w:val="000000" w:themeColor="text1"/>
        </w:rPr>
        <w:t xml:space="preserve">49. Gapski GR, et al. Synthesis of a fluorescent derivative of amethopterin. J Med Chem. </w:t>
      </w:r>
      <w:proofErr w:type="gramStart"/>
      <w:r w:rsidRPr="003773CD">
        <w:rPr>
          <w:bCs/>
          <w:color w:val="000000" w:themeColor="text1"/>
        </w:rPr>
        <w:t>1975;18:526</w:t>
      </w:r>
      <w:proofErr w:type="gramEnd"/>
      <w:r w:rsidRPr="003773CD">
        <w:rPr>
          <w:bCs/>
          <w:color w:val="000000" w:themeColor="text1"/>
        </w:rPr>
        <w:t>-</w:t>
      </w:r>
      <w:r w:rsidR="003D2F4E">
        <w:rPr>
          <w:bCs/>
          <w:color w:val="000000" w:themeColor="text1"/>
        </w:rPr>
        <w:t>52</w:t>
      </w:r>
      <w:r w:rsidRPr="003773CD">
        <w:rPr>
          <w:bCs/>
          <w:color w:val="000000" w:themeColor="text1"/>
        </w:rPr>
        <w:t>8.</w:t>
      </w:r>
    </w:p>
    <w:p w14:paraId="457F3ABA" w14:textId="0BC5AA13" w:rsidR="00155DD4" w:rsidRPr="003773CD" w:rsidRDefault="00155DD4" w:rsidP="000F446E">
      <w:pPr>
        <w:rPr>
          <w:bCs/>
          <w:color w:val="000000" w:themeColor="text1"/>
        </w:rPr>
      </w:pPr>
      <w:r w:rsidRPr="003773CD">
        <w:rPr>
          <w:bCs/>
          <w:color w:val="000000" w:themeColor="text1"/>
        </w:rPr>
        <w:t>50. Verma RS, Babu A. Tissue culture techniques and chromosome preparation. In: Human Chromosomes: Manual of Basic Techniques. Pergamon Press; 1989. p. 4-45.</w:t>
      </w:r>
    </w:p>
    <w:p w14:paraId="4BE00C9D" w14:textId="542B6E61" w:rsidR="00155DD4" w:rsidRPr="003773CD" w:rsidRDefault="00155DD4" w:rsidP="000F446E">
      <w:pPr>
        <w:rPr>
          <w:bCs/>
          <w:color w:val="000000" w:themeColor="text1"/>
        </w:rPr>
      </w:pPr>
      <w:r w:rsidRPr="003773CD">
        <w:rPr>
          <w:bCs/>
          <w:color w:val="000000" w:themeColor="text1"/>
        </w:rPr>
        <w:t xml:space="preserve">51. Moorhead PS, et al. Chromosome preparations of leukocytes cultured from human peripheral blood. Exp Cell Res. </w:t>
      </w:r>
      <w:proofErr w:type="gramStart"/>
      <w:r w:rsidRPr="003773CD">
        <w:rPr>
          <w:bCs/>
          <w:color w:val="000000" w:themeColor="text1"/>
        </w:rPr>
        <w:t>1960;20:613</w:t>
      </w:r>
      <w:proofErr w:type="gramEnd"/>
      <w:r w:rsidR="00593F07">
        <w:rPr>
          <w:bCs/>
          <w:color w:val="000000" w:themeColor="text1"/>
        </w:rPr>
        <w:t>-616</w:t>
      </w:r>
      <w:r w:rsidRPr="003773CD">
        <w:rPr>
          <w:bCs/>
          <w:color w:val="000000" w:themeColor="text1"/>
        </w:rPr>
        <w:t>.</w:t>
      </w:r>
    </w:p>
    <w:p w14:paraId="4ECC3F24" w14:textId="535EFE95" w:rsidR="00155DD4" w:rsidRPr="003773CD" w:rsidRDefault="00155DD4" w:rsidP="000F446E">
      <w:pPr>
        <w:rPr>
          <w:bCs/>
          <w:color w:val="000000" w:themeColor="text1"/>
        </w:rPr>
      </w:pPr>
      <w:r w:rsidRPr="003773CD">
        <w:rPr>
          <w:bCs/>
          <w:color w:val="000000" w:themeColor="text1"/>
        </w:rPr>
        <w:t xml:space="preserve">52. Ohara H, </w:t>
      </w:r>
      <w:proofErr w:type="spellStart"/>
      <w:r w:rsidRPr="003773CD">
        <w:rPr>
          <w:bCs/>
          <w:color w:val="000000" w:themeColor="text1"/>
        </w:rPr>
        <w:t>Terasima</w:t>
      </w:r>
      <w:proofErr w:type="spellEnd"/>
      <w:r w:rsidRPr="003773CD">
        <w:rPr>
          <w:bCs/>
          <w:color w:val="000000" w:themeColor="text1"/>
        </w:rPr>
        <w:t xml:space="preserve"> T. </w:t>
      </w:r>
      <w:proofErr w:type="spellStart"/>
      <w:r w:rsidRPr="003773CD">
        <w:rPr>
          <w:bCs/>
          <w:color w:val="000000" w:themeColor="text1"/>
        </w:rPr>
        <w:t>Colcemid</w:t>
      </w:r>
      <w:proofErr w:type="spellEnd"/>
      <w:r w:rsidRPr="003773CD">
        <w:rPr>
          <w:bCs/>
          <w:color w:val="000000" w:themeColor="text1"/>
        </w:rPr>
        <w:t xml:space="preserve"> effects on mitotic synchrony and synchronized cells. Cell Struct </w:t>
      </w:r>
      <w:proofErr w:type="spellStart"/>
      <w:r w:rsidRPr="003773CD">
        <w:rPr>
          <w:bCs/>
          <w:color w:val="000000" w:themeColor="text1"/>
        </w:rPr>
        <w:t>Funct</w:t>
      </w:r>
      <w:proofErr w:type="spellEnd"/>
      <w:r w:rsidRPr="003773CD">
        <w:rPr>
          <w:bCs/>
          <w:color w:val="000000" w:themeColor="text1"/>
        </w:rPr>
        <w:t xml:space="preserve">. </w:t>
      </w:r>
      <w:proofErr w:type="gramStart"/>
      <w:r w:rsidRPr="003773CD">
        <w:rPr>
          <w:bCs/>
          <w:color w:val="000000" w:themeColor="text1"/>
        </w:rPr>
        <w:t>1976;1:187</w:t>
      </w:r>
      <w:proofErr w:type="gramEnd"/>
      <w:r w:rsidRPr="003773CD">
        <w:rPr>
          <w:bCs/>
          <w:color w:val="000000" w:themeColor="text1"/>
        </w:rPr>
        <w:t>-</w:t>
      </w:r>
      <w:r w:rsidR="00067001">
        <w:rPr>
          <w:bCs/>
          <w:color w:val="000000" w:themeColor="text1"/>
        </w:rPr>
        <w:t>1</w:t>
      </w:r>
      <w:r w:rsidRPr="003773CD">
        <w:rPr>
          <w:bCs/>
          <w:color w:val="000000" w:themeColor="text1"/>
        </w:rPr>
        <w:t>95.</w:t>
      </w:r>
    </w:p>
    <w:p w14:paraId="4E9D54C9" w14:textId="35D75089" w:rsidR="00155DD4" w:rsidRPr="003773CD" w:rsidRDefault="00155DD4" w:rsidP="000F446E">
      <w:pPr>
        <w:rPr>
          <w:bCs/>
          <w:color w:val="000000" w:themeColor="text1"/>
        </w:rPr>
      </w:pPr>
      <w:r w:rsidRPr="003773CD">
        <w:rPr>
          <w:bCs/>
          <w:color w:val="000000" w:themeColor="text1"/>
        </w:rPr>
        <w:t xml:space="preserve">53. Kaufman RJ, Brown PC, Schimke RT. Loss and stabilization of amplified dihydrofolate reductase genes in mouse sarcoma S-180 cell lines. Mol Cell Biol. </w:t>
      </w:r>
      <w:proofErr w:type="gramStart"/>
      <w:r w:rsidRPr="003773CD">
        <w:rPr>
          <w:bCs/>
          <w:color w:val="000000" w:themeColor="text1"/>
        </w:rPr>
        <w:t>1981;1:1084</w:t>
      </w:r>
      <w:proofErr w:type="gramEnd"/>
      <w:r w:rsidRPr="003773CD">
        <w:rPr>
          <w:bCs/>
          <w:color w:val="000000" w:themeColor="text1"/>
        </w:rPr>
        <w:t>-</w:t>
      </w:r>
      <w:r w:rsidR="00067001">
        <w:rPr>
          <w:bCs/>
          <w:color w:val="000000" w:themeColor="text1"/>
        </w:rPr>
        <w:t>10</w:t>
      </w:r>
      <w:r w:rsidRPr="003773CD">
        <w:rPr>
          <w:bCs/>
          <w:color w:val="000000" w:themeColor="text1"/>
        </w:rPr>
        <w:t>93.</w:t>
      </w:r>
    </w:p>
    <w:p w14:paraId="687DC613" w14:textId="40CC04D3" w:rsidR="00155DD4" w:rsidRPr="003773CD" w:rsidRDefault="00155DD4" w:rsidP="000F446E">
      <w:pPr>
        <w:rPr>
          <w:bCs/>
          <w:color w:val="000000" w:themeColor="text1"/>
        </w:rPr>
      </w:pPr>
      <w:r w:rsidRPr="003773CD">
        <w:rPr>
          <w:bCs/>
          <w:color w:val="000000" w:themeColor="text1"/>
        </w:rPr>
        <w:t xml:space="preserve">54. Marsden CG, Dragon JA, Wallace SS, Sweasy JB. Base excision repair variants in cancer. Methods </w:t>
      </w:r>
      <w:proofErr w:type="spellStart"/>
      <w:r w:rsidRPr="003773CD">
        <w:rPr>
          <w:bCs/>
          <w:color w:val="000000" w:themeColor="text1"/>
        </w:rPr>
        <w:t>Enzymol</w:t>
      </w:r>
      <w:proofErr w:type="spellEnd"/>
      <w:r w:rsidRPr="003773CD">
        <w:rPr>
          <w:bCs/>
          <w:color w:val="000000" w:themeColor="text1"/>
        </w:rPr>
        <w:t xml:space="preserve">. </w:t>
      </w:r>
      <w:proofErr w:type="gramStart"/>
      <w:r w:rsidRPr="003773CD">
        <w:rPr>
          <w:bCs/>
          <w:color w:val="000000" w:themeColor="text1"/>
        </w:rPr>
        <w:t>2017;591:119</w:t>
      </w:r>
      <w:proofErr w:type="gramEnd"/>
      <w:r w:rsidRPr="003773CD">
        <w:rPr>
          <w:bCs/>
          <w:color w:val="000000" w:themeColor="text1"/>
        </w:rPr>
        <w:t>-</w:t>
      </w:r>
      <w:r w:rsidR="00067001">
        <w:rPr>
          <w:bCs/>
          <w:color w:val="000000" w:themeColor="text1"/>
        </w:rPr>
        <w:t>1</w:t>
      </w:r>
      <w:r w:rsidRPr="003773CD">
        <w:rPr>
          <w:bCs/>
          <w:color w:val="000000" w:themeColor="text1"/>
        </w:rPr>
        <w:t>57.</w:t>
      </w:r>
    </w:p>
    <w:p w14:paraId="64C7243A" w14:textId="4A0775C2" w:rsidR="00155DD4" w:rsidRPr="003773CD" w:rsidRDefault="00155DD4" w:rsidP="000F446E">
      <w:pPr>
        <w:rPr>
          <w:bCs/>
          <w:color w:val="000000" w:themeColor="text1"/>
        </w:rPr>
      </w:pPr>
      <w:r w:rsidRPr="003773CD">
        <w:rPr>
          <w:bCs/>
          <w:color w:val="000000" w:themeColor="text1"/>
        </w:rPr>
        <w:t xml:space="preserve">55. Nichols A, et al. Chromosomal tethering and mitotic transcription promote </w:t>
      </w:r>
      <w:proofErr w:type="spellStart"/>
      <w:r w:rsidRPr="003773CD">
        <w:rPr>
          <w:bCs/>
          <w:color w:val="000000" w:themeColor="text1"/>
        </w:rPr>
        <w:t>ecDNA</w:t>
      </w:r>
      <w:proofErr w:type="spellEnd"/>
      <w:r w:rsidRPr="003773CD">
        <w:rPr>
          <w:bCs/>
          <w:color w:val="000000" w:themeColor="text1"/>
        </w:rPr>
        <w:t xml:space="preserve"> nuclear inheritance. Mol Cell. </w:t>
      </w:r>
      <w:proofErr w:type="gramStart"/>
      <w:r w:rsidRPr="003773CD">
        <w:rPr>
          <w:bCs/>
          <w:color w:val="000000" w:themeColor="text1"/>
        </w:rPr>
        <w:t>2025;85:2839</w:t>
      </w:r>
      <w:proofErr w:type="gramEnd"/>
      <w:r w:rsidRPr="003773CD">
        <w:rPr>
          <w:bCs/>
          <w:color w:val="000000" w:themeColor="text1"/>
        </w:rPr>
        <w:t>-2853.</w:t>
      </w:r>
      <w:r w:rsidR="00593F07" w:rsidRPr="00593F07">
        <w:rPr>
          <w:bCs/>
          <w:color w:val="000000" w:themeColor="text1"/>
        </w:rPr>
        <w:t>e8</w:t>
      </w:r>
      <w:r w:rsidR="00593F07">
        <w:rPr>
          <w:bCs/>
          <w:color w:val="000000" w:themeColor="text1"/>
        </w:rPr>
        <w:t>.</w:t>
      </w:r>
    </w:p>
    <w:p w14:paraId="29FA7973" w14:textId="0354AE8F" w:rsidR="00155DD4" w:rsidRPr="003773CD" w:rsidRDefault="00155DD4" w:rsidP="000F446E">
      <w:pPr>
        <w:rPr>
          <w:bCs/>
          <w:color w:val="000000" w:themeColor="text1"/>
        </w:rPr>
      </w:pPr>
      <w:r w:rsidRPr="003773CD">
        <w:rPr>
          <w:bCs/>
          <w:color w:val="000000" w:themeColor="text1"/>
        </w:rPr>
        <w:t xml:space="preserve">56. </w:t>
      </w:r>
      <w:proofErr w:type="spellStart"/>
      <w:r w:rsidRPr="003773CD">
        <w:rPr>
          <w:bCs/>
          <w:color w:val="000000" w:themeColor="text1"/>
        </w:rPr>
        <w:t>Henegariu</w:t>
      </w:r>
      <w:proofErr w:type="spellEnd"/>
      <w:r w:rsidRPr="003773CD">
        <w:rPr>
          <w:bCs/>
          <w:color w:val="000000" w:themeColor="text1"/>
        </w:rPr>
        <w:t xml:space="preserve"> O, et al. Improvements in cytogenetic slide preparation: Controlled chromosome spreading, chemical aging, and gradual denaturing. Cytometry. </w:t>
      </w:r>
      <w:proofErr w:type="gramStart"/>
      <w:r w:rsidRPr="003773CD">
        <w:rPr>
          <w:bCs/>
          <w:color w:val="000000" w:themeColor="text1"/>
        </w:rPr>
        <w:t>2001;43:101</w:t>
      </w:r>
      <w:proofErr w:type="gramEnd"/>
      <w:r w:rsidRPr="003773CD">
        <w:rPr>
          <w:bCs/>
          <w:color w:val="000000" w:themeColor="text1"/>
        </w:rPr>
        <w:t>-</w:t>
      </w:r>
      <w:r w:rsidR="00067001">
        <w:rPr>
          <w:bCs/>
          <w:color w:val="000000" w:themeColor="text1"/>
        </w:rPr>
        <w:t>10</w:t>
      </w:r>
      <w:r w:rsidRPr="003773CD">
        <w:rPr>
          <w:bCs/>
          <w:color w:val="000000" w:themeColor="text1"/>
        </w:rPr>
        <w:t>9.</w:t>
      </w:r>
    </w:p>
    <w:p w14:paraId="09120C45" w14:textId="27EBE5D7" w:rsidR="00155DD4" w:rsidRPr="003773CD" w:rsidRDefault="00155DD4" w:rsidP="000F446E">
      <w:pPr>
        <w:rPr>
          <w:bCs/>
          <w:color w:val="000000" w:themeColor="text1"/>
        </w:rPr>
      </w:pPr>
      <w:r w:rsidRPr="003773CD">
        <w:rPr>
          <w:bCs/>
          <w:color w:val="000000" w:themeColor="text1"/>
        </w:rPr>
        <w:t xml:space="preserve">57. Lichter P, et al. Delineation of individual human chromosomes in metaphase and interphase cells by in situ suppression hybridization using recombinant DNA libraries. Hum Genet. </w:t>
      </w:r>
      <w:proofErr w:type="gramStart"/>
      <w:r w:rsidRPr="003773CD">
        <w:rPr>
          <w:bCs/>
          <w:color w:val="000000" w:themeColor="text1"/>
        </w:rPr>
        <w:t>1988;80:224</w:t>
      </w:r>
      <w:proofErr w:type="gramEnd"/>
      <w:r w:rsidRPr="003773CD">
        <w:rPr>
          <w:bCs/>
          <w:color w:val="000000" w:themeColor="text1"/>
        </w:rPr>
        <w:t>-</w:t>
      </w:r>
      <w:r w:rsidR="00067001">
        <w:rPr>
          <w:bCs/>
          <w:color w:val="000000" w:themeColor="text1"/>
        </w:rPr>
        <w:t>2</w:t>
      </w:r>
      <w:r w:rsidRPr="003773CD">
        <w:rPr>
          <w:bCs/>
          <w:color w:val="000000" w:themeColor="text1"/>
        </w:rPr>
        <w:t>34.</w:t>
      </w:r>
    </w:p>
    <w:p w14:paraId="0C9BC527" w14:textId="0797C7F6" w:rsidR="00155DD4" w:rsidRPr="003773CD" w:rsidRDefault="00155DD4" w:rsidP="000F446E">
      <w:pPr>
        <w:rPr>
          <w:bCs/>
          <w:color w:val="000000" w:themeColor="text1"/>
        </w:rPr>
      </w:pPr>
      <w:r w:rsidRPr="003773CD">
        <w:rPr>
          <w:bCs/>
          <w:color w:val="000000" w:themeColor="text1"/>
        </w:rPr>
        <w:lastRenderedPageBreak/>
        <w:t xml:space="preserve">58. Pinkel D, et al. Fluorescence in situ hybridization with human chromosome-specific libraries: Detection of trisomy 21 and translocations of chromosome 4. Proc Natl Acad Sci U S A. </w:t>
      </w:r>
      <w:proofErr w:type="gramStart"/>
      <w:r w:rsidRPr="003773CD">
        <w:rPr>
          <w:bCs/>
          <w:color w:val="000000" w:themeColor="text1"/>
        </w:rPr>
        <w:t>1988;85:9138</w:t>
      </w:r>
      <w:proofErr w:type="gramEnd"/>
      <w:r w:rsidRPr="003773CD">
        <w:rPr>
          <w:bCs/>
          <w:color w:val="000000" w:themeColor="text1"/>
        </w:rPr>
        <w:t>-</w:t>
      </w:r>
      <w:r w:rsidR="00067001">
        <w:rPr>
          <w:bCs/>
          <w:color w:val="000000" w:themeColor="text1"/>
        </w:rPr>
        <w:t>91</w:t>
      </w:r>
      <w:r w:rsidRPr="003773CD">
        <w:rPr>
          <w:bCs/>
          <w:color w:val="000000" w:themeColor="text1"/>
        </w:rPr>
        <w:t>42.</w:t>
      </w:r>
    </w:p>
    <w:p w14:paraId="11099139" w14:textId="17CBB9BD" w:rsidR="00155DD4" w:rsidRPr="003773CD" w:rsidRDefault="00155DD4" w:rsidP="000F446E">
      <w:pPr>
        <w:rPr>
          <w:bCs/>
          <w:color w:val="000000" w:themeColor="text1"/>
        </w:rPr>
      </w:pPr>
      <w:r w:rsidRPr="003773CD">
        <w:rPr>
          <w:bCs/>
          <w:color w:val="000000" w:themeColor="text1"/>
        </w:rPr>
        <w:t xml:space="preserve">59. Sumner AT, Evans HJ, Buckland RA. New technique for distinguishing between human chromosomes. Nature New Biol. </w:t>
      </w:r>
      <w:proofErr w:type="gramStart"/>
      <w:r w:rsidRPr="003773CD">
        <w:rPr>
          <w:bCs/>
          <w:color w:val="000000" w:themeColor="text1"/>
        </w:rPr>
        <w:t>1971;232:31</w:t>
      </w:r>
      <w:proofErr w:type="gramEnd"/>
      <w:r w:rsidRPr="003773CD">
        <w:rPr>
          <w:bCs/>
          <w:color w:val="000000" w:themeColor="text1"/>
        </w:rPr>
        <w:t>-</w:t>
      </w:r>
      <w:r w:rsidR="00067001">
        <w:rPr>
          <w:bCs/>
          <w:color w:val="000000" w:themeColor="text1"/>
        </w:rPr>
        <w:t>3</w:t>
      </w:r>
      <w:r w:rsidRPr="003773CD">
        <w:rPr>
          <w:bCs/>
          <w:color w:val="000000" w:themeColor="text1"/>
        </w:rPr>
        <w:t>2.</w:t>
      </w:r>
    </w:p>
    <w:p w14:paraId="0AA0D92B" w14:textId="131A0D8B" w:rsidR="003773CD" w:rsidRPr="003773CD" w:rsidRDefault="00155DD4" w:rsidP="000F446E">
      <w:pPr>
        <w:rPr>
          <w:bCs/>
          <w:color w:val="000000" w:themeColor="text1"/>
        </w:rPr>
      </w:pPr>
      <w:r w:rsidRPr="003773CD">
        <w:rPr>
          <w:bCs/>
          <w:color w:val="000000" w:themeColor="text1"/>
        </w:rPr>
        <w:t xml:space="preserve">60. Howe B, Umrigar A, Tsien F. Chromosome preparation from cultured cells. J Vis Exp. </w:t>
      </w:r>
      <w:proofErr w:type="gramStart"/>
      <w:r w:rsidRPr="003773CD">
        <w:rPr>
          <w:bCs/>
          <w:color w:val="000000" w:themeColor="text1"/>
        </w:rPr>
        <w:t>2014;e</w:t>
      </w:r>
      <w:proofErr w:type="gramEnd"/>
      <w:r w:rsidRPr="003773CD">
        <w:rPr>
          <w:bCs/>
          <w:color w:val="000000" w:themeColor="text1"/>
        </w:rPr>
        <w:t>50203.</w:t>
      </w:r>
    </w:p>
    <w:p w14:paraId="4A4148E3" w14:textId="3A759477" w:rsidR="003773CD" w:rsidRPr="003773CD" w:rsidRDefault="003773CD" w:rsidP="000F446E">
      <w:pPr>
        <w:rPr>
          <w:bCs/>
          <w:color w:val="000000" w:themeColor="text1"/>
        </w:rPr>
      </w:pPr>
      <w:r w:rsidRPr="003773CD">
        <w:rPr>
          <w:bCs/>
          <w:color w:val="000000" w:themeColor="text1"/>
        </w:rPr>
        <w:t xml:space="preserve">61. Cavalli G, </w:t>
      </w:r>
      <w:proofErr w:type="spellStart"/>
      <w:r w:rsidRPr="003773CD">
        <w:rPr>
          <w:bCs/>
          <w:color w:val="000000" w:themeColor="text1"/>
        </w:rPr>
        <w:t>Misteli</w:t>
      </w:r>
      <w:proofErr w:type="spellEnd"/>
      <w:r w:rsidRPr="003773CD">
        <w:rPr>
          <w:bCs/>
          <w:color w:val="000000" w:themeColor="text1"/>
        </w:rPr>
        <w:t xml:space="preserve"> T. Functional implications of genome topology. Nat Struct Mol Biol. </w:t>
      </w:r>
      <w:proofErr w:type="gramStart"/>
      <w:r w:rsidRPr="003773CD">
        <w:rPr>
          <w:bCs/>
          <w:color w:val="000000" w:themeColor="text1"/>
        </w:rPr>
        <w:t>2013;20:290</w:t>
      </w:r>
      <w:proofErr w:type="gramEnd"/>
      <w:r w:rsidRPr="003773CD">
        <w:rPr>
          <w:bCs/>
          <w:color w:val="000000" w:themeColor="text1"/>
        </w:rPr>
        <w:t>-</w:t>
      </w:r>
      <w:r w:rsidR="00067001">
        <w:rPr>
          <w:bCs/>
          <w:color w:val="000000" w:themeColor="text1"/>
        </w:rPr>
        <w:t>29</w:t>
      </w:r>
      <w:r w:rsidRPr="003773CD">
        <w:rPr>
          <w:bCs/>
          <w:color w:val="000000" w:themeColor="text1"/>
        </w:rPr>
        <w:t>9.</w:t>
      </w:r>
    </w:p>
    <w:p w14:paraId="2A624EA5" w14:textId="35F4D71E" w:rsidR="003773CD" w:rsidRPr="003773CD" w:rsidRDefault="003773CD" w:rsidP="000F446E">
      <w:pPr>
        <w:rPr>
          <w:bCs/>
          <w:color w:val="000000" w:themeColor="text1"/>
        </w:rPr>
      </w:pPr>
      <w:r w:rsidRPr="003773CD">
        <w:rPr>
          <w:bCs/>
          <w:color w:val="000000" w:themeColor="text1"/>
        </w:rPr>
        <w:t xml:space="preserve">62. Kosak ST, </w:t>
      </w:r>
      <w:proofErr w:type="spellStart"/>
      <w:r w:rsidRPr="003773CD">
        <w:rPr>
          <w:bCs/>
          <w:color w:val="000000" w:themeColor="text1"/>
        </w:rPr>
        <w:t>Groudine</w:t>
      </w:r>
      <w:proofErr w:type="spellEnd"/>
      <w:r w:rsidRPr="003773CD">
        <w:rPr>
          <w:bCs/>
          <w:color w:val="000000" w:themeColor="text1"/>
        </w:rPr>
        <w:t xml:space="preserve"> M. Form follows function: The genomic organization of cellular differentiation. Genes Dev. </w:t>
      </w:r>
      <w:proofErr w:type="gramStart"/>
      <w:r w:rsidRPr="003773CD">
        <w:rPr>
          <w:bCs/>
          <w:color w:val="000000" w:themeColor="text1"/>
        </w:rPr>
        <w:t>2004;18:1371</w:t>
      </w:r>
      <w:proofErr w:type="gramEnd"/>
      <w:r w:rsidRPr="003773CD">
        <w:rPr>
          <w:bCs/>
          <w:color w:val="000000" w:themeColor="text1"/>
        </w:rPr>
        <w:t>-</w:t>
      </w:r>
      <w:r w:rsidR="00067001">
        <w:rPr>
          <w:bCs/>
          <w:color w:val="000000" w:themeColor="text1"/>
        </w:rPr>
        <w:t>13</w:t>
      </w:r>
      <w:r w:rsidRPr="003773CD">
        <w:rPr>
          <w:bCs/>
          <w:color w:val="000000" w:themeColor="text1"/>
        </w:rPr>
        <w:t>84.</w:t>
      </w:r>
    </w:p>
    <w:p w14:paraId="143B1F71" w14:textId="557696C4" w:rsidR="003773CD" w:rsidRPr="003773CD" w:rsidRDefault="003773CD" w:rsidP="000F446E">
      <w:pPr>
        <w:rPr>
          <w:bCs/>
          <w:color w:val="000000" w:themeColor="text1"/>
        </w:rPr>
      </w:pPr>
      <w:r w:rsidRPr="003773CD">
        <w:rPr>
          <w:bCs/>
          <w:color w:val="000000" w:themeColor="text1"/>
        </w:rPr>
        <w:t xml:space="preserve">63. Sehgal P, Chaturvedi P. Chromatin and cancer: Implications of disrupted chromatin organization in tumorigenesis and its diversification. Cancers (Basel). </w:t>
      </w:r>
      <w:proofErr w:type="gramStart"/>
      <w:r w:rsidRPr="003773CD">
        <w:rPr>
          <w:bCs/>
          <w:color w:val="000000" w:themeColor="text1"/>
        </w:rPr>
        <w:t>2023;15:466</w:t>
      </w:r>
      <w:proofErr w:type="gramEnd"/>
      <w:r w:rsidRPr="003773CD">
        <w:rPr>
          <w:bCs/>
          <w:color w:val="000000" w:themeColor="text1"/>
        </w:rPr>
        <w:t>.</w:t>
      </w:r>
    </w:p>
    <w:p w14:paraId="03F48115" w14:textId="3CC1184D" w:rsidR="003773CD" w:rsidRPr="003773CD" w:rsidRDefault="003773CD" w:rsidP="000F446E">
      <w:pPr>
        <w:rPr>
          <w:bCs/>
          <w:color w:val="000000" w:themeColor="text1"/>
        </w:rPr>
      </w:pPr>
      <w:r w:rsidRPr="003773CD">
        <w:rPr>
          <w:bCs/>
          <w:color w:val="000000" w:themeColor="text1"/>
        </w:rPr>
        <w:t xml:space="preserve">64. </w:t>
      </w:r>
      <w:proofErr w:type="spellStart"/>
      <w:r w:rsidRPr="003773CD">
        <w:rPr>
          <w:bCs/>
          <w:color w:val="000000" w:themeColor="text1"/>
        </w:rPr>
        <w:t>Misteli</w:t>
      </w:r>
      <w:proofErr w:type="spellEnd"/>
      <w:r w:rsidRPr="003773CD">
        <w:rPr>
          <w:bCs/>
          <w:color w:val="000000" w:themeColor="text1"/>
        </w:rPr>
        <w:t xml:space="preserve"> T. Beyond the sequence: Cellular organization of genome function. Cell. </w:t>
      </w:r>
      <w:proofErr w:type="gramStart"/>
      <w:r w:rsidRPr="003773CD">
        <w:rPr>
          <w:bCs/>
          <w:color w:val="000000" w:themeColor="text1"/>
        </w:rPr>
        <w:t>2007;128:787</w:t>
      </w:r>
      <w:proofErr w:type="gramEnd"/>
      <w:r w:rsidRPr="003773CD">
        <w:rPr>
          <w:bCs/>
          <w:color w:val="000000" w:themeColor="text1"/>
        </w:rPr>
        <w:t>-800.</w:t>
      </w:r>
    </w:p>
    <w:p w14:paraId="25FD09F8" w14:textId="1FE1AE9B" w:rsidR="003773CD" w:rsidRPr="003773CD" w:rsidRDefault="003773CD" w:rsidP="000F446E">
      <w:pPr>
        <w:rPr>
          <w:bCs/>
          <w:color w:val="000000" w:themeColor="text1"/>
        </w:rPr>
      </w:pPr>
      <w:r w:rsidRPr="003773CD">
        <w:rPr>
          <w:bCs/>
          <w:color w:val="000000" w:themeColor="text1"/>
        </w:rPr>
        <w:t xml:space="preserve">65. Zhu Y, et al. Oncogenic extrachromosomal DNA functions as mobile enhancers to globally amplify chromosomal transcription. Cancer Cell. </w:t>
      </w:r>
      <w:proofErr w:type="gramStart"/>
      <w:r w:rsidRPr="003773CD">
        <w:rPr>
          <w:bCs/>
          <w:color w:val="000000" w:themeColor="text1"/>
        </w:rPr>
        <w:t>2021;39:694</w:t>
      </w:r>
      <w:proofErr w:type="gramEnd"/>
      <w:r w:rsidRPr="003773CD">
        <w:rPr>
          <w:bCs/>
          <w:color w:val="000000" w:themeColor="text1"/>
        </w:rPr>
        <w:t>-707.</w:t>
      </w:r>
    </w:p>
    <w:p w14:paraId="3D7BCB6B" w14:textId="3AA33E8B" w:rsidR="003773CD" w:rsidRPr="003773CD" w:rsidRDefault="003773CD" w:rsidP="000F446E">
      <w:pPr>
        <w:rPr>
          <w:bCs/>
          <w:color w:val="000000" w:themeColor="text1"/>
        </w:rPr>
      </w:pPr>
      <w:r w:rsidRPr="003773CD">
        <w:rPr>
          <w:bCs/>
          <w:color w:val="000000" w:themeColor="text1"/>
        </w:rPr>
        <w:t xml:space="preserve">66. Hung KL, et al. </w:t>
      </w:r>
      <w:proofErr w:type="spellStart"/>
      <w:r w:rsidRPr="003773CD">
        <w:rPr>
          <w:bCs/>
          <w:color w:val="000000" w:themeColor="text1"/>
        </w:rPr>
        <w:t>ecDNA</w:t>
      </w:r>
      <w:proofErr w:type="spellEnd"/>
      <w:r w:rsidRPr="003773CD">
        <w:rPr>
          <w:bCs/>
          <w:color w:val="000000" w:themeColor="text1"/>
        </w:rPr>
        <w:t xml:space="preserve"> hubs drive cooperative intermolecular oncogene expression. Nature. </w:t>
      </w:r>
      <w:proofErr w:type="gramStart"/>
      <w:r w:rsidRPr="003773CD">
        <w:rPr>
          <w:bCs/>
          <w:color w:val="000000" w:themeColor="text1"/>
        </w:rPr>
        <w:t>2021;600:731</w:t>
      </w:r>
      <w:proofErr w:type="gramEnd"/>
      <w:r w:rsidRPr="003773CD">
        <w:rPr>
          <w:bCs/>
          <w:color w:val="000000" w:themeColor="text1"/>
        </w:rPr>
        <w:t>-</w:t>
      </w:r>
      <w:r w:rsidR="00067001">
        <w:rPr>
          <w:bCs/>
          <w:color w:val="000000" w:themeColor="text1"/>
        </w:rPr>
        <w:t>73</w:t>
      </w:r>
      <w:r w:rsidRPr="003773CD">
        <w:rPr>
          <w:bCs/>
          <w:color w:val="000000" w:themeColor="text1"/>
        </w:rPr>
        <w:t>6.</w:t>
      </w:r>
    </w:p>
    <w:p w14:paraId="5DC51A7A" w14:textId="1DBBEEE4" w:rsidR="003773CD" w:rsidRPr="003773CD" w:rsidRDefault="003773CD" w:rsidP="000F446E">
      <w:pPr>
        <w:rPr>
          <w:bCs/>
          <w:color w:val="000000" w:themeColor="text1"/>
        </w:rPr>
      </w:pPr>
      <w:r w:rsidRPr="003773CD">
        <w:rPr>
          <w:bCs/>
          <w:color w:val="000000" w:themeColor="text1"/>
        </w:rPr>
        <w:t xml:space="preserve">67. </w:t>
      </w:r>
      <w:proofErr w:type="spellStart"/>
      <w:r w:rsidRPr="003773CD">
        <w:rPr>
          <w:bCs/>
          <w:color w:val="000000" w:themeColor="text1"/>
        </w:rPr>
        <w:t>Taghbalout</w:t>
      </w:r>
      <w:proofErr w:type="spellEnd"/>
      <w:r w:rsidRPr="003773CD">
        <w:rPr>
          <w:bCs/>
          <w:color w:val="000000" w:themeColor="text1"/>
        </w:rPr>
        <w:t xml:space="preserve"> A, et al. Extrachromosomal DNA associates with nuclear condensates and reorganizes chromatin structures to enhance oncogenic transcription. Cancer Cell. </w:t>
      </w:r>
      <w:proofErr w:type="gramStart"/>
      <w:r w:rsidRPr="003773CD">
        <w:rPr>
          <w:bCs/>
          <w:color w:val="000000" w:themeColor="text1"/>
        </w:rPr>
        <w:t>2025;43:2191</w:t>
      </w:r>
      <w:proofErr w:type="gramEnd"/>
      <w:r w:rsidRPr="003773CD">
        <w:rPr>
          <w:bCs/>
          <w:color w:val="000000" w:themeColor="text1"/>
        </w:rPr>
        <w:t>-2205.e6.</w:t>
      </w:r>
    </w:p>
    <w:p w14:paraId="227DCB3C" w14:textId="5A0F5696" w:rsidR="003773CD" w:rsidRPr="003773CD" w:rsidRDefault="003773CD" w:rsidP="000F446E">
      <w:pPr>
        <w:rPr>
          <w:bCs/>
          <w:color w:val="000000" w:themeColor="text1"/>
        </w:rPr>
      </w:pPr>
      <w:r w:rsidRPr="003773CD">
        <w:rPr>
          <w:bCs/>
          <w:color w:val="000000" w:themeColor="text1"/>
        </w:rPr>
        <w:t xml:space="preserve">68. Hsu TC, </w:t>
      </w:r>
      <w:proofErr w:type="spellStart"/>
      <w:r w:rsidRPr="003773CD">
        <w:rPr>
          <w:bCs/>
          <w:color w:val="000000" w:themeColor="text1"/>
        </w:rPr>
        <w:t>Pomerat</w:t>
      </w:r>
      <w:proofErr w:type="spellEnd"/>
      <w:r w:rsidRPr="003773CD">
        <w:rPr>
          <w:bCs/>
          <w:color w:val="000000" w:themeColor="text1"/>
        </w:rPr>
        <w:t xml:space="preserve"> CM. Mammalian chromosomes in vitro: II. A method for spreading the chromosomes of cells in tissue culture. J Hered. </w:t>
      </w:r>
      <w:proofErr w:type="gramStart"/>
      <w:r w:rsidRPr="003773CD">
        <w:rPr>
          <w:bCs/>
          <w:color w:val="000000" w:themeColor="text1"/>
        </w:rPr>
        <w:t>1953;44:23</w:t>
      </w:r>
      <w:proofErr w:type="gramEnd"/>
      <w:r w:rsidRPr="003773CD">
        <w:rPr>
          <w:bCs/>
          <w:color w:val="000000" w:themeColor="text1"/>
        </w:rPr>
        <w:t>-30.</w:t>
      </w:r>
    </w:p>
    <w:p w14:paraId="16BED29E" w14:textId="2AAAB9CB" w:rsidR="003773CD" w:rsidRPr="003773CD" w:rsidRDefault="003773CD" w:rsidP="000F446E">
      <w:pPr>
        <w:rPr>
          <w:bCs/>
          <w:color w:val="000000" w:themeColor="text1"/>
        </w:rPr>
      </w:pPr>
      <w:r w:rsidRPr="003773CD">
        <w:rPr>
          <w:bCs/>
          <w:color w:val="000000" w:themeColor="text1"/>
        </w:rPr>
        <w:t xml:space="preserve">69. Erwin GS, </w:t>
      </w:r>
      <w:proofErr w:type="spellStart"/>
      <w:r w:rsidRPr="003773CD">
        <w:rPr>
          <w:bCs/>
          <w:color w:val="000000" w:themeColor="text1"/>
        </w:rPr>
        <w:t>Bhimsaria</w:t>
      </w:r>
      <w:proofErr w:type="spellEnd"/>
      <w:r w:rsidRPr="003773CD">
        <w:rPr>
          <w:bCs/>
          <w:color w:val="000000" w:themeColor="text1"/>
        </w:rPr>
        <w:t xml:space="preserve"> D, Eguchi A, Ansari AZ. Mapping polyamide-DNA interactions in human cells reveals a new design strategy for effective targeting of genomic sites. </w:t>
      </w:r>
      <w:proofErr w:type="spellStart"/>
      <w:r w:rsidRPr="003773CD">
        <w:rPr>
          <w:bCs/>
          <w:color w:val="000000" w:themeColor="text1"/>
        </w:rPr>
        <w:t>Angew</w:t>
      </w:r>
      <w:proofErr w:type="spellEnd"/>
      <w:r w:rsidRPr="003773CD">
        <w:rPr>
          <w:bCs/>
          <w:color w:val="000000" w:themeColor="text1"/>
        </w:rPr>
        <w:t xml:space="preserve"> Chem. </w:t>
      </w:r>
      <w:proofErr w:type="gramStart"/>
      <w:r w:rsidRPr="003773CD">
        <w:rPr>
          <w:bCs/>
          <w:color w:val="000000" w:themeColor="text1"/>
        </w:rPr>
        <w:t>2014;126:10288</w:t>
      </w:r>
      <w:proofErr w:type="gramEnd"/>
      <w:r w:rsidRPr="003773CD">
        <w:rPr>
          <w:bCs/>
          <w:color w:val="000000" w:themeColor="text1"/>
        </w:rPr>
        <w:t>-</w:t>
      </w:r>
      <w:r w:rsidR="00067001">
        <w:rPr>
          <w:bCs/>
          <w:color w:val="000000" w:themeColor="text1"/>
        </w:rPr>
        <w:t>102</w:t>
      </w:r>
      <w:r w:rsidRPr="003773CD">
        <w:rPr>
          <w:bCs/>
          <w:color w:val="000000" w:themeColor="text1"/>
        </w:rPr>
        <w:t>92.</w:t>
      </w:r>
    </w:p>
    <w:p w14:paraId="48B5E2B8" w14:textId="4743CF53" w:rsidR="003773CD" w:rsidRPr="003773CD" w:rsidRDefault="003773CD" w:rsidP="000F446E">
      <w:pPr>
        <w:rPr>
          <w:bCs/>
          <w:color w:val="000000" w:themeColor="text1"/>
        </w:rPr>
      </w:pPr>
      <w:r w:rsidRPr="003773CD">
        <w:rPr>
          <w:bCs/>
          <w:color w:val="000000" w:themeColor="text1"/>
        </w:rPr>
        <w:t>70. Erwin GS, et al. Synthetic genome readers target clustered binding sites across diverse chromatin states. Proc Natl Acad Sci U S A. 2016;</w:t>
      </w:r>
      <w:proofErr w:type="gramStart"/>
      <w:r w:rsidRPr="003773CD">
        <w:rPr>
          <w:bCs/>
          <w:color w:val="000000" w:themeColor="text1"/>
        </w:rPr>
        <w:t>113:E</w:t>
      </w:r>
      <w:proofErr w:type="gramEnd"/>
      <w:r w:rsidRPr="003773CD">
        <w:rPr>
          <w:bCs/>
          <w:color w:val="000000" w:themeColor="text1"/>
        </w:rPr>
        <w:t>7418-</w:t>
      </w:r>
      <w:r w:rsidR="00067001">
        <w:rPr>
          <w:bCs/>
          <w:color w:val="000000" w:themeColor="text1"/>
        </w:rPr>
        <w:t>74</w:t>
      </w:r>
      <w:r w:rsidRPr="003773CD">
        <w:rPr>
          <w:bCs/>
          <w:color w:val="000000" w:themeColor="text1"/>
        </w:rPr>
        <w:t>27.</w:t>
      </w:r>
    </w:p>
    <w:p w14:paraId="75D7359F" w14:textId="63123E15" w:rsidR="003773CD" w:rsidRPr="003773CD" w:rsidRDefault="003773CD" w:rsidP="000F446E">
      <w:pPr>
        <w:rPr>
          <w:bCs/>
          <w:color w:val="000000" w:themeColor="text1"/>
        </w:rPr>
      </w:pPr>
      <w:r w:rsidRPr="003773CD">
        <w:rPr>
          <w:bCs/>
          <w:color w:val="000000" w:themeColor="text1"/>
        </w:rPr>
        <w:t xml:space="preserve">71. Erwin GS, et al. Synthetic transcription elongation factors license transcription across repressive chromatin. Science. </w:t>
      </w:r>
      <w:proofErr w:type="gramStart"/>
      <w:r w:rsidRPr="003773CD">
        <w:rPr>
          <w:bCs/>
          <w:color w:val="000000" w:themeColor="text1"/>
        </w:rPr>
        <w:t>2017;358:1617</w:t>
      </w:r>
      <w:proofErr w:type="gramEnd"/>
      <w:r w:rsidRPr="003773CD">
        <w:rPr>
          <w:bCs/>
          <w:color w:val="000000" w:themeColor="text1"/>
        </w:rPr>
        <w:t>-</w:t>
      </w:r>
      <w:r w:rsidR="00067001">
        <w:rPr>
          <w:bCs/>
          <w:color w:val="000000" w:themeColor="text1"/>
        </w:rPr>
        <w:t>16</w:t>
      </w:r>
      <w:r w:rsidRPr="003773CD">
        <w:rPr>
          <w:bCs/>
          <w:color w:val="000000" w:themeColor="text1"/>
        </w:rPr>
        <w:t>22.</w:t>
      </w:r>
    </w:p>
    <w:p w14:paraId="61E15AC5" w14:textId="4746D7AB" w:rsidR="003773CD" w:rsidRPr="003773CD" w:rsidRDefault="003773CD" w:rsidP="000F446E">
      <w:pPr>
        <w:rPr>
          <w:bCs/>
          <w:color w:val="000000" w:themeColor="text1"/>
        </w:rPr>
      </w:pPr>
      <w:r w:rsidRPr="003773CD">
        <w:rPr>
          <w:bCs/>
          <w:color w:val="000000" w:themeColor="text1"/>
        </w:rPr>
        <w:t xml:space="preserve">72. Erwin GS, et al. Recurrent repeat expansions in human cancer genomes. Nature. </w:t>
      </w:r>
      <w:proofErr w:type="gramStart"/>
      <w:r w:rsidRPr="003773CD">
        <w:rPr>
          <w:bCs/>
          <w:color w:val="000000" w:themeColor="text1"/>
        </w:rPr>
        <w:t>2023;613:96</w:t>
      </w:r>
      <w:proofErr w:type="gramEnd"/>
      <w:r w:rsidRPr="003773CD">
        <w:rPr>
          <w:bCs/>
          <w:color w:val="000000" w:themeColor="text1"/>
        </w:rPr>
        <w:t>-102.</w:t>
      </w:r>
    </w:p>
    <w:p w14:paraId="2463E44A" w14:textId="1678F876" w:rsidR="003773CD" w:rsidRPr="003773CD" w:rsidRDefault="003773CD" w:rsidP="000F446E">
      <w:pPr>
        <w:rPr>
          <w:bCs/>
          <w:color w:val="000000" w:themeColor="text1"/>
        </w:rPr>
      </w:pPr>
      <w:r w:rsidRPr="003773CD">
        <w:rPr>
          <w:bCs/>
          <w:color w:val="000000" w:themeColor="text1"/>
        </w:rPr>
        <w:t xml:space="preserve">73. Shimizu N, Kanda T, Wahl GM. Selective capture of acentric fragments by micronuclei provides a rapid method for purifying </w:t>
      </w:r>
      <w:proofErr w:type="spellStart"/>
      <w:r w:rsidRPr="003773CD">
        <w:rPr>
          <w:bCs/>
          <w:color w:val="000000" w:themeColor="text1"/>
        </w:rPr>
        <w:t>extrachromosomally</w:t>
      </w:r>
      <w:proofErr w:type="spellEnd"/>
      <w:r w:rsidRPr="003773CD">
        <w:rPr>
          <w:bCs/>
          <w:color w:val="000000" w:themeColor="text1"/>
        </w:rPr>
        <w:t xml:space="preserve"> amplified DNA. Nat Genet. </w:t>
      </w:r>
      <w:proofErr w:type="gramStart"/>
      <w:r w:rsidRPr="003773CD">
        <w:rPr>
          <w:bCs/>
          <w:color w:val="000000" w:themeColor="text1"/>
        </w:rPr>
        <w:t>1996;12:65</w:t>
      </w:r>
      <w:proofErr w:type="gramEnd"/>
      <w:r w:rsidRPr="003773CD">
        <w:rPr>
          <w:bCs/>
          <w:color w:val="000000" w:themeColor="text1"/>
        </w:rPr>
        <w:t>-71.</w:t>
      </w:r>
    </w:p>
    <w:p w14:paraId="78406667" w14:textId="2739B3DD" w:rsidR="00155DD4" w:rsidRPr="003773CD" w:rsidRDefault="003773CD" w:rsidP="000F446E">
      <w:pPr>
        <w:rPr>
          <w:bCs/>
          <w:color w:val="000000" w:themeColor="text1"/>
        </w:rPr>
      </w:pPr>
      <w:r w:rsidRPr="003773CD">
        <w:rPr>
          <w:bCs/>
          <w:color w:val="000000" w:themeColor="text1"/>
        </w:rPr>
        <w:t xml:space="preserve">74. Jaworski JJ, et al. </w:t>
      </w:r>
      <w:proofErr w:type="spellStart"/>
      <w:r w:rsidRPr="003773CD">
        <w:rPr>
          <w:bCs/>
          <w:color w:val="000000" w:themeColor="text1"/>
        </w:rPr>
        <w:t>ecDNA</w:t>
      </w:r>
      <w:proofErr w:type="spellEnd"/>
      <w:r w:rsidRPr="003773CD">
        <w:rPr>
          <w:bCs/>
          <w:color w:val="000000" w:themeColor="text1"/>
        </w:rPr>
        <w:t xml:space="preserve"> replication is disorganized and vulnerable to replication stress. Nucleic Acids Res. 2025;</w:t>
      </w:r>
      <w:proofErr w:type="gramStart"/>
      <w:r w:rsidRPr="003773CD">
        <w:rPr>
          <w:bCs/>
          <w:color w:val="000000" w:themeColor="text1"/>
        </w:rPr>
        <w:t>53:gkaf</w:t>
      </w:r>
      <w:proofErr w:type="gramEnd"/>
      <w:r w:rsidRPr="003773CD">
        <w:rPr>
          <w:bCs/>
          <w:color w:val="000000" w:themeColor="text1"/>
        </w:rPr>
        <w:t>711.</w:t>
      </w:r>
    </w:p>
    <w:sectPr w:rsidR="00155DD4" w:rsidRPr="003773CD" w:rsidSect="004B3E26">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42EBD" w14:textId="77777777" w:rsidR="00EA498B" w:rsidRDefault="00EA498B">
      <w:r>
        <w:separator/>
      </w:r>
    </w:p>
  </w:endnote>
  <w:endnote w:type="continuationSeparator" w:id="0">
    <w:p w14:paraId="63E3C42F" w14:textId="77777777" w:rsidR="00EA498B" w:rsidRDefault="00EA4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ED8B6" w14:textId="77777777" w:rsidR="00EA498B" w:rsidRDefault="00EA498B">
      <w:r>
        <w:separator/>
      </w:r>
    </w:p>
  </w:footnote>
  <w:footnote w:type="continuationSeparator" w:id="0">
    <w:p w14:paraId="42AFD490" w14:textId="77777777" w:rsidR="00EA498B" w:rsidRDefault="00EA4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C83522">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66EE2C90">
      <w:start w:val="1"/>
      <w:numFmt w:val="bullet"/>
      <w:lvlText w:val=""/>
      <w:lvlJc w:val="left"/>
      <w:pPr>
        <w:ind w:left="360" w:hanging="360"/>
      </w:pPr>
      <w:rPr>
        <w:rFonts w:ascii="Symbol" w:hAnsi="Symbol" w:hint="default"/>
        <w:sz w:val="28"/>
        <w:szCs w:val="28"/>
      </w:rPr>
    </w:lvl>
    <w:lvl w:ilvl="1" w:tplc="E3280906" w:tentative="1">
      <w:start w:val="1"/>
      <w:numFmt w:val="bullet"/>
      <w:lvlText w:val="o"/>
      <w:lvlJc w:val="left"/>
      <w:pPr>
        <w:ind w:left="1440" w:hanging="360"/>
      </w:pPr>
      <w:rPr>
        <w:rFonts w:ascii="Courier New" w:hAnsi="Courier New" w:cs="Courier New" w:hint="default"/>
      </w:rPr>
    </w:lvl>
    <w:lvl w:ilvl="2" w:tplc="AA2CD712" w:tentative="1">
      <w:start w:val="1"/>
      <w:numFmt w:val="bullet"/>
      <w:lvlText w:val=""/>
      <w:lvlJc w:val="left"/>
      <w:pPr>
        <w:ind w:left="2160" w:hanging="360"/>
      </w:pPr>
      <w:rPr>
        <w:rFonts w:ascii="Wingdings" w:hAnsi="Wingdings" w:hint="default"/>
      </w:rPr>
    </w:lvl>
    <w:lvl w:ilvl="3" w:tplc="7526CBF0" w:tentative="1">
      <w:start w:val="1"/>
      <w:numFmt w:val="bullet"/>
      <w:lvlText w:val=""/>
      <w:lvlJc w:val="left"/>
      <w:pPr>
        <w:ind w:left="2880" w:hanging="360"/>
      </w:pPr>
      <w:rPr>
        <w:rFonts w:ascii="Symbol" w:hAnsi="Symbol" w:hint="default"/>
      </w:rPr>
    </w:lvl>
    <w:lvl w:ilvl="4" w:tplc="4476F228" w:tentative="1">
      <w:start w:val="1"/>
      <w:numFmt w:val="bullet"/>
      <w:lvlText w:val="o"/>
      <w:lvlJc w:val="left"/>
      <w:pPr>
        <w:ind w:left="3600" w:hanging="360"/>
      </w:pPr>
      <w:rPr>
        <w:rFonts w:ascii="Courier New" w:hAnsi="Courier New" w:cs="Courier New" w:hint="default"/>
      </w:rPr>
    </w:lvl>
    <w:lvl w:ilvl="5" w:tplc="B0427382" w:tentative="1">
      <w:start w:val="1"/>
      <w:numFmt w:val="bullet"/>
      <w:lvlText w:val=""/>
      <w:lvlJc w:val="left"/>
      <w:pPr>
        <w:ind w:left="4320" w:hanging="360"/>
      </w:pPr>
      <w:rPr>
        <w:rFonts w:ascii="Wingdings" w:hAnsi="Wingdings" w:hint="default"/>
      </w:rPr>
    </w:lvl>
    <w:lvl w:ilvl="6" w:tplc="DD1407A8" w:tentative="1">
      <w:start w:val="1"/>
      <w:numFmt w:val="bullet"/>
      <w:lvlText w:val=""/>
      <w:lvlJc w:val="left"/>
      <w:pPr>
        <w:ind w:left="5040" w:hanging="360"/>
      </w:pPr>
      <w:rPr>
        <w:rFonts w:ascii="Symbol" w:hAnsi="Symbol" w:hint="default"/>
      </w:rPr>
    </w:lvl>
    <w:lvl w:ilvl="7" w:tplc="11B81464" w:tentative="1">
      <w:start w:val="1"/>
      <w:numFmt w:val="bullet"/>
      <w:lvlText w:val="o"/>
      <w:lvlJc w:val="left"/>
      <w:pPr>
        <w:ind w:left="5760" w:hanging="360"/>
      </w:pPr>
      <w:rPr>
        <w:rFonts w:ascii="Courier New" w:hAnsi="Courier New" w:cs="Courier New" w:hint="default"/>
      </w:rPr>
    </w:lvl>
    <w:lvl w:ilvl="8" w:tplc="C49E7952"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12189EAC">
      <w:start w:val="1"/>
      <w:numFmt w:val="decimal"/>
      <w:lvlText w:val="%1."/>
      <w:lvlJc w:val="left"/>
      <w:pPr>
        <w:ind w:left="720" w:hanging="360"/>
      </w:pPr>
    </w:lvl>
    <w:lvl w:ilvl="1" w:tplc="998289B2" w:tentative="1">
      <w:start w:val="1"/>
      <w:numFmt w:val="lowerLetter"/>
      <w:lvlText w:val="%2."/>
      <w:lvlJc w:val="left"/>
      <w:pPr>
        <w:ind w:left="1440" w:hanging="360"/>
      </w:pPr>
    </w:lvl>
    <w:lvl w:ilvl="2" w:tplc="FC2A99DE" w:tentative="1">
      <w:start w:val="1"/>
      <w:numFmt w:val="lowerRoman"/>
      <w:lvlText w:val="%3."/>
      <w:lvlJc w:val="right"/>
      <w:pPr>
        <w:ind w:left="2160" w:hanging="180"/>
      </w:pPr>
    </w:lvl>
    <w:lvl w:ilvl="3" w:tplc="5E5A2134" w:tentative="1">
      <w:start w:val="1"/>
      <w:numFmt w:val="decimal"/>
      <w:lvlText w:val="%4."/>
      <w:lvlJc w:val="left"/>
      <w:pPr>
        <w:ind w:left="2880" w:hanging="360"/>
      </w:pPr>
    </w:lvl>
    <w:lvl w:ilvl="4" w:tplc="4A540E34" w:tentative="1">
      <w:start w:val="1"/>
      <w:numFmt w:val="lowerLetter"/>
      <w:lvlText w:val="%5."/>
      <w:lvlJc w:val="left"/>
      <w:pPr>
        <w:ind w:left="3600" w:hanging="360"/>
      </w:pPr>
    </w:lvl>
    <w:lvl w:ilvl="5" w:tplc="517A07C4" w:tentative="1">
      <w:start w:val="1"/>
      <w:numFmt w:val="lowerRoman"/>
      <w:lvlText w:val="%6."/>
      <w:lvlJc w:val="right"/>
      <w:pPr>
        <w:ind w:left="4320" w:hanging="180"/>
      </w:pPr>
    </w:lvl>
    <w:lvl w:ilvl="6" w:tplc="6736DDAC" w:tentative="1">
      <w:start w:val="1"/>
      <w:numFmt w:val="decimal"/>
      <w:lvlText w:val="%7."/>
      <w:lvlJc w:val="left"/>
      <w:pPr>
        <w:ind w:left="5040" w:hanging="360"/>
      </w:pPr>
    </w:lvl>
    <w:lvl w:ilvl="7" w:tplc="9DA8A968" w:tentative="1">
      <w:start w:val="1"/>
      <w:numFmt w:val="lowerLetter"/>
      <w:lvlText w:val="%8."/>
      <w:lvlJc w:val="left"/>
      <w:pPr>
        <w:ind w:left="5760" w:hanging="360"/>
      </w:pPr>
    </w:lvl>
    <w:lvl w:ilvl="8" w:tplc="97A4F6C2" w:tentative="1">
      <w:start w:val="1"/>
      <w:numFmt w:val="lowerRoman"/>
      <w:lvlText w:val="%9."/>
      <w:lvlJc w:val="right"/>
      <w:pPr>
        <w:ind w:left="6480" w:hanging="180"/>
      </w:pPr>
    </w:lvl>
  </w:abstractNum>
  <w:abstractNum w:abstractNumId="2" w15:restartNumberingAfterBreak="0">
    <w:nsid w:val="154372DB"/>
    <w:multiLevelType w:val="hybridMultilevel"/>
    <w:tmpl w:val="809C42B6"/>
    <w:lvl w:ilvl="0" w:tplc="21F41A1A">
      <w:start w:val="1"/>
      <w:numFmt w:val="decimal"/>
      <w:lvlText w:val="%1."/>
      <w:lvlJc w:val="left"/>
      <w:pPr>
        <w:ind w:left="720" w:hanging="360"/>
      </w:pPr>
      <w:rPr>
        <w:rFonts w:hint="default"/>
      </w:rPr>
    </w:lvl>
    <w:lvl w:ilvl="1" w:tplc="AC966714" w:tentative="1">
      <w:start w:val="1"/>
      <w:numFmt w:val="lowerLetter"/>
      <w:lvlText w:val="%2."/>
      <w:lvlJc w:val="left"/>
      <w:pPr>
        <w:ind w:left="1440" w:hanging="360"/>
      </w:pPr>
    </w:lvl>
    <w:lvl w:ilvl="2" w:tplc="CA0014CA" w:tentative="1">
      <w:start w:val="1"/>
      <w:numFmt w:val="lowerRoman"/>
      <w:lvlText w:val="%3."/>
      <w:lvlJc w:val="right"/>
      <w:pPr>
        <w:ind w:left="2160" w:hanging="180"/>
      </w:pPr>
    </w:lvl>
    <w:lvl w:ilvl="3" w:tplc="DAA0DE44" w:tentative="1">
      <w:start w:val="1"/>
      <w:numFmt w:val="decimal"/>
      <w:lvlText w:val="%4."/>
      <w:lvlJc w:val="left"/>
      <w:pPr>
        <w:ind w:left="2880" w:hanging="360"/>
      </w:pPr>
    </w:lvl>
    <w:lvl w:ilvl="4" w:tplc="99F013A8" w:tentative="1">
      <w:start w:val="1"/>
      <w:numFmt w:val="lowerLetter"/>
      <w:lvlText w:val="%5."/>
      <w:lvlJc w:val="left"/>
      <w:pPr>
        <w:ind w:left="3600" w:hanging="360"/>
      </w:pPr>
    </w:lvl>
    <w:lvl w:ilvl="5" w:tplc="6AEA0CF0" w:tentative="1">
      <w:start w:val="1"/>
      <w:numFmt w:val="lowerRoman"/>
      <w:lvlText w:val="%6."/>
      <w:lvlJc w:val="right"/>
      <w:pPr>
        <w:ind w:left="4320" w:hanging="180"/>
      </w:pPr>
    </w:lvl>
    <w:lvl w:ilvl="6" w:tplc="BDE223E0" w:tentative="1">
      <w:start w:val="1"/>
      <w:numFmt w:val="decimal"/>
      <w:lvlText w:val="%7."/>
      <w:lvlJc w:val="left"/>
      <w:pPr>
        <w:ind w:left="5040" w:hanging="360"/>
      </w:pPr>
    </w:lvl>
    <w:lvl w:ilvl="7" w:tplc="A6F481D0" w:tentative="1">
      <w:start w:val="1"/>
      <w:numFmt w:val="lowerLetter"/>
      <w:lvlText w:val="%8."/>
      <w:lvlJc w:val="left"/>
      <w:pPr>
        <w:ind w:left="5760" w:hanging="360"/>
      </w:pPr>
    </w:lvl>
    <w:lvl w:ilvl="8" w:tplc="971236FA" w:tentative="1">
      <w:start w:val="1"/>
      <w:numFmt w:val="lowerRoman"/>
      <w:lvlText w:val="%9."/>
      <w:lvlJc w:val="right"/>
      <w:pPr>
        <w:ind w:left="6480" w:hanging="180"/>
      </w:pPr>
    </w:lvl>
  </w:abstractNum>
  <w:abstractNum w:abstractNumId="3" w15:restartNumberingAfterBreak="0">
    <w:nsid w:val="1B57005C"/>
    <w:multiLevelType w:val="multilevel"/>
    <w:tmpl w:val="EC94A6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9271A2"/>
    <w:multiLevelType w:val="multilevel"/>
    <w:tmpl w:val="6BCCCF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BA043A"/>
    <w:multiLevelType w:val="hybridMultilevel"/>
    <w:tmpl w:val="97EA5562"/>
    <w:lvl w:ilvl="0" w:tplc="3C68BA60">
      <w:start w:val="1"/>
      <w:numFmt w:val="decimal"/>
      <w:lvlText w:val="%1."/>
      <w:lvlJc w:val="left"/>
      <w:pPr>
        <w:ind w:left="720" w:hanging="360"/>
      </w:pPr>
    </w:lvl>
    <w:lvl w:ilvl="1" w:tplc="96DACBFA" w:tentative="1">
      <w:start w:val="1"/>
      <w:numFmt w:val="lowerLetter"/>
      <w:lvlText w:val="%2."/>
      <w:lvlJc w:val="left"/>
      <w:pPr>
        <w:ind w:left="1440" w:hanging="360"/>
      </w:pPr>
    </w:lvl>
    <w:lvl w:ilvl="2" w:tplc="F224F9FC" w:tentative="1">
      <w:start w:val="1"/>
      <w:numFmt w:val="lowerRoman"/>
      <w:lvlText w:val="%3."/>
      <w:lvlJc w:val="right"/>
      <w:pPr>
        <w:ind w:left="2160" w:hanging="180"/>
      </w:pPr>
    </w:lvl>
    <w:lvl w:ilvl="3" w:tplc="CF5C857E" w:tentative="1">
      <w:start w:val="1"/>
      <w:numFmt w:val="decimal"/>
      <w:lvlText w:val="%4."/>
      <w:lvlJc w:val="left"/>
      <w:pPr>
        <w:ind w:left="2880" w:hanging="360"/>
      </w:pPr>
    </w:lvl>
    <w:lvl w:ilvl="4" w:tplc="C1242FA0" w:tentative="1">
      <w:start w:val="1"/>
      <w:numFmt w:val="lowerLetter"/>
      <w:lvlText w:val="%5."/>
      <w:lvlJc w:val="left"/>
      <w:pPr>
        <w:ind w:left="3600" w:hanging="360"/>
      </w:pPr>
    </w:lvl>
    <w:lvl w:ilvl="5" w:tplc="56D82D06" w:tentative="1">
      <w:start w:val="1"/>
      <w:numFmt w:val="lowerRoman"/>
      <w:lvlText w:val="%6."/>
      <w:lvlJc w:val="right"/>
      <w:pPr>
        <w:ind w:left="4320" w:hanging="180"/>
      </w:pPr>
    </w:lvl>
    <w:lvl w:ilvl="6" w:tplc="C05E4D74" w:tentative="1">
      <w:start w:val="1"/>
      <w:numFmt w:val="decimal"/>
      <w:lvlText w:val="%7."/>
      <w:lvlJc w:val="left"/>
      <w:pPr>
        <w:ind w:left="5040" w:hanging="360"/>
      </w:pPr>
    </w:lvl>
    <w:lvl w:ilvl="7" w:tplc="C93EF490" w:tentative="1">
      <w:start w:val="1"/>
      <w:numFmt w:val="lowerLetter"/>
      <w:lvlText w:val="%8."/>
      <w:lvlJc w:val="left"/>
      <w:pPr>
        <w:ind w:left="5760" w:hanging="360"/>
      </w:pPr>
    </w:lvl>
    <w:lvl w:ilvl="8" w:tplc="BF8E5F92"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C4520580">
      <w:start w:val="1"/>
      <w:numFmt w:val="decimal"/>
      <w:lvlText w:val="%1."/>
      <w:lvlJc w:val="left"/>
      <w:pPr>
        <w:ind w:left="720" w:hanging="360"/>
      </w:pPr>
    </w:lvl>
    <w:lvl w:ilvl="1" w:tplc="6FFEE080" w:tentative="1">
      <w:start w:val="1"/>
      <w:numFmt w:val="lowerLetter"/>
      <w:lvlText w:val="%2."/>
      <w:lvlJc w:val="left"/>
      <w:pPr>
        <w:ind w:left="1440" w:hanging="360"/>
      </w:pPr>
    </w:lvl>
    <w:lvl w:ilvl="2" w:tplc="31D40DDE" w:tentative="1">
      <w:start w:val="1"/>
      <w:numFmt w:val="lowerRoman"/>
      <w:lvlText w:val="%3."/>
      <w:lvlJc w:val="right"/>
      <w:pPr>
        <w:ind w:left="2160" w:hanging="180"/>
      </w:pPr>
    </w:lvl>
    <w:lvl w:ilvl="3" w:tplc="6F741804" w:tentative="1">
      <w:start w:val="1"/>
      <w:numFmt w:val="decimal"/>
      <w:lvlText w:val="%4."/>
      <w:lvlJc w:val="left"/>
      <w:pPr>
        <w:ind w:left="2880" w:hanging="360"/>
      </w:pPr>
    </w:lvl>
    <w:lvl w:ilvl="4" w:tplc="94EE0EA4" w:tentative="1">
      <w:start w:val="1"/>
      <w:numFmt w:val="lowerLetter"/>
      <w:lvlText w:val="%5."/>
      <w:lvlJc w:val="left"/>
      <w:pPr>
        <w:ind w:left="3600" w:hanging="360"/>
      </w:pPr>
    </w:lvl>
    <w:lvl w:ilvl="5" w:tplc="15326FB2" w:tentative="1">
      <w:start w:val="1"/>
      <w:numFmt w:val="lowerRoman"/>
      <w:lvlText w:val="%6."/>
      <w:lvlJc w:val="right"/>
      <w:pPr>
        <w:ind w:left="4320" w:hanging="180"/>
      </w:pPr>
    </w:lvl>
    <w:lvl w:ilvl="6" w:tplc="8842CC1A" w:tentative="1">
      <w:start w:val="1"/>
      <w:numFmt w:val="decimal"/>
      <w:lvlText w:val="%7."/>
      <w:lvlJc w:val="left"/>
      <w:pPr>
        <w:ind w:left="5040" w:hanging="360"/>
      </w:pPr>
    </w:lvl>
    <w:lvl w:ilvl="7" w:tplc="872E73BC" w:tentative="1">
      <w:start w:val="1"/>
      <w:numFmt w:val="lowerLetter"/>
      <w:lvlText w:val="%8."/>
      <w:lvlJc w:val="left"/>
      <w:pPr>
        <w:ind w:left="5760" w:hanging="360"/>
      </w:pPr>
    </w:lvl>
    <w:lvl w:ilvl="8" w:tplc="95ECF598"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26248B9A">
      <w:start w:val="1"/>
      <w:numFmt w:val="bullet"/>
      <w:lvlText w:val=""/>
      <w:lvlJc w:val="left"/>
      <w:pPr>
        <w:ind w:left="720" w:hanging="360"/>
      </w:pPr>
      <w:rPr>
        <w:rFonts w:ascii="Symbol" w:hAnsi="Symbol" w:hint="default"/>
      </w:rPr>
    </w:lvl>
    <w:lvl w:ilvl="1" w:tplc="17D0D7F0" w:tentative="1">
      <w:start w:val="1"/>
      <w:numFmt w:val="bullet"/>
      <w:lvlText w:val="o"/>
      <w:lvlJc w:val="left"/>
      <w:pPr>
        <w:ind w:left="1440" w:hanging="360"/>
      </w:pPr>
      <w:rPr>
        <w:rFonts w:ascii="Courier New" w:hAnsi="Courier New" w:cs="Courier New" w:hint="default"/>
      </w:rPr>
    </w:lvl>
    <w:lvl w:ilvl="2" w:tplc="B2E2F8E8" w:tentative="1">
      <w:start w:val="1"/>
      <w:numFmt w:val="bullet"/>
      <w:lvlText w:val=""/>
      <w:lvlJc w:val="left"/>
      <w:pPr>
        <w:ind w:left="2160" w:hanging="360"/>
      </w:pPr>
      <w:rPr>
        <w:rFonts w:ascii="Wingdings" w:hAnsi="Wingdings" w:hint="default"/>
      </w:rPr>
    </w:lvl>
    <w:lvl w:ilvl="3" w:tplc="80A236CA" w:tentative="1">
      <w:start w:val="1"/>
      <w:numFmt w:val="bullet"/>
      <w:lvlText w:val=""/>
      <w:lvlJc w:val="left"/>
      <w:pPr>
        <w:ind w:left="2880" w:hanging="360"/>
      </w:pPr>
      <w:rPr>
        <w:rFonts w:ascii="Symbol" w:hAnsi="Symbol" w:hint="default"/>
      </w:rPr>
    </w:lvl>
    <w:lvl w:ilvl="4" w:tplc="3B4E9378" w:tentative="1">
      <w:start w:val="1"/>
      <w:numFmt w:val="bullet"/>
      <w:lvlText w:val="o"/>
      <w:lvlJc w:val="left"/>
      <w:pPr>
        <w:ind w:left="3600" w:hanging="360"/>
      </w:pPr>
      <w:rPr>
        <w:rFonts w:ascii="Courier New" w:hAnsi="Courier New" w:cs="Courier New" w:hint="default"/>
      </w:rPr>
    </w:lvl>
    <w:lvl w:ilvl="5" w:tplc="0C6E4FC4" w:tentative="1">
      <w:start w:val="1"/>
      <w:numFmt w:val="bullet"/>
      <w:lvlText w:val=""/>
      <w:lvlJc w:val="left"/>
      <w:pPr>
        <w:ind w:left="4320" w:hanging="360"/>
      </w:pPr>
      <w:rPr>
        <w:rFonts w:ascii="Wingdings" w:hAnsi="Wingdings" w:hint="default"/>
      </w:rPr>
    </w:lvl>
    <w:lvl w:ilvl="6" w:tplc="9DDA3C36" w:tentative="1">
      <w:start w:val="1"/>
      <w:numFmt w:val="bullet"/>
      <w:lvlText w:val=""/>
      <w:lvlJc w:val="left"/>
      <w:pPr>
        <w:ind w:left="5040" w:hanging="360"/>
      </w:pPr>
      <w:rPr>
        <w:rFonts w:ascii="Symbol" w:hAnsi="Symbol" w:hint="default"/>
      </w:rPr>
    </w:lvl>
    <w:lvl w:ilvl="7" w:tplc="52FAC4B2" w:tentative="1">
      <w:start w:val="1"/>
      <w:numFmt w:val="bullet"/>
      <w:lvlText w:val="o"/>
      <w:lvlJc w:val="left"/>
      <w:pPr>
        <w:ind w:left="5760" w:hanging="360"/>
      </w:pPr>
      <w:rPr>
        <w:rFonts w:ascii="Courier New" w:hAnsi="Courier New" w:cs="Courier New" w:hint="default"/>
      </w:rPr>
    </w:lvl>
    <w:lvl w:ilvl="8" w:tplc="8396B192"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FD487BBE">
      <w:start w:val="1"/>
      <w:numFmt w:val="decimal"/>
      <w:lvlText w:val="%1."/>
      <w:lvlJc w:val="left"/>
      <w:pPr>
        <w:ind w:left="720" w:hanging="360"/>
      </w:pPr>
    </w:lvl>
    <w:lvl w:ilvl="1" w:tplc="CA501CBC" w:tentative="1">
      <w:start w:val="1"/>
      <w:numFmt w:val="lowerLetter"/>
      <w:lvlText w:val="%2."/>
      <w:lvlJc w:val="left"/>
      <w:pPr>
        <w:ind w:left="1440" w:hanging="360"/>
      </w:pPr>
    </w:lvl>
    <w:lvl w:ilvl="2" w:tplc="B338D820" w:tentative="1">
      <w:start w:val="1"/>
      <w:numFmt w:val="lowerRoman"/>
      <w:lvlText w:val="%3."/>
      <w:lvlJc w:val="right"/>
      <w:pPr>
        <w:ind w:left="2160" w:hanging="180"/>
      </w:pPr>
    </w:lvl>
    <w:lvl w:ilvl="3" w:tplc="C7BAD31E" w:tentative="1">
      <w:start w:val="1"/>
      <w:numFmt w:val="decimal"/>
      <w:lvlText w:val="%4."/>
      <w:lvlJc w:val="left"/>
      <w:pPr>
        <w:ind w:left="2880" w:hanging="360"/>
      </w:pPr>
    </w:lvl>
    <w:lvl w:ilvl="4" w:tplc="DE84F63E" w:tentative="1">
      <w:start w:val="1"/>
      <w:numFmt w:val="lowerLetter"/>
      <w:lvlText w:val="%5."/>
      <w:lvlJc w:val="left"/>
      <w:pPr>
        <w:ind w:left="3600" w:hanging="360"/>
      </w:pPr>
    </w:lvl>
    <w:lvl w:ilvl="5" w:tplc="4AE23FA0" w:tentative="1">
      <w:start w:val="1"/>
      <w:numFmt w:val="lowerRoman"/>
      <w:lvlText w:val="%6."/>
      <w:lvlJc w:val="right"/>
      <w:pPr>
        <w:ind w:left="4320" w:hanging="180"/>
      </w:pPr>
    </w:lvl>
    <w:lvl w:ilvl="6" w:tplc="40D235FA" w:tentative="1">
      <w:start w:val="1"/>
      <w:numFmt w:val="decimal"/>
      <w:lvlText w:val="%7."/>
      <w:lvlJc w:val="left"/>
      <w:pPr>
        <w:ind w:left="5040" w:hanging="360"/>
      </w:pPr>
    </w:lvl>
    <w:lvl w:ilvl="7" w:tplc="383E0A2C" w:tentative="1">
      <w:start w:val="1"/>
      <w:numFmt w:val="lowerLetter"/>
      <w:lvlText w:val="%8."/>
      <w:lvlJc w:val="left"/>
      <w:pPr>
        <w:ind w:left="5760" w:hanging="360"/>
      </w:pPr>
    </w:lvl>
    <w:lvl w:ilvl="8" w:tplc="A812312A"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85207E54">
      <w:start w:val="1"/>
      <w:numFmt w:val="bullet"/>
      <w:lvlText w:val=""/>
      <w:lvlJc w:val="left"/>
      <w:pPr>
        <w:ind w:left="720" w:hanging="360"/>
      </w:pPr>
      <w:rPr>
        <w:rFonts w:ascii="Symbol" w:hAnsi="Symbol" w:hint="default"/>
      </w:rPr>
    </w:lvl>
    <w:lvl w:ilvl="1" w:tplc="0450EC3A" w:tentative="1">
      <w:start w:val="1"/>
      <w:numFmt w:val="bullet"/>
      <w:lvlText w:val="o"/>
      <w:lvlJc w:val="left"/>
      <w:pPr>
        <w:ind w:left="1440" w:hanging="360"/>
      </w:pPr>
      <w:rPr>
        <w:rFonts w:ascii="Courier New" w:hAnsi="Courier New" w:cs="Courier New" w:hint="default"/>
      </w:rPr>
    </w:lvl>
    <w:lvl w:ilvl="2" w:tplc="0E869C2E" w:tentative="1">
      <w:start w:val="1"/>
      <w:numFmt w:val="bullet"/>
      <w:lvlText w:val=""/>
      <w:lvlJc w:val="left"/>
      <w:pPr>
        <w:ind w:left="2160" w:hanging="360"/>
      </w:pPr>
      <w:rPr>
        <w:rFonts w:ascii="Wingdings" w:hAnsi="Wingdings" w:hint="default"/>
      </w:rPr>
    </w:lvl>
    <w:lvl w:ilvl="3" w:tplc="10D4146A" w:tentative="1">
      <w:start w:val="1"/>
      <w:numFmt w:val="bullet"/>
      <w:lvlText w:val=""/>
      <w:lvlJc w:val="left"/>
      <w:pPr>
        <w:ind w:left="2880" w:hanging="360"/>
      </w:pPr>
      <w:rPr>
        <w:rFonts w:ascii="Symbol" w:hAnsi="Symbol" w:hint="default"/>
      </w:rPr>
    </w:lvl>
    <w:lvl w:ilvl="4" w:tplc="70807E42" w:tentative="1">
      <w:start w:val="1"/>
      <w:numFmt w:val="bullet"/>
      <w:lvlText w:val="o"/>
      <w:lvlJc w:val="left"/>
      <w:pPr>
        <w:ind w:left="3600" w:hanging="360"/>
      </w:pPr>
      <w:rPr>
        <w:rFonts w:ascii="Courier New" w:hAnsi="Courier New" w:cs="Courier New" w:hint="default"/>
      </w:rPr>
    </w:lvl>
    <w:lvl w:ilvl="5" w:tplc="2B06F9E4" w:tentative="1">
      <w:start w:val="1"/>
      <w:numFmt w:val="bullet"/>
      <w:lvlText w:val=""/>
      <w:lvlJc w:val="left"/>
      <w:pPr>
        <w:ind w:left="4320" w:hanging="360"/>
      </w:pPr>
      <w:rPr>
        <w:rFonts w:ascii="Wingdings" w:hAnsi="Wingdings" w:hint="default"/>
      </w:rPr>
    </w:lvl>
    <w:lvl w:ilvl="6" w:tplc="5128D86E" w:tentative="1">
      <w:start w:val="1"/>
      <w:numFmt w:val="bullet"/>
      <w:lvlText w:val=""/>
      <w:lvlJc w:val="left"/>
      <w:pPr>
        <w:ind w:left="5040" w:hanging="360"/>
      </w:pPr>
      <w:rPr>
        <w:rFonts w:ascii="Symbol" w:hAnsi="Symbol" w:hint="default"/>
      </w:rPr>
    </w:lvl>
    <w:lvl w:ilvl="7" w:tplc="6DA6E5F8" w:tentative="1">
      <w:start w:val="1"/>
      <w:numFmt w:val="bullet"/>
      <w:lvlText w:val="o"/>
      <w:lvlJc w:val="left"/>
      <w:pPr>
        <w:ind w:left="5760" w:hanging="360"/>
      </w:pPr>
      <w:rPr>
        <w:rFonts w:ascii="Courier New" w:hAnsi="Courier New" w:cs="Courier New" w:hint="default"/>
      </w:rPr>
    </w:lvl>
    <w:lvl w:ilvl="8" w:tplc="EB5263EC"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5FA017A2">
      <w:start w:val="1"/>
      <w:numFmt w:val="bullet"/>
      <w:lvlText w:val=""/>
      <w:lvlJc w:val="left"/>
      <w:pPr>
        <w:ind w:left="360" w:hanging="360"/>
      </w:pPr>
      <w:rPr>
        <w:rFonts w:ascii="Symbol" w:hAnsi="Symbol" w:hint="default"/>
        <w:sz w:val="28"/>
        <w:szCs w:val="28"/>
      </w:rPr>
    </w:lvl>
    <w:lvl w:ilvl="1" w:tplc="E91A15B8" w:tentative="1">
      <w:start w:val="1"/>
      <w:numFmt w:val="bullet"/>
      <w:lvlText w:val="o"/>
      <w:lvlJc w:val="left"/>
      <w:pPr>
        <w:ind w:left="1080" w:hanging="360"/>
      </w:pPr>
      <w:rPr>
        <w:rFonts w:ascii="Courier New" w:hAnsi="Courier New" w:cs="Courier New" w:hint="default"/>
      </w:rPr>
    </w:lvl>
    <w:lvl w:ilvl="2" w:tplc="9AD2E0A0" w:tentative="1">
      <w:start w:val="1"/>
      <w:numFmt w:val="bullet"/>
      <w:lvlText w:val=""/>
      <w:lvlJc w:val="left"/>
      <w:pPr>
        <w:ind w:left="1800" w:hanging="360"/>
      </w:pPr>
      <w:rPr>
        <w:rFonts w:ascii="Wingdings" w:hAnsi="Wingdings" w:hint="default"/>
      </w:rPr>
    </w:lvl>
    <w:lvl w:ilvl="3" w:tplc="0A4A1DAA" w:tentative="1">
      <w:start w:val="1"/>
      <w:numFmt w:val="bullet"/>
      <w:lvlText w:val=""/>
      <w:lvlJc w:val="left"/>
      <w:pPr>
        <w:ind w:left="2520" w:hanging="360"/>
      </w:pPr>
      <w:rPr>
        <w:rFonts w:ascii="Symbol" w:hAnsi="Symbol" w:hint="default"/>
      </w:rPr>
    </w:lvl>
    <w:lvl w:ilvl="4" w:tplc="67D27816" w:tentative="1">
      <w:start w:val="1"/>
      <w:numFmt w:val="bullet"/>
      <w:lvlText w:val="o"/>
      <w:lvlJc w:val="left"/>
      <w:pPr>
        <w:ind w:left="3240" w:hanging="360"/>
      </w:pPr>
      <w:rPr>
        <w:rFonts w:ascii="Courier New" w:hAnsi="Courier New" w:cs="Courier New" w:hint="default"/>
      </w:rPr>
    </w:lvl>
    <w:lvl w:ilvl="5" w:tplc="4BF0B558" w:tentative="1">
      <w:start w:val="1"/>
      <w:numFmt w:val="bullet"/>
      <w:lvlText w:val=""/>
      <w:lvlJc w:val="left"/>
      <w:pPr>
        <w:ind w:left="3960" w:hanging="360"/>
      </w:pPr>
      <w:rPr>
        <w:rFonts w:ascii="Wingdings" w:hAnsi="Wingdings" w:hint="default"/>
      </w:rPr>
    </w:lvl>
    <w:lvl w:ilvl="6" w:tplc="73588296" w:tentative="1">
      <w:start w:val="1"/>
      <w:numFmt w:val="bullet"/>
      <w:lvlText w:val=""/>
      <w:lvlJc w:val="left"/>
      <w:pPr>
        <w:ind w:left="4680" w:hanging="360"/>
      </w:pPr>
      <w:rPr>
        <w:rFonts w:ascii="Symbol" w:hAnsi="Symbol" w:hint="default"/>
      </w:rPr>
    </w:lvl>
    <w:lvl w:ilvl="7" w:tplc="57AAA430" w:tentative="1">
      <w:start w:val="1"/>
      <w:numFmt w:val="bullet"/>
      <w:lvlText w:val="o"/>
      <w:lvlJc w:val="left"/>
      <w:pPr>
        <w:ind w:left="5400" w:hanging="360"/>
      </w:pPr>
      <w:rPr>
        <w:rFonts w:ascii="Courier New" w:hAnsi="Courier New" w:cs="Courier New" w:hint="default"/>
      </w:rPr>
    </w:lvl>
    <w:lvl w:ilvl="8" w:tplc="63B2127C" w:tentative="1">
      <w:start w:val="1"/>
      <w:numFmt w:val="bullet"/>
      <w:lvlText w:val=""/>
      <w:lvlJc w:val="left"/>
      <w:pPr>
        <w:ind w:left="6120" w:hanging="360"/>
      </w:pPr>
      <w:rPr>
        <w:rFonts w:ascii="Wingdings" w:hAnsi="Wingding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0A1A7DE"/>
    <w:multiLevelType w:val="hybridMultilevel"/>
    <w:tmpl w:val="4B9AA69C"/>
    <w:lvl w:ilvl="0" w:tplc="B5CA73A2">
      <w:start w:val="1"/>
      <w:numFmt w:val="bullet"/>
      <w:lvlText w:val=""/>
      <w:lvlJc w:val="left"/>
      <w:pPr>
        <w:ind w:left="720" w:hanging="360"/>
      </w:pPr>
      <w:rPr>
        <w:rFonts w:ascii="Symbol" w:hAnsi="Symbol" w:hint="default"/>
      </w:rPr>
    </w:lvl>
    <w:lvl w:ilvl="1" w:tplc="B04CCCCE">
      <w:start w:val="1"/>
      <w:numFmt w:val="bullet"/>
      <w:lvlText w:val="o"/>
      <w:lvlJc w:val="left"/>
      <w:pPr>
        <w:ind w:left="1440" w:hanging="360"/>
      </w:pPr>
      <w:rPr>
        <w:rFonts w:ascii="Courier New" w:hAnsi="Courier New" w:hint="default"/>
      </w:rPr>
    </w:lvl>
    <w:lvl w:ilvl="2" w:tplc="874610D6">
      <w:start w:val="1"/>
      <w:numFmt w:val="bullet"/>
      <w:lvlText w:val=""/>
      <w:lvlJc w:val="left"/>
      <w:pPr>
        <w:ind w:left="2160" w:hanging="360"/>
      </w:pPr>
      <w:rPr>
        <w:rFonts w:ascii="Wingdings" w:hAnsi="Wingdings" w:hint="default"/>
      </w:rPr>
    </w:lvl>
    <w:lvl w:ilvl="3" w:tplc="4AA2B412">
      <w:start w:val="1"/>
      <w:numFmt w:val="bullet"/>
      <w:lvlText w:val=""/>
      <w:lvlJc w:val="left"/>
      <w:pPr>
        <w:ind w:left="2880" w:hanging="360"/>
      </w:pPr>
      <w:rPr>
        <w:rFonts w:ascii="Symbol" w:hAnsi="Symbol" w:hint="default"/>
      </w:rPr>
    </w:lvl>
    <w:lvl w:ilvl="4" w:tplc="C97E5CF4">
      <w:start w:val="1"/>
      <w:numFmt w:val="bullet"/>
      <w:lvlText w:val="o"/>
      <w:lvlJc w:val="left"/>
      <w:pPr>
        <w:ind w:left="3600" w:hanging="360"/>
      </w:pPr>
      <w:rPr>
        <w:rFonts w:ascii="Courier New" w:hAnsi="Courier New" w:hint="default"/>
      </w:rPr>
    </w:lvl>
    <w:lvl w:ilvl="5" w:tplc="5298035E">
      <w:start w:val="1"/>
      <w:numFmt w:val="bullet"/>
      <w:lvlText w:val=""/>
      <w:lvlJc w:val="left"/>
      <w:pPr>
        <w:ind w:left="4320" w:hanging="360"/>
      </w:pPr>
      <w:rPr>
        <w:rFonts w:ascii="Wingdings" w:hAnsi="Wingdings" w:hint="default"/>
      </w:rPr>
    </w:lvl>
    <w:lvl w:ilvl="6" w:tplc="89ECA500">
      <w:start w:val="1"/>
      <w:numFmt w:val="bullet"/>
      <w:lvlText w:val=""/>
      <w:lvlJc w:val="left"/>
      <w:pPr>
        <w:ind w:left="5040" w:hanging="360"/>
      </w:pPr>
      <w:rPr>
        <w:rFonts w:ascii="Symbol" w:hAnsi="Symbol" w:hint="default"/>
      </w:rPr>
    </w:lvl>
    <w:lvl w:ilvl="7" w:tplc="7B4EE84C">
      <w:start w:val="1"/>
      <w:numFmt w:val="bullet"/>
      <w:lvlText w:val="o"/>
      <w:lvlJc w:val="left"/>
      <w:pPr>
        <w:ind w:left="5760" w:hanging="360"/>
      </w:pPr>
      <w:rPr>
        <w:rFonts w:ascii="Courier New" w:hAnsi="Courier New" w:hint="default"/>
      </w:rPr>
    </w:lvl>
    <w:lvl w:ilvl="8" w:tplc="3F68D33A">
      <w:start w:val="1"/>
      <w:numFmt w:val="bullet"/>
      <w:lvlText w:val=""/>
      <w:lvlJc w:val="left"/>
      <w:pPr>
        <w:ind w:left="6480" w:hanging="360"/>
      </w:pPr>
      <w:rPr>
        <w:rFonts w:ascii="Wingdings" w:hAnsi="Wingdings" w:hint="default"/>
      </w:rPr>
    </w:lvl>
  </w:abstractNum>
  <w:abstractNum w:abstractNumId="24" w15:restartNumberingAfterBreak="0">
    <w:nsid w:val="747B6BC2"/>
    <w:multiLevelType w:val="hybridMultilevel"/>
    <w:tmpl w:val="36F6EDBE"/>
    <w:lvl w:ilvl="0" w:tplc="6B925AB4">
      <w:start w:val="1"/>
      <w:numFmt w:val="bullet"/>
      <w:lvlText w:val=""/>
      <w:lvlJc w:val="left"/>
      <w:pPr>
        <w:ind w:left="720" w:hanging="360"/>
      </w:pPr>
      <w:rPr>
        <w:rFonts w:ascii="Symbol" w:hAnsi="Symbol" w:hint="default"/>
      </w:rPr>
    </w:lvl>
    <w:lvl w:ilvl="1" w:tplc="3B00E2A8" w:tentative="1">
      <w:start w:val="1"/>
      <w:numFmt w:val="bullet"/>
      <w:lvlText w:val="o"/>
      <w:lvlJc w:val="left"/>
      <w:pPr>
        <w:ind w:left="1440" w:hanging="360"/>
      </w:pPr>
      <w:rPr>
        <w:rFonts w:ascii="Courier New" w:hAnsi="Courier New" w:cs="Courier New" w:hint="default"/>
      </w:rPr>
    </w:lvl>
    <w:lvl w:ilvl="2" w:tplc="E698E17E" w:tentative="1">
      <w:start w:val="1"/>
      <w:numFmt w:val="bullet"/>
      <w:lvlText w:val=""/>
      <w:lvlJc w:val="left"/>
      <w:pPr>
        <w:ind w:left="2160" w:hanging="360"/>
      </w:pPr>
      <w:rPr>
        <w:rFonts w:ascii="Wingdings" w:hAnsi="Wingdings" w:hint="default"/>
      </w:rPr>
    </w:lvl>
    <w:lvl w:ilvl="3" w:tplc="2862A7B6" w:tentative="1">
      <w:start w:val="1"/>
      <w:numFmt w:val="bullet"/>
      <w:lvlText w:val=""/>
      <w:lvlJc w:val="left"/>
      <w:pPr>
        <w:ind w:left="2880" w:hanging="360"/>
      </w:pPr>
      <w:rPr>
        <w:rFonts w:ascii="Symbol" w:hAnsi="Symbol" w:hint="default"/>
      </w:rPr>
    </w:lvl>
    <w:lvl w:ilvl="4" w:tplc="922C46AE" w:tentative="1">
      <w:start w:val="1"/>
      <w:numFmt w:val="bullet"/>
      <w:lvlText w:val="o"/>
      <w:lvlJc w:val="left"/>
      <w:pPr>
        <w:ind w:left="3600" w:hanging="360"/>
      </w:pPr>
      <w:rPr>
        <w:rFonts w:ascii="Courier New" w:hAnsi="Courier New" w:cs="Courier New" w:hint="default"/>
      </w:rPr>
    </w:lvl>
    <w:lvl w:ilvl="5" w:tplc="E72E9372" w:tentative="1">
      <w:start w:val="1"/>
      <w:numFmt w:val="bullet"/>
      <w:lvlText w:val=""/>
      <w:lvlJc w:val="left"/>
      <w:pPr>
        <w:ind w:left="4320" w:hanging="360"/>
      </w:pPr>
      <w:rPr>
        <w:rFonts w:ascii="Wingdings" w:hAnsi="Wingdings" w:hint="default"/>
      </w:rPr>
    </w:lvl>
    <w:lvl w:ilvl="6" w:tplc="1C428C4A" w:tentative="1">
      <w:start w:val="1"/>
      <w:numFmt w:val="bullet"/>
      <w:lvlText w:val=""/>
      <w:lvlJc w:val="left"/>
      <w:pPr>
        <w:ind w:left="5040" w:hanging="360"/>
      </w:pPr>
      <w:rPr>
        <w:rFonts w:ascii="Symbol" w:hAnsi="Symbol" w:hint="default"/>
      </w:rPr>
    </w:lvl>
    <w:lvl w:ilvl="7" w:tplc="973427D2" w:tentative="1">
      <w:start w:val="1"/>
      <w:numFmt w:val="bullet"/>
      <w:lvlText w:val="o"/>
      <w:lvlJc w:val="left"/>
      <w:pPr>
        <w:ind w:left="5760" w:hanging="360"/>
      </w:pPr>
      <w:rPr>
        <w:rFonts w:ascii="Courier New" w:hAnsi="Courier New" w:cs="Courier New" w:hint="default"/>
      </w:rPr>
    </w:lvl>
    <w:lvl w:ilvl="8" w:tplc="2B1AD866"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D77C39AA">
      <w:start w:val="1"/>
      <w:numFmt w:val="decimal"/>
      <w:lvlText w:val="%1."/>
      <w:lvlJc w:val="left"/>
      <w:pPr>
        <w:ind w:left="720" w:hanging="360"/>
      </w:pPr>
    </w:lvl>
    <w:lvl w:ilvl="1" w:tplc="90B604BC" w:tentative="1">
      <w:start w:val="1"/>
      <w:numFmt w:val="lowerLetter"/>
      <w:lvlText w:val="%2."/>
      <w:lvlJc w:val="left"/>
      <w:pPr>
        <w:ind w:left="1440" w:hanging="360"/>
      </w:pPr>
    </w:lvl>
    <w:lvl w:ilvl="2" w:tplc="160E7026" w:tentative="1">
      <w:start w:val="1"/>
      <w:numFmt w:val="lowerRoman"/>
      <w:lvlText w:val="%3."/>
      <w:lvlJc w:val="right"/>
      <w:pPr>
        <w:ind w:left="2160" w:hanging="180"/>
      </w:pPr>
    </w:lvl>
    <w:lvl w:ilvl="3" w:tplc="CB08A2A2" w:tentative="1">
      <w:start w:val="1"/>
      <w:numFmt w:val="decimal"/>
      <w:lvlText w:val="%4."/>
      <w:lvlJc w:val="left"/>
      <w:pPr>
        <w:ind w:left="2880" w:hanging="360"/>
      </w:pPr>
    </w:lvl>
    <w:lvl w:ilvl="4" w:tplc="B380E326" w:tentative="1">
      <w:start w:val="1"/>
      <w:numFmt w:val="lowerLetter"/>
      <w:lvlText w:val="%5."/>
      <w:lvlJc w:val="left"/>
      <w:pPr>
        <w:ind w:left="3600" w:hanging="360"/>
      </w:pPr>
    </w:lvl>
    <w:lvl w:ilvl="5" w:tplc="DE18ED5C" w:tentative="1">
      <w:start w:val="1"/>
      <w:numFmt w:val="lowerRoman"/>
      <w:lvlText w:val="%6."/>
      <w:lvlJc w:val="right"/>
      <w:pPr>
        <w:ind w:left="4320" w:hanging="180"/>
      </w:pPr>
    </w:lvl>
    <w:lvl w:ilvl="6" w:tplc="7DFA4B8E" w:tentative="1">
      <w:start w:val="1"/>
      <w:numFmt w:val="decimal"/>
      <w:lvlText w:val="%7."/>
      <w:lvlJc w:val="left"/>
      <w:pPr>
        <w:ind w:left="5040" w:hanging="360"/>
      </w:pPr>
    </w:lvl>
    <w:lvl w:ilvl="7" w:tplc="004E2A3E" w:tentative="1">
      <w:start w:val="1"/>
      <w:numFmt w:val="lowerLetter"/>
      <w:lvlText w:val="%8."/>
      <w:lvlJc w:val="left"/>
      <w:pPr>
        <w:ind w:left="5760" w:hanging="360"/>
      </w:pPr>
    </w:lvl>
    <w:lvl w:ilvl="8" w:tplc="0D469470" w:tentative="1">
      <w:start w:val="1"/>
      <w:numFmt w:val="lowerRoman"/>
      <w:lvlText w:val="%9."/>
      <w:lvlJc w:val="right"/>
      <w:pPr>
        <w:ind w:left="6480" w:hanging="180"/>
      </w:pPr>
    </w:lvl>
  </w:abstractNum>
  <w:num w:numId="1" w16cid:durableId="1721435994">
    <w:abstractNumId w:val="23"/>
  </w:num>
  <w:num w:numId="2" w16cid:durableId="1752123839">
    <w:abstractNumId w:val="12"/>
  </w:num>
  <w:num w:numId="3" w16cid:durableId="1984042491">
    <w:abstractNumId w:val="17"/>
  </w:num>
  <w:num w:numId="4" w16cid:durableId="118914537">
    <w:abstractNumId w:val="22"/>
  </w:num>
  <w:num w:numId="5" w16cid:durableId="1932934919">
    <w:abstractNumId w:val="7"/>
  </w:num>
  <w:num w:numId="6" w16cid:durableId="584412448">
    <w:abstractNumId w:val="19"/>
  </w:num>
  <w:num w:numId="7" w16cid:durableId="1692337555">
    <w:abstractNumId w:val="21"/>
  </w:num>
  <w:num w:numId="8" w16cid:durableId="1668751632">
    <w:abstractNumId w:val="13"/>
  </w:num>
  <w:num w:numId="9" w16cid:durableId="1699504584">
    <w:abstractNumId w:val="15"/>
  </w:num>
  <w:num w:numId="10" w16cid:durableId="1471939920">
    <w:abstractNumId w:val="8"/>
  </w:num>
  <w:num w:numId="11" w16cid:durableId="1456294289">
    <w:abstractNumId w:val="14"/>
  </w:num>
  <w:num w:numId="12" w16cid:durableId="1090856223">
    <w:abstractNumId w:val="18"/>
  </w:num>
  <w:num w:numId="13" w16cid:durableId="347753210">
    <w:abstractNumId w:val="10"/>
  </w:num>
  <w:num w:numId="14" w16cid:durableId="62803357">
    <w:abstractNumId w:val="25"/>
  </w:num>
  <w:num w:numId="15" w16cid:durableId="571625102">
    <w:abstractNumId w:val="24"/>
  </w:num>
  <w:num w:numId="16" w16cid:durableId="1783526964">
    <w:abstractNumId w:val="11"/>
  </w:num>
  <w:num w:numId="17" w16cid:durableId="985014971">
    <w:abstractNumId w:val="6"/>
  </w:num>
  <w:num w:numId="18" w16cid:durableId="1511211528">
    <w:abstractNumId w:val="5"/>
  </w:num>
  <w:num w:numId="19" w16cid:durableId="1311205117">
    <w:abstractNumId w:val="16"/>
  </w:num>
  <w:num w:numId="20" w16cid:durableId="81266712">
    <w:abstractNumId w:val="9"/>
  </w:num>
  <w:num w:numId="21" w16cid:durableId="1802188761">
    <w:abstractNumId w:val="20"/>
  </w:num>
  <w:num w:numId="22" w16cid:durableId="225191431">
    <w:abstractNumId w:val="0"/>
  </w:num>
  <w:num w:numId="23" w16cid:durableId="475996718">
    <w:abstractNumId w:val="1"/>
  </w:num>
  <w:num w:numId="24" w16cid:durableId="2139373620">
    <w:abstractNumId w:val="2"/>
  </w:num>
  <w:num w:numId="25" w16cid:durableId="1313751575">
    <w:abstractNumId w:val="3"/>
  </w:num>
  <w:num w:numId="26" w16cid:durableId="2060930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4F5"/>
    <w:rsid w:val="00001C8D"/>
    <w:rsid w:val="0000297B"/>
    <w:rsid w:val="000030F9"/>
    <w:rsid w:val="00003937"/>
    <w:rsid w:val="0000515B"/>
    <w:rsid w:val="00006FAE"/>
    <w:rsid w:val="0000740D"/>
    <w:rsid w:val="0000764D"/>
    <w:rsid w:val="00011457"/>
    <w:rsid w:val="00012604"/>
    <w:rsid w:val="00012F29"/>
    <w:rsid w:val="000133AA"/>
    <w:rsid w:val="00013652"/>
    <w:rsid w:val="00016DB4"/>
    <w:rsid w:val="00016F30"/>
    <w:rsid w:val="00016FED"/>
    <w:rsid w:val="0001732E"/>
    <w:rsid w:val="000178E2"/>
    <w:rsid w:val="000257E8"/>
    <w:rsid w:val="000309BB"/>
    <w:rsid w:val="00032A9F"/>
    <w:rsid w:val="0003314C"/>
    <w:rsid w:val="0003421D"/>
    <w:rsid w:val="00034DD1"/>
    <w:rsid w:val="00037E4B"/>
    <w:rsid w:val="00042A52"/>
    <w:rsid w:val="0004355D"/>
    <w:rsid w:val="00044BA9"/>
    <w:rsid w:val="00045E06"/>
    <w:rsid w:val="00047A20"/>
    <w:rsid w:val="00051D01"/>
    <w:rsid w:val="00053007"/>
    <w:rsid w:val="00053DFF"/>
    <w:rsid w:val="00056FFE"/>
    <w:rsid w:val="00057B67"/>
    <w:rsid w:val="00061AE6"/>
    <w:rsid w:val="00061E0E"/>
    <w:rsid w:val="00062BF2"/>
    <w:rsid w:val="00062E6F"/>
    <w:rsid w:val="00066F92"/>
    <w:rsid w:val="00067001"/>
    <w:rsid w:val="000706DA"/>
    <w:rsid w:val="00070753"/>
    <w:rsid w:val="00070B23"/>
    <w:rsid w:val="00071363"/>
    <w:rsid w:val="00071E9B"/>
    <w:rsid w:val="0007506F"/>
    <w:rsid w:val="00075E80"/>
    <w:rsid w:val="00076815"/>
    <w:rsid w:val="000775E4"/>
    <w:rsid w:val="000805B8"/>
    <w:rsid w:val="00081F44"/>
    <w:rsid w:val="00082A5F"/>
    <w:rsid w:val="00083129"/>
    <w:rsid w:val="000843F9"/>
    <w:rsid w:val="0008551C"/>
    <w:rsid w:val="000856CB"/>
    <w:rsid w:val="00085E90"/>
    <w:rsid w:val="0008795B"/>
    <w:rsid w:val="00090C34"/>
    <w:rsid w:val="00090E21"/>
    <w:rsid w:val="00090EE6"/>
    <w:rsid w:val="000911B2"/>
    <w:rsid w:val="0009744F"/>
    <w:rsid w:val="000A2C29"/>
    <w:rsid w:val="000A3006"/>
    <w:rsid w:val="000A35C8"/>
    <w:rsid w:val="000A3D3B"/>
    <w:rsid w:val="000A3E40"/>
    <w:rsid w:val="000A40FB"/>
    <w:rsid w:val="000A7CB0"/>
    <w:rsid w:val="000A7E09"/>
    <w:rsid w:val="000B0367"/>
    <w:rsid w:val="000B06FF"/>
    <w:rsid w:val="000B41B6"/>
    <w:rsid w:val="000B5EF7"/>
    <w:rsid w:val="000B673B"/>
    <w:rsid w:val="000B6E04"/>
    <w:rsid w:val="000C0049"/>
    <w:rsid w:val="000C03AA"/>
    <w:rsid w:val="000C1918"/>
    <w:rsid w:val="000C2C3D"/>
    <w:rsid w:val="000C62EE"/>
    <w:rsid w:val="000C7C89"/>
    <w:rsid w:val="000D2D66"/>
    <w:rsid w:val="000D43A6"/>
    <w:rsid w:val="000E1806"/>
    <w:rsid w:val="000E2553"/>
    <w:rsid w:val="000E2949"/>
    <w:rsid w:val="000E2ABF"/>
    <w:rsid w:val="000E3BD2"/>
    <w:rsid w:val="000E3C99"/>
    <w:rsid w:val="000E3D2A"/>
    <w:rsid w:val="000E3F21"/>
    <w:rsid w:val="000E482D"/>
    <w:rsid w:val="000E4C51"/>
    <w:rsid w:val="000E6D1E"/>
    <w:rsid w:val="000E7B7C"/>
    <w:rsid w:val="000F09E6"/>
    <w:rsid w:val="000F14A6"/>
    <w:rsid w:val="000F1D64"/>
    <w:rsid w:val="000F446E"/>
    <w:rsid w:val="000F5289"/>
    <w:rsid w:val="000F56A7"/>
    <w:rsid w:val="000F74D5"/>
    <w:rsid w:val="001044E7"/>
    <w:rsid w:val="001063C7"/>
    <w:rsid w:val="00107760"/>
    <w:rsid w:val="001109C8"/>
    <w:rsid w:val="001144FA"/>
    <w:rsid w:val="001158F1"/>
    <w:rsid w:val="00121913"/>
    <w:rsid w:val="0012427D"/>
    <w:rsid w:val="00126E7C"/>
    <w:rsid w:val="001308F5"/>
    <w:rsid w:val="001316F1"/>
    <w:rsid w:val="00131C84"/>
    <w:rsid w:val="00132FC4"/>
    <w:rsid w:val="00134858"/>
    <w:rsid w:val="00134D3F"/>
    <w:rsid w:val="00136A18"/>
    <w:rsid w:val="00136E5C"/>
    <w:rsid w:val="0013746D"/>
    <w:rsid w:val="001375BC"/>
    <w:rsid w:val="00137A2E"/>
    <w:rsid w:val="00137E12"/>
    <w:rsid w:val="0014210A"/>
    <w:rsid w:val="00142EBD"/>
    <w:rsid w:val="0014737A"/>
    <w:rsid w:val="00147CBA"/>
    <w:rsid w:val="00151CFF"/>
    <w:rsid w:val="001520FA"/>
    <w:rsid w:val="0015327B"/>
    <w:rsid w:val="00154BBA"/>
    <w:rsid w:val="00155039"/>
    <w:rsid w:val="001554AD"/>
    <w:rsid w:val="00155BA7"/>
    <w:rsid w:val="00155DD4"/>
    <w:rsid w:val="00156A4B"/>
    <w:rsid w:val="00157D2E"/>
    <w:rsid w:val="00160066"/>
    <w:rsid w:val="00161AAC"/>
    <w:rsid w:val="001624E4"/>
    <w:rsid w:val="00162F1A"/>
    <w:rsid w:val="001647AC"/>
    <w:rsid w:val="001659C2"/>
    <w:rsid w:val="001722A3"/>
    <w:rsid w:val="00172420"/>
    <w:rsid w:val="00174926"/>
    <w:rsid w:val="0017523E"/>
    <w:rsid w:val="00175762"/>
    <w:rsid w:val="0017615C"/>
    <w:rsid w:val="00177A4A"/>
    <w:rsid w:val="001806FF"/>
    <w:rsid w:val="00180BAD"/>
    <w:rsid w:val="001819DD"/>
    <w:rsid w:val="00181A81"/>
    <w:rsid w:val="00181BE5"/>
    <w:rsid w:val="00182383"/>
    <w:rsid w:val="00182472"/>
    <w:rsid w:val="00182B81"/>
    <w:rsid w:val="00183BED"/>
    <w:rsid w:val="001845B3"/>
    <w:rsid w:val="00184B22"/>
    <w:rsid w:val="00186089"/>
    <w:rsid w:val="00186C74"/>
    <w:rsid w:val="00194C04"/>
    <w:rsid w:val="00194CE8"/>
    <w:rsid w:val="001959A2"/>
    <w:rsid w:val="00195AEA"/>
    <w:rsid w:val="00196282"/>
    <w:rsid w:val="00197923"/>
    <w:rsid w:val="001A1CA1"/>
    <w:rsid w:val="001A448F"/>
    <w:rsid w:val="001A5A4B"/>
    <w:rsid w:val="001A5E64"/>
    <w:rsid w:val="001A689E"/>
    <w:rsid w:val="001A6CA1"/>
    <w:rsid w:val="001A73A7"/>
    <w:rsid w:val="001A789E"/>
    <w:rsid w:val="001B201A"/>
    <w:rsid w:val="001B6F9E"/>
    <w:rsid w:val="001C29C6"/>
    <w:rsid w:val="001C404C"/>
    <w:rsid w:val="001C4375"/>
    <w:rsid w:val="001C5040"/>
    <w:rsid w:val="001C5884"/>
    <w:rsid w:val="001D213D"/>
    <w:rsid w:val="001D299A"/>
    <w:rsid w:val="001D38BB"/>
    <w:rsid w:val="001D4754"/>
    <w:rsid w:val="001D6921"/>
    <w:rsid w:val="001D7319"/>
    <w:rsid w:val="001E3AEB"/>
    <w:rsid w:val="001E5A7C"/>
    <w:rsid w:val="001E7AF6"/>
    <w:rsid w:val="001F03B3"/>
    <w:rsid w:val="001F3109"/>
    <w:rsid w:val="001F7E48"/>
    <w:rsid w:val="002005DD"/>
    <w:rsid w:val="00200D0A"/>
    <w:rsid w:val="00202FCF"/>
    <w:rsid w:val="00203BD8"/>
    <w:rsid w:val="00204E19"/>
    <w:rsid w:val="002067A7"/>
    <w:rsid w:val="00207CA0"/>
    <w:rsid w:val="00210517"/>
    <w:rsid w:val="00210DD6"/>
    <w:rsid w:val="00212520"/>
    <w:rsid w:val="00212A09"/>
    <w:rsid w:val="00214319"/>
    <w:rsid w:val="002160D9"/>
    <w:rsid w:val="00220561"/>
    <w:rsid w:val="00223B55"/>
    <w:rsid w:val="00223E88"/>
    <w:rsid w:val="00225F3F"/>
    <w:rsid w:val="00226701"/>
    <w:rsid w:val="0022740C"/>
    <w:rsid w:val="0023296D"/>
    <w:rsid w:val="00232DDC"/>
    <w:rsid w:val="00232E8A"/>
    <w:rsid w:val="00235D43"/>
    <w:rsid w:val="00237035"/>
    <w:rsid w:val="0024117E"/>
    <w:rsid w:val="00241999"/>
    <w:rsid w:val="002419DA"/>
    <w:rsid w:val="00244C48"/>
    <w:rsid w:val="00245A77"/>
    <w:rsid w:val="00246337"/>
    <w:rsid w:val="00246428"/>
    <w:rsid w:val="00246610"/>
    <w:rsid w:val="0025112F"/>
    <w:rsid w:val="00252077"/>
    <w:rsid w:val="002521CA"/>
    <w:rsid w:val="00253D6B"/>
    <w:rsid w:val="0025705B"/>
    <w:rsid w:val="00261881"/>
    <w:rsid w:val="00263640"/>
    <w:rsid w:val="002642F3"/>
    <w:rsid w:val="002652BE"/>
    <w:rsid w:val="00270786"/>
    <w:rsid w:val="0027264D"/>
    <w:rsid w:val="00272A08"/>
    <w:rsid w:val="00273EDD"/>
    <w:rsid w:val="0027571A"/>
    <w:rsid w:val="00275A22"/>
    <w:rsid w:val="0027695F"/>
    <w:rsid w:val="00277094"/>
    <w:rsid w:val="00280DF1"/>
    <w:rsid w:val="00283101"/>
    <w:rsid w:val="0028383E"/>
    <w:rsid w:val="002854DB"/>
    <w:rsid w:val="00286079"/>
    <w:rsid w:val="00286B74"/>
    <w:rsid w:val="00287AD9"/>
    <w:rsid w:val="0029113A"/>
    <w:rsid w:val="00291930"/>
    <w:rsid w:val="00295135"/>
    <w:rsid w:val="002954A8"/>
    <w:rsid w:val="00297E05"/>
    <w:rsid w:val="002A0ED9"/>
    <w:rsid w:val="002A39C1"/>
    <w:rsid w:val="002A3B7D"/>
    <w:rsid w:val="002A6435"/>
    <w:rsid w:val="002A7888"/>
    <w:rsid w:val="002B1B90"/>
    <w:rsid w:val="002B223F"/>
    <w:rsid w:val="002B610E"/>
    <w:rsid w:val="002B6362"/>
    <w:rsid w:val="002B6EE5"/>
    <w:rsid w:val="002C1695"/>
    <w:rsid w:val="002C20BD"/>
    <w:rsid w:val="002C431D"/>
    <w:rsid w:val="002C6846"/>
    <w:rsid w:val="002D1A93"/>
    <w:rsid w:val="002D4CAF"/>
    <w:rsid w:val="002D5B88"/>
    <w:rsid w:val="002E1662"/>
    <w:rsid w:val="002E1677"/>
    <w:rsid w:val="002E1F87"/>
    <w:rsid w:val="002E517D"/>
    <w:rsid w:val="002E6770"/>
    <w:rsid w:val="002F059C"/>
    <w:rsid w:val="002F0995"/>
    <w:rsid w:val="002F4F13"/>
    <w:rsid w:val="002F6088"/>
    <w:rsid w:val="002F7457"/>
    <w:rsid w:val="00300A03"/>
    <w:rsid w:val="00301564"/>
    <w:rsid w:val="00301E4F"/>
    <w:rsid w:val="00302A80"/>
    <w:rsid w:val="00302CD3"/>
    <w:rsid w:val="003046F7"/>
    <w:rsid w:val="00304F16"/>
    <w:rsid w:val="00306913"/>
    <w:rsid w:val="00306A47"/>
    <w:rsid w:val="00306B02"/>
    <w:rsid w:val="00307175"/>
    <w:rsid w:val="00307F09"/>
    <w:rsid w:val="00314817"/>
    <w:rsid w:val="003152BF"/>
    <w:rsid w:val="0031658E"/>
    <w:rsid w:val="00316B11"/>
    <w:rsid w:val="00317A68"/>
    <w:rsid w:val="00320FC5"/>
    <w:rsid w:val="00321284"/>
    <w:rsid w:val="003212FE"/>
    <w:rsid w:val="00322C24"/>
    <w:rsid w:val="003245A5"/>
    <w:rsid w:val="00324AFA"/>
    <w:rsid w:val="00324F3F"/>
    <w:rsid w:val="0032593E"/>
    <w:rsid w:val="00325E02"/>
    <w:rsid w:val="003273E1"/>
    <w:rsid w:val="003308E9"/>
    <w:rsid w:val="003315CF"/>
    <w:rsid w:val="003324C6"/>
    <w:rsid w:val="00332C99"/>
    <w:rsid w:val="003356A0"/>
    <w:rsid w:val="003358EB"/>
    <w:rsid w:val="00336282"/>
    <w:rsid w:val="003368A3"/>
    <w:rsid w:val="00336B14"/>
    <w:rsid w:val="00336C08"/>
    <w:rsid w:val="00337EEE"/>
    <w:rsid w:val="0034022A"/>
    <w:rsid w:val="00341177"/>
    <w:rsid w:val="00342F7D"/>
    <w:rsid w:val="00343A16"/>
    <w:rsid w:val="00344069"/>
    <w:rsid w:val="0034421B"/>
    <w:rsid w:val="0034433C"/>
    <w:rsid w:val="00346F0E"/>
    <w:rsid w:val="00351087"/>
    <w:rsid w:val="00352815"/>
    <w:rsid w:val="0035292D"/>
    <w:rsid w:val="00352EF9"/>
    <w:rsid w:val="003548DA"/>
    <w:rsid w:val="003549DA"/>
    <w:rsid w:val="0035658D"/>
    <w:rsid w:val="00356899"/>
    <w:rsid w:val="0035760E"/>
    <w:rsid w:val="0035767E"/>
    <w:rsid w:val="003611E0"/>
    <w:rsid w:val="00363A5F"/>
    <w:rsid w:val="003643FB"/>
    <w:rsid w:val="00366776"/>
    <w:rsid w:val="00367C02"/>
    <w:rsid w:val="00371271"/>
    <w:rsid w:val="00372E22"/>
    <w:rsid w:val="00374EDD"/>
    <w:rsid w:val="00375E8C"/>
    <w:rsid w:val="003763AF"/>
    <w:rsid w:val="003773CD"/>
    <w:rsid w:val="003811CC"/>
    <w:rsid w:val="00386C53"/>
    <w:rsid w:val="00387CDA"/>
    <w:rsid w:val="003978C2"/>
    <w:rsid w:val="003A0E5A"/>
    <w:rsid w:val="003A1229"/>
    <w:rsid w:val="003A17C6"/>
    <w:rsid w:val="003A45CE"/>
    <w:rsid w:val="003A4823"/>
    <w:rsid w:val="003A5297"/>
    <w:rsid w:val="003B0D77"/>
    <w:rsid w:val="003B0D95"/>
    <w:rsid w:val="003B23F3"/>
    <w:rsid w:val="003B46EC"/>
    <w:rsid w:val="003B69B6"/>
    <w:rsid w:val="003B75CD"/>
    <w:rsid w:val="003C09A3"/>
    <w:rsid w:val="003C331F"/>
    <w:rsid w:val="003D20A9"/>
    <w:rsid w:val="003D25D2"/>
    <w:rsid w:val="003D2965"/>
    <w:rsid w:val="003D2F4E"/>
    <w:rsid w:val="003D522E"/>
    <w:rsid w:val="003D67E2"/>
    <w:rsid w:val="003E2962"/>
    <w:rsid w:val="003E403D"/>
    <w:rsid w:val="003E5100"/>
    <w:rsid w:val="003E662F"/>
    <w:rsid w:val="003F06BC"/>
    <w:rsid w:val="003F2423"/>
    <w:rsid w:val="003F3A07"/>
    <w:rsid w:val="0040020A"/>
    <w:rsid w:val="0040579A"/>
    <w:rsid w:val="00405D1A"/>
    <w:rsid w:val="0041027A"/>
    <w:rsid w:val="00410625"/>
    <w:rsid w:val="00412689"/>
    <w:rsid w:val="00412EE7"/>
    <w:rsid w:val="0041349B"/>
    <w:rsid w:val="00413DD8"/>
    <w:rsid w:val="00413FE1"/>
    <w:rsid w:val="00414002"/>
    <w:rsid w:val="00414ADE"/>
    <w:rsid w:val="00414BD2"/>
    <w:rsid w:val="0041778E"/>
    <w:rsid w:val="004178BF"/>
    <w:rsid w:val="00422D6D"/>
    <w:rsid w:val="0042472E"/>
    <w:rsid w:val="00425423"/>
    <w:rsid w:val="00425CFC"/>
    <w:rsid w:val="004269D4"/>
    <w:rsid w:val="00426C4A"/>
    <w:rsid w:val="0042793E"/>
    <w:rsid w:val="004323FA"/>
    <w:rsid w:val="00432A09"/>
    <w:rsid w:val="00433B1C"/>
    <w:rsid w:val="004342CD"/>
    <w:rsid w:val="004351F4"/>
    <w:rsid w:val="004358FB"/>
    <w:rsid w:val="004361C8"/>
    <w:rsid w:val="00436F4D"/>
    <w:rsid w:val="0043759D"/>
    <w:rsid w:val="00440B1D"/>
    <w:rsid w:val="004410E8"/>
    <w:rsid w:val="0044549A"/>
    <w:rsid w:val="0044553C"/>
    <w:rsid w:val="004471BB"/>
    <w:rsid w:val="00453F6E"/>
    <w:rsid w:val="00456B94"/>
    <w:rsid w:val="00456BE0"/>
    <w:rsid w:val="00456C9B"/>
    <w:rsid w:val="004570BC"/>
    <w:rsid w:val="00457461"/>
    <w:rsid w:val="004578A6"/>
    <w:rsid w:val="00460B8E"/>
    <w:rsid w:val="0046114A"/>
    <w:rsid w:val="004616FE"/>
    <w:rsid w:val="00461A6B"/>
    <w:rsid w:val="00461CA9"/>
    <w:rsid w:val="004620C9"/>
    <w:rsid w:val="0046291B"/>
    <w:rsid w:val="0046357D"/>
    <w:rsid w:val="00463999"/>
    <w:rsid w:val="00463BFB"/>
    <w:rsid w:val="0046573F"/>
    <w:rsid w:val="00465E89"/>
    <w:rsid w:val="00466592"/>
    <w:rsid w:val="00470922"/>
    <w:rsid w:val="00471AE0"/>
    <w:rsid w:val="00471EE9"/>
    <w:rsid w:val="00472E43"/>
    <w:rsid w:val="00472F83"/>
    <w:rsid w:val="00473272"/>
    <w:rsid w:val="00473B34"/>
    <w:rsid w:val="00474358"/>
    <w:rsid w:val="00480E8E"/>
    <w:rsid w:val="00481806"/>
    <w:rsid w:val="00481962"/>
    <w:rsid w:val="00482590"/>
    <w:rsid w:val="00483069"/>
    <w:rsid w:val="00483532"/>
    <w:rsid w:val="00484FB2"/>
    <w:rsid w:val="0048797C"/>
    <w:rsid w:val="00487B64"/>
    <w:rsid w:val="00490868"/>
    <w:rsid w:val="004939EE"/>
    <w:rsid w:val="0049446B"/>
    <w:rsid w:val="004961B7"/>
    <w:rsid w:val="004964B6"/>
    <w:rsid w:val="004969D3"/>
    <w:rsid w:val="004A01F6"/>
    <w:rsid w:val="004A1DB5"/>
    <w:rsid w:val="004A1DC5"/>
    <w:rsid w:val="004A28D4"/>
    <w:rsid w:val="004A35BC"/>
    <w:rsid w:val="004A3CDE"/>
    <w:rsid w:val="004A5BE3"/>
    <w:rsid w:val="004A74FA"/>
    <w:rsid w:val="004A76FF"/>
    <w:rsid w:val="004A780D"/>
    <w:rsid w:val="004A7AC0"/>
    <w:rsid w:val="004B016A"/>
    <w:rsid w:val="004B13EC"/>
    <w:rsid w:val="004B3E26"/>
    <w:rsid w:val="004B66BC"/>
    <w:rsid w:val="004B6B07"/>
    <w:rsid w:val="004B6B4D"/>
    <w:rsid w:val="004C0985"/>
    <w:rsid w:val="004C0AEB"/>
    <w:rsid w:val="004C1BB4"/>
    <w:rsid w:val="004C1D11"/>
    <w:rsid w:val="004C38E4"/>
    <w:rsid w:val="004C4573"/>
    <w:rsid w:val="004C5064"/>
    <w:rsid w:val="004C5BF0"/>
    <w:rsid w:val="004C6130"/>
    <w:rsid w:val="004C699D"/>
    <w:rsid w:val="004C6CAA"/>
    <w:rsid w:val="004C7577"/>
    <w:rsid w:val="004C766D"/>
    <w:rsid w:val="004D0047"/>
    <w:rsid w:val="004D1A35"/>
    <w:rsid w:val="004D362E"/>
    <w:rsid w:val="004E0546"/>
    <w:rsid w:val="004E3EB1"/>
    <w:rsid w:val="004E52FE"/>
    <w:rsid w:val="004F0346"/>
    <w:rsid w:val="004F13CD"/>
    <w:rsid w:val="004F6AD9"/>
    <w:rsid w:val="00500860"/>
    <w:rsid w:val="0050097A"/>
    <w:rsid w:val="00502F7B"/>
    <w:rsid w:val="0050323B"/>
    <w:rsid w:val="00503A45"/>
    <w:rsid w:val="00503B3A"/>
    <w:rsid w:val="005056A4"/>
    <w:rsid w:val="005059B2"/>
    <w:rsid w:val="00506284"/>
    <w:rsid w:val="00511E6B"/>
    <w:rsid w:val="00512D0F"/>
    <w:rsid w:val="00512D5F"/>
    <w:rsid w:val="005135CC"/>
    <w:rsid w:val="00513CCF"/>
    <w:rsid w:val="00516914"/>
    <w:rsid w:val="00523FAA"/>
    <w:rsid w:val="005244D7"/>
    <w:rsid w:val="00524C26"/>
    <w:rsid w:val="00525192"/>
    <w:rsid w:val="00526B26"/>
    <w:rsid w:val="00526D76"/>
    <w:rsid w:val="00527BC0"/>
    <w:rsid w:val="00531740"/>
    <w:rsid w:val="0053312F"/>
    <w:rsid w:val="00534AC9"/>
    <w:rsid w:val="00536559"/>
    <w:rsid w:val="00540148"/>
    <w:rsid w:val="00541B86"/>
    <w:rsid w:val="005420F8"/>
    <w:rsid w:val="005440F9"/>
    <w:rsid w:val="005447EC"/>
    <w:rsid w:val="0054484C"/>
    <w:rsid w:val="00545C1E"/>
    <w:rsid w:val="00547F10"/>
    <w:rsid w:val="00551D82"/>
    <w:rsid w:val="00552B00"/>
    <w:rsid w:val="005557B7"/>
    <w:rsid w:val="00555CD6"/>
    <w:rsid w:val="00557890"/>
    <w:rsid w:val="00562275"/>
    <w:rsid w:val="005647F9"/>
    <w:rsid w:val="00564B1D"/>
    <w:rsid w:val="005652C0"/>
    <w:rsid w:val="00565971"/>
    <w:rsid w:val="005705F1"/>
    <w:rsid w:val="00571AE3"/>
    <w:rsid w:val="00571B48"/>
    <w:rsid w:val="005734D7"/>
    <w:rsid w:val="00575E55"/>
    <w:rsid w:val="00577008"/>
    <w:rsid w:val="00577268"/>
    <w:rsid w:val="005807F5"/>
    <w:rsid w:val="00580CE7"/>
    <w:rsid w:val="0058383A"/>
    <w:rsid w:val="00584270"/>
    <w:rsid w:val="0058548B"/>
    <w:rsid w:val="00585BF5"/>
    <w:rsid w:val="00591449"/>
    <w:rsid w:val="00591C08"/>
    <w:rsid w:val="005922B5"/>
    <w:rsid w:val="00593F07"/>
    <w:rsid w:val="00594617"/>
    <w:rsid w:val="0059617B"/>
    <w:rsid w:val="0059784B"/>
    <w:rsid w:val="005979E3"/>
    <w:rsid w:val="005A013C"/>
    <w:rsid w:val="005A013D"/>
    <w:rsid w:val="005A1C31"/>
    <w:rsid w:val="005A264D"/>
    <w:rsid w:val="005A38DA"/>
    <w:rsid w:val="005A436E"/>
    <w:rsid w:val="005A637B"/>
    <w:rsid w:val="005A7E49"/>
    <w:rsid w:val="005B15A5"/>
    <w:rsid w:val="005B1C11"/>
    <w:rsid w:val="005B2577"/>
    <w:rsid w:val="005B2ABB"/>
    <w:rsid w:val="005B4414"/>
    <w:rsid w:val="005B4D27"/>
    <w:rsid w:val="005B5FCF"/>
    <w:rsid w:val="005C1D61"/>
    <w:rsid w:val="005C32F6"/>
    <w:rsid w:val="005C3D4D"/>
    <w:rsid w:val="005C3E04"/>
    <w:rsid w:val="005C498E"/>
    <w:rsid w:val="005C5D60"/>
    <w:rsid w:val="005C7028"/>
    <w:rsid w:val="005C7355"/>
    <w:rsid w:val="005D06FA"/>
    <w:rsid w:val="005D3EA7"/>
    <w:rsid w:val="005D644E"/>
    <w:rsid w:val="005E1EE7"/>
    <w:rsid w:val="005E20F4"/>
    <w:rsid w:val="005E316C"/>
    <w:rsid w:val="005E52E2"/>
    <w:rsid w:val="005E54D0"/>
    <w:rsid w:val="005E75A5"/>
    <w:rsid w:val="005F0706"/>
    <w:rsid w:val="005F21F7"/>
    <w:rsid w:val="005F4DD6"/>
    <w:rsid w:val="005F5202"/>
    <w:rsid w:val="00600A92"/>
    <w:rsid w:val="00600EDB"/>
    <w:rsid w:val="00603405"/>
    <w:rsid w:val="00603BE2"/>
    <w:rsid w:val="00604100"/>
    <w:rsid w:val="00605747"/>
    <w:rsid w:val="006070CC"/>
    <w:rsid w:val="00607684"/>
    <w:rsid w:val="00607F5C"/>
    <w:rsid w:val="00610B5F"/>
    <w:rsid w:val="00615035"/>
    <w:rsid w:val="0061624C"/>
    <w:rsid w:val="0061654E"/>
    <w:rsid w:val="006176C9"/>
    <w:rsid w:val="00617AA7"/>
    <w:rsid w:val="006204A7"/>
    <w:rsid w:val="00620EB8"/>
    <w:rsid w:val="00622578"/>
    <w:rsid w:val="00622F4E"/>
    <w:rsid w:val="006239A1"/>
    <w:rsid w:val="006267C3"/>
    <w:rsid w:val="006300B4"/>
    <w:rsid w:val="0063032B"/>
    <w:rsid w:val="00631488"/>
    <w:rsid w:val="00632875"/>
    <w:rsid w:val="00634672"/>
    <w:rsid w:val="00635229"/>
    <w:rsid w:val="00636BC2"/>
    <w:rsid w:val="00640EF3"/>
    <w:rsid w:val="00642218"/>
    <w:rsid w:val="00644B70"/>
    <w:rsid w:val="00646C54"/>
    <w:rsid w:val="0064796C"/>
    <w:rsid w:val="00650013"/>
    <w:rsid w:val="0065274B"/>
    <w:rsid w:val="00652876"/>
    <w:rsid w:val="00652ECD"/>
    <w:rsid w:val="0065394B"/>
    <w:rsid w:val="00660B0F"/>
    <w:rsid w:val="00660DB7"/>
    <w:rsid w:val="006612CE"/>
    <w:rsid w:val="00663BE1"/>
    <w:rsid w:val="00664825"/>
    <w:rsid w:val="006657AA"/>
    <w:rsid w:val="00667CB2"/>
    <w:rsid w:val="00670A9F"/>
    <w:rsid w:val="0067263C"/>
    <w:rsid w:val="00672BBD"/>
    <w:rsid w:val="00672DE4"/>
    <w:rsid w:val="006745D0"/>
    <w:rsid w:val="00674616"/>
    <w:rsid w:val="006755EE"/>
    <w:rsid w:val="0067649F"/>
    <w:rsid w:val="006776F3"/>
    <w:rsid w:val="0068043A"/>
    <w:rsid w:val="00681D76"/>
    <w:rsid w:val="006824BF"/>
    <w:rsid w:val="00682691"/>
    <w:rsid w:val="00682768"/>
    <w:rsid w:val="006839B3"/>
    <w:rsid w:val="00691711"/>
    <w:rsid w:val="00695843"/>
    <w:rsid w:val="00697A58"/>
    <w:rsid w:val="006A0F9A"/>
    <w:rsid w:val="006A32A5"/>
    <w:rsid w:val="006A3808"/>
    <w:rsid w:val="006A447C"/>
    <w:rsid w:val="006A6753"/>
    <w:rsid w:val="006A6A27"/>
    <w:rsid w:val="006B3DC4"/>
    <w:rsid w:val="006B4DA9"/>
    <w:rsid w:val="006B633B"/>
    <w:rsid w:val="006B7254"/>
    <w:rsid w:val="006B7E87"/>
    <w:rsid w:val="006C1A7C"/>
    <w:rsid w:val="006C1AB9"/>
    <w:rsid w:val="006C2CB4"/>
    <w:rsid w:val="006C58CB"/>
    <w:rsid w:val="006D0898"/>
    <w:rsid w:val="006D1AC0"/>
    <w:rsid w:val="006D2640"/>
    <w:rsid w:val="006D2A9C"/>
    <w:rsid w:val="006D2E45"/>
    <w:rsid w:val="006D32E7"/>
    <w:rsid w:val="006D4966"/>
    <w:rsid w:val="006D4C60"/>
    <w:rsid w:val="006D63BA"/>
    <w:rsid w:val="006D6BCD"/>
    <w:rsid w:val="006E064D"/>
    <w:rsid w:val="006E1492"/>
    <w:rsid w:val="006E2F58"/>
    <w:rsid w:val="006E3CFD"/>
    <w:rsid w:val="006E4797"/>
    <w:rsid w:val="006E57F6"/>
    <w:rsid w:val="006E5CD1"/>
    <w:rsid w:val="006E64ED"/>
    <w:rsid w:val="006E70F7"/>
    <w:rsid w:val="006E7C64"/>
    <w:rsid w:val="006F325F"/>
    <w:rsid w:val="006F3C60"/>
    <w:rsid w:val="006F4B26"/>
    <w:rsid w:val="006F5DB0"/>
    <w:rsid w:val="006F7EE3"/>
    <w:rsid w:val="007004E3"/>
    <w:rsid w:val="0070071A"/>
    <w:rsid w:val="00702ADE"/>
    <w:rsid w:val="007031E5"/>
    <w:rsid w:val="00704010"/>
    <w:rsid w:val="0070444F"/>
    <w:rsid w:val="00704D8A"/>
    <w:rsid w:val="00704E93"/>
    <w:rsid w:val="00707A15"/>
    <w:rsid w:val="007105A4"/>
    <w:rsid w:val="007117C4"/>
    <w:rsid w:val="00711807"/>
    <w:rsid w:val="00712DF1"/>
    <w:rsid w:val="00714BE0"/>
    <w:rsid w:val="00715C71"/>
    <w:rsid w:val="007171EA"/>
    <w:rsid w:val="0072130A"/>
    <w:rsid w:val="00723A2E"/>
    <w:rsid w:val="00723CBA"/>
    <w:rsid w:val="00724471"/>
    <w:rsid w:val="00724FF2"/>
    <w:rsid w:val="00726AB0"/>
    <w:rsid w:val="007301C2"/>
    <w:rsid w:val="00731B51"/>
    <w:rsid w:val="00732C0F"/>
    <w:rsid w:val="00732E51"/>
    <w:rsid w:val="00733478"/>
    <w:rsid w:val="007343F9"/>
    <w:rsid w:val="007357B7"/>
    <w:rsid w:val="00736371"/>
    <w:rsid w:val="007363E8"/>
    <w:rsid w:val="00742CEB"/>
    <w:rsid w:val="00743741"/>
    <w:rsid w:val="0074636E"/>
    <w:rsid w:val="00746AC4"/>
    <w:rsid w:val="0074763D"/>
    <w:rsid w:val="00751482"/>
    <w:rsid w:val="00751D3D"/>
    <w:rsid w:val="00753A38"/>
    <w:rsid w:val="00753E8D"/>
    <w:rsid w:val="00756B6D"/>
    <w:rsid w:val="00762C70"/>
    <w:rsid w:val="00763687"/>
    <w:rsid w:val="0076492F"/>
    <w:rsid w:val="00765E92"/>
    <w:rsid w:val="007663CB"/>
    <w:rsid w:val="00766E7E"/>
    <w:rsid w:val="007674FD"/>
    <w:rsid w:val="00767BC0"/>
    <w:rsid w:val="00773B04"/>
    <w:rsid w:val="00773BFB"/>
    <w:rsid w:val="00774052"/>
    <w:rsid w:val="007740CC"/>
    <w:rsid w:val="007747BA"/>
    <w:rsid w:val="00774CF1"/>
    <w:rsid w:val="007755ED"/>
    <w:rsid w:val="00776A57"/>
    <w:rsid w:val="00776C64"/>
    <w:rsid w:val="007814D1"/>
    <w:rsid w:val="007818B5"/>
    <w:rsid w:val="00781DEE"/>
    <w:rsid w:val="00784318"/>
    <w:rsid w:val="00787D0A"/>
    <w:rsid w:val="00787D82"/>
    <w:rsid w:val="00791606"/>
    <w:rsid w:val="00791737"/>
    <w:rsid w:val="00792547"/>
    <w:rsid w:val="007935DC"/>
    <w:rsid w:val="00793F27"/>
    <w:rsid w:val="00795BB7"/>
    <w:rsid w:val="00796713"/>
    <w:rsid w:val="00796F20"/>
    <w:rsid w:val="0079797F"/>
    <w:rsid w:val="007A2240"/>
    <w:rsid w:val="007A2392"/>
    <w:rsid w:val="007A3A09"/>
    <w:rsid w:val="007A4BBA"/>
    <w:rsid w:val="007A4CEC"/>
    <w:rsid w:val="007A6ACC"/>
    <w:rsid w:val="007A786E"/>
    <w:rsid w:val="007B02FE"/>
    <w:rsid w:val="007B0F15"/>
    <w:rsid w:val="007B0F63"/>
    <w:rsid w:val="007B29E7"/>
    <w:rsid w:val="007B35AB"/>
    <w:rsid w:val="007B40B3"/>
    <w:rsid w:val="007B488F"/>
    <w:rsid w:val="007B6404"/>
    <w:rsid w:val="007B6414"/>
    <w:rsid w:val="007B6DF1"/>
    <w:rsid w:val="007B72A4"/>
    <w:rsid w:val="007B78CD"/>
    <w:rsid w:val="007C2C5A"/>
    <w:rsid w:val="007C45DD"/>
    <w:rsid w:val="007C4C75"/>
    <w:rsid w:val="007C55EE"/>
    <w:rsid w:val="007C5C52"/>
    <w:rsid w:val="007C5DEB"/>
    <w:rsid w:val="007D071C"/>
    <w:rsid w:val="007D07CA"/>
    <w:rsid w:val="007D1670"/>
    <w:rsid w:val="007D191D"/>
    <w:rsid w:val="007D26DE"/>
    <w:rsid w:val="007D50DC"/>
    <w:rsid w:val="007D5DCE"/>
    <w:rsid w:val="007D6BE0"/>
    <w:rsid w:val="007E25D7"/>
    <w:rsid w:val="007E3728"/>
    <w:rsid w:val="007E47D1"/>
    <w:rsid w:val="007E5FA5"/>
    <w:rsid w:val="007F00E5"/>
    <w:rsid w:val="007F0155"/>
    <w:rsid w:val="007F13E9"/>
    <w:rsid w:val="007F1BD9"/>
    <w:rsid w:val="007F2030"/>
    <w:rsid w:val="007F2542"/>
    <w:rsid w:val="007F71AE"/>
    <w:rsid w:val="00801D79"/>
    <w:rsid w:val="008056C0"/>
    <w:rsid w:val="008075A5"/>
    <w:rsid w:val="008130CE"/>
    <w:rsid w:val="00817AB0"/>
    <w:rsid w:val="00821BBE"/>
    <w:rsid w:val="00822EA2"/>
    <w:rsid w:val="008247EC"/>
    <w:rsid w:val="008249F0"/>
    <w:rsid w:val="0082612E"/>
    <w:rsid w:val="00827FE6"/>
    <w:rsid w:val="00832656"/>
    <w:rsid w:val="00832938"/>
    <w:rsid w:val="00833B96"/>
    <w:rsid w:val="00834683"/>
    <w:rsid w:val="0083569C"/>
    <w:rsid w:val="00835DF6"/>
    <w:rsid w:val="0084089D"/>
    <w:rsid w:val="008425A4"/>
    <w:rsid w:val="00842ECA"/>
    <w:rsid w:val="00844E99"/>
    <w:rsid w:val="008461C6"/>
    <w:rsid w:val="0084692B"/>
    <w:rsid w:val="00847649"/>
    <w:rsid w:val="00852532"/>
    <w:rsid w:val="00852DCD"/>
    <w:rsid w:val="00852EE0"/>
    <w:rsid w:val="00853BBC"/>
    <w:rsid w:val="0085421A"/>
    <w:rsid w:val="00854A76"/>
    <w:rsid w:val="0085548D"/>
    <w:rsid w:val="008604BB"/>
    <w:rsid w:val="00861AA2"/>
    <w:rsid w:val="00862EF6"/>
    <w:rsid w:val="00863709"/>
    <w:rsid w:val="00863CBE"/>
    <w:rsid w:val="0086476A"/>
    <w:rsid w:val="00864BF9"/>
    <w:rsid w:val="00864F51"/>
    <w:rsid w:val="00866B08"/>
    <w:rsid w:val="00867306"/>
    <w:rsid w:val="00870DE3"/>
    <w:rsid w:val="00872751"/>
    <w:rsid w:val="00875D94"/>
    <w:rsid w:val="008768A0"/>
    <w:rsid w:val="00877A0B"/>
    <w:rsid w:val="00882882"/>
    <w:rsid w:val="00883D95"/>
    <w:rsid w:val="0088718F"/>
    <w:rsid w:val="00892B5E"/>
    <w:rsid w:val="00892B75"/>
    <w:rsid w:val="00893747"/>
    <w:rsid w:val="008950FC"/>
    <w:rsid w:val="00895B2B"/>
    <w:rsid w:val="00895D7F"/>
    <w:rsid w:val="008962E4"/>
    <w:rsid w:val="008968C2"/>
    <w:rsid w:val="0089757B"/>
    <w:rsid w:val="008A213D"/>
    <w:rsid w:val="008A34D3"/>
    <w:rsid w:val="008A3764"/>
    <w:rsid w:val="008A4859"/>
    <w:rsid w:val="008A50D1"/>
    <w:rsid w:val="008A52D1"/>
    <w:rsid w:val="008A6CBB"/>
    <w:rsid w:val="008B1CC9"/>
    <w:rsid w:val="008B2D50"/>
    <w:rsid w:val="008B35D2"/>
    <w:rsid w:val="008B43D3"/>
    <w:rsid w:val="008B51C8"/>
    <w:rsid w:val="008B7B70"/>
    <w:rsid w:val="008C68B6"/>
    <w:rsid w:val="008C6B79"/>
    <w:rsid w:val="008D00AB"/>
    <w:rsid w:val="008D2065"/>
    <w:rsid w:val="008D293E"/>
    <w:rsid w:val="008D4A12"/>
    <w:rsid w:val="008D5308"/>
    <w:rsid w:val="008D684D"/>
    <w:rsid w:val="008D74F0"/>
    <w:rsid w:val="008E19AC"/>
    <w:rsid w:val="008E2C77"/>
    <w:rsid w:val="008E404F"/>
    <w:rsid w:val="008E5FC5"/>
    <w:rsid w:val="008F0423"/>
    <w:rsid w:val="008F0E98"/>
    <w:rsid w:val="008F1573"/>
    <w:rsid w:val="008F3D5D"/>
    <w:rsid w:val="008F4594"/>
    <w:rsid w:val="008F7191"/>
    <w:rsid w:val="009015BF"/>
    <w:rsid w:val="00903367"/>
    <w:rsid w:val="00903FC2"/>
    <w:rsid w:val="0090542E"/>
    <w:rsid w:val="0090705F"/>
    <w:rsid w:val="00907DBA"/>
    <w:rsid w:val="0091350F"/>
    <w:rsid w:val="00917B1C"/>
    <w:rsid w:val="00921A10"/>
    <w:rsid w:val="009225FD"/>
    <w:rsid w:val="0092536C"/>
    <w:rsid w:val="00927993"/>
    <w:rsid w:val="00933EE2"/>
    <w:rsid w:val="00934945"/>
    <w:rsid w:val="009409EA"/>
    <w:rsid w:val="0094209A"/>
    <w:rsid w:val="00943175"/>
    <w:rsid w:val="00947BAF"/>
    <w:rsid w:val="009500E0"/>
    <w:rsid w:val="0095023C"/>
    <w:rsid w:val="00950C09"/>
    <w:rsid w:val="00956E5B"/>
    <w:rsid w:val="009575BE"/>
    <w:rsid w:val="00957809"/>
    <w:rsid w:val="00960034"/>
    <w:rsid w:val="00960205"/>
    <w:rsid w:val="00960E25"/>
    <w:rsid w:val="00962F21"/>
    <w:rsid w:val="009634D1"/>
    <w:rsid w:val="00963581"/>
    <w:rsid w:val="00970D06"/>
    <w:rsid w:val="009710F6"/>
    <w:rsid w:val="009720BB"/>
    <w:rsid w:val="00972BB7"/>
    <w:rsid w:val="0097756A"/>
    <w:rsid w:val="00977927"/>
    <w:rsid w:val="0098020B"/>
    <w:rsid w:val="00982185"/>
    <w:rsid w:val="00982B7A"/>
    <w:rsid w:val="00982C0D"/>
    <w:rsid w:val="009836AC"/>
    <w:rsid w:val="009838C9"/>
    <w:rsid w:val="009858EB"/>
    <w:rsid w:val="00987FA4"/>
    <w:rsid w:val="009926F2"/>
    <w:rsid w:val="00994DC4"/>
    <w:rsid w:val="00994F50"/>
    <w:rsid w:val="00997894"/>
    <w:rsid w:val="009A06C9"/>
    <w:rsid w:val="009A093B"/>
    <w:rsid w:val="009A41D8"/>
    <w:rsid w:val="009A4562"/>
    <w:rsid w:val="009B0F2F"/>
    <w:rsid w:val="009B0FD3"/>
    <w:rsid w:val="009B70E3"/>
    <w:rsid w:val="009C045B"/>
    <w:rsid w:val="009C0E8C"/>
    <w:rsid w:val="009C234D"/>
    <w:rsid w:val="009C3030"/>
    <w:rsid w:val="009C30FB"/>
    <w:rsid w:val="009C4485"/>
    <w:rsid w:val="009C4B5B"/>
    <w:rsid w:val="009C548C"/>
    <w:rsid w:val="009C6393"/>
    <w:rsid w:val="009D2D78"/>
    <w:rsid w:val="009D4FA3"/>
    <w:rsid w:val="009D6399"/>
    <w:rsid w:val="009D6BE3"/>
    <w:rsid w:val="009D7341"/>
    <w:rsid w:val="009E3165"/>
    <w:rsid w:val="009E45F5"/>
    <w:rsid w:val="009E47FD"/>
    <w:rsid w:val="009E5444"/>
    <w:rsid w:val="009E6E5D"/>
    <w:rsid w:val="009E7999"/>
    <w:rsid w:val="009E7C81"/>
    <w:rsid w:val="009F21BE"/>
    <w:rsid w:val="009F34FF"/>
    <w:rsid w:val="009F71C4"/>
    <w:rsid w:val="009F7B53"/>
    <w:rsid w:val="00A004BB"/>
    <w:rsid w:val="00A0054E"/>
    <w:rsid w:val="00A00E09"/>
    <w:rsid w:val="00A02EF2"/>
    <w:rsid w:val="00A02FBE"/>
    <w:rsid w:val="00A0318B"/>
    <w:rsid w:val="00A03A60"/>
    <w:rsid w:val="00A05197"/>
    <w:rsid w:val="00A06A99"/>
    <w:rsid w:val="00A06D11"/>
    <w:rsid w:val="00A0718A"/>
    <w:rsid w:val="00A101E4"/>
    <w:rsid w:val="00A137CC"/>
    <w:rsid w:val="00A14797"/>
    <w:rsid w:val="00A1530A"/>
    <w:rsid w:val="00A1684A"/>
    <w:rsid w:val="00A17591"/>
    <w:rsid w:val="00A21117"/>
    <w:rsid w:val="00A22BB6"/>
    <w:rsid w:val="00A23263"/>
    <w:rsid w:val="00A260A3"/>
    <w:rsid w:val="00A27AFF"/>
    <w:rsid w:val="00A31F63"/>
    <w:rsid w:val="00A325B0"/>
    <w:rsid w:val="00A32621"/>
    <w:rsid w:val="00A32E14"/>
    <w:rsid w:val="00A332A3"/>
    <w:rsid w:val="00A3334F"/>
    <w:rsid w:val="00A36B68"/>
    <w:rsid w:val="00A36E47"/>
    <w:rsid w:val="00A4110B"/>
    <w:rsid w:val="00A42DCA"/>
    <w:rsid w:val="00A44D99"/>
    <w:rsid w:val="00A44EF3"/>
    <w:rsid w:val="00A46672"/>
    <w:rsid w:val="00A46F6F"/>
    <w:rsid w:val="00A50172"/>
    <w:rsid w:val="00A51C4D"/>
    <w:rsid w:val="00A53012"/>
    <w:rsid w:val="00A53505"/>
    <w:rsid w:val="00A540EE"/>
    <w:rsid w:val="00A5469E"/>
    <w:rsid w:val="00A54F2B"/>
    <w:rsid w:val="00A56B42"/>
    <w:rsid w:val="00A613AA"/>
    <w:rsid w:val="00A61479"/>
    <w:rsid w:val="00A61636"/>
    <w:rsid w:val="00A624BE"/>
    <w:rsid w:val="00A64425"/>
    <w:rsid w:val="00A64655"/>
    <w:rsid w:val="00A67879"/>
    <w:rsid w:val="00A71177"/>
    <w:rsid w:val="00A72988"/>
    <w:rsid w:val="00A72A7C"/>
    <w:rsid w:val="00A73673"/>
    <w:rsid w:val="00A745C7"/>
    <w:rsid w:val="00A81C8E"/>
    <w:rsid w:val="00A81FC0"/>
    <w:rsid w:val="00A82F26"/>
    <w:rsid w:val="00A8515E"/>
    <w:rsid w:val="00A862BD"/>
    <w:rsid w:val="00A91C8F"/>
    <w:rsid w:val="00A92092"/>
    <w:rsid w:val="00A93C81"/>
    <w:rsid w:val="00A94AF0"/>
    <w:rsid w:val="00A95950"/>
    <w:rsid w:val="00A9721D"/>
    <w:rsid w:val="00AA195D"/>
    <w:rsid w:val="00AA24CE"/>
    <w:rsid w:val="00AA38E9"/>
    <w:rsid w:val="00AA5A7A"/>
    <w:rsid w:val="00AA6408"/>
    <w:rsid w:val="00AB3EEC"/>
    <w:rsid w:val="00AB4038"/>
    <w:rsid w:val="00AB5A8D"/>
    <w:rsid w:val="00AB5AA0"/>
    <w:rsid w:val="00AB6518"/>
    <w:rsid w:val="00AB76C3"/>
    <w:rsid w:val="00AC0B14"/>
    <w:rsid w:val="00AC2ED6"/>
    <w:rsid w:val="00AC4D10"/>
    <w:rsid w:val="00AC7A2C"/>
    <w:rsid w:val="00AD0264"/>
    <w:rsid w:val="00AD4435"/>
    <w:rsid w:val="00AD481D"/>
    <w:rsid w:val="00AD534B"/>
    <w:rsid w:val="00AD7A30"/>
    <w:rsid w:val="00AD7D59"/>
    <w:rsid w:val="00AE0A86"/>
    <w:rsid w:val="00AE3EA3"/>
    <w:rsid w:val="00AE4FF5"/>
    <w:rsid w:val="00AF0242"/>
    <w:rsid w:val="00AF5583"/>
    <w:rsid w:val="00AF70AA"/>
    <w:rsid w:val="00AF72C4"/>
    <w:rsid w:val="00B010F2"/>
    <w:rsid w:val="00B01BB8"/>
    <w:rsid w:val="00B06109"/>
    <w:rsid w:val="00B07778"/>
    <w:rsid w:val="00B109F7"/>
    <w:rsid w:val="00B14748"/>
    <w:rsid w:val="00B14D13"/>
    <w:rsid w:val="00B16BBC"/>
    <w:rsid w:val="00B17BC0"/>
    <w:rsid w:val="00B20576"/>
    <w:rsid w:val="00B21098"/>
    <w:rsid w:val="00B241C5"/>
    <w:rsid w:val="00B24A4F"/>
    <w:rsid w:val="00B25572"/>
    <w:rsid w:val="00B257CE"/>
    <w:rsid w:val="00B2715F"/>
    <w:rsid w:val="00B305DF"/>
    <w:rsid w:val="00B3067D"/>
    <w:rsid w:val="00B3240C"/>
    <w:rsid w:val="00B35312"/>
    <w:rsid w:val="00B40A1D"/>
    <w:rsid w:val="00B416A6"/>
    <w:rsid w:val="00B42EC2"/>
    <w:rsid w:val="00B44972"/>
    <w:rsid w:val="00B4607C"/>
    <w:rsid w:val="00B4675A"/>
    <w:rsid w:val="00B46F5A"/>
    <w:rsid w:val="00B50388"/>
    <w:rsid w:val="00B51020"/>
    <w:rsid w:val="00B51740"/>
    <w:rsid w:val="00B53E57"/>
    <w:rsid w:val="00B53F01"/>
    <w:rsid w:val="00B54F8C"/>
    <w:rsid w:val="00B6005A"/>
    <w:rsid w:val="00B60F07"/>
    <w:rsid w:val="00B61C0C"/>
    <w:rsid w:val="00B64F30"/>
    <w:rsid w:val="00B65537"/>
    <w:rsid w:val="00B655D9"/>
    <w:rsid w:val="00B65F93"/>
    <w:rsid w:val="00B66177"/>
    <w:rsid w:val="00B6705C"/>
    <w:rsid w:val="00B7004A"/>
    <w:rsid w:val="00B707A9"/>
    <w:rsid w:val="00B70BB4"/>
    <w:rsid w:val="00B7135A"/>
    <w:rsid w:val="00B73660"/>
    <w:rsid w:val="00B7465A"/>
    <w:rsid w:val="00B74E38"/>
    <w:rsid w:val="00B75689"/>
    <w:rsid w:val="00B77E24"/>
    <w:rsid w:val="00B80277"/>
    <w:rsid w:val="00B81064"/>
    <w:rsid w:val="00B8331A"/>
    <w:rsid w:val="00B85F8C"/>
    <w:rsid w:val="00B8742F"/>
    <w:rsid w:val="00B87681"/>
    <w:rsid w:val="00B903D9"/>
    <w:rsid w:val="00B90CFC"/>
    <w:rsid w:val="00B91FFF"/>
    <w:rsid w:val="00B966DD"/>
    <w:rsid w:val="00B971BC"/>
    <w:rsid w:val="00B974F5"/>
    <w:rsid w:val="00BA1495"/>
    <w:rsid w:val="00BA326D"/>
    <w:rsid w:val="00BA4249"/>
    <w:rsid w:val="00BA4A31"/>
    <w:rsid w:val="00BA571A"/>
    <w:rsid w:val="00BA73DE"/>
    <w:rsid w:val="00BB15A1"/>
    <w:rsid w:val="00BB1647"/>
    <w:rsid w:val="00BB18E3"/>
    <w:rsid w:val="00BB1DE6"/>
    <w:rsid w:val="00BB2357"/>
    <w:rsid w:val="00BB2ED0"/>
    <w:rsid w:val="00BB2FF5"/>
    <w:rsid w:val="00BB5774"/>
    <w:rsid w:val="00BB5EC3"/>
    <w:rsid w:val="00BB7548"/>
    <w:rsid w:val="00BC00C7"/>
    <w:rsid w:val="00BC18EE"/>
    <w:rsid w:val="00BC1930"/>
    <w:rsid w:val="00BC1AB4"/>
    <w:rsid w:val="00BC2BB5"/>
    <w:rsid w:val="00BC33F9"/>
    <w:rsid w:val="00BC37C2"/>
    <w:rsid w:val="00BC44B6"/>
    <w:rsid w:val="00BC70DA"/>
    <w:rsid w:val="00BC7846"/>
    <w:rsid w:val="00BD2121"/>
    <w:rsid w:val="00BD3767"/>
    <w:rsid w:val="00BD3820"/>
    <w:rsid w:val="00BD4C15"/>
    <w:rsid w:val="00BD7014"/>
    <w:rsid w:val="00BD7ED6"/>
    <w:rsid w:val="00BE0123"/>
    <w:rsid w:val="00BE142B"/>
    <w:rsid w:val="00BE22A2"/>
    <w:rsid w:val="00BE2769"/>
    <w:rsid w:val="00BE2E0E"/>
    <w:rsid w:val="00BE58B7"/>
    <w:rsid w:val="00BE5912"/>
    <w:rsid w:val="00BE5B6C"/>
    <w:rsid w:val="00BE5C65"/>
    <w:rsid w:val="00BE6988"/>
    <w:rsid w:val="00BE749E"/>
    <w:rsid w:val="00BF142A"/>
    <w:rsid w:val="00BF5AD1"/>
    <w:rsid w:val="00BF6E72"/>
    <w:rsid w:val="00BF71FC"/>
    <w:rsid w:val="00BF7EFE"/>
    <w:rsid w:val="00C02AA5"/>
    <w:rsid w:val="00C03ACF"/>
    <w:rsid w:val="00C069A2"/>
    <w:rsid w:val="00C10077"/>
    <w:rsid w:val="00C10428"/>
    <w:rsid w:val="00C10971"/>
    <w:rsid w:val="00C11D93"/>
    <w:rsid w:val="00C12257"/>
    <w:rsid w:val="00C1239F"/>
    <w:rsid w:val="00C12709"/>
    <w:rsid w:val="00C12B11"/>
    <w:rsid w:val="00C1357D"/>
    <w:rsid w:val="00C13CF3"/>
    <w:rsid w:val="00C13FAD"/>
    <w:rsid w:val="00C14694"/>
    <w:rsid w:val="00C15467"/>
    <w:rsid w:val="00C15736"/>
    <w:rsid w:val="00C1656D"/>
    <w:rsid w:val="00C16727"/>
    <w:rsid w:val="00C16766"/>
    <w:rsid w:val="00C17F68"/>
    <w:rsid w:val="00C2059D"/>
    <w:rsid w:val="00C2205D"/>
    <w:rsid w:val="00C23CA1"/>
    <w:rsid w:val="00C24267"/>
    <w:rsid w:val="00C24273"/>
    <w:rsid w:val="00C254D7"/>
    <w:rsid w:val="00C25E6D"/>
    <w:rsid w:val="00C27C71"/>
    <w:rsid w:val="00C3324E"/>
    <w:rsid w:val="00C341C6"/>
    <w:rsid w:val="00C35A37"/>
    <w:rsid w:val="00C366E0"/>
    <w:rsid w:val="00C3739B"/>
    <w:rsid w:val="00C40CF8"/>
    <w:rsid w:val="00C40F84"/>
    <w:rsid w:val="00C42889"/>
    <w:rsid w:val="00C42D50"/>
    <w:rsid w:val="00C479A6"/>
    <w:rsid w:val="00C479F7"/>
    <w:rsid w:val="00C505FC"/>
    <w:rsid w:val="00C5335B"/>
    <w:rsid w:val="00C550F3"/>
    <w:rsid w:val="00C560D9"/>
    <w:rsid w:val="00C56DF5"/>
    <w:rsid w:val="00C57026"/>
    <w:rsid w:val="00C572D0"/>
    <w:rsid w:val="00C612D9"/>
    <w:rsid w:val="00C618B0"/>
    <w:rsid w:val="00C652D8"/>
    <w:rsid w:val="00C6563E"/>
    <w:rsid w:val="00C65870"/>
    <w:rsid w:val="00C65BE3"/>
    <w:rsid w:val="00C71F12"/>
    <w:rsid w:val="00C72E34"/>
    <w:rsid w:val="00C751C7"/>
    <w:rsid w:val="00C7528C"/>
    <w:rsid w:val="00C75FFA"/>
    <w:rsid w:val="00C76A47"/>
    <w:rsid w:val="00C773C7"/>
    <w:rsid w:val="00C80CCF"/>
    <w:rsid w:val="00C80CDA"/>
    <w:rsid w:val="00C81B62"/>
    <w:rsid w:val="00C820F6"/>
    <w:rsid w:val="00C83522"/>
    <w:rsid w:val="00C8418C"/>
    <w:rsid w:val="00C841EF"/>
    <w:rsid w:val="00C875D1"/>
    <w:rsid w:val="00C87EB6"/>
    <w:rsid w:val="00C90635"/>
    <w:rsid w:val="00C909D7"/>
    <w:rsid w:val="00C91AE3"/>
    <w:rsid w:val="00C96FA6"/>
    <w:rsid w:val="00CA1302"/>
    <w:rsid w:val="00CA2F5D"/>
    <w:rsid w:val="00CA354D"/>
    <w:rsid w:val="00CA3B2B"/>
    <w:rsid w:val="00CA447C"/>
    <w:rsid w:val="00CA66C1"/>
    <w:rsid w:val="00CA716E"/>
    <w:rsid w:val="00CB0C2E"/>
    <w:rsid w:val="00CB0E26"/>
    <w:rsid w:val="00CB132E"/>
    <w:rsid w:val="00CB1713"/>
    <w:rsid w:val="00CB1783"/>
    <w:rsid w:val="00CB1C02"/>
    <w:rsid w:val="00CB425B"/>
    <w:rsid w:val="00CB4C2A"/>
    <w:rsid w:val="00CB504D"/>
    <w:rsid w:val="00CB553D"/>
    <w:rsid w:val="00CB575C"/>
    <w:rsid w:val="00CB61D2"/>
    <w:rsid w:val="00CC1F03"/>
    <w:rsid w:val="00CC2516"/>
    <w:rsid w:val="00CC2B2E"/>
    <w:rsid w:val="00CC399A"/>
    <w:rsid w:val="00CC54F0"/>
    <w:rsid w:val="00CD081E"/>
    <w:rsid w:val="00CD48B8"/>
    <w:rsid w:val="00CD5C86"/>
    <w:rsid w:val="00CE3939"/>
    <w:rsid w:val="00CE4928"/>
    <w:rsid w:val="00CE5D31"/>
    <w:rsid w:val="00CE6A87"/>
    <w:rsid w:val="00CE713D"/>
    <w:rsid w:val="00CE75F3"/>
    <w:rsid w:val="00CE7FA8"/>
    <w:rsid w:val="00CF0DF3"/>
    <w:rsid w:val="00CF22EF"/>
    <w:rsid w:val="00CF382B"/>
    <w:rsid w:val="00CF48A7"/>
    <w:rsid w:val="00CF7181"/>
    <w:rsid w:val="00D00603"/>
    <w:rsid w:val="00D00B39"/>
    <w:rsid w:val="00D01E48"/>
    <w:rsid w:val="00D02981"/>
    <w:rsid w:val="00D038B8"/>
    <w:rsid w:val="00D04FF1"/>
    <w:rsid w:val="00D05317"/>
    <w:rsid w:val="00D07A90"/>
    <w:rsid w:val="00D1011D"/>
    <w:rsid w:val="00D10A32"/>
    <w:rsid w:val="00D111E1"/>
    <w:rsid w:val="00D11626"/>
    <w:rsid w:val="00D117B0"/>
    <w:rsid w:val="00D17E83"/>
    <w:rsid w:val="00D2510B"/>
    <w:rsid w:val="00D27376"/>
    <w:rsid w:val="00D27F89"/>
    <w:rsid w:val="00D30C65"/>
    <w:rsid w:val="00D31990"/>
    <w:rsid w:val="00D32569"/>
    <w:rsid w:val="00D3759A"/>
    <w:rsid w:val="00D37911"/>
    <w:rsid w:val="00D42386"/>
    <w:rsid w:val="00D42F30"/>
    <w:rsid w:val="00D43AF9"/>
    <w:rsid w:val="00D443DB"/>
    <w:rsid w:val="00D45F9F"/>
    <w:rsid w:val="00D5006A"/>
    <w:rsid w:val="00D50180"/>
    <w:rsid w:val="00D54D4C"/>
    <w:rsid w:val="00D552CC"/>
    <w:rsid w:val="00D558C6"/>
    <w:rsid w:val="00D55E89"/>
    <w:rsid w:val="00D57F1F"/>
    <w:rsid w:val="00D57F86"/>
    <w:rsid w:val="00D65347"/>
    <w:rsid w:val="00D661BB"/>
    <w:rsid w:val="00D71175"/>
    <w:rsid w:val="00D7361E"/>
    <w:rsid w:val="00D7376C"/>
    <w:rsid w:val="00D73A8A"/>
    <w:rsid w:val="00D741AD"/>
    <w:rsid w:val="00D77041"/>
    <w:rsid w:val="00D80B70"/>
    <w:rsid w:val="00D8101A"/>
    <w:rsid w:val="00D8177E"/>
    <w:rsid w:val="00D83F0E"/>
    <w:rsid w:val="00D8499B"/>
    <w:rsid w:val="00D851BC"/>
    <w:rsid w:val="00D85FD2"/>
    <w:rsid w:val="00D86D57"/>
    <w:rsid w:val="00D86E58"/>
    <w:rsid w:val="00D912A5"/>
    <w:rsid w:val="00D925C8"/>
    <w:rsid w:val="00D9469D"/>
    <w:rsid w:val="00D959E7"/>
    <w:rsid w:val="00D96CC0"/>
    <w:rsid w:val="00DA07EA"/>
    <w:rsid w:val="00DA08D1"/>
    <w:rsid w:val="00DA0D98"/>
    <w:rsid w:val="00DA154A"/>
    <w:rsid w:val="00DA3B87"/>
    <w:rsid w:val="00DA3C5C"/>
    <w:rsid w:val="00DA3E3E"/>
    <w:rsid w:val="00DA4ABB"/>
    <w:rsid w:val="00DA5C25"/>
    <w:rsid w:val="00DA7315"/>
    <w:rsid w:val="00DB0999"/>
    <w:rsid w:val="00DB0D2F"/>
    <w:rsid w:val="00DB15FB"/>
    <w:rsid w:val="00DB182F"/>
    <w:rsid w:val="00DB2140"/>
    <w:rsid w:val="00DB2C8F"/>
    <w:rsid w:val="00DB593E"/>
    <w:rsid w:val="00DB64D1"/>
    <w:rsid w:val="00DC0E61"/>
    <w:rsid w:val="00DC1115"/>
    <w:rsid w:val="00DC156E"/>
    <w:rsid w:val="00DC18A7"/>
    <w:rsid w:val="00DC1DE6"/>
    <w:rsid w:val="00DC3E62"/>
    <w:rsid w:val="00DC565E"/>
    <w:rsid w:val="00DC5B4C"/>
    <w:rsid w:val="00DC6FE1"/>
    <w:rsid w:val="00DC7643"/>
    <w:rsid w:val="00DC7AA1"/>
    <w:rsid w:val="00DD0D2A"/>
    <w:rsid w:val="00DD309C"/>
    <w:rsid w:val="00DD4242"/>
    <w:rsid w:val="00DD6642"/>
    <w:rsid w:val="00DE2167"/>
    <w:rsid w:val="00DE36FD"/>
    <w:rsid w:val="00DE3E32"/>
    <w:rsid w:val="00DE69ED"/>
    <w:rsid w:val="00DE7294"/>
    <w:rsid w:val="00DF0FBA"/>
    <w:rsid w:val="00DF55CB"/>
    <w:rsid w:val="00DF6724"/>
    <w:rsid w:val="00DF77E3"/>
    <w:rsid w:val="00DF7E39"/>
    <w:rsid w:val="00E01CDD"/>
    <w:rsid w:val="00E02136"/>
    <w:rsid w:val="00E03054"/>
    <w:rsid w:val="00E04EF5"/>
    <w:rsid w:val="00E05770"/>
    <w:rsid w:val="00E063F7"/>
    <w:rsid w:val="00E068CB"/>
    <w:rsid w:val="00E12791"/>
    <w:rsid w:val="00E1417D"/>
    <w:rsid w:val="00E141D5"/>
    <w:rsid w:val="00E1448A"/>
    <w:rsid w:val="00E14C64"/>
    <w:rsid w:val="00E14CD9"/>
    <w:rsid w:val="00E15DB6"/>
    <w:rsid w:val="00E1613B"/>
    <w:rsid w:val="00E16A2A"/>
    <w:rsid w:val="00E16EBE"/>
    <w:rsid w:val="00E2041E"/>
    <w:rsid w:val="00E204C0"/>
    <w:rsid w:val="00E23D98"/>
    <w:rsid w:val="00E249C6"/>
    <w:rsid w:val="00E32331"/>
    <w:rsid w:val="00E33827"/>
    <w:rsid w:val="00E33C01"/>
    <w:rsid w:val="00E34387"/>
    <w:rsid w:val="00E36297"/>
    <w:rsid w:val="00E401D5"/>
    <w:rsid w:val="00E40589"/>
    <w:rsid w:val="00E43085"/>
    <w:rsid w:val="00E4371B"/>
    <w:rsid w:val="00E4472B"/>
    <w:rsid w:val="00E460C6"/>
    <w:rsid w:val="00E53946"/>
    <w:rsid w:val="00E539F3"/>
    <w:rsid w:val="00E53E8C"/>
    <w:rsid w:val="00E55511"/>
    <w:rsid w:val="00E55AA7"/>
    <w:rsid w:val="00E570DB"/>
    <w:rsid w:val="00E5759E"/>
    <w:rsid w:val="00E57AEA"/>
    <w:rsid w:val="00E60827"/>
    <w:rsid w:val="00E62A4C"/>
    <w:rsid w:val="00E635DF"/>
    <w:rsid w:val="00E70DB4"/>
    <w:rsid w:val="00E70EBB"/>
    <w:rsid w:val="00E712A7"/>
    <w:rsid w:val="00E71643"/>
    <w:rsid w:val="00E74DB0"/>
    <w:rsid w:val="00E769B9"/>
    <w:rsid w:val="00E77ED1"/>
    <w:rsid w:val="00E80620"/>
    <w:rsid w:val="00E81363"/>
    <w:rsid w:val="00E83B0D"/>
    <w:rsid w:val="00E84709"/>
    <w:rsid w:val="00E8501B"/>
    <w:rsid w:val="00E852A9"/>
    <w:rsid w:val="00E8556F"/>
    <w:rsid w:val="00E8742C"/>
    <w:rsid w:val="00E90026"/>
    <w:rsid w:val="00E928C2"/>
    <w:rsid w:val="00E94B0D"/>
    <w:rsid w:val="00E95B2C"/>
    <w:rsid w:val="00EA0D2C"/>
    <w:rsid w:val="00EA1239"/>
    <w:rsid w:val="00EA44D0"/>
    <w:rsid w:val="00EA498B"/>
    <w:rsid w:val="00EA5F2E"/>
    <w:rsid w:val="00EB1E68"/>
    <w:rsid w:val="00EB2E54"/>
    <w:rsid w:val="00EB3BE0"/>
    <w:rsid w:val="00EB53A1"/>
    <w:rsid w:val="00EB56B9"/>
    <w:rsid w:val="00EB5CE4"/>
    <w:rsid w:val="00EC0649"/>
    <w:rsid w:val="00EC081D"/>
    <w:rsid w:val="00EC129E"/>
    <w:rsid w:val="00EC17F7"/>
    <w:rsid w:val="00EC38B2"/>
    <w:rsid w:val="00EC57F0"/>
    <w:rsid w:val="00EC5CA1"/>
    <w:rsid w:val="00EC6D9E"/>
    <w:rsid w:val="00EC7C08"/>
    <w:rsid w:val="00ED0262"/>
    <w:rsid w:val="00ED2CBD"/>
    <w:rsid w:val="00ED6396"/>
    <w:rsid w:val="00ED6655"/>
    <w:rsid w:val="00ED6A39"/>
    <w:rsid w:val="00ED6BD4"/>
    <w:rsid w:val="00ED77E2"/>
    <w:rsid w:val="00ED7E11"/>
    <w:rsid w:val="00EE2F0D"/>
    <w:rsid w:val="00EE456C"/>
    <w:rsid w:val="00EE486C"/>
    <w:rsid w:val="00EE6CC0"/>
    <w:rsid w:val="00EE7150"/>
    <w:rsid w:val="00EE75A1"/>
    <w:rsid w:val="00EF0EC3"/>
    <w:rsid w:val="00EF29F8"/>
    <w:rsid w:val="00EF3EE0"/>
    <w:rsid w:val="00EF4BF5"/>
    <w:rsid w:val="00EF5CD9"/>
    <w:rsid w:val="00F00213"/>
    <w:rsid w:val="00F00E3A"/>
    <w:rsid w:val="00F03E3D"/>
    <w:rsid w:val="00F05601"/>
    <w:rsid w:val="00F117B3"/>
    <w:rsid w:val="00F149A9"/>
    <w:rsid w:val="00F153F1"/>
    <w:rsid w:val="00F15C99"/>
    <w:rsid w:val="00F2054B"/>
    <w:rsid w:val="00F2075E"/>
    <w:rsid w:val="00F21BCE"/>
    <w:rsid w:val="00F22FB1"/>
    <w:rsid w:val="00F23A8F"/>
    <w:rsid w:val="00F23DEE"/>
    <w:rsid w:val="00F2458A"/>
    <w:rsid w:val="00F249CA"/>
    <w:rsid w:val="00F25B27"/>
    <w:rsid w:val="00F27181"/>
    <w:rsid w:val="00F3124A"/>
    <w:rsid w:val="00F32235"/>
    <w:rsid w:val="00F36869"/>
    <w:rsid w:val="00F41DE1"/>
    <w:rsid w:val="00F42321"/>
    <w:rsid w:val="00F43763"/>
    <w:rsid w:val="00F44368"/>
    <w:rsid w:val="00F47499"/>
    <w:rsid w:val="00F50FDB"/>
    <w:rsid w:val="00F51827"/>
    <w:rsid w:val="00F51C98"/>
    <w:rsid w:val="00F53BAB"/>
    <w:rsid w:val="00F53F50"/>
    <w:rsid w:val="00F541F1"/>
    <w:rsid w:val="00F62059"/>
    <w:rsid w:val="00F62E97"/>
    <w:rsid w:val="00F65F1B"/>
    <w:rsid w:val="00F669C5"/>
    <w:rsid w:val="00F6763B"/>
    <w:rsid w:val="00F67676"/>
    <w:rsid w:val="00F71E21"/>
    <w:rsid w:val="00F72213"/>
    <w:rsid w:val="00F74AC2"/>
    <w:rsid w:val="00F75426"/>
    <w:rsid w:val="00F76F47"/>
    <w:rsid w:val="00F801B3"/>
    <w:rsid w:val="00F812B3"/>
    <w:rsid w:val="00F81313"/>
    <w:rsid w:val="00F83FC1"/>
    <w:rsid w:val="00F85319"/>
    <w:rsid w:val="00F87C69"/>
    <w:rsid w:val="00F91318"/>
    <w:rsid w:val="00F919C8"/>
    <w:rsid w:val="00F91D2C"/>
    <w:rsid w:val="00F93818"/>
    <w:rsid w:val="00F93878"/>
    <w:rsid w:val="00F94CA1"/>
    <w:rsid w:val="00F95CF5"/>
    <w:rsid w:val="00F96589"/>
    <w:rsid w:val="00F96F03"/>
    <w:rsid w:val="00F97A02"/>
    <w:rsid w:val="00F97AAA"/>
    <w:rsid w:val="00FA18C8"/>
    <w:rsid w:val="00FA3B53"/>
    <w:rsid w:val="00FA425E"/>
    <w:rsid w:val="00FA5015"/>
    <w:rsid w:val="00FA6C9C"/>
    <w:rsid w:val="00FA6DDC"/>
    <w:rsid w:val="00FA7304"/>
    <w:rsid w:val="00FA788B"/>
    <w:rsid w:val="00FB06BD"/>
    <w:rsid w:val="00FB1F81"/>
    <w:rsid w:val="00FB3EBE"/>
    <w:rsid w:val="00FB3FDF"/>
    <w:rsid w:val="00FB50D8"/>
    <w:rsid w:val="00FB563C"/>
    <w:rsid w:val="00FB7718"/>
    <w:rsid w:val="00FC55BF"/>
    <w:rsid w:val="00FD09A9"/>
    <w:rsid w:val="00FD2282"/>
    <w:rsid w:val="00FD2D2A"/>
    <w:rsid w:val="00FD653B"/>
    <w:rsid w:val="00FE00CF"/>
    <w:rsid w:val="00FE0646"/>
    <w:rsid w:val="00FE2003"/>
    <w:rsid w:val="00FE3CDD"/>
    <w:rsid w:val="00FE66D7"/>
    <w:rsid w:val="00FE77EF"/>
    <w:rsid w:val="00FF02FE"/>
    <w:rsid w:val="00FF09C2"/>
    <w:rsid w:val="00FF0DF7"/>
    <w:rsid w:val="00FF0E9C"/>
    <w:rsid w:val="00FF55E9"/>
    <w:rsid w:val="00FF7A3B"/>
    <w:rsid w:val="015A5E6F"/>
    <w:rsid w:val="016E8B5F"/>
    <w:rsid w:val="01897F87"/>
    <w:rsid w:val="023F9661"/>
    <w:rsid w:val="0289E4C4"/>
    <w:rsid w:val="02E6AA89"/>
    <w:rsid w:val="032EC50A"/>
    <w:rsid w:val="033A9FFC"/>
    <w:rsid w:val="0378B0BC"/>
    <w:rsid w:val="04B953EE"/>
    <w:rsid w:val="05053AB5"/>
    <w:rsid w:val="06154E40"/>
    <w:rsid w:val="063328F5"/>
    <w:rsid w:val="063C1636"/>
    <w:rsid w:val="06637C36"/>
    <w:rsid w:val="06986BBB"/>
    <w:rsid w:val="06B531F0"/>
    <w:rsid w:val="06BC2771"/>
    <w:rsid w:val="0754D13C"/>
    <w:rsid w:val="08C0458E"/>
    <w:rsid w:val="08FD9188"/>
    <w:rsid w:val="09B9CCD2"/>
    <w:rsid w:val="0A611145"/>
    <w:rsid w:val="0A621CEE"/>
    <w:rsid w:val="0AD2DAF6"/>
    <w:rsid w:val="0BA6098F"/>
    <w:rsid w:val="0C1A2D22"/>
    <w:rsid w:val="0C7B60BF"/>
    <w:rsid w:val="0CF1B7E2"/>
    <w:rsid w:val="0D823388"/>
    <w:rsid w:val="0ECAEB9B"/>
    <w:rsid w:val="106367F1"/>
    <w:rsid w:val="107A80FB"/>
    <w:rsid w:val="122DC044"/>
    <w:rsid w:val="127E0897"/>
    <w:rsid w:val="12C0B31D"/>
    <w:rsid w:val="13DFE87A"/>
    <w:rsid w:val="13E6DA77"/>
    <w:rsid w:val="1452DBA5"/>
    <w:rsid w:val="165F50B0"/>
    <w:rsid w:val="184D9A93"/>
    <w:rsid w:val="18AE6ADF"/>
    <w:rsid w:val="1934FD7E"/>
    <w:rsid w:val="1B4DF1D2"/>
    <w:rsid w:val="1D3E8B38"/>
    <w:rsid w:val="1D7E78B7"/>
    <w:rsid w:val="1E22AA4A"/>
    <w:rsid w:val="1E3CD08C"/>
    <w:rsid w:val="1E51D76A"/>
    <w:rsid w:val="1EC6424E"/>
    <w:rsid w:val="1F072754"/>
    <w:rsid w:val="1F4C7C70"/>
    <w:rsid w:val="1FFE7AE6"/>
    <w:rsid w:val="20133E8F"/>
    <w:rsid w:val="2083A4DC"/>
    <w:rsid w:val="2101CD83"/>
    <w:rsid w:val="21A9A8BF"/>
    <w:rsid w:val="21C18E64"/>
    <w:rsid w:val="21D5D0E0"/>
    <w:rsid w:val="22964F3B"/>
    <w:rsid w:val="23A6A0A7"/>
    <w:rsid w:val="2627541B"/>
    <w:rsid w:val="26287309"/>
    <w:rsid w:val="269D479D"/>
    <w:rsid w:val="26B6ACA2"/>
    <w:rsid w:val="272014C6"/>
    <w:rsid w:val="2730BBD8"/>
    <w:rsid w:val="27754F19"/>
    <w:rsid w:val="294DA479"/>
    <w:rsid w:val="29B50BAA"/>
    <w:rsid w:val="29FAF581"/>
    <w:rsid w:val="2B66136C"/>
    <w:rsid w:val="2B85608E"/>
    <w:rsid w:val="2CC8AB8F"/>
    <w:rsid w:val="2D7A1DA2"/>
    <w:rsid w:val="2E494500"/>
    <w:rsid w:val="2EAF6289"/>
    <w:rsid w:val="2ED5F72C"/>
    <w:rsid w:val="2F1B5E49"/>
    <w:rsid w:val="2F1CBAFA"/>
    <w:rsid w:val="2F9884BF"/>
    <w:rsid w:val="2FBF092D"/>
    <w:rsid w:val="300765DA"/>
    <w:rsid w:val="3170A175"/>
    <w:rsid w:val="31E97122"/>
    <w:rsid w:val="33148E7D"/>
    <w:rsid w:val="33213BC3"/>
    <w:rsid w:val="33FB3456"/>
    <w:rsid w:val="33FE3A51"/>
    <w:rsid w:val="3708D9ED"/>
    <w:rsid w:val="374CA3E4"/>
    <w:rsid w:val="37B868E5"/>
    <w:rsid w:val="37D7F7C1"/>
    <w:rsid w:val="3849CD55"/>
    <w:rsid w:val="389A4A14"/>
    <w:rsid w:val="38B6F9E6"/>
    <w:rsid w:val="391DB9E7"/>
    <w:rsid w:val="392138FF"/>
    <w:rsid w:val="3BC3322D"/>
    <w:rsid w:val="3BDFC922"/>
    <w:rsid w:val="3C6E1F51"/>
    <w:rsid w:val="3D28F2D4"/>
    <w:rsid w:val="3E37E02B"/>
    <w:rsid w:val="3EC2655F"/>
    <w:rsid w:val="401AF53F"/>
    <w:rsid w:val="4020ED7F"/>
    <w:rsid w:val="4090D33C"/>
    <w:rsid w:val="413A6002"/>
    <w:rsid w:val="4144A6A5"/>
    <w:rsid w:val="4243A239"/>
    <w:rsid w:val="42472E62"/>
    <w:rsid w:val="428249A3"/>
    <w:rsid w:val="43064B2F"/>
    <w:rsid w:val="436C2916"/>
    <w:rsid w:val="43B4C68C"/>
    <w:rsid w:val="4443C1B6"/>
    <w:rsid w:val="454D6ED4"/>
    <w:rsid w:val="456E7E08"/>
    <w:rsid w:val="45C4B50F"/>
    <w:rsid w:val="468FE2C7"/>
    <w:rsid w:val="47A04041"/>
    <w:rsid w:val="47FF7D07"/>
    <w:rsid w:val="48BEA196"/>
    <w:rsid w:val="49063A9C"/>
    <w:rsid w:val="49286D90"/>
    <w:rsid w:val="49689BC6"/>
    <w:rsid w:val="4986D0FD"/>
    <w:rsid w:val="49D6F51E"/>
    <w:rsid w:val="4AE22E4D"/>
    <w:rsid w:val="4BC8DBD9"/>
    <w:rsid w:val="4BCC7AF6"/>
    <w:rsid w:val="4C0367C9"/>
    <w:rsid w:val="4C115D8D"/>
    <w:rsid w:val="4C34D32C"/>
    <w:rsid w:val="4C56B1AD"/>
    <w:rsid w:val="4C7C0524"/>
    <w:rsid w:val="4C9508E9"/>
    <w:rsid w:val="4CEC932C"/>
    <w:rsid w:val="4CFBD914"/>
    <w:rsid w:val="4D9251C0"/>
    <w:rsid w:val="4DC1F0EC"/>
    <w:rsid w:val="4FEFD453"/>
    <w:rsid w:val="5008F438"/>
    <w:rsid w:val="50CA6956"/>
    <w:rsid w:val="50D6E9CB"/>
    <w:rsid w:val="50E5750D"/>
    <w:rsid w:val="515560F9"/>
    <w:rsid w:val="51666A55"/>
    <w:rsid w:val="51BE9DAC"/>
    <w:rsid w:val="52068EED"/>
    <w:rsid w:val="53669F33"/>
    <w:rsid w:val="53D82A81"/>
    <w:rsid w:val="54AAC8A9"/>
    <w:rsid w:val="54EF0178"/>
    <w:rsid w:val="559AA8B2"/>
    <w:rsid w:val="56410FAC"/>
    <w:rsid w:val="564C0F30"/>
    <w:rsid w:val="590A2A3E"/>
    <w:rsid w:val="595A98AD"/>
    <w:rsid w:val="597BDEB5"/>
    <w:rsid w:val="59A8CE0B"/>
    <w:rsid w:val="5A8EBC4D"/>
    <w:rsid w:val="5AC39C0B"/>
    <w:rsid w:val="5AEEADCC"/>
    <w:rsid w:val="5B355649"/>
    <w:rsid w:val="5B67AB1F"/>
    <w:rsid w:val="5BADC518"/>
    <w:rsid w:val="5C260387"/>
    <w:rsid w:val="5C754E65"/>
    <w:rsid w:val="5CA532C3"/>
    <w:rsid w:val="5DB4938A"/>
    <w:rsid w:val="5E0884AB"/>
    <w:rsid w:val="5E226DFF"/>
    <w:rsid w:val="5E44C6BB"/>
    <w:rsid w:val="5F8A8E47"/>
    <w:rsid w:val="5F9DBA05"/>
    <w:rsid w:val="61A486F0"/>
    <w:rsid w:val="6282B5D7"/>
    <w:rsid w:val="62D1907D"/>
    <w:rsid w:val="63728225"/>
    <w:rsid w:val="63ED712C"/>
    <w:rsid w:val="63F87350"/>
    <w:rsid w:val="642D07C5"/>
    <w:rsid w:val="643E0DCF"/>
    <w:rsid w:val="645BAB16"/>
    <w:rsid w:val="6461FB9B"/>
    <w:rsid w:val="653CB8ED"/>
    <w:rsid w:val="653E81D9"/>
    <w:rsid w:val="65678A45"/>
    <w:rsid w:val="66265D99"/>
    <w:rsid w:val="670B7A61"/>
    <w:rsid w:val="67E56EC3"/>
    <w:rsid w:val="687731AD"/>
    <w:rsid w:val="6A3E5867"/>
    <w:rsid w:val="6AC7781B"/>
    <w:rsid w:val="6B8F65A3"/>
    <w:rsid w:val="6BA18690"/>
    <w:rsid w:val="6BBD8650"/>
    <w:rsid w:val="6D3CA62A"/>
    <w:rsid w:val="6E800395"/>
    <w:rsid w:val="6E9F8598"/>
    <w:rsid w:val="6F63B740"/>
    <w:rsid w:val="71B6C909"/>
    <w:rsid w:val="72A6C7D7"/>
    <w:rsid w:val="7364CD4E"/>
    <w:rsid w:val="73DE6139"/>
    <w:rsid w:val="748138F1"/>
    <w:rsid w:val="74F90929"/>
    <w:rsid w:val="771F3338"/>
    <w:rsid w:val="77FA5646"/>
    <w:rsid w:val="780F2DC0"/>
    <w:rsid w:val="7890F409"/>
    <w:rsid w:val="78C62FE5"/>
    <w:rsid w:val="79A45FEC"/>
    <w:rsid w:val="79F79D47"/>
    <w:rsid w:val="7A718EDC"/>
    <w:rsid w:val="7BA20C5F"/>
    <w:rsid w:val="7BEE3287"/>
    <w:rsid w:val="7C162921"/>
    <w:rsid w:val="7CC85A7E"/>
    <w:rsid w:val="7CC86672"/>
    <w:rsid w:val="7F47E05E"/>
    <w:rsid w:val="7F7179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CDA"/>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semiHidden/>
    <w:unhideWhenUsed/>
    <w:rsid w:val="00375E8C"/>
    <w:pPr>
      <w:tabs>
        <w:tab w:val="center" w:pos="4680"/>
        <w:tab w:val="right" w:pos="9360"/>
      </w:tabs>
    </w:pPr>
  </w:style>
  <w:style w:type="character" w:customStyle="1" w:styleId="HeaderChar">
    <w:name w:val="Header Char"/>
    <w:basedOn w:val="DefaultParagraphFont"/>
    <w:link w:val="Header"/>
    <w:uiPriority w:val="99"/>
    <w:semiHidden/>
    <w:rsid w:val="00375E8C"/>
  </w:style>
  <w:style w:type="character" w:styleId="PlaceholderText">
    <w:name w:val="Placeholder Text"/>
    <w:basedOn w:val="DefaultParagraphFont"/>
    <w:uiPriority w:val="99"/>
    <w:semiHidden/>
    <w:rsid w:val="00731B51"/>
    <w:rPr>
      <w:color w:val="666666"/>
    </w:rPr>
  </w:style>
  <w:style w:type="paragraph" w:styleId="Bibliography">
    <w:name w:val="Bibliography"/>
    <w:basedOn w:val="Normal"/>
    <w:next w:val="Normal"/>
    <w:uiPriority w:val="37"/>
    <w:unhideWhenUsed/>
    <w:rsid w:val="00DE69ED"/>
    <w:pPr>
      <w:tabs>
        <w:tab w:val="left" w:pos="380"/>
      </w:tabs>
      <w:spacing w:after="240"/>
      <w:ind w:left="384" w:hanging="384"/>
    </w:pPr>
  </w:style>
  <w:style w:type="character" w:customStyle="1" w:styleId="normaltextrun">
    <w:name w:val="normaltextrun"/>
    <w:basedOn w:val="DefaultParagraphFont"/>
    <w:rsid w:val="00DA3E3E"/>
  </w:style>
  <w:style w:type="character" w:customStyle="1" w:styleId="apple-converted-space">
    <w:name w:val="apple-converted-space"/>
    <w:basedOn w:val="DefaultParagraphFont"/>
    <w:rsid w:val="00DA3E3E"/>
  </w:style>
  <w:style w:type="character" w:customStyle="1" w:styleId="eop">
    <w:name w:val="eop"/>
    <w:basedOn w:val="DefaultParagraphFont"/>
    <w:rsid w:val="00DA3E3E"/>
  </w:style>
  <w:style w:type="paragraph" w:styleId="NormalWeb">
    <w:name w:val="Normal (Web)"/>
    <w:basedOn w:val="Normal"/>
    <w:uiPriority w:val="99"/>
    <w:semiHidden/>
    <w:unhideWhenUsed/>
    <w:rsid w:val="006E3CFD"/>
    <w:pPr>
      <w:widowControl/>
      <w:spacing w:before="100" w:beforeAutospacing="1" w:after="100" w:afterAutospacing="1"/>
      <w:jc w:val="left"/>
    </w:pPr>
    <w:rPr>
      <w:rFonts w:ascii="Times New Roman" w:eastAsia="Times New Roman" w:hAnsi="Times New Roman" w:cs="Times New Roman"/>
      <w:lang w:val="en-IN" w:eastAsia="en-IN"/>
    </w:rPr>
  </w:style>
  <w:style w:type="character" w:styleId="Strong">
    <w:name w:val="Strong"/>
    <w:basedOn w:val="DefaultParagraphFont"/>
    <w:uiPriority w:val="22"/>
    <w:qFormat/>
    <w:rsid w:val="006E3C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623FA-56C0-4A43-80B7-DEFF312C3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29371</Words>
  <Characters>167417</Characters>
  <Application>Microsoft Office Word</Application>
  <DocSecurity>0</DocSecurity>
  <Lines>1395</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2026-07-01T16:20:00Z</dcterms:created>
  <dcterms:modified xsi:type="dcterms:W3CDTF">2026-07-01T16:20:00Z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id="uFoMkJbN"/&gt;&lt;style id="http://www.zotero.org/styles/nlm-citation-sequence-brackets-year-only-no-issue" locale="en-US" hasBibliography="1" bibliographyStyleHasBeenSet="1"/&gt;&lt;prefs&gt;&lt;pref name="fieldTy</vt:lpwstr>
  </property>
  <property fmtid="{D5CDD505-2E9C-101B-9397-08002B2CF9AE}" pid="3" name="ZOTERO_PREF_2">
    <vt:lpwstr>pe" value="Field"/&gt;&lt;/prefs&gt;&lt;/data&gt;</vt:lpwstr>
  </property>
  <property fmtid="{D5CDD505-2E9C-101B-9397-08002B2CF9AE}" pid="4" name="GrammarlyDocumentId">
    <vt:lpwstr>380db1b5-af50-4b52-a86b-0ae3d9a1b40c</vt:lpwstr>
  </property>
</Properties>
</file>