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7378" w14:textId="77777777" w:rsidR="000D225E" w:rsidRDefault="000D225E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4E93B4DC" w14:textId="77777777" w:rsidR="000D225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71885</w:t>
      </w:r>
    </w:p>
    <w:p w14:paraId="138E35EA" w14:textId="77777777" w:rsidR="000D225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Ruchira Mukherji</w:t>
      </w:r>
    </w:p>
    <w:p w14:paraId="51B70B41" w14:textId="77777777" w:rsidR="000D225E" w:rsidRDefault="00000000"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0D225E">
          <w:rPr>
            <w:rStyle w:val="Hyperlink"/>
          </w:rPr>
          <w:t>https://review.jove.com/files_upload.php?src=21924973</w:t>
        </w:r>
      </w:hyperlink>
    </w:p>
    <w:p w14:paraId="76378DC2" w14:textId="77777777" w:rsidR="000D225E" w:rsidRDefault="000D225E">
      <w:pPr>
        <w:outlineLvl w:val="0"/>
        <w:rPr>
          <w:rFonts w:eastAsia="Times New Roman" w:cstheme="minorHAnsi"/>
          <w:b/>
        </w:rPr>
      </w:pPr>
    </w:p>
    <w:p w14:paraId="4C4640D0" w14:textId="77777777" w:rsidR="000D225E" w:rsidRDefault="000D225E">
      <w:pPr>
        <w:outlineLvl w:val="0"/>
        <w:rPr>
          <w:rFonts w:eastAsia="Times New Roman" w:cstheme="minorHAnsi"/>
          <w:b/>
        </w:rPr>
      </w:pPr>
    </w:p>
    <w:p w14:paraId="3E3156C9" w14:textId="77777777" w:rsidR="000D225E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 Smartphone measurement application for Percutaneous Vertebroplasty in Osteoporotic Vertebral Compression Fractures: A Randomized Trial</w:t>
      </w:r>
    </w:p>
    <w:p w14:paraId="05DB3417" w14:textId="77777777" w:rsidR="000D225E" w:rsidRDefault="000D225E">
      <w:pPr>
        <w:outlineLvl w:val="0"/>
        <w:rPr>
          <w:rFonts w:eastAsia="Times New Roman" w:cstheme="minorHAnsi"/>
          <w:b/>
        </w:rPr>
      </w:pPr>
    </w:p>
    <w:p w14:paraId="456A0C61" w14:textId="77777777" w:rsidR="000D225E" w:rsidRDefault="000D225E">
      <w:pPr>
        <w:outlineLvl w:val="0"/>
        <w:rPr>
          <w:rFonts w:eastAsia="Times New Roman" w:cstheme="minorHAnsi"/>
          <w:b/>
        </w:rPr>
      </w:pPr>
    </w:p>
    <w:p w14:paraId="1069BDA8" w14:textId="77777777" w:rsidR="000D225E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39D9665" w14:textId="77777777" w:rsidR="000D225E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Jing Wang¹</w:t>
      </w:r>
      <w:r>
        <w:rPr>
          <w:rFonts w:eastAsia="Times New Roman" w:cstheme="minorHAnsi"/>
          <w:b/>
          <w:sz w:val="28"/>
          <w:szCs w:val="28"/>
          <w:vertAlign w:val="superscript"/>
        </w:rPr>
        <w:t>,</w:t>
      </w:r>
      <w:r>
        <w:rPr>
          <w:rFonts w:eastAsia="Times New Roman" w:cstheme="minorHAnsi"/>
          <w:b/>
          <w:sz w:val="28"/>
          <w:szCs w:val="28"/>
        </w:rPr>
        <w:t>² ,  Jin Zhang¹</w:t>
      </w:r>
      <w:r>
        <w:rPr>
          <w:rFonts w:eastAsia="Times New Roman" w:cstheme="minorHAnsi"/>
          <w:b/>
          <w:sz w:val="28"/>
          <w:szCs w:val="28"/>
          <w:vertAlign w:val="superscript"/>
        </w:rPr>
        <w:t>,</w:t>
      </w:r>
      <w:r>
        <w:rPr>
          <w:rFonts w:eastAsia="Times New Roman" w:cstheme="minorHAnsi"/>
          <w:b/>
          <w:sz w:val="28"/>
          <w:szCs w:val="28"/>
        </w:rPr>
        <w:t>³</w:t>
      </w:r>
    </w:p>
    <w:p w14:paraId="0F9F7BA8" w14:textId="77777777" w:rsidR="000D225E" w:rsidRDefault="000D22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57A323" w14:textId="77777777" w:rsidR="000D225E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¹ Department of Orthopaedics, The Second Hospital of Lanzhou University</w:t>
      </w:r>
      <w:r>
        <w:rPr>
          <w:rFonts w:eastAsia="Times New Roman" w:cstheme="minorHAnsi"/>
          <w:bCs/>
          <w:sz w:val="28"/>
          <w:szCs w:val="28"/>
        </w:rPr>
        <w:br/>
        <w:t>² Department of Orthopaedics, Minxian People's Hospital</w:t>
      </w:r>
      <w:r>
        <w:rPr>
          <w:rFonts w:eastAsia="Times New Roman" w:cstheme="minorHAnsi"/>
          <w:bCs/>
          <w:sz w:val="28"/>
          <w:szCs w:val="28"/>
        </w:rPr>
        <w:br/>
        <w:t>³ Gansu Provincial Hospital of Traditional Chinese Medicine</w:t>
      </w:r>
    </w:p>
    <w:p w14:paraId="006A3083" w14:textId="77777777" w:rsidR="000D225E" w:rsidRDefault="000D225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D3C1D9" w14:textId="77777777" w:rsidR="000D225E" w:rsidRDefault="000D225E">
      <w:pPr>
        <w:outlineLvl w:val="0"/>
        <w:rPr>
          <w:rFonts w:eastAsia="Times New Roman" w:cstheme="minorHAnsi"/>
        </w:rPr>
      </w:pPr>
    </w:p>
    <w:p w14:paraId="4AC05469" w14:textId="77777777" w:rsidR="000D225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F73166B" w14:textId="77777777" w:rsidR="000D225E" w:rsidRDefault="000D225E">
      <w:pPr>
        <w:outlineLvl w:val="0"/>
        <w:rPr>
          <w:rFonts w:eastAsia="Times New Roman" w:cstheme="minorHAnsi"/>
          <w:b/>
        </w:rPr>
      </w:pPr>
    </w:p>
    <w:p w14:paraId="35488DF0" w14:textId="6244EBB2" w:rsidR="00FC1F36" w:rsidRDefault="00000000">
      <w:pPr>
        <w:rPr>
          <w:b/>
          <w:bCs/>
          <w:lang w:eastAsia="zh-CN"/>
        </w:rPr>
      </w:pPr>
      <w:bookmarkStart w:id="0" w:name="_Hlk25233958"/>
      <w:r w:rsidRPr="00C77C56">
        <w:rPr>
          <w:b/>
          <w:bCs/>
        </w:rPr>
        <w:t xml:space="preserve">Jin </w:t>
      </w:r>
      <w:r w:rsidRPr="00C77C56">
        <w:rPr>
          <w:rFonts w:hint="eastAsia"/>
          <w:b/>
          <w:bCs/>
          <w:lang w:eastAsia="zh-CN"/>
        </w:rPr>
        <w:t>Zh</w:t>
      </w:r>
      <w:r w:rsidRPr="00C77C56">
        <w:rPr>
          <w:b/>
          <w:bCs/>
        </w:rPr>
        <w:t xml:space="preserve">ang </w:t>
      </w:r>
      <w:r w:rsidRPr="00C77C56">
        <w:rPr>
          <w:b/>
          <w:bCs/>
        </w:rPr>
        <w:tab/>
      </w:r>
      <w:r w:rsidRPr="00C77C56">
        <w:rPr>
          <w:b/>
          <w:bCs/>
        </w:rPr>
        <w:tab/>
      </w:r>
      <w:r w:rsidRPr="00C77C56">
        <w:rPr>
          <w:b/>
          <w:bCs/>
        </w:rPr>
        <w:tab/>
      </w:r>
      <w:hyperlink r:id="rId8" w:history="1">
        <w:r w:rsidR="00FC1F36" w:rsidRPr="00671736">
          <w:rPr>
            <w:rStyle w:val="Hyperlink"/>
            <w:b/>
            <w:bCs/>
            <w:lang w:eastAsia="zh-CN"/>
          </w:rPr>
          <w:t>13519698516@163.com</w:t>
        </w:r>
      </w:hyperlink>
    </w:p>
    <w:p w14:paraId="0D2FF266" w14:textId="0698173D" w:rsidR="000D225E" w:rsidRPr="00C77C56" w:rsidRDefault="000D225E">
      <w:pPr>
        <w:rPr>
          <w:b/>
          <w:bCs/>
          <w:highlight w:val="yellow"/>
        </w:rPr>
      </w:pPr>
    </w:p>
    <w:bookmarkEnd w:id="0"/>
    <w:p w14:paraId="0372D946" w14:textId="77777777" w:rsidR="000D225E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6805F7F7" w14:textId="77777777" w:rsidR="000D225E" w:rsidRDefault="000D225E">
      <w:pPr>
        <w:outlineLvl w:val="0"/>
        <w:rPr>
          <w:rFonts w:cstheme="minorHAnsi"/>
          <w:b/>
          <w:sz w:val="22"/>
          <w:szCs w:val="22"/>
        </w:rPr>
      </w:pPr>
    </w:p>
    <w:p w14:paraId="4806BF02" w14:textId="77777777" w:rsidR="000D225E" w:rsidRDefault="000D225E">
      <w:hyperlink r:id="rId9" w:history="1">
        <w:r>
          <w:rPr>
            <w:rStyle w:val="Hyperlink"/>
          </w:rPr>
          <w:t>13519698516@163.com</w:t>
        </w:r>
      </w:hyperlink>
    </w:p>
    <w:p w14:paraId="45DA885E" w14:textId="77777777" w:rsidR="000D225E" w:rsidRDefault="000D225E">
      <w:hyperlink r:id="rId10" w:history="1">
        <w:r>
          <w:rPr>
            <w:rStyle w:val="Hyperlink"/>
          </w:rPr>
          <w:t>wangjingx@lzu.edu.cn</w:t>
        </w:r>
      </w:hyperlink>
    </w:p>
    <w:p w14:paraId="6BAE536A" w14:textId="77777777" w:rsidR="000D225E" w:rsidRDefault="000D225E">
      <w:pPr>
        <w:outlineLvl w:val="0"/>
        <w:rPr>
          <w:rFonts w:cstheme="minorHAnsi"/>
          <w:b/>
          <w:sz w:val="22"/>
          <w:szCs w:val="22"/>
        </w:rPr>
      </w:pPr>
    </w:p>
    <w:p w14:paraId="19C2FE79" w14:textId="77777777" w:rsidR="000D225E" w:rsidRDefault="000D225E">
      <w:pPr>
        <w:outlineLvl w:val="0"/>
        <w:rPr>
          <w:rFonts w:cstheme="minorHAnsi"/>
          <w:b/>
          <w:sz w:val="22"/>
          <w:szCs w:val="22"/>
        </w:rPr>
      </w:pPr>
    </w:p>
    <w:p w14:paraId="68A93043" w14:textId="77777777" w:rsidR="000D225E" w:rsidRDefault="000D225E">
      <w:pPr>
        <w:outlineLvl w:val="0"/>
        <w:rPr>
          <w:rFonts w:cstheme="minorHAnsi"/>
          <w:b/>
          <w:sz w:val="22"/>
          <w:szCs w:val="22"/>
        </w:rPr>
      </w:pPr>
    </w:p>
    <w:p w14:paraId="3DAD5F0B" w14:textId="77777777" w:rsidR="000D225E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3F2407A2" w14:textId="77777777" w:rsidR="000D225E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64459523" w14:textId="77777777" w:rsidR="000D225E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5C773DE6" w14:textId="77777777" w:rsidR="000D225E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</w:t>
      </w:r>
      <w:r w:rsidRPr="00D56CFA">
        <w:rPr>
          <w:rFonts w:cstheme="minorHAnsi"/>
          <w:b/>
          <w:bCs/>
        </w:rPr>
        <w:t xml:space="preserve">Correct </w:t>
      </w:r>
    </w:p>
    <w:p w14:paraId="27D49107" w14:textId="77777777" w:rsidR="000D225E" w:rsidRDefault="000D225E">
      <w:pPr>
        <w:spacing w:before="120"/>
        <w:rPr>
          <w:rFonts w:cstheme="minorHAnsi"/>
        </w:rPr>
      </w:pPr>
    </w:p>
    <w:p w14:paraId="20CC7723" w14:textId="77777777" w:rsidR="000D225E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03B49013" w14:textId="77777777" w:rsidR="000D225E" w:rsidRDefault="000D225E" w:rsidP="00D56CFA">
      <w:pPr>
        <w:rPr>
          <w:rFonts w:eastAsia="Times New Roman" w:cs="Calibri"/>
          <w:color w:val="222222"/>
        </w:rPr>
      </w:pPr>
    </w:p>
    <w:p w14:paraId="4107E598" w14:textId="77777777" w:rsidR="000D225E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0E0D0D">
            <w:rPr>
              <w:rFonts w:ascii="MS Gothic" w:eastAsia="MS Gothic" w:hAnsi="MS Gothic" w:cstheme="minorHAnsi" w:hint="eastAsia"/>
              <w:color w:val="000000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</w:r>
      <w:r w:rsidRPr="00D56CFA">
        <w:rPr>
          <w:rFonts w:eastAsia="Times New Roman" w:cs="Calibri"/>
          <w:b/>
          <w:bCs/>
          <w:color w:val="222222"/>
        </w:rPr>
        <w:t>Interview Statements are read by JoVE’s voiceover talent.</w:t>
      </w:r>
      <w:r>
        <w:rPr>
          <w:rFonts w:eastAsia="Times New Roman" w:cs="Calibri"/>
          <w:color w:val="222222"/>
        </w:rPr>
        <w:t xml:space="preserve"> </w:t>
      </w:r>
    </w:p>
    <w:p w14:paraId="7FE81295" w14:textId="77777777" w:rsidR="000D225E" w:rsidRDefault="000D225E">
      <w:pPr>
        <w:spacing w:before="120"/>
        <w:rPr>
          <w:rFonts w:eastAsia="Times New Roman" w:cstheme="minorHAnsi"/>
          <w:b/>
        </w:rPr>
      </w:pPr>
    </w:p>
    <w:p w14:paraId="0B8D3C2C" w14:textId="157814BD" w:rsidR="000D225E" w:rsidRPr="000E0D0D" w:rsidRDefault="00A050D4">
      <w:pPr>
        <w:rPr>
          <w:rFonts w:ascii="Calibri" w:hAnsi="Calibri" w:cs="Calibri"/>
          <w:b/>
          <w:bCs/>
          <w:color w:val="00B050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685716">
        <w:rPr>
          <w:rFonts w:ascii="Calibri" w:hAnsi="Calibri" w:cs="Calibri"/>
          <w:b/>
          <w:bCs/>
          <w:color w:val="222222"/>
        </w:rPr>
        <w:t>. Proposed interview filming date:</w:t>
      </w:r>
      <w:r w:rsidR="00685716">
        <w:rPr>
          <w:rFonts w:ascii="Calibri" w:hAnsi="Calibri" w:cs="Calibri"/>
          <w:color w:val="222222"/>
        </w:rPr>
        <w:t xml:space="preserve"> Please indicate the </w:t>
      </w:r>
      <w:r w:rsidR="00685716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="00685716">
        <w:rPr>
          <w:rFonts w:ascii="Calibri" w:hAnsi="Calibri" w:cs="Calibri"/>
          <w:b/>
          <w:bCs/>
          <w:color w:val="222222"/>
          <w:u w:val="single"/>
        </w:rPr>
        <w:t>self-film</w:t>
      </w:r>
      <w:r w:rsidR="00685716">
        <w:rPr>
          <w:rFonts w:ascii="Calibri" w:hAnsi="Calibri" w:cs="Calibri"/>
          <w:color w:val="222222"/>
        </w:rPr>
        <w:t xml:space="preserve"> interviews: </w:t>
      </w:r>
      <w:r w:rsidR="00E60831" w:rsidRPr="00E60831">
        <w:rPr>
          <w:rFonts w:ascii="Calibri" w:hAnsi="Calibri" w:cs="Calibri"/>
          <w:b/>
          <w:bCs/>
          <w:color w:val="222222"/>
        </w:rPr>
        <w:t>N/A</w:t>
      </w:r>
    </w:p>
    <w:p w14:paraId="444A1A9B" w14:textId="77777777" w:rsidR="000D225E" w:rsidRDefault="000D225E">
      <w:pPr>
        <w:rPr>
          <w:rFonts w:cstheme="minorHAnsi"/>
        </w:rPr>
      </w:pPr>
    </w:p>
    <w:p w14:paraId="69EB961B" w14:textId="77777777" w:rsidR="000D225E" w:rsidRPr="00E60831" w:rsidRDefault="00000000">
      <w:pPr>
        <w:rPr>
          <w:rFonts w:ascii="Calibri" w:hAnsi="Calibri" w:cs="Calibri"/>
          <w:b/>
          <w:bCs/>
          <w:color w:val="000000"/>
        </w:rPr>
      </w:pPr>
      <w:r w:rsidRPr="00E60831">
        <w:rPr>
          <w:rFonts w:ascii="Calibri" w:hAnsi="Calibri" w:cs="Calibri"/>
          <w:b/>
          <w:bCs/>
          <w:color w:val="000000"/>
          <w:sz w:val="28"/>
          <w:szCs w:val="28"/>
        </w:rPr>
        <w:t xml:space="preserve">When you are ready to submit your video files, please contact our China Location Producer, </w:t>
      </w:r>
      <w:hyperlink r:id="rId11" w:history="1">
        <w:r w:rsidR="000D225E" w:rsidRPr="00E60831">
          <w:rPr>
            <w:rStyle w:val="Hyperlink"/>
            <w:b/>
            <w:bCs/>
            <w:sz w:val="28"/>
            <w:szCs w:val="26"/>
          </w:rPr>
          <w:t>Junling Cheng</w:t>
        </w:r>
      </w:hyperlink>
      <w:r w:rsidRPr="00E60831">
        <w:rPr>
          <w:rFonts w:ascii="Calibri" w:hAnsi="Calibri" w:cs="Calibri"/>
          <w:b/>
          <w:bCs/>
          <w:color w:val="000000"/>
        </w:rPr>
        <w:t>.</w:t>
      </w:r>
    </w:p>
    <w:p w14:paraId="0DEA75EF" w14:textId="77777777" w:rsidR="000D225E" w:rsidRDefault="000D225E">
      <w:pPr>
        <w:rPr>
          <w:rFonts w:cstheme="minorHAnsi"/>
          <w:b/>
          <w:sz w:val="22"/>
          <w:szCs w:val="22"/>
        </w:rPr>
      </w:pPr>
    </w:p>
    <w:p w14:paraId="00654589" w14:textId="77777777" w:rsidR="000D225E" w:rsidRDefault="000D225E">
      <w:pPr>
        <w:rPr>
          <w:rFonts w:cstheme="minorHAnsi"/>
          <w:b/>
          <w:sz w:val="22"/>
          <w:szCs w:val="22"/>
        </w:rPr>
      </w:pPr>
    </w:p>
    <w:p w14:paraId="48294F64" w14:textId="77777777" w:rsidR="000D225E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3D79920" w14:textId="77777777" w:rsidR="000D225E" w:rsidRDefault="000D225E">
      <w:pPr>
        <w:rPr>
          <w:rFonts w:cstheme="minorHAnsi"/>
          <w:b/>
          <w:sz w:val="22"/>
          <w:szCs w:val="22"/>
        </w:rPr>
      </w:pPr>
    </w:p>
    <w:p w14:paraId="311A5B22" w14:textId="77777777" w:rsidR="000D225E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</w:t>
      </w:r>
      <w:r>
        <w:rPr>
          <w:rFonts w:cstheme="minorHAnsi" w:hint="eastAsia"/>
          <w:bCs/>
          <w:sz w:val="22"/>
          <w:szCs w:val="22"/>
          <w:lang w:eastAsia="zh-CN"/>
        </w:rPr>
        <w:t>0</w:t>
      </w:r>
      <w:r>
        <w:rPr>
          <w:rFonts w:cstheme="minorHAnsi"/>
          <w:bCs/>
          <w:sz w:val="22"/>
          <w:szCs w:val="22"/>
        </w:rPr>
        <w:t xml:space="preserve"> </w:t>
      </w:r>
    </w:p>
    <w:p w14:paraId="5B270097" w14:textId="77777777" w:rsidR="000D225E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27 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024E8783" w14:textId="77777777" w:rsidR="000D225E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677DDA39" w14:textId="77777777" w:rsidR="000D225E" w:rsidRDefault="000D225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229B20B" w14:textId="7BCC6DC3" w:rsidR="000D225E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0E0D0D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74A03B11" w14:textId="77777777" w:rsidR="000D225E" w:rsidRDefault="000D225E">
      <w:pPr>
        <w:rPr>
          <w:rFonts w:cstheme="minorHAnsi"/>
          <w:color w:val="auto"/>
          <w:shd w:val="clear" w:color="auto" w:fill="FFFFFF"/>
        </w:rPr>
      </w:pPr>
    </w:p>
    <w:p w14:paraId="4206EAAB" w14:textId="77777777" w:rsidR="000D225E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E6586C1" w14:textId="77777777" w:rsidR="000D225E" w:rsidRPr="00B219B3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B219B3">
        <w:rPr>
          <w:rFonts w:cstheme="minorHAnsi"/>
          <w:b/>
          <w:bCs/>
          <w:color w:val="000000"/>
        </w:rPr>
        <w:t xml:space="preserve">REQUIRED: </w:t>
      </w:r>
      <w:r w:rsidRPr="00B219B3">
        <w:rPr>
          <w:rFonts w:cstheme="minorHAnsi"/>
          <w:color w:val="000000"/>
        </w:rPr>
        <w:t>Summarize your research focus and the main questions it aims to answer.</w:t>
      </w:r>
    </w:p>
    <w:p w14:paraId="37EF4B6B" w14:textId="6BD393B4" w:rsidR="000D225E" w:rsidRPr="00FC1F36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B219B3">
        <w:rPr>
          <w:rStyle w:val="AuthorName"/>
          <w:rFonts w:asciiTheme="minorHAnsi" w:eastAsia="Times" w:hAnsiTheme="minorHAnsi" w:cstheme="minorHAnsi"/>
          <w:lang w:eastAsia="zh-CN"/>
        </w:rPr>
        <w:t>Jing Wang</w:t>
      </w:r>
      <w:r w:rsidR="001713B9" w:rsidRPr="00B219B3">
        <w:rPr>
          <w:rStyle w:val="AuthorName"/>
          <w:rFonts w:asciiTheme="minorHAnsi" w:eastAsia="Times" w:hAnsiTheme="minorHAnsi" w:cstheme="minorHAnsi"/>
          <w:lang w:eastAsia="zh-CN"/>
        </w:rPr>
        <w:t>/</w:t>
      </w:r>
      <w:r w:rsidRPr="00B219B3">
        <w:rPr>
          <w:rStyle w:val="AuthorName"/>
          <w:rFonts w:asciiTheme="minorHAnsi" w:eastAsia="Times" w:hAnsiTheme="minorHAnsi" w:cstheme="minorHAnsi"/>
          <w:lang w:eastAsia="zh-CN"/>
        </w:rPr>
        <w:t>Jin Zhang</w:t>
      </w:r>
      <w:r w:rsidRPr="00B219B3">
        <w:rPr>
          <w:rStyle w:val="AuthorName"/>
          <w:rFonts w:asciiTheme="minorHAnsi" w:eastAsia="Times" w:hAnsiTheme="minorHAnsi" w:cstheme="minorHAnsi"/>
        </w:rPr>
        <w:t>:</w:t>
      </w:r>
      <w:r w:rsidRPr="00B219B3">
        <w:rPr>
          <w:rFonts w:cstheme="minorHAnsi"/>
        </w:rPr>
        <w:t xml:space="preserve"> </w:t>
      </w:r>
      <w:r w:rsidR="001713B9" w:rsidRPr="00B219B3">
        <w:rPr>
          <w:rFonts w:eastAsia="Segoe UI" w:cstheme="minorHAnsi"/>
          <w:shd w:val="clear" w:color="auto" w:fill="FAFAFA"/>
        </w:rPr>
        <w:t>We evaluate whether smartphone-assisted vertebral localization improves preoperative efficiency and reduces fluoroscopy without compromising accuracy or short-term outcomes before vertebroplasty.</w:t>
      </w:r>
    </w:p>
    <w:p w14:paraId="3926FA0E" w14:textId="4E7424B3" w:rsidR="00FC1F36" w:rsidRPr="00FC1F36" w:rsidRDefault="00FC1F36" w:rsidP="00FC1F36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52BA760" w14:textId="77777777" w:rsidR="00A81D29" w:rsidRPr="00B219B3" w:rsidRDefault="00A81D29" w:rsidP="00A81D29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722D0F46" w14:textId="77777777" w:rsidR="000D225E" w:rsidRPr="00B219B3" w:rsidRDefault="00000000">
      <w:pPr>
        <w:rPr>
          <w:rFonts w:eastAsia="Times New Roman" w:cstheme="minorHAnsi"/>
        </w:rPr>
      </w:pPr>
      <w:r w:rsidRPr="00B219B3">
        <w:rPr>
          <w:rFonts w:cstheme="minorHAnsi"/>
        </w:rPr>
        <w:t>Describe the research gap or limitation in existing methods and how this protocol addresses them.</w:t>
      </w:r>
    </w:p>
    <w:p w14:paraId="45AFF49A" w14:textId="01088526" w:rsidR="000D225E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Style w:val="AuthorName"/>
          <w:rFonts w:asciiTheme="minorHAnsi" w:eastAsia="Times" w:hAnsiTheme="minorHAnsi" w:cstheme="minorHAnsi"/>
          <w:u w:val="none"/>
          <w:lang w:eastAsia="zh-CN"/>
        </w:rPr>
      </w:pPr>
      <w:r w:rsidRPr="00B219B3">
        <w:rPr>
          <w:rStyle w:val="AuthorName"/>
          <w:rFonts w:asciiTheme="minorHAnsi" w:eastAsia="Times" w:hAnsiTheme="minorHAnsi" w:cstheme="minorHAnsi"/>
          <w:lang w:eastAsia="zh-CN"/>
        </w:rPr>
        <w:t>Jing Wang</w:t>
      </w:r>
      <w:r w:rsidR="001713B9" w:rsidRPr="00B219B3">
        <w:rPr>
          <w:rStyle w:val="AuthorName"/>
          <w:rFonts w:asciiTheme="minorHAnsi" w:eastAsia="Times" w:hAnsiTheme="minorHAnsi" w:cstheme="minorHAnsi"/>
          <w:lang w:eastAsia="zh-CN"/>
        </w:rPr>
        <w:t>/</w:t>
      </w:r>
      <w:r w:rsidRPr="00B219B3">
        <w:rPr>
          <w:rStyle w:val="AuthorName"/>
          <w:rFonts w:asciiTheme="minorHAnsi" w:eastAsia="Times" w:hAnsiTheme="minorHAnsi" w:cstheme="minorHAnsi"/>
          <w:lang w:eastAsia="zh-CN"/>
        </w:rPr>
        <w:t>Jin Zhang:</w:t>
      </w:r>
      <w:r w:rsidR="00A81D29" w:rsidRPr="00B219B3">
        <w:rPr>
          <w:rStyle w:val="AuthorName"/>
          <w:rFonts w:asciiTheme="minorHAnsi" w:eastAsia="Times" w:hAnsiTheme="minorHAnsi" w:cstheme="minorHAnsi"/>
          <w:u w:val="none"/>
          <w:lang w:eastAsia="zh-CN"/>
        </w:rPr>
        <w:t xml:space="preserve"> </w:t>
      </w:r>
      <w:r w:rsidR="00A81D29" w:rsidRPr="00B219B3">
        <w:rPr>
          <w:rFonts w:cstheme="minorHAnsi"/>
          <w:bCs/>
          <w:lang w:eastAsia="zh-CN"/>
        </w:rPr>
        <w:t>Conventional localization relies on subjective estimation and repeated fluoroscopy, while advanced navigation is costly; smartphone measurement reduces localization and correction times</w:t>
      </w:r>
      <w:r w:rsidRPr="00B219B3">
        <w:rPr>
          <w:rStyle w:val="AuthorName"/>
          <w:rFonts w:asciiTheme="minorHAnsi" w:eastAsia="Times" w:hAnsiTheme="minorHAnsi" w:cstheme="minorHAnsi"/>
          <w:u w:val="none"/>
          <w:lang w:eastAsia="zh-CN"/>
        </w:rPr>
        <w:t>.</w:t>
      </w:r>
    </w:p>
    <w:p w14:paraId="28320D2E" w14:textId="610CB466" w:rsidR="00FC1F36" w:rsidRPr="00FC1F36" w:rsidRDefault="00FC1F36" w:rsidP="00FC1F36">
      <w:pPr>
        <w:pStyle w:val="ListParagraph"/>
        <w:numPr>
          <w:ilvl w:val="2"/>
          <w:numId w:val="2"/>
        </w:numPr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3FF65C9" w14:textId="77777777" w:rsidR="00B219B3" w:rsidRPr="00B219B3" w:rsidRDefault="00B219B3">
      <w:pPr>
        <w:spacing w:after="240"/>
        <w:rPr>
          <w:rFonts w:cstheme="minorHAnsi"/>
        </w:rPr>
      </w:pPr>
    </w:p>
    <w:p w14:paraId="013A6ED3" w14:textId="34CACB02" w:rsidR="00B219B3" w:rsidRPr="00FC1F36" w:rsidRDefault="00000000" w:rsidP="00FC1F36">
      <w:pPr>
        <w:spacing w:after="240"/>
        <w:rPr>
          <w:rFonts w:eastAsia="Times New Roman" w:cstheme="minorHAnsi"/>
          <w:b/>
          <w:bCs/>
        </w:rPr>
      </w:pPr>
      <w:r w:rsidRPr="00B219B3">
        <w:rPr>
          <w:rFonts w:eastAsia="Times New Roman" w:cstheme="minorHAnsi"/>
          <w:b/>
          <w:bCs/>
        </w:rPr>
        <w:t>CONCLUSION:</w:t>
      </w:r>
    </w:p>
    <w:p w14:paraId="16A9C48C" w14:textId="77777777" w:rsidR="000D225E" w:rsidRPr="00B219B3" w:rsidRDefault="00000000">
      <w:pPr>
        <w:rPr>
          <w:rFonts w:cstheme="minorHAnsi"/>
        </w:rPr>
      </w:pPr>
      <w:r w:rsidRPr="00B219B3">
        <w:rPr>
          <w:rFonts w:cstheme="minorHAnsi"/>
        </w:rPr>
        <w:t>Describe the most important consideration or challenge when performing this protocol.</w:t>
      </w:r>
    </w:p>
    <w:p w14:paraId="53652C33" w14:textId="668539F9" w:rsidR="000D225E" w:rsidRPr="00FC1F36" w:rsidRDefault="00000000" w:rsidP="00B219B3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B219B3">
        <w:rPr>
          <w:rFonts w:eastAsia="Times New Roman" w:cstheme="minorHAnsi"/>
          <w:b/>
          <w:u w:val="single"/>
          <w:lang w:eastAsia="zh-CN"/>
        </w:rPr>
        <w:t>Jing Wang</w:t>
      </w:r>
      <w:r w:rsidR="001713B9" w:rsidRPr="00B219B3">
        <w:rPr>
          <w:rFonts w:eastAsia="Times New Roman" w:cstheme="minorHAnsi"/>
          <w:b/>
          <w:u w:val="single"/>
          <w:lang w:eastAsia="zh-CN"/>
        </w:rPr>
        <w:t>/</w:t>
      </w:r>
      <w:r w:rsidRPr="00B219B3">
        <w:rPr>
          <w:rFonts w:eastAsia="Times New Roman" w:cstheme="minorHAnsi"/>
          <w:b/>
          <w:u w:val="single"/>
          <w:lang w:eastAsia="zh-CN"/>
        </w:rPr>
        <w:t xml:space="preserve"> Jin Zhang</w:t>
      </w:r>
      <w:r w:rsidRPr="00B219B3">
        <w:rPr>
          <w:rFonts w:eastAsia="Times New Roman" w:cstheme="minorHAnsi"/>
          <w:b/>
          <w:bCs/>
          <w:u w:val="single"/>
        </w:rPr>
        <w:t>:</w:t>
      </w:r>
      <w:r w:rsidRPr="00B219B3">
        <w:rPr>
          <w:rFonts w:eastAsia="Times New Roman" w:cstheme="minorHAnsi"/>
        </w:rPr>
        <w:t xml:space="preserve"> </w:t>
      </w:r>
      <w:r w:rsidR="00B219B3" w:rsidRPr="00B219B3">
        <w:rPr>
          <w:rFonts w:eastAsia="Segoe UI" w:cstheme="minorHAnsi"/>
          <w:shd w:val="clear" w:color="auto" w:fill="FAFAFA"/>
        </w:rPr>
        <w:t>The main challenge is measurement reproducibility, which depends on strict calibration, stable lighting, proper device orientation, operator training, and patient body habitus.</w:t>
      </w:r>
    </w:p>
    <w:p w14:paraId="495C0925" w14:textId="77777777" w:rsidR="00FC1F36" w:rsidRPr="005F18CF" w:rsidRDefault="00FC1F36" w:rsidP="00FC1F36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1DD142D" w14:textId="77777777" w:rsidR="00FC1F36" w:rsidRPr="00B219B3" w:rsidRDefault="00FC1F36" w:rsidP="00FC1F36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58F3CED4" w14:textId="77777777" w:rsidR="00B219B3" w:rsidRPr="00B219B3" w:rsidRDefault="00B219B3" w:rsidP="00B219B3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6B5D7019" w14:textId="77777777" w:rsidR="000D225E" w:rsidRPr="00B219B3" w:rsidRDefault="00000000">
      <w:pPr>
        <w:rPr>
          <w:rFonts w:eastAsia="Times New Roman" w:cstheme="minorHAnsi"/>
        </w:rPr>
      </w:pPr>
      <w:r w:rsidRPr="00B219B3">
        <w:rPr>
          <w:rFonts w:cstheme="minorHAnsi"/>
        </w:rPr>
        <w:t>Are there any additional methods or analyses that can be performed following this procedure?</w:t>
      </w:r>
    </w:p>
    <w:p w14:paraId="7AA26B89" w14:textId="07CF2607" w:rsidR="000D225E" w:rsidRPr="00FC1F36" w:rsidRDefault="00000000" w:rsidP="00B219B3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Style w:val="Strong"/>
          <w:rFonts w:eastAsia="Times New Roman" w:cstheme="minorHAnsi"/>
          <w:bCs/>
        </w:rPr>
      </w:pPr>
      <w:r w:rsidRPr="00B219B3">
        <w:rPr>
          <w:rFonts w:eastAsia="Times New Roman" w:cstheme="minorHAnsi"/>
          <w:b/>
          <w:u w:val="single"/>
          <w:lang w:eastAsia="zh-CN"/>
        </w:rPr>
        <w:t>Jing Wang</w:t>
      </w:r>
      <w:r w:rsidR="001713B9" w:rsidRPr="00B219B3">
        <w:rPr>
          <w:rFonts w:eastAsia="Times New Roman" w:cstheme="minorHAnsi"/>
          <w:b/>
          <w:u w:val="single"/>
          <w:lang w:eastAsia="zh-CN"/>
        </w:rPr>
        <w:t>/</w:t>
      </w:r>
      <w:r w:rsidRPr="00B219B3">
        <w:rPr>
          <w:rFonts w:eastAsia="Times New Roman" w:cstheme="minorHAnsi"/>
          <w:b/>
          <w:u w:val="single"/>
          <w:lang w:eastAsia="zh-CN"/>
        </w:rPr>
        <w:t>Jin Zhang</w:t>
      </w:r>
      <w:r w:rsidRPr="00B219B3">
        <w:rPr>
          <w:rFonts w:eastAsia="Times New Roman" w:cstheme="minorHAnsi"/>
          <w:b/>
          <w:bCs/>
          <w:u w:val="single"/>
        </w:rPr>
        <w:t>:</w:t>
      </w:r>
      <w:r w:rsidRPr="00B219B3">
        <w:rPr>
          <w:rFonts w:eastAsia="Times New Roman" w:cstheme="minorHAnsi"/>
        </w:rPr>
        <w:t xml:space="preserve"> </w:t>
      </w:r>
      <w:r w:rsidR="002E5F4F">
        <w:rPr>
          <w:rFonts w:eastAsia="Segoe UI" w:cstheme="minorHAnsi"/>
          <w:shd w:val="clear" w:color="auto" w:fill="FAFAFA"/>
        </w:rPr>
        <w:t>Additional</w:t>
      </w:r>
      <w:r w:rsidR="002E5F4F" w:rsidRPr="002E5F4F">
        <w:rPr>
          <w:rFonts w:eastAsia="Segoe UI" w:cstheme="minorHAnsi"/>
          <w:shd w:val="clear" w:color="auto" w:fill="FAFAFA"/>
        </w:rPr>
        <w:t xml:space="preserve"> analyses could include direct radiation dosimetry, long-term clinical follow-up, multicenter validation across surgeons and devices, and cost-effectiveness assessment</w:t>
      </w:r>
      <w:r w:rsidRPr="002E5F4F">
        <w:rPr>
          <w:rStyle w:val="Strong"/>
          <w:rFonts w:eastAsia="Segoe UI" w:cstheme="minorHAnsi"/>
          <w:iCs w:val="0"/>
          <w:shd w:val="clear" w:color="auto" w:fill="FAFAFA"/>
        </w:rPr>
        <w:t>.</w:t>
      </w:r>
    </w:p>
    <w:p w14:paraId="4A9EBAE7" w14:textId="77777777" w:rsidR="00FC1F36" w:rsidRPr="005F18CF" w:rsidRDefault="00FC1F36" w:rsidP="00FC1F36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75636C8" w14:textId="77777777" w:rsidR="00FC1F36" w:rsidRPr="00B219B3" w:rsidRDefault="00FC1F36" w:rsidP="00FC1F36">
      <w:pPr>
        <w:pStyle w:val="ListParagraph"/>
        <w:spacing w:before="120"/>
        <w:ind w:left="907"/>
        <w:contextualSpacing w:val="0"/>
        <w:jc w:val="both"/>
        <w:rPr>
          <w:rStyle w:val="Strong"/>
          <w:rFonts w:eastAsia="Times New Roman" w:cstheme="minorHAnsi"/>
          <w:bCs/>
        </w:rPr>
      </w:pPr>
    </w:p>
    <w:p w14:paraId="19B3ED75" w14:textId="77777777" w:rsidR="00B219B3" w:rsidRPr="00B219B3" w:rsidRDefault="00B219B3" w:rsidP="00B219B3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  <w:b/>
          <w:bCs/>
        </w:rPr>
      </w:pPr>
    </w:p>
    <w:p w14:paraId="44045BBC" w14:textId="77777777" w:rsidR="000D225E" w:rsidRPr="00B219B3" w:rsidRDefault="00000000">
      <w:pPr>
        <w:rPr>
          <w:rFonts w:eastAsia="Times New Roman" w:cstheme="minorHAnsi"/>
        </w:rPr>
      </w:pPr>
      <w:r w:rsidRPr="00B219B3">
        <w:rPr>
          <w:rFonts w:cstheme="minorHAnsi"/>
        </w:rPr>
        <w:t>How can future studies build on this work? Describe the questions or research directions that can be investigated next.</w:t>
      </w:r>
    </w:p>
    <w:p w14:paraId="7640039A" w14:textId="733D6AEA" w:rsidR="000D225E" w:rsidRPr="00FC1F36" w:rsidRDefault="00000000" w:rsidP="00B219B3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</w:rPr>
      </w:pPr>
      <w:r w:rsidRPr="00B219B3">
        <w:rPr>
          <w:rFonts w:eastAsia="Times New Roman" w:cstheme="minorHAnsi"/>
          <w:b/>
          <w:u w:val="single"/>
          <w:lang w:eastAsia="zh-CN"/>
        </w:rPr>
        <w:t>Jing Wang</w:t>
      </w:r>
      <w:r w:rsidR="001713B9" w:rsidRPr="00B219B3">
        <w:rPr>
          <w:rFonts w:eastAsia="Times New Roman" w:cstheme="minorHAnsi"/>
          <w:b/>
          <w:u w:val="single"/>
          <w:lang w:eastAsia="zh-CN"/>
        </w:rPr>
        <w:t>/</w:t>
      </w:r>
      <w:r w:rsidRPr="00B219B3">
        <w:rPr>
          <w:rFonts w:eastAsia="Times New Roman" w:cstheme="minorHAnsi"/>
          <w:b/>
          <w:u w:val="single"/>
          <w:lang w:eastAsia="zh-CN"/>
        </w:rPr>
        <w:t>Jin Zhang</w:t>
      </w:r>
      <w:r w:rsidRPr="00B219B3">
        <w:rPr>
          <w:rFonts w:eastAsia="Times New Roman" w:cstheme="minorHAnsi"/>
          <w:b/>
          <w:bCs/>
          <w:u w:val="single"/>
        </w:rPr>
        <w:t>:</w:t>
      </w:r>
      <w:r w:rsidRPr="00B219B3">
        <w:rPr>
          <w:rFonts w:eastAsia="Times New Roman" w:cstheme="minorHAnsi"/>
        </w:rPr>
        <w:t xml:space="preserve"> </w:t>
      </w:r>
      <w:r w:rsidR="002E5F4F" w:rsidRPr="002E5F4F">
        <w:rPr>
          <w:rFonts w:eastAsia="Segoe UI" w:cstheme="minorHAnsi"/>
          <w:shd w:val="clear" w:color="auto" w:fill="FAFAFA"/>
        </w:rPr>
        <w:t>Future studies should examine multicenter dosimetry, cross-device reliability, additional spinal levels, long-term outcomes, and other percutaneous spinal procedures.</w:t>
      </w:r>
    </w:p>
    <w:p w14:paraId="289E65E3" w14:textId="77777777" w:rsidR="00FC1F36" w:rsidRPr="005F18CF" w:rsidRDefault="00FC1F36" w:rsidP="00FC1F36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4F791BB" w14:textId="77777777" w:rsidR="00FC1F36" w:rsidRPr="00B219B3" w:rsidRDefault="00FC1F36" w:rsidP="00FC1F36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0D760E01" w14:textId="77777777" w:rsidR="00D56CFA" w:rsidRPr="00B219B3" w:rsidRDefault="00D56CFA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258031F1" w14:textId="36D352D9" w:rsidR="000D225E" w:rsidRPr="00B219B3" w:rsidRDefault="00000000" w:rsidP="00D56CFA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219B3">
        <w:rPr>
          <w:rFonts w:cstheme="minorHAnsi"/>
          <w:b/>
          <w:bCs/>
        </w:rPr>
        <w:t>Ethics Title Card</w:t>
      </w:r>
      <w:r w:rsidRPr="00B219B3">
        <w:rPr>
          <w:rFonts w:eastAsia="Times New Roman" w:cstheme="minorHAnsi"/>
        </w:rPr>
        <w:br/>
        <w:t xml:space="preserve">This research has been approved by </w:t>
      </w:r>
      <w:r w:rsidRPr="00B219B3">
        <w:rPr>
          <w:rFonts w:eastAsia="SimSun" w:cstheme="minorHAnsi"/>
          <w:lang w:eastAsia="zh-CN"/>
        </w:rPr>
        <w:t>Ethics Committee of the Second Hospital of Lanzhou University</w:t>
      </w:r>
      <w:r w:rsidRPr="00B219B3">
        <w:rPr>
          <w:rFonts w:cstheme="minorHAnsi"/>
        </w:rPr>
        <w:t xml:space="preserve"> </w:t>
      </w:r>
      <w:r w:rsidRPr="00B219B3">
        <w:rPr>
          <w:rFonts w:cstheme="minorHAnsi"/>
        </w:rPr>
        <w:br w:type="page"/>
      </w:r>
    </w:p>
    <w:p w14:paraId="2D13F169" w14:textId="1DAA2B27" w:rsidR="000D225E" w:rsidRDefault="00000000" w:rsidP="00D56CFA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12123F4" w14:textId="77777777" w:rsidR="000D225E" w:rsidRDefault="00000000">
      <w:pPr>
        <w:pStyle w:val="ListParagraph"/>
        <w:keepNext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Smartphone Calibration and Workflow Preparation</w:t>
      </w:r>
    </w:p>
    <w:p w14:paraId="1F6D4D8A" w14:textId="77777777" w:rsidR="000D225E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ascii="Calibri" w:eastAsia="Times New Roman" w:hAnsi="Calibri" w:cs="Calibri" w:hint="eastAsia"/>
          <w:b/>
          <w:lang w:eastAsia="zh-CN"/>
        </w:rPr>
        <w:t>Jing Wang, Jin Zhang</w:t>
      </w:r>
    </w:p>
    <w:p w14:paraId="13669C1F" w14:textId="77777777" w:rsidR="000D225E" w:rsidRDefault="000D225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2801E49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Begin by calibrating the depth-sensing smartphone against a standard 20-centimeter ruler under stable indoor lighting </w:t>
      </w:r>
      <w:r>
        <w:rPr>
          <w:b/>
          <w:color w:val="7030A0"/>
        </w:rPr>
        <w:t>[1]</w:t>
      </w:r>
      <w:r>
        <w:rPr>
          <w:color w:val="7030A0"/>
        </w:rPr>
        <w:t xml:space="preserve">. Repeat the measurement at least twice and maintain the same screen-brightness and autofocus settings throughout the workflow </w:t>
      </w:r>
      <w:r>
        <w:rPr>
          <w:b/>
          <w:color w:val="7030A0"/>
        </w:rPr>
        <w:t>[2-TXT]</w:t>
      </w:r>
      <w:r>
        <w:rPr>
          <w:color w:val="7030A0"/>
        </w:rPr>
        <w:t>.</w:t>
      </w:r>
    </w:p>
    <w:p w14:paraId="6816CC3B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moving the smartphone from the ruler origin to the 20-centimeter mark during calibration.</w:t>
      </w:r>
    </w:p>
    <w:p w14:paraId="4DA5DAFC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noting down the repeated readings while keeping the brightness and focus settings unchanged. </w:t>
      </w:r>
      <w:r>
        <w:rPr>
          <w:b/>
          <w:bCs/>
          <w:color w:val="000000"/>
        </w:rPr>
        <w:t>TXT: Acceptable discrepancy - less than 5 millimeters</w:t>
      </w:r>
    </w:p>
    <w:p w14:paraId="6ECED06F" w14:textId="77777777" w:rsidR="000D225E" w:rsidRDefault="000D225E">
      <w:pPr>
        <w:spacing w:before="120"/>
        <w:rPr>
          <w:rFonts w:cstheme="minorHAnsi"/>
        </w:rPr>
      </w:pPr>
    </w:p>
    <w:p w14:paraId="0F1F18D4" w14:textId="77777777" w:rsidR="000D225E" w:rsidRDefault="00000000">
      <w:pPr>
        <w:pStyle w:val="ListParagraph"/>
        <w:keepNext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Preoperative Imaging Measurement</w:t>
      </w:r>
    </w:p>
    <w:p w14:paraId="37084313" w14:textId="77777777" w:rsidR="000D225E" w:rsidRDefault="000D225E">
      <w:pPr>
        <w:keepNext/>
        <w:rPr>
          <w:rFonts w:cstheme="minorHAnsi"/>
        </w:rPr>
      </w:pPr>
    </w:p>
    <w:p w14:paraId="5302035F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Review the preoperative sagittal computed tomography reconstructions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using a medical imaging archiving and communication system </w:t>
      </w:r>
      <w:r>
        <w:rPr>
          <w:b/>
          <w:color w:val="7030A0"/>
        </w:rPr>
        <w:t>[2]</w:t>
      </w:r>
      <w:r>
        <w:rPr>
          <w:color w:val="7030A0"/>
        </w:rPr>
        <w:t xml:space="preserve">. First, identify the midsagittal image showing the full length of the sacrum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Then advance the image series laterally until the sacrum narrows and the posterior ilium appears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0F483AB1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sitting at the computer reviewing pre-operative sagittal CT reconstructions.</w:t>
      </w:r>
    </w:p>
    <w:p w14:paraId="61005058" w14:textId="3CC31482" w:rsidR="000D225E" w:rsidRDefault="00E60831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opening the medical imaging archiving and communication system.</w:t>
      </w:r>
    </w:p>
    <w:p w14:paraId="64173B13" w14:textId="37DCF3CB" w:rsidR="000D225E" w:rsidRDefault="00E60831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Shot of the midsagittal image showing the full sacrum.</w:t>
      </w:r>
    </w:p>
    <w:p w14:paraId="6A423273" w14:textId="01E4864F" w:rsidR="000D225E" w:rsidRDefault="00E60831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advancing the image series laterally until the sacrum narrows and the posterior ilium appears.</w:t>
      </w:r>
    </w:p>
    <w:p w14:paraId="08964ADC" w14:textId="77777777" w:rsidR="000D225E" w:rsidRDefault="000D225E">
      <w:pPr>
        <w:rPr>
          <w:rFonts w:cstheme="minorHAnsi"/>
        </w:rPr>
      </w:pPr>
    </w:p>
    <w:p w14:paraId="08C28EAD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Identify the posterior superior iliac spine, where the posterior ilium intersects with or separates from the sacrum </w:t>
      </w:r>
      <w:r>
        <w:rPr>
          <w:b/>
          <w:color w:val="7030A0"/>
        </w:rPr>
        <w:t>[1]</w:t>
      </w:r>
      <w:r>
        <w:rPr>
          <w:color w:val="7030A0"/>
        </w:rPr>
        <w:t xml:space="preserve">. Measure the vertical distance from the PSIS </w:t>
      </w:r>
      <w:r>
        <w:rPr>
          <w:i/>
          <w:iCs w:val="0"/>
          <w:color w:val="EE0000"/>
        </w:rPr>
        <w:t>(p-s-i-s)</w:t>
      </w:r>
      <w:r>
        <w:rPr>
          <w:color w:val="EE0000"/>
        </w:rPr>
        <w:t xml:space="preserve"> </w:t>
      </w:r>
      <w:r>
        <w:rPr>
          <w:color w:val="7030A0"/>
        </w:rPr>
        <w:t xml:space="preserve">to the spinous process at the fractured vertebral level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2AE83188" w14:textId="5E68B421" w:rsidR="000D225E" w:rsidRDefault="006E5AE9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identifying the PSIS on the sagittal reconstruction.</w:t>
      </w:r>
    </w:p>
    <w:p w14:paraId="28C0E81A" w14:textId="66258131" w:rsidR="000D225E" w:rsidRDefault="006E5AE9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Shot of vertical distance from the PSIS to the spinous process at the fractured vertebral level being measured. </w:t>
      </w:r>
    </w:p>
    <w:p w14:paraId="0B95020B" w14:textId="77777777" w:rsidR="000D225E" w:rsidRDefault="000D225E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6E7C163E" w14:textId="77777777" w:rsidR="000D225E" w:rsidRDefault="00000000">
      <w:pPr>
        <w:pStyle w:val="ListParagraph"/>
        <w:keepNext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Smartphone-Assisted Body-Surface Localization</w:t>
      </w:r>
    </w:p>
    <w:p w14:paraId="296E35D8" w14:textId="77777777" w:rsidR="000D225E" w:rsidRDefault="000D225E">
      <w:pPr>
        <w:keepNext/>
        <w:ind w:left="360"/>
        <w:rPr>
          <w:rFonts w:cstheme="minorHAnsi"/>
        </w:rPr>
      </w:pPr>
    </w:p>
    <w:p w14:paraId="041479E9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Clean the smartphone case and camera lens with alcohol wipes </w:t>
      </w:r>
      <w:r>
        <w:rPr>
          <w:b/>
          <w:color w:val="7030A0"/>
        </w:rPr>
        <w:t>[1]</w:t>
      </w:r>
      <w:r>
        <w:rPr>
          <w:color w:val="7030A0"/>
        </w:rPr>
        <w:t xml:space="preserve">. Place the patient prone in a neutral position on the spinal operating table </w:t>
      </w:r>
      <w:r>
        <w:rPr>
          <w:b/>
          <w:color w:val="7030A0"/>
        </w:rPr>
        <w:t>[2]</w:t>
      </w:r>
      <w:r>
        <w:rPr>
          <w:color w:val="7030A0"/>
        </w:rPr>
        <w:t xml:space="preserve">. Palpate and mark the PSIS nearest the surgeon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20959C57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cleaning the smartphone case and camera lens with alcohol wipes.</w:t>
      </w:r>
    </w:p>
    <w:p w14:paraId="269B6E07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positioning the patient prone, maintaining neutral spinal alignment on the operating table.</w:t>
      </w:r>
    </w:p>
    <w:p w14:paraId="33D8D3C4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palpates and marks the ipsilateral PSIS.</w:t>
      </w:r>
    </w:p>
    <w:p w14:paraId="2040DC26" w14:textId="77777777" w:rsidR="000D225E" w:rsidRDefault="000D225E">
      <w:pPr>
        <w:rPr>
          <w:rFonts w:cstheme="minorHAnsi"/>
        </w:rPr>
      </w:pPr>
    </w:p>
    <w:p w14:paraId="734A5E64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Position the smartphone screen toward the surgeon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place the measurement origin at the marked PSIS </w:t>
      </w:r>
      <w:r>
        <w:rPr>
          <w:b/>
          <w:color w:val="7030A0"/>
        </w:rPr>
        <w:t>[2]</w:t>
      </w:r>
      <w:r>
        <w:rPr>
          <w:color w:val="7030A0"/>
        </w:rPr>
        <w:t xml:space="preserve">. Keep the smartphone's long axis parallel to the patient's back </w:t>
      </w:r>
      <w:r>
        <w:rPr>
          <w:b/>
          <w:color w:val="7030A0"/>
        </w:rPr>
        <w:t>[3]</w:t>
      </w:r>
      <w:r>
        <w:rPr>
          <w:color w:val="7030A0"/>
        </w:rPr>
        <w:t xml:space="preserve">. Move the smartphone slowly toward the head in the coronal plane, avoiding large horizontal fluctuations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07141233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Shot of smartphone being placed with the screen facing the surgeon. </w:t>
      </w:r>
    </w:p>
    <w:p w14:paraId="280AE959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measurement origin at the PSIS mark.</w:t>
      </w:r>
    </w:p>
    <w:p w14:paraId="45A6C55C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The smartphone's long axis being held parallel to the patient's back. </w:t>
      </w:r>
    </w:p>
    <w:p w14:paraId="29EE45F2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steadily moving the smartphone towards the head in the coronal plane.</w:t>
      </w:r>
    </w:p>
    <w:p w14:paraId="34FE217E" w14:textId="77777777" w:rsidR="000D225E" w:rsidRDefault="000D225E">
      <w:pPr>
        <w:rPr>
          <w:rFonts w:cstheme="minorHAnsi"/>
        </w:rPr>
      </w:pPr>
    </w:p>
    <w:p w14:paraId="1457AAAE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When the displayed distance matches the preoperative imaging measurement, mark the endpoint on the skin </w:t>
      </w:r>
      <w:r>
        <w:rPr>
          <w:b/>
          <w:color w:val="7030A0"/>
        </w:rPr>
        <w:t>[1]</w:t>
      </w:r>
      <w:r>
        <w:rPr>
          <w:color w:val="7030A0"/>
        </w:rPr>
        <w:t xml:space="preserve">. Use this endpoint to identify the presumed spinous process at the fractured level </w:t>
      </w:r>
      <w:r>
        <w:rPr>
          <w:b/>
          <w:color w:val="7030A0"/>
        </w:rPr>
        <w:t>[2]</w:t>
      </w:r>
      <w:r>
        <w:rPr>
          <w:color w:val="7030A0"/>
        </w:rPr>
        <w:t xml:space="preserve">. Place a syringe needle adjacent to the spinous process as a radiopaque marker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023B88C4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The preoperative measurement distance being displayed on the smartphone screen at a localization endpoint.</w:t>
      </w:r>
    </w:p>
    <w:p w14:paraId="40FA797B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marking the endpoint for the presumed spinous process at the fractured level.</w:t>
      </w:r>
    </w:p>
    <w:p w14:paraId="641338F4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positioning a syringe needle adjacent to the identified spinous process as a radiopaque marker.</w:t>
      </w:r>
    </w:p>
    <w:p w14:paraId="507CCE3E" w14:textId="77777777" w:rsidR="000D225E" w:rsidRDefault="000D225E">
      <w:pPr>
        <w:rPr>
          <w:rFonts w:cstheme="minorHAnsi"/>
        </w:rPr>
      </w:pPr>
    </w:p>
    <w:p w14:paraId="5F01060D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Perform lateral fluoroscopy to verify the vertebral level before percutaneous vertebroplasty </w:t>
      </w:r>
      <w:r>
        <w:rPr>
          <w:b/>
          <w:color w:val="7030A0"/>
        </w:rPr>
        <w:t>[1]</w:t>
      </w:r>
      <w:r>
        <w:rPr>
          <w:color w:val="7030A0"/>
        </w:rPr>
        <w:t xml:space="preserve">. Use the smartphone only as an auxiliary localization tool and retain fluoroscopic confirmation as the definitive verification step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551FF48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performing lateral fluoroscopy with the radiopaque marker in position.</w:t>
      </w:r>
    </w:p>
    <w:p w14:paraId="75BB4FD5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  <w:highlight w:val="yellow"/>
        </w:rPr>
        <w:lastRenderedPageBreak/>
        <w:t>SCREEN</w:t>
      </w:r>
      <w:r>
        <w:rPr>
          <w:color w:val="000000"/>
        </w:rPr>
        <w:t>: The radiopaque marker and fractured vertebral level aligned on the fluoroscopy screen.</w:t>
      </w:r>
    </w:p>
    <w:p w14:paraId="2DF2A70D" w14:textId="77777777" w:rsidR="000D225E" w:rsidRDefault="000D225E">
      <w:pPr>
        <w:rPr>
          <w:rFonts w:cstheme="minorHAnsi"/>
        </w:rPr>
      </w:pPr>
    </w:p>
    <w:p w14:paraId="50FF5D30" w14:textId="77777777" w:rsidR="000D225E" w:rsidRDefault="00000000">
      <w:pPr>
        <w:pStyle w:val="ListParagraph"/>
        <w:keepNext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Conventional Localization and Outcome Recording</w:t>
      </w:r>
    </w:p>
    <w:p w14:paraId="6FA6CE81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For the comparison workflow, estimate the target vertebral level using the PSIS, palpable spinous processes, interspinous spaces, and the surgeon's clinical experience </w:t>
      </w:r>
      <w:r>
        <w:rPr>
          <w:b/>
          <w:color w:val="7030A0"/>
        </w:rPr>
        <w:t>[1]</w:t>
      </w:r>
      <w:r>
        <w:rPr>
          <w:color w:val="7030A0"/>
        </w:rPr>
        <w:t xml:space="preserve">. Mark the estimated site and </w:t>
      </w:r>
      <w:r>
        <w:rPr>
          <w:b/>
          <w:bCs/>
          <w:color w:val="7030A0"/>
        </w:rPr>
        <w:t xml:space="preserve">[2] </w:t>
      </w:r>
      <w:r>
        <w:rPr>
          <w:color w:val="7030A0"/>
        </w:rPr>
        <w:t xml:space="preserve">check it using lateral fluoroscopy </w:t>
      </w:r>
      <w:r>
        <w:rPr>
          <w:b/>
          <w:color w:val="7030A0"/>
        </w:rPr>
        <w:t>[3]</w:t>
      </w:r>
      <w:r>
        <w:rPr>
          <w:color w:val="7030A0"/>
        </w:rPr>
        <w:t xml:space="preserve">. If the mark does not correspond to the intended level, adjust the mark and repeat fluoroscopy until the correct level is confirmed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6D4D236C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localizing the vertebral level conventionally using palpable anatomical landmarks.</w:t>
      </w:r>
    </w:p>
    <w:p w14:paraId="4354CA1D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marking the estimated target site on the skin. </w:t>
      </w:r>
    </w:p>
    <w:p w14:paraId="26DA9952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performing lateral fluoroscopic to verify the target site.</w:t>
      </w:r>
    </w:p>
    <w:p w14:paraId="2B38B003" w14:textId="566B243D" w:rsidR="000D225E" w:rsidRDefault="006E5AE9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Shot of the marker being adjusted and rechecked when the initial site does not align with the intended vertebral level.</w:t>
      </w:r>
    </w:p>
    <w:p w14:paraId="38C53909" w14:textId="77777777" w:rsidR="000D225E" w:rsidRDefault="000D225E">
      <w:pPr>
        <w:rPr>
          <w:rFonts w:cstheme="minorHAnsi"/>
        </w:rPr>
      </w:pPr>
    </w:p>
    <w:p w14:paraId="0129CEDD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rPr>
          <w:color w:val="7030A0"/>
          <w:lang w:val="en-IN"/>
        </w:rPr>
      </w:pPr>
      <w:r>
        <w:rPr>
          <w:color w:val="7030A0"/>
        </w:rPr>
        <w:t xml:space="preserve">Record T-zero as the interval from the start of intraoperative localization—beginning with PSIS palpation and application initiation for the smartphone workflow, or freehand marking for conventional localization—to fluoroscopic confirmation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3BF1976D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starting the stopwatch to record T-zero time.</w:t>
      </w:r>
    </w:p>
    <w:p w14:paraId="3E4B11B5" w14:textId="77777777" w:rsidR="000D225E" w:rsidRDefault="000D225E">
      <w:pPr>
        <w:pStyle w:val="ListParagraph"/>
        <w:keepLines/>
        <w:spacing w:before="120"/>
        <w:ind w:left="907"/>
        <w:rPr>
          <w:color w:val="7030A0"/>
          <w:lang w:val="en-IN"/>
        </w:rPr>
      </w:pPr>
    </w:p>
    <w:p w14:paraId="60F31B47" w14:textId="77777777" w:rsidR="000D225E" w:rsidRDefault="000D225E">
      <w:pPr>
        <w:pStyle w:val="ListParagraph"/>
        <w:keepLines/>
        <w:spacing w:before="120"/>
        <w:ind w:left="907"/>
        <w:rPr>
          <w:color w:val="7030A0"/>
          <w:lang w:val="en-IN"/>
        </w:rPr>
      </w:pPr>
    </w:p>
    <w:p w14:paraId="696A5A6B" w14:textId="77777777" w:rsidR="000D225E" w:rsidRDefault="00000000">
      <w:pPr>
        <w:pStyle w:val="ListParagraph"/>
        <w:keepLines/>
        <w:numPr>
          <w:ilvl w:val="1"/>
          <w:numId w:val="2"/>
        </w:numPr>
        <w:spacing w:before="120"/>
        <w:rPr>
          <w:color w:val="7030A0"/>
          <w:lang w:val="en-IN"/>
        </w:rPr>
      </w:pPr>
      <w:r>
        <w:rPr>
          <w:color w:val="7030A0"/>
        </w:rPr>
        <w:t xml:space="preserve"> </w:t>
      </w:r>
      <w:r>
        <w:rPr>
          <w:color w:val="7030A0"/>
          <w:lang w:val="en-IN"/>
        </w:rPr>
        <w:t xml:space="preserve">If correction is required, record the additional remarking and fluoroscopy time as T-one, otherwise, record T-one as zero </w:t>
      </w:r>
      <w:r>
        <w:rPr>
          <w:b/>
          <w:color w:val="7030A0"/>
        </w:rPr>
        <w:t>[2]</w:t>
      </w:r>
      <w:r>
        <w:rPr>
          <w:color w:val="7030A0"/>
        </w:rPr>
        <w:t xml:space="preserve">. Have the circulating operating room nurse prospectively record T-zero, T-one, and the number of localization fluoroscopic images using a stopwatch and data-collection sheet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301B9CBB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recording additional correction time as T-one.</w:t>
      </w:r>
    </w:p>
    <w:p w14:paraId="2E586DF4" w14:textId="77777777" w:rsidR="000D225E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Shot of a circulating nurse recording T-zero, T-one, including the number of localization fluoroscopic images on the data-collection sheet.</w:t>
      </w:r>
    </w:p>
    <w:p w14:paraId="117EF014" w14:textId="77777777" w:rsidR="000D225E" w:rsidRDefault="000D225E">
      <w:pPr>
        <w:rPr>
          <w:rFonts w:cstheme="minorHAnsi"/>
        </w:rPr>
      </w:pPr>
    </w:p>
    <w:p w14:paraId="4DCCD8DA" w14:textId="77777777" w:rsidR="000D225E" w:rsidRDefault="000D225E">
      <w:pPr>
        <w:spacing w:before="120"/>
        <w:rPr>
          <w:rFonts w:cstheme="minorHAnsi"/>
        </w:rPr>
      </w:pPr>
    </w:p>
    <w:p w14:paraId="46A7F5C4" w14:textId="77777777" w:rsidR="000D225E" w:rsidRDefault="000D225E">
      <w:pPr>
        <w:spacing w:before="120"/>
        <w:rPr>
          <w:rFonts w:cstheme="minorHAnsi"/>
        </w:rPr>
      </w:pPr>
    </w:p>
    <w:p w14:paraId="348C407D" w14:textId="77777777" w:rsidR="000D225E" w:rsidRDefault="000D225E">
      <w:pPr>
        <w:spacing w:before="120"/>
        <w:rPr>
          <w:rFonts w:cstheme="minorHAnsi"/>
        </w:rPr>
      </w:pPr>
    </w:p>
    <w:p w14:paraId="0392BE8D" w14:textId="77777777" w:rsidR="000D225E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2FA4D11C" w14:textId="77777777" w:rsidR="000D225E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F1E6CB1" w14:textId="77777777" w:rsidR="000D225E" w:rsidRDefault="000D225E">
      <w:pPr>
        <w:ind w:left="360"/>
        <w:outlineLvl w:val="0"/>
        <w:rPr>
          <w:rFonts w:cstheme="minorHAnsi"/>
          <w:lang w:eastAsia="zh-TW"/>
        </w:rPr>
      </w:pPr>
    </w:p>
    <w:p w14:paraId="7D3CBFF4" w14:textId="77777777" w:rsidR="000D225E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E9CF08C" w14:textId="77777777" w:rsidR="000D225E" w:rsidRDefault="000D225E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5C4FCE9" w14:textId="77777777" w:rsidR="000D225E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Preoperative sagittal CT reconstruction was used to identify the fractured thoracolumbar vertebral level and define the measurement plane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 posterior superior iliac spine was marked with a green dot as an anatomical reference point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1272625" w14:textId="77777777" w:rsidR="000D225E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  <w:i/>
          <w:color w:val="0070C0"/>
        </w:rPr>
        <w:t>Please highlight the fractured thoracolumbar vertebral level and the orange measurement lines defining the measurement plane</w:t>
      </w:r>
    </w:p>
    <w:p w14:paraId="05EF5FCB" w14:textId="77777777" w:rsidR="000D225E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2. </w:t>
      </w:r>
      <w:r>
        <w:rPr>
          <w:rFonts w:cstheme="minorHAnsi"/>
          <w:b/>
          <w:bCs/>
          <w:i/>
          <w:iCs w:val="0"/>
          <w:color w:val="0070C0"/>
        </w:rPr>
        <w:t>Video Editor</w:t>
      </w:r>
      <w:r>
        <w:rPr>
          <w:rFonts w:cstheme="minorHAnsi"/>
          <w:i/>
          <w:iCs w:val="0"/>
          <w:color w:val="0070C0"/>
        </w:rPr>
        <w:t>: Please use an arrow to highlight the green dot marking the posterior superior iliac spine at the bottom of the image.</w:t>
      </w:r>
    </w:p>
    <w:p w14:paraId="4B3A9615" w14:textId="77777777" w:rsidR="000D225E" w:rsidRDefault="000D225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19C8B55" w14:textId="77777777" w:rsidR="000D225E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Preoperative sagittal CT reconstruction showed that the vertical distance from the posterior superior iliac spine reference level to the spinous process</w:t>
      </w:r>
      <w:r>
        <w:rPr>
          <w:rFonts w:cstheme="minorHAnsi"/>
          <w:b/>
          <w:bCs/>
          <w:color w:val="7030A0"/>
        </w:rPr>
        <w:t xml:space="preserve"> [1]</w:t>
      </w:r>
      <w:r>
        <w:rPr>
          <w:rFonts w:cstheme="minorHAnsi"/>
          <w:color w:val="7030A0"/>
        </w:rPr>
        <w:t xml:space="preserve"> at the fractured vertebral level was 190.43 mm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0D99FE58" w14:textId="77777777" w:rsidR="000D225E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  <w:i/>
          <w:color w:val="0070C0"/>
        </w:rPr>
        <w:t>Please highlight the green vertical measurement line extending from the posterior superior iliac spine reference level to the spinous process at the fractured vertebral level.</w:t>
      </w:r>
    </w:p>
    <w:p w14:paraId="67BF2DDD" w14:textId="77777777" w:rsidR="000D225E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  <w:i/>
          <w:color w:val="0070C0"/>
        </w:rPr>
        <w:t>Please highlight the displayed measurement of 190.43 mm at the bottom of the image.</w:t>
      </w:r>
    </w:p>
    <w:p w14:paraId="2C4F6475" w14:textId="77777777" w:rsidR="000D225E" w:rsidRDefault="000D225E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CCDA8ED" w14:textId="77777777" w:rsidR="000D225E" w:rsidRDefault="000D225E">
      <w:pPr>
        <w:rPr>
          <w:rFonts w:eastAsia="Times New Roman" w:cstheme="minorHAnsi"/>
          <w:sz w:val="52"/>
        </w:rPr>
      </w:pPr>
    </w:p>
    <w:p w14:paraId="78D696C9" w14:textId="77777777" w:rsidR="000D225E" w:rsidRDefault="000D225E">
      <w:pPr>
        <w:rPr>
          <w:rFonts w:cstheme="minorHAnsi"/>
          <w:sz w:val="22"/>
          <w:szCs w:val="22"/>
        </w:rPr>
      </w:pPr>
    </w:p>
    <w:sectPr w:rsidR="000D225E">
      <w:headerReference w:type="default" r:id="rId12"/>
      <w:footerReference w:type="even" r:id="rId13"/>
      <w:footerReference w:type="default" r:id="rId1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77D4D" w14:textId="77777777" w:rsidR="00097238" w:rsidRDefault="00097238">
      <w:r>
        <w:separator/>
      </w:r>
    </w:p>
  </w:endnote>
  <w:endnote w:type="continuationSeparator" w:id="0">
    <w:p w14:paraId="2972938C" w14:textId="77777777" w:rsidR="00097238" w:rsidRDefault="00097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2145C5A0" w14:textId="77777777" w:rsidR="000D225E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CBB4C17" w14:textId="77777777" w:rsidR="000D225E" w:rsidRDefault="000D225E">
    <w:pPr>
      <w:pStyle w:val="Footer"/>
      <w:ind w:right="360"/>
    </w:pPr>
  </w:p>
  <w:p w14:paraId="0862D458" w14:textId="77777777" w:rsidR="000D225E" w:rsidRDefault="000D22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4291C" w14:textId="3030B013" w:rsidR="000D225E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BC1A9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B55848">
      <w:rPr>
        <w:rFonts w:cstheme="minorHAnsi"/>
        <w:lang w:val="en-IN"/>
      </w:rPr>
      <w:t xml:space="preserve">Aug </w:t>
    </w:r>
    <w:r w:rsidR="00E60831">
      <w:rPr>
        <w:rFonts w:cstheme="minorHAnsi"/>
        <w:lang w:val="en-IN"/>
      </w:rPr>
      <w:t>2</w:t>
    </w:r>
    <w:r w:rsidR="00BC1A95">
      <w:rPr>
        <w:rFonts w:cstheme="minorHAnsi"/>
        <w:lang w:val="en-IN"/>
      </w:rPr>
      <w:t>4</w:t>
    </w:r>
    <w:r w:rsidR="00B55848">
      <w:rPr>
        <w:rFonts w:cstheme="minorHAnsi"/>
        <w:lang w:val="en-IN"/>
      </w:rPr>
      <w:t>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EA1DF" w14:textId="77777777" w:rsidR="00097238" w:rsidRDefault="00097238">
      <w:r>
        <w:separator/>
      </w:r>
    </w:p>
  </w:footnote>
  <w:footnote w:type="continuationSeparator" w:id="0">
    <w:p w14:paraId="0159FD4E" w14:textId="77777777" w:rsidR="00097238" w:rsidRDefault="00097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69F74" w14:textId="135468AA" w:rsidR="000D225E" w:rsidRPr="003C1A65" w:rsidRDefault="00000000" w:rsidP="00B5584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3C1A65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5926C96" wp14:editId="6D5CA86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5848" w:rsidRPr="003C1A65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2F800400" w14:textId="77777777" w:rsidR="000D225E" w:rsidRPr="00B55848" w:rsidRDefault="000D225E">
    <w:pPr>
      <w:rPr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0932610">
    <w:abstractNumId w:val="4"/>
  </w:num>
  <w:num w:numId="2" w16cid:durableId="660810026">
    <w:abstractNumId w:val="3"/>
  </w:num>
  <w:num w:numId="3" w16cid:durableId="2118980171">
    <w:abstractNumId w:val="0"/>
  </w:num>
  <w:num w:numId="4" w16cid:durableId="1409157918">
    <w:abstractNumId w:val="2"/>
  </w:num>
  <w:num w:numId="5" w16cid:durableId="125130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27417"/>
    <w:rsid w:val="000326C8"/>
    <w:rsid w:val="000326F7"/>
    <w:rsid w:val="0003279B"/>
    <w:rsid w:val="00037828"/>
    <w:rsid w:val="00040F99"/>
    <w:rsid w:val="00041861"/>
    <w:rsid w:val="00043807"/>
    <w:rsid w:val="00045B72"/>
    <w:rsid w:val="00054BD8"/>
    <w:rsid w:val="00055137"/>
    <w:rsid w:val="00056D0F"/>
    <w:rsid w:val="00071E3E"/>
    <w:rsid w:val="00074929"/>
    <w:rsid w:val="00083792"/>
    <w:rsid w:val="00085F90"/>
    <w:rsid w:val="0008613B"/>
    <w:rsid w:val="0008762A"/>
    <w:rsid w:val="00090BAC"/>
    <w:rsid w:val="00097238"/>
    <w:rsid w:val="000A2327"/>
    <w:rsid w:val="000A3778"/>
    <w:rsid w:val="000A6D25"/>
    <w:rsid w:val="000A7C4F"/>
    <w:rsid w:val="000B0B1A"/>
    <w:rsid w:val="000B2085"/>
    <w:rsid w:val="000B387A"/>
    <w:rsid w:val="000B4E9A"/>
    <w:rsid w:val="000C27AE"/>
    <w:rsid w:val="000C39AF"/>
    <w:rsid w:val="000D0282"/>
    <w:rsid w:val="000D065F"/>
    <w:rsid w:val="000D1179"/>
    <w:rsid w:val="000D17E8"/>
    <w:rsid w:val="000D225E"/>
    <w:rsid w:val="000D2C59"/>
    <w:rsid w:val="000D35D9"/>
    <w:rsid w:val="000D67E3"/>
    <w:rsid w:val="000E0D0D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3C02"/>
    <w:rsid w:val="0011694E"/>
    <w:rsid w:val="00123D93"/>
    <w:rsid w:val="00125924"/>
    <w:rsid w:val="00126973"/>
    <w:rsid w:val="001302B1"/>
    <w:rsid w:val="001331E3"/>
    <w:rsid w:val="001425B4"/>
    <w:rsid w:val="00143557"/>
    <w:rsid w:val="001469E6"/>
    <w:rsid w:val="00151824"/>
    <w:rsid w:val="001528A5"/>
    <w:rsid w:val="00160413"/>
    <w:rsid w:val="00162D51"/>
    <w:rsid w:val="001713B9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4254"/>
    <w:rsid w:val="001C5DB5"/>
    <w:rsid w:val="001C7BBC"/>
    <w:rsid w:val="001D66A5"/>
    <w:rsid w:val="001E0433"/>
    <w:rsid w:val="001E2225"/>
    <w:rsid w:val="001E230F"/>
    <w:rsid w:val="001E52A3"/>
    <w:rsid w:val="001E567D"/>
    <w:rsid w:val="001F0890"/>
    <w:rsid w:val="001F615E"/>
    <w:rsid w:val="00214268"/>
    <w:rsid w:val="002206E0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123E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55EF"/>
    <w:rsid w:val="002E5F4F"/>
    <w:rsid w:val="002E7521"/>
    <w:rsid w:val="002F0D42"/>
    <w:rsid w:val="002F3829"/>
    <w:rsid w:val="002F38CF"/>
    <w:rsid w:val="002F392A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66021"/>
    <w:rsid w:val="003825DF"/>
    <w:rsid w:val="003833E2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1A65"/>
    <w:rsid w:val="003C32EC"/>
    <w:rsid w:val="003D0847"/>
    <w:rsid w:val="003D0FD6"/>
    <w:rsid w:val="003D5FD9"/>
    <w:rsid w:val="003E2BC9"/>
    <w:rsid w:val="003F3868"/>
    <w:rsid w:val="003F4B52"/>
    <w:rsid w:val="004001E9"/>
    <w:rsid w:val="004034B6"/>
    <w:rsid w:val="004114EA"/>
    <w:rsid w:val="00414B4F"/>
    <w:rsid w:val="0042421F"/>
    <w:rsid w:val="00426350"/>
    <w:rsid w:val="00426675"/>
    <w:rsid w:val="00433A6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581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4FB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41D"/>
    <w:rsid w:val="005F18A3"/>
    <w:rsid w:val="005F1ADF"/>
    <w:rsid w:val="005F3A8A"/>
    <w:rsid w:val="00601E9D"/>
    <w:rsid w:val="006035F1"/>
    <w:rsid w:val="00604177"/>
    <w:rsid w:val="00611EAA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2E4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0EF"/>
    <w:rsid w:val="00660315"/>
    <w:rsid w:val="0066127A"/>
    <w:rsid w:val="006617AB"/>
    <w:rsid w:val="00663E85"/>
    <w:rsid w:val="00664850"/>
    <w:rsid w:val="0067274F"/>
    <w:rsid w:val="006801B1"/>
    <w:rsid w:val="00682FD4"/>
    <w:rsid w:val="00685716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2DF6"/>
    <w:rsid w:val="006D3AC7"/>
    <w:rsid w:val="006D7676"/>
    <w:rsid w:val="006E16D4"/>
    <w:rsid w:val="006E5AE9"/>
    <w:rsid w:val="006F00AD"/>
    <w:rsid w:val="006F06AF"/>
    <w:rsid w:val="006F2681"/>
    <w:rsid w:val="00703A45"/>
    <w:rsid w:val="0070549B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197"/>
    <w:rsid w:val="007802D2"/>
    <w:rsid w:val="00790E8C"/>
    <w:rsid w:val="00794181"/>
    <w:rsid w:val="007A149A"/>
    <w:rsid w:val="007A4E1D"/>
    <w:rsid w:val="007B0B10"/>
    <w:rsid w:val="007B0FBB"/>
    <w:rsid w:val="007B3E0E"/>
    <w:rsid w:val="007B72C5"/>
    <w:rsid w:val="007D4222"/>
    <w:rsid w:val="007D61A8"/>
    <w:rsid w:val="007E5AC4"/>
    <w:rsid w:val="007F2D75"/>
    <w:rsid w:val="007F48D4"/>
    <w:rsid w:val="00802635"/>
    <w:rsid w:val="00804C75"/>
    <w:rsid w:val="00806B1B"/>
    <w:rsid w:val="00817D9F"/>
    <w:rsid w:val="00823091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6022"/>
    <w:rsid w:val="008A673A"/>
    <w:rsid w:val="008A7A3E"/>
    <w:rsid w:val="008B097D"/>
    <w:rsid w:val="008D2A6A"/>
    <w:rsid w:val="008D52FB"/>
    <w:rsid w:val="008D58EC"/>
    <w:rsid w:val="008E74F7"/>
    <w:rsid w:val="008F239E"/>
    <w:rsid w:val="008F315F"/>
    <w:rsid w:val="008F7754"/>
    <w:rsid w:val="0090117D"/>
    <w:rsid w:val="009055DD"/>
    <w:rsid w:val="00906EFB"/>
    <w:rsid w:val="009114D8"/>
    <w:rsid w:val="00913F74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4870"/>
    <w:rsid w:val="00957FA5"/>
    <w:rsid w:val="00962168"/>
    <w:rsid w:val="009625B1"/>
    <w:rsid w:val="009638C5"/>
    <w:rsid w:val="009654AF"/>
    <w:rsid w:val="00966F67"/>
    <w:rsid w:val="009809C5"/>
    <w:rsid w:val="00985F44"/>
    <w:rsid w:val="00987081"/>
    <w:rsid w:val="009901A9"/>
    <w:rsid w:val="00992A4F"/>
    <w:rsid w:val="00997611"/>
    <w:rsid w:val="009979E7"/>
    <w:rsid w:val="009A0E7C"/>
    <w:rsid w:val="009A2C33"/>
    <w:rsid w:val="009A3CBD"/>
    <w:rsid w:val="009A5C73"/>
    <w:rsid w:val="009A6851"/>
    <w:rsid w:val="009B2183"/>
    <w:rsid w:val="009B3807"/>
    <w:rsid w:val="009B4EE3"/>
    <w:rsid w:val="009B7E84"/>
    <w:rsid w:val="009C041E"/>
    <w:rsid w:val="009C2062"/>
    <w:rsid w:val="009C7B9A"/>
    <w:rsid w:val="009D21B9"/>
    <w:rsid w:val="009E4241"/>
    <w:rsid w:val="009F0554"/>
    <w:rsid w:val="009F356C"/>
    <w:rsid w:val="009F51F2"/>
    <w:rsid w:val="00A050D4"/>
    <w:rsid w:val="00A05E2F"/>
    <w:rsid w:val="00A07468"/>
    <w:rsid w:val="00A20DA8"/>
    <w:rsid w:val="00A218EC"/>
    <w:rsid w:val="00A27299"/>
    <w:rsid w:val="00A310D7"/>
    <w:rsid w:val="00A3138F"/>
    <w:rsid w:val="00A319BE"/>
    <w:rsid w:val="00A31F9A"/>
    <w:rsid w:val="00A403A9"/>
    <w:rsid w:val="00A40760"/>
    <w:rsid w:val="00A44EFB"/>
    <w:rsid w:val="00A52E47"/>
    <w:rsid w:val="00A53E71"/>
    <w:rsid w:val="00A55424"/>
    <w:rsid w:val="00A5663D"/>
    <w:rsid w:val="00A57C6E"/>
    <w:rsid w:val="00A60320"/>
    <w:rsid w:val="00A607EF"/>
    <w:rsid w:val="00A72FB5"/>
    <w:rsid w:val="00A72FC5"/>
    <w:rsid w:val="00A730E3"/>
    <w:rsid w:val="00A77CF6"/>
    <w:rsid w:val="00A81D29"/>
    <w:rsid w:val="00A8458C"/>
    <w:rsid w:val="00A84BA8"/>
    <w:rsid w:val="00A84C50"/>
    <w:rsid w:val="00A91283"/>
    <w:rsid w:val="00AA132F"/>
    <w:rsid w:val="00AA1C92"/>
    <w:rsid w:val="00AB2C07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19B3"/>
    <w:rsid w:val="00B25D5F"/>
    <w:rsid w:val="00B340A8"/>
    <w:rsid w:val="00B3428E"/>
    <w:rsid w:val="00B36993"/>
    <w:rsid w:val="00B40E12"/>
    <w:rsid w:val="00B435B8"/>
    <w:rsid w:val="00B4499C"/>
    <w:rsid w:val="00B5116D"/>
    <w:rsid w:val="00B55848"/>
    <w:rsid w:val="00B6201D"/>
    <w:rsid w:val="00B653B7"/>
    <w:rsid w:val="00B66A14"/>
    <w:rsid w:val="00B7250F"/>
    <w:rsid w:val="00B807E5"/>
    <w:rsid w:val="00B847A0"/>
    <w:rsid w:val="00B87BC5"/>
    <w:rsid w:val="00BA1A96"/>
    <w:rsid w:val="00BA4A8E"/>
    <w:rsid w:val="00BA553A"/>
    <w:rsid w:val="00BC1A95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1253F"/>
    <w:rsid w:val="00C247B0"/>
    <w:rsid w:val="00C2620F"/>
    <w:rsid w:val="00C33F30"/>
    <w:rsid w:val="00C34F4C"/>
    <w:rsid w:val="00C602B2"/>
    <w:rsid w:val="00C70C90"/>
    <w:rsid w:val="00C729CB"/>
    <w:rsid w:val="00C7374B"/>
    <w:rsid w:val="00C75D1E"/>
    <w:rsid w:val="00C77C56"/>
    <w:rsid w:val="00C8109F"/>
    <w:rsid w:val="00C8184F"/>
    <w:rsid w:val="00C8225C"/>
    <w:rsid w:val="00C822E5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7429"/>
    <w:rsid w:val="00CD515D"/>
    <w:rsid w:val="00CD63B8"/>
    <w:rsid w:val="00CD7F92"/>
    <w:rsid w:val="00CE10F2"/>
    <w:rsid w:val="00CE3223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23A94"/>
    <w:rsid w:val="00D27A45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6CFA"/>
    <w:rsid w:val="00D6314B"/>
    <w:rsid w:val="00D662C7"/>
    <w:rsid w:val="00D712A3"/>
    <w:rsid w:val="00D75084"/>
    <w:rsid w:val="00D7547B"/>
    <w:rsid w:val="00D91431"/>
    <w:rsid w:val="00D95C4C"/>
    <w:rsid w:val="00DA117F"/>
    <w:rsid w:val="00DA17FB"/>
    <w:rsid w:val="00DB08AE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4C46"/>
    <w:rsid w:val="00E47B65"/>
    <w:rsid w:val="00E517FE"/>
    <w:rsid w:val="00E60831"/>
    <w:rsid w:val="00E65758"/>
    <w:rsid w:val="00E662CA"/>
    <w:rsid w:val="00E8076C"/>
    <w:rsid w:val="00E87DA4"/>
    <w:rsid w:val="00E92909"/>
    <w:rsid w:val="00E97388"/>
    <w:rsid w:val="00EA15F6"/>
    <w:rsid w:val="00EA20E5"/>
    <w:rsid w:val="00EA2756"/>
    <w:rsid w:val="00EA3F62"/>
    <w:rsid w:val="00EA4B94"/>
    <w:rsid w:val="00EA60D4"/>
    <w:rsid w:val="00EC098C"/>
    <w:rsid w:val="00EC1615"/>
    <w:rsid w:val="00EC3C46"/>
    <w:rsid w:val="00EC69FF"/>
    <w:rsid w:val="00ED00F1"/>
    <w:rsid w:val="00ED23F4"/>
    <w:rsid w:val="00ED3063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65C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6601D"/>
    <w:rsid w:val="00F728FB"/>
    <w:rsid w:val="00F7663A"/>
    <w:rsid w:val="00F76A1C"/>
    <w:rsid w:val="00F80FD0"/>
    <w:rsid w:val="00F83448"/>
    <w:rsid w:val="00F8345C"/>
    <w:rsid w:val="00F85CD7"/>
    <w:rsid w:val="00F86DA7"/>
    <w:rsid w:val="00F909BD"/>
    <w:rsid w:val="00F95E8D"/>
    <w:rsid w:val="00FA1A9D"/>
    <w:rsid w:val="00FA532D"/>
    <w:rsid w:val="00FA7A79"/>
    <w:rsid w:val="00FA7D51"/>
    <w:rsid w:val="00FB49D4"/>
    <w:rsid w:val="00FC1DA2"/>
    <w:rsid w:val="00FC1F36"/>
    <w:rsid w:val="00FD1497"/>
    <w:rsid w:val="00FE059A"/>
    <w:rsid w:val="00FE5562"/>
    <w:rsid w:val="00FF34BC"/>
    <w:rsid w:val="00FF6C56"/>
    <w:rsid w:val="00FF754B"/>
    <w:rsid w:val="088272FC"/>
    <w:rsid w:val="0B57681E"/>
    <w:rsid w:val="11D010D8"/>
    <w:rsid w:val="11E15093"/>
    <w:rsid w:val="16120F75"/>
    <w:rsid w:val="16135A37"/>
    <w:rsid w:val="1A5959E3"/>
    <w:rsid w:val="1C47643B"/>
    <w:rsid w:val="1D660B43"/>
    <w:rsid w:val="1F334A54"/>
    <w:rsid w:val="23E80503"/>
    <w:rsid w:val="2C626897"/>
    <w:rsid w:val="33D0208E"/>
    <w:rsid w:val="340D18C0"/>
    <w:rsid w:val="3676199F"/>
    <w:rsid w:val="39C90037"/>
    <w:rsid w:val="3D5D11C3"/>
    <w:rsid w:val="3EBE2135"/>
    <w:rsid w:val="3F42003E"/>
    <w:rsid w:val="407A02DD"/>
    <w:rsid w:val="41322966"/>
    <w:rsid w:val="41CF1EF3"/>
    <w:rsid w:val="434075BC"/>
    <w:rsid w:val="464A573D"/>
    <w:rsid w:val="49DE18DD"/>
    <w:rsid w:val="54E3424B"/>
    <w:rsid w:val="5D4930BA"/>
    <w:rsid w:val="60034AFE"/>
    <w:rsid w:val="60FB46CB"/>
    <w:rsid w:val="612029DF"/>
    <w:rsid w:val="67A41618"/>
    <w:rsid w:val="6AE24730"/>
    <w:rsid w:val="6C103720"/>
    <w:rsid w:val="70074E3A"/>
    <w:rsid w:val="79B853F7"/>
    <w:rsid w:val="79DA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0CCE6F"/>
  <w14:defaultImageDpi w14:val="330"/>
  <w15:docId w15:val="{9F94A662-3E7A-4039-8673-8BAFC510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C1F36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C1F36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519698516@163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92497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unling.cheng@myjov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wangjingx@lzu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3519698516@163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1564</Words>
  <Characters>8920</Characters>
  <Application>Microsoft Office Word</Application>
  <DocSecurity>0</DocSecurity>
  <Lines>74</Lines>
  <Paragraphs>20</Paragraphs>
  <ScaleCrop>false</ScaleCrop>
  <Company>UC Irvine</Company>
  <LinksUpToDate>false</LinksUpToDate>
  <CharactersWithSpaces>10464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Ruchira  Mukherji</cp:lastModifiedBy>
  <cp:revision>55</cp:revision>
  <dcterms:created xsi:type="dcterms:W3CDTF">2026-08-12T08:29:00Z</dcterms:created>
  <dcterms:modified xsi:type="dcterms:W3CDTF">2026-08-24T02:18:00Z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eyJoZGlkIjoiYzdhZjU2ZjA2Mjc4NTBjNjIzMDE2MzBmOTc2OTMyZDgiLCJ1c2VySWQiOiIyNDQ4MzEwNzgifQ==</vt:lpwstr>
  </property>
  <property fmtid="{D5CDD505-2E9C-101B-9397-08002B2CF9AE}" pid="4" name="KSOProductBuildVer">
    <vt:lpwstr>2052-12.1.0.28043</vt:lpwstr>
  </property>
  <property fmtid="{D5CDD505-2E9C-101B-9397-08002B2CF9AE}" pid="5" name="ICV">
    <vt:lpwstr>8422AB6E45464216BFEA84A01C18C71C_12</vt:lpwstr>
  </property>
</Properties>
</file>