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B3867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272D1">
        <w:rPr>
          <w:rFonts w:eastAsia="Times New Roman" w:cstheme="minorHAnsi"/>
          <w:b/>
        </w:rPr>
        <w:t>71870</w:t>
      </w:r>
    </w:p>
    <w:p w14:paraId="2F6924E5" w14:textId="12563F2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272D1">
        <w:rPr>
          <w:rFonts w:eastAsia="Times New Roman" w:cstheme="minorHAnsi"/>
          <w:b/>
        </w:rPr>
        <w:t>Kathyayani Sridharan</w:t>
      </w:r>
    </w:p>
    <w:p w14:paraId="6FB9233B" w14:textId="07546D5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272D1" w:rsidRPr="00562F03">
          <w:rPr>
            <w:rStyle w:val="Hyperlink"/>
            <w:rFonts w:eastAsia="Times New Roman" w:cstheme="minorHAnsi"/>
            <w:b/>
          </w:rPr>
          <w:t>https://review.jove.com/account/file-uploader?src=21920398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96918F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272D1" w:rsidRPr="00A272D1">
        <w:rPr>
          <w:rFonts w:eastAsia="Times New Roman" w:cstheme="minorHAnsi"/>
          <w:b/>
          <w:sz w:val="32"/>
          <w:szCs w:val="32"/>
        </w:rPr>
        <w:t xml:space="preserve">A Split-Luciferase Complementation Assay for Temporally Resolved Measurement of Tau Clearance in Microglia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82C0C0F" w14:textId="77777777" w:rsidR="00A272D1" w:rsidRPr="00A272D1" w:rsidRDefault="00A272D1" w:rsidP="00A272D1">
      <w:pPr>
        <w:contextualSpacing/>
        <w:rPr>
          <w:b/>
          <w:bCs/>
          <w:sz w:val="28"/>
          <w:szCs w:val="26"/>
          <w:vertAlign w:val="superscript"/>
        </w:rPr>
      </w:pPr>
      <w:r w:rsidRPr="00A272D1">
        <w:rPr>
          <w:b/>
          <w:bCs/>
          <w:sz w:val="28"/>
          <w:szCs w:val="26"/>
        </w:rPr>
        <w:t>Daya Mena</w:t>
      </w:r>
      <w:r w:rsidRPr="00A272D1">
        <w:rPr>
          <w:b/>
          <w:bCs/>
          <w:sz w:val="28"/>
          <w:szCs w:val="26"/>
          <w:vertAlign w:val="superscript"/>
        </w:rPr>
        <w:t>1,2</w:t>
      </w:r>
      <w:r w:rsidRPr="00A272D1">
        <w:rPr>
          <w:b/>
          <w:bCs/>
          <w:sz w:val="28"/>
          <w:szCs w:val="26"/>
        </w:rPr>
        <w:t>, Anna Vincze</w:t>
      </w:r>
      <w:r w:rsidRPr="00A272D1">
        <w:rPr>
          <w:b/>
          <w:bCs/>
          <w:sz w:val="28"/>
          <w:szCs w:val="26"/>
          <w:vertAlign w:val="superscript"/>
        </w:rPr>
        <w:t>2</w:t>
      </w:r>
      <w:r w:rsidRPr="00A272D1">
        <w:rPr>
          <w:b/>
          <w:bCs/>
          <w:sz w:val="28"/>
          <w:szCs w:val="26"/>
        </w:rPr>
        <w:t>, Andrew Shultz</w:t>
      </w:r>
      <w:r w:rsidRPr="00A272D1">
        <w:rPr>
          <w:b/>
          <w:bCs/>
          <w:sz w:val="28"/>
          <w:szCs w:val="26"/>
          <w:vertAlign w:val="superscript"/>
        </w:rPr>
        <w:t>2,3</w:t>
      </w:r>
      <w:r w:rsidRPr="00A272D1">
        <w:rPr>
          <w:b/>
          <w:bCs/>
          <w:sz w:val="28"/>
          <w:szCs w:val="26"/>
        </w:rPr>
        <w:t>, Jennifer N. Rauch</w:t>
      </w:r>
      <w:r w:rsidRPr="00A272D1">
        <w:rPr>
          <w:b/>
          <w:bCs/>
          <w:sz w:val="28"/>
          <w:szCs w:val="26"/>
          <w:vertAlign w:val="superscript"/>
        </w:rPr>
        <w:t>1,2,3</w:t>
      </w:r>
    </w:p>
    <w:p w14:paraId="2CD77CB5" w14:textId="77777777" w:rsidR="00A272D1" w:rsidRPr="00526631" w:rsidRDefault="00A272D1" w:rsidP="00A272D1">
      <w:pPr>
        <w:contextualSpacing/>
      </w:pPr>
    </w:p>
    <w:p w14:paraId="61D7FCC0" w14:textId="081E5CB0" w:rsidR="00A272D1" w:rsidRPr="00526631" w:rsidRDefault="00A272D1" w:rsidP="00A272D1">
      <w:pPr>
        <w:contextualSpacing/>
      </w:pPr>
      <w:r w:rsidRPr="00526631">
        <w:rPr>
          <w:vertAlign w:val="superscript"/>
        </w:rPr>
        <w:t>1</w:t>
      </w:r>
      <w:r w:rsidRPr="00526631">
        <w:t>Neuroscience and Behavior Graduate Program, University of Massachusetts Amherst</w:t>
      </w:r>
    </w:p>
    <w:p w14:paraId="36083927" w14:textId="56A8FBF4" w:rsidR="00A272D1" w:rsidRPr="00526631" w:rsidRDefault="00A272D1" w:rsidP="00A272D1">
      <w:pPr>
        <w:contextualSpacing/>
      </w:pPr>
      <w:r w:rsidRPr="00526631">
        <w:rPr>
          <w:vertAlign w:val="superscript"/>
        </w:rPr>
        <w:t>2</w:t>
      </w:r>
      <w:r w:rsidRPr="00526631">
        <w:t>Department of Biochemistry and Molecular Biology, University of Massachusetts Amherst</w:t>
      </w:r>
    </w:p>
    <w:p w14:paraId="33CD999C" w14:textId="1C6DDE9F" w:rsidR="00D6314B" w:rsidRDefault="00A272D1" w:rsidP="00A272D1">
      <w:pPr>
        <w:outlineLvl w:val="0"/>
        <w:rPr>
          <w:rFonts w:eastAsia="Times New Roman" w:cstheme="minorHAnsi"/>
          <w:b/>
          <w:sz w:val="28"/>
          <w:szCs w:val="28"/>
        </w:rPr>
      </w:pPr>
      <w:r w:rsidRPr="00526631">
        <w:rPr>
          <w:vertAlign w:val="superscript"/>
        </w:rPr>
        <w:t>3</w:t>
      </w:r>
      <w:r w:rsidRPr="00526631">
        <w:t>Molecular and Cellular Biology Graduate Program, University of Massachusetts Amherst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35ADA3FE" w:rsidR="00D6314B" w:rsidRPr="00B07A3B" w:rsidRDefault="00A272D1" w:rsidP="004E0C5A">
      <w:pPr>
        <w:outlineLvl w:val="0"/>
        <w:rPr>
          <w:rFonts w:eastAsia="Times New Roman" w:cstheme="minorHAnsi"/>
        </w:rPr>
      </w:pPr>
      <w:r w:rsidRPr="00526631">
        <w:rPr>
          <w:color w:val="000000"/>
        </w:rPr>
        <w:t>Jennifer N. Rauch</w:t>
      </w:r>
      <w:r w:rsidRPr="00526631">
        <w:rPr>
          <w:color w:val="000000"/>
        </w:rPr>
        <w:tab/>
        <w:t>rauch@umass.edu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C0DF70F" w14:textId="1E7345A5" w:rsidR="00A272D1" w:rsidRPr="00526631" w:rsidRDefault="00A272D1" w:rsidP="00A272D1">
      <w:pPr>
        <w:pBdr>
          <w:between w:val="nil"/>
        </w:pBdr>
        <w:contextualSpacing/>
        <w:rPr>
          <w:color w:val="000000"/>
        </w:rPr>
      </w:pPr>
      <w:r w:rsidRPr="00526631">
        <w:rPr>
          <w:color w:val="000000"/>
        </w:rPr>
        <w:t xml:space="preserve">Daya Mena </w:t>
      </w:r>
      <w:r w:rsidRPr="00526631">
        <w:rPr>
          <w:color w:val="000000"/>
        </w:rPr>
        <w:tab/>
      </w:r>
      <w:r w:rsidRPr="00526631">
        <w:rPr>
          <w:color w:val="000000"/>
        </w:rPr>
        <w:tab/>
        <w:t>dmena@umass.edu</w:t>
      </w:r>
    </w:p>
    <w:p w14:paraId="7ECBC1A1" w14:textId="041917C1" w:rsidR="00A272D1" w:rsidRPr="00526631" w:rsidRDefault="00A272D1" w:rsidP="00A272D1">
      <w:pPr>
        <w:pBdr>
          <w:between w:val="nil"/>
        </w:pBdr>
        <w:contextualSpacing/>
        <w:rPr>
          <w:color w:val="000000"/>
        </w:rPr>
      </w:pPr>
      <w:r w:rsidRPr="00526631">
        <w:rPr>
          <w:color w:val="000000"/>
        </w:rPr>
        <w:t xml:space="preserve">Anna Vincze </w:t>
      </w:r>
      <w:r w:rsidRPr="00526631">
        <w:rPr>
          <w:color w:val="000000"/>
        </w:rPr>
        <w:tab/>
      </w:r>
      <w:r w:rsidRPr="00526631">
        <w:rPr>
          <w:color w:val="000000"/>
        </w:rPr>
        <w:tab/>
        <w:t>avincze@umass.edu</w:t>
      </w:r>
    </w:p>
    <w:p w14:paraId="69D02CC1" w14:textId="0BB8997B" w:rsidR="00A272D1" w:rsidRPr="00526631" w:rsidRDefault="00A272D1" w:rsidP="00A272D1">
      <w:pPr>
        <w:pBdr>
          <w:between w:val="nil"/>
        </w:pBdr>
        <w:contextualSpacing/>
        <w:rPr>
          <w:color w:val="000000"/>
        </w:rPr>
      </w:pPr>
      <w:r w:rsidRPr="00526631">
        <w:rPr>
          <w:color w:val="000000"/>
        </w:rPr>
        <w:t>Andrew Shultz</w:t>
      </w:r>
      <w:r w:rsidRPr="00526631">
        <w:rPr>
          <w:color w:val="000000"/>
        </w:rPr>
        <w:tab/>
      </w:r>
      <w:r w:rsidRPr="00526631">
        <w:rPr>
          <w:color w:val="000000"/>
        </w:rPr>
        <w:tab/>
        <w:t>ashultz@umass.edu</w:t>
      </w:r>
    </w:p>
    <w:p w14:paraId="7251DE46" w14:textId="3A9257B4" w:rsidR="00A272D1" w:rsidRDefault="00A272D1" w:rsidP="00A272D1">
      <w:r w:rsidRPr="00526631">
        <w:rPr>
          <w:color w:val="000000"/>
        </w:rPr>
        <w:t>Jennifer N. Rauch</w:t>
      </w:r>
      <w:r w:rsidRPr="00526631">
        <w:rPr>
          <w:color w:val="000000"/>
        </w:rPr>
        <w:tab/>
        <w:t>rauch@umass.edu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07613C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77FE2">
        <w:rPr>
          <w:rFonts w:cstheme="minorHAnsi"/>
          <w:bCs/>
          <w:sz w:val="22"/>
          <w:szCs w:val="22"/>
        </w:rPr>
        <w:t>13</w:t>
      </w:r>
    </w:p>
    <w:p w14:paraId="5AAC9C6C" w14:textId="6C4D6BD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77FE2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3C78C807" w14:textId="40C1A5F7" w:rsidR="00A13CC3" w:rsidRDefault="000F0F14" w:rsidP="00A272D1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2081E3D" w:rsidR="00CE10F2" w:rsidRDefault="00A272D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F65DB">
        <w:rPr>
          <w:b/>
          <w:bCs/>
        </w:rPr>
        <w:t>Preparation of Tau-SLP Protein and iPSC-Derived iTF-Microglia Culture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81352A7" w14:textId="09281940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To begin, </w:t>
      </w:r>
      <w:r>
        <w:t xml:space="preserve">use </w:t>
      </w:r>
      <w:r w:rsidRPr="00AF65DB">
        <w:t>standard cloning method such as Gibson assembly</w:t>
      </w:r>
      <w:r>
        <w:t xml:space="preserve"> to </w:t>
      </w:r>
      <w:r w:rsidRPr="00AF65DB">
        <w:t>append the split-luciferase peptide</w:t>
      </w:r>
      <w:r>
        <w:t xml:space="preserve">, or SLP </w:t>
      </w:r>
      <w:r w:rsidRPr="00AF65DB">
        <w:rPr>
          <w:i/>
          <w:iCs/>
          <w:color w:val="EE0000"/>
        </w:rPr>
        <w:t>(S-L-P)</w:t>
      </w:r>
      <w:r w:rsidRPr="00AF65DB">
        <w:t xml:space="preserve"> tag onto a Tau </w:t>
      </w:r>
      <w:r w:rsidRPr="00AF65DB">
        <w:rPr>
          <w:i/>
          <w:iCs/>
          <w:color w:val="EE0000"/>
        </w:rPr>
        <w:t>(Tow)</w:t>
      </w:r>
      <w:r>
        <w:t xml:space="preserve"> </w:t>
      </w:r>
      <w:r w:rsidRPr="00AF65DB">
        <w:t>construct to create a tagged Tau</w:t>
      </w:r>
      <w:r>
        <w:t>, or Tau-SLP</w:t>
      </w:r>
      <w:r w:rsidRPr="00AF65DB">
        <w:t xml:space="preserve"> construct </w:t>
      </w:r>
      <w:r w:rsidRPr="00AF65DB">
        <w:rPr>
          <w:b/>
          <w:bCs/>
        </w:rPr>
        <w:t>[1</w:t>
      </w:r>
      <w:r>
        <w:rPr>
          <w:b/>
          <w:bCs/>
        </w:rPr>
        <w:t>-TXT</w:t>
      </w:r>
      <w:r w:rsidRPr="00AF65DB">
        <w:rPr>
          <w:b/>
          <w:bCs/>
        </w:rPr>
        <w:t>]</w:t>
      </w:r>
      <w:r w:rsidRPr="00AF65DB">
        <w:t xml:space="preserve">. </w:t>
      </w:r>
      <w:r>
        <w:t xml:space="preserve">After </w:t>
      </w:r>
      <w:r w:rsidRPr="00516FD5">
        <w:t xml:space="preserve">Tau-SLP </w:t>
      </w:r>
      <w:r>
        <w:t>e</w:t>
      </w:r>
      <w:r w:rsidRPr="00AF65DB">
        <w:t>xpress</w:t>
      </w:r>
      <w:r>
        <w:t>ion</w:t>
      </w:r>
      <w:r w:rsidRPr="00AF65DB">
        <w:t xml:space="preserve"> and purif</w:t>
      </w:r>
      <w:r>
        <w:t>ication, verify</w:t>
      </w:r>
      <w:r w:rsidRPr="00AF65DB">
        <w:t xml:space="preserve"> the purity by sodium dodecyl sulfate</w:t>
      </w:r>
      <w:r>
        <w:t>-</w:t>
      </w:r>
      <w:r w:rsidRPr="00AF65DB">
        <w:t xml:space="preserve">polyacrylamide gel electrophoresis and immunoblotting </w:t>
      </w:r>
      <w:r w:rsidRPr="00AF65DB">
        <w:rPr>
          <w:b/>
          <w:bCs/>
        </w:rPr>
        <w:t>[</w:t>
      </w:r>
      <w:r>
        <w:rPr>
          <w:b/>
          <w:bCs/>
        </w:rPr>
        <w:t>2</w:t>
      </w:r>
      <w:r w:rsidRPr="00AF65DB">
        <w:rPr>
          <w:b/>
          <w:bCs/>
        </w:rPr>
        <w:t>]</w:t>
      </w:r>
      <w:r w:rsidRPr="00AF65DB">
        <w:t xml:space="preserve">. </w:t>
      </w:r>
      <w:r>
        <w:t>Next</w:t>
      </w:r>
      <w:r w:rsidRPr="00AF65DB">
        <w:t xml:space="preserve">, remove the bacterial endotoxin after purification </w:t>
      </w:r>
      <w:r>
        <w:t>prior to</w:t>
      </w:r>
      <w:r w:rsidRPr="00AF65DB">
        <w:t xml:space="preserve"> use with microglial cells </w:t>
      </w:r>
      <w:r w:rsidRPr="00AF65DB">
        <w:rPr>
          <w:b/>
          <w:bCs/>
        </w:rPr>
        <w:t>[</w:t>
      </w:r>
      <w:r>
        <w:rPr>
          <w:b/>
          <w:bCs/>
        </w:rPr>
        <w:t>3</w:t>
      </w:r>
      <w:r w:rsidRPr="00AF65DB">
        <w:rPr>
          <w:b/>
          <w:bCs/>
        </w:rPr>
        <w:t>]</w:t>
      </w:r>
      <w:r w:rsidRPr="00AF65DB">
        <w:t xml:space="preserve">. Quantify the tagged Tau construct concentration using a standard bicinchoninic acid assay or Bradford assay </w:t>
      </w:r>
      <w:r w:rsidRPr="00AF65DB">
        <w:rPr>
          <w:b/>
          <w:bCs/>
        </w:rPr>
        <w:t>[</w:t>
      </w:r>
      <w:r>
        <w:rPr>
          <w:b/>
          <w:bCs/>
        </w:rPr>
        <w:t>4</w:t>
      </w:r>
      <w:r w:rsidRPr="00AF65DB">
        <w:rPr>
          <w:b/>
          <w:bCs/>
        </w:rPr>
        <w:t>]</w:t>
      </w:r>
      <w:r w:rsidRPr="00AF65DB">
        <w:t>.</w:t>
      </w:r>
    </w:p>
    <w:p w14:paraId="7856B418" w14:textId="74F71E86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WIDE: Talent assembling the tagged Tau construct using the cloning reagents.</w:t>
      </w:r>
      <w:r>
        <w:rPr>
          <w:lang w:val="en-IN"/>
        </w:rPr>
        <w:t xml:space="preserve"> </w:t>
      </w:r>
      <w:r w:rsidRPr="00710AAF">
        <w:rPr>
          <w:b/>
          <w:bCs/>
          <w:lang w:val="en-IN"/>
        </w:rPr>
        <w:t xml:space="preserve">TXT: SLP tag Sequence: </w:t>
      </w:r>
      <w:r w:rsidRPr="00710AAF">
        <w:rPr>
          <w:b/>
          <w:bCs/>
        </w:rPr>
        <w:t>VSGWRLFKKIS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>
        <w:rPr>
          <w:rFonts w:cstheme="minorHAnsi"/>
          <w:i/>
          <w:iCs/>
          <w:color w:val="0000FF"/>
          <w:lang w:val="en-IN"/>
        </w:rPr>
        <w:t>.</w:t>
      </w:r>
    </w:p>
    <w:p w14:paraId="3147FE59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Representative shot of talent checking Tau-SLP purity by SDS-PAGE/Immunoblotting</w:t>
      </w:r>
      <w:r w:rsidRPr="00AF65DB">
        <w:rPr>
          <w:lang w:val="en-IN"/>
        </w:rPr>
        <w:t>.</w:t>
      </w:r>
      <w:r>
        <w:rPr>
          <w:lang w:val="en-IN"/>
        </w:rPr>
        <w:t xml:space="preserve"> </w:t>
      </w:r>
      <w:r w:rsidRPr="00516FD5">
        <w:rPr>
          <w:highlight w:val="yellow"/>
          <w:lang w:val="en-IN"/>
        </w:rPr>
        <w:t>(</w:t>
      </w:r>
      <w:r w:rsidRPr="00516FD5">
        <w:rPr>
          <w:b/>
          <w:bCs/>
          <w:highlight w:val="yellow"/>
          <w:lang w:val="en-IN"/>
        </w:rPr>
        <w:t>Authors:</w:t>
      </w:r>
      <w:r w:rsidRPr="00516FD5">
        <w:rPr>
          <w:highlight w:val="yellow"/>
          <w:lang w:val="en-IN"/>
        </w:rPr>
        <w:t xml:space="preserve"> Please specify which method will be demonstrated during filming. We will remove the other one.)</w:t>
      </w:r>
    </w:p>
    <w:p w14:paraId="31F5591A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performing bacterial endotoxin removal from the purified protein.</w:t>
      </w:r>
    </w:p>
    <w:p w14:paraId="2C67F9D6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Representative shot of t</w:t>
      </w:r>
      <w:r w:rsidRPr="00AF65DB">
        <w:rPr>
          <w:lang w:val="en-IN"/>
        </w:rPr>
        <w:t>alent measuring the protein concentration using a bicinchoninic acid assay or Bradford assay.</w:t>
      </w:r>
      <w:r>
        <w:rPr>
          <w:lang w:val="en-IN"/>
        </w:rPr>
        <w:t xml:space="preserve"> </w:t>
      </w:r>
      <w:r w:rsidRPr="00516FD5">
        <w:rPr>
          <w:highlight w:val="yellow"/>
          <w:lang w:val="en-IN"/>
        </w:rPr>
        <w:t>(</w:t>
      </w:r>
      <w:r w:rsidRPr="00516FD5">
        <w:rPr>
          <w:b/>
          <w:bCs/>
          <w:highlight w:val="yellow"/>
          <w:lang w:val="en-IN"/>
        </w:rPr>
        <w:t>Authors:</w:t>
      </w:r>
      <w:r w:rsidRPr="00516FD5">
        <w:rPr>
          <w:highlight w:val="yellow"/>
          <w:lang w:val="en-IN"/>
        </w:rPr>
        <w:t xml:space="preserve"> Please specify which method will be demonstrated during filming. We will remove the other one.)</w:t>
      </w:r>
    </w:p>
    <w:p w14:paraId="2BE853D8" w14:textId="77777777" w:rsidR="00A272D1" w:rsidRPr="00745AB7" w:rsidRDefault="00A272D1" w:rsidP="00A272D1">
      <w:pPr>
        <w:pStyle w:val="Narration"/>
        <w:numPr>
          <w:ilvl w:val="1"/>
          <w:numId w:val="3"/>
        </w:numPr>
        <w:rPr>
          <w:lang w:val="en-IN"/>
        </w:rPr>
      </w:pPr>
      <w:r w:rsidRPr="00AF65DB">
        <w:lastRenderedPageBreak/>
        <w:t xml:space="preserve">Validate the functional luminescence of the </w:t>
      </w:r>
      <w:r w:rsidRPr="00526631">
        <w:t xml:space="preserve">Tau-SLP </w:t>
      </w:r>
      <w:r w:rsidRPr="00AF65DB">
        <w:t xml:space="preserve">construct by generating a standard curve using a commercially available luciferase substrate and complementation reagent according to the manufacturer's instructions </w:t>
      </w:r>
      <w:r w:rsidRPr="00AF65DB">
        <w:rPr>
          <w:b/>
          <w:bCs/>
        </w:rPr>
        <w:t>[1]</w:t>
      </w:r>
      <w:r w:rsidRPr="00AF65DB">
        <w:t>. Differentiate an induced pluripotent stem cell</w:t>
      </w:r>
      <w:r>
        <w:t xml:space="preserve">, or iPSC </w:t>
      </w:r>
      <w:r w:rsidRPr="009E1152">
        <w:rPr>
          <w:color w:val="EE0000"/>
        </w:rPr>
        <w:t>(I-P-S-C)</w:t>
      </w:r>
      <w:r w:rsidRPr="00AF65DB">
        <w:t xml:space="preserve"> line harboring 6 doxycycline-inducible transcription factors to produce induced transcription-factor microglia-like</w:t>
      </w:r>
      <w:r>
        <w:t xml:space="preserve">, or iTF-Microglia </w:t>
      </w:r>
      <w:r w:rsidRPr="009E1152">
        <w:rPr>
          <w:i/>
          <w:iCs/>
          <w:color w:val="EE0000"/>
        </w:rPr>
        <w:t>(I-T-F-Microglia)</w:t>
      </w:r>
      <w:r w:rsidRPr="00AF65DB">
        <w:t xml:space="preserve"> cells using a validated protocol </w:t>
      </w:r>
      <w:r w:rsidRPr="00AF65DB">
        <w:rPr>
          <w:b/>
          <w:bCs/>
        </w:rPr>
        <w:t>[</w:t>
      </w:r>
      <w:r>
        <w:rPr>
          <w:b/>
          <w:bCs/>
        </w:rPr>
        <w:t>2</w:t>
      </w:r>
      <w:r w:rsidRPr="00AF65DB">
        <w:rPr>
          <w:b/>
          <w:bCs/>
        </w:rPr>
        <w:t>]</w:t>
      </w:r>
      <w:r>
        <w:t xml:space="preserve">, </w:t>
      </w:r>
      <w:r>
        <w:rPr>
          <w:lang w:val="en-IN"/>
        </w:rPr>
        <w:t>culturing</w:t>
      </w:r>
      <w:r w:rsidRPr="009E1152">
        <w:rPr>
          <w:lang w:val="en-IN"/>
        </w:rPr>
        <w:t xml:space="preserve"> the cells in the appropriate medium at 37 </w:t>
      </w:r>
      <w:r>
        <w:rPr>
          <w:lang w:val="en-IN"/>
        </w:rPr>
        <w:t>degrees Celsius</w:t>
      </w:r>
      <w:r w:rsidRPr="009E1152">
        <w:rPr>
          <w:lang w:val="en-IN"/>
        </w:rPr>
        <w:t xml:space="preserve"> with </w:t>
      </w:r>
      <w:r>
        <w:rPr>
          <w:lang w:val="en-IN"/>
        </w:rPr>
        <w:t xml:space="preserve">5 percent carbon dioxide </w:t>
      </w:r>
      <w:r w:rsidRPr="00AF65DB">
        <w:rPr>
          <w:b/>
          <w:bCs/>
        </w:rPr>
        <w:t>[</w:t>
      </w:r>
      <w:r>
        <w:rPr>
          <w:b/>
          <w:bCs/>
        </w:rPr>
        <w:t>3</w:t>
      </w:r>
      <w:r w:rsidRPr="00AF65DB">
        <w:rPr>
          <w:b/>
          <w:bCs/>
        </w:rPr>
        <w:t>]</w:t>
      </w:r>
      <w:r>
        <w:rPr>
          <w:b/>
          <w:bCs/>
        </w:rPr>
        <w:t>.</w:t>
      </w:r>
      <w:r>
        <w:rPr>
          <w:lang w:val="en-IN"/>
        </w:rPr>
        <w:t xml:space="preserve"> </w:t>
      </w:r>
    </w:p>
    <w:p w14:paraId="0AE55BCA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preparing the standard curve using the luciferase substrate and complementation reagent.</w:t>
      </w:r>
    </w:p>
    <w:p w14:paraId="1BFF1174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culture medium to the microglial cells for culturing. </w:t>
      </w:r>
      <w:r w:rsidRPr="009E1152">
        <w:rPr>
          <w:highlight w:val="yellow"/>
          <w:lang w:val="en-IN"/>
        </w:rPr>
        <w:t>(</w:t>
      </w:r>
      <w:r w:rsidRPr="009E1152">
        <w:rPr>
          <w:b/>
          <w:bCs/>
          <w:highlight w:val="yellow"/>
          <w:lang w:val="en-IN"/>
        </w:rPr>
        <w:t>Authors:</w:t>
      </w:r>
      <w:r w:rsidRPr="009E1152">
        <w:rPr>
          <w:highlight w:val="yellow"/>
          <w:lang w:val="en-IN"/>
        </w:rPr>
        <w:t xml:space="preserve"> Please specify the </w:t>
      </w:r>
      <w:r>
        <w:rPr>
          <w:highlight w:val="yellow"/>
          <w:lang w:val="en-IN"/>
        </w:rPr>
        <w:t xml:space="preserve">name of the </w:t>
      </w:r>
      <w:r w:rsidRPr="009E1152">
        <w:rPr>
          <w:highlight w:val="yellow"/>
          <w:lang w:val="en-IN"/>
        </w:rPr>
        <w:t>culture media used for microglial culture.)</w:t>
      </w:r>
    </w:p>
    <w:p w14:paraId="234D440B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 xml:space="preserve">Talent placing the </w:t>
      </w:r>
      <w:r>
        <w:rPr>
          <w:lang w:val="en-IN"/>
        </w:rPr>
        <w:t>culture dish</w:t>
      </w:r>
      <w:r w:rsidRPr="00AF65DB">
        <w:rPr>
          <w:lang w:val="en-IN"/>
        </w:rPr>
        <w:t xml:space="preserve"> </w:t>
      </w:r>
      <w:r>
        <w:rPr>
          <w:lang w:val="en-IN"/>
        </w:rPr>
        <w:t>containing microglial</w:t>
      </w:r>
      <w:r w:rsidRPr="00AF65DB">
        <w:rPr>
          <w:lang w:val="en-IN"/>
        </w:rPr>
        <w:t xml:space="preserve"> cells</w:t>
      </w:r>
      <w:r>
        <w:rPr>
          <w:lang w:val="en-IN"/>
        </w:rPr>
        <w:t xml:space="preserve"> </w:t>
      </w:r>
      <w:r w:rsidRPr="00AF65DB">
        <w:rPr>
          <w:lang w:val="en-IN"/>
        </w:rPr>
        <w:t>into the incubator.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E6EFDDF" w:rsidR="000F326F" w:rsidRDefault="00A272D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5ED2">
        <w:rPr>
          <w:b/>
          <w:bCs/>
          <w:lang w:val="en-IN"/>
        </w:rPr>
        <w:t>Tau Clearance Assay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2B94EA4" w14:textId="3AE39E25" w:rsidR="00A272D1" w:rsidRPr="00AF65DB" w:rsidRDefault="00A272D1" w:rsidP="00A272D1">
      <w:pPr>
        <w:pStyle w:val="Narration"/>
        <w:numPr>
          <w:ilvl w:val="1"/>
          <w:numId w:val="3"/>
        </w:numPr>
      </w:pPr>
      <w:r w:rsidRPr="00745AB7">
        <w:rPr>
          <w:lang w:val="en-US"/>
        </w:rPr>
        <w:t xml:space="preserve">Seed 100,000 cells per well </w:t>
      </w:r>
      <w:r>
        <w:rPr>
          <w:lang w:val="en-US"/>
        </w:rPr>
        <w:t>using</w:t>
      </w:r>
      <w:r w:rsidRPr="00745AB7">
        <w:rPr>
          <w:lang w:val="en-US"/>
        </w:rPr>
        <w:t xml:space="preserve"> 250 microliters of medium in a 24-well plate in triplicate per condition</w:t>
      </w:r>
      <w:r>
        <w:rPr>
          <w:lang w:val="en-US"/>
        </w:rPr>
        <w:t xml:space="preserve"> </w:t>
      </w:r>
      <w:r w:rsidRPr="00AF65DB">
        <w:rPr>
          <w:b/>
          <w:bCs/>
        </w:rPr>
        <w:t>[1]</w:t>
      </w:r>
      <w:r w:rsidRPr="00AF65DB">
        <w:t xml:space="preserve">. Incubate the plate overnight at 37 degrees Celsius and 5 percent oxygen </w:t>
      </w:r>
      <w:r w:rsidRPr="00AF65DB">
        <w:rPr>
          <w:b/>
          <w:bCs/>
        </w:rPr>
        <w:t>[2]</w:t>
      </w:r>
      <w:r w:rsidRPr="00AF65DB">
        <w:t>.</w:t>
      </w:r>
    </w:p>
    <w:p w14:paraId="4A0AEEE0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plating the cells into the 24-well plate.</w:t>
      </w:r>
    </w:p>
    <w:p w14:paraId="207AE69C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placing the plate into the incubator.</w:t>
      </w:r>
    </w:p>
    <w:p w14:paraId="25EDC358" w14:textId="77777777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Remove the culture medium </w:t>
      </w:r>
      <w:r w:rsidRPr="00AF65DB">
        <w:rPr>
          <w:b/>
          <w:bCs/>
        </w:rPr>
        <w:t>[1]</w:t>
      </w:r>
      <w:r w:rsidRPr="00AF65DB">
        <w:t>, wash the cells once with 250 microliters of</w:t>
      </w:r>
      <w:r>
        <w:t xml:space="preserve"> PBS </w:t>
      </w:r>
      <w:r w:rsidRPr="00AF65DB">
        <w:rPr>
          <w:b/>
          <w:bCs/>
        </w:rPr>
        <w:t>[2]</w:t>
      </w:r>
      <w:r w:rsidRPr="00AF65DB">
        <w:t xml:space="preserve">, and replace it with 250 microliters of fresh culture medium </w:t>
      </w:r>
      <w:r w:rsidRPr="00AF65DB">
        <w:rPr>
          <w:b/>
          <w:bCs/>
        </w:rPr>
        <w:t>[3]</w:t>
      </w:r>
      <w:r w:rsidRPr="00AF65DB">
        <w:t>.</w:t>
      </w:r>
    </w:p>
    <w:p w14:paraId="2D6BC430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aspirating the culture medium from the wells.</w:t>
      </w:r>
    </w:p>
    <w:p w14:paraId="1A522847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washing the cells with phosphate-buffered saline.</w:t>
      </w:r>
    </w:p>
    <w:p w14:paraId="5CDFE02B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adding fresh culture medium to the wells.</w:t>
      </w:r>
    </w:p>
    <w:p w14:paraId="13A7AA30" w14:textId="77777777" w:rsidR="00A272D1" w:rsidRDefault="00A272D1" w:rsidP="00A272D1">
      <w:pPr>
        <w:pStyle w:val="Narration"/>
        <w:numPr>
          <w:ilvl w:val="1"/>
          <w:numId w:val="3"/>
        </w:numPr>
      </w:pPr>
      <w:r w:rsidRPr="00266B91">
        <w:rPr>
          <w:lang w:val="en-US"/>
        </w:rPr>
        <w:t>To measure Tau-SLP clearance temporally</w:t>
      </w:r>
      <w:r>
        <w:rPr>
          <w:lang w:val="en-US"/>
        </w:rPr>
        <w:t>, e</w:t>
      </w:r>
      <w:r w:rsidRPr="00AF65DB">
        <w:t xml:space="preserve">xpose the cells to the </w:t>
      </w:r>
      <w:r>
        <w:t>Tau-SLP</w:t>
      </w:r>
      <w:r w:rsidRPr="00AF65DB">
        <w:t xml:space="preserve"> </w:t>
      </w:r>
      <w:r>
        <w:t xml:space="preserve">monomer or fibril </w:t>
      </w:r>
      <w:r w:rsidRPr="00AF65DB">
        <w:t>construct-containing medi</w:t>
      </w:r>
      <w:r>
        <w:t xml:space="preserve">a </w:t>
      </w:r>
      <w:r w:rsidRPr="00AF65DB">
        <w:t xml:space="preserve">in a staggered manner </w:t>
      </w:r>
      <w:r w:rsidRPr="00AF65DB">
        <w:rPr>
          <w:b/>
          <w:bCs/>
        </w:rPr>
        <w:t>[1]</w:t>
      </w:r>
      <w:r>
        <w:rPr>
          <w:b/>
          <w:bCs/>
        </w:rPr>
        <w:t xml:space="preserve"> </w:t>
      </w:r>
      <w:r w:rsidRPr="00AF65DB">
        <w:t xml:space="preserve">so that all wells </w:t>
      </w:r>
      <w:r>
        <w:t xml:space="preserve">are exposed for one hour and </w:t>
      </w:r>
      <w:r w:rsidRPr="00AF65DB">
        <w:t xml:space="preserve">are harvested simultaneously while differing only in the clearance time </w:t>
      </w:r>
      <w:r w:rsidRPr="00266B91">
        <w:rPr>
          <w:lang w:val="en-US"/>
        </w:rPr>
        <w:t>over a 5-hour timeline</w:t>
      </w:r>
      <w:r>
        <w:rPr>
          <w:lang w:val="en-US"/>
        </w:rPr>
        <w:t xml:space="preserve"> </w:t>
      </w:r>
      <w:r w:rsidRPr="00AF65DB">
        <w:rPr>
          <w:b/>
          <w:bCs/>
        </w:rPr>
        <w:t>[</w:t>
      </w:r>
      <w:r>
        <w:rPr>
          <w:b/>
          <w:bCs/>
        </w:rPr>
        <w:t>2</w:t>
      </w:r>
      <w:r w:rsidRPr="00AF65DB">
        <w:rPr>
          <w:b/>
          <w:bCs/>
        </w:rPr>
        <w:t>]</w:t>
      </w:r>
      <w:r w:rsidRPr="00AF65DB">
        <w:t xml:space="preserve">. Include wells that receive no tagged Tau construct treatment for background subtraction </w:t>
      </w:r>
      <w:r w:rsidRPr="00AF65DB">
        <w:rPr>
          <w:b/>
          <w:bCs/>
        </w:rPr>
        <w:t>[</w:t>
      </w:r>
      <w:r>
        <w:rPr>
          <w:b/>
          <w:bCs/>
        </w:rPr>
        <w:t>3</w:t>
      </w:r>
      <w:r w:rsidRPr="00AF65DB">
        <w:rPr>
          <w:b/>
          <w:bCs/>
        </w:rPr>
        <w:t>]</w:t>
      </w:r>
      <w:r w:rsidRPr="00AF65DB">
        <w:t>.</w:t>
      </w:r>
    </w:p>
    <w:p w14:paraId="2238C1BD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arranging the experimental groups for staggered treatment.</w:t>
      </w:r>
    </w:p>
    <w:p w14:paraId="766D4261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1B. </w:t>
      </w:r>
      <w:r w:rsidRPr="00605C71">
        <w:rPr>
          <w:i/>
          <w:iCs/>
          <w:color w:val="3333FF"/>
          <w:lang w:val="en-IN"/>
        </w:rPr>
        <w:t>Video Editor: Please emphasize the text “Tau-SLP Incubation (1h)” sequentially across 4h, 2h, 0h timepoints on the vertical axis.</w:t>
      </w:r>
    </w:p>
    <w:p w14:paraId="58987175" w14:textId="77777777" w:rsidR="00A272D1" w:rsidRPr="00605C7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1C. </w:t>
      </w:r>
      <w:r w:rsidRPr="00DB4F1D">
        <w:rPr>
          <w:i/>
          <w:iCs/>
          <w:color w:val="3333FF"/>
          <w:lang w:val="en-IN"/>
        </w:rPr>
        <w:t>Video Editor: Please emphasize the top row grey color wells.</w:t>
      </w:r>
    </w:p>
    <w:p w14:paraId="6B4576D5" w14:textId="77777777" w:rsidR="00A272D1" w:rsidRPr="00DC38DD" w:rsidRDefault="00A272D1" w:rsidP="00A272D1">
      <w:pPr>
        <w:pStyle w:val="TemplateNarration"/>
        <w:numPr>
          <w:ilvl w:val="1"/>
          <w:numId w:val="3"/>
        </w:numPr>
        <w:rPr>
          <w:lang w:val="en-IN"/>
        </w:rPr>
      </w:pPr>
      <w:r w:rsidRPr="00026984">
        <w:rPr>
          <w:color w:val="7030A0"/>
        </w:rPr>
        <w:lastRenderedPageBreak/>
        <w:t xml:space="preserve">Add 100 nanomolar Tau-SLP-containing medium to the 4-hour </w:t>
      </w:r>
      <w:r>
        <w:rPr>
          <w:color w:val="7030A0"/>
        </w:rPr>
        <w:t xml:space="preserve">clearance </w:t>
      </w:r>
      <w:r w:rsidRPr="00026984">
        <w:rPr>
          <w:color w:val="7030A0"/>
        </w:rPr>
        <w:t xml:space="preserve">group at </w:t>
      </w:r>
      <w:r>
        <w:rPr>
          <w:color w:val="7030A0"/>
        </w:rPr>
        <w:t>H</w:t>
      </w:r>
      <w:r w:rsidRPr="00026984">
        <w:rPr>
          <w:color w:val="7030A0"/>
        </w:rPr>
        <w:t xml:space="preserve">our 0 </w:t>
      </w:r>
      <w:r>
        <w:rPr>
          <w:color w:val="7030A0"/>
        </w:rPr>
        <w:t xml:space="preserve">of treatment initiation </w:t>
      </w:r>
      <w:r w:rsidRPr="00026984">
        <w:rPr>
          <w:b/>
          <w:bCs/>
          <w:color w:val="7030A0"/>
        </w:rPr>
        <w:t>[1]</w:t>
      </w:r>
      <w:r>
        <w:rPr>
          <w:color w:val="7030A0"/>
        </w:rPr>
        <w:t xml:space="preserve">. At the end of the 1-hour internalization period, wash the treated cells 3 times with PBS to remove the extracellular Tau-SLP </w:t>
      </w:r>
      <w:r w:rsidRPr="00DC38DD">
        <w:rPr>
          <w:b/>
          <w:bCs/>
          <w:color w:val="7030A0"/>
        </w:rPr>
        <w:t>[2]</w:t>
      </w:r>
      <w:r>
        <w:rPr>
          <w:color w:val="7030A0"/>
        </w:rPr>
        <w:t xml:space="preserve">. Then, add </w:t>
      </w:r>
      <w:r w:rsidRPr="00026984">
        <w:rPr>
          <w:color w:val="7030A0"/>
        </w:rPr>
        <w:t xml:space="preserve">Tau-SLP-free </w:t>
      </w:r>
      <w:r>
        <w:rPr>
          <w:color w:val="7030A0"/>
        </w:rPr>
        <w:t xml:space="preserve">culture </w:t>
      </w:r>
      <w:r w:rsidRPr="00026984">
        <w:rPr>
          <w:color w:val="7030A0"/>
        </w:rPr>
        <w:t xml:space="preserve">medium </w:t>
      </w:r>
      <w:r>
        <w:rPr>
          <w:color w:val="7030A0"/>
        </w:rPr>
        <w:t xml:space="preserve">and incubate up to the designated clearance period </w:t>
      </w:r>
      <w:r w:rsidRPr="00DC38DD">
        <w:rPr>
          <w:b/>
          <w:bCs/>
          <w:color w:val="7030A0"/>
        </w:rPr>
        <w:t>[3]</w:t>
      </w:r>
      <w:r w:rsidRPr="00026984">
        <w:rPr>
          <w:color w:val="7030A0"/>
        </w:rPr>
        <w:t xml:space="preserve">. Next, at </w:t>
      </w:r>
      <w:r>
        <w:rPr>
          <w:color w:val="7030A0"/>
        </w:rPr>
        <w:t>H</w:t>
      </w:r>
      <w:r w:rsidRPr="00026984">
        <w:rPr>
          <w:color w:val="7030A0"/>
        </w:rPr>
        <w:t>our 2,</w:t>
      </w:r>
      <w:r w:rsidRPr="00026984">
        <w:rPr>
          <w:b/>
          <w:bCs/>
          <w:color w:val="7030A0"/>
        </w:rPr>
        <w:t xml:space="preserve"> </w:t>
      </w:r>
      <w:r w:rsidRPr="00026984">
        <w:rPr>
          <w:color w:val="7030A0"/>
        </w:rPr>
        <w:t xml:space="preserve">add the construct-containing medium to the 2-hour </w:t>
      </w:r>
      <w:r>
        <w:rPr>
          <w:color w:val="7030A0"/>
        </w:rPr>
        <w:t xml:space="preserve">clearance </w:t>
      </w:r>
      <w:r w:rsidRPr="00026984">
        <w:rPr>
          <w:color w:val="7030A0"/>
        </w:rPr>
        <w:t xml:space="preserve">group, </w:t>
      </w:r>
      <w:r>
        <w:rPr>
          <w:color w:val="7030A0"/>
        </w:rPr>
        <w:t xml:space="preserve">then replace it with Tau-SLP-free medium at Hour 3, as previously demonstrated </w:t>
      </w:r>
      <w:r w:rsidRPr="00026984">
        <w:rPr>
          <w:b/>
          <w:bCs/>
          <w:color w:val="7030A0"/>
        </w:rPr>
        <w:t>[</w:t>
      </w:r>
      <w:r>
        <w:rPr>
          <w:b/>
          <w:bCs/>
          <w:color w:val="7030A0"/>
        </w:rPr>
        <w:t>4</w:t>
      </w:r>
      <w:r w:rsidRPr="00026984">
        <w:rPr>
          <w:b/>
          <w:bCs/>
          <w:color w:val="7030A0"/>
        </w:rPr>
        <w:t>]</w:t>
      </w:r>
      <w:r w:rsidRPr="00026984">
        <w:rPr>
          <w:color w:val="7030A0"/>
        </w:rPr>
        <w:t xml:space="preserve">. Finally, </w:t>
      </w:r>
      <w:r>
        <w:rPr>
          <w:color w:val="7030A0"/>
        </w:rPr>
        <w:t xml:space="preserve">at Hour 4, </w:t>
      </w:r>
      <w:r w:rsidRPr="00026984">
        <w:rPr>
          <w:color w:val="7030A0"/>
        </w:rPr>
        <w:t xml:space="preserve">add the construct-containing medium to the 0-hour </w:t>
      </w:r>
      <w:r>
        <w:rPr>
          <w:color w:val="7030A0"/>
        </w:rPr>
        <w:t xml:space="preserve">clearance </w:t>
      </w:r>
      <w:r w:rsidRPr="00026984">
        <w:rPr>
          <w:color w:val="7030A0"/>
        </w:rPr>
        <w:t>group</w:t>
      </w:r>
      <w:r>
        <w:rPr>
          <w:color w:val="7030A0"/>
        </w:rPr>
        <w:t xml:space="preserve"> and incubate for 1 hour </w:t>
      </w:r>
      <w:r w:rsidRPr="00DC38DD">
        <w:rPr>
          <w:color w:val="7030A0"/>
        </w:rPr>
        <w:t>prior to simultaneous harvest</w:t>
      </w:r>
      <w:r>
        <w:rPr>
          <w:color w:val="7030A0"/>
        </w:rPr>
        <w:t xml:space="preserve"> </w:t>
      </w:r>
      <w:r w:rsidRPr="00DC38DD">
        <w:rPr>
          <w:b/>
          <w:bCs/>
          <w:color w:val="7030A0"/>
        </w:rPr>
        <w:t>[5]</w:t>
      </w:r>
      <w:r>
        <w:rPr>
          <w:color w:val="7030A0"/>
        </w:rPr>
        <w:t xml:space="preserve">. </w:t>
      </w:r>
      <w:r w:rsidRPr="001805DB">
        <w:rPr>
          <w:highlight w:val="yellow"/>
        </w:rPr>
        <w:t>(</w:t>
      </w:r>
      <w:r w:rsidRPr="001805DB">
        <w:rPr>
          <w:b/>
          <w:bCs/>
          <w:highlight w:val="yellow"/>
        </w:rPr>
        <w:t>Authors:</w:t>
      </w:r>
      <w:r w:rsidRPr="001805DB">
        <w:rPr>
          <w:highlight w:val="yellow"/>
        </w:rPr>
        <w:t xml:space="preserve"> We have modified th</w:t>
      </w:r>
      <w:r>
        <w:rPr>
          <w:highlight w:val="yellow"/>
        </w:rPr>
        <w:t>is</w:t>
      </w:r>
      <w:r w:rsidRPr="001805DB">
        <w:rPr>
          <w:highlight w:val="yellow"/>
        </w:rPr>
        <w:t xml:space="preserve"> treatment narration to match </w:t>
      </w:r>
      <w:r>
        <w:rPr>
          <w:highlight w:val="yellow"/>
        </w:rPr>
        <w:t>Figure B</w:t>
      </w:r>
      <w:r w:rsidRPr="001805DB">
        <w:rPr>
          <w:highlight w:val="yellow"/>
        </w:rPr>
        <w:t>. Please suggest if this is appropriate</w:t>
      </w:r>
      <w:r w:rsidRPr="00DC38DD">
        <w:rPr>
          <w:highlight w:val="yellow"/>
        </w:rPr>
        <w:t>.)</w:t>
      </w:r>
    </w:p>
    <w:p w14:paraId="62ECC7B5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 xml:space="preserve">Talent adding the tagged Tau construct-containing medium to the </w:t>
      </w:r>
      <w:r>
        <w:rPr>
          <w:lang w:val="en-IN"/>
        </w:rPr>
        <w:t>4-hour</w:t>
      </w:r>
      <w:r w:rsidRPr="00AF65DB">
        <w:rPr>
          <w:lang w:val="en-IN"/>
        </w:rPr>
        <w:t xml:space="preserve"> </w:t>
      </w:r>
      <w:r>
        <w:rPr>
          <w:lang w:val="en-IN"/>
        </w:rPr>
        <w:t xml:space="preserve">clearance </w:t>
      </w:r>
      <w:r w:rsidRPr="00AF65DB">
        <w:rPr>
          <w:lang w:val="en-IN"/>
        </w:rPr>
        <w:t>group.</w:t>
      </w:r>
    </w:p>
    <w:p w14:paraId="30B64E2F" w14:textId="77777777" w:rsidR="00A272D1" w:rsidRPr="00DC38DD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 xml:space="preserve">Talent washing the cells with </w:t>
      </w:r>
      <w:r>
        <w:rPr>
          <w:lang w:val="en-IN"/>
        </w:rPr>
        <w:t>PBS</w:t>
      </w:r>
      <w:r w:rsidRPr="00AF65DB">
        <w:rPr>
          <w:lang w:val="en-IN"/>
        </w:rPr>
        <w:t>.</w:t>
      </w:r>
    </w:p>
    <w:p w14:paraId="5CE23C56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replacing the Tau-SLP media with fresh media.</w:t>
      </w:r>
    </w:p>
    <w:p w14:paraId="6E319238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 xml:space="preserve">Talent adding the tagged Tau construct-containing medium to the </w:t>
      </w:r>
      <w:r>
        <w:rPr>
          <w:lang w:val="en-IN"/>
        </w:rPr>
        <w:t>2-hour clearance</w:t>
      </w:r>
      <w:r w:rsidRPr="00AF65DB">
        <w:rPr>
          <w:lang w:val="en-IN"/>
        </w:rPr>
        <w:t xml:space="preserve"> group.</w:t>
      </w:r>
    </w:p>
    <w:p w14:paraId="7EC36C85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 xml:space="preserve">Talent </w:t>
      </w:r>
      <w:r>
        <w:rPr>
          <w:lang w:val="en-IN"/>
        </w:rPr>
        <w:t>placing the treated plate in the incubator</w:t>
      </w:r>
      <w:r w:rsidRPr="00AF65DB">
        <w:rPr>
          <w:lang w:val="en-IN"/>
        </w:rPr>
        <w:t>.</w:t>
      </w:r>
    </w:p>
    <w:p w14:paraId="2A272606" w14:textId="77777777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Following all clearance time points, remove the medium from each well </w:t>
      </w:r>
      <w:r w:rsidRPr="00AF65DB">
        <w:rPr>
          <w:b/>
          <w:bCs/>
        </w:rPr>
        <w:t>[1]</w:t>
      </w:r>
      <w:r w:rsidRPr="00AF65DB">
        <w:t xml:space="preserve"> and wash each well with 250 microliters of </w:t>
      </w:r>
      <w:r>
        <w:t>PBS</w:t>
      </w:r>
      <w:r w:rsidRPr="00AF65DB">
        <w:t xml:space="preserve"> </w:t>
      </w:r>
      <w:r w:rsidRPr="00AF65DB">
        <w:rPr>
          <w:b/>
          <w:bCs/>
        </w:rPr>
        <w:t>[2]</w:t>
      </w:r>
      <w:r w:rsidRPr="00AF65DB">
        <w:t>.</w:t>
      </w:r>
    </w:p>
    <w:p w14:paraId="3AEA89D3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aspirating the medium from the wells.</w:t>
      </w:r>
    </w:p>
    <w:p w14:paraId="52B62EBB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washing the wells with phosphate-buffered saline.</w:t>
      </w:r>
    </w:p>
    <w:p w14:paraId="322B95EC" w14:textId="77777777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Treat each well with 250 microliters of 0.25 percent Trypsin-ethylenediaminetetraacetic acid for 5 minutes at 37 degrees Celsius </w:t>
      </w:r>
      <w:r w:rsidRPr="00AF65DB">
        <w:rPr>
          <w:b/>
          <w:bCs/>
        </w:rPr>
        <w:t>[1]</w:t>
      </w:r>
      <w:r w:rsidRPr="00AF65DB">
        <w:t xml:space="preserve">. Neutralize each well with 250 microliters of trypsin inhibitor at 5 milligrams per milliliter </w:t>
      </w:r>
      <w:r w:rsidRPr="00AF65DB">
        <w:rPr>
          <w:b/>
          <w:bCs/>
        </w:rPr>
        <w:t>[2]</w:t>
      </w:r>
      <w:r w:rsidRPr="00AF65DB">
        <w:t>.</w:t>
      </w:r>
    </w:p>
    <w:p w14:paraId="4D235E58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adding Trypsin-ethylenediaminetetraacetic acid to the wells.</w:t>
      </w:r>
    </w:p>
    <w:p w14:paraId="60E7271D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adding the trypsin inhibitor to each well.</w:t>
      </w:r>
    </w:p>
    <w:p w14:paraId="1ED478E0" w14:textId="77777777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Collect the contents of each well into an appropriately labeled 1.5 milliliter microcentrifuge tube </w:t>
      </w:r>
      <w:r w:rsidRPr="00AF65DB">
        <w:rPr>
          <w:b/>
          <w:bCs/>
        </w:rPr>
        <w:t>[1]</w:t>
      </w:r>
      <w:r w:rsidRPr="00AF65DB">
        <w:t xml:space="preserve">. Pellet the cells by centrifugation at 500 </w:t>
      </w:r>
      <w:r w:rsidRPr="000E17AB">
        <w:rPr>
          <w:i/>
          <w:iCs/>
        </w:rPr>
        <w:t>g</w:t>
      </w:r>
      <w:r w:rsidRPr="00AF65DB">
        <w:t xml:space="preserve"> for 5 minutes </w:t>
      </w:r>
      <w:r w:rsidRPr="00AF65DB">
        <w:rPr>
          <w:b/>
          <w:bCs/>
        </w:rPr>
        <w:t>[2]</w:t>
      </w:r>
      <w:r w:rsidRPr="00AF65DB">
        <w:t>.</w:t>
      </w:r>
    </w:p>
    <w:p w14:paraId="582DEE15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transferring each sample into a labeled microcentrifuge tube.</w:t>
      </w:r>
    </w:p>
    <w:p w14:paraId="75138B1F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placing the tubes into the centrifuge.</w:t>
      </w:r>
    </w:p>
    <w:p w14:paraId="09CD08E5" w14:textId="77777777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Prepare a sufficient volume of lysis buffer containing the luciferase substrate and complementation components using 50 microliters per well plus 10 percent excess </w:t>
      </w:r>
      <w:r w:rsidRPr="00AF65DB">
        <w:rPr>
          <w:b/>
          <w:bCs/>
        </w:rPr>
        <w:t>[1]</w:t>
      </w:r>
      <w:r w:rsidRPr="00AF65DB">
        <w:t xml:space="preserve">. </w:t>
      </w:r>
      <w:r>
        <w:t>Use an aspirating pipette to r</w:t>
      </w:r>
      <w:r w:rsidRPr="00AF65DB">
        <w:t xml:space="preserve">emove the supernatant </w:t>
      </w:r>
      <w:r w:rsidRPr="00AF65DB">
        <w:rPr>
          <w:b/>
          <w:bCs/>
        </w:rPr>
        <w:t>[2]</w:t>
      </w:r>
      <w:r>
        <w:t>.</w:t>
      </w:r>
      <w:r w:rsidRPr="00AF65DB">
        <w:t xml:space="preserve"> </w:t>
      </w:r>
      <w:r>
        <w:t>R</w:t>
      </w:r>
      <w:r w:rsidRPr="00AF65DB">
        <w:t xml:space="preserve">esuspend the cell pellet in 50 microliters of the prepared lysis buffer </w:t>
      </w:r>
      <w:r w:rsidRPr="008A3856">
        <w:t xml:space="preserve">to </w:t>
      </w:r>
      <w:r>
        <w:t>produce</w:t>
      </w:r>
      <w:r w:rsidRPr="00AF65DB">
        <w:t xml:space="preserve"> the split-luciferase complementation complex t</w:t>
      </w:r>
      <w:r>
        <w:t>hat</w:t>
      </w:r>
      <w:r w:rsidRPr="00AF65DB">
        <w:t xml:space="preserve"> </w:t>
      </w:r>
      <w:r>
        <w:t>generates</w:t>
      </w:r>
      <w:r w:rsidRPr="00AF65DB">
        <w:t xml:space="preserve"> luminescence </w:t>
      </w:r>
      <w:r w:rsidRPr="00AF65DB">
        <w:rPr>
          <w:b/>
          <w:bCs/>
        </w:rPr>
        <w:t>[</w:t>
      </w:r>
      <w:r>
        <w:rPr>
          <w:b/>
          <w:bCs/>
        </w:rPr>
        <w:t>3</w:t>
      </w:r>
      <w:r w:rsidRPr="00AF65DB">
        <w:rPr>
          <w:b/>
          <w:bCs/>
        </w:rPr>
        <w:t>]</w:t>
      </w:r>
      <w:r w:rsidRPr="00AF65DB">
        <w:t>.</w:t>
      </w:r>
    </w:p>
    <w:p w14:paraId="19DAEA92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preparing the lysis buffer.</w:t>
      </w:r>
      <w:r>
        <w:rPr>
          <w:lang w:val="en-IN"/>
        </w:rPr>
        <w:t xml:space="preserve"> </w:t>
      </w:r>
      <w:r w:rsidRPr="000E17AB">
        <w:rPr>
          <w:highlight w:val="yellow"/>
          <w:lang w:val="en-IN"/>
        </w:rPr>
        <w:t>(</w:t>
      </w:r>
      <w:r w:rsidRPr="000E17AB">
        <w:rPr>
          <w:b/>
          <w:bCs/>
          <w:highlight w:val="yellow"/>
          <w:lang w:val="en-IN"/>
        </w:rPr>
        <w:t>Authors:</w:t>
      </w:r>
      <w:r w:rsidRPr="000E17AB">
        <w:rPr>
          <w:highlight w:val="yellow"/>
          <w:lang w:val="en-IN"/>
        </w:rPr>
        <w:t xml:space="preserve"> Please specify the exact volume of lysis buffer that will be prepared for this demonstration?)</w:t>
      </w:r>
    </w:p>
    <w:p w14:paraId="7E65B169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lastRenderedPageBreak/>
        <w:t>Talent removing the supernatant with an aspirating pipette.</w:t>
      </w:r>
    </w:p>
    <w:p w14:paraId="1E540933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resuspending the cell pellet in the lysis buffer.</w:t>
      </w:r>
      <w:r>
        <w:rPr>
          <w:lang w:val="en-IN"/>
        </w:rPr>
        <w:t xml:space="preserve"> </w:t>
      </w:r>
      <w:r w:rsidRPr="00CA61D2">
        <w:rPr>
          <w:highlight w:val="yellow"/>
          <w:lang w:val="en-IN"/>
        </w:rPr>
        <w:t>(</w:t>
      </w:r>
      <w:r w:rsidRPr="00CA61D2">
        <w:rPr>
          <w:b/>
          <w:bCs/>
          <w:highlight w:val="yellow"/>
          <w:lang w:val="en-IN"/>
        </w:rPr>
        <w:t>Authors:</w:t>
      </w:r>
      <w:r w:rsidRPr="00CA61D2">
        <w:rPr>
          <w:highlight w:val="yellow"/>
          <w:lang w:val="en-IN"/>
        </w:rPr>
        <w:t xml:space="preserve"> </w:t>
      </w:r>
      <w:r w:rsidRPr="00CA61D2">
        <w:rPr>
          <w:highlight w:val="yellow"/>
        </w:rPr>
        <w:t>Please state the specific incubation time, temperature, and environmental conditions (e.g., light-sensitive/dark) required during the lysis step.)</w:t>
      </w:r>
    </w:p>
    <w:p w14:paraId="18F1AD57" w14:textId="77777777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Transfer the lysed cells to a white half-volume 96-well plate </w:t>
      </w:r>
      <w:r w:rsidRPr="00AF65DB">
        <w:rPr>
          <w:b/>
          <w:bCs/>
        </w:rPr>
        <w:t>[1]</w:t>
      </w:r>
      <w:r w:rsidRPr="00AF65DB">
        <w:t>.</w:t>
      </w:r>
      <w:r>
        <w:t xml:space="preserve"> </w:t>
      </w:r>
      <w:r w:rsidRPr="00AF65DB">
        <w:t xml:space="preserve">Read the luminescence on a microplate reader after orbital shaking for 10 seconds at room temperature of approximately 23 degrees Celsius </w:t>
      </w:r>
      <w:r w:rsidRPr="00AF65DB">
        <w:rPr>
          <w:b/>
          <w:bCs/>
        </w:rPr>
        <w:t>[</w:t>
      </w:r>
      <w:r>
        <w:rPr>
          <w:b/>
          <w:bCs/>
        </w:rPr>
        <w:t>2</w:t>
      </w:r>
      <w:r w:rsidRPr="00AF65DB">
        <w:rPr>
          <w:b/>
          <w:bCs/>
        </w:rPr>
        <w:t>]</w:t>
      </w:r>
      <w:r w:rsidRPr="00AF65DB">
        <w:t>.</w:t>
      </w:r>
    </w:p>
    <w:p w14:paraId="0A93A4D8" w14:textId="77777777" w:rsidR="00A272D1" w:rsidRPr="00FA3A6E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transferring the lysed cells into the white half-volume 96-well plate.</w:t>
      </w:r>
    </w:p>
    <w:p w14:paraId="5D27BBD2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placing the plate into the microplate reader.</w:t>
      </w:r>
    </w:p>
    <w:p w14:paraId="585D60D2" w14:textId="77777777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Determine the normalized </w:t>
      </w:r>
      <w:r>
        <w:t>Tau-SLP</w:t>
      </w:r>
      <w:r w:rsidRPr="00AF65DB">
        <w:t xml:space="preserve"> abundance by subtracting the mean luminescence value obtained from untreated wells </w:t>
      </w:r>
      <w:r w:rsidRPr="00AF65DB">
        <w:rPr>
          <w:b/>
          <w:bCs/>
        </w:rPr>
        <w:t>[1]</w:t>
      </w:r>
      <w:r w:rsidRPr="00AF65DB">
        <w:t xml:space="preserve">. Normalize each value to the mean background-subtracted signal of the </w:t>
      </w:r>
      <w:r>
        <w:t>0-hour</w:t>
      </w:r>
      <w:r w:rsidRPr="00AF65DB">
        <w:t xml:space="preserve"> clearance group </w:t>
      </w:r>
      <w:r w:rsidRPr="00AF65DB">
        <w:rPr>
          <w:b/>
          <w:bCs/>
        </w:rPr>
        <w:t>[2]</w:t>
      </w:r>
      <w:r w:rsidRPr="00AF65DB">
        <w:t>.</w:t>
      </w:r>
    </w:p>
    <w:p w14:paraId="115849F5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FA3A6E">
        <w:rPr>
          <w:highlight w:val="yellow"/>
          <w:lang w:val="en-IN"/>
        </w:rPr>
        <w:t>SCREEN:</w:t>
      </w:r>
      <w:r w:rsidRPr="00AF65DB">
        <w:rPr>
          <w:lang w:val="en-IN"/>
        </w:rPr>
        <w:t xml:space="preserve"> Luminescence values being entered into the analysis software. Background values </w:t>
      </w:r>
      <w:r>
        <w:rPr>
          <w:lang w:val="en-IN"/>
        </w:rPr>
        <w:t xml:space="preserve">are </w:t>
      </w:r>
      <w:r w:rsidRPr="00AF65DB">
        <w:rPr>
          <w:lang w:val="en-IN"/>
        </w:rPr>
        <w:t>being subtracted.</w:t>
      </w:r>
    </w:p>
    <w:p w14:paraId="031A048A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FA3A6E">
        <w:rPr>
          <w:highlight w:val="yellow"/>
          <w:lang w:val="en-IN"/>
        </w:rPr>
        <w:t>SCREEN:</w:t>
      </w:r>
      <w:r w:rsidRPr="00AF65DB">
        <w:rPr>
          <w:lang w:val="en-IN"/>
        </w:rPr>
        <w:t xml:space="preserve"> Normalized values being calculated relative to the </w:t>
      </w:r>
      <w:r>
        <w:rPr>
          <w:lang w:val="en-IN"/>
        </w:rPr>
        <w:t>0-hour</w:t>
      </w:r>
      <w:r w:rsidRPr="00AF65DB">
        <w:rPr>
          <w:lang w:val="en-IN"/>
        </w:rPr>
        <w:t xml:space="preserve"> clearance group.</w:t>
      </w:r>
    </w:p>
    <w:p w14:paraId="182CCF05" w14:textId="77777777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Plot the normalized </w:t>
      </w:r>
      <w:r>
        <w:t>Tau-SLP</w:t>
      </w:r>
      <w:r w:rsidRPr="00AF65DB">
        <w:t xml:space="preserve"> abundance as a function of the clearance time </w:t>
      </w:r>
      <w:r w:rsidRPr="00AF65DB">
        <w:rPr>
          <w:b/>
          <w:bCs/>
        </w:rPr>
        <w:t>[1]</w:t>
      </w:r>
      <w:r w:rsidRPr="00AF65DB">
        <w:t>. Interpret a progressive reduction in luminescence as</w:t>
      </w:r>
      <w:r>
        <w:t xml:space="preserve"> Tau-SLP clearance</w:t>
      </w:r>
      <w:r w:rsidRPr="00AF65DB">
        <w:t xml:space="preserve"> and stable luminescence values as impaired or delayed clearance </w:t>
      </w:r>
      <w:r w:rsidRPr="00AF65DB">
        <w:rPr>
          <w:b/>
          <w:bCs/>
        </w:rPr>
        <w:t>[2]</w:t>
      </w:r>
      <w:r w:rsidRPr="00AF65DB">
        <w:t xml:space="preserve">. </w:t>
      </w:r>
      <w:r>
        <w:t>Then, c</w:t>
      </w:r>
      <w:r w:rsidRPr="00AF65DB">
        <w:t xml:space="preserve">alculate the </w:t>
      </w:r>
      <w:r>
        <w:t xml:space="preserve">Tau-SLP </w:t>
      </w:r>
      <w:r w:rsidRPr="00AF65DB">
        <w:t xml:space="preserve">percentage clearance </w:t>
      </w:r>
      <w:r w:rsidRPr="00AF65DB">
        <w:rPr>
          <w:b/>
          <w:bCs/>
        </w:rPr>
        <w:t>[3]</w:t>
      </w:r>
      <w:r w:rsidRPr="00AF65DB">
        <w:t>.</w:t>
      </w:r>
    </w:p>
    <w:p w14:paraId="0A0E9EBB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FA3A6E">
        <w:rPr>
          <w:highlight w:val="yellow"/>
          <w:lang w:val="en-IN"/>
        </w:rPr>
        <w:t>SCREEN:</w:t>
      </w:r>
      <w:r w:rsidRPr="00AF65DB">
        <w:rPr>
          <w:lang w:val="en-IN"/>
        </w:rPr>
        <w:t xml:space="preserve"> Normalized luminescence values being plotted against the clearance time.</w:t>
      </w:r>
    </w:p>
    <w:p w14:paraId="6DEC20FB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FA3A6E">
        <w:rPr>
          <w:highlight w:val="yellow"/>
          <w:lang w:val="en-IN"/>
        </w:rPr>
        <w:t>SCREEN:</w:t>
      </w:r>
      <w:r w:rsidRPr="00AF65DB">
        <w:rPr>
          <w:lang w:val="en-IN"/>
        </w:rPr>
        <w:t xml:space="preserve"> The plotted data being interpreted based on the luminescence trend.</w:t>
      </w:r>
    </w:p>
    <w:p w14:paraId="16BA2E1A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FA3A6E">
        <w:rPr>
          <w:highlight w:val="yellow"/>
          <w:lang w:val="en-IN"/>
        </w:rPr>
        <w:t>SCREEN:</w:t>
      </w:r>
      <w:r w:rsidRPr="00AF65DB">
        <w:rPr>
          <w:lang w:val="en-IN"/>
        </w:rPr>
        <w:t xml:space="preserve"> Percentage clearance being calculated using the equation.</w:t>
      </w:r>
    </w:p>
    <w:p w14:paraId="09689C4F" w14:textId="2D0D846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D9854A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61546">
        <w:rPr>
          <w:rFonts w:eastAsia="Times New Roman" w:cstheme="minorHAnsi"/>
          <w:bCs/>
        </w:rPr>
        <w:t>137.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ACCA577" w14:textId="7677C019" w:rsidR="00A272D1" w:rsidRDefault="00A272D1" w:rsidP="00A272D1">
      <w:pPr>
        <w:pStyle w:val="TemplateNarration"/>
        <w:numPr>
          <w:ilvl w:val="1"/>
          <w:numId w:val="3"/>
        </w:numPr>
        <w:rPr>
          <w:lang w:val="en-IN"/>
        </w:rPr>
      </w:pPr>
      <w:r w:rsidRPr="000B290E">
        <w:rPr>
          <w:color w:val="7030A0"/>
          <w:lang w:val="en-IN"/>
        </w:rPr>
        <w:t xml:space="preserve">Monomeric Tau-SLP conjugates were completely cleared in iTF-Microglia within 60 minutes </w:t>
      </w:r>
      <w:r w:rsidRPr="000B290E">
        <w:rPr>
          <w:b/>
          <w:bCs/>
          <w:color w:val="7030A0"/>
          <w:lang w:val="en-IN"/>
        </w:rPr>
        <w:t>[1]</w:t>
      </w:r>
      <w:r w:rsidRPr="000B290E">
        <w:rPr>
          <w:color w:val="7030A0"/>
          <w:lang w:val="en-IN"/>
        </w:rPr>
        <w:t xml:space="preserve">, while fibrillar Tau-SLP conjugates persisted over 240 minutes, indicating the sensitivity of the luminescence-based assay to detect differences in handling of Tau-SLP species by microglia </w:t>
      </w:r>
      <w:r w:rsidRPr="000B290E">
        <w:rPr>
          <w:b/>
          <w:bCs/>
          <w:color w:val="7030A0"/>
          <w:lang w:val="en-IN"/>
        </w:rPr>
        <w:t>[2]</w:t>
      </w:r>
      <w:r w:rsidRPr="000B290E">
        <w:rPr>
          <w:color w:val="7030A0"/>
          <w:lang w:val="en-IN"/>
        </w:rPr>
        <w:t>.</w:t>
      </w:r>
      <w:r>
        <w:rPr>
          <w:lang w:val="en-IN"/>
        </w:rPr>
        <w:t xml:space="preserve"> </w:t>
      </w:r>
      <w:r w:rsidRPr="00CA0F72">
        <w:rPr>
          <w:lang w:val="en-IN"/>
        </w:rPr>
        <w:t xml:space="preserve"> </w:t>
      </w:r>
    </w:p>
    <w:p w14:paraId="37F475BC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2A. </w:t>
      </w:r>
      <w:r w:rsidRPr="000B290E">
        <w:rPr>
          <w:i/>
          <w:iCs/>
          <w:color w:val="3333FF"/>
          <w:lang w:val="en-IN"/>
        </w:rPr>
        <w:t>Video Editor: Please emphasize the blue line ending at X-axis value 60.</w:t>
      </w:r>
    </w:p>
    <w:p w14:paraId="38558D48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2A. </w:t>
      </w:r>
      <w:r w:rsidRPr="000B290E">
        <w:rPr>
          <w:i/>
          <w:iCs/>
          <w:color w:val="3333FF"/>
          <w:lang w:val="en-IN"/>
        </w:rPr>
        <w:t>Video Editor: Please emphasize the red line ending at X-axis value 240.</w:t>
      </w:r>
    </w:p>
    <w:p w14:paraId="4519D0C8" w14:textId="77777777" w:rsidR="00A272D1" w:rsidRDefault="00A272D1" w:rsidP="00A272D1">
      <w:pPr>
        <w:pStyle w:val="TemplateNarration"/>
        <w:numPr>
          <w:ilvl w:val="1"/>
          <w:numId w:val="3"/>
        </w:numPr>
        <w:rPr>
          <w:lang w:val="en-IN"/>
        </w:rPr>
      </w:pPr>
      <w:r w:rsidRPr="000B290E">
        <w:rPr>
          <w:color w:val="7030A0"/>
          <w:lang w:val="en-IN"/>
        </w:rPr>
        <w:t xml:space="preserve">Additional assessment by comparing the clearance of monomeric Tau-SLP conjugate against a mutant tau-SLP conjugate showed significantly reduced clearance kinetics of mutant Tau-SLP at only short clearance time points of 15 minutes </w:t>
      </w:r>
      <w:r w:rsidRPr="000B290E">
        <w:rPr>
          <w:b/>
          <w:bCs/>
          <w:color w:val="7030A0"/>
          <w:lang w:val="en-IN"/>
        </w:rPr>
        <w:t>[1]</w:t>
      </w:r>
      <w:r w:rsidRPr="000B290E">
        <w:rPr>
          <w:color w:val="7030A0"/>
          <w:lang w:val="en-IN"/>
        </w:rPr>
        <w:t>.</w:t>
      </w:r>
    </w:p>
    <w:p w14:paraId="0A6B6964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2B. </w:t>
      </w:r>
      <w:r w:rsidRPr="000B290E">
        <w:rPr>
          <w:i/>
          <w:iCs/>
          <w:color w:val="3333FF"/>
          <w:lang w:val="en-IN"/>
        </w:rPr>
        <w:t>Video Editor: Please emphasize the height of the green bar compared to the blue bar at X-axis values t=15m</w:t>
      </w:r>
      <w:r w:rsidRPr="000B290E">
        <w:rPr>
          <w:color w:val="3333FF"/>
          <w:lang w:val="en-IN"/>
        </w:rPr>
        <w:t xml:space="preserve"> </w:t>
      </w:r>
    </w:p>
    <w:p w14:paraId="55B6E7E9" w14:textId="77777777" w:rsidR="00A272D1" w:rsidRDefault="00A272D1" w:rsidP="00A272D1">
      <w:pPr>
        <w:pStyle w:val="TemplateNarration"/>
        <w:numPr>
          <w:ilvl w:val="1"/>
          <w:numId w:val="3"/>
        </w:numPr>
        <w:rPr>
          <w:lang w:val="en-IN"/>
        </w:rPr>
      </w:pPr>
      <w:r w:rsidRPr="000B290E">
        <w:rPr>
          <w:color w:val="7030A0"/>
          <w:lang w:val="en-IN"/>
        </w:rPr>
        <w:t xml:space="preserve">Cross-validation of Tau-SLP clearance using lysosomal disruptor, L-Leucyl-L-Leucine methyl ester showed significantly increased steady state levels of Tau-SLP at zero-minute clearance time </w:t>
      </w:r>
      <w:r w:rsidRPr="000B290E">
        <w:rPr>
          <w:b/>
          <w:bCs/>
          <w:color w:val="7030A0"/>
          <w:lang w:val="en-IN"/>
        </w:rPr>
        <w:t>[1]</w:t>
      </w:r>
      <w:r w:rsidRPr="000B290E">
        <w:rPr>
          <w:color w:val="7030A0"/>
          <w:lang w:val="en-IN"/>
        </w:rPr>
        <w:t xml:space="preserve">, alongside a significantly reduced rate of degradation, characterized by a 4-fold increase in Tau-SLP remaining after a 60-minute clearance window </w:t>
      </w:r>
      <w:r w:rsidRPr="000B290E">
        <w:rPr>
          <w:b/>
          <w:bCs/>
          <w:color w:val="7030A0"/>
          <w:lang w:val="en-IN"/>
        </w:rPr>
        <w:t>[2]</w:t>
      </w:r>
      <w:r w:rsidRPr="000B290E">
        <w:rPr>
          <w:color w:val="7030A0"/>
          <w:lang w:val="en-IN"/>
        </w:rPr>
        <w:t>.</w:t>
      </w:r>
    </w:p>
    <w:p w14:paraId="64EBB387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Pr="000B290E">
        <w:rPr>
          <w:i/>
          <w:iCs/>
          <w:color w:val="3333FF"/>
          <w:lang w:val="en-IN"/>
        </w:rPr>
        <w:t>Video Editor: Please emphasize the height of violet color bar against the blue bar.</w:t>
      </w:r>
    </w:p>
    <w:p w14:paraId="415332BC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3B. </w:t>
      </w:r>
      <w:r w:rsidRPr="000B290E">
        <w:rPr>
          <w:i/>
          <w:iCs/>
          <w:color w:val="3333FF"/>
          <w:lang w:val="en-IN"/>
        </w:rPr>
        <w:t>Video Editor: Please emphasize the heights of blue and violet bars at t=60m X-axis value.</w:t>
      </w:r>
    </w:p>
    <w:p w14:paraId="2FCE3755" w14:textId="77777777" w:rsidR="00A272D1" w:rsidRDefault="00A272D1" w:rsidP="00A272D1">
      <w:pPr>
        <w:pStyle w:val="TemplateNarration"/>
        <w:numPr>
          <w:ilvl w:val="1"/>
          <w:numId w:val="3"/>
        </w:numPr>
        <w:rPr>
          <w:lang w:val="en-IN"/>
        </w:rPr>
      </w:pPr>
      <w:r w:rsidRPr="000B290E">
        <w:rPr>
          <w:color w:val="7030A0"/>
        </w:rPr>
        <w:t xml:space="preserve">Comparison of Tau-SLP clearance between iPSC-derived neurons and microglia revealed reduced clearance kinetics for both monomeric </w:t>
      </w:r>
      <w:r w:rsidRPr="000B290E">
        <w:rPr>
          <w:b/>
          <w:bCs/>
          <w:color w:val="7030A0"/>
        </w:rPr>
        <w:t>[1]</w:t>
      </w:r>
      <w:r w:rsidRPr="000B290E">
        <w:rPr>
          <w:color w:val="7030A0"/>
        </w:rPr>
        <w:t xml:space="preserve"> and fibrillar Tau-SLP conjugates in neuronal cells </w:t>
      </w:r>
      <w:r w:rsidRPr="000B290E">
        <w:rPr>
          <w:b/>
          <w:bCs/>
          <w:color w:val="7030A0"/>
        </w:rPr>
        <w:t>[2]</w:t>
      </w:r>
      <w:r w:rsidRPr="000B290E">
        <w:rPr>
          <w:color w:val="7030A0"/>
          <w:lang w:val="en-IN"/>
        </w:rPr>
        <w:t>.</w:t>
      </w:r>
    </w:p>
    <w:p w14:paraId="152D73F9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LAB MEDIA: Figure 4A. </w:t>
      </w:r>
      <w:r w:rsidRPr="000B290E">
        <w:rPr>
          <w:i/>
          <w:iCs/>
          <w:color w:val="3333FF"/>
          <w:lang w:val="en-IN"/>
        </w:rPr>
        <w:t>Video Editor: Please emphasize the height of the violet line at X-axis values 30 and 60 corresponding to the blue line.</w:t>
      </w:r>
    </w:p>
    <w:p w14:paraId="2A0085A3" w14:textId="0BC6E4DD" w:rsidR="00495959" w:rsidRPr="00B07A3B" w:rsidRDefault="00A272D1" w:rsidP="00A272D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 Figure 4B. </w:t>
      </w:r>
      <w:r w:rsidRPr="000B290E">
        <w:rPr>
          <w:i/>
          <w:iCs/>
          <w:color w:val="3333FF"/>
          <w:lang w:val="en-IN"/>
        </w:rPr>
        <w:t>Video Editor: Please emphasize the height of the red line at X-axis values 120 and 240 corresponding to the pink line.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DD966" w14:textId="77777777" w:rsidR="00D00773" w:rsidRDefault="00D00773">
      <w:r>
        <w:separator/>
      </w:r>
    </w:p>
    <w:p w14:paraId="7EE9FD5C" w14:textId="77777777" w:rsidR="00D00773" w:rsidRDefault="00D00773"/>
  </w:endnote>
  <w:endnote w:type="continuationSeparator" w:id="0">
    <w:p w14:paraId="167B72C5" w14:textId="77777777" w:rsidR="00D00773" w:rsidRDefault="00D00773">
      <w:r>
        <w:continuationSeparator/>
      </w:r>
    </w:p>
    <w:p w14:paraId="18EEB9D3" w14:textId="77777777" w:rsidR="00D00773" w:rsidRDefault="00D007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E1C271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272D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329BB" w14:textId="77777777" w:rsidR="00D00773" w:rsidRDefault="00D00773">
      <w:r>
        <w:separator/>
      </w:r>
    </w:p>
    <w:p w14:paraId="6664D1CF" w14:textId="77777777" w:rsidR="00D00773" w:rsidRDefault="00D00773"/>
  </w:footnote>
  <w:footnote w:type="continuationSeparator" w:id="0">
    <w:p w14:paraId="41D2132E" w14:textId="77777777" w:rsidR="00D00773" w:rsidRDefault="00D00773">
      <w:r>
        <w:continuationSeparator/>
      </w:r>
    </w:p>
    <w:p w14:paraId="3336B0A4" w14:textId="77777777" w:rsidR="00D00773" w:rsidRDefault="00D007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96626532">
    <w:abstractNumId w:val="17"/>
  </w:num>
  <w:num w:numId="46" w16cid:durableId="1135486543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FE2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1546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DDE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72D1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773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272D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272D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272D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272D1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A272D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A272D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A272D1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A272D1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20398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85DDE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474F0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11</Pages>
  <Words>2624</Words>
  <Characters>14542</Characters>
  <Application>Microsoft Office Word</Application>
  <DocSecurity>0</DocSecurity>
  <Lines>274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67</cp:revision>
  <dcterms:created xsi:type="dcterms:W3CDTF">2025-01-20T00:16:00Z</dcterms:created>
  <dcterms:modified xsi:type="dcterms:W3CDTF">2026-06-26T18:22:00Z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