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14A86E">
      <w:pPr>
        <w:rPr>
          <w:rFonts w:ascii="Calibri" w:hAnsi="Calibri" w:cs="Calibri"/>
          <w:b/>
          <w:bCs/>
          <w:sz w:val="24"/>
          <w:szCs w:val="24"/>
          <w:lang w:eastAsia="en-US"/>
        </w:rPr>
      </w:pPr>
      <w:r>
        <w:rPr>
          <w:rFonts w:ascii="Calibri" w:hAnsi="Calibri" w:cs="Calibri"/>
          <w:b/>
          <w:bCs/>
          <w:sz w:val="24"/>
          <w:szCs w:val="24"/>
          <w:lang w:eastAsia="en-US"/>
        </w:rPr>
        <w:t xml:space="preserve">TITLE: </w:t>
      </w:r>
    </w:p>
    <w:p w14:paraId="133B4FB9">
      <w:pPr>
        <w:rPr>
          <w:rFonts w:ascii="Calibri" w:hAnsi="Calibri" w:cs="Calibri"/>
          <w:sz w:val="24"/>
          <w:szCs w:val="24"/>
          <w:lang w:eastAsia="en-US"/>
        </w:rPr>
      </w:pPr>
      <w:r>
        <w:rPr>
          <w:rFonts w:ascii="Calibri" w:hAnsi="Calibri" w:cs="Calibri"/>
          <w:sz w:val="24"/>
          <w:szCs w:val="24"/>
          <w:lang w:eastAsia="en-US"/>
        </w:rPr>
        <w:t>Standardized Workflow for High-Content Imaging and Data Processing</w:t>
      </w:r>
    </w:p>
    <w:p w14:paraId="0BAE2313">
      <w:pPr>
        <w:rPr>
          <w:rFonts w:ascii="Calibri" w:hAnsi="Calibri" w:cs="Calibri"/>
          <w:sz w:val="24"/>
          <w:szCs w:val="24"/>
          <w:lang w:eastAsia="en-US"/>
        </w:rPr>
      </w:pPr>
    </w:p>
    <w:p w14:paraId="46A7B36C">
      <w:pPr>
        <w:rPr>
          <w:rFonts w:ascii="Calibri" w:hAnsi="Calibri" w:cs="Calibri"/>
          <w:b/>
          <w:bCs/>
          <w:sz w:val="24"/>
          <w:szCs w:val="24"/>
          <w:lang w:eastAsia="en-US"/>
        </w:rPr>
      </w:pPr>
      <w:r>
        <w:rPr>
          <w:rFonts w:ascii="Calibri" w:hAnsi="Calibri" w:cs="Calibri"/>
          <w:b/>
          <w:bCs/>
          <w:sz w:val="24"/>
          <w:szCs w:val="24"/>
          <w:lang w:eastAsia="en-US"/>
        </w:rPr>
        <w:t xml:space="preserve">AUTHORS AND AFFILIATIONS: </w:t>
      </w:r>
    </w:p>
    <w:p w14:paraId="315066AE">
      <w:pPr>
        <w:widowControl/>
        <w:spacing w:line="210" w:lineRule="atLeast"/>
        <w:rPr>
          <w:rFonts w:ascii="Calibri" w:hAnsi="Calibri" w:cs="Calibri"/>
          <w:sz w:val="24"/>
          <w:szCs w:val="24"/>
          <w:lang w:eastAsia="en-US"/>
        </w:rPr>
      </w:pPr>
      <w:r>
        <w:rPr>
          <w:rFonts w:ascii="Calibri" w:hAnsi="Calibri" w:cs="Calibri"/>
          <w:sz w:val="24"/>
          <w:szCs w:val="24"/>
        </w:rPr>
        <w:t xml:space="preserve">Xinyue Liu, </w:t>
      </w:r>
      <w:r>
        <w:rPr>
          <w:rFonts w:ascii="Calibri" w:hAnsi="Calibri" w:cs="Calibri"/>
          <w:sz w:val="24"/>
          <w:szCs w:val="24"/>
          <w:lang w:eastAsia="en-US"/>
        </w:rPr>
        <w:t>Yili Wang, Z</w:t>
      </w:r>
      <w:r>
        <w:rPr>
          <w:rFonts w:ascii="Calibri" w:hAnsi="Calibri" w:cs="Calibri"/>
          <w:sz w:val="24"/>
          <w:szCs w:val="24"/>
        </w:rPr>
        <w:t xml:space="preserve">henting Tan  </w:t>
      </w:r>
    </w:p>
    <w:p w14:paraId="38729ED4">
      <w:pPr>
        <w:widowControl/>
        <w:spacing w:line="210" w:lineRule="atLeast"/>
        <w:rPr>
          <w:rFonts w:ascii="Calibri" w:hAnsi="Calibri" w:cs="Calibri"/>
          <w:sz w:val="24"/>
          <w:szCs w:val="24"/>
          <w:lang w:eastAsia="en-US"/>
        </w:rPr>
      </w:pPr>
    </w:p>
    <w:p w14:paraId="58D6C515">
      <w:pPr>
        <w:rPr>
          <w:rFonts w:ascii="Calibri" w:hAnsi="Calibri" w:cs="Calibri"/>
          <w:sz w:val="24"/>
          <w:szCs w:val="24"/>
        </w:rPr>
      </w:pPr>
      <w:r>
        <w:rPr>
          <w:rFonts w:ascii="Calibri" w:hAnsi="Calibri" w:cs="Calibri"/>
          <w:sz w:val="24"/>
          <w:szCs w:val="24"/>
          <w:vertAlign w:val="superscript"/>
        </w:rPr>
        <w:t>1</w:t>
      </w:r>
      <w:r>
        <w:rPr>
          <w:rFonts w:ascii="Calibri" w:hAnsi="Calibri" w:cs="Calibri"/>
          <w:sz w:val="24"/>
          <w:szCs w:val="24"/>
        </w:rPr>
        <w:t>College of Medical Technology, Chengdu University of Traditional Chinese Medicine, China</w:t>
      </w:r>
    </w:p>
    <w:p w14:paraId="35A9C3C5">
      <w:pPr>
        <w:rPr>
          <w:rFonts w:ascii="Calibri" w:hAnsi="Calibri" w:cs="Calibri"/>
          <w:sz w:val="24"/>
          <w:szCs w:val="24"/>
        </w:rPr>
      </w:pPr>
      <w:r>
        <w:rPr>
          <w:rFonts w:ascii="Calibri" w:hAnsi="Calibri" w:cs="Calibri"/>
          <w:sz w:val="24"/>
          <w:szCs w:val="24"/>
          <w:vertAlign w:val="superscript"/>
          <w:lang w:eastAsia="en-US"/>
        </w:rPr>
        <w:t>2</w:t>
      </w:r>
      <w:r>
        <w:rPr>
          <w:rFonts w:ascii="Calibri" w:hAnsi="Calibri" w:cs="Calibri"/>
          <w:sz w:val="24"/>
          <w:szCs w:val="24"/>
          <w:lang w:eastAsia="en-US"/>
        </w:rPr>
        <w:t>Innovative Institute of Chinese Medicine and Pharmacy/Institute of Interdisciplinary Studies,</w:t>
      </w:r>
      <w:r>
        <w:rPr>
          <w:rFonts w:ascii="Calibri" w:hAnsi="Calibri" w:cs="Calibri"/>
          <w:sz w:val="24"/>
          <w:szCs w:val="24"/>
        </w:rPr>
        <w:t xml:space="preserve"> Chengdu University of Traditional Chinese Medicine, China</w:t>
      </w:r>
    </w:p>
    <w:p w14:paraId="2A9B1A1E">
      <w:pPr>
        <w:rPr>
          <w:rFonts w:ascii="Calibri" w:hAnsi="Calibri" w:cs="Calibri"/>
          <w:sz w:val="24"/>
          <w:szCs w:val="24"/>
        </w:rPr>
      </w:pPr>
      <w:r>
        <w:rPr>
          <w:rFonts w:ascii="Calibri" w:hAnsi="Calibri" w:cs="Calibri"/>
          <w:sz w:val="24"/>
          <w:szCs w:val="24"/>
          <w:vertAlign w:val="superscript"/>
        </w:rPr>
        <w:t>3</w:t>
      </w:r>
      <w:r>
        <w:rPr>
          <w:rFonts w:ascii="Calibri" w:hAnsi="Calibri" w:cs="Calibri"/>
          <w:sz w:val="24"/>
          <w:szCs w:val="24"/>
        </w:rPr>
        <w:t>School of Life Science and Technology, Southeast University, China</w:t>
      </w:r>
    </w:p>
    <w:p w14:paraId="3746ED7D">
      <w:pPr>
        <w:rPr>
          <w:rFonts w:ascii="Calibri" w:hAnsi="Calibri" w:cs="Calibri"/>
          <w:sz w:val="24"/>
          <w:szCs w:val="24"/>
        </w:rPr>
      </w:pPr>
    </w:p>
    <w:p w14:paraId="31B3188E">
      <w:pPr>
        <w:rPr>
          <w:rFonts w:ascii="Calibri" w:hAnsi="Calibri" w:cs="Calibri"/>
          <w:b/>
          <w:bCs/>
          <w:sz w:val="24"/>
          <w:szCs w:val="24"/>
        </w:rPr>
      </w:pPr>
      <w:r>
        <w:rPr>
          <w:rFonts w:ascii="Calibri" w:hAnsi="Calibri" w:cs="Calibri"/>
          <w:b/>
          <w:bCs/>
          <w:sz w:val="24"/>
          <w:szCs w:val="24"/>
        </w:rPr>
        <w:t>Email address of co-authors:</w:t>
      </w:r>
    </w:p>
    <w:p w14:paraId="5EEDC0FC">
      <w:pPr>
        <w:widowControl/>
        <w:spacing w:line="210" w:lineRule="atLeast"/>
        <w:jc w:val="left"/>
        <w:rPr>
          <w:rFonts w:ascii="Calibri" w:hAnsi="Calibri" w:cs="Calibri"/>
          <w:sz w:val="24"/>
          <w:szCs w:val="24"/>
          <w:lang w:val="en-IN" w:eastAsia="en-IN"/>
        </w:rPr>
      </w:pPr>
      <w:bookmarkStart w:id="0" w:name="_Hlk234051793"/>
      <w:r>
        <w:rPr>
          <w:rFonts w:ascii="Calibri" w:hAnsi="Calibri" w:cs="Calibri"/>
          <w:sz w:val="24"/>
          <w:szCs w:val="24"/>
        </w:rPr>
        <w:t>Xinyue Liu</w:t>
      </w:r>
      <w:r>
        <w:rPr>
          <w:rFonts w:ascii="Calibri" w:hAnsi="Calibri" w:cs="Calibri"/>
          <w:sz w:val="24"/>
          <w:szCs w:val="24"/>
        </w:rPr>
        <w:tab/>
      </w:r>
      <w:r>
        <w:rPr>
          <w:rFonts w:ascii="Calibri" w:hAnsi="Calibri" w:cs="Calibri"/>
          <w:sz w:val="24"/>
          <w:szCs w:val="24"/>
        </w:rPr>
        <w:tab/>
      </w:r>
      <w:r>
        <w:rPr>
          <w:rFonts w:ascii="Calibri" w:hAnsi="Calibri" w:cs="Calibri"/>
          <w:sz w:val="24"/>
          <w:szCs w:val="24"/>
        </w:rPr>
        <w:t>(</w:t>
      </w:r>
      <w:r>
        <w:fldChar w:fldCharType="begin"/>
      </w:r>
      <w:r>
        <w:instrText xml:space="preserve"> HYPERLINK "mailto:liiuxiny@outlook.com" </w:instrText>
      </w:r>
      <w:r>
        <w:fldChar w:fldCharType="separate"/>
      </w:r>
      <w:r>
        <w:rPr>
          <w:rStyle w:val="11"/>
          <w:rFonts w:ascii="Calibri" w:hAnsi="Calibri" w:cs="Calibri"/>
          <w:color w:val="auto"/>
          <w:sz w:val="24"/>
          <w:szCs w:val="24"/>
          <w:u w:val="none"/>
          <w:lang w:val="en-IN" w:eastAsia="en-IN"/>
        </w:rPr>
        <w:t>liiuxiny@outlook.com</w:t>
      </w:r>
      <w:r>
        <w:rPr>
          <w:rStyle w:val="11"/>
          <w:rFonts w:ascii="Calibri" w:hAnsi="Calibri" w:cs="Calibri"/>
          <w:color w:val="auto"/>
          <w:sz w:val="24"/>
          <w:szCs w:val="24"/>
          <w:u w:val="none"/>
          <w:lang w:val="en-IN" w:eastAsia="en-IN"/>
        </w:rPr>
        <w:fldChar w:fldCharType="end"/>
      </w:r>
      <w:r>
        <w:rPr>
          <w:rFonts w:ascii="Calibri" w:hAnsi="Calibri" w:cs="Calibri"/>
          <w:sz w:val="24"/>
          <w:szCs w:val="24"/>
          <w:lang w:val="en-IN"/>
        </w:rPr>
        <w:t xml:space="preserve">, </w:t>
      </w:r>
      <w:r>
        <w:fldChar w:fldCharType="begin"/>
      </w:r>
      <w:r>
        <w:instrText xml:space="preserve"> HYPERLINK "mailto:6260201024@stu.jiangnan.edu.cn" </w:instrText>
      </w:r>
      <w:r>
        <w:fldChar w:fldCharType="separate"/>
      </w:r>
      <w:r>
        <w:rPr>
          <w:rStyle w:val="11"/>
          <w:rFonts w:ascii="Calibri" w:hAnsi="Calibri" w:cs="Calibri"/>
          <w:color w:val="auto"/>
          <w:sz w:val="24"/>
          <w:szCs w:val="24"/>
          <w:u w:val="none"/>
          <w:lang w:val="en-IN"/>
        </w:rPr>
        <w:t>6260201024@stu.jiangnan.edu.cn</w:t>
      </w:r>
      <w:r>
        <w:rPr>
          <w:rStyle w:val="11"/>
          <w:rFonts w:ascii="Calibri" w:hAnsi="Calibri" w:cs="Calibri"/>
          <w:color w:val="auto"/>
          <w:sz w:val="24"/>
          <w:szCs w:val="24"/>
          <w:u w:val="none"/>
          <w:lang w:val="en-IN"/>
        </w:rPr>
        <w:fldChar w:fldCharType="end"/>
      </w:r>
      <w:r>
        <w:rPr>
          <w:rFonts w:ascii="Calibri" w:hAnsi="Calibri" w:cs="Calibri"/>
          <w:sz w:val="24"/>
          <w:szCs w:val="24"/>
          <w:lang w:val="en-IN"/>
        </w:rPr>
        <w:t xml:space="preserve">) </w:t>
      </w:r>
      <w:r>
        <w:rPr>
          <w:rFonts w:ascii="Calibri" w:hAnsi="Calibri" w:cs="Calibri"/>
          <w:sz w:val="24"/>
          <w:szCs w:val="24"/>
        </w:rPr>
        <w:t xml:space="preserve"> </w:t>
      </w:r>
    </w:p>
    <w:bookmarkEnd w:id="0"/>
    <w:p w14:paraId="09457B52">
      <w:pPr>
        <w:widowControl/>
        <w:spacing w:line="210" w:lineRule="atLeast"/>
        <w:rPr>
          <w:rFonts w:ascii="Calibri" w:hAnsi="Calibri" w:cs="Calibri"/>
          <w:sz w:val="24"/>
          <w:szCs w:val="24"/>
          <w:lang w:eastAsia="en-US"/>
        </w:rPr>
      </w:pPr>
      <w:r>
        <w:rPr>
          <w:rFonts w:ascii="Calibri" w:hAnsi="Calibri" w:cs="Calibri"/>
          <w:sz w:val="24"/>
          <w:szCs w:val="24"/>
        </w:rPr>
        <w:t>Zhenting Tan</w:t>
      </w:r>
      <w:r>
        <w:rPr>
          <w:rFonts w:ascii="Calibri" w:hAnsi="Calibri" w:cs="Calibri"/>
          <w:sz w:val="24"/>
          <w:szCs w:val="24"/>
        </w:rPr>
        <w:tab/>
      </w:r>
      <w:r>
        <w:rPr>
          <w:rFonts w:ascii="Calibri" w:hAnsi="Calibri" w:cs="Calibri"/>
          <w:sz w:val="24"/>
          <w:szCs w:val="24"/>
        </w:rPr>
        <w:tab/>
      </w:r>
      <w:r>
        <w:rPr>
          <w:rFonts w:ascii="Calibri" w:hAnsi="Calibri" w:cs="Calibri"/>
          <w:sz w:val="24"/>
          <w:szCs w:val="24"/>
        </w:rPr>
        <w:t>(22025084@seu.edu.cn)</w:t>
      </w:r>
    </w:p>
    <w:p w14:paraId="0DB16635">
      <w:pPr>
        <w:rPr>
          <w:rFonts w:ascii="Calibri" w:hAnsi="Calibri" w:cs="Calibri"/>
          <w:sz w:val="24"/>
          <w:szCs w:val="24"/>
        </w:rPr>
      </w:pPr>
    </w:p>
    <w:p w14:paraId="7D29D097">
      <w:pPr>
        <w:rPr>
          <w:rFonts w:ascii="Calibri" w:hAnsi="Calibri" w:cs="Calibri"/>
          <w:b/>
          <w:bCs/>
          <w:sz w:val="24"/>
          <w:szCs w:val="24"/>
        </w:rPr>
      </w:pPr>
      <w:r>
        <w:rPr>
          <w:rFonts w:ascii="Calibri" w:hAnsi="Calibri" w:cs="Calibri"/>
          <w:b/>
          <w:bCs/>
          <w:sz w:val="24"/>
          <w:szCs w:val="24"/>
        </w:rPr>
        <w:t>Corresponding author:</w:t>
      </w:r>
    </w:p>
    <w:p w14:paraId="373C8721">
      <w:pPr>
        <w:widowControl/>
        <w:spacing w:line="210" w:lineRule="atLeast"/>
        <w:rPr>
          <w:rFonts w:ascii="Calibri" w:hAnsi="Calibri" w:cs="Calibri"/>
          <w:sz w:val="24"/>
          <w:szCs w:val="24"/>
        </w:rPr>
      </w:pPr>
      <w:r>
        <w:rPr>
          <w:rFonts w:ascii="Calibri" w:hAnsi="Calibri" w:cs="Calibri"/>
          <w:sz w:val="24"/>
          <w:szCs w:val="24"/>
          <w:lang w:eastAsia="en-US"/>
        </w:rPr>
        <w:t>Yili Wang</w:t>
      </w:r>
      <w:r>
        <w:rPr>
          <w:rFonts w:ascii="Calibri" w:hAnsi="Calibri" w:cs="Calibri"/>
          <w:sz w:val="24"/>
          <w:szCs w:val="24"/>
          <w:lang w:eastAsia="en-US"/>
        </w:rPr>
        <w:tab/>
      </w:r>
      <w:r>
        <w:rPr>
          <w:rFonts w:ascii="Calibri" w:hAnsi="Calibri" w:cs="Calibri"/>
          <w:sz w:val="24"/>
          <w:szCs w:val="24"/>
          <w:lang w:eastAsia="en-US"/>
        </w:rPr>
        <w:tab/>
      </w:r>
      <w:r>
        <w:rPr>
          <w:rFonts w:ascii="Calibri" w:hAnsi="Calibri" w:cs="Calibri"/>
          <w:sz w:val="24"/>
          <w:szCs w:val="24"/>
          <w:lang w:eastAsia="en-US"/>
        </w:rPr>
        <w:tab/>
      </w:r>
      <w:r>
        <w:rPr>
          <w:rFonts w:ascii="Calibri" w:hAnsi="Calibri" w:cs="Calibri"/>
          <w:sz w:val="24"/>
          <w:szCs w:val="24"/>
          <w:lang w:eastAsia="en-US"/>
        </w:rPr>
        <w:t>(</w:t>
      </w:r>
      <w:r>
        <w:rPr>
          <w:rFonts w:ascii="Calibri" w:hAnsi="Calibri" w:cs="Calibri"/>
          <w:sz w:val="24"/>
          <w:szCs w:val="24"/>
          <w:lang w:val="en-IN" w:eastAsia="en-IN"/>
        </w:rPr>
        <w:t>20152056@cdutcm.edu.cn</w:t>
      </w:r>
      <w:r>
        <w:rPr>
          <w:rFonts w:ascii="Calibri" w:hAnsi="Calibri" w:cs="Calibri"/>
          <w:sz w:val="24"/>
          <w:szCs w:val="24"/>
          <w:lang w:eastAsia="en-US"/>
        </w:rPr>
        <w:t>)</w:t>
      </w:r>
    </w:p>
    <w:p w14:paraId="420ACFC1">
      <w:pPr>
        <w:rPr>
          <w:rFonts w:ascii="Calibri" w:hAnsi="Calibri" w:cs="Calibri"/>
          <w:sz w:val="24"/>
          <w:szCs w:val="24"/>
        </w:rPr>
      </w:pPr>
    </w:p>
    <w:p w14:paraId="5A7AA024">
      <w:pPr>
        <w:rPr>
          <w:rFonts w:ascii="Calibri" w:hAnsi="Calibri" w:cs="Calibri"/>
          <w:b/>
          <w:bCs/>
          <w:sz w:val="24"/>
          <w:szCs w:val="24"/>
          <w:lang w:eastAsia="en-US"/>
        </w:rPr>
      </w:pPr>
      <w:r>
        <w:rPr>
          <w:rFonts w:ascii="Calibri" w:hAnsi="Calibri" w:cs="Calibri"/>
          <w:b/>
          <w:bCs/>
          <w:sz w:val="24"/>
          <w:szCs w:val="24"/>
          <w:lang w:eastAsia="en-US"/>
        </w:rPr>
        <w:t>SUMMARY:</w:t>
      </w:r>
    </w:p>
    <w:p w14:paraId="26132446">
      <w:pPr>
        <w:rPr>
          <w:rFonts w:ascii="Calibri" w:hAnsi="Calibri" w:cs="Calibri"/>
          <w:sz w:val="24"/>
          <w:szCs w:val="24"/>
          <w:lang w:eastAsia="en-US"/>
        </w:rPr>
      </w:pPr>
      <w:r>
        <w:rPr>
          <w:rFonts w:ascii="Calibri" w:hAnsi="Calibri" w:cs="Calibri"/>
          <w:sz w:val="24"/>
          <w:szCs w:val="24"/>
          <w:lang w:eastAsia="en-US"/>
        </w:rPr>
        <w:t>Here, we present a protocol for standardized high-content imaging and data processing of propidium iodide (PI)/Hoechst 33342-stained cells to perform reproducible cell viability analysis using automated image acquisition and analysis workflows.</w:t>
      </w:r>
    </w:p>
    <w:p w14:paraId="32399190">
      <w:pPr>
        <w:rPr>
          <w:rFonts w:ascii="Calibri" w:hAnsi="Calibri" w:cs="Calibri"/>
          <w:sz w:val="24"/>
          <w:szCs w:val="24"/>
          <w:lang w:eastAsia="en-US"/>
        </w:rPr>
      </w:pPr>
    </w:p>
    <w:p w14:paraId="1152DFAA">
      <w:pPr>
        <w:rPr>
          <w:rFonts w:ascii="Calibri" w:hAnsi="Calibri" w:cs="Calibri"/>
          <w:b/>
          <w:bCs/>
          <w:sz w:val="24"/>
          <w:szCs w:val="24"/>
          <w:lang w:eastAsia="en-US"/>
        </w:rPr>
      </w:pPr>
      <w:r>
        <w:rPr>
          <w:rFonts w:ascii="Calibri" w:hAnsi="Calibri" w:cs="Calibri"/>
          <w:b/>
          <w:bCs/>
          <w:sz w:val="24"/>
          <w:szCs w:val="24"/>
          <w:lang w:eastAsia="en-US"/>
        </w:rPr>
        <w:t>ABSTRACT:</w:t>
      </w:r>
    </w:p>
    <w:p w14:paraId="280D2F30">
      <w:pPr>
        <w:rPr>
          <w:rFonts w:ascii="Calibri" w:hAnsi="Calibri" w:cs="Calibri"/>
          <w:sz w:val="24"/>
          <w:szCs w:val="24"/>
          <w:lang w:eastAsia="en-US"/>
        </w:rPr>
      </w:pPr>
      <w:r>
        <w:rPr>
          <w:rFonts w:ascii="Calibri" w:hAnsi="Calibri" w:cs="Calibri"/>
          <w:sz w:val="24"/>
          <w:szCs w:val="24"/>
          <w:lang w:eastAsia="en-US"/>
        </w:rPr>
        <w:t>To address the challenges of low reproducibility due to operational variations in scientific research imaging and the complexity of analyzing a large number of samples using conventional methods, we introduce a protocol for staining HT22 cells with PI and Hoechst 33342 and then imaging and analyzing the data using the High-Content Imaging System. This workflow aims to establish robust imaging setting parameters and stringent quality control standards. It demonstrates the instrument's imaging settings and the workflow for three different image processing methods provided by the instrument: Multi-Wavelength Cell Scoring (Multi), Live-Dead (Live), and Custom Module Editor (CME). The image processing methods are compared and validated against the traditional method, ImageJ, to ensure their effectiveness. The study ultimately summarizes a workflow for using the High-Content Imaging System to determine cell viability using the PI and Hoechst double-staining method. By standardizing the entire imaging and data processing workflow, the study significantly enhances the reproducibility and reliability of scientific research imaging, thereby providing solid methodological support for cross-laboratory data comparison and advancing scientific research.</w:t>
      </w:r>
    </w:p>
    <w:p w14:paraId="6C2FFAC7">
      <w:pPr>
        <w:rPr>
          <w:rFonts w:ascii="Calibri" w:hAnsi="Calibri" w:cs="Calibri"/>
          <w:sz w:val="24"/>
          <w:szCs w:val="24"/>
          <w:lang w:eastAsia="en-US"/>
        </w:rPr>
      </w:pPr>
    </w:p>
    <w:p w14:paraId="335B3149">
      <w:pPr>
        <w:rPr>
          <w:rFonts w:ascii="Calibri" w:hAnsi="Calibri" w:cs="Calibri"/>
          <w:b/>
          <w:bCs/>
          <w:sz w:val="24"/>
          <w:szCs w:val="24"/>
          <w:lang w:eastAsia="en-US"/>
        </w:rPr>
      </w:pPr>
      <w:r>
        <w:rPr>
          <w:rFonts w:ascii="Calibri" w:hAnsi="Calibri" w:cs="Calibri"/>
          <w:b/>
          <w:bCs/>
          <w:sz w:val="24"/>
          <w:szCs w:val="24"/>
          <w:lang w:eastAsia="en-US"/>
        </w:rPr>
        <w:t xml:space="preserve">INTRODUCTION: </w:t>
      </w:r>
    </w:p>
    <w:p w14:paraId="7572A831">
      <w:pPr>
        <w:rPr>
          <w:rFonts w:ascii="Calibri" w:hAnsi="Calibri" w:cs="Calibri"/>
          <w:sz w:val="24"/>
          <w:szCs w:val="24"/>
          <w:lang w:eastAsia="en-US"/>
        </w:rPr>
      </w:pPr>
      <w:r>
        <w:rPr>
          <w:rFonts w:ascii="Calibri" w:hAnsi="Calibri" w:cs="Calibri"/>
          <w:sz w:val="24"/>
          <w:szCs w:val="24"/>
          <w:lang w:eastAsia="en-US"/>
        </w:rPr>
        <w:t>High-Content Imaging System serves as a crucial tool in modern scientific research, enabling high-speed imaging and multi-parameter assessment of injured or uninjured cells</w:t>
      </w:r>
      <w:r>
        <w:rPr>
          <w:rFonts w:ascii="Calibri" w:hAnsi="Calibri" w:cs="Calibri"/>
          <w:sz w:val="24"/>
          <w:szCs w:val="24"/>
          <w:lang w:eastAsia="en-US"/>
        </w:rPr>
        <w:fldChar w:fldCharType="begin"/>
      </w:r>
      <w:r>
        <w:rPr>
          <w:rFonts w:ascii="Calibri" w:hAnsi="Calibri" w:cs="Calibri"/>
          <w:sz w:val="24"/>
          <w:szCs w:val="24"/>
          <w:lang w:eastAsia="en-US"/>
        </w:rPr>
        <w:instrText xml:space="preserve"> ADDIN ZOTERO_ITEM CSL_CITATION {"citationID":"ZHLnEeVg","properties":{"unsorted":false,"formattedCitation":"\\super 1\\uc0\\u8211{}3\\nosupersub{}","plainCitation":"1–3","noteIndex":0},"citationItems":[{"id":2356,"uris":["http://zotero.org/users/16918528/items/MQ3U3WU4"],"itemData":{"id":2356,"type":"article-journal","abstract":"Obesity and type 2 diabetes (T2D) are strongly linked to abnormal adipocyte metabolism and adipose tissue (AT) dysfunction. However, existing adipose tissue models have limitations, particularly in the stable culture of fat cells that maintain physiologically relevant phenotypes, hindering a deeper understanding of adipocyte biology and the molecular mechanisms behind differentiation. Current model systems fail to fully replicate In vivo metabolism, posing challenges in adipose tissue research. Three-dimensional (3D) AT organoids, although promising, present significant handling challenges during long-term culture. As adipocytes maturate and accumulate fat, they develop organotypic characteristics, increasing the buoyancy effect, which causes the organoids to oscillate, complicating culture manipulation and rendering multiple handling steps difficult.","container-title":"SLAS Discovery","DOI":"10.1016/j.slasd.2025.100218","ISSN":"24725552","journalAbbreviation":"SLAS Discovery","language":"en","note":"remark: ImageXpress Micro Confocal \nTLDR: This study outlines a protocol for generating in vitro AT-derived organoid using 3D magnetic bioprinting, with a focus on manufacturing, culturing, and assessing the morpho-functional characteristics of late-stage AT organoids.","page":"100218","source":"DOI.org (Crossref)","title":"Optimized scaffold-free human 3D adipose tissue organoid culture for obesity and disease modeling","volume":"31","author":[{"family":"Dariolli","given":"Rafael"},{"family":"Nir","given":"Raphael"},{"family":"Mushlam","given":"Tova"},{"family":"Souza","given":"Glauco R."},{"family":"Farmer","given":"Stephen R."},{"family":"Batista","given":"Miguel L"}],"issued":{"date-parts":[["2025",3]]}}},{"id":2459,"uris":["http://zotero.org/users/16918528/items/S4UZ6MU5"],"itemData":{"id":2459,"type":"article-journal","abstract":"In the field of neurodegenerative pathologies, the platforms for disease modelling based on patient-derived induced pluripotent stem cells (iPSCs) rep...","container-title":"International journal of molecular sciences","DOI":"10.3390/ijms241914689","ISSN":"1422-0067","issue":"19","journalAbbreviation":"Int. J. Mol. Sci.","language":"en","license":"http://creativecommons.org/licenses/by/3.0/","note":"remark: ImageXpress Micro Confocal review\nCompany: Multidisciplinary Digital Publishing Institute\nDistributor: Multidisciplinary Digital Publishing Institute\nInstitution: Multidisciplinary Digital Publishing Institute\nLabel: Multidisciplinary Digital Publishing Institute\nTLDR: The present work aims to describe the main recent protocols and advances achieved with the HCI analysis in iPSC-based modelling of neurodegenerative diseases, highlighting technical and bioinformatics tips and tricks for further uses and research.","publisher":"publisher","source":"www.mdpi.com","title":"Recent advances in high-content imaging and analysis in iPSC-based modelling of neurodegenerative diseases","URL":"https://www.mdpi.com/1422-0067/24/19/14689","volume":"24","author":[{"family":"Menduti","given":"Giovanna"},{"family":"Boido","given":"Marina"},{"family":"Menduti","given":"Giovanna"},{"family":"Boido","given":"Marina"}],"accessed":{"date-parts":[["2025",12,15]]},"issued":{"date-parts":[["2023",9,28]]}}},{"id":2460,"uris":["http://zotero.org/users/16918528/items/IBFCWGLQ"],"itemData":{"id":2460,"type":"article-journal","container-title":"Organoid","DOI":"10.51335/organoid.2022.2.e21","ISSN":"2765-205X","journalAbbreviation":"Organoid","language":"en","note":"remark: ImageXpress Micro Confocal review\nTLDR: This review discusses how to effectively utilize brain organoids for precision medicine research in conjunction with a variety of high-end techniques such as clustered regularly interspaced short palindromic repeats (CRISPR)-associated protein 9 (CRisPR-Cas9) genomic editing, integrative multi-omics analysis, 3D brain tissue clearing, and high-content screening confocal microscopy imaging systems.","publisher":"The Organoid Society","source":"j-organoid.org","title":"Toward brain organoid-based precision medicine in neurodegenerative diseases","URL":"http://j-organoid.org/journal/view.php?doi=10.51335/organoid.2022.2.e21","volume":"2","author":[{"family":"Park","given":"Jong-Chan"},{"family":"Mook-Jung","given":"Inhee"}],"accessed":{"date-parts":[["2025",12,15]]},"issued":{"date-parts":[["2022",10,25]]}}}],"schema":"https://github.com/citation-style-language/schema/raw/master/csl-citation.json"} </w:instrText>
      </w:r>
      <w:r>
        <w:rPr>
          <w:rFonts w:ascii="Calibri" w:hAnsi="Calibri" w:cs="Calibri"/>
          <w:sz w:val="24"/>
          <w:szCs w:val="24"/>
          <w:lang w:eastAsia="en-US"/>
        </w:rPr>
        <w:fldChar w:fldCharType="separate"/>
      </w:r>
      <w:r>
        <w:rPr>
          <w:rFonts w:ascii="Calibri" w:hAnsi="Calibri" w:cs="Calibri"/>
          <w:kern w:val="0"/>
          <w:sz w:val="24"/>
          <w:szCs w:val="24"/>
          <w:vertAlign w:val="superscript"/>
        </w:rPr>
        <w:t>1–3</w:t>
      </w:r>
      <w:r>
        <w:rPr>
          <w:rFonts w:ascii="Calibri" w:hAnsi="Calibri" w:cs="Calibri"/>
          <w:sz w:val="24"/>
          <w:szCs w:val="24"/>
          <w:lang w:eastAsia="en-US"/>
        </w:rPr>
        <w:fldChar w:fldCharType="end"/>
      </w:r>
      <w:r>
        <w:rPr>
          <w:rFonts w:ascii="Calibri" w:hAnsi="Calibri" w:cs="Calibri"/>
          <w:sz w:val="24"/>
          <w:szCs w:val="24"/>
          <w:lang w:eastAsia="en-US"/>
        </w:rPr>
        <w:t>. It plays an irreplaceable role in various disciplines. In the field of life sciences, it assists researchers in exploring the microscopic world of cells and tissues</w:t>
      </w:r>
      <w:r>
        <w:rPr>
          <w:rFonts w:ascii="Calibri" w:hAnsi="Calibri" w:cs="Calibri"/>
          <w:sz w:val="24"/>
          <w:szCs w:val="24"/>
          <w:lang w:eastAsia="en-US"/>
        </w:rPr>
        <w:fldChar w:fldCharType="begin"/>
      </w:r>
      <w:r>
        <w:rPr>
          <w:rFonts w:ascii="Calibri" w:hAnsi="Calibri" w:cs="Calibri"/>
          <w:sz w:val="24"/>
          <w:szCs w:val="24"/>
          <w:lang w:eastAsia="en-US"/>
        </w:rPr>
        <w:instrText xml:space="preserve"> ADDIN ZOTERO_ITEM CSL_CITATION {"citationID":"NbJHKwVA","properties":{"unsorted":false,"formattedCitation":"\\super 4,5\\nosupersub{}","plainCitation":"4,5","noteIndex":0},"citationItems":[{"id":2412,"uris":["http://zotero.org/users/16918528/items/HZVKGJ5D"],"itemData":{"id":2412,"type":"article-journal","abstract":"Pancreatic Ductal Adenocarcinoma (PDAC) is estimated to become the second leading cause of cancer-related deaths by 2030 with mortality rates of up to 93%. Standard of care chemotherapeutic treatment only prolongs the survival of patients for a short timeframe. Therefore, it is important to understand events driving treatment failure in PDAC as well as identify potential more effective treatment opportunities. PDAC is characterized by a high-density stroma, high interstitial pressure and very low oxygen tension. The aim of this study was to establish a PDAC platform that supported the understanding of treatment response of PDAC organoids in mono-, and co-culture with pancreatic stellate cells (PSCs) under hypoxic and normoxic conditions. Cultures were exposed to Gemcitabine in combination with molecules targeting relevant molecular programs that could explain treatment specific responses under different oxygen pressure conditions. Two groups of treatment responses were identified, showing either a better effect in monoculture or co-culture. Moreover, treatment response also differed between normoxia and hypoxia. Modulation of response to Gemcitabine was also observed in presence of a Hypoxia-inducible factor (HIF) prolyl hydroxylase (PHD) inhibitor and HIF inhibitors. Altogether this highlights the importance of adjusting experimental conditions to include relevant oxygen levels in drug response studies in PDAC.","container-title":"Cell Death Discovery","DOI":"10.1038/s41420-023-01334-z","ISSN":"2058-7716","journalAbbreviation":"Cell Death Discovery","language":"en","note":"remark: ImageXpress Micro Confocal  tissues\nTLDR: A PDAC platform was established that supported the understanding of treatment response of PDAC organoids in mono-, and co-culture with pancreatic stellate cells (PSCs) under hypoxic and normoxic conditions and highlights the importance of adjusting experimental conditions to include relevant oxygen levels in drug response studies in PDAC.","page":"20","PMID":"36681673","PMCID":"PMC9867742","source":"PubMed Central","title":"A microfluidic-based PDAC organoid system reveals the impact of hypoxia in response to treatment","volume":"9","author":[{"family":"Geyer","given":"Marlene"},{"family":"Schreyer","given":"Daniel"},{"family":"Gaul","given":"Lisa-Marie"},{"family":"Pfeffer","given":"Susanne"},{"family":"Pilarsky","given":"Christian"},{"family":"Queiroz","given":"Karla"}],"issued":{"date-parts":[["2023",1,21]]}}},{"id":2417,"uris":["http://zotero.org/users/16918528/items/R6XAL2NE"],"itemData":{"id":2417,"type":"article-journal","abstract":"摘要\n背景/目的：胃癌（GC）是全球最常见的癌症之一。顺铂是治疗环状细胞癌的关键治疗药物。目前，GC细胞对顺铂的耐药性仍是一个重大问题。翼长叶菌（PTS）是一种存在于蓝莓和葡萄中的天然植物化学物质。PTS对抗顺铂抗性的GC效应及药理机制尚不明确。材料与方法：我们通过细胞存活率测定、细胞汇聚测定、末端脱氧核苷酸转移酶dUTP切口标记（TUNEL）、丙啶橙（AO）染色、单丹硝基卡达维林（MDC）染色、半胱天冬酶-9/-3活性测定和RNA测序（RNA-Seq）分析，探讨了PTS在顺铂耐药性质谱细胞中的抗癌活性，并探讨了其药理作用机制。结果：我们的结果显示，利用CCK-8检测和IncuCyte S3 ZOOM系统，PTS抑制了顺铂抗性GC细胞的细胞存活率和细胞汇聚。TUNEL检测显示PTS促进顺铂耐药GC细胞的凋亡。PTS通过增加caspase-9和caspase-3活性诱导细胞凋亡。PTS通过MDC和AO染色促进液泡形成和酸性囊泡细胞器，促进细胞自噬。我们还观察到PTS处理顺铂耐性GC细胞中LC3B的表达增加。RNA-Seq分析表明，PTS通过降低ATM/ATR、HIF-1、PI3K、RB1CC、TBK1及线粒体相关基因的表达，诱导顺铂耐药GC细胞的凋亡和自噬。结论：我们的结果表明，PTS是一种有前景的植物化学物质可用于气相色相管治疗，特别是针对顺铂耐药性。","container-title":"Anticancer Research","DOI":"10.21873/anticanres.17440","ISSN":"0250-7005, 1791-7530","issue":"2","journalAbbreviation":"Anticancer Res.","language":"en","license":"Copyright © 2025 International Institute of Anticancer Research (Dr. George J. Delinasios), All rights reserved.. This article is an open access article distributed under the terms and conditions of the Creative Commons Attribution (CC BY-NC-ND) 4.0 international license (https://creativecommons.org/licenses/by-nc-nd/4.0).","note":"remark: ImageXpress Micro Confocal cell Staining\nTLDR: Pterostilbene is a promising phytochemical for GC therapy, particularly against cisplatin resistance, particularly against cisplatin resistance.","page":"511-523","PMID":"39890184","publisher":"International Institute of Anticancer Research","section":"Experimental Studies","source":"ar.iiarjournals.org","title":"Pterostilbene suppressed cell viability, induced apoptosis and autophagy of cisplatin-resistant gastric cancer cells","volume":"45","author":[{"family":"Huang","given":"Chien-Jung"},{"family":"Shieh","given":"Po-Chuen"},{"family":"Yang","given":"Jai-Sing"},{"family":"Li","given":"Yi-Chia"},{"family":"Chiu","given":"Yu-Jen"},{"family":"Bau","given":"Da-Tian"},{"family":"Hung","given":"Chih-Hsin"}],"issued":{"date-parts":[["2025",2,1]]}}}],"schema":"https://github.com/citation-style-language/schema/raw/master/csl-citation.json"} </w:instrText>
      </w:r>
      <w:r>
        <w:rPr>
          <w:rFonts w:ascii="Calibri" w:hAnsi="Calibri" w:cs="Calibri"/>
          <w:sz w:val="24"/>
          <w:szCs w:val="24"/>
          <w:lang w:eastAsia="en-US"/>
        </w:rPr>
        <w:fldChar w:fldCharType="separate"/>
      </w:r>
      <w:r>
        <w:rPr>
          <w:rFonts w:ascii="Calibri" w:hAnsi="Calibri" w:cs="Calibri"/>
          <w:kern w:val="0"/>
          <w:sz w:val="24"/>
          <w:szCs w:val="24"/>
          <w:vertAlign w:val="superscript"/>
        </w:rPr>
        <w:t>4,5</w:t>
      </w:r>
      <w:r>
        <w:rPr>
          <w:rFonts w:ascii="Calibri" w:hAnsi="Calibri" w:cs="Calibri"/>
          <w:sz w:val="24"/>
          <w:szCs w:val="24"/>
          <w:lang w:eastAsia="en-US"/>
        </w:rPr>
        <w:fldChar w:fldCharType="end"/>
      </w:r>
      <w:r>
        <w:rPr>
          <w:rFonts w:ascii="Calibri" w:hAnsi="Calibri" w:cs="Calibri"/>
          <w:sz w:val="24"/>
          <w:szCs w:val="24"/>
          <w:lang w:eastAsia="en-US"/>
        </w:rPr>
        <w:t>. For instance, the precise detection of fluorescently labeled molecules and structures within cells allows clear visualization of cellular fine structures and dynamic changes</w:t>
      </w:r>
      <w:r>
        <w:rPr>
          <w:rFonts w:ascii="Calibri" w:hAnsi="Calibri" w:cs="Calibri"/>
          <w:sz w:val="24"/>
          <w:szCs w:val="24"/>
          <w:lang w:eastAsia="en-US"/>
        </w:rPr>
        <w:fldChar w:fldCharType="begin"/>
      </w:r>
      <w:r>
        <w:rPr>
          <w:rFonts w:ascii="Calibri" w:hAnsi="Calibri" w:cs="Calibri"/>
          <w:sz w:val="24"/>
          <w:szCs w:val="24"/>
          <w:lang w:eastAsia="en-US"/>
        </w:rPr>
        <w:instrText xml:space="preserve"> ADDIN ZOTERO_ITEM CSL_CITATION {"citationID":"sAUoGBOM","properties":{"unsorted":false,"formattedCitation":"\\super 6\\nosupersub{}","plainCitation":"6","noteIndex":0},"citationItems":[{"id":589,"uris":["http://zotero.org/users/16918528/items/WWLLXZV2"],"itemData":{"id":589,"type":"article-journal","abstract":"BACKGROUND: Osteonecrosis of the femoral head (ONFH) is a disabling disease. Early treatment is crucial to the prognosis of the disease. Core decompression (CD) is one of the most commonly used methods for the treatment of early ONFH. But it could not prevent the collapse of the necrotic femoral head. How to improve the therapeutic effect of early ONFH on the basis of CD has become an area of focused research.\nMETHODS: Functional β-tricalcium phosphate (β-TCP) scaffolds modified by DPIYALSWSGMA (DPI) peptide, a bone marrow-derived mesenchymal stem cell (BMSC) affinity peptide, were constructed using an adsorption/freeze-drying strategy. The affinity of DPI peptide towards rabbit BMSCs was investigated using flow cytometry and fluorescence cytochemistry. In vitro cell adhesion assay was performed to study the adherent ability of rabbit BMSCs on functional β-TCP scaffolds. After the rabbit model of early ONFH was established, DPI peptide-modified and pure β-TCP scaffolds were transplanted into the remaining cavity after CD. Meanwhile, rabbits treated with pure CD were used as blank control. Twelve weeks after surgery, histological analysis was performed to show the therapeutic effect of three methods on early ONFH.\nRESULTS: The result of ImageXpress Micro Confocal indicated that fabricated DPI peptide-modified functional β-TCP scaffolds exhibited green fluorescence. In flow cytometry, the average fluorescence intensity for rabbit BMSCs incubated with FITC-DPI was significantly higher than that of FITC-LSP (P = 2.733 × 10-8). In fluorescence cytochemistry, strong fluorescent signals were observed in rabbit BMSCs incubated with FITC-DPI and FITC-RGD, whereas no fluorescent signals in cells incubated with FITC-LSP. In cell adhesion assay, the number of adherent cells to β-TCP-DPI scaffolds was more than that of pure β-TCP scaffolds (P = 0.033). The CD + β-TCP-DPI group expressed the lowest vacant bone lacunae percentage compared to CD group (P = 2.350 × 10-4) and CD + β-TCP group (P = 0.020). The expression content of COL1 in CD + β-TCP-DPI group was much higher than CD group (P = 1.262 × 10-7) and CD + β-TCP group (P = 1.666 × 10-7) according to the integrated optical density (IOD) analyses.\nCONCLUSION: Functional β-TCP scaffolds modified by DPI peptide were successfully synthesized using an adsorption/freeze-drying strategy. DPI peptide has good affinity towards rabbit BMSCs. The adhesion of rabbit BMSCs on DPI peptide-modified β-TCP scaffolds was apparently enhanced. CD followed by implantation of DPI peptide-modified β-TCP scaffolds can apparently improve the treatment of early ONFH compared with pure CD and CD followed by implantation of unmodified β-TCP scaffolds. Our current study provides an improved method for the treatment of early ONFH.","container-title":"Journal of Orthopaedic Surgery and Research","DOI":"10.1186/s13018-019-1243-5","ISSN":"1749-799X","issue":"1","journalAbbreviation":"J. Orthop. Surg. Res.","language":"en","note":"remark: ImageXpress Micro Confocal cell Staining\nTLDR: This study provides an improved method for the treatment of early ONFH by synthesizing functional β-TCP scaffolds modified by DPI peptide using an adsorption/freeze-drying strategy and finding that D PI peptide has good affinity towards rabbit BMSCs.","page":"204","PMID":"31272458","PMCID":"PMC6610984","source":"PubMed","title":"BMSC affinity peptide-functionalized β-tricalcium phosphate scaffolds promoting repair of osteonecrosis of the femoral head","volume":"14","author":[{"family":"Wang","given":"Guozong"},{"family":"Li","given":"Yi"},{"family":"Sun","given":"Tiantong"},{"family":"Wang","given":"Congcong"},{"family":"Qiao","given":"Li"},{"family":"Wang","given":"Yi"},{"family":"Dong","given":"Kangkang"},{"family":"Yuan","given":"Tao"},{"family":"Chen","given":"Jiazheng"},{"family":"Chen","given":"Guanqiao"},{"family":"Sun","given":"Shui"}],"issued":{"date-parts":[["2019",7,4]]}}}],"schema":"https://github.com/citation-style-language/schema/raw/master/csl-citation.json"} </w:instrText>
      </w:r>
      <w:r>
        <w:rPr>
          <w:rFonts w:ascii="Calibri" w:hAnsi="Calibri" w:cs="Calibri"/>
          <w:sz w:val="24"/>
          <w:szCs w:val="24"/>
          <w:lang w:eastAsia="en-US"/>
        </w:rPr>
        <w:fldChar w:fldCharType="separate"/>
      </w:r>
      <w:r>
        <w:rPr>
          <w:rFonts w:ascii="Calibri" w:hAnsi="Calibri" w:cs="Calibri"/>
          <w:kern w:val="0"/>
          <w:sz w:val="24"/>
          <w:szCs w:val="24"/>
          <w:vertAlign w:val="superscript"/>
        </w:rPr>
        <w:t>6</w:t>
      </w:r>
      <w:r>
        <w:rPr>
          <w:rFonts w:ascii="Calibri" w:hAnsi="Calibri" w:cs="Calibri"/>
          <w:sz w:val="24"/>
          <w:szCs w:val="24"/>
          <w:lang w:eastAsia="en-US"/>
        </w:rPr>
        <w:fldChar w:fldCharType="end"/>
      </w:r>
      <w:r>
        <w:rPr>
          <w:rFonts w:ascii="Calibri" w:hAnsi="Calibri" w:cs="Calibri"/>
          <w:sz w:val="24"/>
          <w:szCs w:val="24"/>
          <w:lang w:eastAsia="en-US"/>
        </w:rPr>
        <w:t>. In neuroscience research, it can perform three-dimensional imaging of neurons, aiding in the analysis of the complex connections and signal transduction mechanisms of neuronal networks, and providing crucial clues for understanding brain functions and the pathogenesis of neurological diseases</w:t>
      </w:r>
      <w:r>
        <w:rPr>
          <w:rFonts w:ascii="Calibri" w:hAnsi="Calibri" w:cs="Calibri"/>
          <w:sz w:val="24"/>
          <w:szCs w:val="24"/>
          <w:lang w:eastAsia="en-US"/>
        </w:rPr>
        <w:fldChar w:fldCharType="begin"/>
      </w:r>
      <w:r>
        <w:rPr>
          <w:rFonts w:ascii="Calibri" w:hAnsi="Calibri" w:cs="Calibri"/>
          <w:sz w:val="24"/>
          <w:szCs w:val="24"/>
          <w:lang w:eastAsia="en-US"/>
        </w:rPr>
        <w:instrText xml:space="preserve"> ADDIN ZOTERO_ITEM CSL_CITATION {"citationID":"vqp3MEN6","properties":{"unsorted":false,"formattedCitation":"\\super 7\\uc0\\u8211{}9\\nosupersub{}","plainCitation":"7–9","noteIndex":0},"citationItems":[{"id":2392,"uris":["http://zotero.org/users/16918528/items/N3F32P6G"],"itemData":{"id":2392,"type":"article-journal","abstract":"The disruption of the blood–brain barrier (BBB) in Alzheimer’s Disease (AD) is largely influenced by amyloid beta (Aβ). In this study, we developed a ...","container-title":"Applied Sciences","DOI":"10.3390/app14093917","ISSN":"2076-3417","issue":"9","journalAbbreviation":"Appl. Sci.","language":"en","license":"http://creativecommons.org/licenses/by/3.0/","note":"remark: ImageXpress Micro Confocal  three-dimensional imaging of neurons\nCompany: Multidisciplinary Digital Publishing Institute\nDistributor: Multidisciplinary Digital Publishing Institute\nInstitution: Multidisciplinary Digital Publishing Institute\nLabel: Multidisciplinary Digital Publishing Institute\nTLDR: A pronounced accumulation of Aβ1–42 oligomers at the BBB, resulting in the disruption of tight junctions and subsequent leakage evidenced by a barrier integrity assay, underscores the utility of the membrane-free vascular chip in elucidating the dysfunction induced by Aβ with respect to the BBB.\ntitleTranslation: 利用3D微流控芯片模型研究β -淀粉样蛋白( amyloid beta，aβ )寡聚体对血脑屏障的影响。","publisher":"publisher","source":"www.mdpi.com","title":"Effects of amyloid beta (aβ) oligomers on blood–brain barrier using a 3D microfluidic vasculature-on-a-chip model","URL":"https://www.mdpi.com/2076-3417/14/9/3917","volume":"14","author":[{"family":"Uzoechi","given":"Samuel Chidiebere"},{"family":"Collins","given":"Boyce Edwin"},{"family":"Badeaux","given":"Cody Joseph"},{"family":"Li","given":"Yan"},{"family":"Kwak","given":"Sang Su"},{"family":"Kim","given":"Doo Yeon"},{"family":"Laskowitz","given":"Daniel Todd"},{"family":"Lee","given":"Jin-Moo"},{"family":"Yun","given":"Yeoheung"},{"family":"Uzoechi","given":"Samuel Chidiebere"},{"family":"Collins","given":"Boyce Edwin"},{"family":"Badeaux","given":"Cody Joseph"},{"family":"Li","given":"Yan"},{"family":"Kwak","given":"Sang Su"},{"family":"Kim","given":"Doo Yeon"},{"family":"Laskowitz","given":"Daniel Todd"},{"family":"Lee","given":"Jin-Moo"},{"family":"Yun","given":"Yeoheung"}],"accessed":{"date-parts":[["2025",12,15]]},"issued":{"date-parts":[["2024",5,4]]}}},{"id":2360,"uris":["http://zotero.org/users/16918528/items/WB3S63FX"],"itemData":{"id":2360,"type":"article-journal","abstract":"Human induced pluripotent stem cells (iPSC) hold promise for modeling diseases in individual human genetic backgrounds and thus for developing precision medicine. Here, we generate sensorimotor organoids containing physiologically functional neuromuscular junctions (NMJs) and apply the model to different subgroups of amyotrophic lateral sclerosis (ALS). Using a range of molecular, genomic, and physiological techniques, we identify and characterize motor neurons and skeletal muscle, along with sensory neurons, astrocytes, microglia, and vasculature. Organoid cultures derived from multiple human iPSC lines generated from individuals with ALS and isogenic lines edited to harbor familial ALS mutations show impairment at the level of the NMJ, as detected by both contraction and immunocytochemical measurements. The physiological resolution of the human NMJ synapse, combined with the generation of major cellular cohorts exerting autonomous and non-cell autonomous effects in motor and sensory diseases, may prove valuable to understand the pathophysiological mechanisms of ALS.","container-title":"Nature Communications","DOI":"10.1038/s41467-021-24776-4","ISSN":"2041-1723","issue":"1","journalAbbreviation":"Nat. Commun.","language":"en","license":"2021 The Author(s)","note":"remark: ImageXpress Micro Confocal  three-dimensional imaging of neurons\nTLDR: The physiological resolution of the human NMJ synapse, combined with the generation of major cellular cohorts exerting autonomous and non-cell autonomous effects in motor and sensory diseases, may prove valuable to understand the pathophysiological mechanisms of ALS.\ntitleTranslation: 来源于健康和肌萎缩侧索硬化症干细胞的人类感觉运动类器官形成神经肌肉接头。","page":"4744","publisher":"Nature Publishing Group","source":"www.nature.com","title":"Human sensorimotor organoids derived from healthy and amyotrophic lateral sclerosis stem cells form neuromuscular junctions","volume":"12","author":[{"family":"Pereira","given":"João D."},{"family":"DuBreuil","given":"Daniel M."},{"family":"Devlin","given":"Anna-Claire"},{"family":"Held","given":"Aaron"},{"family":"Sapir","given":"Yechiam"},{"family":"Berezovski","given":"Eugene"},{"family":"Hawrot","given":"James"},{"family":"Dorfman","given":"Katherine"},{"family":"Chander","given":"Vignesh"},{"family":"Wainger","given":"Brian J."}],"issued":{"date-parts":[["2021",8,6]]}}},{"id":2357,"uris":["http://zotero.org/users/16918528/items/NKNIN782"],"itemData":{"id":2357,"type":"article-journal","abstract":"There is an increasing interest in using three-dimensional (3D) cell structures for modeling tumors, organs, and tissue to accelerate translational research. We describe here a novel automated organoid assay system (the Pu·MA System) combined with microfluidic-based flowchips that can facilitate 3D cell-based assays. The flowchip is composed of sample wells, which contain organoids, connected to additional multiple wells that can hold various assay reagents. Organoids are positioned in a protected chamber in sample wells, and fluids are exchanged from side reservoirs using pressure-driven flow. Media exchange, sample staining, wash steps, and other processes can be performed without disruption to or loss of 3D sample. The bottom of the sample chamber is thin, optically clear plastic compatible with high-content imaging (HCI). The whole system can be kept in an incubator, allowing long-term cellular assays to be performed. We present two examples of use of the system for biological research. In the first example, cytotoxicity effects of anticancer drugs were evaluated on HeLa and HepG2 spheroids using HCI and vascular endothelial growth factor expression. In the second application, the flowchip system was used for the functional evaluation of Ca2+ oscillations in neurospheroids. Neurospheres were incubated with neuroactive compounds, and neuronal activity was assessed using Ca2+-sensitive dyes and fast kinetic fluorescence imaging. This novel assay system using microfluidics enables automation of 3D cell-based cultures that mimic in vivo conditions, performs multidosing protocols and multiple media exchanges, provides gentle handling of spheroids and organoids, and allows a wide range of assay detection modalities.","container-title":"SLAS Technology","DOI":"10.1177/24726303211000688","ISSN":"2472-6311","issue":"3","journalAbbreviation":"SLAS Technol.","language":"en","note":"remark: ImageXpress Micro Confocal  three-dimensional imaging of neurons\nTLDR: This novel assay system using microfluidics enables automation of 3D cell-based cultures that mimic in vivo conditions, performs multidosing protocols and multiple media exchanges, provides gentle handling of spheroids and organoids, and allows a wide range of assay detection modalities.\ntitleTranslation: 利用新型流式芯片系统和高内涵成像技术进行基于3D细胞的疾病建模。","page":"237-248","PMID":"33783259","source":"PubMed","title":"Disease modeling with 3D cell-based assays using a novel flowchip system and high-content imaging","volume":"26","author":[{"family":"Cromwell","given":"Evan F."},{"family":"Leung","given":"Michelle"},{"family":"Hammer","given":"Matthew"},{"family":"Thai","given":"Anthony"},{"family":"Rajendra","given":"Rashmi"},{"family":"Sirenko","given":"Oksana"}],"issued":{"date-parts":[["2021",6]]}}}],"schema":"https://github.com/citation-style-language/schema/raw/master/csl-citation.json"} </w:instrText>
      </w:r>
      <w:r>
        <w:rPr>
          <w:rFonts w:ascii="Calibri" w:hAnsi="Calibri" w:cs="Calibri"/>
          <w:sz w:val="24"/>
          <w:szCs w:val="24"/>
          <w:lang w:eastAsia="en-US"/>
        </w:rPr>
        <w:fldChar w:fldCharType="separate"/>
      </w:r>
      <w:r>
        <w:rPr>
          <w:rFonts w:ascii="Calibri" w:hAnsi="Calibri" w:cs="Calibri"/>
          <w:kern w:val="0"/>
          <w:sz w:val="24"/>
          <w:szCs w:val="24"/>
          <w:vertAlign w:val="superscript"/>
        </w:rPr>
        <w:t>7–9</w:t>
      </w:r>
      <w:r>
        <w:rPr>
          <w:rFonts w:ascii="Calibri" w:hAnsi="Calibri" w:cs="Calibri"/>
          <w:sz w:val="24"/>
          <w:szCs w:val="24"/>
          <w:lang w:eastAsia="en-US"/>
        </w:rPr>
        <w:fldChar w:fldCharType="end"/>
      </w:r>
      <w:r>
        <w:rPr>
          <w:rFonts w:ascii="Calibri" w:hAnsi="Calibri" w:cs="Calibri"/>
          <w:sz w:val="24"/>
          <w:szCs w:val="24"/>
          <w:lang w:eastAsia="en-US"/>
        </w:rPr>
        <w:t>.</w:t>
      </w:r>
    </w:p>
    <w:p w14:paraId="02514BB8">
      <w:pPr>
        <w:rPr>
          <w:rFonts w:ascii="Calibri" w:hAnsi="Calibri" w:cs="Calibri"/>
          <w:sz w:val="24"/>
          <w:szCs w:val="24"/>
          <w:lang w:eastAsia="en-US"/>
        </w:rPr>
      </w:pPr>
    </w:p>
    <w:p w14:paraId="09291B41">
      <w:pPr>
        <w:rPr>
          <w:rFonts w:ascii="Calibri" w:hAnsi="Calibri" w:cs="Calibri"/>
          <w:sz w:val="24"/>
          <w:szCs w:val="24"/>
          <w:lang w:eastAsia="en-US"/>
        </w:rPr>
      </w:pPr>
      <w:r>
        <w:rPr>
          <w:rFonts w:ascii="Calibri" w:hAnsi="Calibri" w:cs="Calibri"/>
          <w:sz w:val="24"/>
          <w:szCs w:val="24"/>
          <w:lang w:eastAsia="en-US"/>
        </w:rPr>
        <w:t>Despite the significant advantages of High-Content Imaging System technology, several issues remain with its imaging process. In the sample preparation stage, there is a high degree of subjectivity. In biological sample preparation, processes such as cell handling and staining lack relevant standards. In terms of imaging parameters, there are notable differences in exposure times and well plate selections across laboratories and high-content microscope models. In the data processing phase, there is a lack of standardization from noise reduction and contrast adjustment of raw images to the parameter identification and determination of target features. These issues directly lead to biases in microscope imaging results, causing a crisis of reproducibility.</w:t>
      </w:r>
    </w:p>
    <w:p w14:paraId="0ADCBC4D">
      <w:pPr>
        <w:rPr>
          <w:rFonts w:ascii="Calibri" w:hAnsi="Calibri" w:cs="Calibri"/>
          <w:sz w:val="24"/>
          <w:szCs w:val="24"/>
          <w:lang w:eastAsia="en-US"/>
        </w:rPr>
      </w:pPr>
    </w:p>
    <w:p w14:paraId="09074B55">
      <w:pPr>
        <w:rPr>
          <w:rFonts w:ascii="Calibri" w:hAnsi="Calibri" w:cs="Calibri"/>
          <w:b/>
          <w:bCs/>
          <w:sz w:val="24"/>
          <w:szCs w:val="24"/>
          <w:lang w:eastAsia="en-US"/>
        </w:rPr>
      </w:pPr>
      <w:r>
        <w:rPr>
          <w:rFonts w:ascii="Calibri" w:hAnsi="Calibri" w:cs="Calibri"/>
          <w:b/>
          <w:bCs/>
          <w:sz w:val="24"/>
          <w:szCs w:val="24"/>
          <w:lang w:eastAsia="en-US"/>
        </w:rPr>
        <w:t>PROTOCOL:</w:t>
      </w:r>
    </w:p>
    <w:p w14:paraId="0870D771">
      <w:pPr>
        <w:rPr>
          <w:rFonts w:ascii="Calibri" w:hAnsi="Calibri" w:cs="Calibri"/>
          <w:sz w:val="24"/>
          <w:szCs w:val="24"/>
          <w:lang w:eastAsia="en-US"/>
        </w:rPr>
      </w:pPr>
      <w:r>
        <w:rPr>
          <w:rFonts w:ascii="Calibri" w:hAnsi="Calibri" w:cs="Calibri"/>
          <w:sz w:val="24"/>
          <w:szCs w:val="24"/>
          <w:lang w:eastAsia="en-US"/>
        </w:rPr>
        <w:t>This protocol uses a commercial cell line (HT22, ATCC) and does not involve human subjects or primary human tissues. No animals were used in this study.</w:t>
      </w:r>
    </w:p>
    <w:p w14:paraId="463D00C6">
      <w:pPr>
        <w:rPr>
          <w:rFonts w:ascii="Calibri" w:hAnsi="Calibri" w:cs="Calibri"/>
          <w:sz w:val="24"/>
          <w:szCs w:val="24"/>
          <w:lang w:eastAsia="en-US"/>
        </w:rPr>
      </w:pPr>
    </w:p>
    <w:p w14:paraId="16933593">
      <w:pPr>
        <w:pStyle w:val="19"/>
        <w:numPr>
          <w:ilvl w:val="0"/>
          <w:numId w:val="1"/>
        </w:numPr>
        <w:ind w:left="0" w:firstLine="0" w:firstLineChars="0"/>
        <w:rPr>
          <w:rFonts w:ascii="Calibri" w:hAnsi="Calibri" w:cs="Calibri"/>
          <w:b/>
          <w:bCs/>
          <w:sz w:val="24"/>
          <w:szCs w:val="24"/>
          <w:lang w:eastAsia="en-US"/>
        </w:rPr>
      </w:pPr>
      <w:r>
        <w:rPr>
          <w:rFonts w:ascii="Calibri" w:hAnsi="Calibri" w:cs="Calibri"/>
          <w:b/>
          <w:bCs/>
          <w:sz w:val="24"/>
          <w:szCs w:val="24"/>
          <w:lang w:eastAsia="en-US"/>
        </w:rPr>
        <w:t>Standardized sample preparation</w:t>
      </w:r>
    </w:p>
    <w:p w14:paraId="07F67B8F">
      <w:pPr>
        <w:pStyle w:val="19"/>
        <w:ind w:firstLine="0" w:firstLineChars="0"/>
        <w:rPr>
          <w:rFonts w:ascii="Calibri" w:hAnsi="Calibri" w:cs="Calibri"/>
          <w:sz w:val="24"/>
          <w:szCs w:val="24"/>
          <w:lang w:eastAsia="en-US"/>
        </w:rPr>
      </w:pPr>
    </w:p>
    <w:p w14:paraId="19332A54">
      <w:pPr>
        <w:pStyle w:val="19"/>
        <w:numPr>
          <w:ilvl w:val="1"/>
          <w:numId w:val="1"/>
        </w:numPr>
        <w:ind w:left="0" w:firstLine="0" w:firstLineChars="0"/>
        <w:rPr>
          <w:rFonts w:ascii="Calibri" w:hAnsi="Calibri" w:cs="Calibri"/>
          <w:sz w:val="24"/>
          <w:szCs w:val="24"/>
          <w:lang w:eastAsia="en-US"/>
        </w:rPr>
      </w:pPr>
      <w:r>
        <w:rPr>
          <w:rFonts w:ascii="Calibri" w:hAnsi="Calibri" w:cs="Calibri"/>
          <w:sz w:val="24"/>
          <w:szCs w:val="24"/>
        </w:rPr>
        <w:t>Prepare HT22 cells</w:t>
      </w:r>
    </w:p>
    <w:p w14:paraId="2D70C5C8">
      <w:pPr>
        <w:pStyle w:val="19"/>
        <w:ind w:firstLine="0" w:firstLineChars="0"/>
        <w:rPr>
          <w:rFonts w:ascii="Calibri" w:hAnsi="Calibri" w:cs="Calibri"/>
          <w:sz w:val="24"/>
          <w:szCs w:val="24"/>
          <w:lang w:eastAsia="en-US"/>
        </w:rPr>
      </w:pPr>
    </w:p>
    <w:p w14:paraId="5B42E8F5">
      <w:pPr>
        <w:pStyle w:val="19"/>
        <w:numPr>
          <w:ilvl w:val="2"/>
          <w:numId w:val="1"/>
        </w:numPr>
        <w:ind w:left="0" w:firstLine="0" w:firstLineChars="0"/>
        <w:rPr>
          <w:rFonts w:ascii="Calibri" w:hAnsi="Calibri" w:cs="Calibri"/>
          <w:sz w:val="24"/>
          <w:szCs w:val="24"/>
        </w:rPr>
      </w:pPr>
      <w:r>
        <w:rPr>
          <w:rFonts w:ascii="Calibri" w:hAnsi="Calibri" w:cs="Calibri"/>
          <w:sz w:val="24"/>
          <w:szCs w:val="24"/>
        </w:rPr>
        <w:t>When the confluence of HT22 cells reaches 80%</w:t>
      </w:r>
      <w:r>
        <w:rPr>
          <w:rFonts w:ascii="Calibri" w:hAnsi="Calibri" w:cs="Calibri"/>
          <w:sz w:val="24"/>
          <w:szCs w:val="24"/>
          <w:vertAlign w:val="superscript"/>
          <w:lang w:eastAsia="en-US"/>
        </w:rPr>
        <w:fldChar w:fldCharType="begin"/>
      </w:r>
      <w:r>
        <w:rPr>
          <w:rFonts w:ascii="Calibri" w:hAnsi="Calibri" w:cs="Calibri"/>
          <w:sz w:val="24"/>
          <w:szCs w:val="24"/>
          <w:vertAlign w:val="superscript"/>
          <w:lang w:eastAsia="en-US"/>
        </w:rPr>
        <w:instrText xml:space="preserve"> ADDIN ZOTERO_ITEM CSL_CITATION {"citationID":"uSaMYfAQ","properties":{"unsorted":false,"formattedCitation":"\\super 10,11\\nosupersub{}","plainCitation":"10,11","noteIndex":0},"citationItems":[{"id":2330,"uris":["http://zotero.org/users/16918528/items/G6ZSZQPM"],"itemData":{"id":2330,"type":"article-journal","abstract":"The proper functioning of the nervous system determines the homeostasis of the entire body. There are many known approaches designed to positively stimulate the functions of the central nervous system by applying various plants and fungal extracts, but their course of action is poorly understood. Hericium erinaceus and Ganoderma lucidum are examples of fungi with medicinal properties and with a positive health-promoting effect. Therefore, the aim of our study was to evaluate the effect of H. erinaceus or G. lucidum M-CFS with their active metabolites alone and/or in co-treatment with CAY10464 [antagonist of aryl hydrocarbon receptor (AhR)] on the metabolic parameters, cell cycle, and selected protein expression.","container-title":"Pharmacological Reports","DOI":"10.1007/s43440-025-00767-w","ISSN":"2299-5684","issue":"6","journalAbbreviation":"Pharmacol. Rep.","language":"en","note":"remark: HT22 cells reached 80% confluency\nTLDR: Evaluating the effect of H. erinaceus or G. lucidum M-CFS with their active metabolites alone and/or in co-treatment with CAY10464 on the metabolic parameters, cell cycle, and selected protein expression found them to have a pro-proliferative effect on the HT-22 cell line.","page":"1557-1572","source":"Springer Link","title":"Impact of hericium erinaceus and ganoderma lucidum metabolites on AhR activation in neuronal HT-22 cells","volume":"77","author":[{"family":"Tabęcka-Łonczyńska","given":"Anna"},{"family":"Skóra","given":"Bartosz"},{"family":"Szlachcikowska","given":"Dominika"},{"family":"Jastrząb","given":"Rafał"},{"family":"Marć","given":"Małgorzata Anna"},{"family":"Mytych","given":"Jennifer"},{"family":"Koszła","given":"Oliwia"},{"family":"Sołek","given":"Przemysław"},{"family":"Szychowski","given":"Konrad A."}],"issued":{"date-parts":[["2025",12,1]]}}},{"id":2303,"uris":["http://zotero.org/users/16918528/items/UU44BFD8"],"itemData":{"id":2303,"type":"article-journal","abstract":"Increasing evidence has revealed that the uncontrolled thrombin-induced inflammation following intracerebral hemorrhage (ICH) plays a key role in ICH. Oxidative stress and neuroinflammatory responses are interdependent and bidirectional events. Melatonin is now recognized as an antioxidant and a free radical scavenger due to its roles in various physiological and pathological processes. The aim of this study was to explore the molecular mechanisms underlying the effects of melatonin on thrombin-induced microglial inflammation and its indirect protection of HT22 cells from p53-associated apoptosis. Melatonin treatment attenuated the expression of IL-1β, IL-18, cleaved caspase-1, and NLRP3 and decreased the production of reactive oxygen species (ROS), revealing its inhibitory effects against ROS-NLRP3 inflammasome activation. In further experiments investigating the protection conferred by melatonin, incubating HT22 cells with conditioned medium (CM) from thrombin-stimulated microglia induced HT22 cell apoptosis, and this effect was reversed after treating CM with either melatonin or N-acetyl-l-cysteine (NAC). Additionally, the Bax/Bcl-2 ratio and the levels of cleaved caspase-3 and p53 were markedly lower in the cells cultured in thrombin + melatonin-CM than in the cells cultured in thrombin-CM. Furthermore, the levels of MMP, ROS, SOD, MDA, and GSH-PX in bystander HT22 cells suggested that melatonin decreased HT22 cell apoptosis instigated via the p53-associated apoptotic pathway. Therefore, these findings strongly indicate the anti-inflammatory properties of melatonin that may suppress ROS-NLRP3 inflammasome activation and protect HT22 cells against apoptosis by inhibiting the ROS-mediated p53-dependent mitochondrial apoptotic pathway.","container-title":"Inflammation","DOI":"10.1007/s10753-020-01270-5","ISSN":"1573-2576","issue":"5","journalAbbreviation":"Inflammation","language":"en","note":"remark: HT22 cells reached 80% confluency\nTLDR: Findings strongly indicate the anti-inflammatory properties of melatonin that may suppress ROS-NLRP3 inflammasome activation and protect HT22 cells against apoptosis by inhibiting the ROS-mediated p53-dependent mitochondrial apoptotic pathway.","page":"1959-1970","source":"Springer Link","title":"Melatonin attenuates thrombin-induced inflammation in BV2 cells and then protects HT22 cells from apoptosis","volume":"43","author":[{"family":"Tang","given":"Jiao"},{"family":"Chen","given":"Rui"},{"family":"Wang","given":"Lingling"},{"family":"Yu","given":"Lu"},{"family":"Zuo","given":"Dandan"},{"family":"Cui","given":"Guiyun"},{"family":"Gong","given":"Xiaoqian"}],"issued":{"date-parts":[["2020",10,1]]}}}],"schema":"https://github.com/citation-style-language/schema/raw/master/csl-citation.json"} </w:instrText>
      </w:r>
      <w:r>
        <w:rPr>
          <w:rFonts w:ascii="Calibri" w:hAnsi="Calibri" w:cs="Calibri"/>
          <w:sz w:val="24"/>
          <w:szCs w:val="24"/>
          <w:vertAlign w:val="superscript"/>
          <w:lang w:eastAsia="en-US"/>
        </w:rPr>
        <w:fldChar w:fldCharType="separate"/>
      </w:r>
      <w:r>
        <w:rPr>
          <w:rFonts w:ascii="Calibri" w:hAnsi="Calibri" w:cs="Calibri"/>
          <w:kern w:val="0"/>
          <w:sz w:val="24"/>
          <w:szCs w:val="24"/>
          <w:vertAlign w:val="superscript"/>
        </w:rPr>
        <w:t>10,11</w:t>
      </w:r>
      <w:r>
        <w:rPr>
          <w:rFonts w:ascii="Calibri" w:hAnsi="Calibri" w:cs="Calibri"/>
          <w:sz w:val="24"/>
          <w:szCs w:val="24"/>
          <w:vertAlign w:val="superscript"/>
          <w:lang w:eastAsia="en-US"/>
        </w:rPr>
        <w:fldChar w:fldCharType="end"/>
      </w:r>
      <w:r>
        <w:rPr>
          <w:rFonts w:ascii="Calibri" w:hAnsi="Calibri" w:cs="Calibri"/>
          <w:sz w:val="24"/>
          <w:szCs w:val="24"/>
        </w:rPr>
        <w:t>, discard the old medium. Use 0.25% trypsin to dislodge the cells, incubating for 1–2 min at room temperature.</w:t>
      </w:r>
    </w:p>
    <w:p w14:paraId="611C5384">
      <w:pPr>
        <w:pStyle w:val="19"/>
        <w:ind w:firstLine="0" w:firstLineChars="0"/>
        <w:rPr>
          <w:rFonts w:ascii="Calibri" w:hAnsi="Calibri" w:cs="Calibri"/>
          <w:sz w:val="24"/>
          <w:szCs w:val="24"/>
        </w:rPr>
      </w:pPr>
    </w:p>
    <w:p w14:paraId="7EDCCB6D">
      <w:pPr>
        <w:pStyle w:val="19"/>
        <w:numPr>
          <w:ilvl w:val="2"/>
          <w:numId w:val="1"/>
        </w:numPr>
        <w:ind w:left="0" w:firstLine="0" w:firstLineChars="0"/>
        <w:rPr>
          <w:rFonts w:ascii="Calibri" w:hAnsi="Calibri" w:cs="Calibri"/>
          <w:sz w:val="24"/>
          <w:szCs w:val="24"/>
        </w:rPr>
      </w:pPr>
      <w:r>
        <w:rPr>
          <w:rFonts w:ascii="Calibri" w:hAnsi="Calibri" w:cs="Calibri"/>
          <w:sz w:val="24"/>
          <w:szCs w:val="24"/>
        </w:rPr>
        <w:t>Add Dulbecco’s Modified Eagle Medium (DMEM) at 3x the volume of 0.25% trypsin to stop the dislodgment. Transfer the cell suspension to a 15 mL centrifuge tube.</w:t>
      </w:r>
    </w:p>
    <w:p w14:paraId="455D1D4A">
      <w:pPr>
        <w:pStyle w:val="19"/>
        <w:ind w:firstLine="0" w:firstLineChars="0"/>
        <w:rPr>
          <w:rFonts w:ascii="Calibri" w:hAnsi="Calibri" w:cs="Calibri"/>
          <w:sz w:val="24"/>
          <w:szCs w:val="24"/>
        </w:rPr>
      </w:pPr>
    </w:p>
    <w:p w14:paraId="627AC4E8">
      <w:pPr>
        <w:pStyle w:val="19"/>
        <w:numPr>
          <w:ilvl w:val="2"/>
          <w:numId w:val="1"/>
        </w:numPr>
        <w:ind w:left="0" w:firstLine="0" w:firstLineChars="0"/>
        <w:rPr>
          <w:rFonts w:ascii="Calibri" w:hAnsi="Calibri" w:cs="Calibri"/>
          <w:sz w:val="24"/>
          <w:szCs w:val="24"/>
        </w:rPr>
      </w:pPr>
      <w:r>
        <w:rPr>
          <w:rFonts w:ascii="Calibri" w:hAnsi="Calibri" w:cs="Calibri"/>
          <w:sz w:val="24"/>
          <w:szCs w:val="24"/>
        </w:rPr>
        <w:t xml:space="preserve">Centrifuge at 175 x </w:t>
      </w:r>
      <w:r>
        <w:rPr>
          <w:rFonts w:ascii="Calibri" w:hAnsi="Calibri" w:cs="Calibri"/>
          <w:i/>
          <w:iCs/>
          <w:sz w:val="24"/>
          <w:szCs w:val="24"/>
        </w:rPr>
        <w:t>g</w:t>
      </w:r>
      <w:r>
        <w:rPr>
          <w:rFonts w:ascii="Calibri" w:hAnsi="Calibri" w:cs="Calibri"/>
          <w:sz w:val="24"/>
          <w:szCs w:val="24"/>
        </w:rPr>
        <w:t xml:space="preserve"> for 3 min at room temperature, then discard the supernatant. Resuspend the cells in complete DMEM to create a single-cell suspension.</w:t>
      </w:r>
    </w:p>
    <w:p w14:paraId="54526102">
      <w:pPr>
        <w:pStyle w:val="19"/>
        <w:ind w:firstLine="0" w:firstLineChars="0"/>
        <w:rPr>
          <w:rFonts w:ascii="Calibri" w:hAnsi="Calibri" w:cs="Calibri"/>
          <w:sz w:val="24"/>
          <w:szCs w:val="24"/>
        </w:rPr>
      </w:pPr>
    </w:p>
    <w:p w14:paraId="406DA3F7">
      <w:pPr>
        <w:pStyle w:val="19"/>
        <w:numPr>
          <w:ilvl w:val="2"/>
          <w:numId w:val="1"/>
        </w:numPr>
        <w:ind w:left="0" w:firstLine="0" w:firstLineChars="0"/>
        <w:rPr>
          <w:rFonts w:ascii="Calibri" w:hAnsi="Calibri" w:cs="Calibri"/>
          <w:sz w:val="24"/>
          <w:szCs w:val="24"/>
        </w:rPr>
      </w:pPr>
      <w:r>
        <w:rPr>
          <w:rFonts w:ascii="Calibri" w:hAnsi="Calibri" w:cs="Calibri"/>
          <w:sz w:val="24"/>
          <w:szCs w:val="24"/>
        </w:rPr>
        <w:t>Count the cells using a cell counting chamber. Seed 5,000 cells per well in 100 μL of complete medium into a 96-well plate</w:t>
      </w:r>
      <w:r>
        <w:rPr>
          <w:rFonts w:ascii="Calibri" w:hAnsi="Calibri" w:cs="Calibri"/>
          <w:sz w:val="24"/>
          <w:szCs w:val="24"/>
        </w:rPr>
        <w:fldChar w:fldCharType="begin"/>
      </w:r>
      <w:r>
        <w:rPr>
          <w:rFonts w:ascii="Calibri" w:hAnsi="Calibri" w:cs="Calibri"/>
          <w:sz w:val="24"/>
          <w:szCs w:val="24"/>
        </w:rPr>
        <w:instrText xml:space="preserve"> ADDIN ZOTERO_ITEM CSL_CITATION {"citationID":"fImSiMIw","properties":{"unsorted":false,"formattedCitation":"\\super 12\\nosupersub{}","plainCitation":"12","noteIndex":0},"citationItems":[{"id":2344,"uris":["http://zotero.org/users/16918528/items/ZQTWRQQZ"],"itemData":{"id":2344,"type":"article-journal","abstract":"Oxidative stress causes diverse neurological disorders. Parthanatos is a type of programmed cell death, characterised by strong activation of poly (ADP-ribose) (PAR) polymerase-1 (PARP-1), PAR polymer accumulation, and nuclear translocation of apoptosis-inducing factor (AIF), and is involved in cellular oxidative injury. Signalling by c-Jun-N-terminal protein kinase (JNK) is activated by reactive oxygen species (ROS), and this also contributes to ROS production. However, the exact relationship between JNK signalling and parthanatos in neurological disorders triggered by oxidative stress is unclear. In this study, glutamate-treated HT22 neurons were used to investigate whether the signalling by JNK contributes a regulatory role to parthanatos in oxidative stress-related neurological disease. JNK signalling was activated in glutamate-treated HT22 neurons, demonstrated via upregulation of p-JNK levels. Pre-treatment with SP600125 markedly inhibited JNK signalling, increased cell viability, and significantly reversed PARP-1 overproduction, PAR polymer accumulation, and nuclear AIF translocation. In addition, inhibition of JNK signalling severely reduced the production of both intracellular ROS and mitochondria superoxide. This study indicated that parthanatos in glutamate-treated HT22 neurons could be suppressed by JNK signalling inhibition. JNK activation participated in parthanatos via an increase in intracellular ROS levels.","container-title":"Scientific Reports","DOI":"10.1038/s41598-024-76640-2","ISSN":"2045-2322","issue":"1","journalAbbreviation":"Sci. Rep.","language":"en","license":"2024 The Author(s)","note":"remark: HT22 (5000)complete medium into a 96-well plate\nTLDR: This study indicated that parthanatos in glutamate-treated HT22 neurons could be suppressed by JNK signalling inhibition, indicated that parthanatos in glutamate-treated HT22 neurons could be suppressed by JNK signalling inhibition.","page":"25793","publisher":"Nature Publishing Group","source":"www.nature.com","title":"Suppression of JNK pathway protects neurons from oxidative injury via attenuating parthanatos in glutamate-treated HT22 neurons","volume":"14","author":[{"family":"Zhang","given":"Wuqiong"},{"family":"Sun","given":"Huaiyu"},{"family":"Zhao","given":"Weixuan"},{"family":"Li","given":"Jiaai"},{"family":"Meng","given":"Hongmei"}],"issued":{"date-parts":[["2024",10,28]]}}}],"schema":"https://github.com/citation-style-language/schema/raw/master/csl-citation.json"} </w:instrText>
      </w:r>
      <w:r>
        <w:rPr>
          <w:rFonts w:ascii="Calibri" w:hAnsi="Calibri" w:cs="Calibri"/>
          <w:sz w:val="24"/>
          <w:szCs w:val="24"/>
        </w:rPr>
        <w:fldChar w:fldCharType="separate"/>
      </w:r>
      <w:r>
        <w:rPr>
          <w:rFonts w:ascii="Calibri" w:hAnsi="Calibri" w:cs="Calibri"/>
          <w:kern w:val="0"/>
          <w:sz w:val="24"/>
          <w:szCs w:val="24"/>
          <w:vertAlign w:val="superscript"/>
        </w:rPr>
        <w:t>12</w:t>
      </w:r>
      <w:r>
        <w:rPr>
          <w:rFonts w:ascii="Calibri" w:hAnsi="Calibri" w:cs="Calibri"/>
          <w:sz w:val="24"/>
          <w:szCs w:val="24"/>
        </w:rPr>
        <w:fldChar w:fldCharType="end"/>
      </w:r>
      <w:r>
        <w:rPr>
          <w:rFonts w:ascii="Calibri" w:hAnsi="Calibri" w:cs="Calibri"/>
          <w:sz w:val="24"/>
          <w:szCs w:val="24"/>
        </w:rPr>
        <w:t>.</w:t>
      </w:r>
    </w:p>
    <w:p w14:paraId="43BFE31A">
      <w:pPr>
        <w:pStyle w:val="19"/>
        <w:ind w:firstLine="0" w:firstLineChars="0"/>
        <w:rPr>
          <w:rFonts w:ascii="Calibri" w:hAnsi="Calibri" w:cs="Calibri"/>
          <w:sz w:val="24"/>
          <w:szCs w:val="24"/>
        </w:rPr>
      </w:pPr>
    </w:p>
    <w:p w14:paraId="1573B11D">
      <w:pPr>
        <w:pStyle w:val="19"/>
        <w:numPr>
          <w:ilvl w:val="2"/>
          <w:numId w:val="1"/>
        </w:numPr>
        <w:ind w:left="0" w:firstLine="0" w:firstLineChars="0"/>
        <w:rPr>
          <w:rFonts w:ascii="Calibri" w:hAnsi="Calibri" w:cs="Calibri"/>
          <w:sz w:val="24"/>
          <w:szCs w:val="24"/>
        </w:rPr>
      </w:pPr>
      <w:r>
        <w:rPr>
          <w:rFonts w:ascii="Calibri" w:hAnsi="Calibri" w:cs="Calibri"/>
          <w:sz w:val="24"/>
          <w:szCs w:val="24"/>
        </w:rPr>
        <w:t>Incubate the plate at 37 °C with 5% CO</w:t>
      </w:r>
      <w:r>
        <w:rPr>
          <w:rFonts w:ascii="Calibri" w:hAnsi="Calibri" w:cs="Calibri"/>
          <w:sz w:val="24"/>
          <w:szCs w:val="24"/>
          <w:vertAlign w:val="subscript"/>
        </w:rPr>
        <w:t>2</w:t>
      </w:r>
      <w:r>
        <w:rPr>
          <w:rFonts w:ascii="Calibri" w:hAnsi="Calibri" w:cs="Calibri"/>
          <w:sz w:val="24"/>
          <w:szCs w:val="24"/>
        </w:rPr>
        <w:t xml:space="preserve"> for 24 h. Perform sample grouping, dosing, and staining operations in the 96-well plate according to the experimental design.</w:t>
      </w:r>
    </w:p>
    <w:p w14:paraId="42A2BC05">
      <w:pPr>
        <w:pStyle w:val="19"/>
        <w:ind w:firstLine="480"/>
        <w:rPr>
          <w:rFonts w:ascii="Calibri" w:hAnsi="Calibri" w:cs="Calibri"/>
          <w:sz w:val="24"/>
          <w:szCs w:val="24"/>
        </w:rPr>
      </w:pPr>
    </w:p>
    <w:p w14:paraId="2A0BF951">
      <w:pPr>
        <w:pStyle w:val="19"/>
        <w:ind w:firstLine="0" w:firstLineChars="0"/>
        <w:rPr>
          <w:rFonts w:ascii="Calibri" w:hAnsi="Calibri" w:cs="Calibri"/>
          <w:sz w:val="24"/>
          <w:szCs w:val="24"/>
        </w:rPr>
      </w:pPr>
      <w:r>
        <w:rPr>
          <w:rFonts w:ascii="Calibri" w:hAnsi="Calibri" w:cs="Calibri"/>
          <w:sz w:val="24"/>
          <w:szCs w:val="24"/>
        </w:rPr>
        <w:t>NOTE: Use a 96-well plate compatible with the imaging system. Select a plate with the appropriate bottom thickness and geometry, per the manufacturer's specifications. Glass-bottom plates (130–170 μm bottom thickness) are recommended when higher image quality is required</w:t>
      </w:r>
      <w:r>
        <w:rPr>
          <w:rFonts w:ascii="Calibri" w:hAnsi="Calibri" w:cs="Calibri"/>
          <w:sz w:val="24"/>
          <w:szCs w:val="24"/>
        </w:rPr>
        <w:fldChar w:fldCharType="begin"/>
      </w:r>
      <w:r>
        <w:rPr>
          <w:rFonts w:ascii="Calibri" w:hAnsi="Calibri" w:cs="Calibri"/>
          <w:sz w:val="24"/>
          <w:szCs w:val="24"/>
        </w:rPr>
        <w:instrText xml:space="preserve"> ADDIN ZOTERO_ITEM CSL_CITATION {"citationID":"w0J8alEB","properties":{"unsorted":false,"formattedCitation":"\\super 13\\uc0\\u8211{}16\\nosupersub{}","plainCitation":"13–16","noteIndex":0},"citationItems":[{"id":2375,"uris":["http://zotero.org/users/16918528/items/QDD98SYP"],"itemData":{"id":2375,"type":"article-journal","abstract":"Ca2+ overload-induced mitochondrial dysfunction is considered as a major contributing factor in the pathogenesis of alcohol-associated liver disease (ALD). However, the initiating factors that drive mitochondrial Ca2+ accumulation in ALD remain elusive. Here, we demonstrate that an aberrant increase in hepatic GRP75-mediated mitochondria-associated ER membrane (MAM) Ca2+-channeling (MCC) complex formation promotes mitochondrial dysfunction in vitro and in male mouse model of ALD. Unbiased transcriptomic analysis reveals PDK4 as a prominently inducible MAM kinase in ALD. Analysis of human ALD cohorts further corroborate these findings. Additional mass spectrometry analysis unveils GRP75 as a downstream phosphorylation target of PDK4. Conversely, non-phosphorylatable GRP75 mutation or genetic ablation of PDK4 prevents alcohol-induced MCC complex formation and subsequent mitochondrial Ca2+ accumulation and dysfunction. Finally, ectopic induction of MAM formation reverses the protective effect of PDK4 deficiency in alcohol-induced liver injury. Together, our study defines a mediatory role of PDK4 in promoting mitochondrial dysfunction in ALD.","container-title":"Nature Communications","DOI":"10.1038/s41467-023-37214-4","ISSN":"2041-1723","issue":"1","journalAbbreviation":"Nat. Commun.","language":"en","license":"2023 The Author(s)","note":"remark: ImageXpress Micro Confocal  96-well plates 3603\nTLDR: PDK4 promotes Ca2 + -channelling complex formation at the endoplasmic reticulum-mitochondria contact sites, which contributes to the pathogenesis of alcohol-associated liver disease in studies with male mouse and hepatocyte models.","page":"1703","publisher":"Nature Publishing Group","source":"www.nature.com","title":"Enhanced Ca2+-channeling complex formation at the ER-mitochondria interface underlies the pathogenesis of alcohol-associated liver disease","volume":"14","author":[{"family":"Thoudam","given":"Themis"},{"family":"Chanda","given":"Dipanjan"},{"family":"Lee","given":"Jung Yi"},{"family":"Jung","given":"Min-Kyo"},{"family":"Sinam","given":"Ibotombi Singh"},{"family":"Kim","given":"Byung-Gyu"},{"family":"Park","given":"Bo-Yoon"},{"family":"Kwon","given":"Woong Hee"},{"family":"Kim","given":"Hyo-Jeong"},{"family":"Kim","given":"Myeongjin"},{"family":"Lim","given":"Chae Won"},{"family":"Lee","given":"Hoyul"},{"family":"Huh","given":"Yang Hoon"},{"family":"Miller","given":"Caroline A."},{"family":"Saxena","given":"Romil"},{"family":"Skill","given":"Nicholas J."},{"family":"Huda","given":"Nazmul"},{"family":"Kusumanchi","given":"Praveen"},{"family":"Ma","given":"Jing"},{"family":"Yang","given":"Zhihong"},{"family":"Kim","given":"Min-Ji"},{"family":"Mun","given":"Ji Young"},{"family":"Harris","given":"Robert A."},{"family":"Jeon","given":"Jae-Han"},{"family":"Liangpunsakul","given":"Suthat"},{"family":"Lee","given":"In-Kyu"}],"issued":{"date-parts":[["2023",3,27]]}}},{"id":2394,"uris":["http://zotero.org/users/16918528/items/7MBCKDPM"],"itemData":{"id":2394,"type":"article-journal","abstract":"The side effects of platinum-based chemotherapy are important factors limiting the survival of oral squamous cell carcinoma (OSCC) patients. Current research suggests that pyroptosis is involved in this process. However, how this mechanism can be used to reduce side effects has not yet been elucidated. In this study, we reported that GSDME was expressed at higher levels in normal tissues than in cancerous tissues in OSCC patients and was the main cause of platinum-based side effects. In an OSCC xenograft model, the inflammatory status and GSDME expression were increased after cisplatin chemotherapy. Cellular experiments showed that higher expression of GSDME was associated with less chemoresistance to cisplatin. A subsequent study demonstrated that cisplatin treatment promotes the maturation of caspase-3, triggers GSDME-mediated pyroptosis and induces cell death. When the amino acid sequence of GSDME cleaved by caspase-3 was mutated, cellular death and pyroptosis induced by cisplatin were significantly inhibited. Moreover, application of vitamin D during cisplatin-based chemotherapy could successfully inhibit GSDME cleavage and pyroptotic cell death in vitro and in vivo. Taken together, our study revealed that vitamin D can inhibit caspase-3-mediated GSDME cleavage and thus reduce normal tissue pyroptosis, relieving chemotherapeutic side effects. Inhibition of systemic GSDME during chemotherapy is currently unachievable. Vitamin D supplementation during chemotherapy in OSCC patients might be able to reduce the process described above and benefit patients. However, additional follow-up clinical studies are needed.","container-title":"American Journal of Cancer Research","ISSN":"2156-6976","issue":"12","journalAbbreviation":"Am. J. Cancer Res.","language":"en","note":"remark: ImageXpress Micro Confocal  96-well plates 3599","page":"4287-4307","PMID":"33415000","PMCID":"PMC7783734","source":"PubMed Central","title":"Inhibition of caspase-3-mediated GSDME-derived pyroptosis aids in noncancerous tissue protection of squamous cell carcinoma patients during cisplatin-based chemotherapy","volume":"10","author":[{"family":"Huang","given":"Zixian"},{"family":"Zhang","given":"Qianyu"},{"family":"Wang","given":"Yan"},{"family":"Chen","given":"Rui"},{"family":"Wang","given":"Yongqiang"},{"family":"Huang","given":"Zhuoshan"},{"family":"Zhou","given":"Guangming"},{"family":"Li","given":"Haigang"},{"family":"Rui","given":"Xi"},{"family":"Jin","given":"Tingting"},{"family":"Li","given":"Shihao"},{"family":"Zhang","given":"Yin"},{"family":"Huang","given":"Zhiquan"}],"issued":{"date-parts":[["2020",12,1]]}}},{"id":2377,"uris":["http://zotero.org/users/16918528/items/TWWUMP7R"],"itemData":{"id":2377,"type":"article-journal","abstract":"In Alzheimer's disease (AD), dysfunctional mitochondrial metabolism is associated with synaptic loss, the major pathological correlate of cognitive decline. Mechanistic insight for this relationship, however, is still lacking. Here, comparing isogenic wild-type and AD mutant human induced pluripotent stem cell (hiPSC)-derived cerebrocortical neurons (hiN), evidence is found for compromised mitochondrial energy in AD using the Seahorse platform to analyze glycolysis and oxidative phosphorylation (OXPHOS). Isotope-labeled metabolic flux experiments revealed a major block in activity in the tricarboxylic acid (TCA) cycle at the α-ketoglutarate dehydrogenase (αKGDH)/succinyl coenzyme-A synthetase step, metabolizing α-ketoglutarate to succinate. Associated with this block, aberrant protein S-nitrosylation of αKGDH subunits inhibited their enzyme function. This aberrant S-nitrosylation is documented not only in AD-hiN but also in postmortem human AD brains versus controls, as assessed by two separate unbiased mass spectrometry platforms using both SNOTRAP identification of S-nitrosothiols and chemoselective-enrichment of S-nitrosoproteins. Treatment with dimethyl succinate, a cell-permeable derivative of a TCA substrate downstream to the block, resulted in partial rescue of mitochondrial bioenergetic function as well as reversal of synapse loss in AD-hiN. These findings have therapeutic implications that rescue of mitochondrial energy metabolism can ameliorate synaptic loss in hiPSC-based models of AD.","container-title":"Advanced Science","DOI":"10.1002/advs.202306469","ISSN":"2198-3844","issue":"12","journalAbbreviation":"Adv. Sci.","language":"en","license":"© 2024 The Authors. Advanced Science published by Wiley-VCH GmbH","note":"remark: ImageXpress Micro Confocal  96-well plates 3603\n_eprint: https://advanced.onlinelibrary.wiley.com/doi/pdf/10.1002/advs.202306469\nTLDR: Comparing isogenic wild-type and AD mutant human induced pluripotent stem cell (hiPSC)-derived cerebrocortical neurons (hiN) found evidence for compromised mitochondrial energy in AD, and aberrant protein S-nitrosylation of αKGDH subunits that are known to inhibit enzyme function are documented.","page":"2306469","source":"Wiley Online Library","title":"Metabolic bypass rescues aberrant S-nitrosylation-induced TCA cycle inhibition and synapse loss in alzheimer's disease human neurons","volume":"11","author":[{"family":"Andreyev","given":"Alexander Y."},{"family":"Yang","given":"Hongmei"},{"family":"Doulias","given":"Paschalis-Thomas"},{"family":"Dolatabadi","given":"Nima"},{"family":"Zhang","given":"Xu"},{"family":"Luevanos","given":"Melissa"},{"family":"Blanco","given":"Mayra"},{"family":"Baal","given":"Christine"},{"family":"Putra","given":"Ivan"},{"family":"Nakamura","given":"Tomohiro"},{"family":"Ischiropoulos","given":"Harry"},{"family":"Tannenbaum","given":"Steven R."},{"family":"Lipton","given":"Stuart A."}],"issued":{"date-parts":[["2024"]]}}},{"id":367,"uris":["http://zotero.org/users/16918528/items/JBQIQYU6"],"itemData":{"id":367,"type":"article-journal","abstract":"Imaging is a powerful approach for studying protein expression and has the advantage over other methodologies in providing spatial information in situ at single cell level. Using immunofluorescence and confocal microscopy, detailed information of subcellular distribution of proteins can be obtained. While adherent cells of different tissue origin are relatively easy to prepare for imaging applications, non-adherent cells from hematopoietic origin, present a challenge due to their poor attachment to surfaces and subsequent loss of a substantial fraction of the cells. Still, these cell types represent an important part of the human proteome and express genes that are not expressed in adherent cell types. In the era of cell mapping efforts, overcoming the challenge with suspension cells for imaging applications would enable systematic profiling of hematopoietic cells. In this work, we successfully established an immunofluorescence protocol for preparation of suspension cell lines, peripheral blood mononucleated cells (PBMC) and human platelets on an adherent surface. The protocol is based on a multi-well plate format with automated sample preparation, allowing for robust high throughput imaging applications. In combination with confocal microscopy, the protocol enables systematic exploration of protein localization to all major subcellular structures.","container-title":"Journal of Histochemistry and Cytochemistry","DOI":"10.1369/0022155420935403","ISSN":"0022-1554","issue":"7","journalAbbreviation":"J. Histochem. Cytochem.","language":"en-GB","note":"remark: 为保证尽可能好的图像质量，仅使用玻璃底板\nTLDR: An immunofluorescence protocol is established for preparation of suspension cell lines, peripheral blood mononucleated cells (PBMC) and human platelets on an adherent surface, allowing for robust high throughput imaging applications and enables systematic exploration of protein localization to all major subcellular structures.","page":"473-489","PMID":"32564662","PMCID":"PMC7350080","source":"PubMed Central","title":"A Sample Preparation Protocol for High Throughput Immunofluorescence of Suspension Cells on an Adherent Surface","volume":"68","author":[{"family":"Bäckström","given":"Anna"},{"family":"Kugel","given":"Laura"},{"family":"Gnann","given":"Christian"},{"family":"Xu","given":"Hao"},{"family":"Aslan","given":"Joseph E."},{"family":"Lundberg","given":"Emma"},{"family":"Stadler","given":"Charlotte"}],"issued":{"date-parts":[["2020",7]]}}}],"schema":"https://github.com/citation-style-language/schema/raw/master/csl-citation.json"} </w:instrText>
      </w:r>
      <w:r>
        <w:rPr>
          <w:rFonts w:ascii="Calibri" w:hAnsi="Calibri" w:cs="Calibri"/>
          <w:sz w:val="24"/>
          <w:szCs w:val="24"/>
        </w:rPr>
        <w:fldChar w:fldCharType="separate"/>
      </w:r>
      <w:r>
        <w:rPr>
          <w:rFonts w:ascii="Calibri" w:hAnsi="Calibri" w:cs="Calibri"/>
          <w:kern w:val="0"/>
          <w:sz w:val="24"/>
          <w:szCs w:val="24"/>
          <w:vertAlign w:val="superscript"/>
        </w:rPr>
        <w:t>13–16</w:t>
      </w:r>
      <w:r>
        <w:rPr>
          <w:rFonts w:ascii="Calibri" w:hAnsi="Calibri" w:cs="Calibri"/>
          <w:sz w:val="24"/>
          <w:szCs w:val="24"/>
        </w:rPr>
        <w:fldChar w:fldCharType="end"/>
      </w:r>
      <w:r>
        <w:rPr>
          <w:rFonts w:ascii="Calibri" w:hAnsi="Calibri" w:cs="Calibri"/>
          <w:sz w:val="24"/>
          <w:szCs w:val="24"/>
        </w:rPr>
        <w:t>.</w:t>
      </w:r>
    </w:p>
    <w:p w14:paraId="2C6AB024">
      <w:pPr>
        <w:rPr>
          <w:rFonts w:ascii="Calibri" w:hAnsi="Calibri" w:cs="Calibri"/>
          <w:sz w:val="24"/>
          <w:szCs w:val="24"/>
          <w:highlight w:val="none"/>
          <w:lang w:eastAsia="en-US"/>
        </w:rPr>
      </w:pPr>
    </w:p>
    <w:p w14:paraId="2FB148F0">
      <w:pPr>
        <w:pStyle w:val="19"/>
        <w:numPr>
          <w:ilvl w:val="1"/>
          <w:numId w:val="1"/>
        </w:numPr>
        <w:ind w:left="0" w:firstLine="0" w:firstLineChars="0"/>
        <w:rPr>
          <w:rFonts w:ascii="Calibri" w:hAnsi="Calibri" w:cs="Calibri"/>
          <w:sz w:val="24"/>
          <w:szCs w:val="24"/>
          <w:highlight w:val="none"/>
          <w:lang w:eastAsia="en-US"/>
        </w:rPr>
      </w:pPr>
      <w:bookmarkStart w:id="1" w:name="_Hlk234048455"/>
      <w:r>
        <w:rPr>
          <w:rFonts w:ascii="Calibri" w:hAnsi="Calibri" w:cs="Calibri"/>
          <w:sz w:val="24"/>
          <w:szCs w:val="24"/>
          <w:highlight w:val="none"/>
          <w:lang w:eastAsia="en-US"/>
        </w:rPr>
        <w:t>Staining procedure</w:t>
      </w:r>
    </w:p>
    <w:p w14:paraId="349EBE8E">
      <w:pPr>
        <w:pStyle w:val="19"/>
        <w:ind w:firstLine="0" w:firstLineChars="0"/>
        <w:rPr>
          <w:rFonts w:ascii="Calibri" w:hAnsi="Calibri" w:cs="Calibri"/>
          <w:sz w:val="24"/>
          <w:szCs w:val="24"/>
          <w:highlight w:val="yellow"/>
          <w:lang w:eastAsia="en-US"/>
        </w:rPr>
      </w:pPr>
    </w:p>
    <w:p w14:paraId="320A97A0">
      <w:pPr>
        <w:pStyle w:val="19"/>
        <w:numPr>
          <w:ilvl w:val="2"/>
          <w:numId w:val="1"/>
        </w:numPr>
        <w:ind w:left="0" w:firstLine="0" w:firstLineChars="0"/>
        <w:rPr>
          <w:rFonts w:ascii="Calibri" w:hAnsi="Calibri" w:cs="Calibri"/>
          <w:sz w:val="24"/>
          <w:szCs w:val="24"/>
          <w:highlight w:val="yellow"/>
          <w:lang w:eastAsia="en-US"/>
        </w:rPr>
      </w:pPr>
      <w:r>
        <w:rPr>
          <w:rFonts w:ascii="Calibri" w:hAnsi="Calibri" w:cs="Calibri"/>
          <w:sz w:val="24"/>
          <w:szCs w:val="24"/>
          <w:highlight w:val="yellow"/>
          <w:lang w:eastAsia="en-US"/>
        </w:rPr>
        <w:t>Ensure that cells form a single, well-dispersed monolayer and do not exceed 70% confluency to minimize cell overlap (</w:t>
      </w:r>
      <w:r>
        <w:rPr>
          <w:rFonts w:ascii="Calibri" w:hAnsi="Calibri" w:cs="Calibri"/>
          <w:b/>
          <w:bCs/>
          <w:sz w:val="24"/>
          <w:szCs w:val="24"/>
          <w:highlight w:val="yellow"/>
          <w:lang w:eastAsia="en-US"/>
        </w:rPr>
        <w:t>Figure 1B</w:t>
      </w:r>
      <w:r>
        <w:rPr>
          <w:rFonts w:ascii="Calibri" w:hAnsi="Calibri" w:cs="Calibri"/>
          <w:sz w:val="24"/>
          <w:szCs w:val="24"/>
          <w:highlight w:val="yellow"/>
          <w:lang w:eastAsia="en-US"/>
        </w:rPr>
        <w:t>).</w:t>
      </w:r>
    </w:p>
    <w:p w14:paraId="6D1CB297">
      <w:pPr>
        <w:pStyle w:val="19"/>
        <w:ind w:firstLine="0" w:firstLineChars="0"/>
        <w:rPr>
          <w:rFonts w:ascii="Calibri" w:hAnsi="Calibri" w:cs="Calibri"/>
          <w:sz w:val="24"/>
          <w:szCs w:val="24"/>
          <w:highlight w:val="yellow"/>
          <w:lang w:eastAsia="en-US"/>
        </w:rPr>
      </w:pPr>
    </w:p>
    <w:p w14:paraId="4665DC02">
      <w:pPr>
        <w:pStyle w:val="19"/>
        <w:numPr>
          <w:ilvl w:val="2"/>
          <w:numId w:val="1"/>
        </w:numPr>
        <w:ind w:left="0" w:firstLine="0" w:firstLineChars="0"/>
        <w:rPr>
          <w:rFonts w:ascii="Calibri" w:hAnsi="Calibri" w:cs="Calibri"/>
          <w:sz w:val="24"/>
          <w:szCs w:val="24"/>
          <w:highlight w:val="none"/>
          <w:lang w:eastAsia="en-US"/>
        </w:rPr>
      </w:pPr>
      <w:r>
        <w:rPr>
          <w:rFonts w:ascii="Calibri" w:hAnsi="Calibri" w:cs="Calibri"/>
          <w:sz w:val="24"/>
          <w:szCs w:val="24"/>
          <w:highlight w:val="none"/>
          <w:lang w:eastAsia="en-US"/>
        </w:rPr>
        <w:t>Group the samples according to the experimental requirements and proceed with staining after treatment. Prepare the working dye solutions with a final concentration of 6.684 μg/mL for PI and 10 μg/mL for Hoechst 33342</w:t>
      </w:r>
      <w:r>
        <w:rPr>
          <w:rFonts w:ascii="Calibri" w:hAnsi="Calibri" w:cs="Calibri"/>
          <w:sz w:val="24"/>
          <w:szCs w:val="24"/>
          <w:highlight w:val="none"/>
          <w:lang w:eastAsia="en-US"/>
        </w:rPr>
        <w:fldChar w:fldCharType="begin"/>
      </w:r>
      <w:r>
        <w:rPr>
          <w:rFonts w:ascii="Calibri" w:hAnsi="Calibri" w:cs="Calibri"/>
          <w:sz w:val="24"/>
          <w:szCs w:val="24"/>
          <w:highlight w:val="none"/>
          <w:lang w:eastAsia="en-US"/>
        </w:rPr>
        <w:instrText xml:space="preserve"> ADDIN ZOTERO_ITEM CSL_CITATION {"citationID":"DYh81g6v","properties":{"unsorted":false,"formattedCitation":"\\super 17,18\\nosupersub{}","plainCitation":"17,18","noteIndex":0},"citationItems":[{"id":2327,"uris":["http://zotero.org/users/16918528/items/G33JSAFV"],"itemData":{"id":2327,"type":"article-journal","abstract":"摘要本研究探讨了小分子天然化合物hinokitiol对创伤性脑损伤（TBI）后神经元铁剥蚀症的影响。使用受控皮层冲击（CCI）小鼠模型和过量谷氨酸处理的HT-22细胞研究hinokitiol对TBI的影响。Hinokitiol减轻了TBI脑组织病变，显著改善了神经功能。使用hinokitiol后，神经元丧失和铁沉积得到缓解。Hinokitiol缓解了谷氨酸诱导的细胞内活性氧（ROS）、脂质过氧化和铁的问题2+在HT-22中积累。机制上，hinokitiol上调血红素加氧酶-1（HO-1）表达，促进核因子-红细胞因子2相关因子2（Nrf2）核易位，并抑制TBI后小胶质细胞和星形胶质细胞的激活。这些结果表明，hinokitiol在拯救细胞免受TBI诱导的神经元铁剥蚀方面具有神经保护作用。总之，hinokitiol通过激活Nrf2/Keap1/HO-1信号通路，有望成为TBI的潜在治疗候选药物。","container-title":"Journal of Neurotrauma","DOI":"10.1089/neu.2023.0150","ISSN":"0897-7151","issue":"5-6","journalAbbreviation":"J. Neurotrauma","language":"en","note":"remark: PI、Hochest染色（ht22cell）\nTLDR: Hinokitiol is a potential therapeutic candidate for TBI by activating the Nrf2/Keap1/HO-1 signaling pathway and has neuroprotective effects on rescuing cells from TBI-induced neuronal ferroptosis.","page":"734-750","publisher":"Mary Ann Liebert, Inc., publishers","source":"liebertpub.com (Atypon)","title":"Protective effects of hinokitiol on neuronal ferroptosis by activating the Keap1/Nrf2/HO-1 pathway in traumatic brain injury","volume":"41","author":[{"family":"唐","given":"红星"},{"family":"","given":"何克俊"},{"family":"赵","given":"昆"},{"family":"正","given":"陈"},{"family":"吴","given":"维奇"},{"family":"","given":"金威琳"},{"family":"杨","given":"立玄"},{"family":"谢","given":"宝书"}],"issued":{"date-parts":[["2024",3]]}}},{"id":592,"uris":["http://zotero.org/users/16918528/items/P3HYZGEY"],"itemData":{"id":592,"type":"article-journal","abstract":"Glioblastoma, a fatal brain cancer with limited treatments and poor prognosis, could benefit from targeting the L-type amino acid transporter I (LAT1). LAT1 is essential for cancer cells to acquire necessary amino acids. Tetrahydrocurcumin (THC), a key curcumin derivative, shows potential for glioblastoma treatment. However, its effectiveness is hindered by poor physicochemical and pharmacokinetic properties. Therefore, this study aims to improve the therapeutic efficacy of THC against glioblastoma by chemically modifying it to target LAT1. A novel series of THC-amino acid conjugates were synthesized by conjugating five amino acids: glycine, leucine, isoleucine, and phenylalanine to THC via carbamate bonds. The therapeutic efficacy of THC-amino acid conjugates was further examined in C6 glioma cells, including the role of LAT1 in their therapeutic effects. Among the conjugates tested, THC conjugated with two phenylalanines (THC-di-Phe) showed remarkably higher cytotoxicity against C6 glioma cells (35.8 μM) compared to THC alone (110.7 μM). THC-di-Phe induced cellular death via necrosis and apoptosis, outperforming THC. Additionally, THC-di-Phe inhibited C6 cell proliferation and migration more effectively than THC. Co-incubation of THC-di-Phe with the LAT1 inhibitor 2-Aminobicyclo-(2,2,1)-heptane-2-carboxylic acid (BCH) further increased cellular death. THC-di-Phe also significantly inhibited the P70SK/S6 pathway, regulated by LAT1 inhibitors, more effectively than THC and displayed a similar binding mode with both JX-075 and BCH to the active site of LAT1. Findings suggest the potential role of THC-di-Phe as a LAT1 inhibitor and provide novel insight into its use as a potent antitumor agent in glioma with increased therapeutic efficacy.","container-title":"International journal of molecular sciences","DOI":"10.3390/ijms252011266","ISSN":"1422-0067","issue":"20","journalAbbreviation":"Int. J. Mol. Sci.","language":"en","license":"http://creativecommons.org/licenses/by/3.0/","note":"remark: PI、Hochest33342染色\nTLDR: The potential role of THC-di-Phe as a LAT1 inhibitor is suggested and novel insight is provided into its use as a potent antitumor agent in glioma with increased therapeutic efficacy.","page":"11266","publisher":"Multidisciplinary Digital Publishing Institute","source":"www.mdpi.com","title":"Synthesis, cytotoxicity, and mechanistic evaluation of tetrahydrocurcumin-amino acid conjugates as LAT1-targeting anticancer agents in C6 glioma cells","volume":"25","author":[{"family":"Teerawonganan","given":"Polsak"},{"family":"Hasriadi","given":""},{"family":"Dasuni Wasana","given":"Peththa Wadu"},{"family":"Angsuwattana","given":"Pornpoom"},{"family":"Suksamrarn","given":"Apichart"},{"family":"Nalinratana","given":"Nonthaneth"},{"family":"Vajragupta","given":"Opa"},{"family":"Towiwat","given":"Pasarapa"},{"family":"Thitikornpong","given":"Worathat"},{"family":"Rojsitthisak","given":"Pornchai"}],"issued":{"date-parts":[["2024",1]]}}}],"schema":"https://github.com/citation-style-language/schema/raw/master/csl-citation.json"} </w:instrText>
      </w:r>
      <w:r>
        <w:rPr>
          <w:rFonts w:ascii="Calibri" w:hAnsi="Calibri" w:cs="Calibri"/>
          <w:sz w:val="24"/>
          <w:szCs w:val="24"/>
          <w:highlight w:val="none"/>
          <w:lang w:eastAsia="en-US"/>
        </w:rPr>
        <w:fldChar w:fldCharType="separate"/>
      </w:r>
      <w:r>
        <w:rPr>
          <w:rFonts w:ascii="Calibri" w:hAnsi="Calibri" w:cs="Calibri"/>
          <w:kern w:val="0"/>
          <w:sz w:val="24"/>
          <w:szCs w:val="24"/>
          <w:highlight w:val="none"/>
          <w:vertAlign w:val="superscript"/>
        </w:rPr>
        <w:t>17,18</w:t>
      </w:r>
      <w:r>
        <w:rPr>
          <w:rFonts w:ascii="Calibri" w:hAnsi="Calibri" w:cs="Calibri"/>
          <w:sz w:val="24"/>
          <w:szCs w:val="24"/>
          <w:highlight w:val="none"/>
          <w:lang w:eastAsia="en-US"/>
        </w:rPr>
        <w:fldChar w:fldCharType="end"/>
      </w:r>
      <w:r>
        <w:rPr>
          <w:rFonts w:ascii="Calibri" w:hAnsi="Calibri" w:cs="Calibri"/>
          <w:sz w:val="24"/>
          <w:szCs w:val="24"/>
          <w:highlight w:val="none"/>
          <w:lang w:eastAsia="en-US"/>
        </w:rPr>
        <w:t>.</w:t>
      </w:r>
    </w:p>
    <w:p w14:paraId="318E8123">
      <w:pPr>
        <w:pStyle w:val="19"/>
        <w:ind w:firstLine="0" w:firstLineChars="0"/>
        <w:rPr>
          <w:rFonts w:ascii="Calibri" w:hAnsi="Calibri" w:cs="Calibri"/>
          <w:sz w:val="24"/>
          <w:szCs w:val="24"/>
          <w:highlight w:val="yellow"/>
          <w:lang w:eastAsia="en-US"/>
        </w:rPr>
      </w:pPr>
    </w:p>
    <w:p w14:paraId="318AB75B">
      <w:pPr>
        <w:pStyle w:val="19"/>
        <w:numPr>
          <w:ilvl w:val="2"/>
          <w:numId w:val="1"/>
        </w:numPr>
        <w:ind w:left="0" w:firstLine="0" w:firstLineChars="0"/>
        <w:rPr>
          <w:rFonts w:ascii="Calibri" w:hAnsi="Calibri" w:cs="Calibri"/>
          <w:sz w:val="24"/>
          <w:szCs w:val="24"/>
          <w:highlight w:val="yellow"/>
          <w:lang w:eastAsia="en-US"/>
        </w:rPr>
      </w:pPr>
      <w:r>
        <w:rPr>
          <w:rFonts w:ascii="Calibri" w:hAnsi="Calibri" w:cs="Calibri"/>
          <w:sz w:val="24"/>
          <w:szCs w:val="24"/>
          <w:highlight w:val="yellow"/>
        </w:rPr>
        <w:t>Discard</w:t>
      </w:r>
      <w:r>
        <w:rPr>
          <w:rFonts w:ascii="Calibri" w:hAnsi="Calibri" w:cs="Calibri"/>
          <w:sz w:val="24"/>
          <w:szCs w:val="24"/>
          <w:highlight w:val="yellow"/>
          <w:lang w:eastAsia="en-US"/>
        </w:rPr>
        <w:t xml:space="preserve"> the old medium from the 96-well plate and wash each well twice with 100 μL of PBS. Add the dye working solution and incubate at room temperature in the dark for 30 min for staining.</w:t>
      </w:r>
    </w:p>
    <w:p w14:paraId="5A25E915">
      <w:pPr>
        <w:pStyle w:val="19"/>
        <w:ind w:firstLine="0" w:firstLineChars="0"/>
        <w:rPr>
          <w:rFonts w:ascii="Calibri" w:hAnsi="Calibri" w:cs="Calibri"/>
          <w:sz w:val="24"/>
          <w:szCs w:val="24"/>
          <w:highlight w:val="yellow"/>
          <w:lang w:eastAsia="en-US"/>
        </w:rPr>
      </w:pPr>
    </w:p>
    <w:p w14:paraId="560B20CE">
      <w:pPr>
        <w:pStyle w:val="19"/>
        <w:numPr>
          <w:ilvl w:val="2"/>
          <w:numId w:val="1"/>
        </w:numPr>
        <w:ind w:left="0" w:firstLine="0" w:firstLineChars="0"/>
        <w:rPr>
          <w:rFonts w:ascii="Calibri" w:hAnsi="Calibri" w:cs="Calibri"/>
          <w:sz w:val="24"/>
          <w:szCs w:val="24"/>
          <w:highlight w:val="yellow"/>
          <w:lang w:eastAsia="en-US"/>
        </w:rPr>
      </w:pPr>
      <w:r>
        <w:rPr>
          <w:rFonts w:ascii="Calibri" w:hAnsi="Calibri" w:cs="Calibri"/>
          <w:sz w:val="24"/>
          <w:szCs w:val="24"/>
          <w:highlight w:val="yellow"/>
          <w:lang w:eastAsia="en-US"/>
        </w:rPr>
        <w:t>Wash each well twice with 100 μL of PBS, then add DMEM.</w:t>
      </w:r>
    </w:p>
    <w:p w14:paraId="6FF52361">
      <w:pPr>
        <w:rPr>
          <w:rFonts w:ascii="Calibri" w:hAnsi="Calibri" w:cs="Calibri"/>
          <w:b/>
          <w:bCs/>
          <w:sz w:val="24"/>
          <w:szCs w:val="24"/>
          <w:highlight w:val="yellow"/>
          <w:lang w:eastAsia="en-US"/>
        </w:rPr>
      </w:pPr>
    </w:p>
    <w:p w14:paraId="716F2839">
      <w:pPr>
        <w:rPr>
          <w:rFonts w:ascii="Calibri" w:hAnsi="Calibri" w:cs="Calibri"/>
          <w:sz w:val="24"/>
          <w:szCs w:val="24"/>
          <w:highlight w:val="yellow"/>
          <w:lang w:eastAsia="en-US"/>
        </w:rPr>
      </w:pPr>
      <w:r>
        <w:rPr>
          <w:rFonts w:ascii="Calibri" w:hAnsi="Calibri" w:cs="Calibri"/>
          <w:sz w:val="24"/>
          <w:szCs w:val="24"/>
          <w:highlight w:val="none"/>
          <w:lang w:eastAsia="en-US"/>
        </w:rPr>
        <w:t>NOTE: Different experimental designs may have variations in sample loading and staining parameters.</w:t>
      </w:r>
    </w:p>
    <w:p w14:paraId="02CB5B31">
      <w:pPr>
        <w:rPr>
          <w:rFonts w:ascii="Calibri" w:hAnsi="Calibri" w:cs="Calibri"/>
          <w:sz w:val="24"/>
          <w:szCs w:val="24"/>
          <w:highlight w:val="none"/>
          <w:lang w:eastAsia="en-US"/>
        </w:rPr>
      </w:pPr>
    </w:p>
    <w:bookmarkEnd w:id="1"/>
    <w:p w14:paraId="4C757378">
      <w:pPr>
        <w:pStyle w:val="19"/>
        <w:numPr>
          <w:ilvl w:val="0"/>
          <w:numId w:val="1"/>
        </w:numPr>
        <w:ind w:left="0" w:firstLine="0" w:firstLineChars="0"/>
        <w:rPr>
          <w:rFonts w:ascii="Calibri" w:hAnsi="Calibri" w:cs="Calibri"/>
          <w:b/>
          <w:bCs/>
          <w:sz w:val="24"/>
          <w:szCs w:val="24"/>
          <w:highlight w:val="none"/>
          <w:lang w:eastAsia="en-US"/>
        </w:rPr>
      </w:pPr>
      <w:r>
        <w:rPr>
          <w:rFonts w:ascii="Calibri" w:hAnsi="Calibri" w:cs="Calibri"/>
          <w:b/>
          <w:bCs/>
          <w:sz w:val="24"/>
          <w:szCs w:val="24"/>
          <w:highlight w:val="none"/>
          <w:lang w:eastAsia="en-US"/>
        </w:rPr>
        <w:t>Imaging specifications and parameter settings</w:t>
      </w:r>
    </w:p>
    <w:p w14:paraId="17FC2FF3">
      <w:pPr>
        <w:pStyle w:val="19"/>
        <w:ind w:firstLine="0" w:firstLineChars="0"/>
        <w:rPr>
          <w:rFonts w:ascii="Calibri" w:hAnsi="Calibri" w:cs="Calibri"/>
          <w:sz w:val="24"/>
          <w:szCs w:val="24"/>
          <w:highlight w:val="none"/>
          <w:lang w:eastAsia="en-US"/>
        </w:rPr>
      </w:pPr>
    </w:p>
    <w:p w14:paraId="50DB9DB5">
      <w:pPr>
        <w:pStyle w:val="19"/>
        <w:numPr>
          <w:ilvl w:val="1"/>
          <w:numId w:val="1"/>
        </w:numPr>
        <w:ind w:left="0" w:firstLine="0" w:firstLineChars="0"/>
        <w:rPr>
          <w:rFonts w:ascii="Calibri" w:hAnsi="Calibri" w:cs="Calibri"/>
          <w:sz w:val="24"/>
          <w:szCs w:val="24"/>
          <w:highlight w:val="none"/>
          <w:lang w:eastAsia="en-US"/>
        </w:rPr>
      </w:pPr>
      <w:r>
        <w:rPr>
          <w:rFonts w:ascii="Calibri" w:hAnsi="Calibri" w:cs="Calibri"/>
          <w:sz w:val="24"/>
          <w:szCs w:val="24"/>
          <w:highlight w:val="none"/>
          <w:lang w:eastAsia="en-US"/>
        </w:rPr>
        <w:t>Imaging parameter standards</w:t>
      </w:r>
    </w:p>
    <w:p w14:paraId="355F5D40">
      <w:pPr>
        <w:pStyle w:val="19"/>
        <w:ind w:firstLine="0" w:firstLineChars="0"/>
        <w:rPr>
          <w:rFonts w:ascii="Calibri" w:hAnsi="Calibri" w:cs="Calibri"/>
          <w:sz w:val="24"/>
          <w:szCs w:val="24"/>
          <w:highlight w:val="yellow"/>
          <w:lang w:eastAsia="en-US"/>
        </w:rPr>
      </w:pPr>
      <w:bookmarkStart w:id="7" w:name="_GoBack"/>
      <w:bookmarkEnd w:id="7"/>
    </w:p>
    <w:p w14:paraId="4C69018D">
      <w:pPr>
        <w:rPr>
          <w:rFonts w:ascii="Calibri" w:hAnsi="Calibri" w:cs="Calibri"/>
          <w:sz w:val="24"/>
          <w:szCs w:val="24"/>
          <w:highlight w:val="none"/>
          <w:lang w:eastAsia="en-US"/>
        </w:rPr>
      </w:pPr>
      <w:r>
        <w:rPr>
          <w:rFonts w:ascii="Calibri" w:hAnsi="Calibri" w:cs="Calibri"/>
          <w:sz w:val="24"/>
          <w:szCs w:val="24"/>
          <w:highlight w:val="none"/>
          <w:lang w:eastAsia="en-US"/>
        </w:rPr>
        <w:t>NOTE: This study demonstrates only the widefield imaging workflow for the instrument after PI and Hoechst 33342 staining.</w:t>
      </w:r>
    </w:p>
    <w:p w14:paraId="17DE9C92">
      <w:pPr>
        <w:rPr>
          <w:rFonts w:ascii="Calibri" w:hAnsi="Calibri" w:cs="Calibri"/>
          <w:sz w:val="24"/>
          <w:szCs w:val="24"/>
          <w:highlight w:val="none"/>
          <w:lang w:eastAsia="en-US"/>
        </w:rPr>
      </w:pPr>
    </w:p>
    <w:p w14:paraId="08A72D90">
      <w:pPr>
        <w:pStyle w:val="19"/>
        <w:numPr>
          <w:ilvl w:val="2"/>
          <w:numId w:val="1"/>
        </w:numPr>
        <w:ind w:left="0" w:firstLine="0" w:firstLineChars="0"/>
        <w:rPr>
          <w:rFonts w:ascii="Calibri" w:hAnsi="Calibri" w:cs="Calibri"/>
          <w:sz w:val="24"/>
          <w:szCs w:val="24"/>
          <w:highlight w:val="none"/>
          <w:lang w:eastAsia="en-US"/>
        </w:rPr>
      </w:pPr>
      <w:r>
        <w:rPr>
          <w:rFonts w:ascii="Calibri" w:hAnsi="Calibri" w:cs="Calibri"/>
          <w:sz w:val="24"/>
          <w:szCs w:val="24"/>
          <w:highlight w:val="none"/>
          <w:lang w:eastAsia="en-US"/>
        </w:rPr>
        <w:t>Power on the instrument and then start the computer. Open the analysis software provided with the device.</w:t>
      </w:r>
    </w:p>
    <w:p w14:paraId="31396BA7">
      <w:pPr>
        <w:pStyle w:val="19"/>
        <w:ind w:firstLine="0" w:firstLineChars="0"/>
        <w:rPr>
          <w:rFonts w:ascii="Calibri" w:hAnsi="Calibri" w:cs="Calibri"/>
          <w:sz w:val="24"/>
          <w:szCs w:val="24"/>
          <w:highlight w:val="yellow"/>
          <w:lang w:eastAsia="en-US"/>
        </w:rPr>
      </w:pPr>
    </w:p>
    <w:p w14:paraId="572E5C5B">
      <w:pPr>
        <w:pStyle w:val="19"/>
        <w:numPr>
          <w:ilvl w:val="2"/>
          <w:numId w:val="1"/>
        </w:numPr>
        <w:ind w:left="0" w:firstLine="0" w:firstLineChars="0"/>
        <w:rPr>
          <w:rFonts w:ascii="Calibri" w:hAnsi="Calibri" w:cs="Calibri"/>
          <w:sz w:val="24"/>
          <w:szCs w:val="24"/>
          <w:highlight w:val="yellow"/>
          <w:lang w:eastAsia="en-US"/>
        </w:rPr>
      </w:pPr>
      <w:r>
        <w:rPr>
          <w:rFonts w:ascii="Calibri" w:hAnsi="Calibri" w:cs="Calibri"/>
          <w:sz w:val="24"/>
          <w:szCs w:val="24"/>
          <w:highlight w:val="yellow"/>
          <w:lang w:eastAsia="en-US"/>
        </w:rPr>
        <w:t xml:space="preserve">Load the 96-well plate into the instrument. </w:t>
      </w:r>
      <w:r>
        <w:rPr>
          <w:rFonts w:ascii="Calibri" w:hAnsi="Calibri" w:cs="Calibri"/>
          <w:sz w:val="24"/>
          <w:szCs w:val="24"/>
          <w:highlight w:val="yellow"/>
        </w:rPr>
        <w:t>Select</w:t>
      </w:r>
      <w:r>
        <w:rPr>
          <w:rFonts w:ascii="Calibri" w:hAnsi="Calibri" w:cs="Calibri"/>
          <w:sz w:val="24"/>
          <w:szCs w:val="24"/>
          <w:highlight w:val="yellow"/>
          <w:lang w:eastAsia="en-US"/>
        </w:rPr>
        <w:t xml:space="preserve"> the field of view with the samples for imaging.</w:t>
      </w:r>
    </w:p>
    <w:p w14:paraId="67CD41A8">
      <w:pPr>
        <w:pStyle w:val="19"/>
        <w:ind w:firstLine="0" w:firstLineChars="0"/>
        <w:rPr>
          <w:rFonts w:ascii="Calibri" w:hAnsi="Calibri" w:cs="Calibri"/>
          <w:sz w:val="24"/>
          <w:szCs w:val="24"/>
          <w:highlight w:val="yellow"/>
          <w:lang w:eastAsia="en-US"/>
        </w:rPr>
      </w:pPr>
    </w:p>
    <w:p w14:paraId="2899F7F6">
      <w:pPr>
        <w:pStyle w:val="19"/>
        <w:numPr>
          <w:ilvl w:val="2"/>
          <w:numId w:val="1"/>
        </w:numPr>
        <w:ind w:left="0" w:firstLine="0" w:firstLineChars="0"/>
        <w:rPr>
          <w:rFonts w:ascii="Calibri" w:hAnsi="Calibri" w:cs="Calibri"/>
          <w:sz w:val="24"/>
          <w:szCs w:val="24"/>
          <w:highlight w:val="yellow"/>
          <w:lang w:eastAsia="en-US"/>
        </w:rPr>
      </w:pPr>
      <w:r>
        <w:rPr>
          <w:rFonts w:ascii="Calibri" w:hAnsi="Calibri" w:cs="Calibri"/>
          <w:sz w:val="24"/>
          <w:szCs w:val="24"/>
          <w:highlight w:val="yellow"/>
          <w:lang w:eastAsia="en-US"/>
        </w:rPr>
        <w:t>In the Objective and Camera settings, set the Magnification to "20XPh1SPlanFluorELWDADM" (</w:t>
      </w:r>
      <w:bookmarkStart w:id="2" w:name="_Hlk233901660"/>
      <w:r>
        <w:rPr>
          <w:rFonts w:ascii="Calibri" w:hAnsi="Calibri" w:cs="Calibri"/>
          <w:sz w:val="24"/>
          <w:szCs w:val="24"/>
          <w:highlight w:val="yellow"/>
        </w:rPr>
        <w:t>Nikon, S Plan Fluor, ELWD, 20X/0.45, ∞/0-2, WD 8.2-6.9, OFN22, Ph1, AMD, MRH48230</w:t>
      </w:r>
      <w:bookmarkEnd w:id="2"/>
      <w:r>
        <w:rPr>
          <w:rFonts w:ascii="Calibri" w:hAnsi="Calibri" w:cs="Calibri"/>
          <w:sz w:val="24"/>
          <w:szCs w:val="24"/>
          <w:highlight w:val="yellow"/>
          <w:lang w:eastAsia="en-US"/>
        </w:rPr>
        <w:t>), Camera binning to "2", and Acquisition Mode to "Widefield".</w:t>
      </w:r>
    </w:p>
    <w:p w14:paraId="108D1255">
      <w:pPr>
        <w:pStyle w:val="19"/>
        <w:ind w:firstLine="0" w:firstLineChars="0"/>
        <w:rPr>
          <w:rFonts w:ascii="Calibri" w:hAnsi="Calibri" w:cs="Calibri"/>
          <w:sz w:val="24"/>
          <w:szCs w:val="24"/>
          <w:highlight w:val="yellow"/>
          <w:lang w:eastAsia="en-US"/>
        </w:rPr>
      </w:pPr>
    </w:p>
    <w:p w14:paraId="35CA573C">
      <w:pPr>
        <w:pStyle w:val="19"/>
        <w:numPr>
          <w:ilvl w:val="2"/>
          <w:numId w:val="1"/>
        </w:numPr>
        <w:ind w:left="0" w:firstLine="0" w:firstLineChars="0"/>
        <w:rPr>
          <w:rFonts w:ascii="Calibri" w:hAnsi="Calibri" w:cs="Calibri"/>
          <w:sz w:val="24"/>
          <w:szCs w:val="24"/>
          <w:highlight w:val="yellow"/>
          <w:lang w:eastAsia="en-US"/>
        </w:rPr>
      </w:pPr>
      <w:r>
        <w:rPr>
          <w:rFonts w:ascii="Calibri" w:hAnsi="Calibri" w:cs="Calibri"/>
          <w:sz w:val="24"/>
          <w:szCs w:val="24"/>
          <w:highlight w:val="yellow"/>
          <w:lang w:eastAsia="en-US"/>
        </w:rPr>
        <w:t>In plate mode, select the corresponding parameters of the 96-well plate and adjust the plate parameters according to the product size data.</w:t>
      </w:r>
    </w:p>
    <w:p w14:paraId="4F8CEE7C">
      <w:pPr>
        <w:pStyle w:val="19"/>
        <w:ind w:firstLine="0" w:firstLineChars="0"/>
        <w:rPr>
          <w:rFonts w:ascii="Calibri" w:hAnsi="Calibri" w:cs="Calibri"/>
          <w:sz w:val="24"/>
          <w:szCs w:val="24"/>
          <w:highlight w:val="yellow"/>
          <w:lang w:eastAsia="en-US"/>
        </w:rPr>
      </w:pPr>
    </w:p>
    <w:p w14:paraId="339F70D9">
      <w:pPr>
        <w:pStyle w:val="19"/>
        <w:numPr>
          <w:ilvl w:val="2"/>
          <w:numId w:val="1"/>
        </w:numPr>
        <w:ind w:left="0" w:firstLine="0" w:firstLineChars="0"/>
        <w:rPr>
          <w:rFonts w:ascii="Calibri" w:hAnsi="Calibri" w:cs="Calibri"/>
          <w:sz w:val="24"/>
          <w:szCs w:val="24"/>
          <w:highlight w:val="yellow"/>
          <w:lang w:eastAsia="en-US"/>
        </w:rPr>
      </w:pPr>
      <w:r>
        <w:rPr>
          <w:rFonts w:ascii="Calibri" w:hAnsi="Calibri" w:cs="Calibri"/>
          <w:sz w:val="24"/>
          <w:szCs w:val="24"/>
          <w:highlight w:val="yellow"/>
          <w:lang w:eastAsia="en-US"/>
        </w:rPr>
        <w:t xml:space="preserve">Under Site Option, typically select 9 fields per well for dense imaging. </w:t>
      </w:r>
      <w:r>
        <w:rPr>
          <w:rFonts w:ascii="Calibri" w:hAnsi="Calibri" w:cs="Calibri"/>
          <w:sz w:val="24"/>
          <w:szCs w:val="24"/>
          <w:highlight w:val="yellow"/>
        </w:rPr>
        <w:t>In</w:t>
      </w:r>
      <w:r>
        <w:rPr>
          <w:rFonts w:ascii="Calibri" w:hAnsi="Calibri" w:cs="Calibri"/>
          <w:sz w:val="24"/>
          <w:szCs w:val="24"/>
          <w:highlight w:val="yellow"/>
          <w:lang w:eastAsia="en-US"/>
        </w:rPr>
        <w:t xml:space="preserve"> Autofocus options, select </w:t>
      </w:r>
      <w:r>
        <w:rPr>
          <w:rFonts w:ascii="Calibri" w:hAnsi="Calibri" w:cs="Calibri"/>
          <w:b/>
          <w:bCs/>
          <w:sz w:val="24"/>
          <w:szCs w:val="24"/>
          <w:highlight w:val="yellow"/>
          <w:lang w:eastAsia="en-US"/>
        </w:rPr>
        <w:t>Enable laser-based focusing</w:t>
      </w:r>
      <w:r>
        <w:rPr>
          <w:rFonts w:ascii="Calibri" w:hAnsi="Calibri" w:cs="Calibri"/>
          <w:sz w:val="24"/>
          <w:szCs w:val="24"/>
          <w:highlight w:val="yellow"/>
          <w:lang w:eastAsia="en-US"/>
        </w:rPr>
        <w:t>.</w:t>
      </w:r>
    </w:p>
    <w:p w14:paraId="2A020758">
      <w:pPr>
        <w:pStyle w:val="19"/>
        <w:ind w:firstLine="0" w:firstLineChars="0"/>
        <w:rPr>
          <w:rFonts w:ascii="Calibri" w:hAnsi="Calibri" w:cs="Calibri"/>
          <w:sz w:val="24"/>
          <w:szCs w:val="24"/>
          <w:highlight w:val="yellow"/>
          <w:lang w:eastAsia="en-US"/>
        </w:rPr>
      </w:pPr>
    </w:p>
    <w:p w14:paraId="06B915A5">
      <w:pPr>
        <w:pStyle w:val="19"/>
        <w:numPr>
          <w:ilvl w:val="2"/>
          <w:numId w:val="1"/>
        </w:numPr>
        <w:ind w:left="0" w:firstLine="0" w:firstLineChars="0"/>
        <w:rPr>
          <w:rFonts w:ascii="Calibri" w:hAnsi="Calibri" w:cs="Calibri"/>
          <w:sz w:val="24"/>
          <w:szCs w:val="24"/>
          <w:highlight w:val="yellow"/>
          <w:lang w:eastAsia="en-US"/>
        </w:rPr>
      </w:pPr>
      <w:r>
        <w:rPr>
          <w:rFonts w:ascii="Calibri" w:hAnsi="Calibri" w:cs="Calibri"/>
          <w:sz w:val="24"/>
          <w:szCs w:val="24"/>
          <w:highlight w:val="yellow"/>
          <w:lang w:eastAsia="en-US"/>
        </w:rPr>
        <w:t>Adjust the laser autofocus parameters under Autofocus, based on the average plate bottom thickness measured from at least three sample wells. Adjust bottom thickness, Bottom thickness max variation, Adjacent well max variation, Intra-well max variation, and Plate max variation accordingly.</w:t>
      </w:r>
    </w:p>
    <w:p w14:paraId="44AD3BC0">
      <w:pPr>
        <w:pStyle w:val="19"/>
        <w:ind w:firstLine="0" w:firstLineChars="0"/>
        <w:rPr>
          <w:rFonts w:ascii="Calibri" w:hAnsi="Calibri" w:cs="Calibri"/>
          <w:sz w:val="24"/>
          <w:szCs w:val="24"/>
          <w:highlight w:val="yellow"/>
          <w:lang w:eastAsia="en-US"/>
        </w:rPr>
      </w:pPr>
    </w:p>
    <w:p w14:paraId="65BE07D1">
      <w:pPr>
        <w:pStyle w:val="19"/>
        <w:numPr>
          <w:ilvl w:val="2"/>
          <w:numId w:val="1"/>
        </w:numPr>
        <w:ind w:left="0" w:firstLine="0" w:firstLineChars="0"/>
        <w:rPr>
          <w:rFonts w:ascii="Calibri" w:hAnsi="Calibri" w:cs="Calibri"/>
          <w:sz w:val="24"/>
          <w:szCs w:val="24"/>
          <w:highlight w:val="yellow"/>
          <w:lang w:eastAsia="en-US"/>
        </w:rPr>
      </w:pPr>
      <w:r>
        <w:rPr>
          <w:rFonts w:ascii="Calibri" w:hAnsi="Calibri" w:cs="Calibri"/>
          <w:sz w:val="24"/>
          <w:szCs w:val="24"/>
          <w:highlight w:val="yellow"/>
          <w:lang w:eastAsia="en-US"/>
        </w:rPr>
        <w:t xml:space="preserve">Under Wavelengths, set the Number of wavelengths to 3. </w:t>
      </w:r>
      <w:r>
        <w:rPr>
          <w:rFonts w:ascii="Calibri" w:hAnsi="Calibri" w:cs="Calibri"/>
          <w:sz w:val="24"/>
          <w:szCs w:val="24"/>
          <w:highlight w:val="yellow"/>
        </w:rPr>
        <w:t>For</w:t>
      </w:r>
      <w:r>
        <w:rPr>
          <w:rFonts w:ascii="Calibri" w:hAnsi="Calibri" w:cs="Calibri"/>
          <w:sz w:val="24"/>
          <w:szCs w:val="24"/>
          <w:highlight w:val="yellow"/>
          <w:lang w:eastAsia="en-US"/>
        </w:rPr>
        <w:t xml:space="preserve"> the first Illumination, select DAPI. </w:t>
      </w:r>
      <w:r>
        <w:rPr>
          <w:rFonts w:ascii="Calibri" w:hAnsi="Calibri" w:cs="Calibri"/>
          <w:sz w:val="24"/>
          <w:szCs w:val="24"/>
          <w:highlight w:val="yellow"/>
        </w:rPr>
        <w:t>In</w:t>
      </w:r>
      <w:r>
        <w:rPr>
          <w:rFonts w:ascii="Calibri" w:hAnsi="Calibri" w:cs="Calibri"/>
          <w:sz w:val="24"/>
          <w:szCs w:val="24"/>
          <w:highlight w:val="yellow"/>
          <w:lang w:eastAsia="en-US"/>
        </w:rPr>
        <w:t xml:space="preserve"> Shading Correction, choose "Auto Correction for FL" (</w:t>
      </w:r>
      <w:r>
        <w:rPr>
          <w:rFonts w:ascii="Calibri" w:hAnsi="Calibri" w:cs="Calibri"/>
          <w:b/>
          <w:bCs/>
          <w:sz w:val="24"/>
          <w:szCs w:val="24"/>
          <w:highlight w:val="yellow"/>
          <w:lang w:eastAsia="en-US"/>
        </w:rPr>
        <w:t>Figure 2B</w:t>
      </w:r>
      <w:r>
        <w:rPr>
          <w:rFonts w:ascii="Calibri" w:hAnsi="Calibri" w:cs="Calibri"/>
          <w:sz w:val="24"/>
          <w:szCs w:val="24"/>
          <w:highlight w:val="yellow"/>
          <w:lang w:eastAsia="en-US"/>
        </w:rPr>
        <w:t>).</w:t>
      </w:r>
    </w:p>
    <w:p w14:paraId="50A14549">
      <w:pPr>
        <w:pStyle w:val="19"/>
        <w:ind w:firstLine="0" w:firstLineChars="0"/>
        <w:rPr>
          <w:rFonts w:ascii="Calibri" w:hAnsi="Calibri" w:cs="Calibri"/>
          <w:sz w:val="24"/>
          <w:szCs w:val="24"/>
          <w:highlight w:val="yellow"/>
          <w:lang w:eastAsia="en-US"/>
        </w:rPr>
      </w:pPr>
    </w:p>
    <w:p w14:paraId="463EBA70">
      <w:pPr>
        <w:pStyle w:val="19"/>
        <w:numPr>
          <w:ilvl w:val="2"/>
          <w:numId w:val="1"/>
        </w:numPr>
        <w:ind w:left="0" w:firstLine="0" w:firstLineChars="0"/>
        <w:rPr>
          <w:rFonts w:ascii="Calibri" w:hAnsi="Calibri" w:cs="Calibri"/>
          <w:sz w:val="24"/>
          <w:szCs w:val="24"/>
          <w:highlight w:val="yellow"/>
          <w:lang w:eastAsia="en-US"/>
        </w:rPr>
      </w:pPr>
      <w:r>
        <w:rPr>
          <w:rFonts w:ascii="Calibri" w:hAnsi="Calibri" w:cs="Calibri"/>
          <w:sz w:val="24"/>
          <w:szCs w:val="24"/>
          <w:highlight w:val="yellow"/>
        </w:rPr>
        <w:t>After</w:t>
      </w:r>
      <w:r>
        <w:rPr>
          <w:rFonts w:ascii="Calibri" w:hAnsi="Calibri" w:cs="Calibri"/>
          <w:sz w:val="24"/>
          <w:szCs w:val="24"/>
          <w:highlight w:val="yellow"/>
          <w:lang w:eastAsia="en-US"/>
        </w:rPr>
        <w:t xml:space="preserve"> finding the image, set the initial Exposure (ms) to 20–30. Observe the captured images and adjust the exposure continuously to achieve a moderate fluorescence intensity without overexposure, and set the bit depth to 16 (</w:t>
      </w:r>
      <w:r>
        <w:rPr>
          <w:rFonts w:ascii="Calibri" w:hAnsi="Calibri" w:cs="Calibri"/>
          <w:b/>
          <w:bCs/>
          <w:sz w:val="24"/>
          <w:szCs w:val="24"/>
          <w:highlight w:val="yellow"/>
          <w:lang w:eastAsia="en-US"/>
        </w:rPr>
        <w:t>Figure 2A</w:t>
      </w:r>
      <w:r>
        <w:rPr>
          <w:rFonts w:ascii="Calibri" w:hAnsi="Calibri" w:cs="Calibri"/>
          <w:sz w:val="24"/>
          <w:szCs w:val="24"/>
          <w:highlight w:val="yellow"/>
          <w:lang w:eastAsia="en-US"/>
        </w:rPr>
        <w:t>).</w:t>
      </w:r>
    </w:p>
    <w:p w14:paraId="4866C7C2">
      <w:pPr>
        <w:pStyle w:val="19"/>
        <w:ind w:firstLine="0" w:firstLineChars="0"/>
        <w:rPr>
          <w:rFonts w:ascii="Calibri" w:hAnsi="Calibri" w:cs="Calibri"/>
          <w:sz w:val="24"/>
          <w:szCs w:val="24"/>
          <w:highlight w:val="yellow"/>
          <w:lang w:eastAsia="en-US"/>
        </w:rPr>
      </w:pPr>
    </w:p>
    <w:p w14:paraId="15B70569">
      <w:pPr>
        <w:pStyle w:val="19"/>
        <w:numPr>
          <w:ilvl w:val="2"/>
          <w:numId w:val="1"/>
        </w:numPr>
        <w:ind w:left="0" w:firstLine="0" w:firstLineChars="0"/>
        <w:rPr>
          <w:rFonts w:ascii="Calibri" w:hAnsi="Calibri" w:cs="Calibri"/>
          <w:sz w:val="24"/>
          <w:szCs w:val="24"/>
          <w:highlight w:val="yellow"/>
          <w:lang w:eastAsia="en-US"/>
        </w:rPr>
      </w:pPr>
      <w:r>
        <w:rPr>
          <w:rFonts w:ascii="Calibri" w:hAnsi="Calibri" w:cs="Calibri"/>
          <w:sz w:val="24"/>
          <w:szCs w:val="24"/>
          <w:highlight w:val="yellow"/>
          <w:lang w:eastAsia="en-US"/>
        </w:rPr>
        <w:t xml:space="preserve">Choose Laser with z-offset for focusing adjustment. If the focus is not clear, check Use Z stack, click Calculate Offset, and select an appropriate focal distance. Check </w:t>
      </w:r>
      <w:r>
        <w:rPr>
          <w:rFonts w:ascii="Calibri" w:hAnsi="Calibri" w:cs="Calibri"/>
          <w:b/>
          <w:bCs/>
          <w:sz w:val="24"/>
          <w:szCs w:val="24"/>
          <w:highlight w:val="yellow"/>
          <w:lang w:eastAsia="en-US"/>
        </w:rPr>
        <w:t>Digital Confocal (info)</w:t>
      </w:r>
      <w:r>
        <w:rPr>
          <w:rFonts w:ascii="Calibri" w:hAnsi="Calibri" w:cs="Calibri"/>
          <w:sz w:val="24"/>
          <w:szCs w:val="24"/>
          <w:highlight w:val="yellow"/>
          <w:lang w:eastAsia="en-US"/>
        </w:rPr>
        <w:t xml:space="preserve"> and set the adjustment parameters for </w:t>
      </w:r>
      <w:r>
        <w:rPr>
          <w:rFonts w:ascii="Calibri" w:hAnsi="Calibri" w:cs="Calibri"/>
          <w:b/>
          <w:bCs/>
          <w:sz w:val="24"/>
          <w:szCs w:val="24"/>
          <w:highlight w:val="yellow"/>
          <w:lang w:eastAsia="en-US"/>
        </w:rPr>
        <w:t>Increase Sharpness</w:t>
      </w:r>
      <w:r>
        <w:rPr>
          <w:rFonts w:ascii="Calibri" w:hAnsi="Calibri" w:cs="Calibri"/>
          <w:sz w:val="24"/>
          <w:szCs w:val="24"/>
          <w:highlight w:val="yellow"/>
          <w:lang w:eastAsia="en-US"/>
        </w:rPr>
        <w:t xml:space="preserve"> and </w:t>
      </w:r>
      <w:r>
        <w:rPr>
          <w:rFonts w:ascii="Calibri" w:hAnsi="Calibri" w:cs="Calibri"/>
          <w:b/>
          <w:bCs/>
          <w:sz w:val="24"/>
          <w:szCs w:val="24"/>
          <w:highlight w:val="yellow"/>
          <w:lang w:eastAsia="en-US"/>
        </w:rPr>
        <w:t>Reduce Noise</w:t>
      </w:r>
      <w:r>
        <w:rPr>
          <w:rFonts w:ascii="Calibri" w:hAnsi="Calibri" w:cs="Calibri"/>
          <w:sz w:val="24"/>
          <w:szCs w:val="24"/>
          <w:highlight w:val="yellow"/>
          <w:lang w:eastAsia="en-US"/>
        </w:rPr>
        <w:t xml:space="preserve"> to 0.200.</w:t>
      </w:r>
    </w:p>
    <w:p w14:paraId="2385FB9C">
      <w:pPr>
        <w:pStyle w:val="19"/>
        <w:ind w:firstLine="0" w:firstLineChars="0"/>
        <w:rPr>
          <w:rFonts w:ascii="Calibri" w:hAnsi="Calibri" w:cs="Calibri"/>
          <w:sz w:val="24"/>
          <w:szCs w:val="24"/>
          <w:highlight w:val="yellow"/>
          <w:lang w:eastAsia="en-US"/>
        </w:rPr>
      </w:pPr>
    </w:p>
    <w:p w14:paraId="29574784">
      <w:pPr>
        <w:rPr>
          <w:rFonts w:ascii="Calibri" w:hAnsi="Calibri" w:cs="Calibri"/>
          <w:sz w:val="24"/>
          <w:szCs w:val="24"/>
          <w:highlight w:val="none"/>
          <w:lang w:eastAsia="en-US"/>
        </w:rPr>
      </w:pPr>
      <w:r>
        <w:rPr>
          <w:rFonts w:ascii="Calibri" w:hAnsi="Calibri" w:cs="Calibri"/>
          <w:sz w:val="24"/>
          <w:szCs w:val="24"/>
          <w:highlight w:val="none"/>
          <w:lang w:eastAsia="en-US"/>
        </w:rPr>
        <w:t>NOTE: If the image exposure or clarity is not satisfactory, adjust the exposure and recalculate the offset parameters.</w:t>
      </w:r>
    </w:p>
    <w:p w14:paraId="1D3C512E">
      <w:pPr>
        <w:rPr>
          <w:rFonts w:ascii="Calibri" w:hAnsi="Calibri" w:cs="Calibri"/>
          <w:sz w:val="24"/>
          <w:szCs w:val="24"/>
          <w:highlight w:val="yellow"/>
          <w:lang w:eastAsia="en-US"/>
        </w:rPr>
      </w:pPr>
    </w:p>
    <w:p w14:paraId="28FABAA8">
      <w:pPr>
        <w:pStyle w:val="19"/>
        <w:numPr>
          <w:ilvl w:val="2"/>
          <w:numId w:val="1"/>
        </w:numPr>
        <w:ind w:left="0" w:firstLine="0" w:firstLineChars="0"/>
        <w:rPr>
          <w:rFonts w:ascii="Calibri" w:hAnsi="Calibri" w:cs="Calibri"/>
          <w:sz w:val="24"/>
          <w:szCs w:val="24"/>
          <w:highlight w:val="yellow"/>
          <w:lang w:eastAsia="en-US"/>
        </w:rPr>
      </w:pPr>
      <w:r>
        <w:rPr>
          <w:rFonts w:ascii="Calibri" w:hAnsi="Calibri" w:cs="Calibri"/>
          <w:sz w:val="24"/>
          <w:szCs w:val="24"/>
          <w:highlight w:val="yellow"/>
          <w:lang w:eastAsia="en-US"/>
        </w:rPr>
        <w:t xml:space="preserve">For the second Illumination, select Cy3. </w:t>
      </w:r>
      <w:r>
        <w:rPr>
          <w:rFonts w:ascii="Calibri" w:hAnsi="Calibri" w:cs="Calibri"/>
          <w:sz w:val="24"/>
          <w:szCs w:val="24"/>
          <w:highlight w:val="yellow"/>
        </w:rPr>
        <w:t>Follow</w:t>
      </w:r>
      <w:r>
        <w:rPr>
          <w:rFonts w:ascii="Calibri" w:hAnsi="Calibri" w:cs="Calibri"/>
          <w:sz w:val="24"/>
          <w:szCs w:val="24"/>
          <w:highlight w:val="yellow"/>
          <w:lang w:eastAsia="en-US"/>
        </w:rPr>
        <w:t xml:space="preserve"> the same settings as in steps 2.1.7-2.1.9.</w:t>
      </w:r>
    </w:p>
    <w:p w14:paraId="60AA23C5">
      <w:pPr>
        <w:pStyle w:val="19"/>
        <w:ind w:firstLine="0" w:firstLineChars="0"/>
        <w:rPr>
          <w:rFonts w:ascii="Calibri" w:hAnsi="Calibri" w:cs="Calibri"/>
          <w:sz w:val="24"/>
          <w:szCs w:val="24"/>
          <w:highlight w:val="yellow"/>
          <w:lang w:eastAsia="en-US"/>
        </w:rPr>
      </w:pPr>
    </w:p>
    <w:p w14:paraId="28BD6F75">
      <w:pPr>
        <w:pStyle w:val="19"/>
        <w:numPr>
          <w:ilvl w:val="2"/>
          <w:numId w:val="1"/>
        </w:numPr>
        <w:ind w:left="0" w:firstLine="0" w:firstLineChars="0"/>
        <w:rPr>
          <w:rFonts w:ascii="Calibri" w:hAnsi="Calibri" w:cs="Calibri"/>
          <w:sz w:val="24"/>
          <w:szCs w:val="24"/>
          <w:highlight w:val="yellow"/>
          <w:lang w:eastAsia="en-US"/>
        </w:rPr>
      </w:pPr>
      <w:r>
        <w:rPr>
          <w:rFonts w:ascii="Calibri" w:hAnsi="Calibri" w:cs="Calibri"/>
          <w:sz w:val="24"/>
          <w:szCs w:val="24"/>
          <w:highlight w:val="yellow"/>
        </w:rPr>
        <w:t>For</w:t>
      </w:r>
      <w:r>
        <w:rPr>
          <w:rFonts w:ascii="Calibri" w:hAnsi="Calibri" w:cs="Calibri"/>
          <w:sz w:val="24"/>
          <w:szCs w:val="24"/>
          <w:highlight w:val="yellow"/>
          <w:lang w:eastAsia="en-US"/>
        </w:rPr>
        <w:t xml:space="preserve"> the third Illumination, select TL 25. </w:t>
      </w:r>
      <w:r>
        <w:rPr>
          <w:rFonts w:ascii="Calibri" w:hAnsi="Calibri" w:cs="Calibri"/>
          <w:sz w:val="24"/>
          <w:szCs w:val="24"/>
          <w:highlight w:val="yellow"/>
        </w:rPr>
        <w:t>Follow</w:t>
      </w:r>
      <w:r>
        <w:rPr>
          <w:rFonts w:ascii="Calibri" w:hAnsi="Calibri" w:cs="Calibri"/>
          <w:sz w:val="24"/>
          <w:szCs w:val="24"/>
          <w:highlight w:val="yellow"/>
          <w:lang w:eastAsia="en-US"/>
        </w:rPr>
        <w:t xml:space="preserve"> the same settings as in steps 2.1.7-2.1.9.</w:t>
      </w:r>
    </w:p>
    <w:p w14:paraId="3078F44F">
      <w:pPr>
        <w:pStyle w:val="19"/>
        <w:ind w:firstLine="0" w:firstLineChars="0"/>
        <w:rPr>
          <w:rFonts w:ascii="Calibri" w:hAnsi="Calibri" w:cs="Calibri"/>
          <w:sz w:val="24"/>
          <w:szCs w:val="24"/>
          <w:highlight w:val="yellow"/>
          <w:lang w:eastAsia="en-US"/>
        </w:rPr>
      </w:pPr>
    </w:p>
    <w:p w14:paraId="0669979A">
      <w:pPr>
        <w:rPr>
          <w:rFonts w:ascii="Calibri" w:hAnsi="Calibri" w:cs="Calibri"/>
          <w:sz w:val="24"/>
          <w:szCs w:val="24"/>
          <w:highlight w:val="none"/>
          <w:lang w:eastAsia="en-US"/>
        </w:rPr>
      </w:pPr>
      <w:r>
        <w:rPr>
          <w:rFonts w:ascii="Calibri" w:hAnsi="Calibri" w:cs="Calibri"/>
          <w:sz w:val="24"/>
          <w:szCs w:val="24"/>
          <w:highlight w:val="none"/>
          <w:lang w:eastAsia="en-US"/>
        </w:rPr>
        <w:t xml:space="preserve">NOTE: Set Shading correction based on the channel, and TL 25 should choose </w:t>
      </w:r>
      <w:r>
        <w:rPr>
          <w:rFonts w:ascii="Calibri" w:hAnsi="Calibri" w:cs="Calibri"/>
          <w:b/>
          <w:bCs/>
          <w:sz w:val="24"/>
          <w:szCs w:val="24"/>
          <w:highlight w:val="none"/>
          <w:lang w:eastAsia="en-US"/>
        </w:rPr>
        <w:t>Auto Correction for TL</w:t>
      </w:r>
      <w:r>
        <w:rPr>
          <w:rFonts w:ascii="Calibri" w:hAnsi="Calibri" w:cs="Calibri"/>
          <w:sz w:val="24"/>
          <w:szCs w:val="24"/>
          <w:highlight w:val="none"/>
          <w:lang w:eastAsia="en-US"/>
        </w:rPr>
        <w:t>. In Wavelengths, the TL channel must be set for cell positioning and morphological observation.</w:t>
      </w:r>
    </w:p>
    <w:p w14:paraId="2EF61CA5">
      <w:pPr>
        <w:rPr>
          <w:rFonts w:ascii="Calibri" w:hAnsi="Calibri" w:cs="Calibri"/>
          <w:sz w:val="24"/>
          <w:szCs w:val="24"/>
          <w:highlight w:val="yellow"/>
          <w:lang w:eastAsia="en-US"/>
        </w:rPr>
      </w:pPr>
    </w:p>
    <w:p w14:paraId="1BE995FC">
      <w:pPr>
        <w:pStyle w:val="19"/>
        <w:numPr>
          <w:ilvl w:val="2"/>
          <w:numId w:val="1"/>
        </w:numPr>
        <w:ind w:left="0" w:firstLine="0" w:firstLineChars="0"/>
        <w:rPr>
          <w:rFonts w:ascii="Calibri" w:hAnsi="Calibri" w:cs="Calibri"/>
          <w:sz w:val="24"/>
          <w:szCs w:val="24"/>
          <w:highlight w:val="yellow"/>
          <w:lang w:eastAsia="en-US"/>
        </w:rPr>
      </w:pPr>
      <w:r>
        <w:rPr>
          <w:rFonts w:ascii="Calibri" w:hAnsi="Calibri" w:cs="Calibri"/>
          <w:sz w:val="24"/>
          <w:szCs w:val="24"/>
          <w:highlight w:val="yellow"/>
          <w:lang w:eastAsia="en-US"/>
        </w:rPr>
        <w:t>In the Run tab, name the plate according to the naming convention: plate name-cell type-experiment ID-date-objective magnification-imaging type. Confirm the imaging channel-related parameters under Description.</w:t>
      </w:r>
    </w:p>
    <w:p w14:paraId="24E47D34">
      <w:pPr>
        <w:pStyle w:val="19"/>
        <w:ind w:firstLine="0" w:firstLineChars="0"/>
        <w:rPr>
          <w:rFonts w:ascii="Calibri" w:hAnsi="Calibri" w:cs="Calibri"/>
          <w:sz w:val="24"/>
          <w:szCs w:val="24"/>
          <w:highlight w:val="yellow"/>
          <w:lang w:eastAsia="en-US"/>
        </w:rPr>
      </w:pPr>
    </w:p>
    <w:p w14:paraId="061A25D3">
      <w:pPr>
        <w:pStyle w:val="19"/>
        <w:numPr>
          <w:ilvl w:val="2"/>
          <w:numId w:val="1"/>
        </w:numPr>
        <w:ind w:left="0" w:firstLine="0" w:firstLineChars="0"/>
        <w:rPr>
          <w:rFonts w:ascii="Calibri" w:hAnsi="Calibri" w:cs="Calibri"/>
          <w:sz w:val="24"/>
          <w:szCs w:val="24"/>
          <w:highlight w:val="yellow"/>
          <w:lang w:eastAsia="en-US"/>
        </w:rPr>
      </w:pPr>
      <w:r>
        <w:rPr>
          <w:rFonts w:ascii="Calibri" w:hAnsi="Calibri" w:cs="Calibri"/>
          <w:sz w:val="24"/>
          <w:szCs w:val="24"/>
          <w:highlight w:val="yellow"/>
          <w:lang w:eastAsia="en-US"/>
        </w:rPr>
        <w:t>Click Acquire Plate to start imaging. After imaging is complete, turn off the software, instrument, and computer in sequence.</w:t>
      </w:r>
    </w:p>
    <w:p w14:paraId="1149EC20">
      <w:pPr>
        <w:pStyle w:val="19"/>
        <w:ind w:firstLine="0" w:firstLineChars="0"/>
        <w:rPr>
          <w:rFonts w:ascii="Calibri" w:hAnsi="Calibri" w:cs="Calibri"/>
          <w:sz w:val="24"/>
          <w:szCs w:val="24"/>
          <w:highlight w:val="none"/>
          <w:lang w:eastAsia="en-US"/>
        </w:rPr>
      </w:pPr>
    </w:p>
    <w:p w14:paraId="20E3E83E">
      <w:pPr>
        <w:rPr>
          <w:rFonts w:ascii="Calibri" w:hAnsi="Calibri" w:cs="Calibri"/>
          <w:sz w:val="24"/>
          <w:szCs w:val="24"/>
          <w:highlight w:val="none"/>
          <w:lang w:eastAsia="en-US"/>
        </w:rPr>
      </w:pPr>
      <w:r>
        <w:rPr>
          <w:rFonts w:ascii="Calibri" w:hAnsi="Calibri" w:cs="Calibri"/>
          <w:sz w:val="24"/>
          <w:szCs w:val="24"/>
          <w:highlight w:val="none"/>
          <w:lang w:eastAsia="en-US"/>
        </w:rPr>
        <w:t>NOTE: Subsequently, the computer may be opened only for image export, data processing, and result analysis</w:t>
      </w:r>
    </w:p>
    <w:p w14:paraId="30EDA47C">
      <w:pPr>
        <w:rPr>
          <w:rFonts w:ascii="Calibri" w:hAnsi="Calibri" w:cs="Calibri"/>
          <w:sz w:val="24"/>
          <w:szCs w:val="24"/>
          <w:lang w:eastAsia="en-US"/>
        </w:rPr>
      </w:pPr>
    </w:p>
    <w:p w14:paraId="4D40DA28">
      <w:pPr>
        <w:pStyle w:val="19"/>
        <w:numPr>
          <w:ilvl w:val="1"/>
          <w:numId w:val="1"/>
        </w:numPr>
        <w:ind w:left="0" w:firstLine="0" w:firstLineChars="0"/>
        <w:rPr>
          <w:rFonts w:ascii="Calibri" w:hAnsi="Calibri" w:cs="Calibri"/>
          <w:sz w:val="24"/>
          <w:szCs w:val="24"/>
          <w:lang w:eastAsia="en-US"/>
        </w:rPr>
      </w:pPr>
      <w:r>
        <w:rPr>
          <w:rFonts w:ascii="Calibri" w:hAnsi="Calibri" w:cs="Calibri"/>
          <w:sz w:val="24"/>
          <w:szCs w:val="24"/>
          <w:lang w:eastAsia="en-US"/>
        </w:rPr>
        <w:t>Imaging operation standards and requirements</w:t>
      </w:r>
    </w:p>
    <w:p w14:paraId="7AC69532">
      <w:pPr>
        <w:pStyle w:val="19"/>
        <w:ind w:firstLine="0" w:firstLineChars="0"/>
        <w:rPr>
          <w:rFonts w:ascii="Calibri" w:hAnsi="Calibri" w:cs="Calibri"/>
          <w:sz w:val="24"/>
          <w:szCs w:val="24"/>
          <w:lang w:eastAsia="en-US"/>
        </w:rPr>
      </w:pPr>
    </w:p>
    <w:p w14:paraId="6B28B875">
      <w:pPr>
        <w:pStyle w:val="19"/>
        <w:numPr>
          <w:ilvl w:val="2"/>
          <w:numId w:val="1"/>
        </w:numPr>
        <w:ind w:left="0" w:firstLine="0" w:firstLineChars="0"/>
        <w:rPr>
          <w:rFonts w:ascii="Calibri" w:hAnsi="Calibri" w:cs="Calibri"/>
          <w:sz w:val="24"/>
          <w:szCs w:val="24"/>
          <w:lang w:eastAsia="en-US"/>
        </w:rPr>
      </w:pPr>
      <w:r>
        <w:rPr>
          <w:rFonts w:ascii="Calibri" w:hAnsi="Calibri" w:cs="Calibri"/>
          <w:sz w:val="24"/>
          <w:szCs w:val="24"/>
          <w:lang w:eastAsia="en-US"/>
        </w:rPr>
        <w:t>Center the field of view on the well to avoid edge effects (</w:t>
      </w:r>
      <w:r>
        <w:rPr>
          <w:rFonts w:ascii="Calibri" w:hAnsi="Calibri" w:cs="Calibri"/>
          <w:b/>
          <w:bCs/>
          <w:sz w:val="24"/>
          <w:szCs w:val="24"/>
          <w:lang w:eastAsia="en-US"/>
        </w:rPr>
        <w:t>Figure 1A</w:t>
      </w:r>
      <w:r>
        <w:rPr>
          <w:rFonts w:ascii="Calibri" w:hAnsi="Calibri" w:cs="Calibri"/>
          <w:sz w:val="24"/>
          <w:szCs w:val="24"/>
          <w:lang w:eastAsia="en-US"/>
        </w:rPr>
        <w:t>). During imaging parameter setup, use the positive control with the highest fluorescence intensity as a reference. Additionally, when focusing, choose a field of view with a single layer of cells, clean and free of debris.</w:t>
      </w:r>
    </w:p>
    <w:p w14:paraId="14F271D7">
      <w:pPr>
        <w:rPr>
          <w:rFonts w:ascii="Calibri" w:hAnsi="Calibri" w:cs="Calibri"/>
          <w:sz w:val="24"/>
          <w:szCs w:val="24"/>
          <w:lang w:eastAsia="en-US"/>
        </w:rPr>
      </w:pPr>
    </w:p>
    <w:p w14:paraId="701C1CAF">
      <w:pPr>
        <w:pStyle w:val="19"/>
        <w:numPr>
          <w:ilvl w:val="2"/>
          <w:numId w:val="1"/>
        </w:numPr>
        <w:ind w:left="0" w:firstLine="0" w:firstLineChars="0"/>
        <w:rPr>
          <w:rFonts w:ascii="Calibri" w:hAnsi="Calibri" w:cs="Calibri"/>
          <w:sz w:val="24"/>
          <w:szCs w:val="24"/>
          <w:lang w:eastAsia="en-US"/>
        </w:rPr>
      </w:pPr>
      <w:r>
        <w:rPr>
          <w:rFonts w:ascii="Calibri" w:hAnsi="Calibri" w:cs="Calibri"/>
          <w:sz w:val="24"/>
          <w:szCs w:val="24"/>
          <w:lang w:eastAsia="en-US"/>
        </w:rPr>
        <w:t xml:space="preserve">For the camera, control the pixel values strictly below 60000 (the maximum value is 65535) to prevent saturation, which can cause permanent loss of information. If saturated bright spots or areas appear, shorten the exposure. At the same time, do not keep the exposure time too low; otherwise, noise will dominate the image. </w:t>
      </w:r>
    </w:p>
    <w:p w14:paraId="116FF921">
      <w:pPr>
        <w:pStyle w:val="19"/>
        <w:ind w:firstLine="480"/>
        <w:rPr>
          <w:rFonts w:ascii="Calibri" w:hAnsi="Calibri" w:cs="Calibri"/>
          <w:sz w:val="24"/>
          <w:szCs w:val="24"/>
          <w:lang w:eastAsia="en-US"/>
        </w:rPr>
      </w:pPr>
    </w:p>
    <w:p w14:paraId="3F05847C">
      <w:pPr>
        <w:pStyle w:val="19"/>
        <w:numPr>
          <w:ilvl w:val="2"/>
          <w:numId w:val="1"/>
        </w:numPr>
        <w:ind w:left="0" w:firstLine="0" w:firstLineChars="0"/>
        <w:rPr>
          <w:rFonts w:ascii="Calibri" w:hAnsi="Calibri" w:cs="Calibri"/>
          <w:sz w:val="24"/>
          <w:szCs w:val="24"/>
          <w:lang w:eastAsia="en-US"/>
        </w:rPr>
      </w:pPr>
      <w:r>
        <w:rPr>
          <w:rFonts w:ascii="Calibri" w:hAnsi="Calibri" w:cs="Calibri"/>
          <w:sz w:val="24"/>
          <w:szCs w:val="24"/>
          <w:lang w:eastAsia="en-US"/>
        </w:rPr>
        <w:t xml:space="preserve">For weak fluorescence signals, prioritize slightly increasing the exposure rather than forcibly raising the parameters to avoid irreversible damage caused by photobleaching. </w:t>
      </w:r>
    </w:p>
    <w:p w14:paraId="22983B26">
      <w:pPr>
        <w:pStyle w:val="19"/>
        <w:ind w:firstLine="480"/>
        <w:rPr>
          <w:rFonts w:ascii="Calibri" w:hAnsi="Calibri" w:cs="Calibri"/>
          <w:sz w:val="24"/>
          <w:szCs w:val="24"/>
          <w:lang w:eastAsia="en-US"/>
        </w:rPr>
      </w:pPr>
    </w:p>
    <w:p w14:paraId="456872F7">
      <w:pPr>
        <w:pStyle w:val="19"/>
        <w:ind w:firstLine="0" w:firstLineChars="0"/>
        <w:rPr>
          <w:rFonts w:ascii="Calibri" w:hAnsi="Calibri" w:cs="Calibri"/>
          <w:sz w:val="24"/>
          <w:szCs w:val="24"/>
          <w:lang w:eastAsia="en-US"/>
        </w:rPr>
      </w:pPr>
      <w:r>
        <w:rPr>
          <w:rFonts w:ascii="Calibri" w:hAnsi="Calibri" w:cs="Calibri"/>
          <w:sz w:val="24"/>
          <w:szCs w:val="24"/>
          <w:lang w:eastAsia="en-US"/>
        </w:rPr>
        <w:t>NOTE: For bright-field imaging, these principles can be appropriately relaxed, but the core focus remains on signal integrity and sample protection.</w:t>
      </w:r>
    </w:p>
    <w:p w14:paraId="4E87DE8C">
      <w:pPr>
        <w:rPr>
          <w:rFonts w:ascii="Calibri" w:hAnsi="Calibri" w:cs="Calibri"/>
          <w:sz w:val="24"/>
          <w:szCs w:val="24"/>
          <w:lang w:eastAsia="en-US"/>
        </w:rPr>
      </w:pPr>
    </w:p>
    <w:p w14:paraId="0D50512B">
      <w:pPr>
        <w:pStyle w:val="19"/>
        <w:numPr>
          <w:ilvl w:val="2"/>
          <w:numId w:val="1"/>
        </w:numPr>
        <w:ind w:left="0" w:firstLine="0" w:firstLineChars="0"/>
        <w:rPr>
          <w:rFonts w:ascii="Calibri" w:hAnsi="Calibri" w:cs="Calibri"/>
          <w:sz w:val="24"/>
          <w:szCs w:val="24"/>
          <w:lang w:eastAsia="en-US"/>
        </w:rPr>
      </w:pPr>
      <w:r>
        <w:rPr>
          <w:rFonts w:ascii="Calibri" w:hAnsi="Calibri" w:cs="Calibri"/>
          <w:sz w:val="24"/>
          <w:szCs w:val="24"/>
          <w:lang w:eastAsia="en-US"/>
        </w:rPr>
        <w:t>Ensure that the sample's edge contours are clearly distinguishable and make sure that the internal fine structures (such as granules, fibers, organelles) have distinct textures, not blurred, and the background scattered light is evenly distributed without local bright spots or blurred halos. Strictly avoid over-focusing and under-focusing.</w:t>
      </w:r>
    </w:p>
    <w:p w14:paraId="2DC06A27">
      <w:pPr>
        <w:rPr>
          <w:rFonts w:ascii="Calibri" w:hAnsi="Calibri" w:cs="Calibri"/>
          <w:sz w:val="24"/>
          <w:szCs w:val="24"/>
          <w:lang w:eastAsia="en-US"/>
        </w:rPr>
      </w:pPr>
    </w:p>
    <w:p w14:paraId="77769A8D">
      <w:pPr>
        <w:pStyle w:val="19"/>
        <w:numPr>
          <w:ilvl w:val="2"/>
          <w:numId w:val="1"/>
        </w:numPr>
        <w:ind w:left="0" w:firstLine="0" w:firstLineChars="0"/>
        <w:rPr>
          <w:rFonts w:ascii="Calibri" w:hAnsi="Calibri" w:cs="Calibri"/>
          <w:sz w:val="24"/>
          <w:szCs w:val="24"/>
          <w:lang w:eastAsia="en-US"/>
        </w:rPr>
      </w:pPr>
      <w:r>
        <w:rPr>
          <w:rFonts w:ascii="Calibri" w:hAnsi="Calibri" w:cs="Calibri"/>
          <w:sz w:val="24"/>
          <w:szCs w:val="24"/>
          <w:lang w:eastAsia="en-US"/>
        </w:rPr>
        <w:t>Ensure that there are normal, positive, negative, and experimental groups, and that each treatment group has at least 3 parallel wells. It is recommended to arrange the parallel wells vertically.</w:t>
      </w:r>
    </w:p>
    <w:p w14:paraId="3123081F">
      <w:pPr>
        <w:rPr>
          <w:rFonts w:ascii="Calibri" w:hAnsi="Calibri" w:cs="Calibri"/>
          <w:sz w:val="24"/>
          <w:szCs w:val="24"/>
          <w:lang w:eastAsia="en-US"/>
        </w:rPr>
      </w:pPr>
    </w:p>
    <w:p w14:paraId="1C140784">
      <w:pPr>
        <w:pStyle w:val="19"/>
        <w:numPr>
          <w:ilvl w:val="0"/>
          <w:numId w:val="1"/>
        </w:numPr>
        <w:ind w:left="0" w:firstLine="0" w:firstLineChars="0"/>
        <w:rPr>
          <w:rFonts w:ascii="Calibri" w:hAnsi="Calibri" w:cs="Calibri"/>
          <w:b/>
          <w:bCs/>
          <w:sz w:val="24"/>
          <w:szCs w:val="24"/>
          <w:lang w:eastAsia="en-US"/>
        </w:rPr>
      </w:pPr>
      <w:r>
        <w:rPr>
          <w:rFonts w:ascii="Calibri" w:hAnsi="Calibri" w:cs="Calibri"/>
          <w:b/>
          <w:bCs/>
          <w:sz w:val="24"/>
          <w:szCs w:val="24"/>
          <w:lang w:eastAsia="en-US"/>
        </w:rPr>
        <w:t>Image processing and analysis</w:t>
      </w:r>
    </w:p>
    <w:p w14:paraId="4239A37F">
      <w:pPr>
        <w:rPr>
          <w:rFonts w:ascii="Calibri" w:hAnsi="Calibri" w:cs="Calibri"/>
          <w:sz w:val="24"/>
          <w:szCs w:val="24"/>
          <w:lang w:eastAsia="en-US"/>
        </w:rPr>
      </w:pPr>
    </w:p>
    <w:p w14:paraId="558681D7">
      <w:pPr>
        <w:rPr>
          <w:rFonts w:ascii="Calibri" w:hAnsi="Calibri" w:cs="Calibri"/>
          <w:sz w:val="24"/>
          <w:szCs w:val="24"/>
          <w:lang w:eastAsia="en-US"/>
        </w:rPr>
      </w:pPr>
      <w:r>
        <w:rPr>
          <w:rFonts w:ascii="Calibri" w:hAnsi="Calibri" w:cs="Calibri"/>
          <w:sz w:val="24"/>
          <w:szCs w:val="24"/>
          <w:lang w:eastAsia="en-US"/>
        </w:rPr>
        <w:t xml:space="preserve">NOTE: This document outlines three image processing methods provided by the instrument’s companion software, all of which are suitable for the staining protocol used in this study. While these methods share the same underlying principle of recognition, they differ in specific processing techniques and types of data results. </w:t>
      </w:r>
      <w:r>
        <w:rPr>
          <w:rFonts w:ascii="Calibri" w:hAnsi="Calibri" w:cs="Calibri"/>
          <w:sz w:val="24"/>
          <w:szCs w:val="24"/>
        </w:rPr>
        <w:t>The</w:t>
      </w:r>
      <w:r>
        <w:rPr>
          <w:rFonts w:ascii="Calibri" w:hAnsi="Calibri" w:cs="Calibri"/>
          <w:sz w:val="24"/>
          <w:szCs w:val="24"/>
          <w:lang w:eastAsia="en-US"/>
        </w:rPr>
        <w:t xml:space="preserve"> same image processing workflow was as follows: Open the file → Load the original image with the corresponding processing method → Set the appropriate channel parameters → Generate a Mask </w:t>
      </w:r>
      <w:bookmarkStart w:id="3" w:name="_Hlk233880044"/>
      <w:r>
        <w:rPr>
          <w:rFonts w:ascii="Calibri" w:hAnsi="Calibri" w:cs="Calibri"/>
          <w:sz w:val="24"/>
          <w:szCs w:val="24"/>
          <w:lang w:eastAsia="en-US"/>
        </w:rPr>
        <w:t>→</w:t>
      </w:r>
      <w:bookmarkEnd w:id="3"/>
      <w:r>
        <w:rPr>
          <w:rFonts w:ascii="Calibri" w:hAnsi="Calibri" w:cs="Calibri"/>
          <w:sz w:val="24"/>
          <w:szCs w:val="24"/>
          <w:lang w:eastAsia="en-US"/>
        </w:rPr>
        <w:t xml:space="preserve"> Set the measurement data type in Measure → Run the analysis → Observe the results → Export the data.</w:t>
      </w:r>
    </w:p>
    <w:p w14:paraId="2D37741E">
      <w:pPr>
        <w:rPr>
          <w:rFonts w:ascii="Calibri" w:hAnsi="Calibri" w:cs="Calibri"/>
          <w:sz w:val="24"/>
          <w:szCs w:val="24"/>
          <w:lang w:eastAsia="en-US"/>
        </w:rPr>
      </w:pPr>
    </w:p>
    <w:p w14:paraId="242FF47E">
      <w:pPr>
        <w:pStyle w:val="19"/>
        <w:numPr>
          <w:ilvl w:val="1"/>
          <w:numId w:val="1"/>
        </w:numPr>
        <w:ind w:left="0" w:firstLine="0" w:firstLineChars="0"/>
        <w:rPr>
          <w:rFonts w:ascii="Calibri" w:hAnsi="Calibri" w:cs="Calibri"/>
          <w:sz w:val="24"/>
          <w:szCs w:val="24"/>
          <w:lang w:eastAsia="en-US"/>
        </w:rPr>
      </w:pPr>
      <w:r>
        <w:rPr>
          <w:rFonts w:ascii="Calibri" w:hAnsi="Calibri" w:cs="Calibri"/>
          <w:sz w:val="24"/>
          <w:szCs w:val="24"/>
          <w:lang w:eastAsia="en-US"/>
        </w:rPr>
        <w:t>Open the analysis software provided with the device → Review Plate → Select Plate.</w:t>
      </w:r>
    </w:p>
    <w:p w14:paraId="61AFB91D">
      <w:pPr>
        <w:pStyle w:val="19"/>
        <w:ind w:firstLine="0" w:firstLineChars="0"/>
        <w:rPr>
          <w:rFonts w:ascii="Calibri" w:hAnsi="Calibri" w:cs="Calibri"/>
          <w:sz w:val="24"/>
          <w:szCs w:val="24"/>
          <w:lang w:eastAsia="en-US"/>
        </w:rPr>
      </w:pPr>
    </w:p>
    <w:p w14:paraId="5EC34204">
      <w:pPr>
        <w:pStyle w:val="19"/>
        <w:numPr>
          <w:ilvl w:val="1"/>
          <w:numId w:val="1"/>
        </w:numPr>
        <w:ind w:left="0" w:firstLine="0" w:firstLineChars="0"/>
        <w:rPr>
          <w:rFonts w:ascii="Calibri" w:hAnsi="Calibri" w:cs="Calibri"/>
          <w:sz w:val="24"/>
          <w:szCs w:val="24"/>
          <w:lang w:eastAsia="en-US"/>
        </w:rPr>
      </w:pPr>
      <w:r>
        <w:rPr>
          <w:rFonts w:ascii="Calibri" w:hAnsi="Calibri" w:cs="Calibri"/>
          <w:sz w:val="24"/>
          <w:szCs w:val="24"/>
          <w:lang w:eastAsia="en-US"/>
        </w:rPr>
        <w:t>In the Date view, select Well arrangement and choose a field of view from the positive group as a reference.</w:t>
      </w:r>
    </w:p>
    <w:p w14:paraId="0C0D964B">
      <w:pPr>
        <w:pStyle w:val="19"/>
        <w:ind w:firstLine="0" w:firstLineChars="0"/>
        <w:rPr>
          <w:rFonts w:ascii="Calibri" w:hAnsi="Calibri" w:cs="Calibri"/>
          <w:sz w:val="24"/>
          <w:szCs w:val="24"/>
          <w:lang w:eastAsia="en-US"/>
        </w:rPr>
      </w:pPr>
    </w:p>
    <w:p w14:paraId="03C86ECB">
      <w:pPr>
        <w:pStyle w:val="19"/>
        <w:numPr>
          <w:ilvl w:val="1"/>
          <w:numId w:val="1"/>
        </w:numPr>
        <w:ind w:left="0" w:firstLine="0" w:firstLineChars="0"/>
        <w:rPr>
          <w:rFonts w:ascii="Calibri" w:hAnsi="Calibri" w:cs="Calibri"/>
          <w:sz w:val="24"/>
          <w:szCs w:val="24"/>
          <w:lang w:eastAsia="en-US"/>
        </w:rPr>
      </w:pPr>
      <w:r>
        <w:rPr>
          <w:rFonts w:ascii="Calibri" w:hAnsi="Calibri" w:cs="Calibri"/>
          <w:sz w:val="24"/>
          <w:szCs w:val="24"/>
          <w:lang w:eastAsia="en-US"/>
        </w:rPr>
        <w:t>Under Run Analysis, select the corresponding processing program and set the image processing parameters or export the image.</w:t>
      </w:r>
    </w:p>
    <w:p w14:paraId="07AE67E0">
      <w:pPr>
        <w:pStyle w:val="19"/>
        <w:ind w:firstLine="0" w:firstLineChars="0"/>
        <w:rPr>
          <w:rFonts w:ascii="Calibri" w:hAnsi="Calibri" w:cs="Calibri"/>
          <w:sz w:val="24"/>
          <w:szCs w:val="24"/>
          <w:lang w:eastAsia="en-US"/>
        </w:rPr>
      </w:pPr>
    </w:p>
    <w:p w14:paraId="3B4F2555">
      <w:pPr>
        <w:pStyle w:val="19"/>
        <w:numPr>
          <w:ilvl w:val="1"/>
          <w:numId w:val="1"/>
        </w:numPr>
        <w:ind w:left="0" w:firstLine="0" w:firstLineChars="0"/>
        <w:rPr>
          <w:rFonts w:ascii="Calibri" w:hAnsi="Calibri" w:cs="Calibri"/>
          <w:sz w:val="24"/>
          <w:szCs w:val="24"/>
          <w:lang w:eastAsia="en-US"/>
        </w:rPr>
      </w:pPr>
      <w:r>
        <w:rPr>
          <w:rFonts w:ascii="Calibri" w:hAnsi="Calibri" w:cs="Calibri"/>
          <w:sz w:val="24"/>
          <w:szCs w:val="24"/>
          <w:lang w:eastAsia="en-US"/>
        </w:rPr>
        <w:t>After setting and saving the parameters, select Run on all wells/ Run on selections/ Run on displayed site based on the parameter setting object.</w:t>
      </w:r>
    </w:p>
    <w:p w14:paraId="5E038A7A">
      <w:pPr>
        <w:pStyle w:val="19"/>
        <w:ind w:firstLine="0" w:firstLineChars="0"/>
        <w:rPr>
          <w:rFonts w:ascii="Calibri" w:hAnsi="Calibri" w:cs="Calibri"/>
          <w:sz w:val="24"/>
          <w:szCs w:val="24"/>
          <w:lang w:eastAsia="en-US"/>
        </w:rPr>
      </w:pPr>
    </w:p>
    <w:p w14:paraId="66580192">
      <w:pPr>
        <w:pStyle w:val="19"/>
        <w:numPr>
          <w:ilvl w:val="1"/>
          <w:numId w:val="1"/>
        </w:numPr>
        <w:ind w:left="0" w:firstLine="0" w:firstLineChars="0"/>
        <w:rPr>
          <w:rFonts w:ascii="Calibri" w:hAnsi="Calibri" w:cs="Calibri"/>
          <w:sz w:val="24"/>
          <w:szCs w:val="24"/>
          <w:lang w:eastAsia="en-US"/>
        </w:rPr>
      </w:pPr>
      <w:r>
        <w:rPr>
          <w:rFonts w:ascii="Calibri" w:hAnsi="Calibri" w:cs="Calibri"/>
          <w:sz w:val="24"/>
          <w:szCs w:val="24"/>
          <w:lang w:eastAsia="en-US"/>
        </w:rPr>
        <w:t>After the computer finishes processing the data, under the Measurements tab, select the corresponding data processing program in Analysis and choose different measurement results in Measurement to check the data.</w:t>
      </w:r>
    </w:p>
    <w:p w14:paraId="61D3B415">
      <w:pPr>
        <w:pStyle w:val="19"/>
        <w:ind w:firstLine="0" w:firstLineChars="0"/>
        <w:rPr>
          <w:rFonts w:ascii="Calibri" w:hAnsi="Calibri" w:cs="Calibri"/>
          <w:sz w:val="24"/>
          <w:szCs w:val="24"/>
          <w:lang w:eastAsia="en-US"/>
        </w:rPr>
      </w:pPr>
    </w:p>
    <w:p w14:paraId="0C30A862">
      <w:pPr>
        <w:pStyle w:val="19"/>
        <w:numPr>
          <w:ilvl w:val="1"/>
          <w:numId w:val="1"/>
        </w:numPr>
        <w:ind w:left="0" w:firstLine="0" w:firstLineChars="0"/>
        <w:rPr>
          <w:rFonts w:ascii="Calibri" w:hAnsi="Calibri" w:cs="Calibri"/>
          <w:sz w:val="24"/>
          <w:szCs w:val="24"/>
          <w:lang w:eastAsia="en-US"/>
        </w:rPr>
      </w:pPr>
      <w:r>
        <w:rPr>
          <w:rFonts w:ascii="Calibri" w:hAnsi="Calibri" w:cs="Calibri"/>
          <w:sz w:val="24"/>
          <w:szCs w:val="24"/>
          <w:lang w:eastAsia="en-US"/>
        </w:rPr>
        <w:t>Click Open Log to start exporting the data. Set t</w:t>
      </w:r>
      <w:r>
        <w:rPr>
          <w:rFonts w:ascii="Calibri" w:hAnsi="Calibri" w:cs="Calibri"/>
          <w:sz w:val="24"/>
          <w:szCs w:val="24"/>
        </w:rPr>
        <w:t>he</w:t>
      </w:r>
      <w:r>
        <w:rPr>
          <w:rFonts w:ascii="Calibri" w:hAnsi="Calibri" w:cs="Calibri"/>
          <w:sz w:val="24"/>
          <w:szCs w:val="24"/>
          <w:lang w:eastAsia="en-US"/>
        </w:rPr>
        <w:t xml:space="preserve"> following details in the parameter settings for the three image processing methods:</w:t>
      </w:r>
    </w:p>
    <w:p w14:paraId="3F8E94F5">
      <w:pPr>
        <w:pStyle w:val="19"/>
        <w:ind w:firstLine="0" w:firstLineChars="0"/>
        <w:rPr>
          <w:rFonts w:ascii="Calibri" w:hAnsi="Calibri" w:cs="Calibri"/>
          <w:sz w:val="24"/>
          <w:szCs w:val="24"/>
          <w:lang w:eastAsia="en-US"/>
        </w:rPr>
      </w:pPr>
    </w:p>
    <w:p w14:paraId="42295360">
      <w:pPr>
        <w:pStyle w:val="19"/>
        <w:numPr>
          <w:ilvl w:val="2"/>
          <w:numId w:val="1"/>
        </w:numPr>
        <w:ind w:left="0" w:firstLine="0" w:firstLineChars="0"/>
        <w:rPr>
          <w:rFonts w:ascii="Calibri" w:hAnsi="Calibri" w:cs="Calibri"/>
          <w:sz w:val="24"/>
          <w:szCs w:val="24"/>
          <w:lang w:eastAsia="en-US"/>
        </w:rPr>
      </w:pPr>
      <w:r>
        <w:rPr>
          <w:rFonts w:ascii="Calibri" w:hAnsi="Calibri" w:cs="Calibri"/>
          <w:sz w:val="24"/>
          <w:szCs w:val="24"/>
          <w:lang w:eastAsia="en-US"/>
        </w:rPr>
        <w:t>Image processing method one: Multi-Wavelength Cell Scoring</w:t>
      </w:r>
    </w:p>
    <w:p w14:paraId="1BFD7069">
      <w:pPr>
        <w:pStyle w:val="19"/>
        <w:ind w:firstLine="0" w:firstLineChars="0"/>
        <w:rPr>
          <w:rFonts w:ascii="Calibri" w:hAnsi="Calibri" w:cs="Calibri"/>
          <w:sz w:val="24"/>
          <w:szCs w:val="24"/>
          <w:lang w:eastAsia="en-US"/>
        </w:rPr>
      </w:pPr>
    </w:p>
    <w:p w14:paraId="5FBFD5B5">
      <w:pPr>
        <w:pStyle w:val="19"/>
        <w:numPr>
          <w:ilvl w:val="3"/>
          <w:numId w:val="1"/>
        </w:numPr>
        <w:ind w:left="0" w:firstLine="0" w:firstLineChars="0"/>
        <w:rPr>
          <w:rFonts w:ascii="Calibri" w:hAnsi="Calibri" w:cs="Calibri"/>
          <w:sz w:val="24"/>
          <w:szCs w:val="24"/>
          <w:lang w:eastAsia="en-US"/>
        </w:rPr>
      </w:pPr>
      <w:r>
        <w:rPr>
          <w:rFonts w:ascii="Calibri" w:hAnsi="Calibri" w:cs="Calibri"/>
          <w:sz w:val="24"/>
          <w:szCs w:val="24"/>
        </w:rPr>
        <w:t>Select</w:t>
      </w:r>
      <w:r>
        <w:rPr>
          <w:rFonts w:ascii="Calibri" w:hAnsi="Calibri" w:cs="Calibri"/>
          <w:sz w:val="24"/>
          <w:szCs w:val="24"/>
          <w:lang w:eastAsia="en-US"/>
        </w:rPr>
        <w:t xml:space="preserve"> the Multi-Wavelength Cell Scoring program and configure the settings. Set the Number of wavelengths. Choose </w:t>
      </w:r>
      <w:r>
        <w:rPr>
          <w:rFonts w:ascii="Calibri" w:hAnsi="Calibri" w:cs="Calibri"/>
          <w:b/>
          <w:bCs/>
          <w:sz w:val="24"/>
          <w:szCs w:val="24"/>
          <w:lang w:eastAsia="en-US"/>
        </w:rPr>
        <w:t>Standard</w:t>
      </w:r>
      <w:r>
        <w:rPr>
          <w:rFonts w:ascii="Calibri" w:hAnsi="Calibri" w:cs="Calibri"/>
          <w:sz w:val="24"/>
          <w:szCs w:val="24"/>
          <w:lang w:eastAsia="en-US"/>
        </w:rPr>
        <w:t xml:space="preserve"> for the Algorithm. </w:t>
      </w:r>
    </w:p>
    <w:p w14:paraId="6368E6A5">
      <w:pPr>
        <w:pStyle w:val="19"/>
        <w:ind w:firstLine="0" w:firstLineChars="0"/>
        <w:rPr>
          <w:rFonts w:ascii="Calibri" w:hAnsi="Calibri" w:cs="Calibri"/>
          <w:sz w:val="24"/>
          <w:szCs w:val="24"/>
          <w:lang w:eastAsia="en-US"/>
        </w:rPr>
      </w:pPr>
    </w:p>
    <w:p w14:paraId="3F9338C7">
      <w:pPr>
        <w:pStyle w:val="19"/>
        <w:numPr>
          <w:ilvl w:val="3"/>
          <w:numId w:val="1"/>
        </w:numPr>
        <w:ind w:left="0" w:firstLine="0" w:firstLineChars="0"/>
        <w:rPr>
          <w:rFonts w:ascii="Calibri" w:hAnsi="Calibri" w:cs="Calibri"/>
          <w:sz w:val="24"/>
          <w:szCs w:val="24"/>
          <w:lang w:eastAsia="en-US"/>
        </w:rPr>
      </w:pPr>
      <w:r>
        <w:rPr>
          <w:rFonts w:ascii="Calibri" w:hAnsi="Calibri" w:cs="Calibri"/>
          <w:sz w:val="24"/>
          <w:szCs w:val="24"/>
          <w:lang w:eastAsia="en-US"/>
        </w:rPr>
        <w:t>Set the recognition parameters for all nuclei based on the PI staining results. The default W1 Source image is the DAPI channel.</w:t>
      </w:r>
    </w:p>
    <w:p w14:paraId="4E9CA17A">
      <w:pPr>
        <w:pStyle w:val="19"/>
        <w:ind w:firstLine="0" w:firstLineChars="0"/>
        <w:rPr>
          <w:rFonts w:ascii="Calibri" w:hAnsi="Calibri" w:cs="Calibri"/>
          <w:sz w:val="24"/>
          <w:szCs w:val="24"/>
          <w:lang w:eastAsia="en-US"/>
        </w:rPr>
      </w:pPr>
    </w:p>
    <w:p w14:paraId="4EF190CE">
      <w:pPr>
        <w:pStyle w:val="19"/>
        <w:numPr>
          <w:ilvl w:val="3"/>
          <w:numId w:val="1"/>
        </w:numPr>
        <w:ind w:left="0" w:firstLine="0" w:firstLineChars="0"/>
        <w:rPr>
          <w:rFonts w:ascii="Calibri" w:hAnsi="Calibri" w:cs="Calibri"/>
          <w:sz w:val="24"/>
          <w:szCs w:val="24"/>
          <w:lang w:eastAsia="en-US"/>
        </w:rPr>
      </w:pPr>
      <w:r>
        <w:rPr>
          <w:rFonts w:ascii="Calibri" w:hAnsi="Calibri" w:cs="Calibri"/>
          <w:sz w:val="24"/>
          <w:szCs w:val="24"/>
          <w:lang w:eastAsia="en-US"/>
        </w:rPr>
        <w:t>Set the Approximate min width to 8–10 μm and the Approximate max width to 30–35 μm, based on the size of the individual objects to be recognized.</w:t>
      </w:r>
    </w:p>
    <w:p w14:paraId="2A8862E4">
      <w:pPr>
        <w:pStyle w:val="19"/>
        <w:ind w:firstLine="0" w:firstLineChars="0"/>
        <w:rPr>
          <w:rFonts w:ascii="Calibri" w:hAnsi="Calibri" w:cs="Calibri"/>
          <w:sz w:val="24"/>
          <w:szCs w:val="24"/>
          <w:lang w:eastAsia="en-US"/>
        </w:rPr>
      </w:pPr>
    </w:p>
    <w:p w14:paraId="756A52F8">
      <w:pPr>
        <w:pStyle w:val="19"/>
        <w:numPr>
          <w:ilvl w:val="3"/>
          <w:numId w:val="1"/>
        </w:numPr>
        <w:ind w:left="0" w:firstLine="0" w:firstLineChars="0"/>
        <w:rPr>
          <w:rFonts w:ascii="Calibri" w:hAnsi="Calibri" w:cs="Calibri"/>
          <w:sz w:val="24"/>
          <w:szCs w:val="24"/>
          <w:lang w:eastAsia="en-US"/>
        </w:rPr>
      </w:pPr>
      <w:r>
        <w:rPr>
          <w:rFonts w:ascii="Calibri" w:hAnsi="Calibri" w:cs="Calibri"/>
          <w:sz w:val="24"/>
          <w:szCs w:val="24"/>
          <w:lang w:eastAsia="en-US"/>
        </w:rPr>
        <w:t>Set the intensity above local background to 2,000–10,000 gray levels. Use Preview to test and adjust the settings based on the recognition results.</w:t>
      </w:r>
    </w:p>
    <w:p w14:paraId="360D6B22">
      <w:pPr>
        <w:pStyle w:val="19"/>
        <w:ind w:firstLine="0" w:firstLineChars="0"/>
        <w:rPr>
          <w:rFonts w:ascii="Calibri" w:hAnsi="Calibri" w:cs="Calibri"/>
          <w:sz w:val="24"/>
          <w:szCs w:val="24"/>
          <w:lang w:eastAsia="en-US"/>
        </w:rPr>
      </w:pPr>
    </w:p>
    <w:p w14:paraId="0891B73D">
      <w:pPr>
        <w:pStyle w:val="19"/>
        <w:numPr>
          <w:ilvl w:val="3"/>
          <w:numId w:val="1"/>
        </w:numPr>
        <w:ind w:left="0" w:firstLine="0" w:firstLineChars="0"/>
        <w:rPr>
          <w:rFonts w:ascii="Calibri" w:hAnsi="Calibri" w:cs="Calibri"/>
          <w:sz w:val="24"/>
          <w:szCs w:val="24"/>
          <w:lang w:eastAsia="en-US"/>
        </w:rPr>
      </w:pPr>
      <w:r>
        <w:rPr>
          <w:rFonts w:ascii="Calibri" w:hAnsi="Calibri" w:cs="Calibri"/>
          <w:sz w:val="24"/>
          <w:szCs w:val="24"/>
          <w:lang w:eastAsia="en-US"/>
        </w:rPr>
        <w:t>Set the W2 parameters based on Hoechst 33342 staining results. Name this channel. The W2 Source image is Cy3</w:t>
      </w:r>
    </w:p>
    <w:p w14:paraId="4D4EABA3">
      <w:pPr>
        <w:pStyle w:val="19"/>
        <w:ind w:firstLine="0" w:firstLineChars="0"/>
        <w:rPr>
          <w:rFonts w:ascii="Calibri" w:hAnsi="Calibri" w:cs="Calibri"/>
          <w:sz w:val="24"/>
          <w:szCs w:val="24"/>
          <w:lang w:eastAsia="en-US"/>
        </w:rPr>
      </w:pPr>
    </w:p>
    <w:p w14:paraId="591D80F7">
      <w:pPr>
        <w:pStyle w:val="19"/>
        <w:numPr>
          <w:ilvl w:val="3"/>
          <w:numId w:val="1"/>
        </w:numPr>
        <w:ind w:left="0" w:firstLine="0" w:firstLineChars="0"/>
        <w:rPr>
          <w:rFonts w:ascii="Calibri" w:hAnsi="Calibri" w:cs="Calibri"/>
          <w:sz w:val="24"/>
          <w:szCs w:val="24"/>
          <w:lang w:eastAsia="en-US"/>
        </w:rPr>
      </w:pPr>
      <w:r>
        <w:rPr>
          <w:rFonts w:ascii="Calibri" w:hAnsi="Calibri" w:cs="Calibri"/>
          <w:sz w:val="24"/>
          <w:szCs w:val="24"/>
        </w:rPr>
        <w:t>In</w:t>
      </w:r>
      <w:r>
        <w:rPr>
          <w:rFonts w:ascii="Calibri" w:hAnsi="Calibri" w:cs="Calibri"/>
          <w:sz w:val="24"/>
          <w:szCs w:val="24"/>
          <w:lang w:eastAsia="en-US"/>
        </w:rPr>
        <w:t xml:space="preserve"> the Stained area, select the region stained by this channel as Nucleus. </w:t>
      </w:r>
      <w:r>
        <w:rPr>
          <w:rFonts w:ascii="Calibri" w:hAnsi="Calibri" w:cs="Calibri"/>
          <w:sz w:val="24"/>
          <w:szCs w:val="24"/>
        </w:rPr>
        <w:t>Follow</w:t>
      </w:r>
      <w:r>
        <w:rPr>
          <w:rFonts w:ascii="Calibri" w:hAnsi="Calibri" w:cs="Calibri"/>
          <w:sz w:val="24"/>
          <w:szCs w:val="24"/>
          <w:lang w:eastAsia="en-US"/>
        </w:rPr>
        <w:t xml:space="preserve"> the same settings as in steps 3.6.1.3–3.6.1.4 for subsequent settings. </w:t>
      </w:r>
      <w:r>
        <w:rPr>
          <w:rFonts w:ascii="Calibri" w:hAnsi="Calibri" w:cs="Calibri"/>
          <w:sz w:val="24"/>
          <w:szCs w:val="24"/>
        </w:rPr>
        <w:t>In</w:t>
      </w:r>
      <w:r>
        <w:rPr>
          <w:rFonts w:ascii="Calibri" w:hAnsi="Calibri" w:cs="Calibri"/>
          <w:sz w:val="24"/>
          <w:szCs w:val="24"/>
          <w:lang w:eastAsia="en-US"/>
        </w:rPr>
        <w:t xml:space="preserve"> Configure Summary Log or Configure Data Log (Cells), select the corresponding Parameter configuration based on the desired result parameters.</w:t>
      </w:r>
    </w:p>
    <w:p w14:paraId="65E4C43A">
      <w:pPr>
        <w:pStyle w:val="19"/>
        <w:ind w:firstLine="0" w:firstLineChars="0"/>
        <w:rPr>
          <w:rFonts w:ascii="Calibri" w:hAnsi="Calibri" w:cs="Calibri"/>
          <w:sz w:val="24"/>
          <w:szCs w:val="24"/>
          <w:lang w:eastAsia="en-US"/>
        </w:rPr>
      </w:pPr>
    </w:p>
    <w:p w14:paraId="5BE96FED">
      <w:pPr>
        <w:rPr>
          <w:rFonts w:ascii="Calibri" w:hAnsi="Calibri" w:cs="Calibri"/>
          <w:sz w:val="24"/>
          <w:szCs w:val="24"/>
          <w:lang w:eastAsia="en-US"/>
        </w:rPr>
      </w:pPr>
      <w:r>
        <w:rPr>
          <w:rFonts w:ascii="Calibri" w:hAnsi="Calibri" w:cs="Calibri"/>
          <w:sz w:val="24"/>
          <w:szCs w:val="24"/>
          <w:lang w:eastAsia="en-US"/>
        </w:rPr>
        <w:t>NOTE: Typically, Configure Summary Log is used to set the required data types, while Configure Data Log (Cells) is used when special marking of individual cells is needed.</w:t>
      </w:r>
    </w:p>
    <w:p w14:paraId="555A8FF5">
      <w:pPr>
        <w:rPr>
          <w:rFonts w:ascii="Calibri" w:hAnsi="Calibri" w:cs="Calibri"/>
          <w:sz w:val="24"/>
          <w:szCs w:val="24"/>
          <w:lang w:eastAsia="en-US"/>
        </w:rPr>
      </w:pPr>
    </w:p>
    <w:p w14:paraId="690634F2">
      <w:pPr>
        <w:pStyle w:val="19"/>
        <w:numPr>
          <w:ilvl w:val="3"/>
          <w:numId w:val="1"/>
        </w:numPr>
        <w:ind w:left="0" w:firstLine="0" w:firstLineChars="0"/>
        <w:rPr>
          <w:rFonts w:ascii="Calibri" w:hAnsi="Calibri" w:cs="Calibri"/>
          <w:sz w:val="24"/>
          <w:szCs w:val="24"/>
          <w:highlight w:val="none"/>
          <w:lang w:eastAsia="en-US"/>
        </w:rPr>
      </w:pPr>
      <w:r>
        <w:rPr>
          <w:rFonts w:ascii="Calibri" w:hAnsi="Calibri" w:cs="Calibri"/>
          <w:sz w:val="24"/>
          <w:szCs w:val="24"/>
          <w:highlight w:val="none"/>
          <w:lang w:eastAsia="en-US"/>
        </w:rPr>
        <w:t xml:space="preserve">Perform a Test Run to observe the recognition. If satisfied with the recognition results, </w:t>
      </w:r>
      <w:r>
        <w:rPr>
          <w:rFonts w:ascii="Calibri" w:hAnsi="Calibri" w:cs="Calibri"/>
          <w:sz w:val="24"/>
          <w:szCs w:val="24"/>
          <w:highlight w:val="none"/>
          <w:lang w:eastAsia="en-US"/>
        </w:rPr>
        <w:t>save the settings.</w:t>
      </w:r>
    </w:p>
    <w:p w14:paraId="1B147092">
      <w:pPr>
        <w:pStyle w:val="19"/>
        <w:ind w:firstLine="0" w:firstLineChars="0"/>
        <w:rPr>
          <w:rFonts w:ascii="Calibri" w:hAnsi="Calibri" w:cs="Calibri"/>
          <w:sz w:val="24"/>
          <w:szCs w:val="24"/>
          <w:highlight w:val="none"/>
          <w:lang w:eastAsia="en-US"/>
        </w:rPr>
      </w:pPr>
    </w:p>
    <w:p w14:paraId="424C1217">
      <w:pPr>
        <w:pStyle w:val="19"/>
        <w:numPr>
          <w:ilvl w:val="2"/>
          <w:numId w:val="1"/>
        </w:numPr>
        <w:ind w:left="0" w:firstLine="0" w:firstLineChars="0"/>
        <w:rPr>
          <w:rFonts w:ascii="Calibri" w:hAnsi="Calibri" w:cs="Calibri"/>
          <w:sz w:val="24"/>
          <w:szCs w:val="24"/>
          <w:highlight w:val="none"/>
          <w:lang w:eastAsia="en-US"/>
        </w:rPr>
      </w:pPr>
      <w:r>
        <w:rPr>
          <w:rFonts w:ascii="Calibri" w:hAnsi="Calibri" w:cs="Calibri"/>
          <w:sz w:val="24"/>
          <w:szCs w:val="24"/>
          <w:highlight w:val="none"/>
          <w:lang w:eastAsia="en-US"/>
        </w:rPr>
        <w:t>Image processing method two: Live-Dead</w:t>
      </w:r>
    </w:p>
    <w:p w14:paraId="34BD91C2">
      <w:pPr>
        <w:pStyle w:val="19"/>
        <w:ind w:firstLine="0" w:firstLineChars="0"/>
        <w:rPr>
          <w:rFonts w:ascii="Calibri" w:hAnsi="Calibri" w:cs="Calibri"/>
          <w:sz w:val="24"/>
          <w:szCs w:val="24"/>
          <w:highlight w:val="yellow"/>
          <w:lang w:eastAsia="en-US"/>
        </w:rPr>
      </w:pPr>
    </w:p>
    <w:p w14:paraId="34BBE3B6">
      <w:pPr>
        <w:pStyle w:val="19"/>
        <w:numPr>
          <w:ilvl w:val="3"/>
          <w:numId w:val="1"/>
        </w:numPr>
        <w:ind w:left="0" w:firstLine="0" w:firstLineChars="0"/>
        <w:rPr>
          <w:rFonts w:ascii="Calibri" w:hAnsi="Calibri" w:cs="Calibri"/>
          <w:sz w:val="24"/>
          <w:szCs w:val="24"/>
          <w:highlight w:val="yellow"/>
          <w:lang w:eastAsia="en-US"/>
        </w:rPr>
      </w:pPr>
      <w:r>
        <w:rPr>
          <w:rFonts w:ascii="Calibri" w:hAnsi="Calibri" w:cs="Calibri"/>
          <w:sz w:val="24"/>
          <w:szCs w:val="24"/>
          <w:highlight w:val="yellow"/>
        </w:rPr>
        <w:t>Select</w:t>
      </w:r>
      <w:r>
        <w:rPr>
          <w:rFonts w:ascii="Calibri" w:hAnsi="Calibri" w:cs="Calibri"/>
          <w:sz w:val="24"/>
          <w:szCs w:val="24"/>
          <w:highlight w:val="yellow"/>
          <w:lang w:eastAsia="en-US"/>
        </w:rPr>
        <w:t xml:space="preserve"> the Live-Dead program and begin configuring the settings. Set the Wavelength 1 Parameters and Wavelength 2 Parameters sequentially.</w:t>
      </w:r>
    </w:p>
    <w:p w14:paraId="3C98EA3B">
      <w:pPr>
        <w:pStyle w:val="19"/>
        <w:ind w:firstLine="0" w:firstLineChars="0"/>
        <w:rPr>
          <w:rFonts w:ascii="Calibri" w:hAnsi="Calibri" w:cs="Calibri"/>
          <w:sz w:val="24"/>
          <w:szCs w:val="24"/>
          <w:highlight w:val="yellow"/>
          <w:lang w:eastAsia="en-US"/>
        </w:rPr>
      </w:pPr>
    </w:p>
    <w:p w14:paraId="67A09081">
      <w:pPr>
        <w:pStyle w:val="19"/>
        <w:numPr>
          <w:ilvl w:val="3"/>
          <w:numId w:val="1"/>
        </w:numPr>
        <w:ind w:left="0" w:firstLine="0" w:firstLineChars="0"/>
        <w:rPr>
          <w:rFonts w:ascii="Calibri" w:hAnsi="Calibri" w:cs="Calibri"/>
          <w:sz w:val="24"/>
          <w:szCs w:val="24"/>
          <w:highlight w:val="yellow"/>
          <w:lang w:eastAsia="en-US"/>
        </w:rPr>
      </w:pPr>
      <w:r>
        <w:rPr>
          <w:rFonts w:ascii="Calibri" w:hAnsi="Calibri" w:cs="Calibri"/>
          <w:sz w:val="24"/>
          <w:szCs w:val="24"/>
          <w:highlight w:val="yellow"/>
        </w:rPr>
        <w:t>Under</w:t>
      </w:r>
      <w:r>
        <w:rPr>
          <w:rFonts w:ascii="Calibri" w:hAnsi="Calibri" w:cs="Calibri"/>
          <w:sz w:val="24"/>
          <w:szCs w:val="24"/>
          <w:highlight w:val="yellow"/>
          <w:lang w:eastAsia="en-US"/>
        </w:rPr>
        <w:t xml:space="preserve"> Wavelength 1 Parameters, set Wavelength 1 Source to DAPI. </w:t>
      </w:r>
      <w:r>
        <w:rPr>
          <w:rFonts w:ascii="Calibri" w:hAnsi="Calibri" w:cs="Calibri"/>
          <w:sz w:val="24"/>
          <w:szCs w:val="24"/>
          <w:highlight w:val="yellow"/>
        </w:rPr>
        <w:t>The</w:t>
      </w:r>
      <w:r>
        <w:rPr>
          <w:rFonts w:ascii="Calibri" w:hAnsi="Calibri" w:cs="Calibri"/>
          <w:sz w:val="24"/>
          <w:szCs w:val="24"/>
          <w:highlight w:val="yellow"/>
          <w:lang w:eastAsia="en-US"/>
        </w:rPr>
        <w:t xml:space="preserve"> default Algorithm is "Standard."</w:t>
      </w:r>
    </w:p>
    <w:p w14:paraId="28E39A88">
      <w:pPr>
        <w:pStyle w:val="19"/>
        <w:ind w:firstLine="0" w:firstLineChars="0"/>
        <w:rPr>
          <w:rFonts w:ascii="Calibri" w:hAnsi="Calibri" w:cs="Calibri"/>
          <w:sz w:val="24"/>
          <w:szCs w:val="24"/>
          <w:highlight w:val="yellow"/>
          <w:lang w:eastAsia="en-US"/>
        </w:rPr>
      </w:pPr>
    </w:p>
    <w:p w14:paraId="14EDC6FA">
      <w:pPr>
        <w:pStyle w:val="19"/>
        <w:numPr>
          <w:ilvl w:val="3"/>
          <w:numId w:val="1"/>
        </w:numPr>
        <w:ind w:left="0" w:firstLine="0" w:firstLineChars="0"/>
        <w:rPr>
          <w:rFonts w:ascii="Calibri" w:hAnsi="Calibri" w:cs="Calibri"/>
          <w:sz w:val="24"/>
          <w:szCs w:val="24"/>
          <w:highlight w:val="yellow"/>
          <w:lang w:eastAsia="en-US"/>
        </w:rPr>
      </w:pPr>
      <w:r>
        <w:rPr>
          <w:rFonts w:ascii="Calibri" w:hAnsi="Calibri" w:cs="Calibri"/>
          <w:sz w:val="24"/>
          <w:szCs w:val="24"/>
          <w:highlight w:val="yellow"/>
        </w:rPr>
        <w:t>Set</w:t>
      </w:r>
      <w:r>
        <w:rPr>
          <w:rFonts w:ascii="Calibri" w:hAnsi="Calibri" w:cs="Calibri"/>
          <w:sz w:val="24"/>
          <w:szCs w:val="24"/>
          <w:highlight w:val="yellow"/>
          <w:lang w:eastAsia="en-US"/>
        </w:rPr>
        <w:t xml:space="preserve"> Stained cell type to All Cells and Stained area to Nucleus based on the staining conditions. </w:t>
      </w:r>
      <w:r>
        <w:rPr>
          <w:rFonts w:ascii="Calibri" w:hAnsi="Calibri" w:cs="Calibri"/>
          <w:sz w:val="24"/>
          <w:szCs w:val="24"/>
          <w:highlight w:val="yellow"/>
        </w:rPr>
        <w:t>Set</w:t>
      </w:r>
      <w:r>
        <w:rPr>
          <w:rFonts w:ascii="Calibri" w:hAnsi="Calibri" w:cs="Calibri"/>
          <w:sz w:val="24"/>
          <w:szCs w:val="24"/>
          <w:highlight w:val="yellow"/>
          <w:lang w:eastAsia="en-US"/>
        </w:rPr>
        <w:t xml:space="preserve"> Approximate min width, Approximate max width, and intensity above local background using the same settings as the Multi-Wavelength Cell Scoring method.</w:t>
      </w:r>
    </w:p>
    <w:p w14:paraId="085C09B2">
      <w:pPr>
        <w:pStyle w:val="19"/>
        <w:ind w:firstLine="480"/>
        <w:rPr>
          <w:rFonts w:ascii="Calibri" w:hAnsi="Calibri" w:cs="Calibri"/>
          <w:sz w:val="24"/>
          <w:szCs w:val="24"/>
          <w:highlight w:val="yellow"/>
          <w:lang w:eastAsia="en-US"/>
        </w:rPr>
      </w:pPr>
    </w:p>
    <w:p w14:paraId="63A895AE">
      <w:pPr>
        <w:pStyle w:val="19"/>
        <w:numPr>
          <w:ilvl w:val="3"/>
          <w:numId w:val="1"/>
        </w:numPr>
        <w:ind w:left="0" w:firstLine="0" w:firstLineChars="0"/>
        <w:rPr>
          <w:rFonts w:ascii="Calibri" w:hAnsi="Calibri" w:cs="Calibri"/>
          <w:sz w:val="24"/>
          <w:szCs w:val="24"/>
          <w:highlight w:val="yellow"/>
          <w:lang w:eastAsia="en-US"/>
        </w:rPr>
      </w:pPr>
      <w:r>
        <w:rPr>
          <w:rFonts w:ascii="Calibri" w:hAnsi="Calibri" w:cs="Calibri"/>
          <w:sz w:val="24"/>
          <w:szCs w:val="24"/>
          <w:highlight w:val="yellow"/>
          <w:lang w:eastAsia="en-US"/>
        </w:rPr>
        <w:t>Check Split touching objects and use Preview to test.</w:t>
      </w:r>
    </w:p>
    <w:p w14:paraId="1032977E">
      <w:pPr>
        <w:pStyle w:val="19"/>
        <w:ind w:firstLine="480"/>
        <w:rPr>
          <w:rFonts w:ascii="Calibri" w:hAnsi="Calibri" w:cs="Calibri"/>
          <w:sz w:val="24"/>
          <w:szCs w:val="24"/>
          <w:highlight w:val="yellow"/>
          <w:lang w:eastAsia="en-US"/>
        </w:rPr>
      </w:pPr>
    </w:p>
    <w:p w14:paraId="2A803732">
      <w:pPr>
        <w:pStyle w:val="19"/>
        <w:numPr>
          <w:ilvl w:val="3"/>
          <w:numId w:val="1"/>
        </w:numPr>
        <w:ind w:left="0" w:firstLine="0" w:firstLineChars="0"/>
        <w:rPr>
          <w:rFonts w:ascii="Calibri" w:hAnsi="Calibri" w:cs="Calibri"/>
          <w:sz w:val="24"/>
          <w:szCs w:val="24"/>
          <w:highlight w:val="yellow"/>
          <w:lang w:eastAsia="en-US"/>
        </w:rPr>
      </w:pPr>
      <w:r>
        <w:rPr>
          <w:rFonts w:ascii="Calibri" w:hAnsi="Calibri" w:cs="Calibri"/>
          <w:sz w:val="24"/>
          <w:szCs w:val="24"/>
          <w:highlight w:val="yellow"/>
          <w:lang w:eastAsia="en-US"/>
        </w:rPr>
        <w:t>Under Wavelength 2 Parameters, set Wavelength 2 Source to Cy3.</w:t>
      </w:r>
    </w:p>
    <w:p w14:paraId="118B91C9">
      <w:pPr>
        <w:pStyle w:val="19"/>
        <w:ind w:firstLine="0" w:firstLineChars="0"/>
        <w:rPr>
          <w:rFonts w:ascii="Calibri" w:hAnsi="Calibri" w:cs="Calibri"/>
          <w:sz w:val="24"/>
          <w:szCs w:val="24"/>
          <w:highlight w:val="yellow"/>
          <w:lang w:eastAsia="en-US"/>
        </w:rPr>
      </w:pPr>
    </w:p>
    <w:p w14:paraId="01A1DFDA">
      <w:pPr>
        <w:pStyle w:val="19"/>
        <w:numPr>
          <w:ilvl w:val="3"/>
          <w:numId w:val="1"/>
        </w:numPr>
        <w:ind w:left="0" w:firstLine="0" w:firstLineChars="0"/>
        <w:rPr>
          <w:rFonts w:ascii="Calibri" w:hAnsi="Calibri" w:cs="Calibri"/>
          <w:sz w:val="24"/>
          <w:szCs w:val="24"/>
          <w:highlight w:val="yellow"/>
          <w:lang w:eastAsia="en-US"/>
        </w:rPr>
      </w:pPr>
      <w:r>
        <w:rPr>
          <w:rFonts w:ascii="Calibri" w:hAnsi="Calibri" w:cs="Calibri"/>
          <w:sz w:val="24"/>
          <w:szCs w:val="24"/>
          <w:highlight w:val="yellow"/>
          <w:lang w:eastAsia="en-US"/>
        </w:rPr>
        <w:t xml:space="preserve">Set Stained cell type to Dead and Stained area to Nucleus based on the specific staining. </w:t>
      </w:r>
      <w:r>
        <w:rPr>
          <w:rFonts w:ascii="Calibri" w:hAnsi="Calibri" w:cs="Calibri"/>
          <w:sz w:val="24"/>
          <w:szCs w:val="24"/>
          <w:highlight w:val="yellow"/>
        </w:rPr>
        <w:t>Set</w:t>
      </w:r>
      <w:r>
        <w:rPr>
          <w:rFonts w:ascii="Calibri" w:hAnsi="Calibri" w:cs="Calibri"/>
          <w:sz w:val="24"/>
          <w:szCs w:val="24"/>
          <w:highlight w:val="yellow"/>
          <w:lang w:eastAsia="en-US"/>
        </w:rPr>
        <w:t xml:space="preserve"> Approximate min width, Approximate max width, and intensity above local background using the same settings as the Multi-Wavelength Cell Scoring method.</w:t>
      </w:r>
    </w:p>
    <w:p w14:paraId="2469B34C">
      <w:pPr>
        <w:pStyle w:val="19"/>
        <w:ind w:firstLine="0" w:firstLineChars="0"/>
        <w:rPr>
          <w:rFonts w:ascii="Calibri" w:hAnsi="Calibri" w:cs="Calibri"/>
          <w:sz w:val="24"/>
          <w:szCs w:val="24"/>
          <w:highlight w:val="yellow"/>
          <w:lang w:eastAsia="en-US"/>
        </w:rPr>
      </w:pPr>
    </w:p>
    <w:p w14:paraId="18B7F4FC">
      <w:pPr>
        <w:pStyle w:val="19"/>
        <w:numPr>
          <w:ilvl w:val="3"/>
          <w:numId w:val="1"/>
        </w:numPr>
        <w:ind w:left="0" w:firstLine="0" w:firstLineChars="0"/>
        <w:rPr>
          <w:rFonts w:ascii="Calibri" w:hAnsi="Calibri" w:cs="Calibri"/>
          <w:sz w:val="24"/>
          <w:szCs w:val="24"/>
          <w:highlight w:val="yellow"/>
          <w:lang w:eastAsia="en-US"/>
        </w:rPr>
      </w:pPr>
      <w:r>
        <w:rPr>
          <w:rFonts w:ascii="Calibri" w:hAnsi="Calibri" w:cs="Calibri"/>
          <w:sz w:val="24"/>
          <w:szCs w:val="24"/>
          <w:highlight w:val="yellow"/>
        </w:rPr>
        <w:t>Click</w:t>
      </w:r>
      <w:r>
        <w:rPr>
          <w:rFonts w:ascii="Calibri" w:hAnsi="Calibri" w:cs="Calibri"/>
          <w:sz w:val="24"/>
          <w:szCs w:val="24"/>
          <w:highlight w:val="yellow"/>
          <w:lang w:eastAsia="en-US"/>
        </w:rPr>
        <w:t xml:space="preserve"> on Configure Summary Log and select the Parameter configuration based on the required data types. Perform a Test Run to observe the recognition. If satisfied with the recognition results, save the settings.</w:t>
      </w:r>
    </w:p>
    <w:p w14:paraId="24EF3C4A">
      <w:pPr>
        <w:pStyle w:val="19"/>
        <w:ind w:firstLine="0" w:firstLineChars="0"/>
        <w:rPr>
          <w:rFonts w:ascii="Calibri" w:hAnsi="Calibri" w:cs="Calibri"/>
          <w:sz w:val="24"/>
          <w:szCs w:val="24"/>
          <w:lang w:eastAsia="en-US"/>
        </w:rPr>
      </w:pPr>
    </w:p>
    <w:p w14:paraId="6216FA91">
      <w:pPr>
        <w:pStyle w:val="19"/>
        <w:numPr>
          <w:ilvl w:val="2"/>
          <w:numId w:val="1"/>
        </w:numPr>
        <w:ind w:left="0" w:firstLine="0" w:firstLineChars="0"/>
        <w:rPr>
          <w:rFonts w:ascii="Calibri" w:hAnsi="Calibri" w:cs="Calibri"/>
          <w:sz w:val="24"/>
          <w:szCs w:val="24"/>
          <w:lang w:eastAsia="en-US"/>
        </w:rPr>
      </w:pPr>
      <w:r>
        <w:rPr>
          <w:rFonts w:ascii="Calibri" w:hAnsi="Calibri" w:cs="Calibri"/>
          <w:sz w:val="24"/>
          <w:szCs w:val="24"/>
        </w:rPr>
        <w:t>Image</w:t>
      </w:r>
      <w:r>
        <w:rPr>
          <w:rFonts w:ascii="Calibri" w:hAnsi="Calibri" w:cs="Calibri"/>
          <w:sz w:val="24"/>
          <w:szCs w:val="24"/>
          <w:lang w:eastAsia="en-US"/>
        </w:rPr>
        <w:t xml:space="preserve"> processing method three: developer mode CME</w:t>
      </w:r>
    </w:p>
    <w:p w14:paraId="45E2EB08">
      <w:pPr>
        <w:pStyle w:val="19"/>
        <w:ind w:firstLine="0" w:firstLineChars="0"/>
        <w:rPr>
          <w:rFonts w:ascii="Calibri" w:hAnsi="Calibri" w:cs="Calibri"/>
          <w:sz w:val="24"/>
          <w:szCs w:val="24"/>
          <w:lang w:eastAsia="en-US"/>
        </w:rPr>
      </w:pPr>
    </w:p>
    <w:p w14:paraId="1B051374">
      <w:pPr>
        <w:pStyle w:val="19"/>
        <w:numPr>
          <w:ilvl w:val="3"/>
          <w:numId w:val="1"/>
        </w:numPr>
        <w:ind w:left="0" w:firstLine="0" w:firstLineChars="0"/>
        <w:rPr>
          <w:rFonts w:ascii="Calibri" w:hAnsi="Calibri" w:cs="Calibri"/>
          <w:sz w:val="24"/>
          <w:szCs w:val="24"/>
          <w:lang w:eastAsia="en-US"/>
        </w:rPr>
      </w:pPr>
      <w:r>
        <w:rPr>
          <w:rFonts w:ascii="Calibri" w:hAnsi="Calibri" w:cs="Calibri"/>
          <w:sz w:val="24"/>
          <w:szCs w:val="24"/>
        </w:rPr>
        <w:t>Select</w:t>
      </w:r>
      <w:r>
        <w:rPr>
          <w:rFonts w:ascii="Calibri" w:hAnsi="Calibri" w:cs="Calibri"/>
          <w:sz w:val="24"/>
          <w:szCs w:val="24"/>
          <w:lang w:eastAsia="en-US"/>
        </w:rPr>
        <w:t xml:space="preserve"> the Custom Module (CME) program and begin configuring the settings. </w:t>
      </w:r>
      <w:r>
        <w:rPr>
          <w:rFonts w:ascii="Calibri" w:hAnsi="Calibri" w:cs="Calibri"/>
          <w:sz w:val="24"/>
          <w:szCs w:val="24"/>
        </w:rPr>
        <w:t>Set</w:t>
      </w:r>
      <w:r>
        <w:rPr>
          <w:rFonts w:ascii="Calibri" w:hAnsi="Calibri" w:cs="Calibri"/>
          <w:sz w:val="24"/>
          <w:szCs w:val="24"/>
          <w:lang w:eastAsia="en-US"/>
        </w:rPr>
        <w:t xml:space="preserve"> up Image Names and channels.</w:t>
      </w:r>
    </w:p>
    <w:p w14:paraId="2580AE18">
      <w:pPr>
        <w:pStyle w:val="19"/>
        <w:ind w:firstLine="0" w:firstLineChars="0"/>
        <w:rPr>
          <w:rFonts w:ascii="Calibri" w:hAnsi="Calibri" w:cs="Calibri"/>
          <w:sz w:val="24"/>
          <w:szCs w:val="24"/>
          <w:lang w:eastAsia="en-US"/>
        </w:rPr>
      </w:pPr>
    </w:p>
    <w:p w14:paraId="2CC80576">
      <w:pPr>
        <w:rPr>
          <w:rFonts w:ascii="Calibri" w:hAnsi="Calibri" w:cs="Calibri"/>
          <w:sz w:val="24"/>
          <w:szCs w:val="24"/>
          <w:lang w:eastAsia="en-US"/>
        </w:rPr>
      </w:pPr>
      <w:r>
        <w:rPr>
          <w:rFonts w:ascii="Calibri" w:hAnsi="Calibri" w:cs="Calibri"/>
          <w:sz w:val="24"/>
          <w:szCs w:val="24"/>
          <w:lang w:eastAsia="en-US"/>
        </w:rPr>
        <w:t>NOTE: To facilitate subsequent parameter settings, generally set them to the channel names used during imaging.</w:t>
      </w:r>
    </w:p>
    <w:p w14:paraId="3E2CFB06">
      <w:pPr>
        <w:rPr>
          <w:rFonts w:ascii="Calibri" w:hAnsi="Calibri" w:cs="Calibri"/>
          <w:sz w:val="24"/>
          <w:szCs w:val="24"/>
          <w:lang w:eastAsia="en-US"/>
        </w:rPr>
      </w:pPr>
    </w:p>
    <w:p w14:paraId="10863BD0">
      <w:pPr>
        <w:pStyle w:val="19"/>
        <w:numPr>
          <w:ilvl w:val="3"/>
          <w:numId w:val="1"/>
        </w:numPr>
        <w:ind w:left="0" w:firstLine="0" w:firstLineChars="0"/>
        <w:rPr>
          <w:rFonts w:ascii="Calibri" w:hAnsi="Calibri" w:cs="Calibri"/>
          <w:sz w:val="24"/>
          <w:szCs w:val="24"/>
          <w:lang w:eastAsia="en-US"/>
        </w:rPr>
      </w:pPr>
      <w:r>
        <w:rPr>
          <w:rFonts w:ascii="Calibri" w:hAnsi="Calibri" w:cs="Calibri"/>
          <w:sz w:val="24"/>
          <w:szCs w:val="24"/>
          <w:lang w:eastAsia="en-US"/>
        </w:rPr>
        <w:t>In Find Objects, open Simple Threshold to set the recognition for the entire set.</w:t>
      </w:r>
    </w:p>
    <w:p w14:paraId="794372CB">
      <w:pPr>
        <w:pStyle w:val="19"/>
        <w:ind w:firstLine="0" w:firstLineChars="0"/>
        <w:rPr>
          <w:rFonts w:ascii="Calibri" w:hAnsi="Calibri" w:cs="Calibri"/>
          <w:sz w:val="24"/>
          <w:szCs w:val="24"/>
          <w:lang w:eastAsia="en-US"/>
        </w:rPr>
      </w:pPr>
    </w:p>
    <w:p w14:paraId="16D7929E">
      <w:pPr>
        <w:pStyle w:val="19"/>
        <w:numPr>
          <w:ilvl w:val="3"/>
          <w:numId w:val="1"/>
        </w:numPr>
        <w:ind w:left="0" w:firstLine="0" w:firstLineChars="0"/>
        <w:rPr>
          <w:rFonts w:ascii="Calibri" w:hAnsi="Calibri" w:cs="Calibri"/>
          <w:sz w:val="24"/>
          <w:szCs w:val="24"/>
          <w:lang w:eastAsia="en-US"/>
        </w:rPr>
      </w:pPr>
      <w:r>
        <w:rPr>
          <w:rFonts w:ascii="Calibri" w:hAnsi="Calibri" w:cs="Calibri"/>
          <w:sz w:val="24"/>
          <w:szCs w:val="24"/>
        </w:rPr>
        <w:t>Set</w:t>
      </w:r>
      <w:r>
        <w:rPr>
          <w:rFonts w:ascii="Calibri" w:hAnsi="Calibri" w:cs="Calibri"/>
          <w:sz w:val="24"/>
          <w:szCs w:val="24"/>
          <w:lang w:eastAsia="en-US"/>
        </w:rPr>
        <w:t xml:space="preserve"> Source to correspond with Image Name. </w:t>
      </w:r>
      <w:r>
        <w:rPr>
          <w:rFonts w:ascii="Calibri" w:hAnsi="Calibri" w:cs="Calibri"/>
          <w:sz w:val="24"/>
          <w:szCs w:val="24"/>
        </w:rPr>
        <w:t>Based</w:t>
      </w:r>
      <w:r>
        <w:rPr>
          <w:rFonts w:ascii="Calibri" w:hAnsi="Calibri" w:cs="Calibri"/>
          <w:sz w:val="24"/>
          <w:szCs w:val="24"/>
          <w:lang w:eastAsia="en-US"/>
        </w:rPr>
        <w:t xml:space="preserve"> on the 16-bit grayscale value range, fill in 0 at Threshold Low and 65535 at Threshold High.</w:t>
      </w:r>
    </w:p>
    <w:p w14:paraId="3E4732AC">
      <w:pPr>
        <w:pStyle w:val="19"/>
        <w:ind w:firstLine="0" w:firstLineChars="0"/>
        <w:rPr>
          <w:rFonts w:ascii="Calibri" w:hAnsi="Calibri" w:cs="Calibri"/>
          <w:sz w:val="24"/>
          <w:szCs w:val="24"/>
          <w:lang w:eastAsia="en-US"/>
        </w:rPr>
      </w:pPr>
    </w:p>
    <w:p w14:paraId="608BB23D">
      <w:pPr>
        <w:pStyle w:val="19"/>
        <w:numPr>
          <w:ilvl w:val="3"/>
          <w:numId w:val="1"/>
        </w:numPr>
        <w:ind w:left="0" w:firstLine="0" w:firstLineChars="0"/>
        <w:rPr>
          <w:rFonts w:ascii="Calibri" w:hAnsi="Calibri" w:cs="Calibri"/>
          <w:sz w:val="24"/>
          <w:szCs w:val="24"/>
          <w:lang w:eastAsia="en-US"/>
        </w:rPr>
      </w:pPr>
      <w:r>
        <w:rPr>
          <w:rFonts w:ascii="Calibri" w:hAnsi="Calibri" w:cs="Calibri"/>
          <w:sz w:val="24"/>
          <w:szCs w:val="24"/>
        </w:rPr>
        <w:t>Name</w:t>
      </w:r>
      <w:r>
        <w:rPr>
          <w:rFonts w:ascii="Calibri" w:hAnsi="Calibri" w:cs="Calibri"/>
          <w:sz w:val="24"/>
          <w:szCs w:val="24"/>
          <w:lang w:eastAsia="en-US"/>
        </w:rPr>
        <w:t xml:space="preserve"> the processing result in Result, apply, and observe the marking situation. In Find Objects, open Find Blobs to generate a Mask result.</w:t>
      </w:r>
    </w:p>
    <w:p w14:paraId="7EF31CAB">
      <w:pPr>
        <w:pStyle w:val="19"/>
        <w:ind w:firstLine="0" w:firstLineChars="0"/>
        <w:rPr>
          <w:rFonts w:ascii="Calibri" w:hAnsi="Calibri" w:cs="Calibri"/>
          <w:sz w:val="24"/>
          <w:szCs w:val="24"/>
          <w:lang w:eastAsia="en-US"/>
        </w:rPr>
      </w:pPr>
    </w:p>
    <w:p w14:paraId="73865D4A">
      <w:pPr>
        <w:pStyle w:val="19"/>
        <w:numPr>
          <w:ilvl w:val="3"/>
          <w:numId w:val="1"/>
        </w:numPr>
        <w:ind w:left="0" w:firstLine="0" w:firstLineChars="0"/>
        <w:rPr>
          <w:rFonts w:ascii="Calibri" w:hAnsi="Calibri" w:cs="Calibri"/>
          <w:sz w:val="24"/>
          <w:szCs w:val="24"/>
          <w:lang w:eastAsia="en-US"/>
        </w:rPr>
      </w:pPr>
      <w:r>
        <w:rPr>
          <w:rFonts w:ascii="Calibri" w:hAnsi="Calibri" w:cs="Calibri"/>
          <w:sz w:val="24"/>
          <w:szCs w:val="24"/>
        </w:rPr>
        <w:t>Set</w:t>
      </w:r>
      <w:r>
        <w:rPr>
          <w:rFonts w:ascii="Calibri" w:hAnsi="Calibri" w:cs="Calibri"/>
          <w:sz w:val="24"/>
          <w:szCs w:val="24"/>
          <w:lang w:eastAsia="en-US"/>
        </w:rPr>
        <w:t xml:space="preserve"> Source to correspond with Image Name, as in Simple Threshold. Set Approximate min width, Approximate max width, and intensity above local background as per the Multi-Wavelength Cell Scoring settings.</w:t>
      </w:r>
    </w:p>
    <w:p w14:paraId="55C7B069">
      <w:pPr>
        <w:pStyle w:val="19"/>
        <w:ind w:firstLine="0" w:firstLineChars="0"/>
        <w:rPr>
          <w:rFonts w:ascii="Calibri" w:hAnsi="Calibri" w:cs="Calibri"/>
          <w:sz w:val="24"/>
          <w:szCs w:val="24"/>
          <w:lang w:eastAsia="en-US"/>
        </w:rPr>
      </w:pPr>
    </w:p>
    <w:p w14:paraId="505CBDFF">
      <w:pPr>
        <w:pStyle w:val="19"/>
        <w:numPr>
          <w:ilvl w:val="3"/>
          <w:numId w:val="1"/>
        </w:numPr>
        <w:ind w:left="0" w:firstLine="0" w:firstLineChars="0"/>
        <w:rPr>
          <w:rFonts w:ascii="Calibri" w:hAnsi="Calibri" w:cs="Calibri"/>
          <w:sz w:val="24"/>
          <w:szCs w:val="24"/>
          <w:lang w:eastAsia="en-US"/>
        </w:rPr>
      </w:pPr>
      <w:r>
        <w:rPr>
          <w:rFonts w:ascii="Calibri" w:hAnsi="Calibri" w:cs="Calibri"/>
          <w:sz w:val="24"/>
          <w:szCs w:val="24"/>
          <w:lang w:eastAsia="en-US"/>
        </w:rPr>
        <w:t>Name the processing result in Result, apply, and observe the marking result. For the Find Blobs recognition result, use the Modify Objects tool to filter, grow, shrink, and invert.</w:t>
      </w:r>
    </w:p>
    <w:p w14:paraId="1C792F0B">
      <w:pPr>
        <w:pStyle w:val="19"/>
        <w:ind w:firstLine="0" w:firstLineChars="0"/>
        <w:rPr>
          <w:rFonts w:ascii="Calibri" w:hAnsi="Calibri" w:cs="Calibri"/>
          <w:sz w:val="24"/>
          <w:szCs w:val="24"/>
          <w:lang w:eastAsia="en-US"/>
        </w:rPr>
      </w:pPr>
    </w:p>
    <w:p w14:paraId="10F1C83D">
      <w:pPr>
        <w:pStyle w:val="19"/>
        <w:numPr>
          <w:ilvl w:val="3"/>
          <w:numId w:val="1"/>
        </w:numPr>
        <w:ind w:left="0" w:firstLine="0" w:firstLineChars="0"/>
        <w:rPr>
          <w:rFonts w:ascii="Calibri" w:hAnsi="Calibri" w:cs="Calibri"/>
          <w:sz w:val="24"/>
          <w:szCs w:val="24"/>
          <w:lang w:eastAsia="en-US"/>
        </w:rPr>
      </w:pPr>
      <w:r>
        <w:rPr>
          <w:rFonts w:ascii="Calibri" w:hAnsi="Calibri" w:cs="Calibri"/>
          <w:sz w:val="24"/>
          <w:szCs w:val="24"/>
          <w:lang w:eastAsia="en-US"/>
        </w:rPr>
        <w:t>Under Measure, set Modified. In Measurement Inputs, input 1 for Standard Area Value and check Create Object Overlay.</w:t>
      </w:r>
    </w:p>
    <w:p w14:paraId="53DF15FC">
      <w:pPr>
        <w:pStyle w:val="19"/>
        <w:ind w:firstLine="0" w:firstLineChars="0"/>
        <w:rPr>
          <w:rFonts w:ascii="Calibri" w:hAnsi="Calibri" w:cs="Calibri"/>
          <w:sz w:val="24"/>
          <w:szCs w:val="24"/>
          <w:lang w:eastAsia="en-US"/>
        </w:rPr>
      </w:pPr>
    </w:p>
    <w:p w14:paraId="39C3BC20">
      <w:pPr>
        <w:pStyle w:val="19"/>
        <w:numPr>
          <w:ilvl w:val="3"/>
          <w:numId w:val="1"/>
        </w:numPr>
        <w:ind w:left="0" w:firstLine="0" w:firstLineChars="0"/>
        <w:rPr>
          <w:rFonts w:ascii="Calibri" w:hAnsi="Calibri" w:cs="Calibri"/>
          <w:sz w:val="24"/>
          <w:szCs w:val="24"/>
          <w:lang w:eastAsia="en-US"/>
        </w:rPr>
      </w:pPr>
      <w:r>
        <w:rPr>
          <w:rFonts w:ascii="Calibri" w:hAnsi="Calibri" w:cs="Calibri"/>
          <w:sz w:val="24"/>
          <w:szCs w:val="24"/>
          <w:lang w:eastAsia="en-US"/>
        </w:rPr>
        <w:t xml:space="preserve">In Objects to Measure, select the source of the marked objects in Mask of Objects and the source image to be measured in Image to Measure. </w:t>
      </w:r>
      <w:r>
        <w:rPr>
          <w:rFonts w:ascii="Calibri" w:hAnsi="Calibri" w:cs="Calibri"/>
          <w:sz w:val="24"/>
          <w:szCs w:val="24"/>
        </w:rPr>
        <w:t>Choose</w:t>
      </w:r>
      <w:r>
        <w:rPr>
          <w:rFonts w:ascii="Calibri" w:hAnsi="Calibri" w:cs="Calibri"/>
          <w:sz w:val="24"/>
          <w:szCs w:val="24"/>
          <w:lang w:eastAsia="en-US"/>
        </w:rPr>
        <w:t xml:space="preserve"> the corresponding Measurement Name based on the required processing result parameters, apply, and observe the parameter recognition result.</w:t>
      </w:r>
    </w:p>
    <w:p w14:paraId="23668DF2">
      <w:pPr>
        <w:pStyle w:val="19"/>
        <w:ind w:firstLine="0" w:firstLineChars="0"/>
        <w:rPr>
          <w:rFonts w:ascii="Calibri" w:hAnsi="Calibri" w:cs="Calibri"/>
          <w:sz w:val="24"/>
          <w:szCs w:val="24"/>
          <w:lang w:eastAsia="en-US"/>
        </w:rPr>
      </w:pPr>
    </w:p>
    <w:p w14:paraId="236DD5AF">
      <w:pPr>
        <w:pStyle w:val="19"/>
        <w:numPr>
          <w:ilvl w:val="3"/>
          <w:numId w:val="1"/>
        </w:numPr>
        <w:ind w:left="0" w:firstLine="0" w:firstLineChars="0"/>
        <w:rPr>
          <w:rFonts w:ascii="Calibri" w:hAnsi="Calibri" w:cs="Calibri"/>
          <w:sz w:val="24"/>
          <w:szCs w:val="24"/>
          <w:lang w:eastAsia="en-US"/>
        </w:rPr>
      </w:pPr>
      <w:r>
        <w:rPr>
          <w:rFonts w:ascii="Calibri" w:hAnsi="Calibri" w:cs="Calibri"/>
          <w:sz w:val="24"/>
          <w:szCs w:val="24"/>
          <w:lang w:eastAsia="en-US"/>
        </w:rPr>
        <w:t>After confirming the parameter settings, save the configuration.</w:t>
      </w:r>
    </w:p>
    <w:p w14:paraId="69C64AA3">
      <w:pPr>
        <w:pStyle w:val="19"/>
        <w:ind w:firstLine="0" w:firstLineChars="0"/>
        <w:rPr>
          <w:rFonts w:ascii="Calibri" w:hAnsi="Calibri" w:cs="Calibri"/>
          <w:sz w:val="24"/>
          <w:szCs w:val="24"/>
          <w:lang w:eastAsia="en-US"/>
        </w:rPr>
      </w:pPr>
    </w:p>
    <w:p w14:paraId="1251CAD8">
      <w:pPr>
        <w:pStyle w:val="19"/>
        <w:numPr>
          <w:ilvl w:val="2"/>
          <w:numId w:val="1"/>
        </w:numPr>
        <w:ind w:left="0" w:firstLine="0" w:firstLineChars="0"/>
        <w:rPr>
          <w:rFonts w:ascii="Calibri" w:hAnsi="Calibri" w:cs="Calibri"/>
          <w:sz w:val="24"/>
          <w:szCs w:val="24"/>
          <w:lang w:eastAsia="en-US"/>
        </w:rPr>
      </w:pPr>
      <w:r>
        <w:rPr>
          <w:rFonts w:ascii="Calibri" w:hAnsi="Calibri" w:cs="Calibri"/>
          <w:sz w:val="24"/>
          <w:szCs w:val="24"/>
          <w:lang w:eastAsia="en-US"/>
        </w:rPr>
        <w:t>General method: ImageJ</w:t>
      </w:r>
    </w:p>
    <w:p w14:paraId="080677DE">
      <w:pPr>
        <w:pStyle w:val="19"/>
        <w:ind w:firstLine="0" w:firstLineChars="0"/>
        <w:rPr>
          <w:rFonts w:ascii="Calibri" w:hAnsi="Calibri" w:cs="Calibri"/>
          <w:sz w:val="24"/>
          <w:szCs w:val="24"/>
          <w:lang w:eastAsia="en-US"/>
        </w:rPr>
      </w:pPr>
    </w:p>
    <w:p w14:paraId="66DF7C09">
      <w:pPr>
        <w:rPr>
          <w:rFonts w:ascii="Calibri" w:hAnsi="Calibri" w:cs="Calibri"/>
          <w:sz w:val="24"/>
          <w:szCs w:val="24"/>
          <w:lang w:eastAsia="en-US"/>
        </w:rPr>
      </w:pPr>
      <w:r>
        <w:rPr>
          <w:rFonts w:ascii="Calibri" w:hAnsi="Calibri" w:cs="Calibri"/>
          <w:sz w:val="24"/>
          <w:szCs w:val="24"/>
          <w:lang w:eastAsia="en-US"/>
        </w:rPr>
        <w:t>NOTE: Analyze the imaging results using the ImageJ method for fluorescent images</w:t>
      </w:r>
      <w:r>
        <w:rPr>
          <w:rFonts w:ascii="Calibri" w:hAnsi="Calibri" w:cs="Calibri"/>
          <w:sz w:val="24"/>
          <w:szCs w:val="24"/>
          <w:lang w:eastAsia="en-US"/>
        </w:rPr>
        <w:fldChar w:fldCharType="begin"/>
      </w:r>
      <w:r>
        <w:rPr>
          <w:rFonts w:ascii="Calibri" w:hAnsi="Calibri" w:cs="Calibri"/>
          <w:sz w:val="24"/>
          <w:szCs w:val="24"/>
          <w:lang w:eastAsia="en-US"/>
        </w:rPr>
        <w:instrText xml:space="preserve"> ADDIN ZOTERO_ITEM CSL_CITATION {"citationID":"J44nR0HL","properties":{"unsorted":false,"formattedCitation":"\\super 19\\nosupersub{}","plainCitation":"19","noteIndex":0},"citationItems":[{"id":390,"uris":["http://zotero.org/users/16918528/items/XQKT8RSQ"],"itemData":{"id":390,"type":"article-journal","abstract":"Western blotting (WB), enzyme-linked immunosorbent assay (ELISA) and flow cytometry (FC) have long been used to assess and quantitate relative protein expression in cultured cells and tissue samples. However, WB and ELISA have limited ability to meaningfully quantitate relative protein levels in tissues with complex cell composition, while tissue dissociation followed by FC is not feasible when tissue is limiting and/or cells difficult to isolate. While protein detection in tissue using immunofluorescent (IF) probes has traditionally been considered a qualitative technique, advances in probe stability and confocal imaging allow IF data to be easily quantitated, although reproducible quantitation of relative protein expression requires careful attention to appropriate controls, experiment design, and data collection. Here we describe the methods used to quantify the data presented in Shihan et al. Matrix Biology, 2020 which lays out a workflow where IF data collected on a confocal microscope can be used to quantitate the relative levels of a molecule of interest by measuring mean fluorescent intensity across a region of interest, cell number, and the percentage of cells in a sample “positive” for staining with the fluorescent probe of interest. Overall, this manuscript discusses considerations for collecting quantifiable fluorescent images on a confocal microscope and provides explicit methods for quantitating IF data using FIJI-ImageJ., Image 1, These simple methods:•Allow quantitation of molecules in small tissues using immunofluorescent (IF) detectionon tissue sections.•Generate data that correlate well with that obtained from other methods.•Yield reproducible data that expands the conclusions possible from IF imaging of tissues with complex cellular compositions.","container-title":"Biochemistry and Biophysics Reports","DOI":"10.1016/j.bbrep.2021.100916","ISSN":"2405-5808","journalAbbreviation":"Biochem. Biophys. Rep.","language":"en","note":"remark: imgeJ：详细阐述了 颜色分离 → 背景减除 → 阈值 → 粒子分析 的完整流程\nTLDR: Overall, this manuscript discusses considerations for collecting quantifiable fluorescent images on a confocal microscope and provides explicit methods for quantitating IF data using FIJI-ImageJ.","page":"100916","PMID":"33553685","PMCID":"PMC7856428","source":"PubMed Central","title":"A simple method for quantitating confocal fluorescent images","volume":"25","author":[{"family":"Shihan","given":"Mahbubul H."},{"family":"Novo","given":"Samuel G."},{"family":"Le Marchand","given":"Sylvain J."},{"family":"Wang","given":"Yan"},{"family":"Duncan","given":"Melinda K."}],"issued":{"date-parts":[["2021",2,1]]}}}],"schema":"https://github.com/citation-style-language/schema/raw/master/csl-citation.json"} </w:instrText>
      </w:r>
      <w:r>
        <w:rPr>
          <w:rFonts w:ascii="Calibri" w:hAnsi="Calibri" w:cs="Calibri"/>
          <w:sz w:val="24"/>
          <w:szCs w:val="24"/>
          <w:lang w:eastAsia="en-US"/>
        </w:rPr>
        <w:fldChar w:fldCharType="separate"/>
      </w:r>
      <w:r>
        <w:rPr>
          <w:rFonts w:ascii="Calibri" w:hAnsi="Calibri" w:cs="Calibri"/>
          <w:kern w:val="0"/>
          <w:sz w:val="24"/>
          <w:szCs w:val="24"/>
          <w:vertAlign w:val="superscript"/>
        </w:rPr>
        <w:t>19</w:t>
      </w:r>
      <w:r>
        <w:rPr>
          <w:rFonts w:ascii="Calibri" w:hAnsi="Calibri" w:cs="Calibri"/>
          <w:sz w:val="24"/>
          <w:szCs w:val="24"/>
          <w:lang w:eastAsia="en-US"/>
        </w:rPr>
        <w:fldChar w:fldCharType="end"/>
      </w:r>
      <w:r>
        <w:rPr>
          <w:rFonts w:ascii="Calibri" w:hAnsi="Calibri" w:cs="Calibri"/>
          <w:sz w:val="24"/>
          <w:szCs w:val="24"/>
          <w:lang w:eastAsia="en-US"/>
        </w:rPr>
        <w:t xml:space="preserve"> and then perform a comparative analysis with the three methods of this instrument.</w:t>
      </w:r>
    </w:p>
    <w:p w14:paraId="54DC5E93">
      <w:pPr>
        <w:rPr>
          <w:rFonts w:ascii="Calibri" w:hAnsi="Calibri" w:cs="Calibri"/>
          <w:sz w:val="24"/>
          <w:szCs w:val="24"/>
          <w:lang w:eastAsia="en-US"/>
        </w:rPr>
      </w:pPr>
    </w:p>
    <w:p w14:paraId="5522EC13">
      <w:pPr>
        <w:pStyle w:val="19"/>
        <w:numPr>
          <w:ilvl w:val="3"/>
          <w:numId w:val="1"/>
        </w:numPr>
        <w:ind w:left="0" w:firstLine="0" w:firstLineChars="0"/>
        <w:rPr>
          <w:rFonts w:ascii="Calibri" w:hAnsi="Calibri" w:cs="Calibri"/>
          <w:sz w:val="24"/>
          <w:szCs w:val="24"/>
          <w:lang w:eastAsia="en-US"/>
        </w:rPr>
      </w:pPr>
      <w:r>
        <w:rPr>
          <w:rFonts w:ascii="Calibri" w:hAnsi="Calibri" w:cs="Calibri"/>
          <w:sz w:val="24"/>
          <w:szCs w:val="24"/>
          <w:lang w:eastAsia="en-US"/>
        </w:rPr>
        <w:t xml:space="preserve">Open the ImageJ software. Image Import: File → Open → Select the original grayscale image to be </w:t>
      </w:r>
      <w:r>
        <w:rPr>
          <w:rFonts w:ascii="Calibri" w:hAnsi="Calibri" w:cs="Calibri"/>
          <w:sz w:val="24"/>
          <w:szCs w:val="24"/>
        </w:rPr>
        <w:t>analyzed</w:t>
      </w:r>
      <w:r>
        <w:rPr>
          <w:rFonts w:ascii="Calibri" w:hAnsi="Calibri" w:cs="Calibri"/>
          <w:sz w:val="24"/>
          <w:szCs w:val="24"/>
          <w:lang w:eastAsia="en-US"/>
        </w:rPr>
        <w:t>.</w:t>
      </w:r>
    </w:p>
    <w:p w14:paraId="3C25787E">
      <w:pPr>
        <w:pStyle w:val="19"/>
        <w:ind w:firstLine="0" w:firstLineChars="0"/>
        <w:rPr>
          <w:rFonts w:ascii="Calibri" w:hAnsi="Calibri" w:cs="Calibri"/>
          <w:sz w:val="24"/>
          <w:szCs w:val="24"/>
          <w:lang w:eastAsia="en-US"/>
        </w:rPr>
      </w:pPr>
    </w:p>
    <w:p w14:paraId="7783311E">
      <w:pPr>
        <w:pStyle w:val="19"/>
        <w:numPr>
          <w:ilvl w:val="3"/>
          <w:numId w:val="1"/>
        </w:numPr>
        <w:ind w:left="0" w:firstLine="0" w:firstLineChars="0"/>
        <w:rPr>
          <w:rFonts w:ascii="Calibri" w:hAnsi="Calibri" w:cs="Calibri"/>
          <w:sz w:val="24"/>
          <w:szCs w:val="24"/>
          <w:lang w:eastAsia="en-US"/>
        </w:rPr>
      </w:pPr>
      <w:r>
        <w:rPr>
          <w:rFonts w:ascii="Calibri" w:hAnsi="Calibri" w:cs="Calibri"/>
          <w:sz w:val="24"/>
          <w:szCs w:val="24"/>
          <w:lang w:eastAsia="en-US"/>
        </w:rPr>
        <w:t xml:space="preserve">Convert the image to 8-bit: Image → Type → 8-bit. </w:t>
      </w:r>
      <w:r>
        <w:rPr>
          <w:rFonts w:ascii="Calibri" w:hAnsi="Calibri" w:cs="Calibri"/>
          <w:sz w:val="24"/>
          <w:szCs w:val="24"/>
        </w:rPr>
        <w:t>Grayscale</w:t>
      </w:r>
      <w:r>
        <w:rPr>
          <w:rFonts w:ascii="Calibri" w:hAnsi="Calibri" w:cs="Calibri"/>
          <w:sz w:val="24"/>
          <w:szCs w:val="24"/>
          <w:lang w:eastAsia="en-US"/>
        </w:rPr>
        <w:t xml:space="preserve"> Value Recognition: Image → Adjust → Threshold → Default, Red → Check Dark background → Set → OK.</w:t>
      </w:r>
    </w:p>
    <w:p w14:paraId="6BF7AE63">
      <w:pPr>
        <w:pStyle w:val="19"/>
        <w:ind w:firstLine="0" w:firstLineChars="0"/>
        <w:rPr>
          <w:rFonts w:ascii="Calibri" w:hAnsi="Calibri" w:cs="Calibri"/>
          <w:sz w:val="24"/>
          <w:szCs w:val="24"/>
          <w:lang w:eastAsia="en-US"/>
        </w:rPr>
      </w:pPr>
    </w:p>
    <w:p w14:paraId="7F003DF0">
      <w:pPr>
        <w:rPr>
          <w:rFonts w:ascii="Calibri" w:hAnsi="Calibri" w:cs="Calibri"/>
          <w:sz w:val="24"/>
          <w:szCs w:val="24"/>
          <w:lang w:eastAsia="en-US"/>
        </w:rPr>
      </w:pPr>
      <w:r>
        <w:rPr>
          <w:rFonts w:ascii="Calibri" w:hAnsi="Calibri" w:cs="Calibri"/>
          <w:sz w:val="24"/>
          <w:szCs w:val="24"/>
          <w:lang w:eastAsia="en-US"/>
        </w:rPr>
        <w:t>NOTE: If the red area recognition is unsatisfactory, replace Default with one of the other 16 built-in ImageJ recognition models or adjust the slider in the dialog box.</w:t>
      </w:r>
    </w:p>
    <w:p w14:paraId="0A016DDB">
      <w:pPr>
        <w:rPr>
          <w:rFonts w:ascii="Calibri" w:hAnsi="Calibri" w:cs="Calibri"/>
          <w:sz w:val="24"/>
          <w:szCs w:val="24"/>
          <w:lang w:eastAsia="en-US"/>
        </w:rPr>
      </w:pPr>
    </w:p>
    <w:p w14:paraId="24AF11C5">
      <w:pPr>
        <w:pStyle w:val="19"/>
        <w:numPr>
          <w:ilvl w:val="3"/>
          <w:numId w:val="1"/>
        </w:numPr>
        <w:ind w:left="0" w:firstLine="0" w:firstLineChars="0"/>
        <w:rPr>
          <w:rFonts w:ascii="Calibri" w:hAnsi="Calibri" w:cs="Calibri"/>
          <w:sz w:val="24"/>
          <w:szCs w:val="24"/>
          <w:lang w:eastAsia="en-US"/>
        </w:rPr>
      </w:pPr>
      <w:r>
        <w:rPr>
          <w:rFonts w:ascii="Calibri" w:hAnsi="Calibri" w:cs="Calibri"/>
          <w:sz w:val="24"/>
          <w:szCs w:val="24"/>
          <w:lang w:eastAsia="en-US"/>
        </w:rPr>
        <w:t>Set Parameters: Analyze → Set Measurements. In the pop-up dialog box, check Area, Mean gray value, Integrated density, Limit to threshold, Display label, Redirect to None by default, and input 2 for Decimal places (0-9). Click OK.</w:t>
      </w:r>
    </w:p>
    <w:p w14:paraId="798E575B">
      <w:pPr>
        <w:pStyle w:val="19"/>
        <w:ind w:firstLine="0" w:firstLineChars="0"/>
        <w:rPr>
          <w:rFonts w:ascii="Calibri" w:hAnsi="Calibri" w:cs="Calibri"/>
          <w:sz w:val="24"/>
          <w:szCs w:val="24"/>
          <w:lang w:eastAsia="en-US"/>
        </w:rPr>
      </w:pPr>
    </w:p>
    <w:p w14:paraId="0B50F7EC">
      <w:pPr>
        <w:pStyle w:val="19"/>
        <w:numPr>
          <w:ilvl w:val="3"/>
          <w:numId w:val="1"/>
        </w:numPr>
        <w:ind w:left="0" w:firstLine="0" w:firstLineChars="0"/>
        <w:rPr>
          <w:rFonts w:ascii="Calibri" w:hAnsi="Calibri" w:cs="Calibri"/>
          <w:sz w:val="24"/>
          <w:szCs w:val="24"/>
          <w:lang w:eastAsia="en-US"/>
        </w:rPr>
      </w:pPr>
      <w:r>
        <w:rPr>
          <w:rFonts w:ascii="Calibri" w:hAnsi="Calibri" w:cs="Calibri"/>
          <w:sz w:val="24"/>
          <w:szCs w:val="24"/>
          <w:lang w:eastAsia="en-US"/>
        </w:rPr>
        <w:t>Analyze Recognition Results: Analyze → Measure. Save Results: In the pop-up results dialog box, File → Save As, and select the save location.</w:t>
      </w:r>
    </w:p>
    <w:p w14:paraId="3E97DBBC">
      <w:pPr>
        <w:pStyle w:val="19"/>
        <w:ind w:firstLine="0" w:firstLineChars="0"/>
        <w:rPr>
          <w:rFonts w:ascii="Calibri" w:hAnsi="Calibri" w:cs="Calibri"/>
          <w:sz w:val="24"/>
          <w:szCs w:val="24"/>
          <w:lang w:eastAsia="en-US"/>
        </w:rPr>
      </w:pPr>
    </w:p>
    <w:p w14:paraId="5981A29B">
      <w:pPr>
        <w:pStyle w:val="19"/>
        <w:numPr>
          <w:ilvl w:val="1"/>
          <w:numId w:val="1"/>
        </w:numPr>
        <w:ind w:left="0" w:firstLine="0" w:firstLineChars="0"/>
        <w:rPr>
          <w:rFonts w:ascii="Calibri" w:hAnsi="Calibri" w:cs="Calibri"/>
          <w:sz w:val="24"/>
          <w:szCs w:val="24"/>
          <w:lang w:eastAsia="en-US"/>
        </w:rPr>
      </w:pPr>
      <w:r>
        <w:rPr>
          <w:rFonts w:ascii="Calibri" w:hAnsi="Calibri" w:cs="Calibri"/>
          <w:sz w:val="24"/>
          <w:szCs w:val="24"/>
        </w:rPr>
        <w:t>Image</w:t>
      </w:r>
      <w:r>
        <w:rPr>
          <w:rFonts w:ascii="Calibri" w:hAnsi="Calibri" w:cs="Calibri"/>
          <w:sz w:val="24"/>
          <w:szCs w:val="24"/>
          <w:lang w:eastAsia="en-US"/>
        </w:rPr>
        <w:t xml:space="preserve"> export</w:t>
      </w:r>
    </w:p>
    <w:p w14:paraId="398D1D98">
      <w:pPr>
        <w:pStyle w:val="19"/>
        <w:ind w:firstLine="0" w:firstLineChars="0"/>
        <w:rPr>
          <w:rFonts w:ascii="Calibri" w:hAnsi="Calibri" w:cs="Calibri"/>
          <w:sz w:val="24"/>
          <w:szCs w:val="24"/>
          <w:lang w:eastAsia="en-US"/>
        </w:rPr>
      </w:pPr>
    </w:p>
    <w:p w14:paraId="5D480A05">
      <w:pPr>
        <w:pStyle w:val="19"/>
        <w:numPr>
          <w:ilvl w:val="2"/>
          <w:numId w:val="1"/>
        </w:numPr>
        <w:ind w:left="0" w:firstLine="0" w:firstLineChars="0"/>
        <w:rPr>
          <w:rFonts w:ascii="Calibri" w:hAnsi="Calibri" w:cs="Calibri"/>
          <w:sz w:val="24"/>
          <w:szCs w:val="24"/>
          <w:lang w:eastAsia="en-US"/>
        </w:rPr>
      </w:pPr>
      <w:r>
        <w:rPr>
          <w:rFonts w:ascii="Calibri" w:hAnsi="Calibri" w:cs="Calibri"/>
          <w:sz w:val="24"/>
          <w:szCs w:val="24"/>
        </w:rPr>
        <w:t>Select</w:t>
      </w:r>
      <w:r>
        <w:rPr>
          <w:rFonts w:ascii="Calibri" w:hAnsi="Calibri" w:cs="Calibri"/>
          <w:sz w:val="24"/>
          <w:szCs w:val="24"/>
          <w:lang w:eastAsia="en-US"/>
        </w:rPr>
        <w:t xml:space="preserve"> a high-quality positive well field of view as the reference standard.</w:t>
      </w:r>
    </w:p>
    <w:p w14:paraId="497E32EA">
      <w:pPr>
        <w:pStyle w:val="19"/>
        <w:ind w:firstLine="0" w:firstLineChars="0"/>
        <w:rPr>
          <w:rFonts w:ascii="Calibri" w:hAnsi="Calibri" w:cs="Calibri"/>
          <w:sz w:val="24"/>
          <w:szCs w:val="24"/>
          <w:lang w:eastAsia="en-US"/>
        </w:rPr>
      </w:pPr>
    </w:p>
    <w:p w14:paraId="2FB5495E">
      <w:pPr>
        <w:rPr>
          <w:rFonts w:ascii="Calibri" w:hAnsi="Calibri" w:cs="Calibri"/>
          <w:sz w:val="24"/>
          <w:szCs w:val="24"/>
          <w:lang w:eastAsia="en-US"/>
        </w:rPr>
      </w:pPr>
      <w:r>
        <w:rPr>
          <w:rFonts w:ascii="Calibri" w:hAnsi="Calibri" w:cs="Calibri"/>
          <w:sz w:val="24"/>
          <w:szCs w:val="24"/>
          <w:lang w:eastAsia="en-US"/>
        </w:rPr>
        <w:t>NOTE: The basic quality requirements are authenticity, accurate focus, suitable exposure (16-bit), and appropriate contrast (a higher signal-to-noise ratio is better). High-quality requirements include distinct features, contrast, practicality, intuitive morphological changes, and highlighted key points.</w:t>
      </w:r>
    </w:p>
    <w:p w14:paraId="391DBD9F">
      <w:pPr>
        <w:rPr>
          <w:rFonts w:ascii="Calibri" w:hAnsi="Calibri" w:cs="Calibri"/>
          <w:sz w:val="24"/>
          <w:szCs w:val="24"/>
          <w:lang w:eastAsia="en-US"/>
        </w:rPr>
      </w:pPr>
    </w:p>
    <w:p w14:paraId="36D91DC6">
      <w:pPr>
        <w:pStyle w:val="19"/>
        <w:numPr>
          <w:ilvl w:val="2"/>
          <w:numId w:val="1"/>
        </w:numPr>
        <w:ind w:left="0" w:firstLine="0" w:firstLineChars="0"/>
        <w:rPr>
          <w:rFonts w:ascii="Calibri" w:hAnsi="Calibri" w:cs="Calibri"/>
          <w:sz w:val="24"/>
          <w:szCs w:val="24"/>
          <w:lang w:eastAsia="en-US"/>
        </w:rPr>
      </w:pPr>
      <w:r>
        <w:rPr>
          <w:rFonts w:ascii="Calibri" w:hAnsi="Calibri" w:cs="Calibri"/>
          <w:sz w:val="24"/>
          <w:szCs w:val="24"/>
          <w:lang w:eastAsia="en-US"/>
        </w:rPr>
        <w:t>Under Run Analysis, select ExportPro in the Analysis section, and start Run Setup for Analysis. In Select output options, choose Individual channel, Color overlay, shrink image (optional), and Scale bar (optional) based on the image requirements.</w:t>
      </w:r>
    </w:p>
    <w:p w14:paraId="2552C077">
      <w:pPr>
        <w:pStyle w:val="19"/>
        <w:ind w:firstLine="0" w:firstLineChars="0"/>
        <w:rPr>
          <w:rFonts w:ascii="Calibri" w:hAnsi="Calibri" w:cs="Calibri"/>
          <w:sz w:val="24"/>
          <w:szCs w:val="24"/>
          <w:lang w:eastAsia="en-US"/>
        </w:rPr>
      </w:pPr>
    </w:p>
    <w:p w14:paraId="44448F61">
      <w:pPr>
        <w:pStyle w:val="19"/>
        <w:numPr>
          <w:ilvl w:val="2"/>
          <w:numId w:val="1"/>
        </w:numPr>
        <w:ind w:left="0" w:firstLine="0" w:firstLineChars="0"/>
        <w:rPr>
          <w:rFonts w:ascii="Calibri" w:hAnsi="Calibri" w:cs="Calibri"/>
          <w:sz w:val="24"/>
          <w:szCs w:val="24"/>
          <w:lang w:eastAsia="en-US"/>
        </w:rPr>
      </w:pPr>
      <w:r>
        <w:rPr>
          <w:rFonts w:ascii="Calibri" w:hAnsi="Calibri" w:cs="Calibri"/>
          <w:sz w:val="24"/>
          <w:szCs w:val="24"/>
        </w:rPr>
        <w:t>Select</w:t>
      </w:r>
      <w:r>
        <w:rPr>
          <w:rFonts w:ascii="Calibri" w:hAnsi="Calibri" w:cs="Calibri"/>
          <w:sz w:val="24"/>
          <w:szCs w:val="24"/>
          <w:lang w:eastAsia="en-US"/>
        </w:rPr>
        <w:t xml:space="preserve"> the fluorescent channel images to be exported for each field of view. </w:t>
      </w:r>
      <w:r>
        <w:rPr>
          <w:rFonts w:ascii="Calibri" w:hAnsi="Calibri" w:cs="Calibri"/>
          <w:sz w:val="24"/>
          <w:szCs w:val="24"/>
        </w:rPr>
        <w:t>In</w:t>
      </w:r>
      <w:r>
        <w:rPr>
          <w:rFonts w:ascii="Calibri" w:hAnsi="Calibri" w:cs="Calibri"/>
          <w:sz w:val="24"/>
          <w:szCs w:val="24"/>
          <w:lang w:eastAsia="en-US"/>
        </w:rPr>
        <w:t xml:space="preserve"> Individual Channel, select a color for each channel, such as Blue for the DAPI channel and Monochrome for the TL channel.</w:t>
      </w:r>
    </w:p>
    <w:p w14:paraId="521DC9D2">
      <w:pPr>
        <w:pStyle w:val="19"/>
        <w:ind w:firstLine="0" w:firstLineChars="0"/>
        <w:rPr>
          <w:rFonts w:ascii="Calibri" w:hAnsi="Calibri" w:cs="Calibri"/>
          <w:sz w:val="24"/>
          <w:szCs w:val="24"/>
          <w:lang w:eastAsia="en-US"/>
        </w:rPr>
      </w:pPr>
    </w:p>
    <w:p w14:paraId="6F1BB7EA">
      <w:pPr>
        <w:pStyle w:val="19"/>
        <w:numPr>
          <w:ilvl w:val="2"/>
          <w:numId w:val="1"/>
        </w:numPr>
        <w:ind w:left="0" w:firstLine="0" w:firstLineChars="0"/>
        <w:rPr>
          <w:rFonts w:ascii="Calibri" w:hAnsi="Calibri" w:cs="Calibri"/>
          <w:sz w:val="24"/>
          <w:szCs w:val="24"/>
          <w:lang w:eastAsia="en-US"/>
        </w:rPr>
      </w:pPr>
      <w:r>
        <w:rPr>
          <w:rFonts w:ascii="Calibri" w:hAnsi="Calibri" w:cs="Calibri"/>
          <w:sz w:val="24"/>
          <w:szCs w:val="24"/>
        </w:rPr>
        <w:t>In</w:t>
      </w:r>
      <w:r>
        <w:rPr>
          <w:rFonts w:ascii="Calibri" w:hAnsi="Calibri" w:cs="Calibri"/>
          <w:sz w:val="24"/>
          <w:szCs w:val="24"/>
          <w:lang w:eastAsia="en-US"/>
        </w:rPr>
        <w:t xml:space="preserve"> Color overlay, select the channels corresponding to BRIGHTFIELD, RED, BLUE, and GREEN in order (Select the color wavelength for color overlay). Set the Number to 100; observe the preview image and accept the preview result.</w:t>
      </w:r>
    </w:p>
    <w:p w14:paraId="26C57091">
      <w:pPr>
        <w:pStyle w:val="19"/>
        <w:ind w:firstLine="0" w:firstLineChars="0"/>
        <w:rPr>
          <w:rFonts w:ascii="Calibri" w:hAnsi="Calibri" w:cs="Calibri"/>
          <w:sz w:val="24"/>
          <w:szCs w:val="24"/>
          <w:lang w:eastAsia="en-US"/>
        </w:rPr>
      </w:pPr>
    </w:p>
    <w:p w14:paraId="592B4E28">
      <w:pPr>
        <w:pStyle w:val="19"/>
        <w:numPr>
          <w:ilvl w:val="2"/>
          <w:numId w:val="1"/>
        </w:numPr>
        <w:ind w:left="0" w:firstLine="0" w:firstLineChars="0"/>
        <w:rPr>
          <w:rFonts w:ascii="Calibri" w:hAnsi="Calibri" w:cs="Calibri"/>
          <w:sz w:val="24"/>
          <w:szCs w:val="24"/>
          <w:lang w:eastAsia="en-US"/>
        </w:rPr>
      </w:pPr>
      <w:r>
        <w:rPr>
          <w:rFonts w:ascii="Calibri" w:hAnsi="Calibri" w:cs="Calibri"/>
          <w:sz w:val="24"/>
          <w:szCs w:val="24"/>
          <w:lang w:eastAsia="en-US"/>
        </w:rPr>
        <w:t xml:space="preserve">In output, select the folder where the exported images will be stored in Export to folder. </w:t>
      </w:r>
      <w:r>
        <w:rPr>
          <w:rFonts w:ascii="Calibri" w:hAnsi="Calibri" w:cs="Calibri"/>
          <w:sz w:val="24"/>
          <w:szCs w:val="24"/>
        </w:rPr>
        <w:t>Start</w:t>
      </w:r>
      <w:r>
        <w:rPr>
          <w:rFonts w:ascii="Calibri" w:hAnsi="Calibri" w:cs="Calibri"/>
          <w:sz w:val="24"/>
          <w:szCs w:val="24"/>
          <w:lang w:eastAsia="en-US"/>
        </w:rPr>
        <w:t xml:space="preserve"> the run.</w:t>
      </w:r>
    </w:p>
    <w:p w14:paraId="7E027298">
      <w:pPr>
        <w:pStyle w:val="19"/>
        <w:ind w:firstLine="0" w:firstLineChars="0"/>
        <w:rPr>
          <w:rFonts w:ascii="Calibri" w:hAnsi="Calibri" w:cs="Calibri"/>
          <w:sz w:val="24"/>
          <w:szCs w:val="24"/>
          <w:lang w:eastAsia="en-US"/>
        </w:rPr>
      </w:pPr>
    </w:p>
    <w:p w14:paraId="2D1CE725">
      <w:pPr>
        <w:rPr>
          <w:rFonts w:ascii="Calibri" w:hAnsi="Calibri" w:cs="Calibri"/>
          <w:sz w:val="24"/>
          <w:szCs w:val="24"/>
          <w:lang w:eastAsia="en-US"/>
        </w:rPr>
      </w:pPr>
      <w:r>
        <w:rPr>
          <w:rFonts w:ascii="Calibri" w:hAnsi="Calibri" w:cs="Calibri"/>
          <w:sz w:val="24"/>
          <w:szCs w:val="24"/>
          <w:lang w:eastAsia="en-US"/>
        </w:rPr>
        <w:t>NOTE: Images from the same batch must not be exported separately; a batch of images refers to a collection of images from four core samples: negative control, positive control, basic control group, and target experimental group, all obtained under completely consistent experimental conditions.</w:t>
      </w:r>
    </w:p>
    <w:p w14:paraId="19B658D1">
      <w:pPr>
        <w:rPr>
          <w:rFonts w:ascii="Calibri" w:hAnsi="Calibri" w:cs="Calibri"/>
          <w:sz w:val="24"/>
          <w:szCs w:val="24"/>
          <w:lang w:eastAsia="en-US"/>
        </w:rPr>
      </w:pPr>
    </w:p>
    <w:p w14:paraId="47135CF1">
      <w:pPr>
        <w:pStyle w:val="19"/>
        <w:numPr>
          <w:ilvl w:val="1"/>
          <w:numId w:val="1"/>
        </w:numPr>
        <w:ind w:left="0" w:firstLine="0" w:firstLineChars="0"/>
        <w:rPr>
          <w:rFonts w:ascii="Calibri" w:hAnsi="Calibri" w:cs="Calibri"/>
          <w:sz w:val="24"/>
          <w:szCs w:val="24"/>
          <w:lang w:eastAsia="en-US"/>
        </w:rPr>
      </w:pPr>
      <w:r>
        <w:rPr>
          <w:rFonts w:ascii="Calibri" w:hAnsi="Calibri" w:cs="Calibri"/>
          <w:sz w:val="24"/>
          <w:szCs w:val="24"/>
          <w:lang w:eastAsia="en-US"/>
        </w:rPr>
        <w:t>Comparison of image processing methods</w:t>
      </w:r>
    </w:p>
    <w:p w14:paraId="79FAAA51">
      <w:pPr>
        <w:pStyle w:val="19"/>
        <w:ind w:firstLine="0" w:firstLineChars="0"/>
        <w:rPr>
          <w:rFonts w:ascii="Calibri" w:hAnsi="Calibri" w:cs="Calibri"/>
          <w:sz w:val="24"/>
          <w:szCs w:val="24"/>
          <w:lang w:eastAsia="en-US"/>
        </w:rPr>
      </w:pPr>
    </w:p>
    <w:p w14:paraId="27E5DBC4">
      <w:pPr>
        <w:pStyle w:val="19"/>
        <w:numPr>
          <w:ilvl w:val="2"/>
          <w:numId w:val="1"/>
        </w:numPr>
        <w:ind w:left="0" w:firstLine="0" w:firstLineChars="0"/>
        <w:rPr>
          <w:rFonts w:ascii="Calibri" w:hAnsi="Calibri" w:cs="Calibri"/>
          <w:sz w:val="24"/>
          <w:szCs w:val="24"/>
          <w:lang w:eastAsia="en-US"/>
        </w:rPr>
      </w:pPr>
      <w:r>
        <w:rPr>
          <w:rFonts w:ascii="Calibri" w:hAnsi="Calibri" w:cs="Calibri"/>
          <w:sz w:val="24"/>
          <w:szCs w:val="24"/>
          <w:lang w:eastAsia="en-US"/>
        </w:rPr>
        <w:t>Select 9 fields of view and compare the traditional manual counting of dead and live cells with the Multi-Wavelength Cell Scoring, Live-Dead, CME, and ImageJ methods for counting live cells, dead cells, and the ratio of dead to live cells. Use GraphPad Prism version 10.1 to perform a one-way ANOVA, accompanied by Tukey's multiple comparisons test, to analyze the differences.</w:t>
      </w:r>
    </w:p>
    <w:p w14:paraId="0227AA69">
      <w:pPr>
        <w:pStyle w:val="19"/>
        <w:ind w:firstLine="0" w:firstLineChars="0"/>
        <w:rPr>
          <w:rFonts w:ascii="Calibri" w:hAnsi="Calibri" w:cs="Calibri"/>
          <w:sz w:val="24"/>
          <w:szCs w:val="24"/>
          <w:lang w:eastAsia="en-US"/>
        </w:rPr>
      </w:pPr>
    </w:p>
    <w:p w14:paraId="0AA0C223">
      <w:pPr>
        <w:pStyle w:val="19"/>
        <w:numPr>
          <w:ilvl w:val="2"/>
          <w:numId w:val="1"/>
        </w:numPr>
        <w:ind w:left="0" w:firstLine="0" w:firstLineChars="0"/>
        <w:rPr>
          <w:rFonts w:ascii="Calibri" w:hAnsi="Calibri" w:cs="Calibri"/>
          <w:sz w:val="24"/>
          <w:szCs w:val="24"/>
          <w:lang w:eastAsia="en-US"/>
        </w:rPr>
      </w:pPr>
      <w:r>
        <w:rPr>
          <w:rFonts w:ascii="Calibri" w:hAnsi="Calibri" w:cs="Calibri"/>
          <w:sz w:val="24"/>
          <w:szCs w:val="24"/>
        </w:rPr>
        <w:t>Select</w:t>
      </w:r>
      <w:r>
        <w:rPr>
          <w:rFonts w:ascii="Calibri" w:hAnsi="Calibri" w:cs="Calibri"/>
          <w:sz w:val="24"/>
          <w:szCs w:val="24"/>
          <w:lang w:eastAsia="en-US"/>
        </w:rPr>
        <w:t xml:space="preserve"> 81 fields of view and compare the differences in cell counting, area, and intensity among the Multi-Wavelength Cell Scoring, Live-Dead, CME, and ImageJ methods. Use GraphPad Prism version 10.1 to perform a one-way ANOVA, accompanied by Tukey's multiple comparisons test, to analyze the differences.</w:t>
      </w:r>
    </w:p>
    <w:p w14:paraId="7E5F2032">
      <w:pPr>
        <w:pStyle w:val="19"/>
        <w:ind w:firstLine="0" w:firstLineChars="0"/>
        <w:rPr>
          <w:rFonts w:ascii="Calibri" w:hAnsi="Calibri" w:cs="Calibri"/>
          <w:sz w:val="24"/>
          <w:szCs w:val="24"/>
          <w:lang w:eastAsia="en-US"/>
        </w:rPr>
      </w:pPr>
    </w:p>
    <w:p w14:paraId="2CFBBCD5">
      <w:pPr>
        <w:rPr>
          <w:rFonts w:ascii="Calibri" w:hAnsi="Calibri" w:cs="Calibri"/>
          <w:sz w:val="24"/>
          <w:szCs w:val="24"/>
          <w:lang w:eastAsia="en-US"/>
        </w:rPr>
      </w:pPr>
      <w:r>
        <w:rPr>
          <w:rFonts w:ascii="Calibri" w:hAnsi="Calibri" w:cs="Calibri"/>
          <w:sz w:val="24"/>
          <w:szCs w:val="24"/>
          <w:lang w:eastAsia="en-US"/>
        </w:rPr>
        <w:t>NOTE: Cell culture and staining experiments must be conducted within a biosafety cabinet. Dispose of waste liquid, tips, and other experimental waste according to laboratory regulations. Ensure full protection throughout the experiment.</w:t>
      </w:r>
    </w:p>
    <w:p w14:paraId="0D8FF936">
      <w:pPr>
        <w:rPr>
          <w:rFonts w:ascii="Calibri" w:hAnsi="Calibri" w:cs="Calibri"/>
          <w:sz w:val="24"/>
          <w:szCs w:val="24"/>
          <w:lang w:eastAsia="en-US"/>
        </w:rPr>
      </w:pPr>
    </w:p>
    <w:p w14:paraId="547DF392">
      <w:pPr>
        <w:rPr>
          <w:rFonts w:ascii="Calibri" w:hAnsi="Calibri" w:cs="Calibri"/>
          <w:b/>
          <w:bCs/>
          <w:sz w:val="24"/>
          <w:szCs w:val="24"/>
          <w:lang w:eastAsia="en-US"/>
        </w:rPr>
      </w:pPr>
      <w:r>
        <w:rPr>
          <w:rFonts w:ascii="Calibri" w:hAnsi="Calibri" w:cs="Calibri"/>
          <w:b/>
          <w:bCs/>
          <w:sz w:val="24"/>
          <w:szCs w:val="24"/>
          <w:lang w:eastAsia="en-US"/>
        </w:rPr>
        <w:t xml:space="preserve">REPRESENTATIVE RESULTS: </w:t>
      </w:r>
    </w:p>
    <w:p w14:paraId="72BDE40D">
      <w:pPr>
        <w:rPr>
          <w:rFonts w:ascii="Calibri" w:hAnsi="Calibri" w:cs="Calibri"/>
          <w:b/>
          <w:bCs/>
          <w:sz w:val="24"/>
          <w:szCs w:val="24"/>
          <w:lang w:val="en-IN" w:eastAsia="en-US"/>
        </w:rPr>
      </w:pPr>
      <w:r>
        <w:rPr>
          <w:rFonts w:ascii="Calibri" w:hAnsi="Calibri" w:cs="Calibri"/>
          <w:b/>
          <w:bCs/>
          <w:sz w:val="24"/>
          <w:szCs w:val="24"/>
          <w:lang w:val="en-IN" w:eastAsia="en-US"/>
        </w:rPr>
        <w:t>Impact of standardized preparation on imaging quality</w:t>
      </w:r>
    </w:p>
    <w:p w14:paraId="79E2A9ED">
      <w:pPr>
        <w:rPr>
          <w:rFonts w:ascii="Calibri" w:hAnsi="Calibri" w:cs="Calibri"/>
          <w:sz w:val="24"/>
          <w:szCs w:val="24"/>
          <w:lang w:val="en-IN" w:eastAsia="en-US"/>
        </w:rPr>
      </w:pPr>
      <w:r>
        <w:rPr>
          <w:rFonts w:ascii="Calibri" w:hAnsi="Calibri" w:cs="Calibri"/>
          <w:sz w:val="24"/>
          <w:szCs w:val="24"/>
          <w:lang w:val="en-IN" w:eastAsia="en-US"/>
        </w:rPr>
        <w:t>The plate parameters were configured to ensure that the instrument could reliably locate the cell image layer. Samples prepared as a single layer of cells with moderate confluence facilitated image focusing at different objective magnifications and improved image recognition and quantitative analysis. Standardized sample preparation and optimized plate parameters effectively minimized edge effects, cell overlap, and other factors contributing to poor-quality imaging (</w:t>
      </w:r>
      <w:r>
        <w:rPr>
          <w:rFonts w:ascii="Calibri" w:hAnsi="Calibri" w:cs="Calibri"/>
          <w:b/>
          <w:bCs/>
          <w:sz w:val="24"/>
          <w:szCs w:val="24"/>
          <w:lang w:val="en-IN" w:eastAsia="en-US"/>
        </w:rPr>
        <w:t>Figure 1</w:t>
      </w:r>
      <w:r>
        <w:rPr>
          <w:rFonts w:ascii="Calibri" w:hAnsi="Calibri" w:cs="Calibri"/>
          <w:sz w:val="24"/>
          <w:szCs w:val="24"/>
          <w:lang w:val="en-IN" w:eastAsia="en-US"/>
        </w:rPr>
        <w:t>).</w:t>
      </w:r>
    </w:p>
    <w:p w14:paraId="338F318C">
      <w:pPr>
        <w:rPr>
          <w:rFonts w:ascii="Calibri" w:hAnsi="Calibri" w:cs="Calibri"/>
          <w:sz w:val="24"/>
          <w:szCs w:val="24"/>
          <w:lang w:val="en-IN" w:eastAsia="en-US"/>
        </w:rPr>
      </w:pPr>
    </w:p>
    <w:p w14:paraId="3CDF12ED">
      <w:pPr>
        <w:rPr>
          <w:rFonts w:ascii="Calibri" w:hAnsi="Calibri" w:cs="Calibri"/>
          <w:b/>
          <w:bCs/>
          <w:sz w:val="24"/>
          <w:szCs w:val="24"/>
          <w:lang w:val="en-IN" w:eastAsia="en-US"/>
        </w:rPr>
      </w:pPr>
      <w:r>
        <w:rPr>
          <w:rFonts w:ascii="Calibri" w:hAnsi="Calibri" w:cs="Calibri"/>
          <w:b/>
          <w:bCs/>
          <w:sz w:val="24"/>
          <w:szCs w:val="24"/>
          <w:lang w:val="en-IN" w:eastAsia="en-US"/>
        </w:rPr>
        <w:t>Comparison of the image calculation method functions</w:t>
      </w:r>
    </w:p>
    <w:p w14:paraId="54E5D534">
      <w:pPr>
        <w:rPr>
          <w:rFonts w:ascii="Calibri" w:hAnsi="Calibri" w:cs="Calibri"/>
          <w:sz w:val="24"/>
          <w:szCs w:val="24"/>
          <w:lang w:val="en-IN" w:eastAsia="en-US"/>
        </w:rPr>
      </w:pPr>
      <w:r>
        <w:rPr>
          <w:rFonts w:ascii="Calibri" w:hAnsi="Calibri" w:cs="Calibri"/>
          <w:sz w:val="24"/>
          <w:szCs w:val="24"/>
          <w:lang w:val="en-IN" w:eastAsia="en-US"/>
        </w:rPr>
        <w:t>The PI/Hoechst 33342 double-staining method was used to distinguish live and dead cells. The Multi-Wavelength Cell Scoring, Live-Dead, and CME methods successfully processed these images by identifying objects based on fluorescence intensity and object size, whereas ImageJ identified objects based on grayscale values. The marking results obtained with these methods were generally comparable (</w:t>
      </w:r>
      <w:r>
        <w:rPr>
          <w:rFonts w:ascii="Calibri" w:hAnsi="Calibri" w:cs="Calibri"/>
          <w:b/>
          <w:bCs/>
          <w:sz w:val="24"/>
          <w:szCs w:val="24"/>
          <w:lang w:val="en-IN" w:eastAsia="en-US"/>
        </w:rPr>
        <w:t>Figure 3A–E</w:t>
      </w:r>
      <w:r>
        <w:rPr>
          <w:rFonts w:ascii="Calibri" w:hAnsi="Calibri" w:cs="Calibri"/>
          <w:sz w:val="24"/>
          <w:szCs w:val="24"/>
          <w:lang w:val="en-IN" w:eastAsia="en-US"/>
        </w:rPr>
        <w:t>).</w:t>
      </w:r>
    </w:p>
    <w:p w14:paraId="1B495CA5">
      <w:pPr>
        <w:rPr>
          <w:rFonts w:ascii="Calibri" w:hAnsi="Calibri" w:cs="Calibri"/>
          <w:sz w:val="24"/>
          <w:szCs w:val="24"/>
          <w:lang w:val="en-IN" w:eastAsia="en-US"/>
        </w:rPr>
      </w:pPr>
    </w:p>
    <w:p w14:paraId="10311432">
      <w:pPr>
        <w:rPr>
          <w:rFonts w:ascii="Calibri" w:hAnsi="Calibri" w:cs="Calibri"/>
          <w:sz w:val="24"/>
          <w:szCs w:val="24"/>
          <w:lang w:val="en-IN" w:eastAsia="en-US"/>
        </w:rPr>
      </w:pPr>
      <w:r>
        <w:rPr>
          <w:rFonts w:ascii="Calibri" w:hAnsi="Calibri" w:cs="Calibri"/>
          <w:sz w:val="24"/>
          <w:szCs w:val="24"/>
          <w:lang w:val="en-IN" w:eastAsia="en-US"/>
        </w:rPr>
        <w:t>The Multi-Wavelength Cell Scoring method required nuclear staining to identify all cells (</w:t>
      </w:r>
      <w:r>
        <w:rPr>
          <w:rFonts w:ascii="Calibri" w:hAnsi="Calibri" w:cs="Calibri"/>
          <w:b/>
          <w:bCs/>
          <w:sz w:val="24"/>
          <w:szCs w:val="24"/>
          <w:lang w:val="en-IN" w:eastAsia="en-US"/>
        </w:rPr>
        <w:t>Figure 4A</w:t>
      </w:r>
      <w:r>
        <w:rPr>
          <w:rFonts w:ascii="Calibri" w:hAnsi="Calibri" w:cs="Calibri"/>
          <w:sz w:val="24"/>
          <w:szCs w:val="24"/>
          <w:lang w:val="en-IN" w:eastAsia="en-US"/>
        </w:rPr>
        <w:t xml:space="preserve">). It can process up to 7 imaging channels and calculate parameters including cell count, area, and optical density. </w:t>
      </w:r>
    </w:p>
    <w:p w14:paraId="64EAFAA4">
      <w:pPr>
        <w:rPr>
          <w:rFonts w:ascii="Calibri" w:hAnsi="Calibri" w:cs="Calibri"/>
          <w:sz w:val="24"/>
          <w:szCs w:val="24"/>
          <w:lang w:val="en-IN" w:eastAsia="en-US"/>
        </w:rPr>
      </w:pPr>
    </w:p>
    <w:p w14:paraId="45E06FA5">
      <w:pPr>
        <w:rPr>
          <w:rFonts w:ascii="Calibri" w:hAnsi="Calibri" w:cs="Calibri"/>
          <w:sz w:val="24"/>
          <w:szCs w:val="24"/>
          <w:lang w:val="en-IN" w:eastAsia="en-US"/>
        </w:rPr>
      </w:pPr>
      <w:r>
        <w:rPr>
          <w:rFonts w:ascii="Calibri" w:hAnsi="Calibri" w:cs="Calibri"/>
          <w:sz w:val="24"/>
          <w:szCs w:val="24"/>
          <w:lang w:val="en-IN" w:eastAsia="en-US"/>
        </w:rPr>
        <w:t>The Live-Dead method was more flexible than the Multi-Wavelength Cell Scoring method. Both channels provide modules for nuclear staining, cytoplasmic staining or combined nuclear-cytoplasmic staining to identify all cells, live cells, or dead cells. The Split touching objects function separates overlapping objects, allowing calculation of cell count, area, and optical density. However, because it processed only dual-channel data, it was particularly well suited for PI/Hoechst 33342 double-stained cell viability assays (</w:t>
      </w:r>
      <w:r>
        <w:rPr>
          <w:rFonts w:ascii="Calibri" w:hAnsi="Calibri" w:cs="Calibri"/>
          <w:b/>
          <w:bCs/>
          <w:sz w:val="24"/>
          <w:szCs w:val="24"/>
          <w:lang w:val="en-IN" w:eastAsia="en-US"/>
        </w:rPr>
        <w:t>Figure 4B</w:t>
      </w:r>
      <w:r>
        <w:rPr>
          <w:rFonts w:ascii="Calibri" w:hAnsi="Calibri" w:cs="Calibri"/>
          <w:sz w:val="24"/>
          <w:szCs w:val="24"/>
          <w:lang w:val="en-IN" w:eastAsia="en-US"/>
        </w:rPr>
        <w:t>).</w:t>
      </w:r>
    </w:p>
    <w:p w14:paraId="2F9634F4">
      <w:pPr>
        <w:rPr>
          <w:rFonts w:ascii="Calibri" w:hAnsi="Calibri" w:cs="Calibri"/>
          <w:sz w:val="24"/>
          <w:szCs w:val="24"/>
          <w:lang w:val="en-IN" w:eastAsia="en-US"/>
        </w:rPr>
      </w:pPr>
    </w:p>
    <w:p w14:paraId="4E27F098">
      <w:pPr>
        <w:rPr>
          <w:rFonts w:ascii="Calibri" w:hAnsi="Calibri" w:cs="Calibri"/>
          <w:sz w:val="24"/>
          <w:szCs w:val="24"/>
          <w:lang w:val="en-IN" w:eastAsia="en-US"/>
        </w:rPr>
      </w:pPr>
      <w:r>
        <w:rPr>
          <w:rFonts w:ascii="Calibri" w:hAnsi="Calibri" w:cs="Calibri"/>
          <w:sz w:val="24"/>
          <w:szCs w:val="24"/>
          <w:lang w:val="en-IN" w:eastAsia="en-US"/>
        </w:rPr>
        <w:t>The CME method depended on user-defined image-processing logic. The number of processed channels corresponded to the number of acquired channels. The recognition results were refined using functions such as Fill Holes, Invert Objects, Grow Objects, Shrink Objects, Logical Operations, Remove Border Objects, Keep Marked Objects, Grow Objects without Touching, Mark Object Centers, Watershed, Remove Marked Objects, and Filter Mask to eliminate impurities and other sources of interference. This method also enabled the calculation of multiple object parameters for multidimensional analysis.</w:t>
      </w:r>
    </w:p>
    <w:p w14:paraId="5E4500F9">
      <w:pPr>
        <w:rPr>
          <w:rFonts w:ascii="Calibri" w:hAnsi="Calibri" w:cs="Calibri"/>
          <w:sz w:val="24"/>
          <w:szCs w:val="24"/>
          <w:lang w:val="en-IN" w:eastAsia="en-US"/>
        </w:rPr>
      </w:pPr>
    </w:p>
    <w:p w14:paraId="6D45E762">
      <w:pPr>
        <w:rPr>
          <w:rFonts w:ascii="Calibri" w:hAnsi="Calibri" w:cs="Calibri"/>
          <w:sz w:val="24"/>
          <w:szCs w:val="24"/>
          <w:lang w:val="en-IN" w:eastAsia="en-US"/>
        </w:rPr>
      </w:pPr>
      <w:r>
        <w:rPr>
          <w:rFonts w:ascii="Calibri" w:hAnsi="Calibri" w:cs="Calibri"/>
          <w:sz w:val="24"/>
          <w:szCs w:val="24"/>
          <w:lang w:val="en-IN" w:eastAsia="en-US"/>
        </w:rPr>
        <w:t>ImageJ did not process multiple channels simultaneously. For image batches with substantial background variation, manual processing and threshold adjustment were required, increasing subjectivity and reducing reproducibility.</w:t>
      </w:r>
    </w:p>
    <w:p w14:paraId="15376C6E">
      <w:pPr>
        <w:rPr>
          <w:rFonts w:ascii="Calibri" w:hAnsi="Calibri" w:cs="Calibri"/>
          <w:sz w:val="24"/>
          <w:szCs w:val="24"/>
          <w:lang w:val="en-IN" w:eastAsia="en-US"/>
        </w:rPr>
      </w:pPr>
    </w:p>
    <w:p w14:paraId="6EBE08BD">
      <w:pPr>
        <w:rPr>
          <w:rFonts w:ascii="Calibri" w:hAnsi="Calibri" w:cs="Calibri"/>
          <w:b/>
          <w:bCs/>
          <w:sz w:val="24"/>
          <w:szCs w:val="24"/>
          <w:lang w:val="en-IN" w:eastAsia="en-US"/>
        </w:rPr>
      </w:pPr>
      <w:r>
        <w:rPr>
          <w:rFonts w:ascii="Calibri" w:hAnsi="Calibri" w:cs="Calibri"/>
          <w:b/>
          <w:bCs/>
          <w:sz w:val="24"/>
          <w:szCs w:val="24"/>
          <w:lang w:val="en-IN" w:eastAsia="en-US"/>
        </w:rPr>
        <w:t>Analysis of differences in processing results</w:t>
      </w:r>
    </w:p>
    <w:p w14:paraId="0B623E9D">
      <w:pPr>
        <w:rPr>
          <w:rFonts w:ascii="Calibri" w:hAnsi="Calibri" w:cs="Calibri"/>
          <w:sz w:val="24"/>
          <w:szCs w:val="24"/>
          <w:lang w:val="en-IN" w:eastAsia="en-US"/>
        </w:rPr>
      </w:pPr>
      <w:r>
        <w:rPr>
          <w:rFonts w:ascii="Calibri" w:hAnsi="Calibri" w:cs="Calibri"/>
          <w:sz w:val="24"/>
          <w:szCs w:val="24"/>
          <w:lang w:val="en-IN" w:eastAsia="en-US"/>
        </w:rPr>
        <w:t>A comparative analysis of the image-processing methods showed no significant differences in total cell counts, dead cell counts, or the dead-to-all-cell ratio among the Multi-Wavelength Cell Scoring, Live-Dead, CME, ImageJ, and traditional manual counting methods across 9 fields of view (</w:t>
      </w:r>
      <w:r>
        <w:rPr>
          <w:rFonts w:ascii="Calibri" w:hAnsi="Calibri" w:cs="Calibri"/>
          <w:b/>
          <w:bCs/>
          <w:sz w:val="24"/>
          <w:szCs w:val="24"/>
          <w:lang w:val="en-IN" w:eastAsia="en-US"/>
        </w:rPr>
        <w:t xml:space="preserve">Figure 5A–C, </w:t>
      </w:r>
      <w:r>
        <w:rPr>
          <w:rFonts w:ascii="Calibri" w:hAnsi="Calibri" w:cs="Calibri"/>
          <w:b/>
          <w:bCs/>
          <w:sz w:val="24"/>
          <w:szCs w:val="24"/>
          <w:lang w:eastAsia="en-US"/>
        </w:rPr>
        <w:t>Supplementary File 1</w:t>
      </w:r>
      <w:r>
        <w:rPr>
          <w:rFonts w:ascii="Calibri" w:hAnsi="Calibri" w:cs="Calibri"/>
          <w:sz w:val="24"/>
          <w:szCs w:val="24"/>
          <w:lang w:val="en-IN" w:eastAsia="en-US"/>
        </w:rPr>
        <w:t>).</w:t>
      </w:r>
    </w:p>
    <w:p w14:paraId="452648F6">
      <w:pPr>
        <w:rPr>
          <w:rFonts w:ascii="Calibri" w:hAnsi="Calibri" w:cs="Calibri"/>
          <w:sz w:val="24"/>
          <w:szCs w:val="24"/>
          <w:lang w:val="en-IN" w:eastAsia="en-US"/>
        </w:rPr>
      </w:pPr>
    </w:p>
    <w:p w14:paraId="5308D27E">
      <w:pPr>
        <w:rPr>
          <w:rFonts w:ascii="Calibri" w:hAnsi="Calibri" w:cs="Calibri"/>
          <w:sz w:val="24"/>
          <w:szCs w:val="24"/>
          <w:lang w:val="en-IN" w:eastAsia="en-US"/>
        </w:rPr>
      </w:pPr>
      <w:r>
        <w:rPr>
          <w:rFonts w:ascii="Calibri" w:hAnsi="Calibri" w:cs="Calibri"/>
          <w:sz w:val="24"/>
          <w:szCs w:val="24"/>
          <w:lang w:val="en-IN" w:eastAsia="en-US"/>
        </w:rPr>
        <w:t>Similarly, no significant difference was observed in the ratio of dead-cell area to total cell area among the Multi-Wavelength Cell Scoring, Live-Dead, CME, and ImageJ methods. However, a significant difference was observed in the ratio of the average fluorescence intensity of dead cells to that of all cells among the Multi-Wavelength Cell Scoring, Live-Dead, and CME methods based on data obtained from 81 fields of view (</w:t>
      </w:r>
      <w:r>
        <w:rPr>
          <w:rFonts w:ascii="Calibri" w:hAnsi="Calibri" w:cs="Calibri"/>
          <w:b/>
          <w:bCs/>
          <w:sz w:val="24"/>
          <w:szCs w:val="24"/>
          <w:lang w:val="en-IN" w:eastAsia="en-US"/>
        </w:rPr>
        <w:t>Figure 5D–F</w:t>
      </w:r>
      <w:r>
        <w:rPr>
          <w:rFonts w:ascii="Calibri" w:hAnsi="Calibri" w:cs="Calibri"/>
          <w:sz w:val="24"/>
          <w:szCs w:val="24"/>
          <w:lang w:val="en-IN" w:eastAsia="en-US"/>
        </w:rPr>
        <w:t>).</w:t>
      </w:r>
    </w:p>
    <w:p w14:paraId="77D094F3">
      <w:pPr>
        <w:rPr>
          <w:rFonts w:ascii="Calibri" w:hAnsi="Calibri" w:cs="Calibri"/>
          <w:sz w:val="24"/>
          <w:szCs w:val="24"/>
          <w:lang w:val="en-IN" w:eastAsia="en-US"/>
        </w:rPr>
      </w:pPr>
    </w:p>
    <w:p w14:paraId="1480143A">
      <w:pPr>
        <w:rPr>
          <w:rFonts w:ascii="Calibri" w:hAnsi="Calibri" w:cs="Calibri"/>
          <w:sz w:val="24"/>
          <w:szCs w:val="24"/>
          <w:lang w:val="en-IN" w:eastAsia="en-US"/>
        </w:rPr>
      </w:pPr>
      <w:r>
        <w:rPr>
          <w:rFonts w:ascii="Calibri" w:hAnsi="Calibri" w:cs="Calibri"/>
          <w:sz w:val="24"/>
          <w:szCs w:val="24"/>
          <w:lang w:val="en-IN" w:eastAsia="en-US"/>
        </w:rPr>
        <w:t>Based on these findings, a standardized workflow for the High-Content Imaging System was established (</w:t>
      </w:r>
      <w:r>
        <w:rPr>
          <w:rFonts w:ascii="Calibri" w:hAnsi="Calibri" w:cs="Calibri"/>
          <w:b/>
          <w:bCs/>
          <w:sz w:val="24"/>
          <w:szCs w:val="24"/>
          <w:lang w:val="en-IN" w:eastAsia="en-US"/>
        </w:rPr>
        <w:t>Figure 6</w:t>
      </w:r>
      <w:r>
        <w:rPr>
          <w:rFonts w:ascii="Calibri" w:hAnsi="Calibri" w:cs="Calibri"/>
          <w:sz w:val="24"/>
          <w:szCs w:val="24"/>
          <w:lang w:val="en-IN" w:eastAsia="en-US"/>
        </w:rPr>
        <w:t>).</w:t>
      </w:r>
    </w:p>
    <w:p w14:paraId="0DBA3392">
      <w:pPr>
        <w:rPr>
          <w:rFonts w:ascii="Calibri" w:hAnsi="Calibri" w:cs="Calibri"/>
          <w:sz w:val="24"/>
          <w:szCs w:val="24"/>
          <w:lang w:val="en-IN" w:eastAsia="en-US"/>
        </w:rPr>
      </w:pPr>
    </w:p>
    <w:p w14:paraId="70FCE0A7">
      <w:pPr>
        <w:rPr>
          <w:rFonts w:ascii="Calibri" w:hAnsi="Calibri" w:cs="Calibri"/>
          <w:b/>
          <w:bCs/>
          <w:sz w:val="24"/>
          <w:szCs w:val="24"/>
          <w:lang w:eastAsia="en-US"/>
        </w:rPr>
      </w:pPr>
      <w:r>
        <w:rPr>
          <w:rFonts w:ascii="Calibri" w:hAnsi="Calibri" w:cs="Calibri"/>
          <w:b/>
          <w:bCs/>
          <w:sz w:val="24"/>
          <w:szCs w:val="24"/>
          <w:lang w:eastAsia="en-US"/>
        </w:rPr>
        <w:t>FIGURE LEGENDS:</w:t>
      </w:r>
    </w:p>
    <w:p w14:paraId="150CE3BF">
      <w:pPr>
        <w:rPr>
          <w:rFonts w:ascii="Calibri" w:hAnsi="Calibri" w:cs="Calibri"/>
          <w:sz w:val="24"/>
          <w:szCs w:val="24"/>
          <w:lang w:eastAsia="en-US"/>
        </w:rPr>
      </w:pPr>
    </w:p>
    <w:p w14:paraId="23419C9C">
      <w:pPr>
        <w:rPr>
          <w:rFonts w:ascii="Calibri" w:hAnsi="Calibri" w:cs="Calibri"/>
          <w:sz w:val="24"/>
          <w:szCs w:val="24"/>
          <w:lang w:eastAsia="en-US"/>
        </w:rPr>
      </w:pPr>
      <w:r>
        <w:rPr>
          <w:rFonts w:ascii="Calibri" w:hAnsi="Calibri" w:cs="Calibri"/>
          <w:b/>
          <w:bCs/>
          <w:sz w:val="24"/>
          <w:szCs w:val="24"/>
          <w:lang w:eastAsia="en-US"/>
        </w:rPr>
        <w:t>Figure 1: Low-quality imaging results.</w:t>
      </w:r>
      <w:r>
        <w:rPr>
          <w:rFonts w:ascii="Calibri" w:hAnsi="Calibri" w:cs="Calibri"/>
          <w:sz w:val="24"/>
          <w:szCs w:val="24"/>
          <w:lang w:eastAsia="en-US"/>
        </w:rPr>
        <w:t xml:space="preserve"> (</w:t>
      </w:r>
      <w:r>
        <w:rPr>
          <w:rFonts w:ascii="Calibri" w:hAnsi="Calibri" w:cs="Calibri"/>
          <w:b/>
          <w:bCs/>
          <w:sz w:val="24"/>
          <w:szCs w:val="24"/>
          <w:lang w:eastAsia="en-US"/>
        </w:rPr>
        <w:t>A</w:t>
      </w:r>
      <w:r>
        <w:rPr>
          <w:rFonts w:ascii="Calibri" w:hAnsi="Calibri" w:cs="Calibri"/>
          <w:sz w:val="24"/>
          <w:szCs w:val="24"/>
          <w:lang w:eastAsia="en-US"/>
        </w:rPr>
        <w:t>) The field of view is close to the well edge, revealing shadows from the well edge (BV2 cells in this case). (</w:t>
      </w:r>
      <w:r>
        <w:rPr>
          <w:rFonts w:ascii="Calibri" w:hAnsi="Calibri" w:cs="Calibri"/>
          <w:b/>
          <w:bCs/>
          <w:sz w:val="24"/>
          <w:szCs w:val="24"/>
          <w:lang w:eastAsia="en-US"/>
        </w:rPr>
        <w:t>B</w:t>
      </w:r>
      <w:r>
        <w:rPr>
          <w:rFonts w:ascii="Calibri" w:hAnsi="Calibri" w:cs="Calibri"/>
          <w:sz w:val="24"/>
          <w:szCs w:val="24"/>
          <w:lang w:eastAsia="en-US"/>
        </w:rPr>
        <w:t>) Arrows a and b indicate the overlap of cells in the DAPI channel and TL channel, with excessive cell confluency, and even a second layer or some floating cells. (</w:t>
      </w:r>
      <w:r>
        <w:rPr>
          <w:rFonts w:ascii="Calibri" w:hAnsi="Calibri" w:cs="Calibri"/>
          <w:b/>
          <w:bCs/>
          <w:sz w:val="24"/>
          <w:szCs w:val="24"/>
          <w:lang w:eastAsia="en-US"/>
        </w:rPr>
        <w:t>C</w:t>
      </w:r>
      <w:r>
        <w:rPr>
          <w:rFonts w:ascii="Calibri" w:hAnsi="Calibri" w:cs="Calibri"/>
          <w:sz w:val="24"/>
          <w:szCs w:val="24"/>
          <w:lang w:eastAsia="en-US"/>
        </w:rPr>
        <w:t>) The field of view has no cells; the plate parameters are incorrect; the focus is not on the cell layer, or the cells are not stained, resulting in no image in this field of view. Scale bar = 100 μm.</w:t>
      </w:r>
    </w:p>
    <w:p w14:paraId="1B1C6578">
      <w:pPr>
        <w:rPr>
          <w:rFonts w:ascii="Calibri" w:hAnsi="Calibri" w:cs="Calibri"/>
          <w:sz w:val="24"/>
          <w:szCs w:val="24"/>
          <w:lang w:eastAsia="en-US"/>
        </w:rPr>
      </w:pPr>
    </w:p>
    <w:p w14:paraId="6653FB42">
      <w:pPr>
        <w:rPr>
          <w:rFonts w:ascii="Calibri" w:hAnsi="Calibri" w:cs="Calibri"/>
          <w:sz w:val="24"/>
          <w:szCs w:val="24"/>
          <w:lang w:eastAsia="en-US"/>
        </w:rPr>
      </w:pPr>
      <w:r>
        <w:rPr>
          <w:rFonts w:ascii="Calibri" w:hAnsi="Calibri" w:cs="Calibri"/>
          <w:b/>
          <w:bCs/>
          <w:sz w:val="24"/>
          <w:szCs w:val="24"/>
          <w:lang w:eastAsia="en-US"/>
        </w:rPr>
        <w:t>Figure 2: Imaging parameter settings.</w:t>
      </w:r>
      <w:r>
        <w:rPr>
          <w:rFonts w:ascii="Calibri" w:hAnsi="Calibri" w:cs="Calibri"/>
          <w:sz w:val="24"/>
          <w:szCs w:val="24"/>
          <w:lang w:eastAsia="en-US"/>
        </w:rPr>
        <w:t xml:space="preserve"> (</w:t>
      </w:r>
      <w:r>
        <w:rPr>
          <w:rFonts w:ascii="Calibri" w:hAnsi="Calibri" w:cs="Calibri"/>
          <w:b/>
          <w:bCs/>
          <w:sz w:val="24"/>
          <w:szCs w:val="24"/>
          <w:lang w:eastAsia="en-US"/>
        </w:rPr>
        <w:t>A</w:t>
      </w:r>
      <w:r>
        <w:rPr>
          <w:rFonts w:ascii="Calibri" w:hAnsi="Calibri" w:cs="Calibri"/>
          <w:sz w:val="24"/>
          <w:szCs w:val="24"/>
          <w:lang w:eastAsia="en-US"/>
        </w:rPr>
        <w:t>) Arrow a indicates the bit depth icon. (</w:t>
      </w:r>
      <w:r>
        <w:rPr>
          <w:rFonts w:ascii="Calibri" w:hAnsi="Calibri" w:cs="Calibri"/>
          <w:b/>
          <w:bCs/>
          <w:sz w:val="24"/>
          <w:szCs w:val="24"/>
          <w:lang w:eastAsia="en-US"/>
        </w:rPr>
        <w:t>B</w:t>
      </w:r>
      <w:r>
        <w:rPr>
          <w:rFonts w:ascii="Calibri" w:hAnsi="Calibri" w:cs="Calibri"/>
          <w:sz w:val="24"/>
          <w:szCs w:val="24"/>
          <w:lang w:eastAsia="en-US"/>
        </w:rPr>
        <w:t>) Arrow b indicates the position of Shading Correction.</w:t>
      </w:r>
    </w:p>
    <w:p w14:paraId="5634CE6D">
      <w:pPr>
        <w:rPr>
          <w:rFonts w:ascii="Calibri" w:hAnsi="Calibri" w:cs="Calibri"/>
          <w:sz w:val="24"/>
          <w:szCs w:val="24"/>
          <w:lang w:eastAsia="en-US"/>
        </w:rPr>
      </w:pPr>
    </w:p>
    <w:p w14:paraId="54CCA3DD">
      <w:pPr>
        <w:rPr>
          <w:rFonts w:ascii="Calibri" w:hAnsi="Calibri" w:cs="Calibri"/>
          <w:sz w:val="24"/>
          <w:szCs w:val="24"/>
          <w:lang w:eastAsia="en-US"/>
        </w:rPr>
      </w:pPr>
      <w:r>
        <w:rPr>
          <w:rFonts w:ascii="Calibri" w:hAnsi="Calibri" w:cs="Calibri"/>
          <w:b/>
          <w:bCs/>
          <w:sz w:val="24"/>
          <w:szCs w:val="24"/>
          <w:lang w:eastAsia="en-US"/>
        </w:rPr>
        <w:t>Figure 3: Results of the same field of view identified by several methods.</w:t>
      </w:r>
      <w:r>
        <w:rPr>
          <w:rFonts w:ascii="Calibri" w:hAnsi="Calibri" w:cs="Calibri"/>
          <w:sz w:val="24"/>
          <w:szCs w:val="24"/>
          <w:lang w:eastAsia="en-US"/>
        </w:rPr>
        <w:t xml:space="preserve"> (</w:t>
      </w:r>
      <w:r>
        <w:rPr>
          <w:rFonts w:ascii="Calibri" w:hAnsi="Calibri" w:cs="Calibri"/>
          <w:b/>
          <w:bCs/>
          <w:sz w:val="24"/>
          <w:szCs w:val="24"/>
          <w:lang w:eastAsia="en-US"/>
        </w:rPr>
        <w:t>A</w:t>
      </w:r>
      <w:r>
        <w:rPr>
          <w:rFonts w:ascii="Calibri" w:hAnsi="Calibri" w:cs="Calibri"/>
          <w:sz w:val="24"/>
          <w:szCs w:val="24"/>
          <w:lang w:eastAsia="en-US"/>
        </w:rPr>
        <w:t>) Multi-Wavelength Cell Scoring mask results: the gray and red areas represent all cell nuclei identified in the DAPI channel, with the red area representing dead-cell nuclei identified in the Cy3 channel. (</w:t>
      </w:r>
      <w:r>
        <w:rPr>
          <w:rFonts w:ascii="Calibri" w:hAnsi="Calibri" w:cs="Calibri"/>
          <w:b/>
          <w:bCs/>
          <w:sz w:val="24"/>
          <w:szCs w:val="24"/>
          <w:lang w:eastAsia="en-US"/>
        </w:rPr>
        <w:t>B</w:t>
      </w:r>
      <w:r>
        <w:rPr>
          <w:rFonts w:ascii="Calibri" w:hAnsi="Calibri" w:cs="Calibri"/>
          <w:sz w:val="24"/>
          <w:szCs w:val="24"/>
          <w:lang w:eastAsia="en-US"/>
        </w:rPr>
        <w:t>) Live-Dead mask results: the green and red areas represent all cell nuclei identified in the DAPI channel, with the red area corresponding to dead-cell nuclei identified in the Cy3 channel. (</w:t>
      </w:r>
      <w:r>
        <w:rPr>
          <w:rFonts w:ascii="Calibri" w:hAnsi="Calibri" w:cs="Calibri"/>
          <w:b/>
          <w:bCs/>
          <w:sz w:val="24"/>
          <w:szCs w:val="24"/>
          <w:lang w:eastAsia="en-US"/>
        </w:rPr>
        <w:t>C</w:t>
      </w:r>
      <w:r>
        <w:rPr>
          <w:rFonts w:ascii="Calibri" w:hAnsi="Calibri" w:cs="Calibri"/>
          <w:sz w:val="24"/>
          <w:szCs w:val="24"/>
          <w:lang w:eastAsia="en-US"/>
        </w:rPr>
        <w:t>) CME mask result: the yellow and blue areas represent all cell nuclei identified in the DAPI channel, with the blue area corresponding to dead-cell nuclei identified in the Cy3 channel. (</w:t>
      </w:r>
      <w:r>
        <w:rPr>
          <w:rFonts w:ascii="Calibri" w:hAnsi="Calibri" w:cs="Calibri"/>
          <w:b/>
          <w:bCs/>
          <w:sz w:val="24"/>
          <w:szCs w:val="24"/>
          <w:lang w:eastAsia="en-US"/>
        </w:rPr>
        <w:t>D</w:t>
      </w:r>
      <w:r>
        <w:rPr>
          <w:rFonts w:ascii="Calibri" w:hAnsi="Calibri" w:cs="Calibri"/>
          <w:sz w:val="24"/>
          <w:szCs w:val="24"/>
          <w:lang w:eastAsia="en-US"/>
        </w:rPr>
        <w:t>) ImageJ mask result in DAPI. (</w:t>
      </w:r>
      <w:r>
        <w:rPr>
          <w:rFonts w:ascii="Calibri" w:hAnsi="Calibri" w:cs="Calibri"/>
          <w:b/>
          <w:bCs/>
          <w:sz w:val="24"/>
          <w:szCs w:val="24"/>
          <w:lang w:eastAsia="en-US"/>
        </w:rPr>
        <w:t>E</w:t>
      </w:r>
      <w:r>
        <w:rPr>
          <w:rFonts w:ascii="Calibri" w:hAnsi="Calibri" w:cs="Calibri"/>
          <w:sz w:val="24"/>
          <w:szCs w:val="24"/>
          <w:lang w:eastAsia="en-US"/>
        </w:rPr>
        <w:t>) ImageJ mask result in Cy3.</w:t>
      </w:r>
      <w:bookmarkStart w:id="4" w:name="_Hlk234921881"/>
      <w:r>
        <w:rPr>
          <w:rFonts w:ascii="Calibri" w:hAnsi="Calibri" w:cs="Calibri"/>
          <w:sz w:val="24"/>
          <w:szCs w:val="24"/>
          <w:lang w:eastAsia="en-US"/>
        </w:rPr>
        <w:t xml:space="preserve"> Scale bar = 100 μm.</w:t>
      </w:r>
      <w:bookmarkEnd w:id="4"/>
    </w:p>
    <w:p w14:paraId="06533A7A">
      <w:pPr>
        <w:rPr>
          <w:rFonts w:ascii="Calibri" w:hAnsi="Calibri" w:cs="Calibri"/>
          <w:sz w:val="24"/>
          <w:szCs w:val="24"/>
          <w:lang w:eastAsia="en-US"/>
        </w:rPr>
      </w:pPr>
    </w:p>
    <w:p w14:paraId="508AB076">
      <w:pPr>
        <w:rPr>
          <w:rFonts w:ascii="Calibri" w:hAnsi="Calibri" w:cs="Calibri"/>
          <w:sz w:val="24"/>
          <w:szCs w:val="24"/>
          <w:lang w:eastAsia="en-US"/>
        </w:rPr>
      </w:pPr>
      <w:r>
        <w:rPr>
          <w:rFonts w:ascii="Calibri" w:hAnsi="Calibri" w:cs="Calibri"/>
          <w:b/>
          <w:bCs/>
          <w:sz w:val="24"/>
          <w:szCs w:val="24"/>
          <w:lang w:eastAsia="en-US"/>
        </w:rPr>
        <w:t>Figure 4: Partial parameter setting pages.</w:t>
      </w:r>
      <w:r>
        <w:rPr>
          <w:rFonts w:ascii="Calibri" w:hAnsi="Calibri" w:cs="Calibri"/>
          <w:sz w:val="24"/>
          <w:szCs w:val="24"/>
          <w:lang w:eastAsia="en-US"/>
        </w:rPr>
        <w:t xml:space="preserve"> (</w:t>
      </w:r>
      <w:r>
        <w:rPr>
          <w:rFonts w:ascii="Calibri" w:hAnsi="Calibri" w:cs="Calibri"/>
          <w:b/>
          <w:bCs/>
          <w:sz w:val="24"/>
          <w:szCs w:val="24"/>
          <w:lang w:eastAsia="en-US"/>
        </w:rPr>
        <w:t>A</w:t>
      </w:r>
      <w:r>
        <w:rPr>
          <w:rFonts w:ascii="Calibri" w:hAnsi="Calibri" w:cs="Calibri"/>
          <w:sz w:val="24"/>
          <w:szCs w:val="24"/>
          <w:lang w:eastAsia="en-US"/>
        </w:rPr>
        <w:t>) The location indicated by a shows that the first channel of Multi-Wavelength Cell Scoring can only select the nucleus; (</w:t>
      </w:r>
      <w:r>
        <w:rPr>
          <w:rFonts w:ascii="Calibri" w:hAnsi="Calibri" w:cs="Calibri"/>
          <w:b/>
          <w:bCs/>
          <w:sz w:val="24"/>
          <w:szCs w:val="24"/>
          <w:lang w:eastAsia="en-US"/>
        </w:rPr>
        <w:t>B</w:t>
      </w:r>
      <w:r>
        <w:rPr>
          <w:rFonts w:ascii="Calibri" w:hAnsi="Calibri" w:cs="Calibri"/>
          <w:sz w:val="24"/>
          <w:szCs w:val="24"/>
          <w:lang w:eastAsia="en-US"/>
        </w:rPr>
        <w:t>) b and c indicate that Live-Dead can only process two channels, supporting PI/Hoechst 33342 double staining for dead and live cells.</w:t>
      </w:r>
    </w:p>
    <w:p w14:paraId="0FDABC2C">
      <w:pPr>
        <w:rPr>
          <w:rFonts w:ascii="Calibri" w:hAnsi="Calibri" w:cs="Calibri"/>
          <w:sz w:val="24"/>
          <w:szCs w:val="24"/>
        </w:rPr>
      </w:pPr>
    </w:p>
    <w:p w14:paraId="49B73B0A">
      <w:pPr>
        <w:rPr>
          <w:rFonts w:ascii="Calibri" w:hAnsi="Calibri" w:cs="Calibri"/>
          <w:sz w:val="24"/>
          <w:szCs w:val="24"/>
          <w:lang w:eastAsia="en-US"/>
        </w:rPr>
      </w:pPr>
      <w:r>
        <w:rPr>
          <w:rFonts w:ascii="Calibri" w:hAnsi="Calibri" w:cs="Calibri"/>
          <w:b/>
          <w:bCs/>
          <w:sz w:val="24"/>
          <w:szCs w:val="24"/>
          <w:lang w:eastAsia="en-US"/>
        </w:rPr>
        <w:t xml:space="preserve">Figure </w:t>
      </w:r>
      <w:r>
        <w:rPr>
          <w:rFonts w:ascii="Calibri" w:hAnsi="Calibri" w:cs="Calibri"/>
          <w:b/>
          <w:bCs/>
          <w:sz w:val="24"/>
          <w:szCs w:val="24"/>
          <w:lang w:eastAsia="en-US"/>
        </w:rPr>
        <w:fldChar w:fldCharType="begin"/>
      </w:r>
      <w:r>
        <w:rPr>
          <w:rFonts w:ascii="Calibri" w:hAnsi="Calibri" w:cs="Calibri"/>
          <w:b/>
          <w:bCs/>
          <w:sz w:val="24"/>
          <w:szCs w:val="24"/>
          <w:lang w:eastAsia="en-US"/>
        </w:rPr>
        <w:instrText xml:space="preserve"> SEQ Figure \* ARABIC </w:instrText>
      </w:r>
      <w:r>
        <w:rPr>
          <w:rFonts w:ascii="Calibri" w:hAnsi="Calibri" w:cs="Calibri"/>
          <w:b/>
          <w:bCs/>
          <w:sz w:val="24"/>
          <w:szCs w:val="24"/>
          <w:lang w:eastAsia="en-US"/>
        </w:rPr>
        <w:fldChar w:fldCharType="separate"/>
      </w:r>
      <w:r>
        <w:rPr>
          <w:rFonts w:ascii="Calibri" w:hAnsi="Calibri" w:cs="Calibri"/>
          <w:b/>
          <w:bCs/>
          <w:sz w:val="24"/>
          <w:szCs w:val="24"/>
          <w:lang w:eastAsia="en-US"/>
        </w:rPr>
        <w:t>5</w:t>
      </w:r>
      <w:r>
        <w:rPr>
          <w:rFonts w:ascii="Calibri" w:hAnsi="Calibri" w:cs="Calibri"/>
          <w:b/>
          <w:bCs/>
          <w:sz w:val="24"/>
          <w:szCs w:val="24"/>
          <w:lang w:eastAsia="en-US"/>
        </w:rPr>
        <w:fldChar w:fldCharType="end"/>
      </w:r>
      <w:r>
        <w:rPr>
          <w:rFonts w:ascii="Calibri" w:hAnsi="Calibri" w:cs="Calibri"/>
          <w:b/>
          <w:bCs/>
          <w:sz w:val="24"/>
          <w:szCs w:val="24"/>
          <w:lang w:eastAsia="en-US"/>
        </w:rPr>
        <w:t>: Differences in fluorescence image processing results.</w:t>
      </w:r>
      <w:r>
        <w:rPr>
          <w:rFonts w:ascii="Calibri" w:hAnsi="Calibri" w:cs="Calibri"/>
          <w:sz w:val="24"/>
          <w:szCs w:val="24"/>
          <w:lang w:eastAsia="en-US"/>
        </w:rPr>
        <w:t xml:space="preserve"> (</w:t>
      </w:r>
      <w:r>
        <w:rPr>
          <w:rFonts w:ascii="Calibri" w:hAnsi="Calibri" w:cs="Calibri"/>
          <w:b/>
          <w:bCs/>
          <w:sz w:val="24"/>
          <w:szCs w:val="24"/>
          <w:lang w:eastAsia="en-US"/>
        </w:rPr>
        <w:t>A</w:t>
      </w:r>
      <w:r>
        <w:rPr>
          <w:rFonts w:ascii="Calibri" w:hAnsi="Calibri" w:cs="Calibri"/>
          <w:sz w:val="24"/>
          <w:szCs w:val="24"/>
          <w:lang w:eastAsia="en-US"/>
        </w:rPr>
        <w:t>) Differences in all cell counts among the five processing methods. (</w:t>
      </w:r>
      <w:r>
        <w:rPr>
          <w:rFonts w:ascii="Calibri" w:hAnsi="Calibri" w:cs="Calibri"/>
          <w:b/>
          <w:bCs/>
          <w:sz w:val="24"/>
          <w:szCs w:val="24"/>
          <w:lang w:eastAsia="en-US"/>
        </w:rPr>
        <w:t>B</w:t>
      </w:r>
      <w:r>
        <w:rPr>
          <w:rFonts w:ascii="Calibri" w:hAnsi="Calibri" w:cs="Calibri"/>
          <w:sz w:val="24"/>
          <w:szCs w:val="24"/>
          <w:lang w:eastAsia="en-US"/>
        </w:rPr>
        <w:t>) Differences in dead cell counts among the five processing methods. (</w:t>
      </w:r>
      <w:r>
        <w:rPr>
          <w:rFonts w:ascii="Calibri" w:hAnsi="Calibri" w:cs="Calibri"/>
          <w:b/>
          <w:bCs/>
          <w:sz w:val="24"/>
          <w:szCs w:val="24"/>
          <w:lang w:eastAsia="en-US"/>
        </w:rPr>
        <w:t>C</w:t>
      </w:r>
      <w:r>
        <w:rPr>
          <w:rFonts w:ascii="Calibri" w:hAnsi="Calibri" w:cs="Calibri"/>
          <w:sz w:val="24"/>
          <w:szCs w:val="24"/>
          <w:lang w:eastAsia="en-US"/>
        </w:rPr>
        <w:t>) Differences in the ratio of dead cells to all cells among the five processing methods. (</w:t>
      </w:r>
      <w:r>
        <w:rPr>
          <w:rFonts w:ascii="Calibri" w:hAnsi="Calibri" w:cs="Calibri"/>
          <w:b/>
          <w:bCs/>
          <w:sz w:val="24"/>
          <w:szCs w:val="24"/>
          <w:lang w:eastAsia="en-US"/>
        </w:rPr>
        <w:t>D</w:t>
      </w:r>
      <w:r>
        <w:rPr>
          <w:rFonts w:ascii="Calibri" w:hAnsi="Calibri" w:cs="Calibri"/>
          <w:sz w:val="24"/>
          <w:szCs w:val="24"/>
          <w:lang w:eastAsia="en-US"/>
        </w:rPr>
        <w:t>) Differences in the ratio of dead cells to all cells among the four processing methods. (</w:t>
      </w:r>
      <w:r>
        <w:rPr>
          <w:rFonts w:ascii="Calibri" w:hAnsi="Calibri" w:cs="Calibri"/>
          <w:b/>
          <w:bCs/>
          <w:sz w:val="24"/>
          <w:szCs w:val="24"/>
          <w:lang w:eastAsia="en-US"/>
        </w:rPr>
        <w:t>E</w:t>
      </w:r>
      <w:r>
        <w:rPr>
          <w:rFonts w:ascii="Calibri" w:hAnsi="Calibri" w:cs="Calibri"/>
          <w:sz w:val="24"/>
          <w:szCs w:val="24"/>
          <w:lang w:eastAsia="en-US"/>
        </w:rPr>
        <w:t>) Differences in the ratio of dead cell area to all cell area among the four processing methods. (</w:t>
      </w:r>
      <w:r>
        <w:rPr>
          <w:rFonts w:ascii="Calibri" w:hAnsi="Calibri" w:cs="Calibri"/>
          <w:b/>
          <w:bCs/>
          <w:sz w:val="24"/>
          <w:szCs w:val="24"/>
          <w:lang w:eastAsia="en-US"/>
        </w:rPr>
        <w:t>F</w:t>
      </w:r>
      <w:r>
        <w:rPr>
          <w:rFonts w:ascii="Calibri" w:hAnsi="Calibri" w:cs="Calibri"/>
          <w:sz w:val="24"/>
          <w:szCs w:val="24"/>
          <w:lang w:eastAsia="en-US"/>
        </w:rPr>
        <w:t>) Differences in the ratio of the average fluorescence intensity of dead cells to that of all cells across the four processing methods</w:t>
      </w:r>
      <w:r>
        <w:rPr>
          <w:rFonts w:ascii="Calibri" w:hAnsi="Calibri" w:cs="Calibri"/>
          <w:sz w:val="24"/>
          <w:szCs w:val="24"/>
        </w:rPr>
        <w:t xml:space="preserve">. </w:t>
      </w:r>
      <w:r>
        <w:rPr>
          <w:rFonts w:ascii="Calibri" w:hAnsi="Calibri" w:cs="Calibri"/>
          <w:sz w:val="24"/>
          <w:szCs w:val="24"/>
          <w:lang w:eastAsia="en-US"/>
        </w:rPr>
        <w:t>All error bars in the charts represent standard deviations.</w:t>
      </w:r>
    </w:p>
    <w:p w14:paraId="20E98AB8">
      <w:pPr>
        <w:rPr>
          <w:rFonts w:ascii="Calibri" w:hAnsi="Calibri" w:cs="Calibri"/>
          <w:sz w:val="24"/>
          <w:szCs w:val="24"/>
          <w:lang w:eastAsia="en-US"/>
        </w:rPr>
      </w:pPr>
    </w:p>
    <w:p w14:paraId="1560BBBD">
      <w:pPr>
        <w:rPr>
          <w:rFonts w:ascii="Calibri" w:hAnsi="Calibri" w:cs="Calibri"/>
          <w:sz w:val="24"/>
          <w:szCs w:val="24"/>
          <w:lang w:eastAsia="en-US"/>
        </w:rPr>
      </w:pPr>
      <w:r>
        <w:rPr>
          <w:rFonts w:ascii="Calibri" w:hAnsi="Calibri" w:cs="Calibri"/>
          <w:b/>
          <w:bCs/>
          <w:sz w:val="24"/>
          <w:szCs w:val="24"/>
          <w:lang w:eastAsia="en-US"/>
        </w:rPr>
        <w:t xml:space="preserve">Figure </w:t>
      </w:r>
      <w:r>
        <w:rPr>
          <w:rFonts w:ascii="Calibri" w:hAnsi="Calibri" w:cs="Calibri"/>
          <w:b/>
          <w:bCs/>
          <w:sz w:val="24"/>
          <w:szCs w:val="24"/>
          <w:lang w:eastAsia="en-US"/>
        </w:rPr>
        <w:fldChar w:fldCharType="begin"/>
      </w:r>
      <w:r>
        <w:rPr>
          <w:rFonts w:ascii="Calibri" w:hAnsi="Calibri" w:cs="Calibri"/>
          <w:b/>
          <w:bCs/>
          <w:sz w:val="24"/>
          <w:szCs w:val="24"/>
          <w:lang w:eastAsia="en-US"/>
        </w:rPr>
        <w:instrText xml:space="preserve"> SEQ Figure \* ARABIC </w:instrText>
      </w:r>
      <w:r>
        <w:rPr>
          <w:rFonts w:ascii="Calibri" w:hAnsi="Calibri" w:cs="Calibri"/>
          <w:b/>
          <w:bCs/>
          <w:sz w:val="24"/>
          <w:szCs w:val="24"/>
          <w:lang w:eastAsia="en-US"/>
        </w:rPr>
        <w:fldChar w:fldCharType="separate"/>
      </w:r>
      <w:r>
        <w:rPr>
          <w:rFonts w:ascii="Calibri" w:hAnsi="Calibri" w:cs="Calibri"/>
          <w:b/>
          <w:bCs/>
          <w:sz w:val="24"/>
          <w:szCs w:val="24"/>
          <w:lang w:eastAsia="en-US"/>
        </w:rPr>
        <w:t>6</w:t>
      </w:r>
      <w:r>
        <w:rPr>
          <w:rFonts w:ascii="Calibri" w:hAnsi="Calibri" w:cs="Calibri"/>
          <w:b/>
          <w:bCs/>
          <w:sz w:val="24"/>
          <w:szCs w:val="24"/>
          <w:lang w:eastAsia="en-US"/>
        </w:rPr>
        <w:fldChar w:fldCharType="end"/>
      </w:r>
      <w:r>
        <w:rPr>
          <w:rFonts w:ascii="Calibri" w:hAnsi="Calibri" w:cs="Calibri"/>
          <w:b/>
          <w:bCs/>
          <w:sz w:val="24"/>
          <w:szCs w:val="24"/>
          <w:lang w:eastAsia="en-US"/>
        </w:rPr>
        <w:t xml:space="preserve">: Standardized operation process. </w:t>
      </w:r>
      <w:r>
        <w:rPr>
          <w:rFonts w:ascii="Calibri" w:hAnsi="Calibri" w:cs="Calibri"/>
          <w:sz w:val="24"/>
          <w:szCs w:val="24"/>
          <w:lang w:eastAsia="en-US"/>
        </w:rPr>
        <w:t>Workflow summarizing the standardized procedure for sample preparation, fluorescence staining, high-content imaging, image processing, image export, and data analysis.</w:t>
      </w:r>
    </w:p>
    <w:p w14:paraId="3B0E7312">
      <w:pPr>
        <w:rPr>
          <w:rFonts w:ascii="Calibri" w:hAnsi="Calibri" w:cs="Calibri"/>
          <w:sz w:val="24"/>
          <w:szCs w:val="24"/>
          <w:lang w:eastAsia="en-US"/>
        </w:rPr>
      </w:pPr>
    </w:p>
    <w:p w14:paraId="4E414838">
      <w:pPr>
        <w:rPr>
          <w:rFonts w:ascii="Calibri" w:hAnsi="Calibri" w:cs="Calibri"/>
          <w:b/>
          <w:bCs/>
          <w:sz w:val="24"/>
          <w:szCs w:val="24"/>
          <w:lang w:eastAsia="en-US"/>
        </w:rPr>
      </w:pPr>
      <w:r>
        <w:rPr>
          <w:rFonts w:ascii="Calibri" w:hAnsi="Calibri" w:cs="Calibri"/>
          <w:b/>
          <w:bCs/>
          <w:sz w:val="24"/>
          <w:szCs w:val="24"/>
          <w:lang w:eastAsia="en-US"/>
        </w:rPr>
        <w:t>Supplementary File 1. Raw data for the cell count, area, and fluorescence intensity analysis presented in Figure 5.</w:t>
      </w:r>
    </w:p>
    <w:p w14:paraId="3B0EF19D">
      <w:pPr>
        <w:rPr>
          <w:rFonts w:ascii="Calibri" w:hAnsi="Calibri" w:cs="Calibri"/>
          <w:sz w:val="24"/>
          <w:szCs w:val="24"/>
          <w:lang w:eastAsia="en-US"/>
        </w:rPr>
      </w:pPr>
    </w:p>
    <w:p w14:paraId="4757F777">
      <w:pPr>
        <w:rPr>
          <w:rFonts w:ascii="Calibri" w:hAnsi="Calibri" w:cs="Calibri"/>
          <w:b/>
          <w:bCs/>
          <w:sz w:val="24"/>
          <w:szCs w:val="24"/>
          <w:lang w:eastAsia="en-US"/>
        </w:rPr>
      </w:pPr>
      <w:r>
        <w:rPr>
          <w:rFonts w:ascii="Calibri" w:hAnsi="Calibri" w:cs="Calibri"/>
          <w:b/>
          <w:bCs/>
          <w:sz w:val="24"/>
          <w:szCs w:val="24"/>
          <w:lang w:eastAsia="en-US"/>
        </w:rPr>
        <w:t xml:space="preserve">DISCUSSION: </w:t>
      </w:r>
    </w:p>
    <w:p w14:paraId="26504481">
      <w:pPr>
        <w:rPr>
          <w:rFonts w:ascii="Calibri" w:hAnsi="Calibri" w:cs="Calibri"/>
          <w:sz w:val="24"/>
          <w:szCs w:val="24"/>
          <w:lang w:eastAsia="en-US"/>
        </w:rPr>
      </w:pPr>
      <w:r>
        <w:rPr>
          <w:rFonts w:ascii="Calibri" w:hAnsi="Calibri" w:cs="Calibri"/>
          <w:sz w:val="24"/>
          <w:szCs w:val="24"/>
          <w:lang w:eastAsia="en-US"/>
        </w:rPr>
        <w:t>Using the PI and Hoechst double staining method to determine cell viability, for example, the high-content instrument can quickly and in a high-throughput manner calculate cell viability within the same batch using built-in algorithm modules. This method has several advantages, including low sample volume, low cost, minimal cell damage, weak fluorescence bleaching, resistance to quenching, and the ability to capture multiple images. Additionally, the imaging time for a 96-well plate is generally only 30–45 min</w:t>
      </w:r>
      <w:r>
        <w:rPr>
          <w:rFonts w:ascii="Calibri" w:hAnsi="Calibri" w:cs="Calibri"/>
          <w:sz w:val="24"/>
          <w:szCs w:val="24"/>
          <w:lang w:eastAsia="en-US"/>
        </w:rPr>
        <w:fldChar w:fldCharType="begin"/>
      </w:r>
      <w:r>
        <w:rPr>
          <w:rFonts w:ascii="Calibri" w:hAnsi="Calibri" w:cs="Calibri"/>
          <w:sz w:val="24"/>
          <w:szCs w:val="24"/>
          <w:lang w:eastAsia="en-US"/>
        </w:rPr>
        <w:instrText xml:space="preserve"> ADDIN ZOTERO_ITEM CSL_CITATION {"citationID":"NuPBf5zn","properties":{"unsorted":false,"formattedCitation":"\\super 20\\nosupersub{}","plainCitation":"20","noteIndex":0},"citationItems":[{"id":2368,"uris":["http://zotero.org/users/16918528/items/I4TKHUUA"],"itemData":{"id":2368,"type":"article-journal","container-title":"RSC Advances","DOI":"10.1039/D4RA01317D","issue":"22","journalAbbreviation":"RSC Adv.","language":"en","note":"remark: 使用微孔板可以节省大量的成本和时间","page":"15319-15327","publisher":"Royal Society of Chemistry","source":"pubs.rsc.org","title":"Cellulose acetate microwell plates for high-throughput colorimetric assays","volume":"14","author":[{"family":"B. Gomez-Dopazo","given":"Gabriela"},{"family":"Nieves","given":"Renis J. Agosto"},{"family":"Rivera","given":"Rolando L. Albarracín"},{"family":"Morera","given":"Shaneily M. Colon"},{"family":"Rivera Nazario","given":"Daniel"},{"family":"Ramos","given":"Idalia"},{"family":"J. Dmochowski","given":"Ivan"},{"family":"Lee","given":"Daeyeon"},{"family":"Bansal","given":"Vibha"}],"issued":{"date-parts":[["2024"]]}}}],"schema":"https://github.com/citation-style-language/schema/raw/master/csl-citation.json"} </w:instrText>
      </w:r>
      <w:r>
        <w:rPr>
          <w:rFonts w:ascii="Calibri" w:hAnsi="Calibri" w:cs="Calibri"/>
          <w:sz w:val="24"/>
          <w:szCs w:val="24"/>
          <w:lang w:eastAsia="en-US"/>
        </w:rPr>
        <w:fldChar w:fldCharType="separate"/>
      </w:r>
      <w:r>
        <w:rPr>
          <w:rFonts w:ascii="Calibri" w:hAnsi="Calibri" w:cs="Calibri"/>
          <w:kern w:val="0"/>
          <w:sz w:val="24"/>
          <w:szCs w:val="24"/>
          <w:vertAlign w:val="superscript"/>
        </w:rPr>
        <w:t>20</w:t>
      </w:r>
      <w:r>
        <w:rPr>
          <w:rFonts w:ascii="Calibri" w:hAnsi="Calibri" w:cs="Calibri"/>
          <w:sz w:val="24"/>
          <w:szCs w:val="24"/>
          <w:lang w:eastAsia="en-US"/>
        </w:rPr>
        <w:fldChar w:fldCharType="end"/>
      </w:r>
      <w:r>
        <w:rPr>
          <w:rFonts w:ascii="Calibri" w:hAnsi="Calibri" w:cs="Calibri"/>
          <w:sz w:val="24"/>
          <w:szCs w:val="24"/>
          <w:lang w:eastAsia="en-US"/>
        </w:rPr>
        <w:t>.</w:t>
      </w:r>
    </w:p>
    <w:p w14:paraId="52FF299A">
      <w:pPr>
        <w:rPr>
          <w:rFonts w:ascii="Calibri" w:hAnsi="Calibri" w:cs="Calibri"/>
          <w:sz w:val="24"/>
          <w:szCs w:val="24"/>
          <w:lang w:eastAsia="en-US"/>
        </w:rPr>
      </w:pPr>
    </w:p>
    <w:p w14:paraId="0ABC8FD9">
      <w:pPr>
        <w:rPr>
          <w:rFonts w:ascii="Calibri" w:hAnsi="Calibri" w:cs="Calibri"/>
          <w:sz w:val="24"/>
          <w:szCs w:val="24"/>
          <w:lang w:eastAsia="en-US"/>
        </w:rPr>
      </w:pPr>
      <w:r>
        <w:rPr>
          <w:rFonts w:ascii="Calibri" w:hAnsi="Calibri" w:cs="Calibri"/>
          <w:sz w:val="24"/>
          <w:szCs w:val="24"/>
          <w:lang w:eastAsia="en-US"/>
        </w:rPr>
        <w:t>In the experimental protocol, to ensure imaging quality, focus on the following steps: First, ensure appropriate plate density to avoid excessive cell density, which can fill the image with cells, or insufficient density, which can wash cells away during staining and washing. Second, thoroughly wash the dye to prevent residual dye from affecting imaging. For cells with low adhesion, handle the addition and removal of liquid gently and slowly before and after staining, avoiding vertical addition. Use a side-wall addition to prevent the center of the field of view from losing cells, paying special attention to the detachment of dead cells during viability assays. Consider centrifuging the sample plate to reduce experimental errors if necessary. Third, choose an appropriate exposure time. Too long an exposure will increase the total imaging time and may miss the detection window, potentially leading to overexposure of some cells or background being recognized. Too short an exposure may result in incomplete image information, losing some characteristic details.</w:t>
      </w:r>
    </w:p>
    <w:p w14:paraId="7EE7362B">
      <w:pPr>
        <w:rPr>
          <w:rFonts w:ascii="Calibri" w:hAnsi="Calibri" w:cs="Calibri"/>
          <w:sz w:val="24"/>
          <w:szCs w:val="24"/>
          <w:lang w:eastAsia="en-US"/>
        </w:rPr>
      </w:pPr>
    </w:p>
    <w:p w14:paraId="3CA6ECDF">
      <w:pPr>
        <w:rPr>
          <w:rFonts w:ascii="Calibri" w:hAnsi="Calibri" w:cs="Calibri"/>
          <w:sz w:val="24"/>
          <w:szCs w:val="24"/>
          <w:lang w:eastAsia="en-US"/>
        </w:rPr>
      </w:pPr>
      <w:r>
        <w:rPr>
          <w:rFonts w:ascii="Calibri" w:hAnsi="Calibri" w:cs="Calibri"/>
          <w:sz w:val="24"/>
          <w:szCs w:val="24"/>
          <w:lang w:eastAsia="en-US"/>
        </w:rPr>
        <w:t>If a clear image cannot be found during imaging, trace the issue back to cell condition, dye residue, parameter settings, and other factors. During the experiment, if there are no cells at the bottom of the well, no image will be found in the field of view. If two or more uneven cell layers form at the bottom of the well, focusing becomes difficult, resulting in a blurry image. Excessive dye residue can lead to a strong background, making the target image less prominent. Large areas of dye residue can obscure cells in the field of view, while small particles of residue, similar in size to cells, can interfere with subsequent image recognition and segmentation. If the plate height and well height are not set according to the manufacturer's specifications for the 96-well plate, no image will be found in the field of view, or the sample position may shift, potentially damaging the objective lens.</w:t>
      </w:r>
    </w:p>
    <w:p w14:paraId="215AC333">
      <w:pPr>
        <w:rPr>
          <w:rFonts w:ascii="Calibri" w:hAnsi="Calibri" w:cs="Calibri"/>
          <w:sz w:val="24"/>
          <w:szCs w:val="24"/>
          <w:lang w:eastAsia="en-US"/>
        </w:rPr>
      </w:pPr>
    </w:p>
    <w:p w14:paraId="393719D1">
      <w:pPr>
        <w:rPr>
          <w:rFonts w:ascii="Calibri" w:hAnsi="Calibri" w:cs="Calibri"/>
          <w:sz w:val="24"/>
          <w:szCs w:val="24"/>
          <w:lang w:eastAsia="en-US"/>
        </w:rPr>
      </w:pPr>
      <w:r>
        <w:rPr>
          <w:rFonts w:ascii="Calibri" w:hAnsi="Calibri" w:cs="Calibri"/>
          <w:sz w:val="24"/>
          <w:szCs w:val="24"/>
          <w:lang w:eastAsia="en-US"/>
        </w:rPr>
        <w:t>Considering the flexibility and simplicity of operation, as well as the good data processing results, the optimal image processing module for the PI and Hoechst double staining method is Live-Dead. This program is specifically optimized for PI and Hoechst dyes and, compared to other methods and software, is simple to operate, calculates quickly, and allows easy batch-loading of images into the database with consistent parameter settings. The results are more comparable than those obtained with the currently common software, ImageJ. Different experimental modes can use corresponding proprietary methods or the Multi-Wavelength Cell Scoring general calculation mode; proprietary methods are more convenient, while the general calculation mode has fewer restrictions on staining methods. Different staining protocols require different optimal image processing modules. Develop computational methods tailored to experimental objectives. The ExportPro method for image export is simple and easy to learn, allowing for previewing reference objects. It is beginner-friendly, with a graphical interface that clearly explains parameter meanings and simplifies measurements, breaking down barriers to multi-software analysis and saving time on tool learning.</w:t>
      </w:r>
    </w:p>
    <w:p w14:paraId="4B0219C7">
      <w:pPr>
        <w:rPr>
          <w:rFonts w:ascii="Calibri" w:hAnsi="Calibri" w:cs="Calibri"/>
          <w:sz w:val="24"/>
          <w:szCs w:val="24"/>
          <w:lang w:eastAsia="en-US"/>
        </w:rPr>
      </w:pPr>
    </w:p>
    <w:p w14:paraId="0FA90465">
      <w:pPr>
        <w:rPr>
          <w:rFonts w:ascii="Calibri" w:hAnsi="Calibri" w:cs="Calibri"/>
          <w:sz w:val="24"/>
          <w:szCs w:val="24"/>
          <w:lang w:eastAsia="en-US"/>
        </w:rPr>
      </w:pPr>
      <w:r>
        <w:rPr>
          <w:rFonts w:ascii="Calibri" w:hAnsi="Calibri" w:cs="Calibri"/>
          <w:sz w:val="24"/>
          <w:szCs w:val="24"/>
          <w:lang w:eastAsia="en-US"/>
        </w:rPr>
        <w:t>This study only validated a basic staining protocol. As a reference, other experimental protocols that differ significantly from this one still need to be validated against the new standard.</w:t>
      </w:r>
    </w:p>
    <w:p w14:paraId="3F95EC0B">
      <w:pPr>
        <w:rPr>
          <w:rFonts w:ascii="Calibri" w:hAnsi="Calibri" w:cs="Calibri"/>
          <w:sz w:val="24"/>
          <w:szCs w:val="24"/>
          <w:lang w:eastAsia="en-US"/>
        </w:rPr>
      </w:pPr>
    </w:p>
    <w:p w14:paraId="441A050E">
      <w:pPr>
        <w:rPr>
          <w:rFonts w:ascii="Calibri" w:hAnsi="Calibri" w:cs="Calibri"/>
          <w:sz w:val="24"/>
          <w:szCs w:val="24"/>
          <w:lang w:eastAsia="en-US"/>
        </w:rPr>
      </w:pPr>
      <w:r>
        <w:rPr>
          <w:rFonts w:ascii="Calibri" w:hAnsi="Calibri" w:cs="Calibri"/>
          <w:sz w:val="24"/>
          <w:szCs w:val="24"/>
          <w:lang w:eastAsia="en-US"/>
        </w:rPr>
        <w:t>High-Content Imaging System serves as a core technology platform that integrates high-resolution imaging, multi-parameter synchronous detection, automated quantitative analysis, and high-throughput screening</w:t>
      </w:r>
      <w:r>
        <w:rPr>
          <w:rFonts w:ascii="Calibri" w:hAnsi="Calibri" w:cs="Calibri"/>
          <w:sz w:val="24"/>
          <w:szCs w:val="24"/>
          <w:lang w:eastAsia="en-US"/>
        </w:rPr>
        <w:fldChar w:fldCharType="begin"/>
      </w:r>
      <w:r>
        <w:rPr>
          <w:rFonts w:ascii="Calibri" w:hAnsi="Calibri" w:cs="Calibri"/>
          <w:sz w:val="24"/>
          <w:szCs w:val="24"/>
          <w:lang w:eastAsia="en-US"/>
        </w:rPr>
        <w:instrText xml:space="preserve"> ADDIN ZOTERO_ITEM CSL_CITATION {"citationID":"DPM4XwBh","properties":{"unsorted":false,"formattedCitation":"\\super 21\\uc0\\u8211{}23\\nosupersub{}","plainCitation":"21–23","noteIndex":0},"citationItems":[{"id":2758,"uris":["http://zotero.org/users/16918528/items/VBJ4K5FI"],"itemData":{"id":2758,"type":"article-journal","container-title":"Cell Reports Methods","DOI":"10.1016/j.crmeth.2021.100004","ISSN":"2667-2375","issue":"1","journalAbbreviation":"Cell Rep. Methods","language":"en","publisher":"Elsevier","source":"www.cell.com","title":"A high-content platform for physiological profiling and unbiased classification of individual neurons","URL":"https://www.cell.com/cell-reports-methods/abstract/S2667-2375(21)00004-7","volume":"1","author":[{"family":"DuBreuil","given":"Daniel M."},{"family":"Chiang","given":"Brenda M."},{"family":"Zhu","given":"Kevin"},{"family":"Lai","given":"Xiaofan"},{"family":"Flynn","given":"Patrick"},{"family":"Sapir","given":"Yechiam"},{"family":"Wainger","given":"Brian J."}],"accessed":{"date-parts":[["2026",7,15]]},"issued":{"date-parts":[["2021",5,24]]}}},{"id":2760,"uris":["http://zotero.org/users/16918528/items/W58BWNWN"],"itemData":{"id":2760,"type":"article-journal","abstract":"High-throughput fluorescence imaging (HTFI) is revolutionizing drug discovery by enabling rapid and precise detection of biological targets and cellular processes. Recent advances in fluorescence imaging technologies now provide unprecedented sensitivity, resolution, and throughput. Integration of artificial intelligence (AI) and machine learning (ML) into HTFI workflows significantly enhances data processing, aiding in hit identification, pattern recognition, and mechanistic understanding. This review outlines recent technological developments, integration strategies, and emerging applications of HTFI. It emphasizes HTFI’s role in phenotypic screening, especially for complex diseases such as cancer, neurodegenerative disorders, and viral infections. Additionally, it highlights advances in 3D culture systems, organoids, and organ-on-a-chip technologies, which facilitate physiologically relevant testing, improved predictive accuracy, and translational potential, alongside innovative molecular probes and biosensors. Despite its advancements, HTFI faces ongoing challenges, including data standardization, integration with multi-omics approaches, and scalability of advanced models. However, recent progress in organoid and 3D modeling technologies has enhanced the physiological relevance of HTFI assays, complemented by sophisticated AI and ML-driven data analysis techniques.","container-title":"Expert Opinion on Drug Discovery","DOI":"10.1080/17460441.2025.2499123","ISSN":"1746-0441","issue":"6","journalAbbreviation":"Expert Opin. Drug Discovery","language":"en","note":"_eprint: https://doi.org/10.1080/17460441.2025.2499123","page":"785-797","PMID":"40305163","publisher":"Taylor &amp; Francis","source":"Taylor and Francis+NEJM","title":"A comprehensive update on the application of high-throughput fluorescence imaging for novel drug discovery","volume":"20","author":[{"family":"Ronzetti","given":"Michael"},{"family":"Simeonov","given":"Anton"}],"issued":{"date-parts":[["2025",6,3]]}}},{"id":2761,"uris":["http://zotero.org/users/16918528/items/MKCMBAJU"],"itemData":{"id":2761,"type":"article-journal","abstract":"Superoxide (O2·−) is the primary reactive oxygen species in mammal cells. Detecting superoxide is crucial for understanding redox signaling but remains challenging. Herein, we introduce a class of activity-based sensing probes. The probes utilize 1,2,4,5-tetrazine as a superoxide-responsive trigger, which can be modularly tethered to various fluorophores to tune probe sensitivity and emission color. These probes afford ultra-specific and ultra-fluorogenic responses towards superoxide, and enable multiplexed imaging of various cellular superoxide levels in an organelle-resolved way. Notably, the probes reveal the aberrant superoxide generation in the pathology of myocardial ischemia/reperfusion injury, and facilitate the establishment of a high-content screening pipeline for mediators of superoxide homeostasis. One such identified mediator, coprostanone, is shown to effectively ameliorating oxidative stress-induced injury in mice with myocardial ischemia/reperfusion injury. Collectively, these results showcase the potential of 1,2,4,5-tetrazine-tethered probes as versatile tools to monitor superoxide in a range of pathophysiological settings.","container-title":"Nature Communications","DOI":"10.1038/s41467-023-37121-8","ISSN":"2041-1723","issue":"1","journalAbbreviation":"Nat. Commun.","language":"en","license":"2023 The Author(s)","page":"1401","publisher":"Nature Publishing Group","source":"www.nature.com","title":"1,2,4,5-tetrazine-tethered probes for fluorogenically imaging superoxide in live cells with ultrahigh specificity","volume":"14","author":[{"family":"Jiang","given":"Xuefeng"},{"family":"Li","given":"Min"},{"family":"Wang","given":"Yule"},{"family":"Wang","given":"Chao"},{"family":"Wang","given":"Yingchao"},{"family":"Shen","given":"Tianruo"},{"family":"Shen","given":"Lili"},{"family":"Liu","given":"Xiaogang"},{"family":"Wang","given":"Yi"},{"family":"Li","given":"Xin"}],"issued":{"date-parts":[["2023",3,14]]}}}],"schema":"https://github.com/citation-style-language/schema/raw/master/csl-citation.json"} </w:instrText>
      </w:r>
      <w:r>
        <w:rPr>
          <w:rFonts w:ascii="Calibri" w:hAnsi="Calibri" w:cs="Calibri"/>
          <w:sz w:val="24"/>
          <w:szCs w:val="24"/>
          <w:lang w:eastAsia="en-US"/>
        </w:rPr>
        <w:fldChar w:fldCharType="separate"/>
      </w:r>
      <w:r>
        <w:rPr>
          <w:rFonts w:ascii="Calibri" w:hAnsi="Calibri" w:cs="Calibri"/>
          <w:kern w:val="0"/>
          <w:sz w:val="24"/>
          <w:szCs w:val="24"/>
          <w:vertAlign w:val="superscript"/>
        </w:rPr>
        <w:t>21–23</w:t>
      </w:r>
      <w:r>
        <w:rPr>
          <w:rFonts w:ascii="Calibri" w:hAnsi="Calibri" w:cs="Calibri"/>
          <w:sz w:val="24"/>
          <w:szCs w:val="24"/>
          <w:lang w:eastAsia="en-US"/>
        </w:rPr>
        <w:fldChar w:fldCharType="end"/>
      </w:r>
      <w:r>
        <w:rPr>
          <w:rFonts w:ascii="Calibri" w:hAnsi="Calibri" w:cs="Calibri"/>
          <w:sz w:val="24"/>
          <w:szCs w:val="24"/>
          <w:lang w:eastAsia="en-US"/>
        </w:rPr>
        <w:t>. The integrated design of the device's imaging and calculation capabilities is expected to enable the development and establishment of corresponding experimental protocols and computational models for more existing imaging experiments</w:t>
      </w:r>
      <w:r>
        <w:rPr>
          <w:rFonts w:ascii="Calibri" w:hAnsi="Calibri" w:cs="Calibri"/>
          <w:sz w:val="24"/>
          <w:szCs w:val="24"/>
          <w:lang w:eastAsia="en-US"/>
        </w:rPr>
        <w:fldChar w:fldCharType="begin"/>
      </w:r>
      <w:r>
        <w:rPr>
          <w:rFonts w:ascii="Calibri" w:hAnsi="Calibri" w:cs="Calibri"/>
          <w:sz w:val="24"/>
          <w:szCs w:val="24"/>
          <w:lang w:eastAsia="en-US"/>
        </w:rPr>
        <w:instrText xml:space="preserve"> ADDIN ZOTERO_ITEM CSL_CITATION {"citationID":"DrkdqY73","properties":{"unsorted":false,"formattedCitation":"\\super 7,24\\nosupersub{}","plainCitation":"7,24","noteIndex":0},"citationItems":[{"id":2392,"uris":["http://zotero.org/users/16918528/items/N3F32P6G"],"itemData":{"id":2392,"type":"article-journal","abstract":"The disruption of the blood–brain barrier (BBB) in Alzheimer’s Disease (AD) is largely influenced by amyloid beta (Aβ). In this study, we developed a ...","container-title":"Applied Sciences","DOI":"10.3390/app14093917","ISSN":"2076-3417","issue":"9","journalAbbreviation":"Appl. Sci.","language":"en","license":"http://creativecommons.org/licenses/by/3.0/","note":"remark: ImageXpress Micro Confocal  three-dimensional imaging of neurons\nCompany: Multidisciplinary Digital Publishing Institute\nDistributor: Multidisciplinary Digital Publishing Institute\nInstitution: Multidisciplinary Digital Publishing Institute\nLabel: Multidisciplinary Digital Publishing Institute\nTLDR: A pronounced accumulation of Aβ1–42 oligomers at the BBB, resulting in the disruption of tight junctions and subsequent leakage evidenced by a barrier integrity assay, underscores the utility of the membrane-free vascular chip in elucidating the dysfunction induced by Aβ with respect to the BBB.\ntitleTranslation: 利用3D微流控芯片模型研究β -淀粉样蛋白( amyloid beta，aβ )寡聚体对血脑屏障的影响。","publisher":"publisher","source":"www.mdpi.com","title":"Effects of amyloid beta (aβ) oligomers on blood–brain barrier using a 3D microfluidic vasculature-on-a-chip model","URL":"https://www.mdpi.com/2076-3417/14/9/3917","volume":"14","author":[{"family":"Uzoechi","given":"Samuel Chidiebere"},{"family":"Collins","given":"Boyce Edwin"},{"family":"Badeaux","given":"Cody Joseph"},{"family":"Li","given":"Yan"},{"family":"Kwak","given":"Sang Su"},{"family":"Kim","given":"Doo Yeon"},{"family":"Laskowitz","given":"Daniel Todd"},{"family":"Lee","given":"Jin-Moo"},{"family":"Yun","given":"Yeoheung"},{"family":"Uzoechi","given":"Samuel Chidiebere"},{"family":"Collins","given":"Boyce Edwin"},{"family":"Badeaux","given":"Cody Joseph"},{"family":"Li","given":"Yan"},{"family":"Kwak","given":"Sang Su"},{"family":"Kim","given":"Doo Yeon"},{"family":"Laskowitz","given":"Daniel Todd"},{"family":"Lee","given":"Jin-Moo"},{"family":"Yun","given":"Yeoheung"}],"accessed":{"date-parts":[["2025",12,15]]},"issued":{"date-parts":[["2024",5,4]]}}},{"id":2756,"uris":["http://zotero.org/users/16918528/items/ELSDKGSV"],"itemData":{"id":2756,"type":"article-journal","abstract":"Inflammatory bowel diseases (IBD) are chronic relapsing intestinal inflammations with increasing global incidence, and new drug development remains in urgent demand for IBD management. To identify effective traditional Chinese medicine (TCM) formulae and compounds in IBD treatment, we innovatively combined the techniques of knowledge mining, high-content screening and high-resolution mass spectrometry, to conduct a systematic screening in Zhongjing formulae, which is a large collection of TCM prescriptions with most abundant clinical evidences.","container-title":"Chinese Medicine","DOI":"10.1186/s13020-021-00452-z","ISSN":"1749-8546","issue":"1","journalAbbreviation":"Chin. Med.","language":"en","page":"42","source":"Springer Link","title":"Identification of anti-inflammatory compounds from zhongjing formulae by knowledge mining and high-content screening in a zebrafish model of inflammatory bowel diseases","volume":"16","author":[{"family":"Yu","given":"Yunru"},{"family":"Chen","given":"Jing"},{"family":"Zhang","given":"Xiaohui"},{"family":"Wang","given":"Yingchao"},{"family":"Wang","given":"Shufang"},{"family":"Zhao","given":"Lu"},{"family":"Wang","given":"Yi"}],"issued":{"date-parts":[["2021",5,31]]}}}],"schema":"https://github.com/citation-style-language/schema/raw/master/csl-citation.json"} </w:instrText>
      </w:r>
      <w:r>
        <w:rPr>
          <w:rFonts w:ascii="Calibri" w:hAnsi="Calibri" w:cs="Calibri"/>
          <w:sz w:val="24"/>
          <w:szCs w:val="24"/>
          <w:lang w:eastAsia="en-US"/>
        </w:rPr>
        <w:fldChar w:fldCharType="separate"/>
      </w:r>
      <w:r>
        <w:rPr>
          <w:rFonts w:ascii="Calibri" w:hAnsi="Calibri" w:cs="Calibri"/>
          <w:kern w:val="0"/>
          <w:sz w:val="24"/>
          <w:szCs w:val="24"/>
          <w:vertAlign w:val="superscript"/>
        </w:rPr>
        <w:t>7,24</w:t>
      </w:r>
      <w:r>
        <w:rPr>
          <w:rFonts w:ascii="Calibri" w:hAnsi="Calibri" w:cs="Calibri"/>
          <w:sz w:val="24"/>
          <w:szCs w:val="24"/>
          <w:lang w:eastAsia="en-US"/>
        </w:rPr>
        <w:fldChar w:fldCharType="end"/>
      </w:r>
      <w:r>
        <w:rPr>
          <w:rFonts w:ascii="Calibri" w:hAnsi="Calibri" w:cs="Calibri"/>
          <w:sz w:val="24"/>
          <w:szCs w:val="24"/>
          <w:lang w:eastAsia="en-US"/>
        </w:rPr>
        <w:t>, ultimately improving the consistency and comparability of data obtained by different operators, at different times, and across batches.</w:t>
      </w:r>
    </w:p>
    <w:p w14:paraId="2AFD0372">
      <w:pPr>
        <w:rPr>
          <w:rFonts w:ascii="Calibri" w:hAnsi="Calibri" w:cs="Calibri"/>
          <w:sz w:val="24"/>
          <w:szCs w:val="24"/>
          <w:lang w:eastAsia="en-US"/>
        </w:rPr>
      </w:pPr>
    </w:p>
    <w:p w14:paraId="13C8F81E">
      <w:pPr>
        <w:rPr>
          <w:rFonts w:ascii="Calibri" w:hAnsi="Calibri" w:cs="Calibri"/>
          <w:b/>
          <w:bCs/>
          <w:sz w:val="24"/>
          <w:szCs w:val="24"/>
        </w:rPr>
      </w:pPr>
      <w:r>
        <w:rPr>
          <w:rFonts w:ascii="Calibri" w:hAnsi="Calibri" w:cs="Calibri"/>
          <w:b/>
          <w:bCs/>
          <w:sz w:val="24"/>
          <w:szCs w:val="24"/>
        </w:rPr>
        <w:t>ACKNOWLEDGMENTS:</w:t>
      </w:r>
    </w:p>
    <w:p w14:paraId="2E2CA4BF">
      <w:pPr>
        <w:rPr>
          <w:rFonts w:ascii="Calibri" w:hAnsi="Calibri" w:cs="Calibri"/>
          <w:sz w:val="24"/>
          <w:szCs w:val="24"/>
        </w:rPr>
      </w:pPr>
      <w:r>
        <w:rPr>
          <w:rFonts w:ascii="Calibri" w:hAnsi="Calibri" w:cs="Calibri"/>
          <w:sz w:val="24"/>
          <w:szCs w:val="24"/>
        </w:rPr>
        <w:t>The authors thank the support provided by the Chengdu University of Traditional Chinese Medicine School Foundation. The authors thank the support from the MPRC2022034 grant. This funding is used to develop a 3D dynamic imaging method for intestinal bacteria in Erchen Decoction to treat simple obese mice. The authors acknowledge the research platform provided by the Chengdu University of Traditional Chinese Medicine Innovative Institute of Chinese Medicine and Pharmacy and the Institute of Interdisciplinary Studies.</w:t>
      </w:r>
    </w:p>
    <w:p w14:paraId="35639E49">
      <w:pPr>
        <w:rPr>
          <w:rFonts w:ascii="Calibri" w:hAnsi="Calibri" w:cs="Calibri"/>
          <w:sz w:val="24"/>
          <w:szCs w:val="24"/>
        </w:rPr>
      </w:pPr>
    </w:p>
    <w:p w14:paraId="44F031C2">
      <w:pPr>
        <w:rPr>
          <w:rFonts w:ascii="Calibri" w:hAnsi="Calibri" w:cs="Calibri"/>
          <w:b/>
          <w:bCs/>
          <w:sz w:val="24"/>
          <w:szCs w:val="24"/>
        </w:rPr>
      </w:pPr>
      <w:bookmarkStart w:id="5" w:name="disclosures"/>
      <w:r>
        <w:rPr>
          <w:rFonts w:ascii="Calibri" w:hAnsi="Calibri" w:cs="Calibri"/>
          <w:b/>
          <w:bCs/>
          <w:sz w:val="24"/>
          <w:szCs w:val="24"/>
        </w:rPr>
        <w:t xml:space="preserve">DISCLOSURES: </w:t>
      </w:r>
      <w:bookmarkEnd w:id="5"/>
    </w:p>
    <w:p w14:paraId="538A2E66">
      <w:pPr>
        <w:rPr>
          <w:rFonts w:ascii="Calibri" w:hAnsi="Calibri" w:cs="Calibri"/>
          <w:sz w:val="24"/>
          <w:szCs w:val="24"/>
          <w:lang w:eastAsia="en-US"/>
        </w:rPr>
      </w:pPr>
      <w:r>
        <w:rPr>
          <w:rFonts w:ascii="Calibri" w:hAnsi="Calibri" w:cs="Calibri"/>
          <w:sz w:val="24"/>
          <w:szCs w:val="24"/>
          <w:lang w:eastAsia="en-US"/>
        </w:rPr>
        <w:t>All authors declare that there is no conflict of interest. During the translation of the manuscript, Zhipu AI was used solely for translation and not for generating research data, experimental results, or core academic content. The authors assume full responsibility for the content of the manuscript.</w:t>
      </w:r>
    </w:p>
    <w:p w14:paraId="48C6335A">
      <w:pPr>
        <w:rPr>
          <w:rFonts w:ascii="Calibri" w:hAnsi="Calibri" w:cs="Calibri"/>
          <w:sz w:val="24"/>
          <w:szCs w:val="24"/>
        </w:rPr>
      </w:pPr>
    </w:p>
    <w:p w14:paraId="27D0B7E8">
      <w:pPr>
        <w:rPr>
          <w:rFonts w:ascii="Calibri" w:hAnsi="Calibri" w:cs="Calibri"/>
          <w:b/>
          <w:bCs/>
          <w:sz w:val="24"/>
          <w:szCs w:val="24"/>
          <w:lang w:eastAsia="en-US"/>
        </w:rPr>
      </w:pPr>
      <w:r>
        <w:rPr>
          <w:rFonts w:ascii="Calibri" w:hAnsi="Calibri" w:cs="Calibri"/>
          <w:b/>
          <w:bCs/>
          <w:sz w:val="24"/>
          <w:szCs w:val="24"/>
          <w:lang w:eastAsia="en-US"/>
        </w:rPr>
        <w:t xml:space="preserve">REFERENCES: </w:t>
      </w:r>
    </w:p>
    <w:p w14:paraId="01131D7F">
      <w:pPr>
        <w:pStyle w:val="18"/>
        <w:spacing w:after="0"/>
        <w:rPr>
          <w:rFonts w:ascii="Calibri" w:hAnsi="Calibri" w:cs="Calibri"/>
          <w:sz w:val="24"/>
          <w:szCs w:val="24"/>
        </w:rPr>
      </w:pPr>
      <w:bookmarkStart w:id="6" w:name="_Hlk233887685"/>
      <w:r>
        <w:rPr>
          <w:rFonts w:ascii="Calibri" w:hAnsi="Calibri" w:cs="Calibri"/>
          <w:sz w:val="24"/>
          <w:szCs w:val="24"/>
        </w:rPr>
        <w:fldChar w:fldCharType="begin"/>
      </w:r>
      <w:r>
        <w:rPr>
          <w:rFonts w:ascii="Calibri" w:hAnsi="Calibri" w:cs="Calibri"/>
          <w:sz w:val="24"/>
          <w:szCs w:val="24"/>
        </w:rPr>
        <w:instrText xml:space="preserve"> ADDIN ZOTERO_BIBL {"uncited":[],"omitted":[],"custom":[]} CSL_BIBLIOGRAPHY </w:instrText>
      </w:r>
      <w:r>
        <w:rPr>
          <w:rFonts w:ascii="Calibri" w:hAnsi="Calibri" w:cs="Calibri"/>
          <w:sz w:val="24"/>
          <w:szCs w:val="24"/>
        </w:rPr>
        <w:fldChar w:fldCharType="separate"/>
      </w:r>
      <w:r>
        <w:rPr>
          <w:rFonts w:ascii="Calibri" w:hAnsi="Calibri" w:cs="Calibri"/>
          <w:sz w:val="24"/>
          <w:szCs w:val="24"/>
        </w:rPr>
        <w:t>1.</w:t>
      </w:r>
      <w:r>
        <w:rPr>
          <w:rFonts w:ascii="Calibri" w:hAnsi="Calibri" w:cs="Calibri"/>
          <w:sz w:val="24"/>
          <w:szCs w:val="24"/>
        </w:rPr>
        <w:tab/>
      </w:r>
      <w:r>
        <w:rPr>
          <w:rFonts w:ascii="Calibri" w:hAnsi="Calibri" w:cs="Calibri"/>
          <w:sz w:val="24"/>
          <w:szCs w:val="24"/>
        </w:rPr>
        <w:t xml:space="preserve">Dariolli R, Nir R, Mushlam T, Souza GR, Farmer SR, Batista ML. Optimized scaffold-free human 3D adipose tissue organoid culture for obesity and disease modeling. SLAS Discovery. 2025;31:100218. </w:t>
      </w:r>
    </w:p>
    <w:p w14:paraId="555F44C3">
      <w:pPr>
        <w:pStyle w:val="18"/>
        <w:spacing w:after="0"/>
        <w:rPr>
          <w:rFonts w:ascii="Calibri" w:hAnsi="Calibri" w:cs="Calibri"/>
          <w:sz w:val="24"/>
          <w:szCs w:val="24"/>
        </w:rPr>
      </w:pPr>
      <w:r>
        <w:rPr>
          <w:rFonts w:ascii="Calibri" w:hAnsi="Calibri" w:cs="Calibri"/>
          <w:sz w:val="24"/>
          <w:szCs w:val="24"/>
        </w:rPr>
        <w:t>2.</w:t>
      </w:r>
      <w:r>
        <w:rPr>
          <w:rFonts w:ascii="Calibri" w:hAnsi="Calibri" w:cs="Calibri"/>
          <w:sz w:val="24"/>
          <w:szCs w:val="24"/>
        </w:rPr>
        <w:tab/>
      </w:r>
      <w:r>
        <w:rPr>
          <w:rFonts w:ascii="Calibri" w:hAnsi="Calibri" w:cs="Calibri"/>
          <w:sz w:val="24"/>
          <w:szCs w:val="24"/>
        </w:rPr>
        <w:t>Menduti G, Boido M. Recent advances in high-content imaging and analysis in iPSC-based modelling of neurodegenerative diseases. Int J Mol Sci. 2023;24(19).</w:t>
      </w:r>
    </w:p>
    <w:p w14:paraId="42DDCC73">
      <w:pPr>
        <w:pStyle w:val="18"/>
        <w:spacing w:after="0"/>
        <w:rPr>
          <w:rFonts w:ascii="Calibri" w:hAnsi="Calibri" w:cs="Calibri"/>
          <w:sz w:val="24"/>
          <w:szCs w:val="24"/>
        </w:rPr>
      </w:pPr>
      <w:r>
        <w:rPr>
          <w:rFonts w:ascii="Calibri" w:hAnsi="Calibri" w:cs="Calibri"/>
          <w:sz w:val="24"/>
          <w:szCs w:val="24"/>
        </w:rPr>
        <w:t>3.</w:t>
      </w:r>
      <w:r>
        <w:rPr>
          <w:rFonts w:ascii="Calibri" w:hAnsi="Calibri" w:cs="Calibri"/>
          <w:sz w:val="24"/>
          <w:szCs w:val="24"/>
        </w:rPr>
        <w:tab/>
      </w:r>
      <w:r>
        <w:rPr>
          <w:rFonts w:ascii="Calibri" w:hAnsi="Calibri" w:cs="Calibri"/>
          <w:sz w:val="24"/>
          <w:szCs w:val="24"/>
        </w:rPr>
        <w:t xml:space="preserve">Park JC, Mook-Jung I. Toward brain organoid-based precision medicine in neurodegenerative diseases. Organoid. 2022;2. </w:t>
      </w:r>
    </w:p>
    <w:p w14:paraId="51F93463">
      <w:pPr>
        <w:pStyle w:val="18"/>
        <w:spacing w:after="0"/>
        <w:rPr>
          <w:rFonts w:ascii="Calibri" w:hAnsi="Calibri" w:cs="Calibri"/>
          <w:sz w:val="24"/>
          <w:szCs w:val="24"/>
        </w:rPr>
      </w:pPr>
      <w:r>
        <w:rPr>
          <w:rFonts w:ascii="Calibri" w:hAnsi="Calibri" w:cs="Calibri"/>
          <w:sz w:val="24"/>
          <w:szCs w:val="24"/>
        </w:rPr>
        <w:t>4.</w:t>
      </w:r>
      <w:r>
        <w:rPr>
          <w:rFonts w:ascii="Calibri" w:hAnsi="Calibri" w:cs="Calibri"/>
          <w:sz w:val="24"/>
          <w:szCs w:val="24"/>
        </w:rPr>
        <w:tab/>
      </w:r>
      <w:r>
        <w:rPr>
          <w:rFonts w:ascii="Calibri" w:hAnsi="Calibri" w:cs="Calibri"/>
          <w:sz w:val="24"/>
          <w:szCs w:val="24"/>
        </w:rPr>
        <w:t>Geyer M, Schreyer D, Gaul LM, Pfeffer S, Pilarsky C, Queiroz K. A microfluidic-based PDAC organoid system reveals the impact of hypoxia in response to treatment. Cell Death Discovery. 2023;9:20.</w:t>
      </w:r>
    </w:p>
    <w:p w14:paraId="605BA749">
      <w:pPr>
        <w:pStyle w:val="18"/>
        <w:spacing w:after="0"/>
        <w:rPr>
          <w:rFonts w:ascii="Calibri" w:hAnsi="Calibri" w:cs="Calibri"/>
          <w:sz w:val="24"/>
          <w:szCs w:val="24"/>
        </w:rPr>
      </w:pPr>
      <w:r>
        <w:rPr>
          <w:rFonts w:ascii="Calibri" w:hAnsi="Calibri" w:cs="Calibri"/>
          <w:sz w:val="24"/>
          <w:szCs w:val="24"/>
        </w:rPr>
        <w:t>5.</w:t>
      </w:r>
      <w:r>
        <w:rPr>
          <w:rFonts w:ascii="Calibri" w:hAnsi="Calibri" w:cs="Calibri"/>
          <w:sz w:val="24"/>
          <w:szCs w:val="24"/>
        </w:rPr>
        <w:tab/>
      </w:r>
      <w:r>
        <w:rPr>
          <w:rFonts w:ascii="Calibri" w:hAnsi="Calibri" w:cs="Calibri"/>
          <w:sz w:val="24"/>
          <w:szCs w:val="24"/>
        </w:rPr>
        <w:t>Huang CJ, Shieh PC, Yang JS, et al. Pterostilbene suppressed cell viability, induced apoptosis and autophagy of cisplatin-resistant gastric cancer cells. Anticancer Res. 2025;45(2):511-523.</w:t>
      </w:r>
    </w:p>
    <w:p w14:paraId="372D75E2">
      <w:pPr>
        <w:pStyle w:val="18"/>
        <w:spacing w:after="0"/>
        <w:rPr>
          <w:rFonts w:ascii="Calibri" w:hAnsi="Calibri" w:cs="Calibri"/>
          <w:sz w:val="24"/>
          <w:szCs w:val="24"/>
        </w:rPr>
      </w:pPr>
      <w:r>
        <w:rPr>
          <w:rFonts w:ascii="Calibri" w:hAnsi="Calibri" w:cs="Calibri"/>
          <w:sz w:val="24"/>
          <w:szCs w:val="24"/>
        </w:rPr>
        <w:t>6.</w:t>
      </w:r>
      <w:r>
        <w:rPr>
          <w:rFonts w:ascii="Calibri" w:hAnsi="Calibri" w:cs="Calibri"/>
          <w:sz w:val="24"/>
          <w:szCs w:val="24"/>
        </w:rPr>
        <w:tab/>
      </w:r>
      <w:r>
        <w:rPr>
          <w:rFonts w:ascii="Calibri" w:hAnsi="Calibri" w:cs="Calibri"/>
          <w:sz w:val="24"/>
          <w:szCs w:val="24"/>
        </w:rPr>
        <w:t>Wang G, Li Y, Sun T, et al. BMSC affinity peptide-functionalized β-tricalcium phosphate scaffolds promoting repair of osteonecrosis of the femoral head. J Orthop Surg Res. 2019;14(1):204.</w:t>
      </w:r>
    </w:p>
    <w:p w14:paraId="66103B30">
      <w:pPr>
        <w:pStyle w:val="18"/>
        <w:spacing w:after="0"/>
        <w:rPr>
          <w:rFonts w:ascii="Calibri" w:hAnsi="Calibri" w:cs="Calibri"/>
          <w:sz w:val="24"/>
          <w:szCs w:val="24"/>
        </w:rPr>
      </w:pPr>
      <w:r>
        <w:rPr>
          <w:rFonts w:ascii="Calibri" w:hAnsi="Calibri" w:cs="Calibri"/>
          <w:sz w:val="24"/>
          <w:szCs w:val="24"/>
        </w:rPr>
        <w:t>7.</w:t>
      </w:r>
      <w:r>
        <w:rPr>
          <w:rFonts w:ascii="Calibri" w:hAnsi="Calibri" w:cs="Calibri"/>
          <w:sz w:val="24"/>
          <w:szCs w:val="24"/>
        </w:rPr>
        <w:tab/>
      </w:r>
      <w:r>
        <w:rPr>
          <w:rFonts w:ascii="Calibri" w:hAnsi="Calibri" w:cs="Calibri"/>
          <w:sz w:val="24"/>
          <w:szCs w:val="24"/>
        </w:rPr>
        <w:t>Uzoechi SC, Collins BE, Badeaux CJ, et al. Effects of amyloid beta (aβ) oligomers on blood–brain barrier using a 3D microfluidic vasculature-on-a-chip model. Appl Sci. 2024;14(9). doi:10.3390/app14093917</w:t>
      </w:r>
    </w:p>
    <w:p w14:paraId="17BB8358">
      <w:pPr>
        <w:pStyle w:val="18"/>
        <w:spacing w:after="0"/>
        <w:rPr>
          <w:rFonts w:ascii="Calibri" w:hAnsi="Calibri" w:cs="Calibri"/>
          <w:sz w:val="24"/>
          <w:szCs w:val="24"/>
        </w:rPr>
      </w:pPr>
      <w:r>
        <w:rPr>
          <w:rFonts w:ascii="Calibri" w:hAnsi="Calibri" w:cs="Calibri"/>
          <w:sz w:val="24"/>
          <w:szCs w:val="24"/>
        </w:rPr>
        <w:t>8.</w:t>
      </w:r>
      <w:r>
        <w:rPr>
          <w:rFonts w:ascii="Calibri" w:hAnsi="Calibri" w:cs="Calibri"/>
          <w:sz w:val="24"/>
          <w:szCs w:val="24"/>
        </w:rPr>
        <w:tab/>
      </w:r>
      <w:r>
        <w:rPr>
          <w:rFonts w:ascii="Calibri" w:hAnsi="Calibri" w:cs="Calibri"/>
          <w:sz w:val="24"/>
          <w:szCs w:val="24"/>
        </w:rPr>
        <w:t xml:space="preserve">Pereira JD, DuBreuil DM, Devlin AC, et al. Human sensorimotor organoids derived from healthy and amyotrophic lateral sclerosis stem cells form neuromuscular junctions. Nat Commun. 2021;12(1):4744. </w:t>
      </w:r>
    </w:p>
    <w:p w14:paraId="0FAA97D2">
      <w:pPr>
        <w:pStyle w:val="18"/>
        <w:spacing w:after="0"/>
        <w:rPr>
          <w:rFonts w:ascii="Calibri" w:hAnsi="Calibri" w:cs="Calibri"/>
          <w:sz w:val="24"/>
          <w:szCs w:val="24"/>
        </w:rPr>
      </w:pPr>
      <w:r>
        <w:rPr>
          <w:rFonts w:ascii="Calibri" w:hAnsi="Calibri" w:cs="Calibri"/>
          <w:sz w:val="24"/>
          <w:szCs w:val="24"/>
        </w:rPr>
        <w:t>9.</w:t>
      </w:r>
      <w:r>
        <w:rPr>
          <w:rFonts w:ascii="Calibri" w:hAnsi="Calibri" w:cs="Calibri"/>
          <w:sz w:val="24"/>
          <w:szCs w:val="24"/>
        </w:rPr>
        <w:tab/>
      </w:r>
      <w:r>
        <w:rPr>
          <w:rFonts w:ascii="Calibri" w:hAnsi="Calibri" w:cs="Calibri"/>
          <w:sz w:val="24"/>
          <w:szCs w:val="24"/>
        </w:rPr>
        <w:t xml:space="preserve">Cromwell EF, Leung M, Hammer M, Thai A, Rajendra R, Sirenko O. Disease modeling with 3D cell-based assays using a novel flowchip system and high-content imaging. SLAS Technol. 2021;26(3):237-248. </w:t>
      </w:r>
    </w:p>
    <w:p w14:paraId="1E8F0664">
      <w:pPr>
        <w:pStyle w:val="18"/>
        <w:spacing w:after="0"/>
        <w:rPr>
          <w:rFonts w:ascii="Calibri" w:hAnsi="Calibri" w:cs="Calibri"/>
          <w:sz w:val="24"/>
          <w:szCs w:val="24"/>
        </w:rPr>
      </w:pPr>
      <w:r>
        <w:rPr>
          <w:rFonts w:ascii="Calibri" w:hAnsi="Calibri" w:cs="Calibri"/>
          <w:sz w:val="24"/>
          <w:szCs w:val="24"/>
        </w:rPr>
        <w:t>10.</w:t>
      </w:r>
      <w:r>
        <w:rPr>
          <w:rFonts w:ascii="Calibri" w:hAnsi="Calibri" w:cs="Calibri"/>
          <w:sz w:val="24"/>
          <w:szCs w:val="24"/>
        </w:rPr>
        <w:tab/>
      </w:r>
      <w:r>
        <w:rPr>
          <w:rFonts w:ascii="Calibri" w:hAnsi="Calibri" w:cs="Calibri"/>
          <w:sz w:val="24"/>
          <w:szCs w:val="24"/>
        </w:rPr>
        <w:t xml:space="preserve">Tabęcka-Łonczyńska A, Skóra B, Szlachcikowska D, et al. Impact of </w:t>
      </w:r>
      <w:r>
        <w:rPr>
          <w:rFonts w:ascii="Calibri" w:hAnsi="Calibri" w:cs="Calibri"/>
          <w:i/>
          <w:iCs/>
          <w:sz w:val="24"/>
          <w:szCs w:val="24"/>
        </w:rPr>
        <w:t>Hericium erinaceus</w:t>
      </w:r>
      <w:r>
        <w:rPr>
          <w:rFonts w:ascii="Calibri" w:hAnsi="Calibri" w:cs="Calibri"/>
          <w:sz w:val="24"/>
          <w:szCs w:val="24"/>
        </w:rPr>
        <w:t xml:space="preserve"> and </w:t>
      </w:r>
      <w:r>
        <w:rPr>
          <w:rFonts w:ascii="Calibri" w:hAnsi="Calibri" w:cs="Calibri"/>
          <w:i/>
          <w:iCs/>
          <w:sz w:val="24"/>
          <w:szCs w:val="24"/>
        </w:rPr>
        <w:t xml:space="preserve">Ganoderma lucidum </w:t>
      </w:r>
      <w:r>
        <w:rPr>
          <w:rFonts w:ascii="Calibri" w:hAnsi="Calibri" w:cs="Calibri"/>
          <w:sz w:val="24"/>
          <w:szCs w:val="24"/>
        </w:rPr>
        <w:t xml:space="preserve">metabolites on AhR activation in neuronal HT-22 cells. Pharmacol Rep. 2025;77(6):1557-1572. </w:t>
      </w:r>
    </w:p>
    <w:p w14:paraId="6FF4FF85">
      <w:pPr>
        <w:pStyle w:val="18"/>
        <w:spacing w:after="0"/>
        <w:rPr>
          <w:rFonts w:ascii="Calibri" w:hAnsi="Calibri" w:cs="Calibri"/>
          <w:sz w:val="24"/>
          <w:szCs w:val="24"/>
        </w:rPr>
      </w:pPr>
      <w:r>
        <w:rPr>
          <w:rFonts w:ascii="Calibri" w:hAnsi="Calibri" w:cs="Calibri"/>
          <w:sz w:val="24"/>
          <w:szCs w:val="24"/>
        </w:rPr>
        <w:t>11.</w:t>
      </w:r>
      <w:r>
        <w:rPr>
          <w:rFonts w:ascii="Calibri" w:hAnsi="Calibri" w:cs="Calibri"/>
          <w:sz w:val="24"/>
          <w:szCs w:val="24"/>
        </w:rPr>
        <w:tab/>
      </w:r>
      <w:r>
        <w:rPr>
          <w:rFonts w:ascii="Calibri" w:hAnsi="Calibri" w:cs="Calibri"/>
          <w:sz w:val="24"/>
          <w:szCs w:val="24"/>
        </w:rPr>
        <w:t>Tang J, Chen R, Wang L, et al. Melatonin attenuates thrombin-induced inflammation in BV2 cells and then protects HT22 cells from apoptosis. Inflammation. 2020;43(5):1959-1970.</w:t>
      </w:r>
    </w:p>
    <w:p w14:paraId="24FB7F50">
      <w:pPr>
        <w:pStyle w:val="18"/>
        <w:spacing w:after="0"/>
        <w:rPr>
          <w:rFonts w:ascii="Calibri" w:hAnsi="Calibri" w:cs="Calibri"/>
          <w:sz w:val="24"/>
          <w:szCs w:val="24"/>
        </w:rPr>
      </w:pPr>
      <w:r>
        <w:rPr>
          <w:rFonts w:ascii="Calibri" w:hAnsi="Calibri" w:cs="Calibri"/>
          <w:sz w:val="24"/>
          <w:szCs w:val="24"/>
        </w:rPr>
        <w:t>12.</w:t>
      </w:r>
      <w:r>
        <w:rPr>
          <w:rFonts w:ascii="Calibri" w:hAnsi="Calibri" w:cs="Calibri"/>
          <w:sz w:val="24"/>
          <w:szCs w:val="24"/>
        </w:rPr>
        <w:tab/>
      </w:r>
      <w:r>
        <w:rPr>
          <w:rFonts w:ascii="Calibri" w:hAnsi="Calibri" w:cs="Calibri"/>
          <w:sz w:val="24"/>
          <w:szCs w:val="24"/>
        </w:rPr>
        <w:t>Zhang W, Sun H, Zhao W, Li J, Meng H. Suppression of JNK pathway protects neurons from oxidative injury via attenuating parthanatos in glutamate-treated HT22 neurons. Sci Rep. 2024;14(1):25793.</w:t>
      </w:r>
    </w:p>
    <w:p w14:paraId="5F4FEC6A">
      <w:pPr>
        <w:pStyle w:val="18"/>
        <w:spacing w:after="0"/>
        <w:rPr>
          <w:rFonts w:ascii="Calibri" w:hAnsi="Calibri" w:cs="Calibri"/>
          <w:sz w:val="24"/>
          <w:szCs w:val="24"/>
        </w:rPr>
      </w:pPr>
      <w:r>
        <w:rPr>
          <w:rFonts w:ascii="Calibri" w:hAnsi="Calibri" w:cs="Calibri"/>
          <w:sz w:val="24"/>
          <w:szCs w:val="24"/>
        </w:rPr>
        <w:t>13.</w:t>
      </w:r>
      <w:r>
        <w:rPr>
          <w:rFonts w:ascii="Calibri" w:hAnsi="Calibri" w:cs="Calibri"/>
          <w:sz w:val="24"/>
          <w:szCs w:val="24"/>
        </w:rPr>
        <w:tab/>
      </w:r>
      <w:r>
        <w:rPr>
          <w:rFonts w:ascii="Calibri" w:hAnsi="Calibri" w:cs="Calibri"/>
          <w:sz w:val="24"/>
          <w:szCs w:val="24"/>
        </w:rPr>
        <w:t>Thoudam T, Chanda D, Lee JY, et al. Enhanced Ca2+-channeling complex formation at the ER-mitochondria interface underlies the pathogenesis of alcohol-associated liver disease. Nat Commun. 2023;14(1):1703.</w:t>
      </w:r>
    </w:p>
    <w:p w14:paraId="182D7BDF">
      <w:pPr>
        <w:pStyle w:val="18"/>
        <w:spacing w:after="0"/>
        <w:rPr>
          <w:rFonts w:ascii="Calibri" w:hAnsi="Calibri" w:cs="Calibri"/>
          <w:sz w:val="24"/>
          <w:szCs w:val="24"/>
        </w:rPr>
      </w:pPr>
      <w:r>
        <w:rPr>
          <w:rFonts w:ascii="Calibri" w:hAnsi="Calibri" w:cs="Calibri"/>
          <w:sz w:val="24"/>
          <w:szCs w:val="24"/>
        </w:rPr>
        <w:t>14.</w:t>
      </w:r>
      <w:r>
        <w:rPr>
          <w:rFonts w:ascii="Calibri" w:hAnsi="Calibri" w:cs="Calibri"/>
          <w:sz w:val="24"/>
          <w:szCs w:val="24"/>
        </w:rPr>
        <w:tab/>
      </w:r>
      <w:r>
        <w:rPr>
          <w:rFonts w:ascii="Calibri" w:hAnsi="Calibri" w:cs="Calibri"/>
          <w:sz w:val="24"/>
          <w:szCs w:val="24"/>
        </w:rPr>
        <w:t>Huang Z, Zhang Q, Wang Y, et al. Inhibition of caspase-3-mediated GSDME-derived pyroptosis aids in noncancerous tissue protection of squamous cell carcinoma patients during cisplatin-based chemotherapy. Am J Cancer Res. 2020;10(12):4287-4307.</w:t>
      </w:r>
    </w:p>
    <w:p w14:paraId="23F5D9ED">
      <w:pPr>
        <w:pStyle w:val="18"/>
        <w:spacing w:after="0"/>
        <w:rPr>
          <w:rFonts w:ascii="Calibri" w:hAnsi="Calibri" w:cs="Calibri"/>
          <w:sz w:val="24"/>
          <w:szCs w:val="24"/>
        </w:rPr>
      </w:pPr>
      <w:r>
        <w:rPr>
          <w:rFonts w:ascii="Calibri" w:hAnsi="Calibri" w:cs="Calibri"/>
          <w:sz w:val="24"/>
          <w:szCs w:val="24"/>
        </w:rPr>
        <w:t>15.</w:t>
      </w:r>
      <w:r>
        <w:rPr>
          <w:rFonts w:ascii="Calibri" w:hAnsi="Calibri" w:cs="Calibri"/>
          <w:sz w:val="24"/>
          <w:szCs w:val="24"/>
        </w:rPr>
        <w:tab/>
      </w:r>
      <w:r>
        <w:rPr>
          <w:rFonts w:ascii="Calibri" w:hAnsi="Calibri" w:cs="Calibri"/>
          <w:sz w:val="24"/>
          <w:szCs w:val="24"/>
        </w:rPr>
        <w:t>Andreyev AY, Yang H, Doulias PT, et al. Metabolic bypass rescues aberrant S-nitrosylation-induced TCA cycle inhibition and synapse loss in Alzheimer’s disease human neurons. Adv Sci. 2024;11(12):2306469.</w:t>
      </w:r>
    </w:p>
    <w:p w14:paraId="29B6309E">
      <w:pPr>
        <w:pStyle w:val="18"/>
        <w:spacing w:after="0"/>
        <w:rPr>
          <w:rFonts w:ascii="Calibri" w:hAnsi="Calibri" w:cs="Calibri"/>
          <w:sz w:val="24"/>
          <w:szCs w:val="24"/>
        </w:rPr>
      </w:pPr>
      <w:r>
        <w:rPr>
          <w:rFonts w:ascii="Calibri" w:hAnsi="Calibri" w:cs="Calibri"/>
          <w:sz w:val="24"/>
          <w:szCs w:val="24"/>
        </w:rPr>
        <w:t>16.</w:t>
      </w:r>
      <w:r>
        <w:rPr>
          <w:rFonts w:ascii="Calibri" w:hAnsi="Calibri" w:cs="Calibri"/>
          <w:sz w:val="24"/>
          <w:szCs w:val="24"/>
        </w:rPr>
        <w:tab/>
      </w:r>
      <w:r>
        <w:rPr>
          <w:rFonts w:ascii="Calibri" w:hAnsi="Calibri" w:cs="Calibri"/>
          <w:sz w:val="24"/>
          <w:szCs w:val="24"/>
        </w:rPr>
        <w:t>Backström A, Kugel L, Gnann C, et al. A sample preparation protocol for high throughput immunofluorescence of suspension cells on an adherent surface. J Histochem Cytochem. 2020;68(7):473-489.</w:t>
      </w:r>
    </w:p>
    <w:p w14:paraId="4D73D6DE">
      <w:pPr>
        <w:pStyle w:val="18"/>
        <w:spacing w:after="0"/>
        <w:rPr>
          <w:rFonts w:ascii="Calibri" w:hAnsi="Calibri" w:cs="Calibri"/>
          <w:sz w:val="24"/>
          <w:szCs w:val="24"/>
        </w:rPr>
      </w:pPr>
      <w:r>
        <w:rPr>
          <w:rFonts w:ascii="Calibri" w:hAnsi="Calibri" w:cs="Calibri"/>
          <w:sz w:val="24"/>
          <w:szCs w:val="24"/>
        </w:rPr>
        <w:t>17.</w:t>
      </w:r>
      <w:r>
        <w:rPr>
          <w:rFonts w:ascii="Calibri" w:hAnsi="Calibri" w:cs="Calibri"/>
          <w:sz w:val="24"/>
          <w:szCs w:val="24"/>
        </w:rPr>
        <w:tab/>
      </w:r>
      <w:r>
        <w:rPr>
          <w:rFonts w:ascii="Calibri" w:hAnsi="Calibri" w:cs="Calibri"/>
          <w:sz w:val="24"/>
          <w:szCs w:val="24"/>
        </w:rPr>
        <w:t xml:space="preserve">Hongxing Tang et al. Protective effects of hinokitiol on neuronal ferroptosis by activating the Keap1/Nrf2/HO-1 pathway in traumatic brain injury. J Neurotrauma. 2024;41(5-6):734-750. </w:t>
      </w:r>
    </w:p>
    <w:p w14:paraId="7006E8B3">
      <w:pPr>
        <w:pStyle w:val="18"/>
        <w:spacing w:after="0"/>
        <w:rPr>
          <w:rFonts w:ascii="Calibri" w:hAnsi="Calibri" w:cs="Calibri"/>
          <w:sz w:val="24"/>
          <w:szCs w:val="24"/>
        </w:rPr>
      </w:pPr>
      <w:r>
        <w:rPr>
          <w:rFonts w:ascii="Calibri" w:hAnsi="Calibri" w:cs="Calibri"/>
          <w:sz w:val="24"/>
          <w:szCs w:val="24"/>
        </w:rPr>
        <w:t>18.</w:t>
      </w:r>
      <w:r>
        <w:rPr>
          <w:rFonts w:ascii="Calibri" w:hAnsi="Calibri" w:cs="Calibri"/>
          <w:sz w:val="24"/>
          <w:szCs w:val="24"/>
        </w:rPr>
        <w:tab/>
      </w:r>
      <w:r>
        <w:rPr>
          <w:rFonts w:ascii="Calibri" w:hAnsi="Calibri" w:cs="Calibri"/>
          <w:sz w:val="24"/>
          <w:szCs w:val="24"/>
        </w:rPr>
        <w:t>Teerawonganan P, Hasriadi, Dasuni Wasana PW, et al. Synthesis, cytotoxicity, and mechanistic evaluation of tetrahydrocurcumin-amino acid conjugates as LAT1-targeting anticancer agents in C6 glioma cells. Int J Mol Sci. 2024;25(20):11266.</w:t>
      </w:r>
    </w:p>
    <w:p w14:paraId="541A0400">
      <w:pPr>
        <w:pStyle w:val="18"/>
        <w:spacing w:after="0"/>
        <w:rPr>
          <w:rFonts w:ascii="Calibri" w:hAnsi="Calibri" w:cs="Calibri"/>
          <w:sz w:val="24"/>
          <w:szCs w:val="24"/>
        </w:rPr>
      </w:pPr>
      <w:r>
        <w:rPr>
          <w:rFonts w:ascii="Calibri" w:hAnsi="Calibri" w:cs="Calibri"/>
          <w:sz w:val="24"/>
          <w:szCs w:val="24"/>
        </w:rPr>
        <w:t>19.</w:t>
      </w:r>
      <w:r>
        <w:rPr>
          <w:rFonts w:ascii="Calibri" w:hAnsi="Calibri" w:cs="Calibri"/>
          <w:sz w:val="24"/>
          <w:szCs w:val="24"/>
        </w:rPr>
        <w:tab/>
      </w:r>
      <w:r>
        <w:rPr>
          <w:rFonts w:ascii="Calibri" w:hAnsi="Calibri" w:cs="Calibri"/>
          <w:sz w:val="24"/>
          <w:szCs w:val="24"/>
        </w:rPr>
        <w:t>Shihan MH, Novo SG, Le Marchand SJ, Wang Y, Duncan MK. A simple method for quantitating confocal fluorescent images. Biochem Biophys Rep. 2021;25:100916.</w:t>
      </w:r>
    </w:p>
    <w:p w14:paraId="05186046">
      <w:pPr>
        <w:pStyle w:val="18"/>
        <w:spacing w:after="0"/>
        <w:rPr>
          <w:rFonts w:ascii="Calibri" w:hAnsi="Calibri" w:cs="Calibri"/>
          <w:sz w:val="24"/>
          <w:szCs w:val="24"/>
        </w:rPr>
      </w:pPr>
      <w:r>
        <w:rPr>
          <w:rFonts w:ascii="Calibri" w:hAnsi="Calibri" w:cs="Calibri"/>
          <w:sz w:val="24"/>
          <w:szCs w:val="24"/>
        </w:rPr>
        <w:t>20.</w:t>
      </w:r>
      <w:r>
        <w:rPr>
          <w:rFonts w:ascii="Calibri" w:hAnsi="Calibri" w:cs="Calibri"/>
          <w:sz w:val="24"/>
          <w:szCs w:val="24"/>
        </w:rPr>
        <w:tab/>
      </w:r>
      <w:r>
        <w:rPr>
          <w:rFonts w:ascii="Calibri" w:hAnsi="Calibri" w:cs="Calibri"/>
          <w:sz w:val="24"/>
          <w:szCs w:val="24"/>
        </w:rPr>
        <w:t>Gomez-Dopazo G, Nieves RJA, Rivera RLA, et al. Cellulose acetate microwell plates for high-throughput colorimetric assays. RSC Adv. 2024;14(22):15319-15327.</w:t>
      </w:r>
    </w:p>
    <w:p w14:paraId="133222F7">
      <w:pPr>
        <w:pStyle w:val="18"/>
        <w:spacing w:after="0"/>
        <w:rPr>
          <w:rFonts w:ascii="Calibri" w:hAnsi="Calibri" w:cs="Calibri"/>
          <w:sz w:val="24"/>
          <w:szCs w:val="24"/>
        </w:rPr>
      </w:pPr>
      <w:r>
        <w:rPr>
          <w:rFonts w:ascii="Calibri" w:hAnsi="Calibri" w:cs="Calibri"/>
          <w:sz w:val="24"/>
          <w:szCs w:val="24"/>
        </w:rPr>
        <w:t>21.</w:t>
      </w:r>
      <w:r>
        <w:rPr>
          <w:rFonts w:ascii="Calibri" w:hAnsi="Calibri" w:cs="Calibri"/>
          <w:sz w:val="24"/>
          <w:szCs w:val="24"/>
        </w:rPr>
        <w:tab/>
      </w:r>
      <w:r>
        <w:rPr>
          <w:rFonts w:ascii="Calibri" w:hAnsi="Calibri" w:cs="Calibri"/>
          <w:sz w:val="24"/>
          <w:szCs w:val="24"/>
        </w:rPr>
        <w:t>DuBreuil DM, Chiang BM, Zhu K, et al. A high-content platform for physiological profiling and unbiased classification of individual neurons. Cell Rep Methods. 2021;1(1).</w:t>
      </w:r>
    </w:p>
    <w:p w14:paraId="057426CA">
      <w:pPr>
        <w:pStyle w:val="18"/>
        <w:spacing w:after="0"/>
        <w:rPr>
          <w:rFonts w:ascii="Calibri" w:hAnsi="Calibri" w:cs="Calibri"/>
          <w:sz w:val="24"/>
          <w:szCs w:val="24"/>
        </w:rPr>
      </w:pPr>
      <w:r>
        <w:rPr>
          <w:rFonts w:ascii="Calibri" w:hAnsi="Calibri" w:cs="Calibri"/>
          <w:sz w:val="24"/>
          <w:szCs w:val="24"/>
        </w:rPr>
        <w:t>22.</w:t>
      </w:r>
      <w:r>
        <w:rPr>
          <w:rFonts w:ascii="Calibri" w:hAnsi="Calibri" w:cs="Calibri"/>
          <w:sz w:val="24"/>
          <w:szCs w:val="24"/>
        </w:rPr>
        <w:tab/>
      </w:r>
      <w:r>
        <w:rPr>
          <w:rFonts w:ascii="Calibri" w:hAnsi="Calibri" w:cs="Calibri"/>
          <w:sz w:val="24"/>
          <w:szCs w:val="24"/>
        </w:rPr>
        <w:t>Ronzetti M, Simeonov A. A comprehensive update on the application of high-throughput fluorescence imaging for novel drug discovery. Expert Opin Drug Discovery. 2025;20(6):785-797.</w:t>
      </w:r>
    </w:p>
    <w:p w14:paraId="5400CAAE">
      <w:pPr>
        <w:pStyle w:val="18"/>
        <w:spacing w:after="0"/>
        <w:rPr>
          <w:rFonts w:ascii="Calibri" w:hAnsi="Calibri" w:cs="Calibri"/>
          <w:sz w:val="24"/>
          <w:szCs w:val="24"/>
        </w:rPr>
      </w:pPr>
      <w:r>
        <w:rPr>
          <w:rFonts w:ascii="Calibri" w:hAnsi="Calibri" w:cs="Calibri"/>
          <w:sz w:val="24"/>
          <w:szCs w:val="24"/>
        </w:rPr>
        <w:t>23.</w:t>
      </w:r>
      <w:r>
        <w:rPr>
          <w:rFonts w:ascii="Calibri" w:hAnsi="Calibri" w:cs="Calibri"/>
          <w:sz w:val="24"/>
          <w:szCs w:val="24"/>
        </w:rPr>
        <w:tab/>
      </w:r>
      <w:r>
        <w:rPr>
          <w:rFonts w:ascii="Calibri" w:hAnsi="Calibri" w:cs="Calibri"/>
          <w:sz w:val="24"/>
          <w:szCs w:val="24"/>
        </w:rPr>
        <w:t>Jiang X, Li M, Wang Y, et al. 1,2,4,5-tetrazine-tethered probes for fluorogenically imaging superoxide in live cells with ultrahigh specificity. Nat Commun. 2023;14(1):1401.</w:t>
      </w:r>
    </w:p>
    <w:p w14:paraId="3D6C5100">
      <w:pPr>
        <w:pStyle w:val="18"/>
        <w:spacing w:after="0"/>
        <w:rPr>
          <w:rFonts w:ascii="Calibri" w:hAnsi="Calibri" w:cs="Calibri"/>
          <w:sz w:val="24"/>
          <w:szCs w:val="24"/>
        </w:rPr>
      </w:pPr>
      <w:r>
        <w:rPr>
          <w:rFonts w:ascii="Calibri" w:hAnsi="Calibri" w:cs="Calibri"/>
          <w:sz w:val="24"/>
          <w:szCs w:val="24"/>
        </w:rPr>
        <w:t>24.</w:t>
      </w:r>
      <w:r>
        <w:rPr>
          <w:rFonts w:ascii="Calibri" w:hAnsi="Calibri" w:cs="Calibri"/>
          <w:sz w:val="24"/>
          <w:szCs w:val="24"/>
        </w:rPr>
        <w:tab/>
      </w:r>
      <w:r>
        <w:rPr>
          <w:rFonts w:ascii="Calibri" w:hAnsi="Calibri" w:cs="Calibri"/>
          <w:sz w:val="24"/>
          <w:szCs w:val="24"/>
        </w:rPr>
        <w:t>Yu Y, Chen J, Zhang X, et al. Identification of anti-inflammatory compounds from zhongjing formulae by knowledge mining and high-content screening in a zebrafish model of inflammatory bowel diseases. Chin Med. 2021;16(1):42.</w:t>
      </w:r>
    </w:p>
    <w:p w14:paraId="7F6C3407">
      <w:pPr>
        <w:rPr>
          <w:rFonts w:ascii="Calibri" w:hAnsi="Calibri" w:cs="Calibri"/>
          <w:sz w:val="24"/>
          <w:szCs w:val="24"/>
        </w:rPr>
      </w:pPr>
      <w:r>
        <w:rPr>
          <w:rFonts w:ascii="Calibri" w:hAnsi="Calibri" w:cs="Calibri"/>
          <w:sz w:val="24"/>
          <w:szCs w:val="24"/>
        </w:rPr>
        <w:fldChar w:fldCharType="end"/>
      </w:r>
      <w:bookmarkEnd w:id="6"/>
    </w:p>
    <w:p w14:paraId="3A99E592">
      <w:pPr>
        <w:rPr>
          <w:rFonts w:ascii="Calibri" w:hAnsi="Calibri" w:cs="Calibri"/>
          <w:sz w:val="24"/>
          <w:szCs w:val="24"/>
        </w:rPr>
      </w:pPr>
    </w:p>
    <w:sectPr>
      <w:pgSz w:w="11906" w:h="16838"/>
      <w:pgMar w:top="1440" w:right="1440" w:bottom="1440" w:left="1440" w:header="851" w:footer="992" w:gutter="0"/>
      <w:lnNumType w:countBy="1"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00000000" w:usb2="00000000" w:usb3="00000000" w:csb0="80000000" w:csb1="00000000"/>
  </w:font>
  <w:font w:name="Arial">
    <w:altName w:val="Arial"/>
    <w:panose1 w:val="020B0604020202020204"/>
    <w:charset w:val="00"/>
    <w:family w:val="swiss"/>
    <w:pitch w:val="default"/>
    <w:sig w:usb0="E0002AFF" w:usb1="C0007843" w:usb2="00000009" w:usb3="00000000" w:csb0="400001FF" w:csb1="FFFF0000"/>
  </w:font>
  <w:font w:name="黑体">
    <w:altName w:val="黑体"/>
    <w:panose1 w:val="02010609060101010101"/>
    <w:charset w:val="00"/>
    <w:family w:val="auto"/>
    <w:pitch w:val="default"/>
    <w:sig w:usb0="800002BF" w:usb1="38CF7CFA" w:usb2="00000016" w:usb3="00000000" w:csb0="00040001" w:csb1="00000000"/>
  </w:font>
  <w:font w:name="Courier New">
    <w:altName w:val="Courier New"/>
    <w:panose1 w:val="02070309020205020404"/>
    <w:charset w:val="00"/>
    <w:family w:val="modern"/>
    <w:pitch w:val="default"/>
    <w:sig w:usb0="E0002AFF" w:usb1="C0007843" w:usb2="00000009" w:usb3="00000000" w:csb0="400001FF" w:csb1="FFFF0000"/>
  </w:font>
  <w:font w:name="Symbol">
    <w:altName w:val="Symbol"/>
    <w:panose1 w:val="05050102010706020507"/>
    <w:charset w:val="00"/>
    <w:family w:val="roman"/>
    <w:pitch w:val="default"/>
    <w:sig w:usb0="00000000" w:usb1="00000000" w:usb2="00000000" w:usb3="00000000" w:csb0="80000000" w:csb1="00000000"/>
  </w:font>
  <w:font w:name="Cambria">
    <w:panose1 w:val="02040503050406030204"/>
    <w:charset w:val="00"/>
    <w:family w:val="roman"/>
    <w:pitch w:val="default"/>
    <w:sig w:usb0="00000000" w:usb1="00000000" w:usb2="00000000" w:usb3="00000000" w:csb0="0000019F" w:csb1="00000000"/>
  </w:font>
  <w:font w:name="Calibri">
    <w:panose1 w:val="020F0502020204030204"/>
    <w:charset w:val="00"/>
    <w:family w:val="swiss"/>
    <w:pitch w:val="default"/>
    <w:sig w:usb0="00000000" w:usb1="00000000" w:usb2="00000001" w:usb3="00000000" w:csb0="0000019F" w:csb1="00000000"/>
  </w:font>
  <w:font w:name="DengXian">
    <w:panose1 w:val="02010600030101010101"/>
    <w:charset w:val="86"/>
    <w:family w:val="auto"/>
    <w:pitch w:val="default"/>
    <w:sig w:usb0="00000000" w:usb1="00000000" w:usb2="00000016" w:usb3="00000000" w:csb0="0004000F" w:csb1="00000000"/>
  </w:font>
  <w:font w:name="DengXian Light">
    <w:panose1 w:val="00000000000000000000"/>
    <w:charset w:val="86"/>
    <w:family w:val="auto"/>
    <w:pitch w:val="default"/>
    <w:sig w:usb0="00000000" w:usb1="00000000" w:usb2="00000016" w:usb3="00000000" w:csb0="0004000F" w:csb1="00000000"/>
  </w:font>
  <w:font w:name="Microsoft YaHei UI">
    <w:panose1 w:val="020B0503020204020204"/>
    <w:charset w:val="86"/>
    <w:family w:val="swiss"/>
    <w:pitch w:val="default"/>
    <w:sig w:usb0="00000000" w:usb1="00000000" w:usb2="00000016" w:usb3="00000000" w:csb0="0004001F" w:csb1="00000000"/>
  </w:font>
  <w:font w:name="等线">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844E31"/>
    <w:multiLevelType w:val="multilevel"/>
    <w:tmpl w:val="22844E31"/>
    <w:lvl w:ilvl="0" w:tentative="0">
      <w:start w:val="1"/>
      <w:numFmt w:val="decimal"/>
      <w:suff w:val="space"/>
      <w:lvlText w:val="%1."/>
      <w:lvlJc w:val="left"/>
      <w:pPr>
        <w:ind w:left="360" w:hanging="360"/>
      </w:pPr>
      <w:rPr>
        <w:rFonts w:hint="default"/>
        <w:b/>
        <w:bCs w:val="0"/>
      </w:rPr>
    </w:lvl>
    <w:lvl w:ilvl="1" w:tentative="0">
      <w:start w:val="1"/>
      <w:numFmt w:val="decimal"/>
      <w:lvlText w:val="%1.%2."/>
      <w:lvlJc w:val="left"/>
      <w:pPr>
        <w:ind w:left="792" w:hanging="432"/>
      </w:pPr>
      <w:rPr>
        <w:rFonts w:hint="default"/>
        <w:b w:val="0"/>
        <w:bCs w:val="0"/>
      </w:rPr>
    </w:lvl>
    <w:lvl w:ilvl="2" w:tentative="0">
      <w:start w:val="1"/>
      <w:numFmt w:val="decimal"/>
      <w:suff w:val="space"/>
      <w:lvlText w:val="%1.%2.%3."/>
      <w:lvlJc w:val="left"/>
      <w:pPr>
        <w:ind w:left="1224" w:hanging="504"/>
      </w:pPr>
      <w:rPr>
        <w:rFonts w:hint="default"/>
        <w:b w:val="0"/>
        <w:bCs w:val="0"/>
      </w:rPr>
    </w:lvl>
    <w:lvl w:ilvl="3" w:tentative="0">
      <w:start w:val="1"/>
      <w:numFmt w:val="decimal"/>
      <w:suff w:val="space"/>
      <w:lvlText w:val="%1.%2.%3.%4."/>
      <w:lvlJc w:val="left"/>
      <w:pPr>
        <w:ind w:left="2208" w:hanging="648"/>
      </w:pPr>
      <w:rPr>
        <w:rFonts w:hint="default"/>
      </w:rPr>
    </w:lvl>
    <w:lvl w:ilvl="4" w:tentative="0">
      <w:start w:val="1"/>
      <w:numFmt w:val="decimal"/>
      <w:lvlText w:val="%1.%2.%3.%4.%5."/>
      <w:lvlJc w:val="left"/>
      <w:pPr>
        <w:ind w:left="2232" w:hanging="792"/>
      </w:pPr>
      <w:rPr>
        <w:rFonts w:hint="default"/>
      </w:rPr>
    </w:lvl>
    <w:lvl w:ilvl="5" w:tentative="0">
      <w:start w:val="1"/>
      <w:numFmt w:val="decimal"/>
      <w:lvlText w:val="%1.%2.%3.%4.%5.%6."/>
      <w:lvlJc w:val="left"/>
      <w:pPr>
        <w:ind w:left="2736" w:hanging="936"/>
      </w:pPr>
      <w:rPr>
        <w:rFonts w:hint="default"/>
      </w:rPr>
    </w:lvl>
    <w:lvl w:ilvl="6" w:tentative="0">
      <w:start w:val="1"/>
      <w:numFmt w:val="decimal"/>
      <w:lvlText w:val="%1.%2.%3.%4.%5.%6.%7."/>
      <w:lvlJc w:val="left"/>
      <w:pPr>
        <w:ind w:left="3240" w:hanging="1080"/>
      </w:pPr>
      <w:rPr>
        <w:rFonts w:hint="default"/>
      </w:rPr>
    </w:lvl>
    <w:lvl w:ilvl="7" w:tentative="0">
      <w:start w:val="1"/>
      <w:numFmt w:val="decimal"/>
      <w:lvlText w:val="%1.%2.%3.%4.%5.%6.%7.%8."/>
      <w:lvlJc w:val="left"/>
      <w:pPr>
        <w:ind w:left="3744" w:hanging="1224"/>
      </w:pPr>
      <w:rPr>
        <w:rFonts w:hint="default"/>
      </w:rPr>
    </w:lvl>
    <w:lvl w:ilvl="8" w:tentative="0">
      <w:start w:val="1"/>
      <w:numFmt w:val="decimal"/>
      <w:lvlText w:val="%1.%2.%3.%4.%5.%6.%7.%8.%9."/>
      <w:lvlJc w:val="left"/>
      <w:pPr>
        <w:ind w:left="432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semiHidden="0"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next w:val="1"/>
    <w:link w:val="14"/>
    <w:qFormat/>
    <w:uiPriority w:val="9"/>
    <w:pPr>
      <w:keepNext/>
      <w:keepLines/>
      <w:pBdr>
        <w:bottom w:val="single" w:color="D9E2F3" w:themeColor="accent1" w:themeTint="33" w:sz="8" w:space="0"/>
      </w:pBdr>
      <w:spacing w:after="200" w:line="300" w:lineRule="auto"/>
      <w:outlineLvl w:val="0"/>
    </w:pPr>
    <w:rPr>
      <w:rFonts w:eastAsia="Microsoft YaHei UI" w:asciiTheme="majorHAnsi" w:hAnsiTheme="majorHAnsi" w:cstheme="majorBidi"/>
      <w:color w:val="4472C4" w:themeColor="accent1"/>
      <w:kern w:val="0"/>
      <w:sz w:val="36"/>
      <w:szCs w:val="36"/>
      <w:lang w:val="en-US" w:eastAsia="ja-JP" w:bidi="ar-SA"/>
      <w14:textFill>
        <w14:solidFill>
          <w14:schemeClr w14:val="accent1"/>
        </w14:solidFill>
      </w14:textFill>
    </w:rPr>
  </w:style>
  <w:style w:type="paragraph" w:styleId="3">
    <w:name w:val="heading 2"/>
    <w:next w:val="1"/>
    <w:link w:val="15"/>
    <w:unhideWhenUsed/>
    <w:qFormat/>
    <w:uiPriority w:val="9"/>
    <w:pPr>
      <w:keepNext/>
      <w:keepLines/>
      <w:spacing w:before="120" w:after="120"/>
      <w:outlineLvl w:val="1"/>
    </w:pPr>
    <w:rPr>
      <w:rFonts w:eastAsia="Microsoft YaHei UI" w:asciiTheme="minorHAnsi" w:hAnsiTheme="minorHAnsi" w:cstheme="minorBidi"/>
      <w:b/>
      <w:bCs/>
      <w:color w:val="44546A" w:themeColor="text2"/>
      <w:kern w:val="0"/>
      <w:sz w:val="26"/>
      <w:szCs w:val="26"/>
      <w:lang w:val="en-US" w:eastAsia="ja-JP" w:bidi="ar-SA"/>
      <w14:textFill>
        <w14:solidFill>
          <w14:schemeClr w14:val="tx2"/>
        </w14:solidFill>
      </w14:textFill>
    </w:rPr>
  </w:style>
  <w:style w:type="paragraph" w:styleId="4">
    <w:name w:val="heading 3"/>
    <w:basedOn w:val="1"/>
    <w:next w:val="1"/>
    <w:link w:val="22"/>
    <w:unhideWhenUsed/>
    <w:qFormat/>
    <w:uiPriority w:val="9"/>
    <w:pPr>
      <w:keepNext/>
      <w:keepLines/>
      <w:spacing w:before="40"/>
      <w:outlineLvl w:val="2"/>
    </w:pPr>
    <w:rPr>
      <w:rFonts w:asciiTheme="majorHAnsi" w:hAnsiTheme="majorHAnsi" w:eastAsiaTheme="majorEastAsia" w:cstheme="majorBidi"/>
      <w:color w:val="203864" w:themeColor="accent1" w:themeShade="80"/>
      <w:sz w:val="24"/>
      <w:szCs w:val="24"/>
    </w:rPr>
  </w:style>
  <w:style w:type="character" w:default="1" w:styleId="9">
    <w:name w:val="Default Paragraph Font"/>
    <w:unhideWhenUsed/>
    <w:uiPriority w:val="1"/>
  </w:style>
  <w:style w:type="table" w:default="1" w:styleId="13">
    <w:name w:val="Normal Table"/>
    <w:unhideWhenUsed/>
    <w:uiPriority w:val="99"/>
    <w:tblPr>
      <w:tblLayout w:type="fixed"/>
      <w:tblCellMar>
        <w:top w:w="0" w:type="dxa"/>
        <w:left w:w="108" w:type="dxa"/>
        <w:bottom w:w="0" w:type="dxa"/>
        <w:right w:w="108" w:type="dxa"/>
      </w:tblCellMar>
    </w:tblPr>
  </w:style>
  <w:style w:type="paragraph" w:styleId="5">
    <w:name w:val="annotation subject"/>
    <w:basedOn w:val="6"/>
    <w:next w:val="6"/>
    <w:link w:val="21"/>
    <w:unhideWhenUsed/>
    <w:uiPriority w:val="99"/>
    <w:rPr>
      <w:b/>
      <w:bCs/>
    </w:rPr>
  </w:style>
  <w:style w:type="paragraph" w:styleId="6">
    <w:name w:val="annotation text"/>
    <w:basedOn w:val="1"/>
    <w:link w:val="20"/>
    <w:unhideWhenUsed/>
    <w:uiPriority w:val="99"/>
    <w:rPr>
      <w:sz w:val="20"/>
      <w:szCs w:val="20"/>
    </w:rPr>
  </w:style>
  <w:style w:type="paragraph" w:styleId="7">
    <w:name w:val="footer"/>
    <w:basedOn w:val="1"/>
    <w:link w:val="17"/>
    <w:unhideWhenUsed/>
    <w:uiPriority w:val="99"/>
    <w:pPr>
      <w:tabs>
        <w:tab w:val="center" w:pos="4153"/>
        <w:tab w:val="right" w:pos="8306"/>
      </w:tabs>
      <w:snapToGrid w:val="0"/>
      <w:jc w:val="left"/>
    </w:pPr>
    <w:rPr>
      <w:sz w:val="18"/>
      <w:szCs w:val="18"/>
    </w:rPr>
  </w:style>
  <w:style w:type="paragraph" w:styleId="8">
    <w:name w:val="header"/>
    <w:basedOn w:val="1"/>
    <w:link w:val="16"/>
    <w:unhideWhenUsed/>
    <w:uiPriority w:val="99"/>
    <w:pPr>
      <w:tabs>
        <w:tab w:val="center" w:pos="4153"/>
        <w:tab w:val="right" w:pos="8306"/>
      </w:tabs>
      <w:snapToGrid w:val="0"/>
      <w:jc w:val="center"/>
    </w:pPr>
    <w:rPr>
      <w:sz w:val="18"/>
      <w:szCs w:val="18"/>
    </w:rPr>
  </w:style>
  <w:style w:type="character" w:styleId="10">
    <w:name w:val="line number"/>
    <w:basedOn w:val="9"/>
    <w:unhideWhenUsed/>
    <w:uiPriority w:val="99"/>
  </w:style>
  <w:style w:type="character" w:styleId="11">
    <w:name w:val="Hyperlink"/>
    <w:basedOn w:val="9"/>
    <w:unhideWhenUsed/>
    <w:uiPriority w:val="99"/>
    <w:rPr>
      <w:color w:val="0563C1" w:themeColor="hyperlink"/>
      <w:u w:val="single"/>
      <w14:textFill>
        <w14:solidFill>
          <w14:schemeClr w14:val="hlink"/>
        </w14:solidFill>
      </w14:textFill>
    </w:rPr>
  </w:style>
  <w:style w:type="character" w:styleId="12">
    <w:name w:val="annotation reference"/>
    <w:basedOn w:val="9"/>
    <w:unhideWhenUsed/>
    <w:uiPriority w:val="99"/>
    <w:rPr>
      <w:sz w:val="16"/>
      <w:szCs w:val="16"/>
    </w:rPr>
  </w:style>
  <w:style w:type="character" w:customStyle="1" w:styleId="14">
    <w:name w:val="Heading 1 Char"/>
    <w:basedOn w:val="9"/>
    <w:link w:val="2"/>
    <w:uiPriority w:val="9"/>
    <w:rPr>
      <w:rFonts w:eastAsia="Microsoft YaHei UI" w:asciiTheme="majorHAnsi" w:hAnsiTheme="majorHAnsi" w:cstheme="majorBidi"/>
      <w:color w:val="4472C4" w:themeColor="accent1"/>
      <w:kern w:val="0"/>
      <w:sz w:val="36"/>
      <w:szCs w:val="36"/>
      <w:lang w:eastAsia="ja-JP"/>
      <w14:textFill>
        <w14:solidFill>
          <w14:schemeClr w14:val="accent1"/>
        </w14:solidFill>
      </w14:textFill>
    </w:rPr>
  </w:style>
  <w:style w:type="character" w:customStyle="1" w:styleId="15">
    <w:name w:val="Heading 2 Char"/>
    <w:basedOn w:val="9"/>
    <w:link w:val="3"/>
    <w:uiPriority w:val="9"/>
    <w:rPr>
      <w:rFonts w:eastAsia="Microsoft YaHei UI"/>
      <w:b/>
      <w:bCs/>
      <w:color w:val="44546A" w:themeColor="text2"/>
      <w:kern w:val="0"/>
      <w:sz w:val="26"/>
      <w:szCs w:val="26"/>
      <w:lang w:eastAsia="ja-JP"/>
      <w14:textFill>
        <w14:solidFill>
          <w14:schemeClr w14:val="tx2"/>
        </w14:solidFill>
      </w14:textFill>
    </w:rPr>
  </w:style>
  <w:style w:type="character" w:customStyle="1" w:styleId="16">
    <w:name w:val="Header Char"/>
    <w:basedOn w:val="9"/>
    <w:link w:val="8"/>
    <w:uiPriority w:val="99"/>
    <w:rPr>
      <w:sz w:val="18"/>
      <w:szCs w:val="18"/>
    </w:rPr>
  </w:style>
  <w:style w:type="character" w:customStyle="1" w:styleId="17">
    <w:name w:val="Footer Char"/>
    <w:basedOn w:val="9"/>
    <w:link w:val="7"/>
    <w:uiPriority w:val="99"/>
    <w:rPr>
      <w:sz w:val="18"/>
      <w:szCs w:val="18"/>
    </w:rPr>
  </w:style>
  <w:style w:type="paragraph" w:customStyle="1" w:styleId="18">
    <w:name w:val="Bibliography"/>
    <w:basedOn w:val="1"/>
    <w:next w:val="1"/>
    <w:unhideWhenUsed/>
    <w:uiPriority w:val="37"/>
    <w:pPr>
      <w:tabs>
        <w:tab w:val="left" w:pos="384"/>
      </w:tabs>
      <w:spacing w:after="240"/>
      <w:ind w:left="384" w:hanging="384"/>
    </w:pPr>
  </w:style>
  <w:style w:type="paragraph" w:customStyle="1" w:styleId="19">
    <w:name w:val="List Paragraph"/>
    <w:basedOn w:val="1"/>
    <w:qFormat/>
    <w:uiPriority w:val="34"/>
    <w:pPr>
      <w:ind w:firstLine="420" w:firstLineChars="200"/>
    </w:pPr>
  </w:style>
  <w:style w:type="character" w:customStyle="1" w:styleId="20">
    <w:name w:val="Comment Text Char"/>
    <w:basedOn w:val="9"/>
    <w:link w:val="6"/>
    <w:uiPriority w:val="99"/>
    <w:rPr>
      <w:sz w:val="20"/>
      <w:szCs w:val="20"/>
    </w:rPr>
  </w:style>
  <w:style w:type="character" w:customStyle="1" w:styleId="21">
    <w:name w:val="Comment Subject Char"/>
    <w:basedOn w:val="20"/>
    <w:link w:val="5"/>
    <w:semiHidden/>
    <w:uiPriority w:val="99"/>
    <w:rPr>
      <w:b/>
      <w:bCs/>
      <w:sz w:val="20"/>
      <w:szCs w:val="20"/>
    </w:rPr>
  </w:style>
  <w:style w:type="character" w:customStyle="1" w:styleId="22">
    <w:name w:val="Heading 3 Char"/>
    <w:basedOn w:val="9"/>
    <w:link w:val="4"/>
    <w:semiHidden/>
    <w:uiPriority w:val="9"/>
    <w:rPr>
      <w:rFonts w:asciiTheme="majorHAnsi" w:hAnsiTheme="majorHAnsi" w:eastAsiaTheme="majorEastAsia" w:cstheme="majorBidi"/>
      <w:color w:val="203864" w:themeColor="accent1" w:themeShade="80"/>
      <w:sz w:val="24"/>
      <w:szCs w:val="24"/>
    </w:rPr>
  </w:style>
  <w:style w:type="character" w:customStyle="1" w:styleId="23">
    <w:name w:val="cf01"/>
    <w:basedOn w:val="9"/>
    <w:uiPriority w:val="0"/>
    <w:rPr>
      <w:rFonts w:hint="eastAsia" w:ascii="Microsoft YaHei UI" w:hAnsi="Microsoft YaHei UI" w:eastAsia="Microsoft YaHei UI"/>
      <w:sz w:val="18"/>
      <w:szCs w:val="18"/>
    </w:rPr>
  </w:style>
  <w:style w:type="character" w:customStyle="1" w:styleId="24">
    <w:name w:val="Unresolved Mention"/>
    <w:basedOn w:val="9"/>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14</Pages>
  <Words>14273</Words>
  <Characters>81362</Characters>
  <Lines>678</Lines>
  <Paragraphs>190</Paragraphs>
  <TotalTime>0</TotalTime>
  <ScaleCrop>false</ScaleCrop>
  <LinksUpToDate>false</LinksUpToDate>
  <CharactersWithSpaces>95445</CharactersWithSpaces>
  <Application>WPS Office_0.0.0.0_F1E327BC-269C-435d-A152-05C5408002CA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2026-07-14T08:59:00Z</dcterms:created>
  <cp:lastModifiedBy>iPad</cp:lastModifiedBy>
  <dcterms:modified xsi:type="dcterms:W3CDTF">2026-07-23T11:58:15Z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zotero-version="9.0.5"&gt;&lt;session id="VsISdIM3"/&gt;&lt;style id="http://www.zotero.org/styles/vancouver-ama" locale="en-US" hasBibliography="1" bibliographyStyleHasBeenSet="1"/&gt;&lt;prefs&gt;&lt;pref name="fieldType" value="Field"/&gt;&lt;/prefs&gt;&lt;/data&gt;</vt:lpwstr>
  </property>
  <property fmtid="{D5CDD505-2E9C-101B-9397-08002B2CF9AE}" pid="3" name="GrammarlyDocumentId">
    <vt:lpwstr>320a3a75-963f-4ba6-ae5b-2b20eb17eaf7</vt:lpwstr>
  </property>
  <property fmtid="{D5CDD505-2E9C-101B-9397-08002B2CF9AE}" pid="4" name="ICV">
    <vt:lpwstr>E4561FAEDA0D5EE35879616AB1C12D8C_31</vt:lpwstr>
  </property>
  <property fmtid="{D5CDD505-2E9C-101B-9397-08002B2CF9AE}" pid="5" name="KSOProductBuildVer">
    <vt:lpwstr>2052-12.24.0</vt:lpwstr>
  </property>
</Properties>
</file>