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73C92" w14:textId="3E21C587" w:rsidR="008067AF" w:rsidRPr="00562FAF" w:rsidRDefault="004A19BD" w:rsidP="00562FAF">
      <w:pPr>
        <w:rPr>
          <w:b/>
          <w:bCs/>
          <w:color w:val="000000" w:themeColor="text1"/>
        </w:rPr>
      </w:pPr>
      <w:r w:rsidRPr="00562FAF">
        <w:rPr>
          <w:b/>
          <w:bCs/>
          <w:color w:val="000000" w:themeColor="text1"/>
        </w:rPr>
        <w:t>TITLE:</w:t>
      </w:r>
    </w:p>
    <w:p w14:paraId="17A8D3A0" w14:textId="0652D0D6" w:rsidR="00A7309F" w:rsidRPr="00562FAF" w:rsidRDefault="004A19BD" w:rsidP="00562FAF">
      <w:pPr>
        <w:rPr>
          <w:color w:val="000000" w:themeColor="text1"/>
        </w:rPr>
      </w:pPr>
      <w:r w:rsidRPr="00562FAF">
        <w:rPr>
          <w:color w:val="000000" w:themeColor="text1"/>
        </w:rPr>
        <w:t xml:space="preserve">ELISpot Assay for </w:t>
      </w:r>
      <w:bookmarkStart w:id="0" w:name="_Hlk234769753"/>
      <w:r w:rsidRPr="00562FAF">
        <w:rPr>
          <w:color w:val="000000" w:themeColor="text1"/>
        </w:rPr>
        <w:t>Quantifying Antigen-Specific and Total Antibody-Secreting Cells in Blood and Bone Marrow of Immunized Rhesus Macaques</w:t>
      </w:r>
    </w:p>
    <w:bookmarkEnd w:id="0"/>
    <w:p w14:paraId="30227CD7" w14:textId="77777777" w:rsidR="00217107" w:rsidRPr="00562FAF" w:rsidRDefault="00217107" w:rsidP="00562FAF">
      <w:pPr>
        <w:rPr>
          <w:color w:val="000000" w:themeColor="text1"/>
        </w:rPr>
      </w:pPr>
    </w:p>
    <w:p w14:paraId="686F5BF1" w14:textId="36680AA3" w:rsidR="008067AF" w:rsidRPr="00562FAF" w:rsidRDefault="004A19BD" w:rsidP="00562FAF">
      <w:pPr>
        <w:rPr>
          <w:b/>
          <w:bCs/>
          <w:color w:val="000000" w:themeColor="text1"/>
        </w:rPr>
      </w:pPr>
      <w:r w:rsidRPr="00562FAF">
        <w:rPr>
          <w:b/>
          <w:bCs/>
          <w:color w:val="000000" w:themeColor="text1"/>
        </w:rPr>
        <w:t>AUTHORS AND AFFILIATIONS:</w:t>
      </w:r>
    </w:p>
    <w:p w14:paraId="3A86E4F1" w14:textId="421E300A" w:rsidR="00CB0DC2" w:rsidRPr="00562FAF" w:rsidRDefault="004A19BD" w:rsidP="00562FAF">
      <w:pPr>
        <w:rPr>
          <w:color w:val="000000" w:themeColor="text1"/>
          <w:vertAlign w:val="superscript"/>
        </w:rPr>
      </w:pPr>
      <w:r w:rsidRPr="00562FAF">
        <w:rPr>
          <w:color w:val="000000" w:themeColor="text1"/>
        </w:rPr>
        <w:t>Manivannan Nandhagopal</w:t>
      </w:r>
      <w:r w:rsidRPr="00562FAF">
        <w:rPr>
          <w:color w:val="000000" w:themeColor="text1"/>
          <w:vertAlign w:val="superscript"/>
        </w:rPr>
        <w:t>1</w:t>
      </w:r>
      <w:r w:rsidRPr="00562FAF">
        <w:rPr>
          <w:color w:val="000000" w:themeColor="text1"/>
        </w:rPr>
        <w:t>,</w:t>
      </w:r>
      <w:r w:rsidR="00B84332" w:rsidRPr="00562FAF">
        <w:rPr>
          <w:color w:val="000000" w:themeColor="text1"/>
        </w:rPr>
        <w:t xml:space="preserve"> Nawal Ouguirti</w:t>
      </w:r>
      <w:r w:rsidR="00B84332" w:rsidRPr="00562FAF">
        <w:rPr>
          <w:color w:val="000000" w:themeColor="text1"/>
          <w:vertAlign w:val="superscript"/>
        </w:rPr>
        <w:t>1</w:t>
      </w:r>
      <w:r w:rsidR="00B84332" w:rsidRPr="00562FAF">
        <w:rPr>
          <w:color w:val="000000" w:themeColor="text1"/>
        </w:rPr>
        <w:t>,</w:t>
      </w:r>
      <w:r w:rsidRPr="00562FAF">
        <w:rPr>
          <w:color w:val="000000" w:themeColor="text1"/>
        </w:rPr>
        <w:t xml:space="preserve"> </w:t>
      </w:r>
      <w:r w:rsidR="007C404F" w:rsidRPr="00562FAF">
        <w:rPr>
          <w:color w:val="000000" w:themeColor="text1"/>
        </w:rPr>
        <w:t>Kenneth A. Rogers</w:t>
      </w:r>
      <w:r w:rsidR="007C404F" w:rsidRPr="00562FAF">
        <w:rPr>
          <w:color w:val="000000" w:themeColor="text1"/>
          <w:vertAlign w:val="superscript"/>
        </w:rPr>
        <w:t>2</w:t>
      </w:r>
      <w:r w:rsidR="007C404F" w:rsidRPr="00562FAF">
        <w:rPr>
          <w:color w:val="000000" w:themeColor="text1"/>
        </w:rPr>
        <w:t xml:space="preserve">, </w:t>
      </w:r>
      <w:r w:rsidRPr="00562FAF">
        <w:rPr>
          <w:color w:val="000000" w:themeColor="text1"/>
        </w:rPr>
        <w:t>Dan</w:t>
      </w:r>
      <w:r w:rsidR="00F96F83" w:rsidRPr="00562FAF">
        <w:rPr>
          <w:color w:val="000000" w:themeColor="text1"/>
        </w:rPr>
        <w:t>iel P.</w:t>
      </w:r>
      <w:r w:rsidRPr="00562FAF">
        <w:rPr>
          <w:color w:val="000000" w:themeColor="text1"/>
        </w:rPr>
        <w:t xml:space="preserve"> Leaman</w:t>
      </w:r>
      <w:r w:rsidR="00C93CCD" w:rsidRPr="00562FAF">
        <w:rPr>
          <w:color w:val="000000" w:themeColor="text1"/>
          <w:vertAlign w:val="superscript"/>
        </w:rPr>
        <w:t>3</w:t>
      </w:r>
      <w:r w:rsidRPr="00562FAF">
        <w:rPr>
          <w:color w:val="000000" w:themeColor="text1"/>
        </w:rPr>
        <w:t xml:space="preserve">, Michael </w:t>
      </w:r>
      <w:r w:rsidR="00F96F83" w:rsidRPr="00562FAF">
        <w:rPr>
          <w:color w:val="000000" w:themeColor="text1"/>
        </w:rPr>
        <w:t xml:space="preserve">B. </w:t>
      </w:r>
      <w:r w:rsidRPr="00562FAF">
        <w:rPr>
          <w:color w:val="000000" w:themeColor="text1"/>
        </w:rPr>
        <w:t>Zwick</w:t>
      </w:r>
      <w:r w:rsidR="00C93CCD" w:rsidRPr="00562FAF">
        <w:rPr>
          <w:color w:val="000000" w:themeColor="text1"/>
          <w:vertAlign w:val="superscript"/>
        </w:rPr>
        <w:t>3</w:t>
      </w:r>
      <w:r w:rsidRPr="00562FAF">
        <w:rPr>
          <w:color w:val="000000" w:themeColor="text1"/>
        </w:rPr>
        <w:t xml:space="preserve">, Francois </w:t>
      </w:r>
      <w:r w:rsidR="009C190C" w:rsidRPr="00562FAF">
        <w:rPr>
          <w:color w:val="000000" w:themeColor="text1"/>
        </w:rPr>
        <w:t xml:space="preserve">J. </w:t>
      </w:r>
      <w:r w:rsidRPr="00562FAF">
        <w:rPr>
          <w:color w:val="000000" w:themeColor="text1"/>
        </w:rPr>
        <w:t>Villinger</w:t>
      </w:r>
      <w:r w:rsidR="00EA6547" w:rsidRPr="00562FAF">
        <w:rPr>
          <w:color w:val="000000" w:themeColor="text1"/>
          <w:vertAlign w:val="superscript"/>
        </w:rPr>
        <w:t>1</w:t>
      </w:r>
      <w:r w:rsidR="00EA6547" w:rsidRPr="00562FAF">
        <w:rPr>
          <w:color w:val="000000" w:themeColor="text1"/>
        </w:rPr>
        <w:t>, Deepanwita</w:t>
      </w:r>
      <w:r w:rsidR="00F27F51" w:rsidRPr="00562FAF">
        <w:rPr>
          <w:color w:val="000000" w:themeColor="text1"/>
        </w:rPr>
        <w:t xml:space="preserve"> Bose</w:t>
      </w:r>
      <w:r w:rsidR="00F27F51" w:rsidRPr="00562FAF">
        <w:rPr>
          <w:color w:val="000000" w:themeColor="text1"/>
          <w:vertAlign w:val="superscript"/>
        </w:rPr>
        <w:t>1</w:t>
      </w:r>
      <w:r w:rsidR="00424C29" w:rsidRPr="00562FAF">
        <w:rPr>
          <w:color w:val="000000" w:themeColor="text1"/>
          <w:vertAlign w:val="superscript"/>
        </w:rPr>
        <w:t>*</w:t>
      </w:r>
    </w:p>
    <w:p w14:paraId="48D0DDC9" w14:textId="77777777" w:rsidR="00D1257A" w:rsidRPr="00562FAF" w:rsidRDefault="00D1257A" w:rsidP="00562FAF">
      <w:pPr>
        <w:rPr>
          <w:color w:val="000000" w:themeColor="text1"/>
        </w:rPr>
      </w:pPr>
    </w:p>
    <w:p w14:paraId="6409B522" w14:textId="17D0ED08" w:rsidR="00CB0DC2" w:rsidRPr="00562FAF" w:rsidRDefault="004A19BD" w:rsidP="00562FAF">
      <w:pPr>
        <w:rPr>
          <w:color w:val="000000" w:themeColor="text1"/>
        </w:rPr>
      </w:pPr>
      <w:r w:rsidRPr="00562FAF">
        <w:rPr>
          <w:color w:val="000000" w:themeColor="text1"/>
          <w:vertAlign w:val="superscript"/>
        </w:rPr>
        <w:t>1</w:t>
      </w:r>
      <w:r w:rsidRPr="00562FAF">
        <w:rPr>
          <w:color w:val="000000" w:themeColor="text1"/>
        </w:rPr>
        <w:t>Department of Comparative Medicine,</w:t>
      </w:r>
      <w:r w:rsidRPr="00562FAF">
        <w:rPr>
          <w:rFonts w:eastAsia="Times New Roman"/>
          <w:color w:val="000000" w:themeColor="text1"/>
        </w:rPr>
        <w:t xml:space="preserve"> </w:t>
      </w:r>
      <w:r w:rsidRPr="00562FAF">
        <w:rPr>
          <w:color w:val="000000" w:themeColor="text1"/>
        </w:rPr>
        <w:t>Michale E. Keeling Center for Comparative Medicine and Research, University of Texas, M.D. Anderson Cancer Center, Bastrop, TX</w:t>
      </w:r>
    </w:p>
    <w:p w14:paraId="24E356A1" w14:textId="2A600711" w:rsidR="00C93CCD" w:rsidRPr="00562FAF" w:rsidRDefault="004A19BD" w:rsidP="00562FAF">
      <w:pPr>
        <w:rPr>
          <w:color w:val="000000" w:themeColor="text1"/>
        </w:rPr>
      </w:pPr>
      <w:r w:rsidRPr="00562FAF">
        <w:rPr>
          <w:color w:val="000000" w:themeColor="text1"/>
          <w:vertAlign w:val="superscript"/>
        </w:rPr>
        <w:t>2</w:t>
      </w:r>
      <w:r w:rsidRPr="00562FAF">
        <w:rPr>
          <w:color w:val="000000" w:themeColor="text1"/>
        </w:rPr>
        <w:t>New Iberia Research Center, University of Louisiana at Lafayette</w:t>
      </w:r>
    </w:p>
    <w:p w14:paraId="6376D368" w14:textId="642F07E0" w:rsidR="00CB0DC2" w:rsidRPr="00562FAF" w:rsidRDefault="004A19BD" w:rsidP="00562FAF">
      <w:pPr>
        <w:rPr>
          <w:color w:val="000000" w:themeColor="text1"/>
        </w:rPr>
      </w:pPr>
      <w:r w:rsidRPr="00562FAF">
        <w:rPr>
          <w:color w:val="000000" w:themeColor="text1"/>
          <w:vertAlign w:val="superscript"/>
        </w:rPr>
        <w:t>3</w:t>
      </w:r>
      <w:r w:rsidRPr="00562FAF">
        <w:rPr>
          <w:color w:val="000000" w:themeColor="text1"/>
        </w:rPr>
        <w:t>Department of Immunology and Microbiology, Scripps Research Institute, La Jolla, CA</w:t>
      </w:r>
    </w:p>
    <w:p w14:paraId="141ABDE5" w14:textId="77777777" w:rsidR="006E4797" w:rsidRPr="00562FAF" w:rsidRDefault="006E4797" w:rsidP="00562FAF">
      <w:pPr>
        <w:pBdr>
          <w:top w:val="nil"/>
          <w:left w:val="nil"/>
          <w:bottom w:val="nil"/>
          <w:right w:val="nil"/>
          <w:between w:val="nil"/>
        </w:pBdr>
        <w:rPr>
          <w:color w:val="000000" w:themeColor="text1"/>
        </w:rPr>
      </w:pPr>
    </w:p>
    <w:p w14:paraId="629E544E" w14:textId="48317E8D" w:rsidR="002C17AD" w:rsidRPr="00562FAF" w:rsidRDefault="004A19BD" w:rsidP="00562FAF">
      <w:pPr>
        <w:pBdr>
          <w:top w:val="nil"/>
          <w:left w:val="nil"/>
          <w:bottom w:val="nil"/>
          <w:right w:val="nil"/>
          <w:between w:val="nil"/>
        </w:pBdr>
        <w:rPr>
          <w:color w:val="000000" w:themeColor="text1"/>
        </w:rPr>
      </w:pPr>
      <w:r w:rsidRPr="00562FAF">
        <w:rPr>
          <w:color w:val="000000" w:themeColor="text1"/>
        </w:rPr>
        <w:t>Email addresses of the coauthors:</w:t>
      </w:r>
    </w:p>
    <w:p w14:paraId="243DB203" w14:textId="4D221B45" w:rsidR="002C17AD" w:rsidRPr="00562FAF" w:rsidRDefault="004A19BD" w:rsidP="00562FAF">
      <w:pPr>
        <w:pBdr>
          <w:top w:val="nil"/>
          <w:left w:val="nil"/>
          <w:bottom w:val="nil"/>
          <w:right w:val="nil"/>
          <w:between w:val="nil"/>
        </w:pBdr>
        <w:rPr>
          <w:color w:val="000000" w:themeColor="text1"/>
          <w:lang w:val="fr-FR"/>
        </w:rPr>
      </w:pPr>
      <w:r w:rsidRPr="00562FAF">
        <w:rPr>
          <w:color w:val="000000" w:themeColor="text1"/>
          <w:lang w:val="fr-FR"/>
        </w:rPr>
        <w:t>Manivannan Nandhagopal</w:t>
      </w:r>
      <w:r w:rsidR="001E70F1" w:rsidRPr="00562FAF">
        <w:rPr>
          <w:color w:val="000000" w:themeColor="text1"/>
          <w:lang w:val="fr-FR"/>
        </w:rPr>
        <w:t xml:space="preserve"> </w:t>
      </w:r>
      <w:r w:rsidR="00DD56F6" w:rsidRPr="00562FAF">
        <w:rPr>
          <w:color w:val="000000" w:themeColor="text1"/>
          <w:lang w:val="fr-FR"/>
        </w:rPr>
        <w:t xml:space="preserve">                                </w:t>
      </w:r>
      <w:proofErr w:type="gramStart"/>
      <w:r w:rsidR="00DD56F6" w:rsidRPr="00562FAF">
        <w:rPr>
          <w:color w:val="000000" w:themeColor="text1"/>
          <w:lang w:val="fr-FR"/>
        </w:rPr>
        <w:t xml:space="preserve">  </w:t>
      </w:r>
      <w:r w:rsidR="00E65246" w:rsidRPr="00562FAF">
        <w:rPr>
          <w:color w:val="000000" w:themeColor="text1"/>
          <w:lang w:val="fr-FR"/>
        </w:rPr>
        <w:t xml:space="preserve"> </w:t>
      </w:r>
      <w:r w:rsidR="001E70F1" w:rsidRPr="00562FAF">
        <w:rPr>
          <w:color w:val="000000" w:themeColor="text1"/>
          <w:lang w:val="fr-FR"/>
        </w:rPr>
        <w:t>(</w:t>
      </w:r>
      <w:proofErr w:type="gramEnd"/>
      <w:r w:rsidR="001E70F1" w:rsidRPr="00562FAF">
        <w:rPr>
          <w:color w:val="000000" w:themeColor="text1"/>
          <w:lang w:val="fr-FR"/>
        </w:rPr>
        <w:t>MNandhagopal@mdanderson.org)</w:t>
      </w:r>
    </w:p>
    <w:p w14:paraId="7366FFED" w14:textId="721DC2CE" w:rsidR="00424C29" w:rsidRPr="00562FAF" w:rsidRDefault="004A19BD" w:rsidP="00562FAF">
      <w:pPr>
        <w:pBdr>
          <w:top w:val="nil"/>
          <w:left w:val="nil"/>
          <w:bottom w:val="nil"/>
          <w:right w:val="nil"/>
          <w:between w:val="nil"/>
        </w:pBdr>
        <w:rPr>
          <w:color w:val="000000" w:themeColor="text1"/>
        </w:rPr>
      </w:pPr>
      <w:r w:rsidRPr="00562FAF">
        <w:rPr>
          <w:color w:val="000000" w:themeColor="text1"/>
        </w:rPr>
        <w:t xml:space="preserve">Nawal </w:t>
      </w:r>
      <w:proofErr w:type="spellStart"/>
      <w:r w:rsidRPr="00562FAF">
        <w:rPr>
          <w:color w:val="000000" w:themeColor="text1"/>
        </w:rPr>
        <w:t>Ouguirti</w:t>
      </w:r>
      <w:proofErr w:type="spellEnd"/>
      <w:r w:rsidR="001E70F1" w:rsidRPr="00562FAF">
        <w:rPr>
          <w:color w:val="000000" w:themeColor="text1"/>
        </w:rPr>
        <w:t xml:space="preserve"> </w:t>
      </w:r>
      <w:r w:rsidR="00DD56F6" w:rsidRPr="00562FAF">
        <w:rPr>
          <w:color w:val="000000" w:themeColor="text1"/>
        </w:rPr>
        <w:t xml:space="preserve">                                                    </w:t>
      </w:r>
      <w:proofErr w:type="gramStart"/>
      <w:r w:rsidR="00DD56F6" w:rsidRPr="00562FAF">
        <w:rPr>
          <w:color w:val="000000" w:themeColor="text1"/>
        </w:rPr>
        <w:t xml:space="preserve">   </w:t>
      </w:r>
      <w:r w:rsidR="001E70F1" w:rsidRPr="00562FAF">
        <w:rPr>
          <w:color w:val="000000" w:themeColor="text1"/>
        </w:rPr>
        <w:t>(</w:t>
      </w:r>
      <w:proofErr w:type="gramEnd"/>
      <w:r w:rsidR="001E70F1" w:rsidRPr="00562FAF">
        <w:rPr>
          <w:color w:val="000000" w:themeColor="text1"/>
        </w:rPr>
        <w:t>NOuguirti@mdanderson.org)</w:t>
      </w:r>
    </w:p>
    <w:p w14:paraId="5070FE18" w14:textId="2A4F313A" w:rsidR="00424C29" w:rsidRPr="00562FAF" w:rsidRDefault="004A19BD" w:rsidP="00562FAF">
      <w:pPr>
        <w:pBdr>
          <w:top w:val="nil"/>
          <w:left w:val="nil"/>
          <w:bottom w:val="nil"/>
          <w:right w:val="nil"/>
          <w:between w:val="nil"/>
        </w:pBdr>
        <w:rPr>
          <w:color w:val="000000" w:themeColor="text1"/>
          <w:vertAlign w:val="superscript"/>
        </w:rPr>
      </w:pPr>
      <w:r w:rsidRPr="00562FAF">
        <w:rPr>
          <w:color w:val="000000" w:themeColor="text1"/>
        </w:rPr>
        <w:t>Kenneth A. Rogers</w:t>
      </w:r>
      <w:r w:rsidR="001E70F1" w:rsidRPr="00562FAF">
        <w:rPr>
          <w:color w:val="000000" w:themeColor="text1"/>
        </w:rPr>
        <w:t xml:space="preserve"> </w:t>
      </w:r>
      <w:r w:rsidR="00DD56F6" w:rsidRPr="00562FAF">
        <w:rPr>
          <w:color w:val="000000" w:themeColor="text1"/>
        </w:rPr>
        <w:t xml:space="preserve">                                              </w:t>
      </w:r>
      <w:proofErr w:type="gramStart"/>
      <w:r w:rsidR="00DD56F6" w:rsidRPr="00562FAF">
        <w:rPr>
          <w:color w:val="000000" w:themeColor="text1"/>
        </w:rPr>
        <w:t xml:space="preserve">   </w:t>
      </w:r>
      <w:r w:rsidR="001E70F1" w:rsidRPr="00562FAF">
        <w:rPr>
          <w:color w:val="000000" w:themeColor="text1"/>
        </w:rPr>
        <w:t>(</w:t>
      </w:r>
      <w:proofErr w:type="gramEnd"/>
      <w:r w:rsidR="001E70F1" w:rsidRPr="00562FAF">
        <w:rPr>
          <w:color w:val="000000" w:themeColor="text1"/>
        </w:rPr>
        <w:t>kenneth.rogers@louisiana.edu)</w:t>
      </w:r>
    </w:p>
    <w:p w14:paraId="1632EA8F" w14:textId="2C81B5CF" w:rsidR="00424C29" w:rsidRPr="00562FAF" w:rsidRDefault="004A19BD" w:rsidP="00562FAF">
      <w:pPr>
        <w:pBdr>
          <w:top w:val="nil"/>
          <w:left w:val="nil"/>
          <w:bottom w:val="nil"/>
          <w:right w:val="nil"/>
          <w:between w:val="nil"/>
        </w:pBdr>
        <w:rPr>
          <w:color w:val="000000" w:themeColor="text1"/>
        </w:rPr>
      </w:pPr>
      <w:r w:rsidRPr="00562FAF">
        <w:rPr>
          <w:color w:val="000000" w:themeColor="text1"/>
        </w:rPr>
        <w:t>Daniel P. Leaman</w:t>
      </w:r>
      <w:r w:rsidR="001E70F1" w:rsidRPr="00562FAF">
        <w:rPr>
          <w:color w:val="000000" w:themeColor="text1"/>
        </w:rPr>
        <w:t xml:space="preserve"> </w:t>
      </w:r>
      <w:r w:rsidR="00DD56F6" w:rsidRPr="00562FAF">
        <w:rPr>
          <w:color w:val="000000" w:themeColor="text1"/>
        </w:rPr>
        <w:t xml:space="preserve">                                                </w:t>
      </w:r>
      <w:proofErr w:type="gramStart"/>
      <w:r w:rsidR="00DD56F6" w:rsidRPr="00562FAF">
        <w:rPr>
          <w:color w:val="000000" w:themeColor="text1"/>
        </w:rPr>
        <w:t xml:space="preserve">   </w:t>
      </w:r>
      <w:r w:rsidR="001E70F1" w:rsidRPr="00562FAF">
        <w:rPr>
          <w:color w:val="000000" w:themeColor="text1"/>
        </w:rPr>
        <w:t>(</w:t>
      </w:r>
      <w:proofErr w:type="gramEnd"/>
      <w:r w:rsidR="001E70F1" w:rsidRPr="00562FAF">
        <w:rPr>
          <w:color w:val="000000" w:themeColor="text1"/>
        </w:rPr>
        <w:t>leamand@scripps.edu)</w:t>
      </w:r>
    </w:p>
    <w:p w14:paraId="44AEEDD1" w14:textId="209618F1" w:rsidR="00424C29" w:rsidRPr="00562FAF" w:rsidRDefault="004A19BD" w:rsidP="00562FAF">
      <w:pPr>
        <w:pBdr>
          <w:top w:val="nil"/>
          <w:left w:val="nil"/>
          <w:bottom w:val="nil"/>
          <w:right w:val="nil"/>
          <w:between w:val="nil"/>
        </w:pBdr>
        <w:rPr>
          <w:color w:val="000000" w:themeColor="text1"/>
        </w:rPr>
      </w:pPr>
      <w:r w:rsidRPr="00562FAF">
        <w:rPr>
          <w:color w:val="000000" w:themeColor="text1"/>
        </w:rPr>
        <w:t>Michael B. Zwick</w:t>
      </w:r>
      <w:r w:rsidR="001E70F1" w:rsidRPr="00562FAF">
        <w:rPr>
          <w:color w:val="000000" w:themeColor="text1"/>
        </w:rPr>
        <w:t xml:space="preserve"> </w:t>
      </w:r>
      <w:r w:rsidR="00DD56F6" w:rsidRPr="00562FAF">
        <w:rPr>
          <w:color w:val="000000" w:themeColor="text1"/>
        </w:rPr>
        <w:t xml:space="preserve">                                                 </w:t>
      </w:r>
      <w:proofErr w:type="gramStart"/>
      <w:r w:rsidR="00DD56F6" w:rsidRPr="00562FAF">
        <w:rPr>
          <w:color w:val="000000" w:themeColor="text1"/>
        </w:rPr>
        <w:t xml:space="preserve">   </w:t>
      </w:r>
      <w:r w:rsidR="001E70F1" w:rsidRPr="00562FAF">
        <w:rPr>
          <w:color w:val="000000" w:themeColor="text1"/>
        </w:rPr>
        <w:t>(</w:t>
      </w:r>
      <w:proofErr w:type="gramEnd"/>
      <w:r w:rsidR="001E70F1" w:rsidRPr="00562FAF">
        <w:rPr>
          <w:color w:val="000000" w:themeColor="text1"/>
        </w:rPr>
        <w:t>zwick@scripps.edu)</w:t>
      </w:r>
    </w:p>
    <w:p w14:paraId="42A7A741" w14:textId="6D84F25D" w:rsidR="00424C29" w:rsidRPr="00562FAF" w:rsidRDefault="004A19BD" w:rsidP="00562FAF">
      <w:pPr>
        <w:pBdr>
          <w:top w:val="nil"/>
          <w:left w:val="nil"/>
          <w:bottom w:val="nil"/>
          <w:right w:val="nil"/>
          <w:between w:val="nil"/>
        </w:pBdr>
        <w:rPr>
          <w:color w:val="000000" w:themeColor="text1"/>
          <w:lang w:val="fr-FR"/>
        </w:rPr>
      </w:pPr>
      <w:r w:rsidRPr="00562FAF">
        <w:rPr>
          <w:color w:val="000000" w:themeColor="text1"/>
          <w:lang w:val="fr-FR"/>
        </w:rPr>
        <w:t>Francois J. Villinger</w:t>
      </w:r>
      <w:r w:rsidR="001E70F1" w:rsidRPr="00562FAF">
        <w:rPr>
          <w:color w:val="000000" w:themeColor="text1"/>
          <w:lang w:val="fr-FR"/>
        </w:rPr>
        <w:t xml:space="preserve"> </w:t>
      </w:r>
      <w:r w:rsidR="00DD56F6" w:rsidRPr="00562FAF">
        <w:rPr>
          <w:color w:val="000000" w:themeColor="text1"/>
          <w:lang w:val="fr-FR"/>
        </w:rPr>
        <w:t xml:space="preserve">                                             </w:t>
      </w:r>
      <w:proofErr w:type="gramStart"/>
      <w:r w:rsidR="00DD56F6" w:rsidRPr="00562FAF">
        <w:rPr>
          <w:color w:val="000000" w:themeColor="text1"/>
          <w:lang w:val="fr-FR"/>
        </w:rPr>
        <w:t xml:space="preserve">   </w:t>
      </w:r>
      <w:r w:rsidR="001E70F1" w:rsidRPr="00562FAF">
        <w:rPr>
          <w:color w:val="000000" w:themeColor="text1"/>
          <w:lang w:val="fr-FR"/>
        </w:rPr>
        <w:t>(</w:t>
      </w:r>
      <w:proofErr w:type="gramEnd"/>
      <w:r w:rsidR="001E70F1" w:rsidRPr="00562FAF">
        <w:rPr>
          <w:color w:val="000000" w:themeColor="text1"/>
          <w:lang w:val="fr-FR"/>
        </w:rPr>
        <w:t>FJVillinger@mdanderson.org)</w:t>
      </w:r>
    </w:p>
    <w:p w14:paraId="7B72666B" w14:textId="77777777" w:rsidR="00424C29" w:rsidRPr="00562FAF" w:rsidRDefault="00424C29" w:rsidP="00562FAF">
      <w:pPr>
        <w:pBdr>
          <w:top w:val="nil"/>
          <w:left w:val="nil"/>
          <w:bottom w:val="nil"/>
          <w:right w:val="nil"/>
          <w:between w:val="nil"/>
        </w:pBdr>
        <w:rPr>
          <w:color w:val="000000" w:themeColor="text1"/>
          <w:lang w:val="fr-FR"/>
        </w:rPr>
      </w:pPr>
    </w:p>
    <w:p w14:paraId="26D67CB2" w14:textId="5C114FDA" w:rsidR="002C17AD" w:rsidRPr="00562FAF" w:rsidRDefault="004A19BD" w:rsidP="00562FAF">
      <w:pPr>
        <w:pBdr>
          <w:top w:val="nil"/>
          <w:left w:val="nil"/>
          <w:bottom w:val="nil"/>
          <w:right w:val="nil"/>
          <w:between w:val="nil"/>
        </w:pBdr>
        <w:rPr>
          <w:color w:val="000000" w:themeColor="text1"/>
        </w:rPr>
      </w:pPr>
      <w:r w:rsidRPr="00562FAF">
        <w:rPr>
          <w:color w:val="000000" w:themeColor="text1"/>
        </w:rPr>
        <w:t>*Corresponding author:</w:t>
      </w:r>
    </w:p>
    <w:p w14:paraId="17E93C0B" w14:textId="348E8650" w:rsidR="002C17AD" w:rsidRPr="00562FAF" w:rsidRDefault="004A19BD" w:rsidP="00562FAF">
      <w:pPr>
        <w:pBdr>
          <w:top w:val="nil"/>
          <w:left w:val="nil"/>
          <w:bottom w:val="nil"/>
          <w:right w:val="nil"/>
          <w:between w:val="nil"/>
        </w:pBdr>
        <w:rPr>
          <w:color w:val="000000" w:themeColor="text1"/>
        </w:rPr>
      </w:pPr>
      <w:r w:rsidRPr="00562FAF">
        <w:rPr>
          <w:color w:val="000000" w:themeColor="text1"/>
        </w:rPr>
        <w:t>Deepanwita Bose</w:t>
      </w:r>
      <w:r w:rsidR="001E70F1" w:rsidRPr="00562FAF">
        <w:rPr>
          <w:color w:val="000000" w:themeColor="text1"/>
        </w:rPr>
        <w:t xml:space="preserve"> </w:t>
      </w:r>
      <w:r w:rsidR="00DD56F6" w:rsidRPr="00562FAF">
        <w:rPr>
          <w:color w:val="000000" w:themeColor="text1"/>
        </w:rPr>
        <w:t xml:space="preserve">                                                </w:t>
      </w:r>
      <w:proofErr w:type="gramStart"/>
      <w:r w:rsidR="00DD56F6" w:rsidRPr="00562FAF">
        <w:rPr>
          <w:color w:val="000000" w:themeColor="text1"/>
        </w:rPr>
        <w:t xml:space="preserve">   </w:t>
      </w:r>
      <w:r w:rsidR="001E70F1" w:rsidRPr="00562FAF">
        <w:rPr>
          <w:color w:val="000000" w:themeColor="text1"/>
        </w:rPr>
        <w:t>(</w:t>
      </w:r>
      <w:proofErr w:type="gramEnd"/>
      <w:r w:rsidR="001E70F1" w:rsidRPr="00562FAF">
        <w:rPr>
          <w:color w:val="000000" w:themeColor="text1"/>
        </w:rPr>
        <w:t>Dbose1@mdanderson.org)</w:t>
      </w:r>
    </w:p>
    <w:p w14:paraId="3FF2E97A" w14:textId="77777777" w:rsidR="00424C29" w:rsidRPr="00562FAF" w:rsidRDefault="00424C29" w:rsidP="00562FAF">
      <w:pPr>
        <w:pBdr>
          <w:top w:val="nil"/>
          <w:left w:val="nil"/>
          <w:bottom w:val="nil"/>
          <w:right w:val="nil"/>
          <w:between w:val="nil"/>
        </w:pBdr>
        <w:rPr>
          <w:color w:val="000000" w:themeColor="text1"/>
        </w:rPr>
      </w:pPr>
    </w:p>
    <w:p w14:paraId="101A771F" w14:textId="388A97C3" w:rsidR="00A7309F" w:rsidRPr="00562FAF" w:rsidRDefault="004A19BD" w:rsidP="00562FAF">
      <w:pPr>
        <w:rPr>
          <w:b/>
          <w:color w:val="000000" w:themeColor="text1"/>
        </w:rPr>
      </w:pPr>
      <w:r w:rsidRPr="00562FAF">
        <w:rPr>
          <w:b/>
          <w:color w:val="000000" w:themeColor="text1"/>
        </w:rPr>
        <w:t>SUMMARY</w:t>
      </w:r>
      <w:r w:rsidR="008067AF" w:rsidRPr="00562FAF">
        <w:rPr>
          <w:b/>
          <w:color w:val="000000" w:themeColor="text1"/>
        </w:rPr>
        <w:t>:</w:t>
      </w:r>
    </w:p>
    <w:p w14:paraId="496CC054" w14:textId="522EBA60" w:rsidR="00303890" w:rsidRPr="00562FAF" w:rsidRDefault="004A19BD" w:rsidP="00562FAF">
      <w:pPr>
        <w:rPr>
          <w:color w:val="000000" w:themeColor="text1"/>
        </w:rPr>
      </w:pPr>
      <w:r w:rsidRPr="00562FAF">
        <w:rPr>
          <w:color w:val="000000" w:themeColor="text1"/>
        </w:rPr>
        <w:t>B</w:t>
      </w:r>
      <w:r w:rsidR="00C13A69" w:rsidRPr="00562FAF">
        <w:rPr>
          <w:color w:val="000000" w:themeColor="text1"/>
        </w:rPr>
        <w:t xml:space="preserve">-Cell ELISpot </w:t>
      </w:r>
      <w:r w:rsidR="00F96F83" w:rsidRPr="00562FAF">
        <w:rPr>
          <w:color w:val="000000" w:themeColor="text1"/>
        </w:rPr>
        <w:t>is</w:t>
      </w:r>
      <w:r w:rsidRPr="00562FAF">
        <w:rPr>
          <w:color w:val="000000" w:themeColor="text1"/>
        </w:rPr>
        <w:t xml:space="preserve"> a validated </w:t>
      </w:r>
      <w:r w:rsidR="00F96F83" w:rsidRPr="00562FAF">
        <w:rPr>
          <w:color w:val="000000" w:themeColor="text1"/>
        </w:rPr>
        <w:t xml:space="preserve">method for quantifying </w:t>
      </w:r>
      <w:r w:rsidRPr="00562FAF">
        <w:rPr>
          <w:color w:val="000000" w:themeColor="text1"/>
        </w:rPr>
        <w:t xml:space="preserve">the magnitude and durability of </w:t>
      </w:r>
      <w:r w:rsidR="008067AF" w:rsidRPr="00562FAF">
        <w:rPr>
          <w:color w:val="000000" w:themeColor="text1"/>
        </w:rPr>
        <w:t xml:space="preserve">antigen-specific IgG, IgM, and IgA long-lived plasma cells, as well as total antibody-secreting cells (ASCs), </w:t>
      </w:r>
      <w:r w:rsidR="007D7A0F" w:rsidRPr="00562FAF">
        <w:rPr>
          <w:color w:val="000000" w:themeColor="text1"/>
        </w:rPr>
        <w:t xml:space="preserve">in both blood (reflecting short-lived plasmablasts following immunization) and </w:t>
      </w:r>
      <w:r w:rsidR="00F96F83" w:rsidRPr="00562FAF">
        <w:rPr>
          <w:color w:val="000000" w:themeColor="text1"/>
        </w:rPr>
        <w:t xml:space="preserve">more durable </w:t>
      </w:r>
      <w:r w:rsidRPr="00562FAF">
        <w:rPr>
          <w:color w:val="000000" w:themeColor="text1"/>
        </w:rPr>
        <w:t xml:space="preserve">bone marrow </w:t>
      </w:r>
      <w:r w:rsidR="00F96F83" w:rsidRPr="00562FAF">
        <w:rPr>
          <w:color w:val="000000" w:themeColor="text1"/>
        </w:rPr>
        <w:t>ASCs</w:t>
      </w:r>
      <w:r w:rsidRPr="00562FAF">
        <w:rPr>
          <w:color w:val="000000" w:themeColor="text1"/>
        </w:rPr>
        <w:t>.</w:t>
      </w:r>
    </w:p>
    <w:p w14:paraId="74EFC8D7" w14:textId="77777777" w:rsidR="006E4797" w:rsidRPr="00562FAF" w:rsidRDefault="006E4797" w:rsidP="00562FAF">
      <w:pPr>
        <w:rPr>
          <w:color w:val="000000" w:themeColor="text1"/>
        </w:rPr>
      </w:pPr>
    </w:p>
    <w:p w14:paraId="6960FF94" w14:textId="5DC44940" w:rsidR="00A7309F" w:rsidRPr="00562FAF" w:rsidRDefault="004A19BD" w:rsidP="00562FAF">
      <w:pPr>
        <w:rPr>
          <w:b/>
          <w:color w:val="000000" w:themeColor="text1"/>
        </w:rPr>
      </w:pPr>
      <w:r w:rsidRPr="00562FAF">
        <w:rPr>
          <w:b/>
          <w:color w:val="000000" w:themeColor="text1"/>
        </w:rPr>
        <w:t>ABSTRACT</w:t>
      </w:r>
      <w:r w:rsidR="008067AF" w:rsidRPr="00562FAF">
        <w:rPr>
          <w:b/>
          <w:color w:val="000000" w:themeColor="text1"/>
        </w:rPr>
        <w:t>:</w:t>
      </w:r>
    </w:p>
    <w:p w14:paraId="38E4A42D" w14:textId="019BE374" w:rsidR="00AD07BE" w:rsidRPr="00562FAF" w:rsidRDefault="004A19BD" w:rsidP="00562FAF">
      <w:pPr>
        <w:rPr>
          <w:color w:val="000000" w:themeColor="text1"/>
        </w:rPr>
      </w:pPr>
      <w:r w:rsidRPr="00562FAF">
        <w:rPr>
          <w:color w:val="000000" w:themeColor="text1"/>
        </w:rPr>
        <w:t xml:space="preserve">Evaluation of novel vaccine antigens and adjuvants traditionally relies on measuring antibody titers, which require time to develop following immunization. Quantification of antibody-secreting cells (ASCs) after primary </w:t>
      </w:r>
      <w:r w:rsidR="000675FD" w:rsidRPr="00562FAF">
        <w:rPr>
          <w:color w:val="000000" w:themeColor="text1"/>
        </w:rPr>
        <w:t xml:space="preserve">and booster </w:t>
      </w:r>
      <w:r w:rsidRPr="00562FAF">
        <w:rPr>
          <w:color w:val="000000" w:themeColor="text1"/>
        </w:rPr>
        <w:t>immunization</w:t>
      </w:r>
      <w:r w:rsidR="000675FD" w:rsidRPr="00562FAF">
        <w:rPr>
          <w:color w:val="000000" w:themeColor="text1"/>
        </w:rPr>
        <w:t>s</w:t>
      </w:r>
      <w:r w:rsidRPr="00562FAF">
        <w:rPr>
          <w:color w:val="000000" w:themeColor="text1"/>
        </w:rPr>
        <w:t xml:space="preserve"> provides an earlier, mechanistically informative measure of vaccine-induced humoral immunity and can facilitate the optimization of vaccine formulations and immunization strategies. Here, a protocol for </w:t>
      </w:r>
      <w:r w:rsidR="006F3465" w:rsidRPr="00562FAF">
        <w:rPr>
          <w:color w:val="000000" w:themeColor="text1"/>
        </w:rPr>
        <w:t>enumerating</w:t>
      </w:r>
      <w:r w:rsidRPr="00562FAF">
        <w:rPr>
          <w:color w:val="000000" w:themeColor="text1"/>
        </w:rPr>
        <w:t xml:space="preserve"> ASCs from peripheral blood mononuclear cells (PBMCs) and bone marrow (BM) cells of rhesus macaques</w:t>
      </w:r>
      <w:r w:rsidR="007412F5">
        <w:rPr>
          <w:color w:val="000000" w:themeColor="text1"/>
        </w:rPr>
        <w:t xml:space="preserve"> is described</w:t>
      </w:r>
      <w:r w:rsidR="001245CB">
        <w:rPr>
          <w:color w:val="000000" w:themeColor="text1"/>
        </w:rPr>
        <w:t>; rhesus macaques are</w:t>
      </w:r>
      <w:r w:rsidRPr="00562FAF">
        <w:rPr>
          <w:color w:val="000000" w:themeColor="text1"/>
        </w:rPr>
        <w:t xml:space="preserve"> an important preclinical model for HIV vaccine research. This enzyme-linked </w:t>
      </w:r>
      <w:proofErr w:type="spellStart"/>
      <w:r w:rsidRPr="00562FAF">
        <w:rPr>
          <w:color w:val="000000" w:themeColor="text1"/>
        </w:rPr>
        <w:t>immunospot</w:t>
      </w:r>
      <w:proofErr w:type="spellEnd"/>
      <w:r w:rsidRPr="00562FAF">
        <w:rPr>
          <w:color w:val="000000" w:themeColor="text1"/>
        </w:rPr>
        <w:t xml:space="preserve"> (ELISpot) assay enables the quantification of both antigen-specific and total IgG, IgM, and IgA ASCs by measuring their absolute and relative frequencies. In peripheral blood, the assay captures the peak plasmablast response following immunization, whereas in bone marrow it detects the accumulation of antigen-specific plasma cells of different isotypes, </w:t>
      </w:r>
      <w:r w:rsidR="007412F5">
        <w:rPr>
          <w:color w:val="000000" w:themeColor="text1"/>
        </w:rPr>
        <w:t>thereby assessing</w:t>
      </w:r>
      <w:r w:rsidRPr="00562FAF">
        <w:rPr>
          <w:color w:val="000000" w:themeColor="text1"/>
        </w:rPr>
        <w:t xml:space="preserve"> the durability of </w:t>
      </w:r>
      <w:r w:rsidR="006F0183" w:rsidRPr="00562FAF">
        <w:rPr>
          <w:color w:val="000000" w:themeColor="text1"/>
        </w:rPr>
        <w:t>long-lived</w:t>
      </w:r>
      <w:r w:rsidR="000675FD" w:rsidRPr="00562FAF">
        <w:rPr>
          <w:color w:val="000000" w:themeColor="text1"/>
        </w:rPr>
        <w:t xml:space="preserve"> ASCs</w:t>
      </w:r>
      <w:r w:rsidRPr="00562FAF">
        <w:rPr>
          <w:color w:val="000000" w:themeColor="text1"/>
        </w:rPr>
        <w:t xml:space="preserve">. This protocol offers a robust and reproducible approach for evaluating immunogen and adjuvant combinations in </w:t>
      </w:r>
      <w:r w:rsidRPr="00562FAF">
        <w:rPr>
          <w:color w:val="000000" w:themeColor="text1"/>
        </w:rPr>
        <w:lastRenderedPageBreak/>
        <w:t>preclinical vaccine studies and provides valuable data to support the translation of promising vaccine candidates into clinical development.</w:t>
      </w:r>
    </w:p>
    <w:p w14:paraId="382BB497" w14:textId="77777777" w:rsidR="0017118E" w:rsidRPr="00562FAF" w:rsidRDefault="0017118E" w:rsidP="00562FAF">
      <w:pPr>
        <w:rPr>
          <w:color w:val="000000" w:themeColor="text1"/>
        </w:rPr>
      </w:pPr>
    </w:p>
    <w:p w14:paraId="68596667" w14:textId="53E28AFF" w:rsidR="006E4797" w:rsidRPr="00562FAF" w:rsidRDefault="004A19BD" w:rsidP="00562FAF">
      <w:pPr>
        <w:rPr>
          <w:b/>
          <w:color w:val="000000" w:themeColor="text1"/>
        </w:rPr>
      </w:pPr>
      <w:r w:rsidRPr="00562FAF">
        <w:rPr>
          <w:b/>
          <w:color w:val="000000" w:themeColor="text1"/>
        </w:rPr>
        <w:t>INTRODUCTION</w:t>
      </w:r>
      <w:r w:rsidR="008067AF" w:rsidRPr="00562FAF">
        <w:rPr>
          <w:b/>
          <w:color w:val="000000" w:themeColor="text1"/>
        </w:rPr>
        <w:t>:</w:t>
      </w:r>
    </w:p>
    <w:p w14:paraId="2C9DF504" w14:textId="68D93435" w:rsidR="000675FD" w:rsidRPr="00562FAF" w:rsidRDefault="000675FD" w:rsidP="00562FAF">
      <w:pPr>
        <w:rPr>
          <w:bCs/>
          <w:color w:val="000000" w:themeColor="text1"/>
          <w:lang w:val="en-IN"/>
        </w:rPr>
      </w:pPr>
      <w:r w:rsidRPr="00562FAF">
        <w:rPr>
          <w:bCs/>
          <w:color w:val="000000" w:themeColor="text1"/>
          <w:lang w:val="en-IN"/>
        </w:rPr>
        <w:t xml:space="preserve">Antibody-secreting cells (ASCs) are key components of adaptive immunity and include both short-lived plasmablasts, which are generated rapidly following immunization, and long-lived plasma cells, which are responsible for sustained antibody production. Plasmablasts are transiently detectable in peripheral blood and secondary lymphoid organs, reaching peak frequencies at defined time points following immunization that vary according to the vaccine formulation and host species (typically days 4–5 in rhesus macaques and approximately day 7 in humans). In contrast, mature plasma cells are long-lived and primarily reside within secondary lymphoid tissues and the bone marrow (BM). An effective vaccine should elicit both robust humoral and cell-mediated immune responses. Measurement of recall responses, reflected by the rapid expansion of plasmablasts in peripheral blood mononuclear cells (PBMCs) following booster immunization, provides valuable insight into </w:t>
      </w:r>
      <w:r w:rsidR="007A6791" w:rsidRPr="00562FAF">
        <w:rPr>
          <w:bCs/>
          <w:color w:val="000000" w:themeColor="text1"/>
          <w:lang w:val="en-IN"/>
        </w:rPr>
        <w:t xml:space="preserve">the magnitude of the </w:t>
      </w:r>
      <w:r w:rsidRPr="00562FAF">
        <w:rPr>
          <w:bCs/>
          <w:color w:val="000000" w:themeColor="text1"/>
          <w:lang w:val="en-IN"/>
        </w:rPr>
        <w:t>vaccine-induced immun</w:t>
      </w:r>
      <w:r w:rsidR="007A6791" w:rsidRPr="00562FAF">
        <w:rPr>
          <w:bCs/>
          <w:color w:val="000000" w:themeColor="text1"/>
          <w:lang w:val="en-IN"/>
        </w:rPr>
        <w:t>e response</w:t>
      </w:r>
      <w:r w:rsidRPr="00562FAF">
        <w:rPr>
          <w:bCs/>
          <w:color w:val="000000" w:themeColor="text1"/>
          <w:lang w:val="en-IN"/>
        </w:rPr>
        <w:t>. The overall goal of this protocol is to provide a robust method for quantifying early plasmablast and long-lived plasma cell responses following Env-specific immunization in rhesus macaques.</w:t>
      </w:r>
    </w:p>
    <w:p w14:paraId="48E8753D" w14:textId="77777777" w:rsidR="000675FD" w:rsidRPr="00562FAF" w:rsidRDefault="000675FD" w:rsidP="00562FAF">
      <w:pPr>
        <w:rPr>
          <w:bCs/>
          <w:color w:val="000000" w:themeColor="text1"/>
          <w:lang w:val="en-IN"/>
        </w:rPr>
      </w:pPr>
    </w:p>
    <w:p w14:paraId="74894E4D" w14:textId="7C237DBC" w:rsidR="00B478AE" w:rsidRPr="00562FAF" w:rsidRDefault="004A19BD" w:rsidP="00562FAF">
      <w:pPr>
        <w:rPr>
          <w:bCs/>
          <w:color w:val="000000" w:themeColor="text1"/>
          <w:lang w:val="en-IN"/>
        </w:rPr>
      </w:pPr>
      <w:r w:rsidRPr="00562FAF">
        <w:rPr>
          <w:bCs/>
          <w:color w:val="000000" w:themeColor="text1"/>
          <w:lang w:val="en-IN"/>
        </w:rPr>
        <w:t xml:space="preserve">In an </w:t>
      </w:r>
      <w:r w:rsidR="00A56D05">
        <w:rPr>
          <w:bCs/>
          <w:color w:val="000000" w:themeColor="text1"/>
          <w:lang w:val="en-IN"/>
        </w:rPr>
        <w:t>e</w:t>
      </w:r>
      <w:r w:rsidRPr="00562FAF">
        <w:rPr>
          <w:bCs/>
          <w:color w:val="000000" w:themeColor="text1"/>
          <w:lang w:val="en-IN"/>
        </w:rPr>
        <w:t>nzyme-</w:t>
      </w:r>
      <w:r w:rsidR="00A56D05">
        <w:rPr>
          <w:bCs/>
          <w:color w:val="000000" w:themeColor="text1"/>
          <w:lang w:val="en-IN"/>
        </w:rPr>
        <w:t>l</w:t>
      </w:r>
      <w:r w:rsidRPr="00562FAF">
        <w:rPr>
          <w:bCs/>
          <w:color w:val="000000" w:themeColor="text1"/>
          <w:lang w:val="en-IN"/>
        </w:rPr>
        <w:t xml:space="preserve">inked </w:t>
      </w:r>
      <w:proofErr w:type="spellStart"/>
      <w:r w:rsidR="00A56D05">
        <w:rPr>
          <w:bCs/>
          <w:color w:val="000000" w:themeColor="text1"/>
          <w:lang w:val="en-IN"/>
        </w:rPr>
        <w:t>i</w:t>
      </w:r>
      <w:r w:rsidRPr="00562FAF">
        <w:rPr>
          <w:bCs/>
          <w:color w:val="000000" w:themeColor="text1"/>
          <w:lang w:val="en-IN"/>
        </w:rPr>
        <w:t>mmunospot</w:t>
      </w:r>
      <w:proofErr w:type="spellEnd"/>
      <w:r w:rsidRPr="00562FAF">
        <w:rPr>
          <w:bCs/>
          <w:color w:val="000000" w:themeColor="text1"/>
          <w:lang w:val="en-IN"/>
        </w:rPr>
        <w:t xml:space="preserve"> (ELISpot) assay, </w:t>
      </w:r>
      <w:r w:rsidR="000675FD" w:rsidRPr="00562FAF">
        <w:rPr>
          <w:bCs/>
          <w:color w:val="000000" w:themeColor="text1"/>
          <w:lang w:val="en-IN"/>
        </w:rPr>
        <w:t xml:space="preserve">ASCs </w:t>
      </w:r>
      <w:r w:rsidRPr="00562FAF">
        <w:rPr>
          <w:bCs/>
          <w:color w:val="000000" w:themeColor="text1"/>
          <w:lang w:val="en-IN"/>
        </w:rPr>
        <w:t xml:space="preserve">are cultured in polyvinylidene fluoride (PVDF) membrane-bottom 96-well plates coated with antigen (Ag), allowing viable cells to secrete proteins that are captured directly on the membrane surface. The captured proteins are subsequently detected using antibodies in a conventional sandwich immunoassay format. In chromogenic ELISpot assays, spots are generated through the conversion of the substrate 3-amino-9-ethylcarbazole (AEC) by horseradish peroxidase (HRP) into an insoluble </w:t>
      </w:r>
      <w:proofErr w:type="spellStart"/>
      <w:r w:rsidRPr="00562FAF">
        <w:rPr>
          <w:bCs/>
          <w:color w:val="000000" w:themeColor="text1"/>
          <w:lang w:val="en-IN"/>
        </w:rPr>
        <w:t>colored</w:t>
      </w:r>
      <w:proofErr w:type="spellEnd"/>
      <w:r w:rsidRPr="00562FAF">
        <w:rPr>
          <w:bCs/>
          <w:color w:val="000000" w:themeColor="text1"/>
          <w:lang w:val="en-IN"/>
        </w:rPr>
        <w:t xml:space="preserve"> precipitate, enabling visualization and enumeration of individual antibody-secreting cells (ASCs). ELISpot offers several important advantages, including the ability to detect antigen-specific responses </w:t>
      </w:r>
      <w:r w:rsidRPr="00562FAF">
        <w:rPr>
          <w:bCs/>
          <w:i/>
          <w:iCs/>
          <w:color w:val="000000" w:themeColor="text1"/>
          <w:lang w:val="en-IN"/>
        </w:rPr>
        <w:t>ex vivo</w:t>
      </w:r>
      <w:r w:rsidRPr="00562FAF">
        <w:rPr>
          <w:bCs/>
          <w:color w:val="000000" w:themeColor="text1"/>
          <w:lang w:val="en-IN"/>
        </w:rPr>
        <w:t>, highly sensitive functional assessment of individual immune cells, and quantitative monitoring of T- and B-cell immune responses in both preclinical and clinical studies</w:t>
      </w:r>
      <w:r w:rsidRPr="00562FAF">
        <w:rPr>
          <w:bCs/>
          <w:color w:val="000000" w:themeColor="text1"/>
          <w:vertAlign w:val="superscript"/>
          <w:lang w:val="en-IN"/>
        </w:rPr>
        <w:t>1–3</w:t>
      </w:r>
      <w:r w:rsidRPr="00562FAF">
        <w:rPr>
          <w:bCs/>
          <w:color w:val="000000" w:themeColor="text1"/>
          <w:lang w:val="en-IN"/>
        </w:rPr>
        <w:t>.</w:t>
      </w:r>
    </w:p>
    <w:p w14:paraId="7FE490B5" w14:textId="77777777" w:rsidR="00B478AE" w:rsidRPr="00562FAF" w:rsidRDefault="00B478AE" w:rsidP="00562FAF">
      <w:pPr>
        <w:rPr>
          <w:bCs/>
          <w:color w:val="000000" w:themeColor="text1"/>
          <w:lang w:val="en-IN"/>
        </w:rPr>
      </w:pPr>
    </w:p>
    <w:p w14:paraId="280BEE07" w14:textId="68699ABE" w:rsidR="00B478AE" w:rsidRPr="00562FAF" w:rsidRDefault="004A19BD" w:rsidP="00562FAF">
      <w:pPr>
        <w:rPr>
          <w:bCs/>
          <w:color w:val="000000" w:themeColor="text1"/>
          <w:lang w:val="en-IN"/>
        </w:rPr>
      </w:pPr>
      <w:r w:rsidRPr="00562FAF">
        <w:rPr>
          <w:bCs/>
          <w:color w:val="000000" w:themeColor="text1"/>
          <w:lang w:val="en-IN"/>
        </w:rPr>
        <w:t xml:space="preserve">Here, a B-cell ELISpot protocol </w:t>
      </w:r>
      <w:r w:rsidR="002B44A0" w:rsidRPr="00562FAF">
        <w:rPr>
          <w:bCs/>
          <w:color w:val="000000" w:themeColor="text1"/>
          <w:lang w:val="en-IN"/>
        </w:rPr>
        <w:t xml:space="preserve">is described </w:t>
      </w:r>
      <w:r w:rsidRPr="00562FAF">
        <w:rPr>
          <w:bCs/>
          <w:color w:val="000000" w:themeColor="text1"/>
          <w:lang w:val="en-IN"/>
        </w:rPr>
        <w:t>for quantifying total and antigen-specific IgG, IgM, and IgA ASCs in peripheral blood mononuclear cells (PBMCs) and bone marrow (BM) cells from rhesus macaques. The protocol details all critical steps, including plate coating, blocking, cell seeding, assay development, spot enumeration, and data analysis, to characterize the kinetics of total and Env-specific plasmablast and plasma cell responses. This method provides a reproducible approach for evaluating and comparing the immunogenicity of different antigen and adjuvant formulations in preclinical vaccine studies and supports the optimization of vaccine strategies for subsequent clinical translation.</w:t>
      </w:r>
    </w:p>
    <w:p w14:paraId="50B8FE2E" w14:textId="77777777" w:rsidR="00AF2FB5" w:rsidRPr="00562FAF" w:rsidRDefault="00AF2FB5" w:rsidP="00562FAF">
      <w:pPr>
        <w:rPr>
          <w:b/>
          <w:color w:val="000000" w:themeColor="text1"/>
        </w:rPr>
      </w:pPr>
    </w:p>
    <w:p w14:paraId="360D1F0A" w14:textId="4EC7955D" w:rsidR="008631A3" w:rsidRPr="00562FAF" w:rsidRDefault="004A19BD" w:rsidP="00562FAF">
      <w:pPr>
        <w:rPr>
          <w:b/>
          <w:color w:val="000000" w:themeColor="text1"/>
        </w:rPr>
      </w:pPr>
      <w:r w:rsidRPr="00562FAF">
        <w:rPr>
          <w:b/>
          <w:color w:val="000000" w:themeColor="text1"/>
        </w:rPr>
        <w:t>PROTOCOL</w:t>
      </w:r>
      <w:r w:rsidR="000C5525" w:rsidRPr="00562FAF">
        <w:rPr>
          <w:b/>
          <w:color w:val="000000" w:themeColor="text1"/>
        </w:rPr>
        <w:t>:</w:t>
      </w:r>
    </w:p>
    <w:p w14:paraId="788AF017" w14:textId="6F6FBCE7" w:rsidR="007E3F38"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r w:rsidRPr="00562FAF">
        <w:rPr>
          <w:rFonts w:ascii="Calibri" w:hAnsi="Calibri" w:cs="Calibri"/>
          <w:bCs/>
          <w:color w:val="000000" w:themeColor="text1"/>
          <w:sz w:val="24"/>
          <w:szCs w:val="24"/>
          <w:lang w:val="en-IN"/>
        </w:rPr>
        <w:t xml:space="preserve">The rhesus macaques used in this protocol were sourced from the specific pathogen-free (SPF) colonies of the New Iberia Research </w:t>
      </w:r>
      <w:proofErr w:type="spellStart"/>
      <w:r w:rsidRPr="00562FAF">
        <w:rPr>
          <w:rFonts w:ascii="Calibri" w:hAnsi="Calibri" w:cs="Calibri"/>
          <w:bCs/>
          <w:color w:val="000000" w:themeColor="text1"/>
          <w:sz w:val="24"/>
          <w:szCs w:val="24"/>
          <w:lang w:val="en-IN"/>
        </w:rPr>
        <w:t>Center</w:t>
      </w:r>
      <w:proofErr w:type="spellEnd"/>
      <w:r w:rsidRPr="00562FAF">
        <w:rPr>
          <w:rFonts w:ascii="Calibri" w:hAnsi="Calibri" w:cs="Calibri"/>
          <w:bCs/>
          <w:color w:val="000000" w:themeColor="text1"/>
          <w:sz w:val="24"/>
          <w:szCs w:val="24"/>
          <w:lang w:val="en-IN"/>
        </w:rPr>
        <w:t xml:space="preserve"> and housed at the Michale E. Keeling </w:t>
      </w:r>
      <w:proofErr w:type="spellStart"/>
      <w:r w:rsidRPr="00562FAF">
        <w:rPr>
          <w:rFonts w:ascii="Calibri" w:hAnsi="Calibri" w:cs="Calibri"/>
          <w:bCs/>
          <w:color w:val="000000" w:themeColor="text1"/>
          <w:sz w:val="24"/>
          <w:szCs w:val="24"/>
          <w:lang w:val="en-IN"/>
        </w:rPr>
        <w:t>Center</w:t>
      </w:r>
      <w:proofErr w:type="spellEnd"/>
      <w:r w:rsidRPr="00562FAF">
        <w:rPr>
          <w:rFonts w:ascii="Calibri" w:hAnsi="Calibri" w:cs="Calibri"/>
          <w:bCs/>
          <w:color w:val="000000" w:themeColor="text1"/>
          <w:sz w:val="24"/>
          <w:szCs w:val="24"/>
          <w:lang w:val="en-IN"/>
        </w:rPr>
        <w:t xml:space="preserve"> for Comparative Medicine and Research, </w:t>
      </w:r>
      <w:r w:rsidR="0026017A" w:rsidRPr="00562FAF">
        <w:rPr>
          <w:rFonts w:ascii="Calibri" w:hAnsi="Calibri" w:cs="Calibri"/>
          <w:bCs/>
          <w:color w:val="000000" w:themeColor="text1"/>
          <w:sz w:val="24"/>
          <w:szCs w:val="24"/>
          <w:lang w:val="en-IN"/>
        </w:rPr>
        <w:t>t</w:t>
      </w:r>
      <w:r w:rsidRPr="00562FAF">
        <w:rPr>
          <w:rFonts w:ascii="Calibri" w:hAnsi="Calibri" w:cs="Calibri"/>
          <w:bCs/>
          <w:color w:val="000000" w:themeColor="text1"/>
          <w:sz w:val="24"/>
          <w:szCs w:val="24"/>
          <w:lang w:val="en-IN"/>
        </w:rPr>
        <w:t xml:space="preserve">he University of Texas MD Anderson Cancer </w:t>
      </w:r>
      <w:proofErr w:type="spellStart"/>
      <w:r w:rsidRPr="00562FAF">
        <w:rPr>
          <w:rFonts w:ascii="Calibri" w:hAnsi="Calibri" w:cs="Calibri"/>
          <w:bCs/>
          <w:color w:val="000000" w:themeColor="text1"/>
          <w:sz w:val="24"/>
          <w:szCs w:val="24"/>
          <w:lang w:val="en-IN"/>
        </w:rPr>
        <w:t>Center</w:t>
      </w:r>
      <w:proofErr w:type="spellEnd"/>
      <w:r w:rsidRPr="00562FAF">
        <w:rPr>
          <w:rFonts w:ascii="Calibri" w:hAnsi="Calibri" w:cs="Calibri"/>
          <w:bCs/>
          <w:color w:val="000000" w:themeColor="text1"/>
          <w:sz w:val="24"/>
          <w:szCs w:val="24"/>
          <w:lang w:val="en-IN"/>
        </w:rPr>
        <w:t xml:space="preserve">. </w:t>
      </w:r>
      <w:r w:rsidRPr="00562FAF">
        <w:rPr>
          <w:rFonts w:ascii="Calibri" w:hAnsi="Calibri" w:cs="Calibri"/>
          <w:bCs/>
          <w:color w:val="000000" w:themeColor="text1"/>
          <w:sz w:val="24"/>
          <w:szCs w:val="24"/>
          <w:lang w:val="en-IN"/>
        </w:rPr>
        <w:lastRenderedPageBreak/>
        <w:t xml:space="preserve">Animal care and all experimental procedures complied with the Guide for the Care and Use of Laboratory Animals and were approved by the </w:t>
      </w:r>
      <w:r w:rsidR="007A6791" w:rsidRPr="00562FAF">
        <w:rPr>
          <w:rFonts w:ascii="Calibri" w:hAnsi="Calibri" w:cs="Calibri"/>
          <w:bCs/>
          <w:color w:val="000000" w:themeColor="text1"/>
          <w:sz w:val="24"/>
          <w:szCs w:val="24"/>
          <w:lang w:val="en-IN"/>
        </w:rPr>
        <w:t xml:space="preserve">University of Texas MD Anderson Cancer </w:t>
      </w:r>
      <w:proofErr w:type="spellStart"/>
      <w:r w:rsidR="007A6791" w:rsidRPr="00562FAF">
        <w:rPr>
          <w:rFonts w:ascii="Calibri" w:hAnsi="Calibri" w:cs="Calibri"/>
          <w:bCs/>
          <w:color w:val="000000" w:themeColor="text1"/>
          <w:sz w:val="24"/>
          <w:szCs w:val="24"/>
          <w:lang w:val="en-IN"/>
        </w:rPr>
        <w:t>Center</w:t>
      </w:r>
      <w:proofErr w:type="spellEnd"/>
      <w:r w:rsidR="007A6791" w:rsidRPr="00562FAF">
        <w:rPr>
          <w:rFonts w:ascii="Calibri" w:hAnsi="Calibri" w:cs="Calibri"/>
          <w:bCs/>
          <w:color w:val="000000" w:themeColor="text1"/>
          <w:sz w:val="24"/>
          <w:szCs w:val="24"/>
          <w:lang w:val="en-IN"/>
        </w:rPr>
        <w:t xml:space="preserve"> </w:t>
      </w:r>
      <w:r w:rsidRPr="00562FAF">
        <w:rPr>
          <w:rFonts w:ascii="Calibri" w:hAnsi="Calibri" w:cs="Calibri"/>
          <w:bCs/>
          <w:color w:val="000000" w:themeColor="text1"/>
          <w:sz w:val="24"/>
          <w:szCs w:val="24"/>
          <w:lang w:val="en-IN"/>
        </w:rPr>
        <w:t>Institutional Animal Care and Use Committee (Protocol #2616RN00).</w:t>
      </w:r>
    </w:p>
    <w:p w14:paraId="1361840E" w14:textId="77777777" w:rsidR="003F37F0" w:rsidRPr="00562FAF" w:rsidRDefault="003F37F0"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p>
    <w:p w14:paraId="3DB68FA1" w14:textId="39D7FC36" w:rsidR="003F37F0" w:rsidRPr="00562FAF" w:rsidRDefault="00A12DA5" w:rsidP="00562FAF">
      <w:r w:rsidRPr="00562FAF">
        <w:t>This</w:t>
      </w:r>
      <w:r w:rsidR="003F37F0" w:rsidRPr="00562FAF">
        <w:t xml:space="preserve"> protocol represents an optimization of the technique described </w:t>
      </w:r>
      <w:r w:rsidRPr="00562FAF">
        <w:t>in previous immunization pre-clinical studies</w:t>
      </w:r>
      <w:r w:rsidRPr="00562FAF">
        <w:rPr>
          <w:vertAlign w:val="superscript"/>
        </w:rPr>
        <w:t>4–7</w:t>
      </w:r>
      <w:r w:rsidRPr="00562FAF">
        <w:t xml:space="preserve">, developed to detect </w:t>
      </w:r>
      <w:r w:rsidR="003F37F0" w:rsidRPr="00562FAF">
        <w:t>ASC responses. The protocol below describes the ELISpot procedure using fresh peripheral blood mononuclear cells (PBMCs) and bone marrow (BM) cell preparations from rhesus macaques involved in an HIV experimental vaccine protocol.</w:t>
      </w:r>
    </w:p>
    <w:p w14:paraId="5E63B709" w14:textId="77777777" w:rsidR="0062725A" w:rsidRPr="00562FAF" w:rsidRDefault="0062725A"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p>
    <w:p w14:paraId="0529A316" w14:textId="77777777" w:rsidR="007E3F38"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r w:rsidRPr="00562FAF">
        <w:rPr>
          <w:rFonts w:ascii="Calibri" w:hAnsi="Calibri" w:cs="Calibri"/>
          <w:color w:val="000000" w:themeColor="text1"/>
          <w:sz w:val="24"/>
          <w:szCs w:val="24"/>
          <w:lang w:val="en-IN"/>
        </w:rPr>
        <w:t>NOTE:</w:t>
      </w:r>
      <w:r w:rsidRPr="00562FAF">
        <w:rPr>
          <w:rFonts w:ascii="Calibri" w:hAnsi="Calibri" w:cs="Calibri"/>
          <w:bCs/>
          <w:color w:val="000000" w:themeColor="text1"/>
          <w:sz w:val="24"/>
          <w:szCs w:val="24"/>
          <w:lang w:val="en-IN"/>
        </w:rPr>
        <w:t xml:space="preserve"> Perform all procedures from Sections 1–4 in a certified Class II biosafety cabinet using aseptic technique. Use multichannel pipettes whenever possible.</w:t>
      </w:r>
    </w:p>
    <w:p w14:paraId="36C32E56" w14:textId="77777777" w:rsidR="0062725A" w:rsidRPr="00562FAF" w:rsidRDefault="0062725A"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p>
    <w:p w14:paraId="296238DE" w14:textId="77777777" w:rsidR="007E3F38"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r w:rsidRPr="00562FAF">
        <w:rPr>
          <w:rFonts w:ascii="Calibri" w:hAnsi="Calibri" w:cs="Calibri"/>
          <w:b/>
          <w:bCs/>
          <w:color w:val="000000" w:themeColor="text1"/>
          <w:sz w:val="24"/>
          <w:szCs w:val="24"/>
          <w:lang w:val="en-IN"/>
        </w:rPr>
        <w:t>1. Preparation of ELISpot plates</w:t>
      </w:r>
    </w:p>
    <w:p w14:paraId="721D2713" w14:textId="77777777" w:rsidR="002444F8" w:rsidRPr="00562FAF" w:rsidRDefault="002444F8"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382C6721" w14:textId="319164A1" w:rsidR="007E3F38"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1.1. Coat the ELISpot plates</w:t>
      </w:r>
    </w:p>
    <w:p w14:paraId="758031BE" w14:textId="77777777" w:rsidR="002444F8" w:rsidRPr="00E93DF0" w:rsidRDefault="002444F8"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highlight w:val="yellow"/>
          <w:lang w:val="en-IN"/>
        </w:rPr>
      </w:pPr>
    </w:p>
    <w:p w14:paraId="1A7D2599" w14:textId="0E6B6436" w:rsidR="007E3F38"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 xml:space="preserve">1.1.1. Coat </w:t>
      </w:r>
      <w:r w:rsidR="007A6791" w:rsidRPr="00E93DF0">
        <w:rPr>
          <w:rFonts w:ascii="Calibri" w:hAnsi="Calibri" w:cs="Calibri"/>
          <w:color w:val="000000" w:themeColor="text1"/>
          <w:sz w:val="24"/>
          <w:szCs w:val="24"/>
          <w:highlight w:val="yellow"/>
          <w:lang w:val="en-IN"/>
        </w:rPr>
        <w:t xml:space="preserve">the </w:t>
      </w:r>
      <w:r w:rsidR="008B470C" w:rsidRPr="00E93DF0">
        <w:rPr>
          <w:rFonts w:ascii="Calibri" w:hAnsi="Calibri" w:cs="Calibri"/>
          <w:color w:val="000000" w:themeColor="text1"/>
          <w:sz w:val="24"/>
          <w:szCs w:val="24"/>
          <w:highlight w:val="yellow"/>
          <w:lang w:val="en-IN"/>
        </w:rPr>
        <w:t>t</w:t>
      </w:r>
      <w:r w:rsidR="007A6791" w:rsidRPr="00E93DF0">
        <w:rPr>
          <w:rFonts w:ascii="Calibri" w:hAnsi="Calibri" w:cs="Calibri"/>
          <w:color w:val="000000" w:themeColor="text1"/>
          <w:sz w:val="24"/>
          <w:szCs w:val="24"/>
          <w:highlight w:val="yellow"/>
          <w:lang w:val="en-IN"/>
        </w:rPr>
        <w:t xml:space="preserve">otal </w:t>
      </w:r>
      <w:r w:rsidR="008B470C" w:rsidRPr="00E93DF0">
        <w:rPr>
          <w:rFonts w:ascii="Calibri" w:hAnsi="Calibri" w:cs="Calibri"/>
          <w:color w:val="000000" w:themeColor="text1"/>
          <w:sz w:val="24"/>
          <w:szCs w:val="24"/>
          <w:highlight w:val="yellow"/>
          <w:lang w:val="en-IN"/>
        </w:rPr>
        <w:t>i</w:t>
      </w:r>
      <w:r w:rsidR="007A6791" w:rsidRPr="00E93DF0">
        <w:rPr>
          <w:rFonts w:ascii="Calibri" w:hAnsi="Calibri" w:cs="Calibri"/>
          <w:color w:val="000000" w:themeColor="text1"/>
          <w:sz w:val="24"/>
          <w:szCs w:val="24"/>
          <w:highlight w:val="yellow"/>
          <w:lang w:val="en-IN"/>
        </w:rPr>
        <w:t xml:space="preserve">mmunoglobulin (Ig) </w:t>
      </w:r>
      <w:r w:rsidR="008B470C" w:rsidRPr="00E93DF0">
        <w:rPr>
          <w:rFonts w:ascii="Calibri" w:hAnsi="Calibri" w:cs="Calibri"/>
          <w:color w:val="000000" w:themeColor="text1"/>
          <w:sz w:val="24"/>
          <w:szCs w:val="24"/>
          <w:highlight w:val="yellow"/>
          <w:lang w:val="en-IN"/>
        </w:rPr>
        <w:t>p</w:t>
      </w:r>
      <w:r w:rsidRPr="00E93DF0">
        <w:rPr>
          <w:rFonts w:ascii="Calibri" w:hAnsi="Calibri" w:cs="Calibri"/>
          <w:color w:val="000000" w:themeColor="text1"/>
          <w:sz w:val="24"/>
          <w:szCs w:val="24"/>
          <w:highlight w:val="yellow"/>
          <w:lang w:val="en-IN"/>
        </w:rPr>
        <w:t>lates 1 and 3 with 100 µL/well of 5 µg/mL unconjugated goat anti-monkey IgG + IgM + IgA diluted in sterile DPBS. Incubate the plates at 4 °C for at least 8 h, preferably overnight</w:t>
      </w:r>
      <w:r w:rsidR="00372159" w:rsidRPr="00E93DF0">
        <w:rPr>
          <w:rFonts w:ascii="Calibri" w:hAnsi="Calibri" w:cs="Calibri"/>
          <w:color w:val="000000" w:themeColor="text1"/>
          <w:sz w:val="24"/>
          <w:szCs w:val="24"/>
          <w:highlight w:val="yellow"/>
          <w:lang w:val="en-IN"/>
        </w:rPr>
        <w:t xml:space="preserve"> </w:t>
      </w:r>
      <w:r w:rsidR="00607C78" w:rsidRPr="00E93DF0">
        <w:rPr>
          <w:rFonts w:ascii="Calibri" w:hAnsi="Calibri" w:cs="Calibri"/>
          <w:color w:val="000000" w:themeColor="text1"/>
          <w:sz w:val="24"/>
          <w:szCs w:val="24"/>
          <w:highlight w:val="yellow"/>
          <w:lang w:val="en-IN"/>
        </w:rPr>
        <w:t>(</w:t>
      </w:r>
      <w:r w:rsidR="00607C78" w:rsidRPr="00E93DF0">
        <w:rPr>
          <w:rFonts w:ascii="Calibri" w:hAnsi="Calibri" w:cs="Calibri"/>
          <w:b/>
          <w:bCs/>
          <w:color w:val="000000" w:themeColor="text1"/>
          <w:sz w:val="24"/>
          <w:szCs w:val="24"/>
          <w:highlight w:val="yellow"/>
          <w:lang w:val="en-IN"/>
        </w:rPr>
        <w:t>Figure 1</w:t>
      </w:r>
      <w:proofErr w:type="gramStart"/>
      <w:r w:rsidR="00607C78" w:rsidRPr="00E93DF0">
        <w:rPr>
          <w:rFonts w:ascii="Calibri" w:hAnsi="Calibri" w:cs="Calibri"/>
          <w:b/>
          <w:bCs/>
          <w:color w:val="000000" w:themeColor="text1"/>
          <w:sz w:val="24"/>
          <w:szCs w:val="24"/>
          <w:highlight w:val="yellow"/>
          <w:lang w:val="en-IN"/>
        </w:rPr>
        <w:t>A</w:t>
      </w:r>
      <w:r w:rsidR="00C74FFA" w:rsidRPr="00E93DF0">
        <w:rPr>
          <w:rFonts w:ascii="Calibri" w:hAnsi="Calibri" w:cs="Calibri"/>
          <w:b/>
          <w:bCs/>
          <w:color w:val="000000" w:themeColor="text1"/>
          <w:sz w:val="24"/>
          <w:szCs w:val="24"/>
          <w:highlight w:val="yellow"/>
          <w:lang w:val="en-IN"/>
        </w:rPr>
        <w:t>,C</w:t>
      </w:r>
      <w:proofErr w:type="gramEnd"/>
      <w:r w:rsidR="00C74FFA" w:rsidRPr="00E93DF0">
        <w:rPr>
          <w:rFonts w:ascii="Calibri" w:hAnsi="Calibri" w:cs="Calibri"/>
          <w:color w:val="000000" w:themeColor="text1"/>
          <w:sz w:val="24"/>
          <w:szCs w:val="24"/>
          <w:highlight w:val="yellow"/>
          <w:lang w:val="en-IN"/>
        </w:rPr>
        <w:t>)</w:t>
      </w:r>
      <w:r w:rsidRPr="00E93DF0">
        <w:rPr>
          <w:rFonts w:ascii="Calibri" w:hAnsi="Calibri" w:cs="Calibri"/>
          <w:color w:val="000000" w:themeColor="text1"/>
          <w:sz w:val="24"/>
          <w:szCs w:val="24"/>
          <w:highlight w:val="yellow"/>
          <w:lang w:val="en-IN"/>
        </w:rPr>
        <w:t>.</w:t>
      </w:r>
    </w:p>
    <w:p w14:paraId="701AB12D" w14:textId="77777777" w:rsidR="00C74FFA" w:rsidRPr="00E93DF0"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4E18126F" w14:textId="4B36603F" w:rsidR="007E3F38"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 xml:space="preserve">1.1.2. Coat </w:t>
      </w:r>
      <w:r w:rsidR="007A6791" w:rsidRPr="00E93DF0">
        <w:rPr>
          <w:rFonts w:ascii="Calibri" w:hAnsi="Calibri" w:cs="Calibri"/>
          <w:color w:val="000000" w:themeColor="text1"/>
          <w:sz w:val="24"/>
          <w:szCs w:val="24"/>
          <w:highlight w:val="yellow"/>
          <w:lang w:val="en-IN"/>
        </w:rPr>
        <w:t xml:space="preserve">the </w:t>
      </w:r>
      <w:r w:rsidR="008B470C" w:rsidRPr="00E93DF0">
        <w:rPr>
          <w:rFonts w:ascii="Calibri" w:hAnsi="Calibri" w:cs="Calibri"/>
          <w:color w:val="000000" w:themeColor="text1"/>
          <w:sz w:val="24"/>
          <w:szCs w:val="24"/>
          <w:highlight w:val="yellow"/>
          <w:lang w:val="en-IN"/>
        </w:rPr>
        <w:t>antigen-specific</w:t>
      </w:r>
      <w:r w:rsidR="007A6791" w:rsidRPr="00E93DF0">
        <w:rPr>
          <w:rFonts w:ascii="Calibri" w:hAnsi="Calibri" w:cs="Calibri"/>
          <w:color w:val="000000" w:themeColor="text1"/>
          <w:sz w:val="24"/>
          <w:szCs w:val="24"/>
          <w:highlight w:val="yellow"/>
          <w:lang w:val="en-IN"/>
        </w:rPr>
        <w:t xml:space="preserve"> </w:t>
      </w:r>
      <w:r w:rsidR="008B470C" w:rsidRPr="00E93DF0">
        <w:rPr>
          <w:rFonts w:ascii="Calibri" w:hAnsi="Calibri" w:cs="Calibri"/>
          <w:color w:val="000000" w:themeColor="text1"/>
          <w:sz w:val="24"/>
          <w:szCs w:val="24"/>
          <w:highlight w:val="yellow"/>
          <w:lang w:val="en-IN"/>
        </w:rPr>
        <w:t>p</w:t>
      </w:r>
      <w:r w:rsidRPr="00E93DF0">
        <w:rPr>
          <w:rFonts w:ascii="Calibri" w:hAnsi="Calibri" w:cs="Calibri"/>
          <w:color w:val="000000" w:themeColor="text1"/>
          <w:sz w:val="24"/>
          <w:szCs w:val="24"/>
          <w:highlight w:val="yellow"/>
          <w:lang w:val="en-IN"/>
        </w:rPr>
        <w:t xml:space="preserve">lates 2 and 4 with 100 µL/well of 20 µg/mL </w:t>
      </w:r>
      <w:r w:rsidRPr="00E93DF0">
        <w:rPr>
          <w:rFonts w:ascii="Calibri" w:hAnsi="Calibri" w:cs="Calibri"/>
          <w:i/>
          <w:iCs/>
          <w:color w:val="000000" w:themeColor="text1"/>
          <w:sz w:val="24"/>
          <w:szCs w:val="24"/>
          <w:highlight w:val="yellow"/>
          <w:lang w:val="en-IN"/>
        </w:rPr>
        <w:t>Galanthus nivalis</w:t>
      </w:r>
      <w:r w:rsidRPr="00E93DF0">
        <w:rPr>
          <w:rFonts w:ascii="Calibri" w:hAnsi="Calibri" w:cs="Calibri"/>
          <w:color w:val="000000" w:themeColor="text1"/>
          <w:sz w:val="24"/>
          <w:szCs w:val="24"/>
          <w:highlight w:val="yellow"/>
          <w:lang w:val="en-IN"/>
        </w:rPr>
        <w:t xml:space="preserve"> lectin (GNL) diluted in DPBS. Incubate the plates at 4 °C for at least 8 h, preferably overnight</w:t>
      </w:r>
      <w:r w:rsidR="00C74FFA" w:rsidRPr="00E93DF0">
        <w:rPr>
          <w:rFonts w:ascii="Calibri" w:hAnsi="Calibri" w:cs="Calibri"/>
          <w:color w:val="000000" w:themeColor="text1"/>
          <w:sz w:val="24"/>
          <w:szCs w:val="24"/>
          <w:highlight w:val="yellow"/>
          <w:lang w:val="en-IN"/>
        </w:rPr>
        <w:t xml:space="preserve"> (</w:t>
      </w:r>
      <w:r w:rsidR="00C74FFA" w:rsidRPr="00E93DF0">
        <w:rPr>
          <w:rFonts w:ascii="Calibri" w:hAnsi="Calibri" w:cs="Calibri"/>
          <w:b/>
          <w:bCs/>
          <w:color w:val="000000" w:themeColor="text1"/>
          <w:sz w:val="24"/>
          <w:szCs w:val="24"/>
          <w:highlight w:val="yellow"/>
          <w:lang w:val="en-IN"/>
        </w:rPr>
        <w:t>Figure 1</w:t>
      </w:r>
      <w:proofErr w:type="gramStart"/>
      <w:r w:rsidR="00C74FFA" w:rsidRPr="00E93DF0">
        <w:rPr>
          <w:rFonts w:ascii="Calibri" w:hAnsi="Calibri" w:cs="Calibri"/>
          <w:b/>
          <w:bCs/>
          <w:color w:val="000000" w:themeColor="text1"/>
          <w:sz w:val="24"/>
          <w:szCs w:val="24"/>
          <w:highlight w:val="yellow"/>
          <w:lang w:val="en-IN"/>
        </w:rPr>
        <w:t>B,D</w:t>
      </w:r>
      <w:proofErr w:type="gramEnd"/>
      <w:r w:rsidR="00C74FFA" w:rsidRPr="00E93DF0">
        <w:rPr>
          <w:rFonts w:ascii="Calibri" w:hAnsi="Calibri" w:cs="Calibri"/>
          <w:color w:val="000000" w:themeColor="text1"/>
          <w:sz w:val="24"/>
          <w:szCs w:val="24"/>
          <w:highlight w:val="yellow"/>
          <w:lang w:val="en-IN"/>
        </w:rPr>
        <w:t>)</w:t>
      </w:r>
      <w:r w:rsidRPr="00E93DF0">
        <w:rPr>
          <w:rFonts w:ascii="Calibri" w:hAnsi="Calibri" w:cs="Calibri"/>
          <w:color w:val="000000" w:themeColor="text1"/>
          <w:sz w:val="24"/>
          <w:szCs w:val="24"/>
          <w:highlight w:val="yellow"/>
          <w:lang w:val="en-IN"/>
        </w:rPr>
        <w:t>.</w:t>
      </w:r>
    </w:p>
    <w:p w14:paraId="448E8C6D" w14:textId="77777777" w:rsidR="00C74FFA" w:rsidRPr="00E93DF0"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0C87FA7A" w14:textId="77777777" w:rsidR="007E3F38"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1.1.3. Store the coated plates at 4 °C until use.</w:t>
      </w:r>
    </w:p>
    <w:p w14:paraId="219C5455" w14:textId="77777777" w:rsidR="00C74FFA" w:rsidRPr="00E93DF0"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57A0DF1A" w14:textId="68560EF4" w:rsidR="007E3F38" w:rsidRPr="00934F08"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934F08">
        <w:rPr>
          <w:rFonts w:ascii="Calibri" w:hAnsi="Calibri" w:cs="Calibri"/>
          <w:color w:val="000000" w:themeColor="text1"/>
          <w:sz w:val="24"/>
          <w:szCs w:val="24"/>
          <w:lang w:val="en-IN"/>
        </w:rPr>
        <w:t>1.2. Wash and block the total immunoglobulin plates</w:t>
      </w:r>
    </w:p>
    <w:p w14:paraId="3B343451" w14:textId="77777777" w:rsidR="00C74FFA" w:rsidRPr="00E93DF0"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519BDEE8" w14:textId="7962400D" w:rsidR="007E3F38"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E93DF0">
        <w:rPr>
          <w:rFonts w:ascii="Calibri" w:hAnsi="Calibri" w:cs="Calibri"/>
          <w:color w:val="000000" w:themeColor="text1"/>
          <w:sz w:val="24"/>
          <w:szCs w:val="24"/>
          <w:lang w:val="en-IN"/>
        </w:rPr>
        <w:t xml:space="preserve">1.2.1. Remove the coating solution from </w:t>
      </w:r>
      <w:r w:rsidR="00562FAF" w:rsidRPr="00E93DF0">
        <w:rPr>
          <w:rFonts w:ascii="Calibri" w:hAnsi="Calibri" w:cs="Calibri"/>
          <w:color w:val="000000" w:themeColor="text1"/>
          <w:sz w:val="24"/>
          <w:szCs w:val="24"/>
          <w:lang w:val="en-IN"/>
        </w:rPr>
        <w:t>p</w:t>
      </w:r>
      <w:r w:rsidRPr="00E93DF0">
        <w:rPr>
          <w:rFonts w:ascii="Calibri" w:hAnsi="Calibri" w:cs="Calibri"/>
          <w:color w:val="000000" w:themeColor="text1"/>
          <w:sz w:val="24"/>
          <w:szCs w:val="24"/>
          <w:lang w:val="en-IN"/>
        </w:rPr>
        <w:t>lates 1 and 3 by rapidly inverting each plate over a waste container. Tap the inverted plate firmly on absorbent paper to remove residual liquid.</w:t>
      </w:r>
    </w:p>
    <w:p w14:paraId="2FBDE841" w14:textId="77777777" w:rsidR="00C74FFA" w:rsidRPr="00E93DF0"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63C34AC9" w14:textId="77777777" w:rsidR="007E3F38"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E93DF0">
        <w:rPr>
          <w:rFonts w:ascii="Calibri" w:hAnsi="Calibri" w:cs="Calibri"/>
          <w:color w:val="000000" w:themeColor="text1"/>
          <w:sz w:val="24"/>
          <w:szCs w:val="24"/>
          <w:lang w:val="en-IN"/>
        </w:rPr>
        <w:t>1.2.2. Wash each plate twice with 200 µL/well PBS containing 0.05% Tween 20. Then wash the plates twice with 200 µL/well DPBS to remove residual detergent.</w:t>
      </w:r>
    </w:p>
    <w:p w14:paraId="7F316D37" w14:textId="77777777" w:rsidR="00C74FFA" w:rsidRPr="00562FAF"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5618FF6C" w14:textId="77777777" w:rsidR="007E3F38"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NOTE: Tween 20 is cytotoxic. Remove it completely before seeding cells.</w:t>
      </w:r>
    </w:p>
    <w:p w14:paraId="07FE0741" w14:textId="77777777" w:rsidR="00C74FFA" w:rsidRPr="00562FAF"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180BBC7C" w14:textId="77777777" w:rsidR="007E3F38"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1.2.3. Add 200 µL/well RPMI-10 to each well. Incubate the plates for 2 h at 37 °C in a humidified incubator.</w:t>
      </w:r>
    </w:p>
    <w:p w14:paraId="06A2C167" w14:textId="77777777" w:rsidR="00C74FFA" w:rsidRPr="00562FAF"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64128B80" w14:textId="20E0D07F" w:rsidR="00BC5167"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1.3. Wash and block the antigen-specific plates</w:t>
      </w:r>
    </w:p>
    <w:p w14:paraId="354A968A" w14:textId="77777777" w:rsidR="00C74FFA" w:rsidRPr="00E93DF0"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367E9D72" w14:textId="7AB8F6D9"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E93DF0">
        <w:rPr>
          <w:rFonts w:ascii="Calibri" w:hAnsi="Calibri" w:cs="Calibri"/>
          <w:color w:val="000000" w:themeColor="text1"/>
          <w:sz w:val="24"/>
          <w:szCs w:val="24"/>
          <w:highlight w:val="yellow"/>
          <w:lang w:val="en-IN"/>
        </w:rPr>
        <w:t xml:space="preserve">1.3.1. Remove the GNL coating solution from </w:t>
      </w:r>
      <w:r w:rsidR="003504F8" w:rsidRPr="00E93DF0">
        <w:rPr>
          <w:rFonts w:ascii="Calibri" w:hAnsi="Calibri" w:cs="Calibri"/>
          <w:color w:val="000000" w:themeColor="text1"/>
          <w:sz w:val="24"/>
          <w:szCs w:val="24"/>
          <w:highlight w:val="yellow"/>
          <w:lang w:val="en-IN"/>
        </w:rPr>
        <w:t>p</w:t>
      </w:r>
      <w:r w:rsidRPr="00E93DF0">
        <w:rPr>
          <w:rFonts w:ascii="Calibri" w:hAnsi="Calibri" w:cs="Calibri"/>
          <w:color w:val="000000" w:themeColor="text1"/>
          <w:sz w:val="24"/>
          <w:szCs w:val="24"/>
          <w:highlight w:val="yellow"/>
          <w:lang w:val="en-IN"/>
        </w:rPr>
        <w:t>lates 2 and 4 by rapidly inverting each plate over a waste container. Tap the inverted plates firmly on absorbent paper to remove residual liquid.</w:t>
      </w:r>
    </w:p>
    <w:p w14:paraId="5CF95512" w14:textId="77777777" w:rsidR="00C74FFA" w:rsidRPr="00562FAF"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326AE021"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E93DF0">
        <w:rPr>
          <w:rFonts w:ascii="Calibri" w:hAnsi="Calibri" w:cs="Calibri"/>
          <w:color w:val="000000" w:themeColor="text1"/>
          <w:sz w:val="24"/>
          <w:szCs w:val="24"/>
          <w:highlight w:val="yellow"/>
          <w:lang w:val="en-IN"/>
        </w:rPr>
        <w:lastRenderedPageBreak/>
        <w:t>1.3.2. Wash each plate four times with 200 µL/well DPBS.</w:t>
      </w:r>
    </w:p>
    <w:p w14:paraId="213C56AE" w14:textId="77777777" w:rsidR="00C74FFA" w:rsidRPr="00562FAF"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492510EE"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NOTE: Do not use PBS containing Tween 20 for GNL-coated plates.</w:t>
      </w:r>
    </w:p>
    <w:p w14:paraId="72731FE4" w14:textId="77777777" w:rsidR="00C74FFA" w:rsidRPr="00562FAF"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2E07441E" w14:textId="77777777" w:rsidR="00BC5167"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1.3.3. Add 200 µL/well RPMI-10 to each well. Incubate the plates for 2 h at 37 °C in a humidified incubator.</w:t>
      </w:r>
    </w:p>
    <w:p w14:paraId="4573331C" w14:textId="77777777" w:rsidR="00C74FFA" w:rsidRPr="00E93DF0"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67CCFB94" w14:textId="77777777" w:rsidR="00BC5167"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1.3.4. Discard the blocking solution. Wash each plate four times with 200 µL/well DPBS.</w:t>
      </w:r>
    </w:p>
    <w:p w14:paraId="56536BD5" w14:textId="77777777" w:rsidR="00C74FFA" w:rsidRPr="00E93DF0"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3DDC3DF3" w14:textId="77777777" w:rsidR="00BC5167"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1.3.5. Add 100 µL/well CH505 SOSIP antigen at a final concentration of 5 µg/</w:t>
      </w:r>
      <w:proofErr w:type="spellStart"/>
      <w:r w:rsidRPr="00E93DF0">
        <w:rPr>
          <w:rFonts w:ascii="Calibri" w:hAnsi="Calibri" w:cs="Calibri"/>
          <w:color w:val="000000" w:themeColor="text1"/>
          <w:sz w:val="24"/>
          <w:szCs w:val="24"/>
          <w:highlight w:val="yellow"/>
          <w:lang w:val="en-IN"/>
        </w:rPr>
        <w:t>mL.</w:t>
      </w:r>
      <w:proofErr w:type="spellEnd"/>
      <w:r w:rsidRPr="00E93DF0">
        <w:rPr>
          <w:rFonts w:ascii="Calibri" w:hAnsi="Calibri" w:cs="Calibri"/>
          <w:color w:val="000000" w:themeColor="text1"/>
          <w:sz w:val="24"/>
          <w:szCs w:val="24"/>
          <w:highlight w:val="yellow"/>
          <w:lang w:val="en-IN"/>
        </w:rPr>
        <w:t xml:space="preserve"> Incubate the plates for 2 h at 37 °C.</w:t>
      </w:r>
    </w:p>
    <w:p w14:paraId="0748CB85" w14:textId="77777777" w:rsidR="00C74FFA" w:rsidRPr="00E93DF0"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45415D4E"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E93DF0">
        <w:rPr>
          <w:rFonts w:ascii="Calibri" w:hAnsi="Calibri" w:cs="Calibri"/>
          <w:color w:val="000000" w:themeColor="text1"/>
          <w:sz w:val="24"/>
          <w:szCs w:val="24"/>
          <w:highlight w:val="yellow"/>
          <w:lang w:val="en-IN"/>
        </w:rPr>
        <w:t>1.3.6. Discard the antigen solution and wash each plate four times with sterile DPBS.</w:t>
      </w:r>
    </w:p>
    <w:p w14:paraId="47BFAAC1" w14:textId="77777777" w:rsidR="00C74FFA" w:rsidRPr="00562FAF" w:rsidRDefault="00C74FF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7A564DB"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NOTE: Leave DPBS in the wells after the final wash to prevent the PVDF membrane from drying before cell seeding.</w:t>
      </w:r>
    </w:p>
    <w:p w14:paraId="1F1B1880" w14:textId="765FFB95" w:rsidR="00BC5167" w:rsidRPr="00562FAF" w:rsidRDefault="00BC5167"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p>
    <w:p w14:paraId="6D87B28D" w14:textId="68AD714A"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r w:rsidRPr="00562FAF">
        <w:rPr>
          <w:rFonts w:ascii="Calibri" w:hAnsi="Calibri" w:cs="Calibri"/>
          <w:b/>
          <w:bCs/>
          <w:color w:val="000000" w:themeColor="text1"/>
          <w:sz w:val="24"/>
          <w:szCs w:val="24"/>
          <w:lang w:val="en-IN"/>
        </w:rPr>
        <w:t xml:space="preserve">2. Preparation of </w:t>
      </w:r>
      <w:r w:rsidR="008442F1" w:rsidRPr="00562FAF">
        <w:rPr>
          <w:rFonts w:ascii="Calibri" w:hAnsi="Calibri" w:cs="Calibri"/>
          <w:b/>
          <w:bCs/>
          <w:color w:val="000000" w:themeColor="text1"/>
          <w:sz w:val="24"/>
          <w:szCs w:val="24"/>
          <w:lang w:val="en-IN"/>
        </w:rPr>
        <w:t>s</w:t>
      </w:r>
      <w:r w:rsidRPr="00562FAF">
        <w:rPr>
          <w:rFonts w:ascii="Calibri" w:hAnsi="Calibri" w:cs="Calibri"/>
          <w:b/>
          <w:bCs/>
          <w:color w:val="000000" w:themeColor="text1"/>
          <w:sz w:val="24"/>
          <w:szCs w:val="24"/>
          <w:lang w:val="en-IN"/>
        </w:rPr>
        <w:t xml:space="preserve">amples: Isolation of </w:t>
      </w:r>
      <w:r w:rsidR="00B3260C" w:rsidRPr="00562FAF">
        <w:rPr>
          <w:rFonts w:ascii="Calibri" w:hAnsi="Calibri" w:cs="Calibri"/>
          <w:b/>
          <w:bCs/>
          <w:color w:val="000000" w:themeColor="text1"/>
          <w:sz w:val="24"/>
          <w:szCs w:val="24"/>
          <w:lang w:val="en-IN"/>
        </w:rPr>
        <w:t>PBMC</w:t>
      </w:r>
      <w:r w:rsidR="006B4AF3">
        <w:rPr>
          <w:rFonts w:ascii="Calibri" w:hAnsi="Calibri" w:cs="Calibri"/>
          <w:b/>
          <w:bCs/>
          <w:color w:val="000000" w:themeColor="text1"/>
          <w:sz w:val="24"/>
          <w:szCs w:val="24"/>
          <w:lang w:val="en-IN"/>
        </w:rPr>
        <w:t>s</w:t>
      </w:r>
      <w:r w:rsidR="00B3260C" w:rsidRPr="00562FAF">
        <w:rPr>
          <w:rFonts w:ascii="Calibri" w:hAnsi="Calibri" w:cs="Calibri"/>
          <w:b/>
          <w:bCs/>
          <w:color w:val="000000" w:themeColor="text1"/>
          <w:sz w:val="24"/>
          <w:szCs w:val="24"/>
          <w:lang w:val="en-IN"/>
        </w:rPr>
        <w:t xml:space="preserve"> </w:t>
      </w:r>
      <w:r w:rsidRPr="00562FAF">
        <w:rPr>
          <w:rFonts w:ascii="Calibri" w:hAnsi="Calibri" w:cs="Calibri"/>
          <w:b/>
          <w:bCs/>
          <w:color w:val="000000" w:themeColor="text1"/>
          <w:sz w:val="24"/>
          <w:szCs w:val="24"/>
          <w:lang w:val="en-IN"/>
        </w:rPr>
        <w:t xml:space="preserve">and </w:t>
      </w:r>
      <w:r w:rsidR="00A24C61" w:rsidRPr="00562FAF">
        <w:rPr>
          <w:rFonts w:ascii="Calibri" w:hAnsi="Calibri" w:cs="Calibri"/>
          <w:b/>
          <w:bCs/>
          <w:color w:val="000000" w:themeColor="text1"/>
          <w:sz w:val="24"/>
          <w:szCs w:val="24"/>
          <w:lang w:val="en-IN"/>
        </w:rPr>
        <w:t>b</w:t>
      </w:r>
      <w:r w:rsidRPr="00562FAF">
        <w:rPr>
          <w:rFonts w:ascii="Calibri" w:hAnsi="Calibri" w:cs="Calibri"/>
          <w:b/>
          <w:bCs/>
          <w:color w:val="000000" w:themeColor="text1"/>
          <w:sz w:val="24"/>
          <w:szCs w:val="24"/>
          <w:lang w:val="en-IN"/>
        </w:rPr>
        <w:t xml:space="preserve">one </w:t>
      </w:r>
      <w:r w:rsidR="00A24C61" w:rsidRPr="00562FAF">
        <w:rPr>
          <w:rFonts w:ascii="Calibri" w:hAnsi="Calibri" w:cs="Calibri"/>
          <w:b/>
          <w:bCs/>
          <w:color w:val="000000" w:themeColor="text1"/>
          <w:sz w:val="24"/>
          <w:szCs w:val="24"/>
          <w:lang w:val="en-IN"/>
        </w:rPr>
        <w:t>m</w:t>
      </w:r>
      <w:r w:rsidRPr="00562FAF">
        <w:rPr>
          <w:rFonts w:ascii="Calibri" w:hAnsi="Calibri" w:cs="Calibri"/>
          <w:b/>
          <w:bCs/>
          <w:color w:val="000000" w:themeColor="text1"/>
          <w:sz w:val="24"/>
          <w:szCs w:val="24"/>
          <w:lang w:val="en-IN"/>
        </w:rPr>
        <w:t xml:space="preserve">arrow </w:t>
      </w:r>
      <w:r w:rsidR="00A24C61" w:rsidRPr="00562FAF">
        <w:rPr>
          <w:rFonts w:ascii="Calibri" w:hAnsi="Calibri" w:cs="Calibri"/>
          <w:b/>
          <w:bCs/>
          <w:color w:val="000000" w:themeColor="text1"/>
          <w:sz w:val="24"/>
          <w:szCs w:val="24"/>
          <w:lang w:val="en-IN"/>
        </w:rPr>
        <w:t>m</w:t>
      </w:r>
      <w:r w:rsidRPr="00562FAF">
        <w:rPr>
          <w:rFonts w:ascii="Calibri" w:hAnsi="Calibri" w:cs="Calibri"/>
          <w:b/>
          <w:bCs/>
          <w:color w:val="000000" w:themeColor="text1"/>
          <w:sz w:val="24"/>
          <w:szCs w:val="24"/>
          <w:lang w:val="en-IN"/>
        </w:rPr>
        <w:t xml:space="preserve">ononuclear </w:t>
      </w:r>
      <w:r w:rsidR="00A24C61" w:rsidRPr="00562FAF">
        <w:rPr>
          <w:rFonts w:ascii="Calibri" w:hAnsi="Calibri" w:cs="Calibri"/>
          <w:b/>
          <w:bCs/>
          <w:color w:val="000000" w:themeColor="text1"/>
          <w:sz w:val="24"/>
          <w:szCs w:val="24"/>
          <w:lang w:val="en-IN"/>
        </w:rPr>
        <w:t>c</w:t>
      </w:r>
      <w:r w:rsidRPr="00562FAF">
        <w:rPr>
          <w:rFonts w:ascii="Calibri" w:hAnsi="Calibri" w:cs="Calibri"/>
          <w:b/>
          <w:bCs/>
          <w:color w:val="000000" w:themeColor="text1"/>
          <w:sz w:val="24"/>
          <w:szCs w:val="24"/>
          <w:lang w:val="en-IN"/>
        </w:rPr>
        <w:t>ells</w:t>
      </w:r>
    </w:p>
    <w:p w14:paraId="57B1F3EB" w14:textId="77777777" w:rsidR="00A24C61" w:rsidRPr="00562FAF" w:rsidRDefault="00A24C61"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09D9B314" w14:textId="474C32BA"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2.1. Isolate PBMCs from whole blood</w:t>
      </w:r>
    </w:p>
    <w:p w14:paraId="702029B6" w14:textId="77777777" w:rsidR="00A24C61" w:rsidRPr="00562FAF" w:rsidRDefault="00A24C6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FB7B072" w14:textId="6D7D7BC1"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 xml:space="preserve">2.1.1. Centrifuge 10 mL EDTA blood tubes </w:t>
      </w:r>
      <w:r w:rsidR="002938FE" w:rsidRPr="00562FAF">
        <w:rPr>
          <w:rFonts w:ascii="Calibri" w:hAnsi="Calibri" w:cs="Calibri"/>
          <w:color w:val="000000" w:themeColor="text1"/>
          <w:sz w:val="24"/>
          <w:szCs w:val="24"/>
          <w:lang w:val="en-IN"/>
        </w:rPr>
        <w:t>at 4</w:t>
      </w:r>
      <w:r w:rsidR="004A0129" w:rsidRPr="00562FAF">
        <w:rPr>
          <w:rFonts w:ascii="Calibri" w:hAnsi="Calibri" w:cs="Calibri"/>
          <w:color w:val="000000" w:themeColor="text1"/>
          <w:sz w:val="24"/>
          <w:szCs w:val="24"/>
          <w:lang w:val="en-IN"/>
        </w:rPr>
        <w:t>5</w:t>
      </w:r>
      <w:r w:rsidR="002859AC" w:rsidRPr="00562FAF">
        <w:rPr>
          <w:rFonts w:ascii="Calibri" w:hAnsi="Calibri" w:cs="Calibri"/>
          <w:color w:val="000000" w:themeColor="text1"/>
          <w:sz w:val="24"/>
          <w:szCs w:val="24"/>
          <w:lang w:val="en-IN"/>
        </w:rPr>
        <w:t>0</w:t>
      </w:r>
      <w:r w:rsidR="002938FE" w:rsidRPr="00562FAF">
        <w:rPr>
          <w:rFonts w:ascii="Calibri" w:hAnsi="Calibri" w:cs="Calibri"/>
          <w:color w:val="000000" w:themeColor="text1"/>
          <w:sz w:val="24"/>
          <w:szCs w:val="24"/>
          <w:lang w:val="en-IN"/>
        </w:rPr>
        <w:t xml:space="preserve"> x </w:t>
      </w:r>
      <w:r w:rsidR="002938FE" w:rsidRPr="00312F2E">
        <w:rPr>
          <w:rFonts w:ascii="Calibri" w:hAnsi="Calibri" w:cs="Calibri"/>
          <w:i/>
          <w:iCs/>
          <w:color w:val="000000" w:themeColor="text1"/>
          <w:sz w:val="24"/>
          <w:szCs w:val="24"/>
          <w:lang w:val="en-IN"/>
        </w:rPr>
        <w:t>g</w:t>
      </w:r>
      <w:r w:rsidR="002938FE" w:rsidRPr="00562FAF">
        <w:rPr>
          <w:rFonts w:ascii="Calibri" w:hAnsi="Calibri" w:cs="Calibri"/>
          <w:color w:val="000000" w:themeColor="text1"/>
          <w:sz w:val="24"/>
          <w:szCs w:val="24"/>
          <w:lang w:val="en-IN"/>
        </w:rPr>
        <w:t xml:space="preserve"> for </w:t>
      </w:r>
      <w:r w:rsidRPr="00562FAF">
        <w:rPr>
          <w:rFonts w:ascii="Calibri" w:hAnsi="Calibri" w:cs="Calibri"/>
          <w:color w:val="000000" w:themeColor="text1"/>
          <w:sz w:val="24"/>
          <w:szCs w:val="24"/>
          <w:lang w:val="en-IN"/>
        </w:rPr>
        <w:t>20 min at room temperature without applying the brake.</w:t>
      </w:r>
    </w:p>
    <w:p w14:paraId="444DE822"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p>
    <w:p w14:paraId="21DD5EC3"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2.1.2. Remove the plasma and add 4 mL DPBS without Ca²⁺ and Mg²⁺. Mix gently using a 10 mL serological pipette.</w:t>
      </w:r>
    </w:p>
    <w:p w14:paraId="3A71C1D8"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448932E9" w14:textId="2C5CF132"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 xml:space="preserve">2.1.3. Carefully layer the diluted blood over 4 mL </w:t>
      </w:r>
      <w:proofErr w:type="spellStart"/>
      <w:r w:rsidRPr="00562FAF">
        <w:rPr>
          <w:rFonts w:ascii="Calibri" w:hAnsi="Calibri" w:cs="Calibri"/>
          <w:color w:val="000000" w:themeColor="text1"/>
          <w:sz w:val="24"/>
          <w:szCs w:val="24"/>
          <w:lang w:val="en-IN"/>
        </w:rPr>
        <w:t>Ficoll</w:t>
      </w:r>
      <w:proofErr w:type="spellEnd"/>
      <w:r w:rsidRPr="00562FAF">
        <w:rPr>
          <w:rFonts w:ascii="Calibri" w:hAnsi="Calibri" w:cs="Calibri"/>
          <w:color w:val="000000" w:themeColor="text1"/>
          <w:sz w:val="24"/>
          <w:szCs w:val="24"/>
          <w:lang w:val="en-IN"/>
        </w:rPr>
        <w:t xml:space="preserve"> in a 15 mL centrifuge tube. Centrifuge</w:t>
      </w:r>
      <w:r w:rsidR="001E70F1" w:rsidRPr="00562FAF">
        <w:rPr>
          <w:rFonts w:ascii="Calibri" w:hAnsi="Calibri" w:cs="Calibri"/>
          <w:color w:val="000000" w:themeColor="text1"/>
          <w:sz w:val="24"/>
          <w:szCs w:val="24"/>
          <w:lang w:val="en-IN"/>
        </w:rPr>
        <w:t xml:space="preserve"> at</w:t>
      </w:r>
      <w:r w:rsidR="002938FE" w:rsidRPr="00562FAF">
        <w:rPr>
          <w:rFonts w:ascii="Calibri" w:hAnsi="Calibri" w:cs="Calibri"/>
          <w:color w:val="000000" w:themeColor="text1"/>
          <w:sz w:val="24"/>
          <w:szCs w:val="24"/>
          <w:lang w:val="en-IN"/>
        </w:rPr>
        <w:t xml:space="preserve"> </w:t>
      </w:r>
      <w:r w:rsidR="002859AC" w:rsidRPr="00562FAF">
        <w:rPr>
          <w:rFonts w:ascii="Calibri" w:hAnsi="Calibri" w:cs="Calibri"/>
          <w:color w:val="000000" w:themeColor="text1"/>
          <w:sz w:val="24"/>
          <w:szCs w:val="24"/>
          <w:lang w:val="en-IN"/>
        </w:rPr>
        <w:t>800</w:t>
      </w:r>
      <w:r w:rsidR="002938FE" w:rsidRPr="00562FAF">
        <w:rPr>
          <w:rFonts w:ascii="Calibri" w:hAnsi="Calibri" w:cs="Calibri"/>
          <w:color w:val="000000" w:themeColor="text1"/>
          <w:sz w:val="24"/>
          <w:szCs w:val="24"/>
          <w:lang w:val="en-IN"/>
        </w:rPr>
        <w:t xml:space="preserve"> x </w:t>
      </w:r>
      <w:r w:rsidR="002938FE" w:rsidRPr="00312F2E">
        <w:rPr>
          <w:rFonts w:ascii="Calibri" w:hAnsi="Calibri" w:cs="Calibri"/>
          <w:i/>
          <w:iCs/>
          <w:color w:val="000000" w:themeColor="text1"/>
          <w:sz w:val="24"/>
          <w:szCs w:val="24"/>
          <w:lang w:val="en-IN"/>
        </w:rPr>
        <w:t>g</w:t>
      </w:r>
      <w:r w:rsidR="001E70F1" w:rsidRPr="00562FAF">
        <w:rPr>
          <w:rFonts w:ascii="Calibri" w:hAnsi="Calibri" w:cs="Calibri"/>
          <w:color w:val="000000" w:themeColor="text1"/>
          <w:sz w:val="24"/>
          <w:szCs w:val="24"/>
          <w:lang w:val="en-IN"/>
        </w:rPr>
        <w:t xml:space="preserve"> </w:t>
      </w:r>
      <w:r w:rsidRPr="00562FAF">
        <w:rPr>
          <w:rFonts w:ascii="Calibri" w:hAnsi="Calibri" w:cs="Calibri"/>
          <w:color w:val="000000" w:themeColor="text1"/>
          <w:sz w:val="24"/>
          <w:szCs w:val="24"/>
          <w:lang w:val="en-IN"/>
        </w:rPr>
        <w:t>for 30 min at room temperature using slow acceleration and slow deceleration.</w:t>
      </w:r>
    </w:p>
    <w:p w14:paraId="6673E25D"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5E72E6D7" w14:textId="1E8FC8FF"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 xml:space="preserve">2.1.4. Transfer the buffy coat containing peripheral blood mononuclear cells to a fresh 15 mL tube. Add 8–10 mL DPBS and centrifuge </w:t>
      </w:r>
      <w:r w:rsidR="00A75BF7" w:rsidRPr="00562FAF">
        <w:rPr>
          <w:rFonts w:ascii="Calibri" w:hAnsi="Calibri" w:cs="Calibri"/>
          <w:color w:val="000000" w:themeColor="text1"/>
          <w:sz w:val="24"/>
          <w:szCs w:val="24"/>
          <w:lang w:val="en-IN"/>
        </w:rPr>
        <w:t>at 4</w:t>
      </w:r>
      <w:r w:rsidR="004A0129" w:rsidRPr="00562FAF">
        <w:rPr>
          <w:rFonts w:ascii="Calibri" w:hAnsi="Calibri" w:cs="Calibri"/>
          <w:color w:val="000000" w:themeColor="text1"/>
          <w:sz w:val="24"/>
          <w:szCs w:val="24"/>
          <w:lang w:val="en-IN"/>
        </w:rPr>
        <w:t>5</w:t>
      </w:r>
      <w:r w:rsidR="002859AC" w:rsidRPr="00562FAF">
        <w:rPr>
          <w:rFonts w:ascii="Calibri" w:hAnsi="Calibri" w:cs="Calibri"/>
          <w:color w:val="000000" w:themeColor="text1"/>
          <w:sz w:val="24"/>
          <w:szCs w:val="24"/>
          <w:lang w:val="en-IN"/>
        </w:rPr>
        <w:t>0</w:t>
      </w:r>
      <w:r w:rsidR="00A75BF7" w:rsidRPr="00562FAF">
        <w:rPr>
          <w:rFonts w:ascii="Calibri" w:hAnsi="Calibri" w:cs="Calibri"/>
          <w:color w:val="000000" w:themeColor="text1"/>
          <w:sz w:val="24"/>
          <w:szCs w:val="24"/>
          <w:lang w:val="en-IN"/>
        </w:rPr>
        <w:t xml:space="preserve"> x </w:t>
      </w:r>
      <w:r w:rsidR="00A75BF7" w:rsidRPr="00312F2E">
        <w:rPr>
          <w:rFonts w:ascii="Calibri" w:hAnsi="Calibri" w:cs="Calibri"/>
          <w:i/>
          <w:iCs/>
          <w:color w:val="000000" w:themeColor="text1"/>
          <w:sz w:val="24"/>
          <w:szCs w:val="24"/>
          <w:lang w:val="en-IN"/>
        </w:rPr>
        <w:t>g</w:t>
      </w:r>
      <w:r w:rsidR="00A75BF7" w:rsidRPr="00562FAF">
        <w:rPr>
          <w:rFonts w:ascii="Calibri" w:hAnsi="Calibri" w:cs="Calibri"/>
          <w:color w:val="000000" w:themeColor="text1"/>
          <w:sz w:val="24"/>
          <w:szCs w:val="24"/>
          <w:lang w:val="en-IN"/>
        </w:rPr>
        <w:t xml:space="preserve"> </w:t>
      </w:r>
      <w:r w:rsidRPr="00562FAF">
        <w:rPr>
          <w:rFonts w:ascii="Calibri" w:hAnsi="Calibri" w:cs="Calibri"/>
          <w:color w:val="000000" w:themeColor="text1"/>
          <w:sz w:val="24"/>
          <w:szCs w:val="24"/>
          <w:lang w:val="en-IN"/>
        </w:rPr>
        <w:t>for 10 min at room temperature.</w:t>
      </w:r>
    </w:p>
    <w:p w14:paraId="06F9ADC3"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790EA9E8"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2.1.5. Discard the supernatant and gently resuspend the cell pellet.</w:t>
      </w:r>
    </w:p>
    <w:p w14:paraId="21210D1F"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42992763" w14:textId="250448AE"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 xml:space="preserve">2.1.6. Add 2 mL </w:t>
      </w:r>
      <w:r w:rsidR="00B53C27" w:rsidRPr="00562FAF">
        <w:rPr>
          <w:rFonts w:ascii="Calibri" w:hAnsi="Calibri" w:cs="Calibri"/>
          <w:color w:val="000000" w:themeColor="text1"/>
          <w:sz w:val="24"/>
          <w:szCs w:val="24"/>
          <w:lang w:val="en-IN"/>
        </w:rPr>
        <w:t>ammonium chloride potassium (</w:t>
      </w:r>
      <w:r w:rsidRPr="00562FAF">
        <w:rPr>
          <w:rFonts w:ascii="Calibri" w:hAnsi="Calibri" w:cs="Calibri"/>
          <w:color w:val="000000" w:themeColor="text1"/>
          <w:sz w:val="24"/>
          <w:szCs w:val="24"/>
          <w:lang w:val="en-IN"/>
        </w:rPr>
        <w:t>ACK</w:t>
      </w:r>
      <w:r w:rsidR="00B53C27" w:rsidRPr="00562FAF">
        <w:rPr>
          <w:rFonts w:ascii="Calibri" w:hAnsi="Calibri" w:cs="Calibri"/>
          <w:color w:val="000000" w:themeColor="text1"/>
          <w:sz w:val="24"/>
          <w:szCs w:val="24"/>
          <w:lang w:val="en-IN"/>
        </w:rPr>
        <w:t>)</w:t>
      </w:r>
      <w:r w:rsidRPr="00562FAF">
        <w:rPr>
          <w:rFonts w:ascii="Calibri" w:hAnsi="Calibri" w:cs="Calibri"/>
          <w:color w:val="000000" w:themeColor="text1"/>
          <w:sz w:val="24"/>
          <w:szCs w:val="24"/>
          <w:lang w:val="en-IN"/>
        </w:rPr>
        <w:t xml:space="preserve"> lysis buffer to the cell suspension. Incubate for 5 min at room temperature.</w:t>
      </w:r>
    </w:p>
    <w:p w14:paraId="209181B3"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0888CF6B"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r w:rsidRPr="00562FAF">
        <w:rPr>
          <w:rFonts w:ascii="Calibri" w:hAnsi="Calibri" w:cs="Calibri"/>
          <w:color w:val="000000" w:themeColor="text1"/>
          <w:sz w:val="24"/>
          <w:szCs w:val="24"/>
          <w:lang w:val="en-IN"/>
        </w:rPr>
        <w:t>CAUTION: Do not</w:t>
      </w:r>
      <w:r w:rsidRPr="00562FAF">
        <w:rPr>
          <w:rFonts w:ascii="Calibri" w:hAnsi="Calibri" w:cs="Calibri"/>
          <w:bCs/>
          <w:color w:val="000000" w:themeColor="text1"/>
          <w:sz w:val="24"/>
          <w:szCs w:val="24"/>
          <w:lang w:val="en-IN"/>
        </w:rPr>
        <w:t xml:space="preserve"> exceed the 5 min incubation period, as prolonged exposure to ACK lysis buffer reduces cell viability.</w:t>
      </w:r>
    </w:p>
    <w:p w14:paraId="338FA295"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p>
    <w:p w14:paraId="0389F62B" w14:textId="60119EB0"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 xml:space="preserve">2.1.7. Stop erythrocyte lysis by adding 10 mL DPBS containing 2% </w:t>
      </w:r>
      <w:proofErr w:type="spellStart"/>
      <w:r w:rsidRPr="00562FAF">
        <w:rPr>
          <w:rFonts w:ascii="Calibri" w:hAnsi="Calibri" w:cs="Calibri"/>
          <w:color w:val="000000" w:themeColor="text1"/>
          <w:sz w:val="24"/>
          <w:szCs w:val="24"/>
          <w:lang w:val="en-IN"/>
        </w:rPr>
        <w:t>fetal</w:t>
      </w:r>
      <w:proofErr w:type="spellEnd"/>
      <w:r w:rsidRPr="00562FAF">
        <w:rPr>
          <w:rFonts w:ascii="Calibri" w:hAnsi="Calibri" w:cs="Calibri"/>
          <w:color w:val="000000" w:themeColor="text1"/>
          <w:sz w:val="24"/>
          <w:szCs w:val="24"/>
          <w:lang w:val="en-IN"/>
        </w:rPr>
        <w:t xml:space="preserve"> bovine serum (FBS). Centrifuge the cells</w:t>
      </w:r>
      <w:r w:rsidR="00A75BF7" w:rsidRPr="00562FAF">
        <w:rPr>
          <w:rFonts w:ascii="Calibri" w:hAnsi="Calibri" w:cs="Calibri"/>
          <w:color w:val="000000" w:themeColor="text1"/>
          <w:sz w:val="24"/>
          <w:szCs w:val="24"/>
          <w:lang w:val="en-IN"/>
        </w:rPr>
        <w:t xml:space="preserve"> at </w:t>
      </w:r>
      <w:r w:rsidR="002859AC" w:rsidRPr="00562FAF">
        <w:rPr>
          <w:rFonts w:ascii="Calibri" w:hAnsi="Calibri" w:cs="Calibri"/>
          <w:color w:val="000000" w:themeColor="text1"/>
          <w:sz w:val="24"/>
          <w:szCs w:val="24"/>
          <w:lang w:val="en-IN"/>
        </w:rPr>
        <w:t xml:space="preserve">300 x </w:t>
      </w:r>
      <w:r w:rsidR="00A75BF7" w:rsidRPr="00316F24">
        <w:rPr>
          <w:rFonts w:ascii="Calibri" w:hAnsi="Calibri" w:cs="Calibri"/>
          <w:i/>
          <w:iCs/>
          <w:color w:val="000000" w:themeColor="text1"/>
          <w:sz w:val="24"/>
          <w:szCs w:val="24"/>
          <w:lang w:val="en-IN"/>
        </w:rPr>
        <w:t>g</w:t>
      </w:r>
      <w:r w:rsidRPr="00562FAF">
        <w:rPr>
          <w:rFonts w:ascii="Calibri" w:hAnsi="Calibri" w:cs="Calibri"/>
          <w:color w:val="000000" w:themeColor="text1"/>
          <w:sz w:val="24"/>
          <w:szCs w:val="24"/>
          <w:lang w:val="en-IN"/>
        </w:rPr>
        <w:t xml:space="preserve"> for 10 min at room temperature.</w:t>
      </w:r>
    </w:p>
    <w:p w14:paraId="1E8064F6"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5EB58F3C"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lastRenderedPageBreak/>
        <w:t>2.1.8. Discard the supernatant and resuspend the cells in RPMI-10.</w:t>
      </w:r>
    </w:p>
    <w:p w14:paraId="24254119"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644D2CD" w14:textId="6BD83D44"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2.1.9. Count the PBMCs using an appropriate cell-counting method</w:t>
      </w:r>
      <w:r w:rsidR="00897E23" w:rsidRPr="00562FAF">
        <w:rPr>
          <w:rFonts w:ascii="Calibri" w:hAnsi="Calibri" w:cs="Calibri"/>
          <w:color w:val="000000" w:themeColor="text1"/>
          <w:sz w:val="24"/>
          <w:szCs w:val="24"/>
          <w:lang w:val="en-IN"/>
        </w:rPr>
        <w:t xml:space="preserve"> and ensure that the viability is &gt;90%</w:t>
      </w:r>
      <w:r w:rsidR="00C3256D">
        <w:rPr>
          <w:rFonts w:ascii="Calibri" w:hAnsi="Calibri" w:cs="Calibri"/>
          <w:color w:val="000000" w:themeColor="text1"/>
          <w:sz w:val="24"/>
          <w:szCs w:val="24"/>
          <w:lang w:val="en-IN"/>
        </w:rPr>
        <w:t>, e.g.,</w:t>
      </w:r>
      <w:r w:rsidR="00897E23" w:rsidRPr="00562FAF">
        <w:rPr>
          <w:rFonts w:ascii="Calibri" w:hAnsi="Calibri" w:cs="Calibri"/>
          <w:color w:val="000000" w:themeColor="text1"/>
          <w:sz w:val="24"/>
          <w:szCs w:val="24"/>
          <w:lang w:val="en-IN"/>
        </w:rPr>
        <w:t xml:space="preserve"> via trypan blue staining.</w:t>
      </w:r>
    </w:p>
    <w:p w14:paraId="0C3B0C88"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4957F2CA" w14:textId="2A7521E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2.1.10. Adjust one aliquot to 5 × 10</w:t>
      </w:r>
      <w:r w:rsidR="00B52302" w:rsidRPr="00562FAF">
        <w:rPr>
          <w:rFonts w:ascii="Calibri" w:hAnsi="Calibri" w:cs="Calibri"/>
          <w:color w:val="000000" w:themeColor="text1"/>
          <w:sz w:val="24"/>
          <w:szCs w:val="24"/>
          <w:vertAlign w:val="superscript"/>
          <w:lang w:val="en-IN"/>
        </w:rPr>
        <w:t>6</w:t>
      </w:r>
      <w:r w:rsidRPr="00562FAF">
        <w:rPr>
          <w:rFonts w:ascii="Calibri" w:hAnsi="Calibri" w:cs="Calibri"/>
          <w:color w:val="000000" w:themeColor="text1"/>
          <w:sz w:val="24"/>
          <w:szCs w:val="24"/>
          <w:lang w:val="en-IN"/>
        </w:rPr>
        <w:t xml:space="preserve"> cells/mL for antigen-specific ELISpot assays. Adjust a second aliquot to 1 × 10</w:t>
      </w:r>
      <w:r w:rsidR="00B52302" w:rsidRPr="00562FAF">
        <w:rPr>
          <w:rFonts w:ascii="Calibri" w:hAnsi="Calibri" w:cs="Calibri"/>
          <w:color w:val="000000" w:themeColor="text1"/>
          <w:sz w:val="24"/>
          <w:szCs w:val="24"/>
          <w:vertAlign w:val="superscript"/>
          <w:lang w:val="en-IN"/>
        </w:rPr>
        <w:t>6</w:t>
      </w:r>
      <w:r w:rsidRPr="00562FAF">
        <w:rPr>
          <w:rFonts w:ascii="Calibri" w:hAnsi="Calibri" w:cs="Calibri"/>
          <w:color w:val="000000" w:themeColor="text1"/>
          <w:sz w:val="24"/>
          <w:szCs w:val="24"/>
          <w:lang w:val="en-IN"/>
        </w:rPr>
        <w:t xml:space="preserve"> cells/mL for total immunoglobulin ELISpot assays.</w:t>
      </w:r>
    </w:p>
    <w:p w14:paraId="4E0A1403" w14:textId="21575895" w:rsidR="00BC5167" w:rsidRPr="00562FAF" w:rsidRDefault="00BC516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3AE8EC1" w14:textId="58EF3145"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2.2. Isolate bone marrow mononuclear cells</w:t>
      </w:r>
    </w:p>
    <w:p w14:paraId="4AF3BD66"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0AA76FE3"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2.2.1. Place a 70 µm cell strainer into a 50 mL centrifuge tube. Pre-wet the strainer with 1 mL DPBS.</w:t>
      </w:r>
    </w:p>
    <w:p w14:paraId="0BDBB6C6"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547C0EFC"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2.2.2. Add 4 mL DPBS to 1 mL bone marrow aspirate. Mix thoroughly using a serological pipette.</w:t>
      </w:r>
    </w:p>
    <w:p w14:paraId="41DAA34C"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3657CA3D"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2.2.3. Pass the bone marrow suspension through the 70 µm cell strainer. Rinse the strainer with 2 mL DPBS before discarding it.</w:t>
      </w:r>
    </w:p>
    <w:p w14:paraId="32F67295"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60F66731" w14:textId="411A26D1"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 xml:space="preserve">2.2.4. Layer the filtered suspension over 4 mL </w:t>
      </w:r>
      <w:proofErr w:type="spellStart"/>
      <w:r w:rsidRPr="00562FAF">
        <w:rPr>
          <w:rFonts w:ascii="Calibri" w:hAnsi="Calibri" w:cs="Calibri"/>
          <w:color w:val="000000" w:themeColor="text1"/>
          <w:sz w:val="24"/>
          <w:szCs w:val="24"/>
          <w:lang w:val="en-IN"/>
        </w:rPr>
        <w:t>Ficoll</w:t>
      </w:r>
      <w:proofErr w:type="spellEnd"/>
      <w:r w:rsidRPr="00562FAF">
        <w:rPr>
          <w:rFonts w:ascii="Calibri" w:hAnsi="Calibri" w:cs="Calibri"/>
          <w:color w:val="000000" w:themeColor="text1"/>
          <w:sz w:val="24"/>
          <w:szCs w:val="24"/>
          <w:lang w:val="en-IN"/>
        </w:rPr>
        <w:t xml:space="preserve"> in a 15 mL centrifuge tube. Centrifuge </w:t>
      </w:r>
      <w:r w:rsidR="00A75BF7" w:rsidRPr="00562FAF">
        <w:rPr>
          <w:rFonts w:ascii="Calibri" w:hAnsi="Calibri" w:cs="Calibri"/>
          <w:color w:val="000000" w:themeColor="text1"/>
          <w:sz w:val="24"/>
          <w:szCs w:val="24"/>
          <w:lang w:val="en-IN"/>
        </w:rPr>
        <w:t xml:space="preserve">at </w:t>
      </w:r>
      <w:r w:rsidR="002859AC" w:rsidRPr="00562FAF">
        <w:rPr>
          <w:rFonts w:ascii="Calibri" w:hAnsi="Calibri" w:cs="Calibri"/>
          <w:color w:val="000000" w:themeColor="text1"/>
          <w:sz w:val="24"/>
          <w:szCs w:val="24"/>
          <w:lang w:val="en-IN"/>
        </w:rPr>
        <w:t>800</w:t>
      </w:r>
      <w:r w:rsidR="00A75BF7" w:rsidRPr="00562FAF">
        <w:rPr>
          <w:rFonts w:ascii="Calibri" w:hAnsi="Calibri" w:cs="Calibri"/>
          <w:color w:val="000000" w:themeColor="text1"/>
          <w:sz w:val="24"/>
          <w:szCs w:val="24"/>
          <w:lang w:val="en-IN"/>
        </w:rPr>
        <w:t xml:space="preserve"> x </w:t>
      </w:r>
      <w:r w:rsidR="00A75BF7" w:rsidRPr="002D43FD">
        <w:rPr>
          <w:rFonts w:ascii="Calibri" w:hAnsi="Calibri" w:cs="Calibri"/>
          <w:i/>
          <w:iCs/>
          <w:color w:val="000000" w:themeColor="text1"/>
          <w:sz w:val="24"/>
          <w:szCs w:val="24"/>
          <w:lang w:val="en-IN"/>
        </w:rPr>
        <w:t>g</w:t>
      </w:r>
      <w:r w:rsidR="00A75BF7" w:rsidRPr="00562FAF">
        <w:rPr>
          <w:rFonts w:ascii="Calibri" w:hAnsi="Calibri" w:cs="Calibri"/>
          <w:color w:val="000000" w:themeColor="text1"/>
          <w:sz w:val="24"/>
          <w:szCs w:val="24"/>
          <w:lang w:val="en-IN"/>
        </w:rPr>
        <w:t xml:space="preserve"> </w:t>
      </w:r>
      <w:r w:rsidRPr="00562FAF">
        <w:rPr>
          <w:rFonts w:ascii="Calibri" w:hAnsi="Calibri" w:cs="Calibri"/>
          <w:color w:val="000000" w:themeColor="text1"/>
          <w:sz w:val="24"/>
          <w:szCs w:val="24"/>
          <w:lang w:val="en-IN"/>
        </w:rPr>
        <w:t>for 30 min at room temperature using slow acceleration and slow deceleration.</w:t>
      </w:r>
    </w:p>
    <w:p w14:paraId="00709537"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67E1A541" w14:textId="38D8906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 xml:space="preserve">2.2.5. Transfer the mononuclear cell layer to a fresh 15 mL tube. Add 8–10 mL DPBS and centrifuge </w:t>
      </w:r>
      <w:r w:rsidR="00A75BF7" w:rsidRPr="00562FAF">
        <w:rPr>
          <w:rFonts w:ascii="Calibri" w:hAnsi="Calibri" w:cs="Calibri"/>
          <w:color w:val="000000" w:themeColor="text1"/>
          <w:sz w:val="24"/>
          <w:szCs w:val="24"/>
          <w:lang w:val="en-IN"/>
        </w:rPr>
        <w:t xml:space="preserve">at </w:t>
      </w:r>
      <w:r w:rsidR="002859AC" w:rsidRPr="00562FAF">
        <w:rPr>
          <w:rFonts w:ascii="Calibri" w:hAnsi="Calibri" w:cs="Calibri"/>
          <w:color w:val="000000" w:themeColor="text1"/>
          <w:sz w:val="24"/>
          <w:szCs w:val="24"/>
          <w:lang w:val="en-IN"/>
        </w:rPr>
        <w:t>4</w:t>
      </w:r>
      <w:r w:rsidR="004A0129" w:rsidRPr="00562FAF">
        <w:rPr>
          <w:rFonts w:ascii="Calibri" w:hAnsi="Calibri" w:cs="Calibri"/>
          <w:color w:val="000000" w:themeColor="text1"/>
          <w:sz w:val="24"/>
          <w:szCs w:val="24"/>
          <w:lang w:val="en-IN"/>
        </w:rPr>
        <w:t>5</w:t>
      </w:r>
      <w:r w:rsidR="002859AC" w:rsidRPr="00562FAF">
        <w:rPr>
          <w:rFonts w:ascii="Calibri" w:hAnsi="Calibri" w:cs="Calibri"/>
          <w:color w:val="000000" w:themeColor="text1"/>
          <w:sz w:val="24"/>
          <w:szCs w:val="24"/>
          <w:lang w:val="en-IN"/>
        </w:rPr>
        <w:t>0</w:t>
      </w:r>
      <w:r w:rsidR="00A75BF7" w:rsidRPr="00562FAF">
        <w:rPr>
          <w:rFonts w:ascii="Calibri" w:hAnsi="Calibri" w:cs="Calibri"/>
          <w:color w:val="000000" w:themeColor="text1"/>
          <w:sz w:val="24"/>
          <w:szCs w:val="24"/>
          <w:lang w:val="en-IN"/>
        </w:rPr>
        <w:t xml:space="preserve"> x </w:t>
      </w:r>
      <w:r w:rsidR="00A75BF7" w:rsidRPr="002D43FD">
        <w:rPr>
          <w:rFonts w:ascii="Calibri" w:hAnsi="Calibri" w:cs="Calibri"/>
          <w:i/>
          <w:iCs/>
          <w:color w:val="000000" w:themeColor="text1"/>
          <w:sz w:val="24"/>
          <w:szCs w:val="24"/>
          <w:lang w:val="en-IN"/>
        </w:rPr>
        <w:t>g</w:t>
      </w:r>
      <w:r w:rsidR="00A75BF7" w:rsidRPr="00562FAF">
        <w:rPr>
          <w:rFonts w:ascii="Calibri" w:hAnsi="Calibri" w:cs="Calibri"/>
          <w:color w:val="000000" w:themeColor="text1"/>
          <w:sz w:val="24"/>
          <w:szCs w:val="24"/>
          <w:lang w:val="en-IN"/>
        </w:rPr>
        <w:t xml:space="preserve"> </w:t>
      </w:r>
      <w:r w:rsidRPr="00562FAF">
        <w:rPr>
          <w:rFonts w:ascii="Calibri" w:hAnsi="Calibri" w:cs="Calibri"/>
          <w:color w:val="000000" w:themeColor="text1"/>
          <w:sz w:val="24"/>
          <w:szCs w:val="24"/>
          <w:lang w:val="en-IN"/>
        </w:rPr>
        <w:t>for 10 min at room temperature.</w:t>
      </w:r>
    </w:p>
    <w:p w14:paraId="2D45ADE6"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568DA260"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2.2.6. Discard the supernatant and gently resuspend the cell pellet.</w:t>
      </w:r>
    </w:p>
    <w:p w14:paraId="21EA932D"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129B2F12"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2.2.7. Add 2 mL ACK lysis buffer to the cell suspension. Incubate for 5 min at room temperature.</w:t>
      </w:r>
    </w:p>
    <w:p w14:paraId="6325FE42"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6669721F"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CAUTION: Do not exceed the recommended lysis time to preserve cell viability.</w:t>
      </w:r>
    </w:p>
    <w:p w14:paraId="1148602B"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64BEC05" w14:textId="494FB664"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 xml:space="preserve">2.2.8. Stop erythrocyte lysis by adding 10 mL DPBS containing 2% FBS. Centrifuge the cells </w:t>
      </w:r>
      <w:r w:rsidR="00A75BF7" w:rsidRPr="00562FAF">
        <w:rPr>
          <w:rFonts w:ascii="Calibri" w:hAnsi="Calibri" w:cs="Calibri"/>
          <w:color w:val="000000" w:themeColor="text1"/>
          <w:sz w:val="24"/>
          <w:szCs w:val="24"/>
          <w:lang w:val="en-IN"/>
        </w:rPr>
        <w:t xml:space="preserve">at </w:t>
      </w:r>
      <w:r w:rsidR="002859AC" w:rsidRPr="00562FAF">
        <w:rPr>
          <w:rFonts w:ascii="Calibri" w:hAnsi="Calibri" w:cs="Calibri"/>
          <w:color w:val="000000" w:themeColor="text1"/>
          <w:sz w:val="24"/>
          <w:szCs w:val="24"/>
          <w:lang w:val="en-IN"/>
        </w:rPr>
        <w:t>300</w:t>
      </w:r>
      <w:r w:rsidR="00A75BF7" w:rsidRPr="00562FAF">
        <w:rPr>
          <w:rFonts w:ascii="Calibri" w:hAnsi="Calibri" w:cs="Calibri"/>
          <w:color w:val="000000" w:themeColor="text1"/>
          <w:sz w:val="24"/>
          <w:szCs w:val="24"/>
          <w:lang w:val="en-IN"/>
        </w:rPr>
        <w:t xml:space="preserve"> x </w:t>
      </w:r>
      <w:r w:rsidR="00A75BF7" w:rsidRPr="00926FB4">
        <w:rPr>
          <w:rFonts w:ascii="Calibri" w:hAnsi="Calibri" w:cs="Calibri"/>
          <w:i/>
          <w:iCs/>
          <w:color w:val="000000" w:themeColor="text1"/>
          <w:sz w:val="24"/>
          <w:szCs w:val="24"/>
          <w:lang w:val="en-IN"/>
        </w:rPr>
        <w:t>g</w:t>
      </w:r>
      <w:r w:rsidR="00A75BF7" w:rsidRPr="00562FAF">
        <w:rPr>
          <w:rFonts w:ascii="Calibri" w:hAnsi="Calibri" w:cs="Calibri"/>
          <w:color w:val="000000" w:themeColor="text1"/>
          <w:sz w:val="24"/>
          <w:szCs w:val="24"/>
          <w:lang w:val="en-IN"/>
        </w:rPr>
        <w:t xml:space="preserve"> </w:t>
      </w:r>
      <w:r w:rsidRPr="00562FAF">
        <w:rPr>
          <w:rFonts w:ascii="Calibri" w:hAnsi="Calibri" w:cs="Calibri"/>
          <w:color w:val="000000" w:themeColor="text1"/>
          <w:sz w:val="24"/>
          <w:szCs w:val="24"/>
          <w:lang w:val="en-IN"/>
        </w:rPr>
        <w:t>for 10 min at room temperature.</w:t>
      </w:r>
    </w:p>
    <w:p w14:paraId="4ED9C8D8"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59AA7712" w14:textId="77777777"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2.2.9. Discard the supernatant and resuspend the cells in RPMI-10.</w:t>
      </w:r>
    </w:p>
    <w:p w14:paraId="79819500"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BA6E618" w14:textId="70738F11"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2.2.10. Count the bone marrow mononuclear cells using an appropriate cell-counting method</w:t>
      </w:r>
      <w:r w:rsidR="00897E23" w:rsidRPr="00562FAF">
        <w:rPr>
          <w:rFonts w:ascii="Calibri" w:hAnsi="Calibri" w:cs="Calibri"/>
          <w:color w:val="000000" w:themeColor="text1"/>
          <w:sz w:val="24"/>
          <w:szCs w:val="24"/>
          <w:lang w:val="en-IN"/>
        </w:rPr>
        <w:t xml:space="preserve"> and ensure that the viability is &gt;90%</w:t>
      </w:r>
      <w:r w:rsidR="00926FB4">
        <w:rPr>
          <w:rFonts w:ascii="Calibri" w:hAnsi="Calibri" w:cs="Calibri"/>
          <w:color w:val="000000" w:themeColor="text1"/>
          <w:sz w:val="24"/>
          <w:szCs w:val="24"/>
          <w:lang w:val="en-IN"/>
        </w:rPr>
        <w:t>, e.g., via trypan blue staining.</w:t>
      </w:r>
    </w:p>
    <w:p w14:paraId="614B9518"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4CD630E3" w14:textId="6D110ED2" w:rsidR="00BC5167"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2.2.11. Adjust one aliquot to 5 × 10</w:t>
      </w:r>
      <w:r w:rsidR="00DF0ED1" w:rsidRPr="00562FAF">
        <w:rPr>
          <w:rFonts w:ascii="Calibri" w:hAnsi="Calibri" w:cs="Calibri"/>
          <w:color w:val="000000" w:themeColor="text1"/>
          <w:sz w:val="24"/>
          <w:szCs w:val="24"/>
          <w:vertAlign w:val="superscript"/>
          <w:lang w:val="en-IN"/>
        </w:rPr>
        <w:t>6</w:t>
      </w:r>
      <w:r w:rsidRPr="00562FAF">
        <w:rPr>
          <w:rFonts w:ascii="Calibri" w:hAnsi="Calibri" w:cs="Calibri"/>
          <w:color w:val="000000" w:themeColor="text1"/>
          <w:sz w:val="24"/>
          <w:szCs w:val="24"/>
          <w:lang w:val="en-IN"/>
        </w:rPr>
        <w:t xml:space="preserve"> cells/mL for antigen-specific ELISpot assays. Adjust a second aliquot to 1 × 10</w:t>
      </w:r>
      <w:r w:rsidR="00DF0ED1" w:rsidRPr="00562FAF">
        <w:rPr>
          <w:rFonts w:ascii="Calibri" w:hAnsi="Calibri" w:cs="Calibri"/>
          <w:color w:val="000000" w:themeColor="text1"/>
          <w:sz w:val="24"/>
          <w:szCs w:val="24"/>
          <w:vertAlign w:val="superscript"/>
          <w:lang w:val="en-IN"/>
        </w:rPr>
        <w:t>6</w:t>
      </w:r>
      <w:r w:rsidRPr="00562FAF">
        <w:rPr>
          <w:rFonts w:ascii="Calibri" w:hAnsi="Calibri" w:cs="Calibri"/>
          <w:color w:val="000000" w:themeColor="text1"/>
          <w:sz w:val="24"/>
          <w:szCs w:val="24"/>
          <w:lang w:val="en-IN"/>
        </w:rPr>
        <w:t xml:space="preserve"> cells/mL for total immunoglobulin ELISpot assays.</w:t>
      </w:r>
    </w:p>
    <w:p w14:paraId="75DF5F12"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F6BF035" w14:textId="564296E9" w:rsidR="00D4264F"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highlight w:val="yellow"/>
          <w:lang w:val="en-IN"/>
        </w:rPr>
      </w:pPr>
      <w:r w:rsidRPr="00E93DF0">
        <w:rPr>
          <w:rFonts w:ascii="Calibri" w:hAnsi="Calibri" w:cs="Calibri"/>
          <w:b/>
          <w:bCs/>
          <w:color w:val="000000" w:themeColor="text1"/>
          <w:sz w:val="24"/>
          <w:szCs w:val="24"/>
          <w:highlight w:val="yellow"/>
          <w:lang w:val="en-IN"/>
        </w:rPr>
        <w:t xml:space="preserve">3. Seeding and </w:t>
      </w:r>
      <w:r w:rsidR="003C0FA3" w:rsidRPr="00E93DF0">
        <w:rPr>
          <w:rFonts w:ascii="Calibri" w:hAnsi="Calibri" w:cs="Calibri"/>
          <w:b/>
          <w:bCs/>
          <w:color w:val="000000" w:themeColor="text1"/>
          <w:sz w:val="24"/>
          <w:szCs w:val="24"/>
          <w:highlight w:val="yellow"/>
          <w:lang w:val="en-IN"/>
        </w:rPr>
        <w:t>i</w:t>
      </w:r>
      <w:r w:rsidRPr="00E93DF0">
        <w:rPr>
          <w:rFonts w:ascii="Calibri" w:hAnsi="Calibri" w:cs="Calibri"/>
          <w:b/>
          <w:bCs/>
          <w:color w:val="000000" w:themeColor="text1"/>
          <w:sz w:val="24"/>
          <w:szCs w:val="24"/>
          <w:highlight w:val="yellow"/>
          <w:lang w:val="en-IN"/>
        </w:rPr>
        <w:t xml:space="preserve">ncubation of </w:t>
      </w:r>
      <w:r w:rsidR="00E052DF" w:rsidRPr="00E93DF0">
        <w:rPr>
          <w:rFonts w:ascii="Calibri" w:hAnsi="Calibri" w:cs="Calibri"/>
          <w:b/>
          <w:bCs/>
          <w:color w:val="000000" w:themeColor="text1"/>
          <w:sz w:val="24"/>
          <w:szCs w:val="24"/>
          <w:highlight w:val="yellow"/>
          <w:lang w:val="en-IN"/>
        </w:rPr>
        <w:t>c</w:t>
      </w:r>
      <w:r w:rsidRPr="00E93DF0">
        <w:rPr>
          <w:rFonts w:ascii="Calibri" w:hAnsi="Calibri" w:cs="Calibri"/>
          <w:b/>
          <w:bCs/>
          <w:color w:val="000000" w:themeColor="text1"/>
          <w:sz w:val="24"/>
          <w:szCs w:val="24"/>
          <w:highlight w:val="yellow"/>
          <w:lang w:val="en-IN"/>
        </w:rPr>
        <w:t>ells</w:t>
      </w:r>
    </w:p>
    <w:p w14:paraId="08B73FE6" w14:textId="77777777" w:rsidR="008442F1" w:rsidRPr="00E93DF0" w:rsidRDefault="008442F1"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highlight w:val="yellow"/>
          <w:lang w:val="en-IN"/>
        </w:rPr>
      </w:pPr>
    </w:p>
    <w:p w14:paraId="6AEB2E57" w14:textId="479A20EC" w:rsidR="00D4264F"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934F08">
        <w:rPr>
          <w:rFonts w:ascii="Calibri" w:hAnsi="Calibri" w:cs="Calibri"/>
          <w:color w:val="000000" w:themeColor="text1"/>
          <w:sz w:val="24"/>
          <w:szCs w:val="24"/>
          <w:lang w:val="en-IN"/>
        </w:rPr>
        <w:t>3.1. Seed the total immunoglobulin plates</w:t>
      </w:r>
    </w:p>
    <w:p w14:paraId="2E9F8004"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5B5DC101" w14:textId="7E08D169" w:rsidR="00D4264F" w:rsidRPr="00934F08"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934F08">
        <w:rPr>
          <w:rFonts w:ascii="Calibri" w:hAnsi="Calibri" w:cs="Calibri"/>
          <w:color w:val="000000" w:themeColor="text1"/>
          <w:sz w:val="24"/>
          <w:szCs w:val="24"/>
          <w:lang w:val="en-IN"/>
        </w:rPr>
        <w:t xml:space="preserve">3.1.1. Remove the blocking medium from </w:t>
      </w:r>
      <w:r w:rsidR="00926FB4" w:rsidRPr="00934F08">
        <w:rPr>
          <w:rFonts w:ascii="Calibri" w:hAnsi="Calibri" w:cs="Calibri"/>
          <w:color w:val="000000" w:themeColor="text1"/>
          <w:sz w:val="24"/>
          <w:szCs w:val="24"/>
          <w:lang w:val="en-IN"/>
        </w:rPr>
        <w:t>p</w:t>
      </w:r>
      <w:r w:rsidRPr="00934F08">
        <w:rPr>
          <w:rFonts w:ascii="Calibri" w:hAnsi="Calibri" w:cs="Calibri"/>
          <w:color w:val="000000" w:themeColor="text1"/>
          <w:sz w:val="24"/>
          <w:szCs w:val="24"/>
          <w:lang w:val="en-IN"/>
        </w:rPr>
        <w:t>lates 1 and 3 by rapidly inverting each plate over a waste container. Tap the inverted plates firmly on absorbent paper to remove residual medium.</w:t>
      </w:r>
    </w:p>
    <w:p w14:paraId="37D75425" w14:textId="77777777" w:rsidR="008442F1" w:rsidRPr="00934F08"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36C237E1" w14:textId="6D8F0630" w:rsidR="00D4264F" w:rsidRPr="00934F08"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934F08">
        <w:rPr>
          <w:rFonts w:ascii="Calibri" w:hAnsi="Calibri" w:cs="Calibri"/>
          <w:color w:val="000000" w:themeColor="text1"/>
          <w:sz w:val="24"/>
          <w:szCs w:val="24"/>
          <w:lang w:val="en-IN"/>
        </w:rPr>
        <w:t>3.1.2. Add 100 µL RPMI-10 to each well in the first row and 133 µL RPMI-10 to each well in the second and third rows.</w:t>
      </w:r>
      <w:r w:rsidR="008C3FD1" w:rsidRPr="00934F08">
        <w:rPr>
          <w:rFonts w:ascii="Calibri" w:hAnsi="Calibri" w:cs="Calibri"/>
          <w:color w:val="000000" w:themeColor="text1"/>
          <w:sz w:val="24"/>
          <w:szCs w:val="24"/>
          <w:lang w:val="en-IN"/>
        </w:rPr>
        <w:t xml:space="preserve"> These are done in technical duplicates.</w:t>
      </w:r>
    </w:p>
    <w:p w14:paraId="70685063" w14:textId="77777777" w:rsidR="008442F1" w:rsidRPr="00934F08"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53E67786" w14:textId="3D932E2C" w:rsidR="00D4264F" w:rsidRPr="00934F08"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934F08">
        <w:rPr>
          <w:rFonts w:ascii="Calibri" w:hAnsi="Calibri" w:cs="Calibri"/>
          <w:color w:val="000000" w:themeColor="text1"/>
          <w:sz w:val="24"/>
          <w:szCs w:val="24"/>
          <w:lang w:val="en-IN"/>
        </w:rPr>
        <w:t>3.1.3. Add 100 µL PBMC suspension (1 × 10</w:t>
      </w:r>
      <w:r w:rsidR="00BE09C0" w:rsidRPr="00934F08">
        <w:rPr>
          <w:rFonts w:ascii="Calibri" w:hAnsi="Calibri" w:cs="Calibri"/>
          <w:color w:val="000000" w:themeColor="text1"/>
          <w:sz w:val="24"/>
          <w:szCs w:val="24"/>
          <w:vertAlign w:val="superscript"/>
          <w:lang w:val="en-IN"/>
        </w:rPr>
        <w:t>6</w:t>
      </w:r>
      <w:r w:rsidRPr="00934F08">
        <w:rPr>
          <w:rFonts w:ascii="Calibri" w:hAnsi="Calibri" w:cs="Calibri"/>
          <w:color w:val="000000" w:themeColor="text1"/>
          <w:sz w:val="24"/>
          <w:szCs w:val="24"/>
          <w:lang w:val="en-IN"/>
        </w:rPr>
        <w:t xml:space="preserve"> cells/mL) to the first well of each column in </w:t>
      </w:r>
      <w:r w:rsidR="00926FB4" w:rsidRPr="00934F08">
        <w:rPr>
          <w:rFonts w:ascii="Calibri" w:hAnsi="Calibri" w:cs="Calibri"/>
          <w:color w:val="000000" w:themeColor="text1"/>
          <w:sz w:val="24"/>
          <w:szCs w:val="24"/>
          <w:lang w:val="en-IN"/>
        </w:rPr>
        <w:t>p</w:t>
      </w:r>
      <w:r w:rsidRPr="00934F08">
        <w:rPr>
          <w:rFonts w:ascii="Calibri" w:hAnsi="Calibri" w:cs="Calibri"/>
          <w:color w:val="000000" w:themeColor="text1"/>
          <w:sz w:val="24"/>
          <w:szCs w:val="24"/>
          <w:lang w:val="en-IN"/>
        </w:rPr>
        <w:t xml:space="preserve">late 1. Arrange the samples according to the plate layout </w:t>
      </w:r>
      <w:r w:rsidR="00196E40" w:rsidRPr="00934F08">
        <w:rPr>
          <w:rFonts w:ascii="Calibri" w:hAnsi="Calibri" w:cs="Calibri"/>
          <w:color w:val="000000" w:themeColor="text1"/>
          <w:sz w:val="24"/>
          <w:szCs w:val="24"/>
          <w:lang w:val="en-IN"/>
        </w:rPr>
        <w:t>[</w:t>
      </w:r>
      <w:r w:rsidRPr="00934F08">
        <w:rPr>
          <w:rFonts w:ascii="Calibri" w:hAnsi="Calibri" w:cs="Calibri"/>
          <w:color w:val="000000" w:themeColor="text1"/>
          <w:sz w:val="24"/>
          <w:szCs w:val="24"/>
          <w:lang w:val="en-IN"/>
        </w:rPr>
        <w:t xml:space="preserve">e.g., wells A1–A6 for </w:t>
      </w:r>
      <w:r w:rsidR="001E70F1" w:rsidRPr="00934F08">
        <w:rPr>
          <w:rFonts w:ascii="Calibri" w:hAnsi="Calibri" w:cs="Calibri"/>
          <w:color w:val="000000" w:themeColor="text1"/>
          <w:sz w:val="24"/>
          <w:szCs w:val="24"/>
          <w:lang w:val="en-IN"/>
        </w:rPr>
        <w:t>rhesus macaque 1 (</w:t>
      </w:r>
      <w:r w:rsidRPr="00934F08">
        <w:rPr>
          <w:rFonts w:ascii="Calibri" w:hAnsi="Calibri" w:cs="Calibri"/>
          <w:color w:val="000000" w:themeColor="text1"/>
          <w:sz w:val="24"/>
          <w:szCs w:val="24"/>
          <w:lang w:val="en-IN"/>
        </w:rPr>
        <w:t>RM1</w:t>
      </w:r>
      <w:r w:rsidR="001E70F1" w:rsidRPr="00934F08">
        <w:rPr>
          <w:rFonts w:ascii="Calibri" w:hAnsi="Calibri" w:cs="Calibri"/>
          <w:color w:val="000000" w:themeColor="text1"/>
          <w:sz w:val="24"/>
          <w:szCs w:val="24"/>
          <w:lang w:val="en-IN"/>
        </w:rPr>
        <w:t>)</w:t>
      </w:r>
      <w:r w:rsidRPr="00934F08">
        <w:rPr>
          <w:rFonts w:ascii="Calibri" w:hAnsi="Calibri" w:cs="Calibri"/>
          <w:color w:val="000000" w:themeColor="text1"/>
          <w:sz w:val="24"/>
          <w:szCs w:val="24"/>
          <w:lang w:val="en-IN"/>
        </w:rPr>
        <w:t xml:space="preserve"> and A7–A12 for</w:t>
      </w:r>
      <w:r w:rsidR="001E70F1" w:rsidRPr="00934F08">
        <w:rPr>
          <w:rFonts w:ascii="Calibri" w:hAnsi="Calibri" w:cs="Calibri"/>
          <w:color w:val="000000" w:themeColor="text1"/>
          <w:sz w:val="24"/>
          <w:szCs w:val="24"/>
          <w:lang w:val="en-IN"/>
        </w:rPr>
        <w:t xml:space="preserve"> rhesus macaque 2</w:t>
      </w:r>
      <w:r w:rsidRPr="00934F08">
        <w:rPr>
          <w:rFonts w:ascii="Calibri" w:hAnsi="Calibri" w:cs="Calibri"/>
          <w:color w:val="000000" w:themeColor="text1"/>
          <w:sz w:val="24"/>
          <w:szCs w:val="24"/>
          <w:lang w:val="en-IN"/>
        </w:rPr>
        <w:t xml:space="preserve"> </w:t>
      </w:r>
      <w:r w:rsidR="001E70F1" w:rsidRPr="00934F08">
        <w:rPr>
          <w:rFonts w:ascii="Calibri" w:hAnsi="Calibri" w:cs="Calibri"/>
          <w:color w:val="000000" w:themeColor="text1"/>
          <w:sz w:val="24"/>
          <w:szCs w:val="24"/>
          <w:lang w:val="en-IN"/>
        </w:rPr>
        <w:t>(</w:t>
      </w:r>
      <w:r w:rsidRPr="00934F08">
        <w:rPr>
          <w:rFonts w:ascii="Calibri" w:hAnsi="Calibri" w:cs="Calibri"/>
          <w:color w:val="000000" w:themeColor="text1"/>
          <w:sz w:val="24"/>
          <w:szCs w:val="24"/>
          <w:lang w:val="en-IN"/>
        </w:rPr>
        <w:t>RM2)</w:t>
      </w:r>
      <w:r w:rsidR="00196E40" w:rsidRPr="00934F08">
        <w:rPr>
          <w:rFonts w:ascii="Calibri" w:hAnsi="Calibri" w:cs="Calibri"/>
          <w:color w:val="000000" w:themeColor="text1"/>
          <w:sz w:val="24"/>
          <w:szCs w:val="24"/>
          <w:lang w:val="en-IN"/>
        </w:rPr>
        <w:t>]</w:t>
      </w:r>
      <w:r w:rsidRPr="00934F08">
        <w:rPr>
          <w:rFonts w:ascii="Calibri" w:hAnsi="Calibri" w:cs="Calibri"/>
          <w:color w:val="000000" w:themeColor="text1"/>
          <w:sz w:val="24"/>
          <w:szCs w:val="24"/>
          <w:lang w:val="en-IN"/>
        </w:rPr>
        <w:t>.</w:t>
      </w:r>
    </w:p>
    <w:p w14:paraId="14AA7EAE" w14:textId="77777777" w:rsidR="008442F1" w:rsidRPr="00934F08"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4B841FC7" w14:textId="7BF1B9F8" w:rsidR="00D4264F" w:rsidRPr="00934F08"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934F08">
        <w:rPr>
          <w:rFonts w:ascii="Calibri" w:hAnsi="Calibri" w:cs="Calibri"/>
          <w:color w:val="000000" w:themeColor="text1"/>
          <w:sz w:val="24"/>
          <w:szCs w:val="24"/>
          <w:lang w:val="en-IN"/>
        </w:rPr>
        <w:t>3.1.4. Add 100 µL bone marrow cell suspension (1 × 10</w:t>
      </w:r>
      <w:r w:rsidR="000A59D6" w:rsidRPr="00934F08">
        <w:rPr>
          <w:rFonts w:ascii="Calibri" w:hAnsi="Calibri" w:cs="Calibri"/>
          <w:color w:val="000000" w:themeColor="text1"/>
          <w:sz w:val="24"/>
          <w:szCs w:val="24"/>
          <w:vertAlign w:val="superscript"/>
          <w:lang w:val="en-IN"/>
        </w:rPr>
        <w:t>6</w:t>
      </w:r>
      <w:r w:rsidRPr="00934F08">
        <w:rPr>
          <w:rFonts w:ascii="Calibri" w:hAnsi="Calibri" w:cs="Calibri"/>
          <w:color w:val="000000" w:themeColor="text1"/>
          <w:sz w:val="24"/>
          <w:szCs w:val="24"/>
          <w:lang w:val="en-IN"/>
        </w:rPr>
        <w:t xml:space="preserve"> cells/mL) to the first well of each column in </w:t>
      </w:r>
      <w:r w:rsidR="00926FB4" w:rsidRPr="00934F08">
        <w:rPr>
          <w:rFonts w:ascii="Calibri" w:hAnsi="Calibri" w:cs="Calibri"/>
          <w:color w:val="000000" w:themeColor="text1"/>
          <w:sz w:val="24"/>
          <w:szCs w:val="24"/>
          <w:lang w:val="en-IN"/>
        </w:rPr>
        <w:t>p</w:t>
      </w:r>
      <w:r w:rsidRPr="00934F08">
        <w:rPr>
          <w:rFonts w:ascii="Calibri" w:hAnsi="Calibri" w:cs="Calibri"/>
          <w:color w:val="000000" w:themeColor="text1"/>
          <w:sz w:val="24"/>
          <w:szCs w:val="24"/>
          <w:lang w:val="en-IN"/>
        </w:rPr>
        <w:t>late 3. Arrange the samples according to the plate layout.</w:t>
      </w:r>
    </w:p>
    <w:p w14:paraId="7CCD6E27" w14:textId="77777777" w:rsidR="008442F1" w:rsidRPr="00934F08"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26C3F5CD" w14:textId="12465D67" w:rsidR="00D4264F" w:rsidRPr="00934F08"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934F08">
        <w:rPr>
          <w:rFonts w:ascii="Calibri" w:hAnsi="Calibri" w:cs="Calibri"/>
          <w:color w:val="000000" w:themeColor="text1"/>
          <w:sz w:val="24"/>
          <w:szCs w:val="24"/>
          <w:lang w:val="en-IN"/>
        </w:rPr>
        <w:t xml:space="preserve">3.1.5. Prepare three-fold serial dilutions by transferring 67 µL from one well to the next and mixing thoroughly after each transfer. Continue the serial dilution </w:t>
      </w:r>
      <w:r w:rsidR="00E052DF" w:rsidRPr="00934F08">
        <w:rPr>
          <w:rFonts w:ascii="Calibri" w:hAnsi="Calibri" w:cs="Calibri"/>
          <w:color w:val="000000" w:themeColor="text1"/>
          <w:sz w:val="24"/>
          <w:szCs w:val="24"/>
          <w:lang w:val="en-IN"/>
        </w:rPr>
        <w:t>into the designated wells, then</w:t>
      </w:r>
      <w:r w:rsidRPr="00934F08">
        <w:rPr>
          <w:rFonts w:ascii="Calibri" w:hAnsi="Calibri" w:cs="Calibri"/>
          <w:color w:val="000000" w:themeColor="text1"/>
          <w:sz w:val="24"/>
          <w:szCs w:val="24"/>
          <w:lang w:val="en-IN"/>
        </w:rPr>
        <w:t xml:space="preserve"> discard the final 67 µL to maintain a final volume of 133 µL per well.</w:t>
      </w:r>
    </w:p>
    <w:p w14:paraId="40799DD8" w14:textId="77777777" w:rsidR="008442F1" w:rsidRPr="00934F08"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46B99183" w14:textId="7CC74595" w:rsidR="00D4264F"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934F08">
        <w:rPr>
          <w:rFonts w:ascii="Calibri" w:hAnsi="Calibri" w:cs="Calibri"/>
          <w:color w:val="000000" w:themeColor="text1"/>
          <w:sz w:val="24"/>
          <w:szCs w:val="24"/>
          <w:lang w:val="en-IN"/>
        </w:rPr>
        <w:t>3.1.6. Incubate the plates overnight at 37 °C in a humidified incubator containing 5% CO</w:t>
      </w:r>
      <w:r w:rsidR="000A59D6" w:rsidRPr="00934F08">
        <w:rPr>
          <w:rFonts w:ascii="Calibri" w:hAnsi="Calibri" w:cs="Calibri"/>
          <w:color w:val="000000" w:themeColor="text1"/>
          <w:sz w:val="24"/>
          <w:szCs w:val="24"/>
          <w:vertAlign w:val="subscript"/>
          <w:lang w:val="en-IN"/>
        </w:rPr>
        <w:t>2</w:t>
      </w:r>
      <w:r w:rsidRPr="00934F08">
        <w:rPr>
          <w:rFonts w:ascii="Calibri" w:hAnsi="Calibri" w:cs="Calibri"/>
          <w:color w:val="000000" w:themeColor="text1"/>
          <w:sz w:val="24"/>
          <w:szCs w:val="24"/>
          <w:lang w:val="en-IN"/>
        </w:rPr>
        <w:t>.</w:t>
      </w:r>
    </w:p>
    <w:p w14:paraId="0A445C19"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581038D6" w14:textId="517BA2BC" w:rsidR="00D4264F"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NOTE: Avoid moving or disturbing the plates during incubation to prevent double spots.</w:t>
      </w:r>
    </w:p>
    <w:p w14:paraId="01615951" w14:textId="3BFEEECC" w:rsidR="00D4264F" w:rsidRPr="00562FAF" w:rsidRDefault="00D4264F"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0EAC174D" w14:textId="7F9EDC58" w:rsidR="00D4264F"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934F08">
        <w:rPr>
          <w:rFonts w:ascii="Calibri" w:hAnsi="Calibri" w:cs="Calibri"/>
          <w:color w:val="000000" w:themeColor="text1"/>
          <w:sz w:val="24"/>
          <w:szCs w:val="24"/>
          <w:highlight w:val="yellow"/>
          <w:lang w:val="en-IN"/>
        </w:rPr>
        <w:t>3.2. Seed the antigen-specific plates</w:t>
      </w:r>
    </w:p>
    <w:p w14:paraId="18CA7EF4"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B069227" w14:textId="648D14A6" w:rsidR="00D4264F" w:rsidRPr="00934F08"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934F08">
        <w:rPr>
          <w:rFonts w:ascii="Calibri" w:hAnsi="Calibri" w:cs="Calibri"/>
          <w:color w:val="000000" w:themeColor="text1"/>
          <w:sz w:val="24"/>
          <w:szCs w:val="24"/>
          <w:highlight w:val="yellow"/>
          <w:lang w:val="en-IN"/>
        </w:rPr>
        <w:t xml:space="preserve">3.2.1. Remove the DPBS from </w:t>
      </w:r>
      <w:r w:rsidR="0026666D" w:rsidRPr="00934F08">
        <w:rPr>
          <w:rFonts w:ascii="Calibri" w:hAnsi="Calibri" w:cs="Calibri"/>
          <w:color w:val="000000" w:themeColor="text1"/>
          <w:sz w:val="24"/>
          <w:szCs w:val="24"/>
          <w:highlight w:val="yellow"/>
          <w:lang w:val="en-IN"/>
        </w:rPr>
        <w:t>p</w:t>
      </w:r>
      <w:r w:rsidRPr="00934F08">
        <w:rPr>
          <w:rFonts w:ascii="Calibri" w:hAnsi="Calibri" w:cs="Calibri"/>
          <w:color w:val="000000" w:themeColor="text1"/>
          <w:sz w:val="24"/>
          <w:szCs w:val="24"/>
          <w:highlight w:val="yellow"/>
          <w:lang w:val="en-IN"/>
        </w:rPr>
        <w:t>lates 2 and 4 by rapidly inverting each plate over a waste container. Tap the inverted plates firmly on absorbent paper to remove residual buffer.</w:t>
      </w:r>
    </w:p>
    <w:p w14:paraId="54C602B6" w14:textId="77777777" w:rsidR="008442F1" w:rsidRPr="00934F08"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4621DBD0" w14:textId="77777777" w:rsidR="00D4264F" w:rsidRPr="00934F08"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934F08">
        <w:rPr>
          <w:rFonts w:ascii="Calibri" w:hAnsi="Calibri" w:cs="Calibri"/>
          <w:color w:val="000000" w:themeColor="text1"/>
          <w:sz w:val="24"/>
          <w:szCs w:val="24"/>
          <w:highlight w:val="yellow"/>
          <w:lang w:val="en-IN"/>
        </w:rPr>
        <w:t>3.2.2. Add 100 µL RPMI-10 to each well in the first row and 133 µL RPMI-10 to each well in the second and third rows.</w:t>
      </w:r>
    </w:p>
    <w:p w14:paraId="74C4753B" w14:textId="77777777" w:rsidR="008442F1" w:rsidRPr="00934F08"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1BFAA38A" w14:textId="6843AF9F" w:rsidR="00D4264F" w:rsidRPr="00934F08"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934F08">
        <w:rPr>
          <w:rFonts w:ascii="Calibri" w:hAnsi="Calibri" w:cs="Calibri"/>
          <w:color w:val="000000" w:themeColor="text1"/>
          <w:sz w:val="24"/>
          <w:szCs w:val="24"/>
          <w:lang w:val="en-IN"/>
        </w:rPr>
        <w:t>3.2.3. Add 100 µL PBMC suspension (5 × 10</w:t>
      </w:r>
      <w:r w:rsidR="00060F41" w:rsidRPr="00934F08">
        <w:rPr>
          <w:rFonts w:ascii="Calibri" w:hAnsi="Calibri" w:cs="Calibri"/>
          <w:color w:val="000000" w:themeColor="text1"/>
          <w:sz w:val="24"/>
          <w:szCs w:val="24"/>
          <w:vertAlign w:val="superscript"/>
          <w:lang w:val="en-IN"/>
        </w:rPr>
        <w:t>6</w:t>
      </w:r>
      <w:r w:rsidRPr="00934F08">
        <w:rPr>
          <w:rFonts w:ascii="Calibri" w:hAnsi="Calibri" w:cs="Calibri"/>
          <w:color w:val="000000" w:themeColor="text1"/>
          <w:sz w:val="24"/>
          <w:szCs w:val="24"/>
          <w:lang w:val="en-IN"/>
        </w:rPr>
        <w:t xml:space="preserve"> cells/mL) to the first well of each column in </w:t>
      </w:r>
      <w:r w:rsidR="00A70F98" w:rsidRPr="00934F08">
        <w:rPr>
          <w:rFonts w:ascii="Calibri" w:hAnsi="Calibri" w:cs="Calibri"/>
          <w:color w:val="000000" w:themeColor="text1"/>
          <w:sz w:val="24"/>
          <w:szCs w:val="24"/>
          <w:lang w:val="en-IN"/>
        </w:rPr>
        <w:t>p</w:t>
      </w:r>
      <w:r w:rsidRPr="00934F08">
        <w:rPr>
          <w:rFonts w:ascii="Calibri" w:hAnsi="Calibri" w:cs="Calibri"/>
          <w:color w:val="000000" w:themeColor="text1"/>
          <w:sz w:val="24"/>
          <w:szCs w:val="24"/>
          <w:lang w:val="en-IN"/>
        </w:rPr>
        <w:t>late 2. Arrange the samples according to the plate layout.</w:t>
      </w:r>
    </w:p>
    <w:p w14:paraId="320841AE" w14:textId="77777777" w:rsidR="008442F1" w:rsidRPr="00934F08"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7960AAF6" w14:textId="62462EFD" w:rsidR="00D4264F" w:rsidRPr="00934F08"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934F08">
        <w:rPr>
          <w:rFonts w:ascii="Calibri" w:hAnsi="Calibri" w:cs="Calibri"/>
          <w:color w:val="000000" w:themeColor="text1"/>
          <w:sz w:val="24"/>
          <w:szCs w:val="24"/>
          <w:highlight w:val="yellow"/>
          <w:lang w:val="en-IN"/>
        </w:rPr>
        <w:t>3.2.4. Add 100 µL bone marrow cell suspension (5 × 10</w:t>
      </w:r>
      <w:r w:rsidR="00060F41" w:rsidRPr="00934F08">
        <w:rPr>
          <w:rFonts w:ascii="Calibri" w:hAnsi="Calibri" w:cs="Calibri"/>
          <w:color w:val="000000" w:themeColor="text1"/>
          <w:sz w:val="24"/>
          <w:szCs w:val="24"/>
          <w:highlight w:val="yellow"/>
          <w:vertAlign w:val="superscript"/>
          <w:lang w:val="en-IN"/>
        </w:rPr>
        <w:t>6</w:t>
      </w:r>
      <w:r w:rsidRPr="00934F08">
        <w:rPr>
          <w:rFonts w:ascii="Calibri" w:hAnsi="Calibri" w:cs="Calibri"/>
          <w:color w:val="000000" w:themeColor="text1"/>
          <w:sz w:val="24"/>
          <w:szCs w:val="24"/>
          <w:highlight w:val="yellow"/>
          <w:lang w:val="en-IN"/>
        </w:rPr>
        <w:t xml:space="preserve"> cells/mL) to the first well of each column in </w:t>
      </w:r>
      <w:r w:rsidR="00A70F98" w:rsidRPr="00934F08">
        <w:rPr>
          <w:rFonts w:ascii="Calibri" w:hAnsi="Calibri" w:cs="Calibri"/>
          <w:color w:val="000000" w:themeColor="text1"/>
          <w:sz w:val="24"/>
          <w:szCs w:val="24"/>
          <w:highlight w:val="yellow"/>
          <w:lang w:val="en-IN"/>
        </w:rPr>
        <w:t>p</w:t>
      </w:r>
      <w:r w:rsidRPr="00934F08">
        <w:rPr>
          <w:rFonts w:ascii="Calibri" w:hAnsi="Calibri" w:cs="Calibri"/>
          <w:color w:val="000000" w:themeColor="text1"/>
          <w:sz w:val="24"/>
          <w:szCs w:val="24"/>
          <w:highlight w:val="yellow"/>
          <w:lang w:val="en-IN"/>
        </w:rPr>
        <w:t>late 4. Arrange the samples according to the plate layout.</w:t>
      </w:r>
    </w:p>
    <w:p w14:paraId="4C159E18" w14:textId="77777777" w:rsidR="008442F1" w:rsidRPr="00934F08"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0C8BAAAA" w14:textId="703582AD" w:rsidR="00D4264F" w:rsidRPr="00934F08"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934F08">
        <w:rPr>
          <w:rFonts w:ascii="Calibri" w:hAnsi="Calibri" w:cs="Calibri"/>
          <w:color w:val="000000" w:themeColor="text1"/>
          <w:sz w:val="24"/>
          <w:szCs w:val="24"/>
          <w:highlight w:val="yellow"/>
          <w:lang w:val="en-IN"/>
        </w:rPr>
        <w:t xml:space="preserve">3.2.5. Prepare three-fold serial dilutions by transferring 67 µL from one well to the next and mixing thoroughly after each transfer. Continue the serial dilution </w:t>
      </w:r>
      <w:r w:rsidR="00E052DF" w:rsidRPr="00934F08">
        <w:rPr>
          <w:rFonts w:ascii="Calibri" w:hAnsi="Calibri" w:cs="Calibri"/>
          <w:color w:val="000000" w:themeColor="text1"/>
          <w:sz w:val="24"/>
          <w:szCs w:val="24"/>
          <w:highlight w:val="yellow"/>
          <w:lang w:val="en-IN"/>
        </w:rPr>
        <w:t>into the designated wells, then</w:t>
      </w:r>
      <w:r w:rsidRPr="00934F08">
        <w:rPr>
          <w:rFonts w:ascii="Calibri" w:hAnsi="Calibri" w:cs="Calibri"/>
          <w:color w:val="000000" w:themeColor="text1"/>
          <w:sz w:val="24"/>
          <w:szCs w:val="24"/>
          <w:highlight w:val="yellow"/>
          <w:lang w:val="en-IN"/>
        </w:rPr>
        <w:t xml:space="preserve"> discard the final 67 µL to maintain a final volume of 133 µL per well.</w:t>
      </w:r>
    </w:p>
    <w:p w14:paraId="074D53B0" w14:textId="77777777" w:rsidR="008442F1" w:rsidRPr="00934F08"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651EE2A5" w14:textId="032A4E7A" w:rsidR="00D4264F"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934F08">
        <w:rPr>
          <w:rFonts w:ascii="Calibri" w:hAnsi="Calibri" w:cs="Calibri"/>
          <w:color w:val="000000" w:themeColor="text1"/>
          <w:sz w:val="24"/>
          <w:szCs w:val="24"/>
          <w:highlight w:val="yellow"/>
          <w:lang w:val="en-IN"/>
        </w:rPr>
        <w:t>3.2.6. Incubate the plates overnight at 37 °C in a humidified incubator containing 5% CO</w:t>
      </w:r>
      <w:r w:rsidR="00060F41" w:rsidRPr="00934F08">
        <w:rPr>
          <w:rFonts w:ascii="Calibri" w:hAnsi="Calibri" w:cs="Calibri"/>
          <w:color w:val="000000" w:themeColor="text1"/>
          <w:sz w:val="24"/>
          <w:szCs w:val="24"/>
          <w:highlight w:val="yellow"/>
          <w:vertAlign w:val="subscript"/>
          <w:lang w:val="en-IN"/>
        </w:rPr>
        <w:t>2</w:t>
      </w:r>
      <w:r w:rsidRPr="00934F08">
        <w:rPr>
          <w:rFonts w:ascii="Calibri" w:hAnsi="Calibri" w:cs="Calibri"/>
          <w:color w:val="000000" w:themeColor="text1"/>
          <w:sz w:val="24"/>
          <w:szCs w:val="24"/>
          <w:highlight w:val="yellow"/>
          <w:lang w:val="en-IN"/>
        </w:rPr>
        <w:t>.</w:t>
      </w:r>
    </w:p>
    <w:p w14:paraId="139A14BB" w14:textId="77777777" w:rsidR="008442F1" w:rsidRPr="00562FAF" w:rsidRDefault="008442F1"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6CE9B831" w14:textId="77777777" w:rsidR="00D4264F"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NOTE: Avoid disturbing the incubator during incubation, as vibration can produce double spots or comet-tail artifacts.</w:t>
      </w:r>
    </w:p>
    <w:p w14:paraId="5D4C315A" w14:textId="165678AC" w:rsidR="00D4264F" w:rsidRPr="00562FAF" w:rsidRDefault="00D4264F"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4F0E25C8" w14:textId="60D9325E" w:rsidR="00D4264F"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highlight w:val="yellow"/>
          <w:lang w:val="en-IN"/>
        </w:rPr>
      </w:pPr>
      <w:r w:rsidRPr="00E93DF0">
        <w:rPr>
          <w:rFonts w:ascii="Calibri" w:hAnsi="Calibri" w:cs="Calibri"/>
          <w:b/>
          <w:bCs/>
          <w:color w:val="000000" w:themeColor="text1"/>
          <w:sz w:val="24"/>
          <w:szCs w:val="24"/>
          <w:highlight w:val="yellow"/>
          <w:lang w:val="en-IN"/>
        </w:rPr>
        <w:t xml:space="preserve">4. Process the ELISpot </w:t>
      </w:r>
      <w:r w:rsidR="00060F41" w:rsidRPr="00E93DF0">
        <w:rPr>
          <w:rFonts w:ascii="Calibri" w:hAnsi="Calibri" w:cs="Calibri"/>
          <w:b/>
          <w:bCs/>
          <w:color w:val="000000" w:themeColor="text1"/>
          <w:sz w:val="24"/>
          <w:szCs w:val="24"/>
          <w:highlight w:val="yellow"/>
          <w:lang w:val="en-IN"/>
        </w:rPr>
        <w:t>p</w:t>
      </w:r>
      <w:r w:rsidRPr="00E93DF0">
        <w:rPr>
          <w:rFonts w:ascii="Calibri" w:hAnsi="Calibri" w:cs="Calibri"/>
          <w:b/>
          <w:bCs/>
          <w:color w:val="000000" w:themeColor="text1"/>
          <w:sz w:val="24"/>
          <w:szCs w:val="24"/>
          <w:highlight w:val="yellow"/>
          <w:lang w:val="en-IN"/>
        </w:rPr>
        <w:t>lates</w:t>
      </w:r>
    </w:p>
    <w:p w14:paraId="57BC82CD" w14:textId="77777777" w:rsidR="008442F1" w:rsidRPr="00E93DF0" w:rsidRDefault="008442F1"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highlight w:val="yellow"/>
          <w:lang w:val="en-IN"/>
        </w:rPr>
      </w:pPr>
    </w:p>
    <w:p w14:paraId="6CCC4C8F" w14:textId="6AF463D7"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 Process the total immunoglobulin plates</w:t>
      </w:r>
    </w:p>
    <w:p w14:paraId="062C36B9" w14:textId="77777777" w:rsidR="008442F1" w:rsidRPr="00E93DF0" w:rsidRDefault="008442F1"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highlight w:val="yellow"/>
          <w:lang w:val="en-IN"/>
        </w:rPr>
      </w:pPr>
    </w:p>
    <w:p w14:paraId="74A20128" w14:textId="77777777"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4.1.1. Remove the plates from the incubator after approximately 18 h of incubation.</w:t>
      </w:r>
    </w:p>
    <w:p w14:paraId="7BC08646" w14:textId="77777777" w:rsidR="00175708" w:rsidRPr="00C003F7" w:rsidRDefault="00175708"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06135B70" w14:textId="70EAD37E"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4.1.2. Discard the cells and culture medium by rapidly inverting each plate over a waste container containing 10% bleach. Tap the inverted plates firmly on absorbent paper to remove residual liquid.</w:t>
      </w:r>
    </w:p>
    <w:p w14:paraId="5A6A905D" w14:textId="77777777" w:rsidR="00175708" w:rsidRPr="00C003F7" w:rsidRDefault="00175708"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2FA78D90" w14:textId="77777777"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NOTE: Perform the remaining processing steps under non-sterile conditions.</w:t>
      </w:r>
    </w:p>
    <w:p w14:paraId="407E110D"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49EE97CA" w14:textId="49D803FE"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4.1.3. Wash each plate four times with 200 µL/well DPBS containing 0.05% Tween 20.</w:t>
      </w:r>
      <w:r w:rsidR="0059400A" w:rsidRPr="00C003F7">
        <w:rPr>
          <w:rFonts w:ascii="Calibri" w:hAnsi="Calibri" w:cs="Calibri"/>
          <w:color w:val="000000" w:themeColor="text1"/>
          <w:sz w:val="24"/>
          <w:szCs w:val="24"/>
          <w:lang w:val="en-IN"/>
        </w:rPr>
        <w:t xml:space="preserve"> </w:t>
      </w:r>
    </w:p>
    <w:p w14:paraId="5805A8D1"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61420F5A" w14:textId="77777777"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NOTE: Leave the final wash buffer in the wells to prevent the membranes from drying.</w:t>
      </w:r>
    </w:p>
    <w:p w14:paraId="7388A469"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3E53C9E9" w14:textId="7A52F0AD"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4.1.4. Alternatively, wash the plates using an automated microplate washer</w:t>
      </w:r>
      <w:r w:rsidR="0059400A" w:rsidRPr="00C003F7">
        <w:rPr>
          <w:rFonts w:ascii="Calibri" w:hAnsi="Calibri" w:cs="Calibri"/>
          <w:color w:val="000000" w:themeColor="text1"/>
          <w:sz w:val="24"/>
          <w:szCs w:val="24"/>
          <w:lang w:val="en-IN"/>
        </w:rPr>
        <w:t xml:space="preserve"> </w:t>
      </w:r>
      <w:r w:rsidRPr="00C003F7">
        <w:rPr>
          <w:rFonts w:ascii="Calibri" w:hAnsi="Calibri" w:cs="Calibri"/>
          <w:color w:val="000000" w:themeColor="text1"/>
          <w:sz w:val="24"/>
          <w:szCs w:val="24"/>
          <w:lang w:val="en-IN"/>
        </w:rPr>
        <w:t>when processing large numbers of plates.</w:t>
      </w:r>
    </w:p>
    <w:p w14:paraId="0626D39A"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2F75BDCC" w14:textId="77777777"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4.1.5. Prepare the detection antibody solution by diluting biotinylated anti-monkey IgG and IgM antibodies 1:1,000 and biotinylated anti-monkey IgA antibody 1:500 in DPBS containing 0.05% Tween 20 and 1% FBS.</w:t>
      </w:r>
    </w:p>
    <w:p w14:paraId="4478A240"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52FEFFE5" w14:textId="77777777"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4.1.6. Remove the final wash buffer by tapping the plates on absorbent paper. Add 100 µL/well of diluted anti-IgG antibody to rows 1, 2, 7, and 8, anti-IgM antibody to rows 3, 4, 9, and 10, and anti-IgA antibody to rows 5, 6, 11, and 12.</w:t>
      </w:r>
    </w:p>
    <w:p w14:paraId="0494A8EC"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1BABC44B" w14:textId="77777777"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NOTE: Process one plate at a time to prevent the membranes from drying.</w:t>
      </w:r>
    </w:p>
    <w:p w14:paraId="7D235F30"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27962B64" w14:textId="77777777"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4.1.7. Incubate the plates for 2 h at room temperature.</w:t>
      </w:r>
    </w:p>
    <w:p w14:paraId="65ECD3A4"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470B735E" w14:textId="77777777"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4.1.8. Discard the detection antibody solution and wash the plates four times with DPBS containing 0.05% Tween 20.</w:t>
      </w:r>
    </w:p>
    <w:p w14:paraId="543877DE"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1D55C766" w14:textId="77777777"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4.1.9. Prepare the enzyme conjugate by diluting HRP-avidin 1:1,000 in DPBS containing 0.05% Tween 20 and 1% FBS.</w:t>
      </w:r>
    </w:p>
    <w:p w14:paraId="3E07EE15"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ECF5D42" w14:textId="52809303" w:rsidR="00D4264F"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4.1.10. Add 100 µL/well diluted HRP-avidin to each well. Incubate the plates for 2 h at room temperature</w:t>
      </w:r>
      <w:r w:rsidR="007054A4" w:rsidRPr="00C003F7">
        <w:rPr>
          <w:rFonts w:ascii="Calibri" w:hAnsi="Calibri" w:cs="Calibri"/>
          <w:color w:val="000000" w:themeColor="text1"/>
          <w:sz w:val="24"/>
          <w:szCs w:val="24"/>
          <w:lang w:val="en-IN"/>
        </w:rPr>
        <w:t>, protected</w:t>
      </w:r>
      <w:r w:rsidRPr="00C003F7">
        <w:rPr>
          <w:rFonts w:ascii="Calibri" w:hAnsi="Calibri" w:cs="Calibri"/>
          <w:color w:val="000000" w:themeColor="text1"/>
          <w:sz w:val="24"/>
          <w:szCs w:val="24"/>
          <w:lang w:val="en-IN"/>
        </w:rPr>
        <w:t xml:space="preserve"> from light.</w:t>
      </w:r>
    </w:p>
    <w:p w14:paraId="3093D550"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4399892" w14:textId="4A9712F2" w:rsidR="00D4264F"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lang w:val="en-IN"/>
        </w:rPr>
        <w:t>4.1.11. Discard the HRP-avidin solution and wash the plates four times with DPBS containing 0.05% Tween</w:t>
      </w:r>
      <w:r w:rsidR="007054A4" w:rsidRPr="00C003F7">
        <w:rPr>
          <w:rFonts w:ascii="Calibri" w:hAnsi="Calibri" w:cs="Calibri"/>
          <w:color w:val="000000" w:themeColor="text1"/>
          <w:sz w:val="24"/>
          <w:szCs w:val="24"/>
          <w:lang w:val="en-IN"/>
        </w:rPr>
        <w:t>-</w:t>
      </w:r>
      <w:r w:rsidRPr="00C003F7">
        <w:rPr>
          <w:rFonts w:ascii="Calibri" w:hAnsi="Calibri" w:cs="Calibri"/>
          <w:color w:val="000000" w:themeColor="text1"/>
          <w:sz w:val="24"/>
          <w:szCs w:val="24"/>
          <w:lang w:val="en-IN"/>
        </w:rPr>
        <w:t>20.</w:t>
      </w:r>
    </w:p>
    <w:p w14:paraId="09B93E80" w14:textId="77777777" w:rsidR="007054A4" w:rsidRPr="00562FAF"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609F12F2" w14:textId="75E72D08" w:rsidR="00D4264F"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lastRenderedPageBreak/>
        <w:t>NOTE: Leave the final wash buffer in the wells until substrate development</w:t>
      </w:r>
      <w:r w:rsidR="007054A4" w:rsidRPr="00562FAF">
        <w:rPr>
          <w:rFonts w:ascii="Calibri" w:hAnsi="Calibri" w:cs="Calibri"/>
          <w:color w:val="000000" w:themeColor="text1"/>
          <w:sz w:val="24"/>
          <w:szCs w:val="24"/>
          <w:lang w:val="en-IN"/>
        </w:rPr>
        <w:t xml:space="preserve"> is complete</w:t>
      </w:r>
      <w:r w:rsidRPr="00562FAF">
        <w:rPr>
          <w:rFonts w:ascii="Calibri" w:hAnsi="Calibri" w:cs="Calibri"/>
          <w:color w:val="000000" w:themeColor="text1"/>
          <w:sz w:val="24"/>
          <w:szCs w:val="24"/>
          <w:lang w:val="en-IN"/>
        </w:rPr>
        <w:t>.</w:t>
      </w:r>
    </w:p>
    <w:p w14:paraId="4DB2C51A" w14:textId="77777777" w:rsidR="007054A4" w:rsidRPr="00562FAF" w:rsidRDefault="007054A4"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p>
    <w:p w14:paraId="6F75CD1F" w14:textId="3829ED40"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C003F7">
        <w:rPr>
          <w:rFonts w:ascii="Calibri" w:hAnsi="Calibri" w:cs="Calibri"/>
          <w:color w:val="000000" w:themeColor="text1"/>
          <w:sz w:val="24"/>
          <w:szCs w:val="24"/>
          <w:highlight w:val="yellow"/>
          <w:lang w:val="en-IN"/>
        </w:rPr>
        <w:t xml:space="preserve">4.2. Process the </w:t>
      </w:r>
      <w:r w:rsidR="007054A4" w:rsidRPr="00C003F7">
        <w:rPr>
          <w:rFonts w:ascii="Calibri" w:hAnsi="Calibri" w:cs="Calibri"/>
          <w:color w:val="000000" w:themeColor="text1"/>
          <w:sz w:val="24"/>
          <w:szCs w:val="24"/>
          <w:highlight w:val="yellow"/>
          <w:lang w:val="en-IN"/>
        </w:rPr>
        <w:t>a</w:t>
      </w:r>
      <w:r w:rsidRPr="00C003F7">
        <w:rPr>
          <w:rFonts w:ascii="Calibri" w:hAnsi="Calibri" w:cs="Calibri"/>
          <w:color w:val="000000" w:themeColor="text1"/>
          <w:sz w:val="24"/>
          <w:szCs w:val="24"/>
          <w:highlight w:val="yellow"/>
          <w:lang w:val="en-IN"/>
        </w:rPr>
        <w:t>ntigen-</w:t>
      </w:r>
      <w:r w:rsidR="007054A4" w:rsidRPr="00C003F7">
        <w:rPr>
          <w:rFonts w:ascii="Calibri" w:hAnsi="Calibri" w:cs="Calibri"/>
          <w:color w:val="000000" w:themeColor="text1"/>
          <w:sz w:val="24"/>
          <w:szCs w:val="24"/>
          <w:highlight w:val="yellow"/>
          <w:lang w:val="en-IN"/>
        </w:rPr>
        <w:t>s</w:t>
      </w:r>
      <w:r w:rsidRPr="00C003F7">
        <w:rPr>
          <w:rFonts w:ascii="Calibri" w:hAnsi="Calibri" w:cs="Calibri"/>
          <w:color w:val="000000" w:themeColor="text1"/>
          <w:sz w:val="24"/>
          <w:szCs w:val="24"/>
          <w:highlight w:val="yellow"/>
          <w:lang w:val="en-IN"/>
        </w:rPr>
        <w:t xml:space="preserve">pecific </w:t>
      </w:r>
      <w:r w:rsidR="007054A4" w:rsidRPr="00C003F7">
        <w:rPr>
          <w:rFonts w:ascii="Calibri" w:hAnsi="Calibri" w:cs="Calibri"/>
          <w:color w:val="000000" w:themeColor="text1"/>
          <w:sz w:val="24"/>
          <w:szCs w:val="24"/>
          <w:highlight w:val="yellow"/>
          <w:lang w:val="en-IN"/>
        </w:rPr>
        <w:t>p</w:t>
      </w:r>
      <w:r w:rsidRPr="00C003F7">
        <w:rPr>
          <w:rFonts w:ascii="Calibri" w:hAnsi="Calibri" w:cs="Calibri"/>
          <w:color w:val="000000" w:themeColor="text1"/>
          <w:sz w:val="24"/>
          <w:szCs w:val="24"/>
          <w:highlight w:val="yellow"/>
          <w:lang w:val="en-IN"/>
        </w:rPr>
        <w:t>lates</w:t>
      </w:r>
    </w:p>
    <w:p w14:paraId="13F4A918"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highlight w:val="yellow"/>
          <w:lang w:val="en-IN"/>
        </w:rPr>
      </w:pPr>
    </w:p>
    <w:p w14:paraId="154B1028" w14:textId="77777777"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C003F7">
        <w:rPr>
          <w:rFonts w:ascii="Calibri" w:hAnsi="Calibri" w:cs="Calibri"/>
          <w:color w:val="000000" w:themeColor="text1"/>
          <w:sz w:val="24"/>
          <w:szCs w:val="24"/>
          <w:highlight w:val="yellow"/>
          <w:lang w:val="en-IN"/>
        </w:rPr>
        <w:t xml:space="preserve">NOTE: The procedure is </w:t>
      </w:r>
      <w:proofErr w:type="gramStart"/>
      <w:r w:rsidRPr="00C003F7">
        <w:rPr>
          <w:rFonts w:ascii="Calibri" w:hAnsi="Calibri" w:cs="Calibri"/>
          <w:color w:val="000000" w:themeColor="text1"/>
          <w:sz w:val="24"/>
          <w:szCs w:val="24"/>
          <w:highlight w:val="yellow"/>
          <w:lang w:val="en-IN"/>
        </w:rPr>
        <w:t>similar to</w:t>
      </w:r>
      <w:proofErr w:type="gramEnd"/>
      <w:r w:rsidRPr="00C003F7">
        <w:rPr>
          <w:rFonts w:ascii="Calibri" w:hAnsi="Calibri" w:cs="Calibri"/>
          <w:color w:val="000000" w:themeColor="text1"/>
          <w:sz w:val="24"/>
          <w:szCs w:val="24"/>
          <w:highlight w:val="yellow"/>
          <w:lang w:val="en-IN"/>
        </w:rPr>
        <w:t xml:space="preserve"> that used for the total immunoglobulin plates. However, perform all washing steps using DPBS without Tween 20 to preserve the GNL coating.</w:t>
      </w:r>
    </w:p>
    <w:p w14:paraId="5DABF5FD"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7BB7859A" w14:textId="77777777"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C003F7">
        <w:rPr>
          <w:rFonts w:ascii="Calibri" w:hAnsi="Calibri" w:cs="Calibri"/>
          <w:color w:val="000000" w:themeColor="text1"/>
          <w:sz w:val="24"/>
          <w:szCs w:val="24"/>
          <w:highlight w:val="yellow"/>
          <w:lang w:val="en-IN"/>
        </w:rPr>
        <w:t>4.2.1. Remove the plates from the incubator after approximately 18 h of incubation.</w:t>
      </w:r>
    </w:p>
    <w:p w14:paraId="3DB68B77"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4A8D5231" w14:textId="77777777"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C003F7">
        <w:rPr>
          <w:rFonts w:ascii="Calibri" w:hAnsi="Calibri" w:cs="Calibri"/>
          <w:color w:val="000000" w:themeColor="text1"/>
          <w:sz w:val="24"/>
          <w:szCs w:val="24"/>
          <w:highlight w:val="yellow"/>
          <w:lang w:val="en-IN"/>
        </w:rPr>
        <w:t>4.2.2. Discard the cells and culture medium by rapidly inverting each plate over a waste container containing 10% bleach. Tap the inverted plates firmly on absorbent paper to remove residual liquid.</w:t>
      </w:r>
    </w:p>
    <w:p w14:paraId="150B7939"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2A96F559" w14:textId="77777777"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C003F7">
        <w:rPr>
          <w:rFonts w:ascii="Calibri" w:hAnsi="Calibri" w:cs="Calibri"/>
          <w:color w:val="000000" w:themeColor="text1"/>
          <w:sz w:val="24"/>
          <w:szCs w:val="24"/>
          <w:highlight w:val="yellow"/>
          <w:lang w:val="en-IN"/>
        </w:rPr>
        <w:t>NOTE: Perform the remaining processing steps under non-sterile conditions.</w:t>
      </w:r>
    </w:p>
    <w:p w14:paraId="2B196F89" w14:textId="77777777" w:rsidR="007054A4" w:rsidRPr="00C003F7" w:rsidRDefault="007054A4"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lang w:val="en-IN"/>
        </w:rPr>
      </w:pPr>
    </w:p>
    <w:p w14:paraId="7C4F1F1C" w14:textId="77777777"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lang w:val="en-IN"/>
        </w:rPr>
      </w:pPr>
      <w:r w:rsidRPr="00C003F7">
        <w:rPr>
          <w:rFonts w:ascii="Calibri" w:hAnsi="Calibri" w:cs="Calibri"/>
          <w:bCs/>
          <w:color w:val="000000" w:themeColor="text1"/>
          <w:sz w:val="24"/>
          <w:szCs w:val="24"/>
          <w:highlight w:val="yellow"/>
          <w:lang w:val="en-IN"/>
        </w:rPr>
        <w:t>4.2.3. Wash each plate four times with 200 µL/well DPBS.</w:t>
      </w:r>
    </w:p>
    <w:p w14:paraId="494C55C6" w14:textId="77777777" w:rsidR="00E420CB" w:rsidRPr="00C003F7" w:rsidRDefault="00E420CB"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lang w:val="en-IN"/>
        </w:rPr>
      </w:pPr>
    </w:p>
    <w:p w14:paraId="026975D4" w14:textId="77777777"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lang w:val="en-IN"/>
        </w:rPr>
      </w:pPr>
      <w:r w:rsidRPr="00C003F7">
        <w:rPr>
          <w:rFonts w:ascii="Calibri" w:hAnsi="Calibri" w:cs="Calibri"/>
          <w:bCs/>
          <w:color w:val="000000" w:themeColor="text1"/>
          <w:sz w:val="24"/>
          <w:szCs w:val="24"/>
          <w:highlight w:val="yellow"/>
          <w:lang w:val="en-IN"/>
        </w:rPr>
        <w:t>NOTE: Leave the final wash buffer in the wells to prevent the membranes from drying.</w:t>
      </w:r>
    </w:p>
    <w:p w14:paraId="306CED97" w14:textId="77777777" w:rsidR="00E420CB" w:rsidRPr="00C003F7" w:rsidRDefault="00E420CB"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lang w:val="en-IN"/>
        </w:rPr>
      </w:pPr>
    </w:p>
    <w:p w14:paraId="22D9F4D9" w14:textId="77777777"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lang w:val="en-IN"/>
        </w:rPr>
      </w:pPr>
      <w:r w:rsidRPr="00C003F7">
        <w:rPr>
          <w:rFonts w:ascii="Calibri" w:hAnsi="Calibri" w:cs="Calibri"/>
          <w:bCs/>
          <w:color w:val="000000" w:themeColor="text1"/>
          <w:sz w:val="24"/>
          <w:szCs w:val="24"/>
          <w:highlight w:val="yellow"/>
          <w:lang w:val="en-IN"/>
        </w:rPr>
        <w:t>4.2.4. Prepare the detection antibody solution by diluting biotinylated anti-monkey IgG and IgM antibodies 1:1,000 and biotinylated anti-monkey IgA antibody 1:500 in DPBS containing 1% FBS.</w:t>
      </w:r>
    </w:p>
    <w:p w14:paraId="143ABA0A" w14:textId="77777777" w:rsidR="00E420CB" w:rsidRPr="00C003F7" w:rsidRDefault="00E420CB"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lang w:val="en-IN"/>
        </w:rPr>
      </w:pPr>
    </w:p>
    <w:p w14:paraId="1E92F078"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r w:rsidRPr="00C003F7">
        <w:rPr>
          <w:rFonts w:ascii="Calibri" w:hAnsi="Calibri" w:cs="Calibri"/>
          <w:bCs/>
          <w:color w:val="000000" w:themeColor="text1"/>
          <w:sz w:val="24"/>
          <w:szCs w:val="24"/>
          <w:highlight w:val="yellow"/>
          <w:lang w:val="en-IN"/>
        </w:rPr>
        <w:t>4.2.5. Remove the final wash buffer by tapping the plates on absorbent paper. Add 100 µL/well of diluted anti-IgG antibody to rows 1, 2, 7, and 8, anti-IgM antibody to rows 3, 4, 9, and 10, and anti-IgA antibody to rows 5, 6, 11, and 12.</w:t>
      </w:r>
    </w:p>
    <w:p w14:paraId="4650F364" w14:textId="77777777" w:rsidR="00E420CB" w:rsidRPr="00562FAF" w:rsidRDefault="00E420CB"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061FE897"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NOTE: Process one plate at a time to prevent the membranes from drying.</w:t>
      </w:r>
    </w:p>
    <w:p w14:paraId="1A109B45" w14:textId="77777777" w:rsidR="00E420CB" w:rsidRPr="00562FAF" w:rsidRDefault="00E420CB"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112A96CA" w14:textId="77777777"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562FAF">
        <w:rPr>
          <w:rFonts w:ascii="Calibri" w:hAnsi="Calibri" w:cs="Calibri"/>
          <w:color w:val="000000" w:themeColor="text1"/>
          <w:sz w:val="24"/>
          <w:szCs w:val="24"/>
          <w:lang w:val="en-IN"/>
        </w:rPr>
        <w:t>4</w:t>
      </w:r>
      <w:r w:rsidRPr="00C003F7">
        <w:rPr>
          <w:rFonts w:ascii="Calibri" w:hAnsi="Calibri" w:cs="Calibri"/>
          <w:color w:val="000000" w:themeColor="text1"/>
          <w:sz w:val="24"/>
          <w:szCs w:val="24"/>
          <w:highlight w:val="yellow"/>
          <w:lang w:val="en-IN"/>
        </w:rPr>
        <w:t>.2.6. Incubate the plates for 2 h at room temperature.</w:t>
      </w:r>
    </w:p>
    <w:p w14:paraId="75310278" w14:textId="77777777" w:rsidR="00E420CB" w:rsidRPr="00C003F7" w:rsidRDefault="00E420CB"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29E7841F" w14:textId="77777777"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C003F7">
        <w:rPr>
          <w:rFonts w:ascii="Calibri" w:hAnsi="Calibri" w:cs="Calibri"/>
          <w:color w:val="000000" w:themeColor="text1"/>
          <w:sz w:val="24"/>
          <w:szCs w:val="24"/>
          <w:highlight w:val="yellow"/>
          <w:lang w:val="en-IN"/>
        </w:rPr>
        <w:t>4.2.7. Discard the detection antibody solution and wash the plates four times with 200 µL/well DPBS.</w:t>
      </w:r>
    </w:p>
    <w:p w14:paraId="4D0490E9" w14:textId="77777777" w:rsidR="00E420CB" w:rsidRPr="00C003F7" w:rsidRDefault="00E420CB"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31C470B4" w14:textId="77777777"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C003F7">
        <w:rPr>
          <w:rFonts w:ascii="Calibri" w:hAnsi="Calibri" w:cs="Calibri"/>
          <w:color w:val="000000" w:themeColor="text1"/>
          <w:sz w:val="24"/>
          <w:szCs w:val="24"/>
          <w:highlight w:val="yellow"/>
          <w:lang w:val="en-IN"/>
        </w:rPr>
        <w:t>4.2.8. Prepare the enzyme conjugate by diluting HRP-avidin 1:1,000 in DPBS containing 1% FBS.</w:t>
      </w:r>
    </w:p>
    <w:p w14:paraId="33D0A4E0" w14:textId="77777777" w:rsidR="00E420CB" w:rsidRPr="00C003F7" w:rsidRDefault="00E420CB"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58248241" w14:textId="36BED261" w:rsidR="0062725A" w:rsidRPr="00C003F7"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C003F7">
        <w:rPr>
          <w:rFonts w:ascii="Calibri" w:hAnsi="Calibri" w:cs="Calibri"/>
          <w:color w:val="000000" w:themeColor="text1"/>
          <w:sz w:val="24"/>
          <w:szCs w:val="24"/>
          <w:highlight w:val="yellow"/>
          <w:lang w:val="en-IN"/>
        </w:rPr>
        <w:t>4.2.9. Add 100 µL/well diluted HRP-avidin to each well. Incubate the plates for 2 h at room temperature</w:t>
      </w:r>
      <w:r w:rsidR="00E420CB" w:rsidRPr="00C003F7">
        <w:rPr>
          <w:rFonts w:ascii="Calibri" w:hAnsi="Calibri" w:cs="Calibri"/>
          <w:color w:val="000000" w:themeColor="text1"/>
          <w:sz w:val="24"/>
          <w:szCs w:val="24"/>
          <w:highlight w:val="yellow"/>
          <w:lang w:val="en-IN"/>
        </w:rPr>
        <w:t>, protected</w:t>
      </w:r>
      <w:r w:rsidRPr="00C003F7">
        <w:rPr>
          <w:rFonts w:ascii="Calibri" w:hAnsi="Calibri" w:cs="Calibri"/>
          <w:color w:val="000000" w:themeColor="text1"/>
          <w:sz w:val="24"/>
          <w:szCs w:val="24"/>
          <w:highlight w:val="yellow"/>
          <w:lang w:val="en-IN"/>
        </w:rPr>
        <w:t xml:space="preserve"> from light.</w:t>
      </w:r>
    </w:p>
    <w:p w14:paraId="721E1574" w14:textId="77777777" w:rsidR="00E420CB" w:rsidRPr="00C003F7" w:rsidRDefault="00E420CB"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0BA5E1CA"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C003F7">
        <w:rPr>
          <w:rFonts w:ascii="Calibri" w:hAnsi="Calibri" w:cs="Calibri"/>
          <w:color w:val="000000" w:themeColor="text1"/>
          <w:sz w:val="24"/>
          <w:szCs w:val="24"/>
          <w:highlight w:val="yellow"/>
          <w:lang w:val="en-IN"/>
        </w:rPr>
        <w:t>4.2.10. Discard the HRP-avidin solution and wash the plates four times with 200 µL/well DPBS.</w:t>
      </w:r>
    </w:p>
    <w:p w14:paraId="05282D3E" w14:textId="77777777" w:rsidR="00E420CB" w:rsidRPr="00562FAF" w:rsidRDefault="00E420CB"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5D3C49E" w14:textId="7E0CB731"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r w:rsidRPr="00562FAF">
        <w:rPr>
          <w:rFonts w:ascii="Calibri" w:hAnsi="Calibri" w:cs="Calibri"/>
          <w:color w:val="000000" w:themeColor="text1"/>
          <w:sz w:val="24"/>
          <w:szCs w:val="24"/>
          <w:lang w:val="en-IN"/>
        </w:rPr>
        <w:t>NOTE: Leave the</w:t>
      </w:r>
      <w:r w:rsidRPr="00562FAF">
        <w:rPr>
          <w:rFonts w:ascii="Calibri" w:hAnsi="Calibri" w:cs="Calibri"/>
          <w:bCs/>
          <w:color w:val="000000" w:themeColor="text1"/>
          <w:sz w:val="24"/>
          <w:szCs w:val="24"/>
          <w:lang w:val="en-IN"/>
        </w:rPr>
        <w:t xml:space="preserve"> final wash buffer in the wells until substrate development</w:t>
      </w:r>
      <w:r w:rsidR="00E420CB" w:rsidRPr="00562FAF">
        <w:rPr>
          <w:rFonts w:ascii="Calibri" w:hAnsi="Calibri" w:cs="Calibri"/>
          <w:bCs/>
          <w:color w:val="000000" w:themeColor="text1"/>
          <w:sz w:val="24"/>
          <w:szCs w:val="24"/>
          <w:lang w:val="en-IN"/>
        </w:rPr>
        <w:t xml:space="preserve"> is complete</w:t>
      </w:r>
      <w:r w:rsidRPr="00562FAF">
        <w:rPr>
          <w:rFonts w:ascii="Calibri" w:hAnsi="Calibri" w:cs="Calibri"/>
          <w:bCs/>
          <w:color w:val="000000" w:themeColor="text1"/>
          <w:sz w:val="24"/>
          <w:szCs w:val="24"/>
          <w:lang w:val="en-IN"/>
        </w:rPr>
        <w:t>.</w:t>
      </w:r>
    </w:p>
    <w:p w14:paraId="582AD11E" w14:textId="622F6928" w:rsidR="0062725A" w:rsidRPr="00562FAF" w:rsidRDefault="0062725A"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p>
    <w:p w14:paraId="7DA53F24" w14:textId="63D78374"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 xml:space="preserve">4.3. Perform </w:t>
      </w:r>
      <w:r w:rsidR="00FA7BA9" w:rsidRPr="00562FAF">
        <w:rPr>
          <w:rFonts w:ascii="Calibri" w:hAnsi="Calibri" w:cs="Calibri"/>
          <w:color w:val="000000" w:themeColor="text1"/>
          <w:sz w:val="24"/>
          <w:szCs w:val="24"/>
          <w:lang w:val="en-IN"/>
        </w:rPr>
        <w:t>a</w:t>
      </w:r>
      <w:r w:rsidRPr="00562FAF">
        <w:rPr>
          <w:rFonts w:ascii="Calibri" w:hAnsi="Calibri" w:cs="Calibri"/>
          <w:color w:val="000000" w:themeColor="text1"/>
          <w:sz w:val="24"/>
          <w:szCs w:val="24"/>
          <w:lang w:val="en-IN"/>
        </w:rPr>
        <w:t xml:space="preserve">utomated </w:t>
      </w:r>
      <w:r w:rsidR="00FA7BA9" w:rsidRPr="00562FAF">
        <w:rPr>
          <w:rFonts w:ascii="Calibri" w:hAnsi="Calibri" w:cs="Calibri"/>
          <w:color w:val="000000" w:themeColor="text1"/>
          <w:sz w:val="24"/>
          <w:szCs w:val="24"/>
          <w:lang w:val="en-IN"/>
        </w:rPr>
        <w:t>w</w:t>
      </w:r>
      <w:r w:rsidRPr="00562FAF">
        <w:rPr>
          <w:rFonts w:ascii="Calibri" w:hAnsi="Calibri" w:cs="Calibri"/>
          <w:color w:val="000000" w:themeColor="text1"/>
          <w:sz w:val="24"/>
          <w:szCs w:val="24"/>
          <w:lang w:val="en-IN"/>
        </w:rPr>
        <w:t>ashing (Optional)</w:t>
      </w:r>
    </w:p>
    <w:p w14:paraId="3A1F83CE" w14:textId="77777777" w:rsidR="00E420CB" w:rsidRPr="00562FAF" w:rsidRDefault="00E420CB"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477440B6"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lastRenderedPageBreak/>
        <w:t>4.3.1. Prime the automated microplate washer with DPBS according to the manufacturer's instructions.</w:t>
      </w:r>
    </w:p>
    <w:p w14:paraId="50F1ABE8" w14:textId="77777777" w:rsidR="00E420CB" w:rsidRPr="00562FAF" w:rsidRDefault="00E420CB"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51E3710A"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4.3.2. Select the predefined ELISpot wash program and perform all washing steps using DPBS.</w:t>
      </w:r>
    </w:p>
    <w:p w14:paraId="0312891A" w14:textId="77777777" w:rsidR="00E420CB" w:rsidRPr="00562FAF" w:rsidRDefault="00E420CB"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1D746E31"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NOTE: Use DPBS for all automated washes to eliminate repeated priming of the instrument with different wash buffers.</w:t>
      </w:r>
    </w:p>
    <w:p w14:paraId="6440A369" w14:textId="77777777" w:rsidR="00E420CB" w:rsidRPr="00562FAF" w:rsidRDefault="00E420CB"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16B41450" w14:textId="329EFA02"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r w:rsidRPr="00562FAF">
        <w:rPr>
          <w:rFonts w:ascii="Calibri" w:hAnsi="Calibri" w:cs="Calibri"/>
          <w:color w:val="000000" w:themeColor="text1"/>
          <w:sz w:val="24"/>
          <w:szCs w:val="24"/>
          <w:lang w:val="en-IN"/>
        </w:rPr>
        <w:t>4.3.3. Use the washer settings listed in</w:t>
      </w:r>
      <w:r w:rsidRPr="00562FAF">
        <w:rPr>
          <w:rFonts w:ascii="Calibri" w:hAnsi="Calibri" w:cs="Calibri"/>
          <w:b/>
          <w:bCs/>
          <w:color w:val="000000" w:themeColor="text1"/>
          <w:sz w:val="24"/>
          <w:szCs w:val="24"/>
          <w:lang w:val="en-IN"/>
        </w:rPr>
        <w:t xml:space="preserve"> Table 1</w:t>
      </w:r>
      <w:r w:rsidR="0059400A" w:rsidRPr="00562FAF">
        <w:rPr>
          <w:rFonts w:ascii="Calibri" w:hAnsi="Calibri" w:cs="Calibri"/>
          <w:color w:val="000000" w:themeColor="text1"/>
          <w:sz w:val="24"/>
          <w:szCs w:val="24"/>
          <w:lang w:val="en-IN"/>
        </w:rPr>
        <w:t xml:space="preserve"> for </w:t>
      </w:r>
      <w:r w:rsidR="00247290">
        <w:rPr>
          <w:rFonts w:ascii="Calibri" w:hAnsi="Calibri" w:cs="Calibri"/>
          <w:color w:val="000000" w:themeColor="text1"/>
          <w:sz w:val="24"/>
          <w:szCs w:val="24"/>
          <w:lang w:val="en-IN"/>
        </w:rPr>
        <w:t xml:space="preserve">the </w:t>
      </w:r>
      <w:r w:rsidR="0059400A" w:rsidRPr="00562FAF">
        <w:rPr>
          <w:rFonts w:ascii="Calibri" w:hAnsi="Calibri" w:cs="Calibri"/>
          <w:color w:val="000000" w:themeColor="text1"/>
          <w:sz w:val="24"/>
          <w:szCs w:val="24"/>
          <w:lang w:val="en-IN"/>
        </w:rPr>
        <w:t>microplate washer.</w:t>
      </w:r>
    </w:p>
    <w:p w14:paraId="3A2D179F" w14:textId="77777777" w:rsidR="00927D57" w:rsidRPr="00562FAF" w:rsidRDefault="00927D57"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lang w:val="en-IN"/>
        </w:rPr>
      </w:pPr>
    </w:p>
    <w:p w14:paraId="4EF108D9" w14:textId="3D031443"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highlight w:val="yellow"/>
          <w:lang w:val="en-IN"/>
        </w:rPr>
      </w:pPr>
      <w:r w:rsidRPr="00E93DF0">
        <w:rPr>
          <w:rFonts w:ascii="Calibri" w:hAnsi="Calibri" w:cs="Calibri"/>
          <w:b/>
          <w:bCs/>
          <w:color w:val="000000" w:themeColor="text1"/>
          <w:sz w:val="24"/>
          <w:szCs w:val="24"/>
          <w:highlight w:val="yellow"/>
          <w:lang w:val="en-IN"/>
        </w:rPr>
        <w:t>5. Detection</w:t>
      </w:r>
    </w:p>
    <w:p w14:paraId="3BCF9600"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highlight w:val="yellow"/>
          <w:lang w:val="en-IN"/>
        </w:rPr>
      </w:pPr>
    </w:p>
    <w:p w14:paraId="0FED4D7E" w14:textId="3239C6B6"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5.1. Prepare the substrate solution</w:t>
      </w:r>
    </w:p>
    <w:p w14:paraId="0D4A0579"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1DC29A64"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 xml:space="preserve">5.1.1. Prepare the AEC working substrate immediately before use by adding one drop of chromogen solution to every 1 mL of substrate solution. Mix thoroughly by </w:t>
      </w:r>
      <w:proofErr w:type="spellStart"/>
      <w:r w:rsidRPr="00E93DF0">
        <w:rPr>
          <w:rFonts w:ascii="Calibri" w:hAnsi="Calibri" w:cs="Calibri"/>
          <w:color w:val="000000" w:themeColor="text1"/>
          <w:sz w:val="24"/>
          <w:szCs w:val="24"/>
          <w:highlight w:val="yellow"/>
          <w:lang w:val="en-IN"/>
        </w:rPr>
        <w:t>vortexing</w:t>
      </w:r>
      <w:proofErr w:type="spellEnd"/>
      <w:r w:rsidRPr="00E93DF0">
        <w:rPr>
          <w:rFonts w:ascii="Calibri" w:hAnsi="Calibri" w:cs="Calibri"/>
          <w:color w:val="000000" w:themeColor="text1"/>
          <w:sz w:val="24"/>
          <w:szCs w:val="24"/>
          <w:highlight w:val="yellow"/>
          <w:lang w:val="en-IN"/>
        </w:rPr>
        <w:t>.</w:t>
      </w:r>
    </w:p>
    <w:p w14:paraId="51E3826D"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4DA9A9F8"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NOTE: Prepare approximately 40 mL of working substrate for four 96-well plates.</w:t>
      </w:r>
    </w:p>
    <w:p w14:paraId="42EC336E"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00EA7F6A" w14:textId="2DCF16A0"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5.2. Develop the ELISpot plates</w:t>
      </w:r>
      <w:r w:rsidR="003C596B" w:rsidRPr="00E93DF0">
        <w:rPr>
          <w:rFonts w:ascii="Calibri" w:hAnsi="Calibri" w:cs="Calibri"/>
          <w:color w:val="000000" w:themeColor="text1"/>
          <w:sz w:val="24"/>
          <w:szCs w:val="24"/>
          <w:highlight w:val="yellow"/>
          <w:lang w:val="en-IN"/>
        </w:rPr>
        <w:t xml:space="preserve"> at room temperature</w:t>
      </w:r>
    </w:p>
    <w:p w14:paraId="34F0D4BD"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3F26C3B3"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5.2.1. Process one plate at a time. Discard the final wash buffer and immediately add 100 µL/well AEC working substrate.</w:t>
      </w:r>
    </w:p>
    <w:p w14:paraId="0EA18E63"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4D2E7ABA"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5.2.2. Monitor spot development visually until distinct red spots become visible, typically within 2–4 min.</w:t>
      </w:r>
    </w:p>
    <w:p w14:paraId="76946C13"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0B270891"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CAUTION: Do not</w:t>
      </w:r>
      <w:r w:rsidRPr="00E93DF0">
        <w:rPr>
          <w:rFonts w:ascii="Calibri" w:hAnsi="Calibri" w:cs="Calibri"/>
          <w:bCs/>
          <w:color w:val="000000" w:themeColor="text1"/>
          <w:sz w:val="24"/>
          <w:szCs w:val="24"/>
          <w:highlight w:val="yellow"/>
          <w:lang w:val="en-IN"/>
        </w:rPr>
        <w:t xml:space="preserve"> overdevelop the plates, as excessive development increases background staining and compromises spot resolution.</w:t>
      </w:r>
    </w:p>
    <w:p w14:paraId="16331F3C"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lang w:val="en-IN"/>
        </w:rPr>
      </w:pPr>
    </w:p>
    <w:p w14:paraId="738051BA"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5.2.3. Stop the enzymatic reaction by rinsing the plate thoroughly under running tap water.</w:t>
      </w:r>
    </w:p>
    <w:p w14:paraId="54F87CB3"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1CCC4F79"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5.2.4. Wash the plate four to five times with tap water. Remove excess water using absorbent paper towels.</w:t>
      </w:r>
    </w:p>
    <w:p w14:paraId="403A7459"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65119505"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E93DF0">
        <w:rPr>
          <w:rFonts w:ascii="Calibri" w:hAnsi="Calibri" w:cs="Calibri"/>
          <w:color w:val="000000" w:themeColor="text1"/>
          <w:sz w:val="24"/>
          <w:szCs w:val="24"/>
          <w:highlight w:val="yellow"/>
          <w:lang w:val="en-IN"/>
        </w:rPr>
        <w:t>5.2.5. Allow the plates to air-dry for approximately 24 h before counting the spots.</w:t>
      </w:r>
    </w:p>
    <w:p w14:paraId="396F9058" w14:textId="77777777" w:rsidR="00927D57" w:rsidRPr="00562FAF"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6E8EC644"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NOTE: Stop the reaction as soon as spots become visible in wells containing the highest cell concentrations to avoid overdevelopment.</w:t>
      </w:r>
    </w:p>
    <w:p w14:paraId="32BE2A94" w14:textId="77777777" w:rsidR="00927D57" w:rsidRPr="00562FAF"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76591CA8"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5.2.6. Repeat Steps 5.2.1–5.2.5 for each remaining plate.</w:t>
      </w:r>
    </w:p>
    <w:p w14:paraId="53AD3FE8" w14:textId="0E6077DA" w:rsidR="0062725A" w:rsidRPr="00562FAF" w:rsidRDefault="0062725A"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lang w:val="en-IN"/>
        </w:rPr>
      </w:pPr>
    </w:p>
    <w:p w14:paraId="38799042" w14:textId="54CBD2FF"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highlight w:val="yellow"/>
          <w:lang w:val="en-IN"/>
        </w:rPr>
      </w:pPr>
      <w:r w:rsidRPr="00E93DF0">
        <w:rPr>
          <w:rFonts w:ascii="Calibri" w:hAnsi="Calibri" w:cs="Calibri"/>
          <w:b/>
          <w:bCs/>
          <w:color w:val="000000" w:themeColor="text1"/>
          <w:sz w:val="24"/>
          <w:szCs w:val="24"/>
          <w:highlight w:val="yellow"/>
          <w:lang w:val="en-IN"/>
        </w:rPr>
        <w:t xml:space="preserve">6. Quantification of </w:t>
      </w:r>
      <w:r w:rsidR="00490382" w:rsidRPr="00E93DF0">
        <w:rPr>
          <w:rFonts w:ascii="Calibri" w:hAnsi="Calibri" w:cs="Calibri"/>
          <w:b/>
          <w:bCs/>
          <w:color w:val="000000" w:themeColor="text1"/>
          <w:sz w:val="24"/>
          <w:szCs w:val="24"/>
          <w:highlight w:val="yellow"/>
          <w:lang w:val="en-IN"/>
        </w:rPr>
        <w:t>s</w:t>
      </w:r>
      <w:r w:rsidRPr="00E93DF0">
        <w:rPr>
          <w:rFonts w:ascii="Calibri" w:hAnsi="Calibri" w:cs="Calibri"/>
          <w:b/>
          <w:bCs/>
          <w:color w:val="000000" w:themeColor="text1"/>
          <w:sz w:val="24"/>
          <w:szCs w:val="24"/>
          <w:highlight w:val="yellow"/>
          <w:lang w:val="en-IN"/>
        </w:rPr>
        <w:t>pots</w:t>
      </w:r>
    </w:p>
    <w:p w14:paraId="56EBCC6E"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b/>
          <w:bCs/>
          <w:color w:val="000000" w:themeColor="text1"/>
          <w:sz w:val="24"/>
          <w:szCs w:val="24"/>
          <w:highlight w:val="yellow"/>
          <w:lang w:val="en-IN"/>
        </w:rPr>
      </w:pPr>
    </w:p>
    <w:p w14:paraId="2A9FF9D0" w14:textId="77C693E5"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lastRenderedPageBreak/>
        <w:t>6.1. Acquire ELISpot images</w:t>
      </w:r>
    </w:p>
    <w:p w14:paraId="338C751D"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563F5F20"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6.1.1. Scan each plate using an ELISpot reader equipped with image acquisition software.</w:t>
      </w:r>
    </w:p>
    <w:p w14:paraId="41805520"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5831422A"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 xml:space="preserve">6.1.2. Select the appropriate plate template, define the wells to be </w:t>
      </w:r>
      <w:proofErr w:type="spellStart"/>
      <w:r w:rsidRPr="00E93DF0">
        <w:rPr>
          <w:rFonts w:ascii="Calibri" w:hAnsi="Calibri" w:cs="Calibri"/>
          <w:color w:val="000000" w:themeColor="text1"/>
          <w:sz w:val="24"/>
          <w:szCs w:val="24"/>
          <w:highlight w:val="yellow"/>
          <w:lang w:val="en-IN"/>
        </w:rPr>
        <w:t>analyzed</w:t>
      </w:r>
      <w:proofErr w:type="spellEnd"/>
      <w:r w:rsidRPr="00E93DF0">
        <w:rPr>
          <w:rFonts w:ascii="Calibri" w:hAnsi="Calibri" w:cs="Calibri"/>
          <w:color w:val="000000" w:themeColor="text1"/>
          <w:sz w:val="24"/>
          <w:szCs w:val="24"/>
          <w:highlight w:val="yellow"/>
          <w:lang w:val="en-IN"/>
        </w:rPr>
        <w:t>, and acquire images according to the software instructions.</w:t>
      </w:r>
    </w:p>
    <w:p w14:paraId="648821F9" w14:textId="77777777" w:rsidR="00927D57" w:rsidRPr="00E93DF0" w:rsidRDefault="00927D57"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74C4228A"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6.1.3. Save the raw data and export the plate images in TIFF format for archival purposes.</w:t>
      </w:r>
    </w:p>
    <w:p w14:paraId="236E0DCF" w14:textId="51248B18" w:rsidR="0062725A" w:rsidRPr="00E93DF0" w:rsidRDefault="0062725A"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50147379" w14:textId="755DE498"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6.2. Count antibody-secreting cells</w:t>
      </w:r>
    </w:p>
    <w:p w14:paraId="307647F3" w14:textId="77777777" w:rsidR="00762A1E" w:rsidRPr="00E93DF0" w:rsidRDefault="00762A1E"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3B9EC86B"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6.2.1. Review the automated spot counts for each well.</w:t>
      </w:r>
    </w:p>
    <w:p w14:paraId="5350F3CF" w14:textId="77777777" w:rsidR="00762A1E" w:rsidRPr="00E93DF0" w:rsidRDefault="00762A1E"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557B7415"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6.2.2. Manually verify each well to identify incorrectly merged or split spots. Mark individual spots manually when necessary to obtain accurate counts.</w:t>
      </w:r>
    </w:p>
    <w:p w14:paraId="283619A9" w14:textId="77777777" w:rsidR="00762A1E" w:rsidRPr="00E93DF0" w:rsidRDefault="00762A1E"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7C2120D8"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NOTE: Manual verification is recommended because large spots may be counted multiple times by automated</w:t>
      </w:r>
      <w:r w:rsidRPr="00E93DF0">
        <w:rPr>
          <w:rFonts w:ascii="Calibri" w:hAnsi="Calibri" w:cs="Calibri"/>
          <w:bCs/>
          <w:color w:val="000000" w:themeColor="text1"/>
          <w:sz w:val="24"/>
          <w:szCs w:val="24"/>
          <w:highlight w:val="yellow"/>
          <w:lang w:val="en-IN"/>
        </w:rPr>
        <w:t xml:space="preserve"> analysis software.</w:t>
      </w:r>
    </w:p>
    <w:p w14:paraId="24A77C9A" w14:textId="77777777" w:rsidR="00762A1E" w:rsidRPr="00E93DF0" w:rsidRDefault="00762A1E"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lang w:val="en-IN"/>
        </w:rPr>
      </w:pPr>
    </w:p>
    <w:p w14:paraId="1DF5E8CB" w14:textId="0467D854"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6.2.3. Record the spot counts together with the corresponding dilution factors in a spreadsheet</w:t>
      </w:r>
      <w:r w:rsidR="002C607F" w:rsidRPr="00E93DF0">
        <w:rPr>
          <w:rFonts w:ascii="Calibri" w:hAnsi="Calibri" w:cs="Calibri"/>
          <w:color w:val="000000" w:themeColor="text1"/>
          <w:sz w:val="24"/>
          <w:szCs w:val="24"/>
          <w:highlight w:val="yellow"/>
          <w:lang w:val="en-IN"/>
        </w:rPr>
        <w:t xml:space="preserve"> as </w:t>
      </w:r>
      <w:r w:rsidR="00B53C27" w:rsidRPr="00E93DF0">
        <w:rPr>
          <w:rFonts w:ascii="Calibri" w:hAnsi="Calibri" w:cs="Calibri"/>
          <w:color w:val="000000" w:themeColor="text1"/>
          <w:sz w:val="24"/>
          <w:szCs w:val="24"/>
          <w:highlight w:val="yellow"/>
          <w:lang w:val="en-IN"/>
        </w:rPr>
        <w:t xml:space="preserve">described </w:t>
      </w:r>
      <w:r w:rsidR="002C607F" w:rsidRPr="00E93DF0">
        <w:rPr>
          <w:rFonts w:ascii="Calibri" w:hAnsi="Calibri" w:cs="Calibri"/>
          <w:color w:val="000000" w:themeColor="text1"/>
          <w:sz w:val="24"/>
          <w:szCs w:val="24"/>
          <w:highlight w:val="yellow"/>
          <w:lang w:val="en-IN"/>
        </w:rPr>
        <w:t xml:space="preserve">in </w:t>
      </w:r>
      <w:r w:rsidR="002C607F" w:rsidRPr="00E93DF0">
        <w:rPr>
          <w:rFonts w:ascii="Calibri" w:hAnsi="Calibri" w:cs="Calibri"/>
          <w:b/>
          <w:bCs/>
          <w:color w:val="000000" w:themeColor="text1"/>
          <w:sz w:val="24"/>
          <w:szCs w:val="24"/>
          <w:highlight w:val="yellow"/>
          <w:lang w:val="en-IN"/>
        </w:rPr>
        <w:t>Table</w:t>
      </w:r>
      <w:r w:rsidR="00B53C27" w:rsidRPr="00E93DF0">
        <w:rPr>
          <w:rFonts w:ascii="Calibri" w:hAnsi="Calibri" w:cs="Calibri"/>
          <w:b/>
          <w:bCs/>
          <w:color w:val="000000" w:themeColor="text1"/>
          <w:sz w:val="24"/>
          <w:szCs w:val="24"/>
          <w:highlight w:val="yellow"/>
          <w:lang w:val="en-IN"/>
        </w:rPr>
        <w:t xml:space="preserve"> </w:t>
      </w:r>
      <w:r w:rsidR="002C607F" w:rsidRPr="00E93DF0">
        <w:rPr>
          <w:rFonts w:ascii="Calibri" w:hAnsi="Calibri" w:cs="Calibri"/>
          <w:b/>
          <w:bCs/>
          <w:color w:val="000000" w:themeColor="text1"/>
          <w:sz w:val="24"/>
          <w:szCs w:val="24"/>
          <w:highlight w:val="yellow"/>
          <w:lang w:val="en-IN"/>
        </w:rPr>
        <w:t>2</w:t>
      </w:r>
      <w:r w:rsidRPr="00E93DF0">
        <w:rPr>
          <w:rFonts w:ascii="Calibri" w:hAnsi="Calibri" w:cs="Calibri"/>
          <w:color w:val="000000" w:themeColor="text1"/>
          <w:sz w:val="24"/>
          <w:szCs w:val="24"/>
          <w:highlight w:val="yellow"/>
          <w:lang w:val="en-IN"/>
        </w:rPr>
        <w:t>.</w:t>
      </w:r>
    </w:p>
    <w:p w14:paraId="0CBD8541" w14:textId="77777777" w:rsidR="00762A1E" w:rsidRPr="00E93DF0" w:rsidRDefault="00762A1E"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7DF083FE" w14:textId="77777777" w:rsidR="0062725A" w:rsidRPr="00E93DF0"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r w:rsidRPr="00E93DF0">
        <w:rPr>
          <w:rFonts w:ascii="Calibri" w:hAnsi="Calibri" w:cs="Calibri"/>
          <w:color w:val="000000" w:themeColor="text1"/>
          <w:sz w:val="24"/>
          <w:szCs w:val="24"/>
          <w:highlight w:val="yellow"/>
          <w:lang w:val="en-IN"/>
        </w:rPr>
        <w:t xml:space="preserve">6.2.4. </w:t>
      </w:r>
      <w:proofErr w:type="spellStart"/>
      <w:r w:rsidRPr="00E93DF0">
        <w:rPr>
          <w:rFonts w:ascii="Calibri" w:hAnsi="Calibri" w:cs="Calibri"/>
          <w:color w:val="000000" w:themeColor="text1"/>
          <w:sz w:val="24"/>
          <w:szCs w:val="24"/>
          <w:highlight w:val="yellow"/>
          <w:lang w:val="en-IN"/>
        </w:rPr>
        <w:t>Analyze</w:t>
      </w:r>
      <w:proofErr w:type="spellEnd"/>
      <w:r w:rsidRPr="00E93DF0">
        <w:rPr>
          <w:rFonts w:ascii="Calibri" w:hAnsi="Calibri" w:cs="Calibri"/>
          <w:color w:val="000000" w:themeColor="text1"/>
          <w:sz w:val="24"/>
          <w:szCs w:val="24"/>
          <w:highlight w:val="yellow"/>
          <w:lang w:val="en-IN"/>
        </w:rPr>
        <w:t xml:space="preserve"> duplicate wells separately for IgG, IgM, and IgA before calculating the average spot count for each dilution.</w:t>
      </w:r>
    </w:p>
    <w:p w14:paraId="6E1C4557" w14:textId="77777777" w:rsidR="00762A1E" w:rsidRPr="00E93DF0" w:rsidRDefault="00762A1E"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lang w:val="en-IN"/>
        </w:rPr>
      </w:pPr>
    </w:p>
    <w:p w14:paraId="0F0495B9"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E93DF0">
        <w:rPr>
          <w:rFonts w:ascii="Calibri" w:hAnsi="Calibri" w:cs="Calibri"/>
          <w:color w:val="000000" w:themeColor="text1"/>
          <w:sz w:val="24"/>
          <w:szCs w:val="24"/>
          <w:highlight w:val="yellow"/>
          <w:lang w:val="en-IN"/>
        </w:rPr>
        <w:t>6.2.5. Calculate antibody-secreting cells per million input cells by multiplying the average spot count by the corresponding dilution factor.</w:t>
      </w:r>
    </w:p>
    <w:p w14:paraId="16A335A6" w14:textId="77777777" w:rsidR="00762A1E" w:rsidRPr="00562FAF" w:rsidRDefault="00762A1E"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3DF083CB"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NOTE: Use dilution factors of 15×, 45×, and 135× for total immunoglobulin assays and 3×, 9×, and 27× for antigen-specific assays.</w:t>
      </w:r>
    </w:p>
    <w:p w14:paraId="2795DFBD" w14:textId="77777777" w:rsidR="00762A1E" w:rsidRPr="00562FAF" w:rsidRDefault="00762A1E"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p>
    <w:p w14:paraId="4EFCD551" w14:textId="77777777" w:rsidR="0062725A" w:rsidRPr="00562FAF" w:rsidRDefault="004A19BD" w:rsidP="00562FAF">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lang w:val="en-IN"/>
        </w:rPr>
      </w:pPr>
      <w:r w:rsidRPr="00562FAF">
        <w:rPr>
          <w:rFonts w:ascii="Calibri" w:hAnsi="Calibri" w:cs="Calibri"/>
          <w:color w:val="000000" w:themeColor="text1"/>
          <w:sz w:val="24"/>
          <w:szCs w:val="24"/>
          <w:lang w:val="en-IN"/>
        </w:rPr>
        <w:t>6.2.6. Perform all calculations in spreadsheet software and generate graphs using statistical graphing software.</w:t>
      </w:r>
    </w:p>
    <w:p w14:paraId="3CB234CA" w14:textId="77777777" w:rsidR="00675FB9" w:rsidRPr="00562FAF" w:rsidRDefault="00675FB9" w:rsidP="00562FAF">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rPr>
      </w:pPr>
    </w:p>
    <w:p w14:paraId="4146D7F2" w14:textId="07ABFD19" w:rsidR="00074F02" w:rsidRPr="00562FAF" w:rsidRDefault="004A19BD" w:rsidP="00562FAF">
      <w:pPr>
        <w:rPr>
          <w:b/>
          <w:color w:val="000000" w:themeColor="text1"/>
        </w:rPr>
      </w:pPr>
      <w:r w:rsidRPr="00562FAF">
        <w:rPr>
          <w:b/>
          <w:color w:val="000000" w:themeColor="text1"/>
        </w:rPr>
        <w:t xml:space="preserve">REPRESENTATIVE </w:t>
      </w:r>
      <w:r w:rsidR="005867B6" w:rsidRPr="00562FAF">
        <w:rPr>
          <w:b/>
          <w:color w:val="000000" w:themeColor="text1"/>
        </w:rPr>
        <w:t xml:space="preserve">RESULTS: </w:t>
      </w:r>
    </w:p>
    <w:p w14:paraId="5931E3C0" w14:textId="4A7CB0BA" w:rsidR="001B4ABA" w:rsidRPr="00562FAF" w:rsidRDefault="004A19BD" w:rsidP="00562FAF">
      <w:pPr>
        <w:rPr>
          <w:color w:val="000000" w:themeColor="text1"/>
          <w:lang w:val="en-IN"/>
        </w:rPr>
      </w:pPr>
      <w:r w:rsidRPr="00562FAF">
        <w:rPr>
          <w:color w:val="000000" w:themeColor="text1"/>
          <w:lang w:val="en-IN"/>
        </w:rPr>
        <w:t xml:space="preserve">In this B-cell ELISpot assay, antibody-secreting cells (ASCs) were detected using CH505 SOSIP, a soluble HIV-1 envelope glycoprotein (Env) trimer, as the coating antigen in a vaccine study </w:t>
      </w:r>
      <w:r w:rsidR="00AC3917" w:rsidRPr="00562FAF">
        <w:rPr>
          <w:color w:val="000000" w:themeColor="text1"/>
          <w:lang w:val="en-IN"/>
        </w:rPr>
        <w:t>aimed at eliciting</w:t>
      </w:r>
      <w:r w:rsidRPr="00562FAF">
        <w:rPr>
          <w:color w:val="000000" w:themeColor="text1"/>
          <w:lang w:val="en-IN"/>
        </w:rPr>
        <w:t xml:space="preserve"> </w:t>
      </w:r>
      <w:r w:rsidR="00FC1B79">
        <w:rPr>
          <w:color w:val="000000" w:themeColor="text1"/>
          <w:lang w:val="en-IN"/>
        </w:rPr>
        <w:t>broadly neutralizing antibodies (</w:t>
      </w:r>
      <w:proofErr w:type="spellStart"/>
      <w:r w:rsidR="00FC1B79">
        <w:rPr>
          <w:color w:val="000000" w:themeColor="text1"/>
          <w:lang w:val="en-IN"/>
        </w:rPr>
        <w:t>bnAbs</w:t>
      </w:r>
      <w:proofErr w:type="spellEnd"/>
      <w:r w:rsidR="00FC1B79">
        <w:rPr>
          <w:color w:val="000000" w:themeColor="text1"/>
          <w:lang w:val="en-IN"/>
        </w:rPr>
        <w:t>) against HIV-1</w:t>
      </w:r>
      <w:r w:rsidRPr="00562FAF">
        <w:rPr>
          <w:color w:val="000000" w:themeColor="text1"/>
          <w:lang w:val="en-IN"/>
        </w:rPr>
        <w:t xml:space="preserve">. </w:t>
      </w:r>
      <w:r w:rsidRPr="00562FAF">
        <w:rPr>
          <w:b/>
          <w:bCs/>
          <w:color w:val="000000" w:themeColor="text1"/>
          <w:lang w:val="en-IN"/>
        </w:rPr>
        <w:t>Figure 1</w:t>
      </w:r>
      <w:r w:rsidRPr="00562FAF">
        <w:rPr>
          <w:color w:val="000000" w:themeColor="text1"/>
          <w:lang w:val="en-IN"/>
        </w:rPr>
        <w:t xml:space="preserve"> illustrates the ELISpot plate layout used to quantify total and antigen-specific ASCs on separate plates. The layout identifies individual animals and the well positions assigned for IgG, IgM, and IgA analyses. Plate labels also include the study number, sampling time point, and date. In addition, the layout specifies the coating concentrations, cell suspension volumes, and serial dilution scheme used for the assay. </w:t>
      </w:r>
    </w:p>
    <w:p w14:paraId="721F7C28" w14:textId="77777777" w:rsidR="001B4ABA" w:rsidRPr="00562FAF" w:rsidRDefault="001B4ABA" w:rsidP="00562FAF">
      <w:pPr>
        <w:rPr>
          <w:b/>
          <w:bCs/>
          <w:color w:val="000000" w:themeColor="text1"/>
          <w:lang w:val="en-IN"/>
        </w:rPr>
      </w:pPr>
    </w:p>
    <w:p w14:paraId="69FB344C" w14:textId="08244F62" w:rsidR="001B4ABA" w:rsidRPr="00562FAF" w:rsidRDefault="004A19BD" w:rsidP="00562FAF">
      <w:pPr>
        <w:rPr>
          <w:color w:val="000000" w:themeColor="text1"/>
          <w:lang w:val="en-IN"/>
        </w:rPr>
      </w:pPr>
      <w:r w:rsidRPr="00562FAF">
        <w:rPr>
          <w:b/>
          <w:bCs/>
          <w:color w:val="000000" w:themeColor="text1"/>
          <w:lang w:val="en-IN"/>
        </w:rPr>
        <w:lastRenderedPageBreak/>
        <w:t>Figure 2</w:t>
      </w:r>
      <w:r w:rsidRPr="00562FAF">
        <w:rPr>
          <w:color w:val="000000" w:themeColor="text1"/>
          <w:lang w:val="en-IN"/>
        </w:rPr>
        <w:t xml:space="preserve"> presents representative antigen-specific ASC responses in bone marrow, </w:t>
      </w:r>
      <w:r w:rsidR="00AC3917" w:rsidRPr="00562FAF">
        <w:rPr>
          <w:color w:val="000000" w:themeColor="text1"/>
          <w:lang w:val="en-IN"/>
        </w:rPr>
        <w:t>showing spots of varying size and intensity corresponding</w:t>
      </w:r>
      <w:r w:rsidRPr="00562FAF">
        <w:rPr>
          <w:color w:val="000000" w:themeColor="text1"/>
          <w:lang w:val="en-IN"/>
        </w:rPr>
        <w:t xml:space="preserve"> to individual ASCs secreting different amounts of antibody. IgG-producing ASCs generated the greatest number of spots, followed by IgM, whereas IgA responses were comparatively low. Automated spot enumeration was based on a predefined spot diameter and tended to overestimate </w:t>
      </w:r>
      <w:r w:rsidR="00AC3917" w:rsidRPr="00562FAF">
        <w:rPr>
          <w:color w:val="000000" w:themeColor="text1"/>
          <w:lang w:val="en-IN"/>
        </w:rPr>
        <w:t>the number of spots</w:t>
      </w:r>
      <w:r w:rsidRPr="00562FAF">
        <w:rPr>
          <w:color w:val="000000" w:themeColor="text1"/>
          <w:lang w:val="en-IN"/>
        </w:rPr>
        <w:t xml:space="preserve"> when large spots were present. Consequently, manual spot counting was performed to accurately enumerate ASCs, as demonstrated in the magnified representative wells from a single animal. </w:t>
      </w:r>
    </w:p>
    <w:p w14:paraId="19D0E839" w14:textId="77777777" w:rsidR="0059400A" w:rsidRPr="00562FAF" w:rsidRDefault="0059400A" w:rsidP="00562FAF">
      <w:pPr>
        <w:rPr>
          <w:color w:val="000000" w:themeColor="text1"/>
          <w:lang w:val="en-IN"/>
        </w:rPr>
      </w:pPr>
    </w:p>
    <w:p w14:paraId="65122D36" w14:textId="683E2881" w:rsidR="001B4ABA" w:rsidRPr="00562FAF" w:rsidRDefault="001E70F1" w:rsidP="00562FAF">
      <w:pPr>
        <w:rPr>
          <w:color w:val="000000" w:themeColor="text1"/>
          <w:lang w:val="en-IN"/>
        </w:rPr>
      </w:pPr>
      <w:r w:rsidRPr="000864E9">
        <w:rPr>
          <w:b/>
          <w:bCs/>
          <w:color w:val="000000" w:themeColor="text1"/>
          <w:lang w:val="en-IN"/>
        </w:rPr>
        <w:t>Table 2</w:t>
      </w:r>
      <w:r w:rsidR="00DD6641" w:rsidRPr="00DD6641">
        <w:rPr>
          <w:color w:val="000000" w:themeColor="text1"/>
          <w:lang w:val="en-IN"/>
        </w:rPr>
        <w:t xml:space="preserve"> </w:t>
      </w:r>
      <w:r w:rsidR="008343C7">
        <w:rPr>
          <w:color w:val="000000" w:themeColor="text1"/>
          <w:lang w:val="en-IN"/>
        </w:rPr>
        <w:t>lists</w:t>
      </w:r>
      <w:r w:rsidR="00DD6641" w:rsidRPr="00DD6641">
        <w:rPr>
          <w:color w:val="000000" w:themeColor="text1"/>
          <w:lang w:val="en-IN"/>
        </w:rPr>
        <w:t xml:space="preserve"> the dilution factors (15×, 45×, and 135× for total immunoglobulin assays; 3×, 9×, and 27× for antigen-specific assays) used for the calculation of the total immunoglobulin plate and antigen-specific</w:t>
      </w:r>
      <w:r w:rsidR="005E0A08" w:rsidRPr="00DD6641">
        <w:rPr>
          <w:color w:val="000000" w:themeColor="text1"/>
          <w:lang w:val="en-IN"/>
        </w:rPr>
        <w:t xml:space="preserve"> plate. </w:t>
      </w:r>
      <w:r w:rsidR="004A19BD" w:rsidRPr="00562FAF">
        <w:rPr>
          <w:b/>
          <w:bCs/>
          <w:color w:val="000000" w:themeColor="text1"/>
          <w:lang w:val="en-IN"/>
        </w:rPr>
        <w:t>Table 3</w:t>
      </w:r>
      <w:r w:rsidR="004A19BD" w:rsidRPr="00562FAF">
        <w:rPr>
          <w:color w:val="000000" w:themeColor="text1"/>
          <w:lang w:val="en-IN"/>
        </w:rPr>
        <w:t xml:space="preserve"> summarizes the manually counted antigen-specific (CH505) ASC spots for IgG, IgM, and IgA obtained from individual wells for four rhesus macaques (RH1–RH4). Wells containing excessive spot numbers at the highest cell concentration were excluded from analysis when individual spots could not be reliably distinguished.</w:t>
      </w:r>
    </w:p>
    <w:p w14:paraId="6326BC60" w14:textId="77777777" w:rsidR="00AC3917" w:rsidRPr="00562FAF" w:rsidRDefault="00AC3917" w:rsidP="00562FAF">
      <w:pPr>
        <w:rPr>
          <w:color w:val="000000" w:themeColor="text1"/>
          <w:lang w:val="en-IN"/>
        </w:rPr>
      </w:pPr>
    </w:p>
    <w:p w14:paraId="753FEAAD" w14:textId="31D67615" w:rsidR="001B4ABA" w:rsidRPr="00562FAF" w:rsidRDefault="004A19BD" w:rsidP="00562FAF">
      <w:pPr>
        <w:rPr>
          <w:color w:val="000000" w:themeColor="text1"/>
          <w:lang w:val="en-IN"/>
        </w:rPr>
      </w:pPr>
      <w:r w:rsidRPr="00562FAF">
        <w:rPr>
          <w:b/>
          <w:bCs/>
          <w:color w:val="000000" w:themeColor="text1"/>
          <w:lang w:val="en-IN"/>
        </w:rPr>
        <w:t>Table 4</w:t>
      </w:r>
      <w:r w:rsidRPr="00562FAF">
        <w:rPr>
          <w:color w:val="000000" w:themeColor="text1"/>
          <w:lang w:val="en-IN"/>
        </w:rPr>
        <w:t xml:space="preserve"> presents the mean ASC counts calculated from duplicate wells shown in </w:t>
      </w:r>
      <w:r w:rsidRPr="0089371E">
        <w:rPr>
          <w:b/>
          <w:bCs/>
          <w:color w:val="000000" w:themeColor="text1"/>
          <w:lang w:val="en-IN"/>
        </w:rPr>
        <w:t>Table 3</w:t>
      </w:r>
      <w:r w:rsidRPr="00562FAF">
        <w:rPr>
          <w:color w:val="000000" w:themeColor="text1"/>
          <w:lang w:val="en-IN"/>
        </w:rPr>
        <w:t xml:space="preserve">. When the highest cell concentration produced an uncountable number of </w:t>
      </w:r>
      <w:r w:rsidR="004A2166">
        <w:rPr>
          <w:color w:val="000000" w:themeColor="text1"/>
          <w:lang w:val="en-IN"/>
        </w:rPr>
        <w:t>spots</w:t>
      </w:r>
      <w:r w:rsidRPr="00562FAF">
        <w:rPr>
          <w:color w:val="000000" w:themeColor="text1"/>
          <w:lang w:val="en-IN"/>
        </w:rPr>
        <w:t xml:space="preserve">, the average was calculated using the remaining countable dilutions. </w:t>
      </w:r>
      <w:r w:rsidRPr="00562FAF">
        <w:rPr>
          <w:b/>
          <w:bCs/>
          <w:color w:val="000000" w:themeColor="text1"/>
          <w:lang w:val="en-IN"/>
        </w:rPr>
        <w:t>Table 5</w:t>
      </w:r>
      <w:r w:rsidRPr="00562FAF">
        <w:rPr>
          <w:color w:val="000000" w:themeColor="text1"/>
          <w:lang w:val="en-IN"/>
        </w:rPr>
        <w:t xml:space="preserve"> shows the calculated ASC frequencies per million input cells. These values were obtained by multiplying the average spot counts by the appropriate dilution factors (15×, 45×, and 135× for total immunoglobulin assays; 3×, 9×, and 27× for antigen-specific assays). </w:t>
      </w:r>
      <w:r w:rsidRPr="00562FAF">
        <w:rPr>
          <w:b/>
          <w:bCs/>
          <w:color w:val="000000" w:themeColor="text1"/>
          <w:lang w:val="en-IN"/>
        </w:rPr>
        <w:t>Table 6</w:t>
      </w:r>
      <w:r w:rsidRPr="00562FAF">
        <w:rPr>
          <w:color w:val="000000" w:themeColor="text1"/>
          <w:lang w:val="en-IN"/>
        </w:rPr>
        <w:t xml:space="preserve"> summarizes the calculated ASC frequencies per million cells for each individual animal together with the mean responses for the immunized animal group.</w:t>
      </w:r>
    </w:p>
    <w:p w14:paraId="7665B22B" w14:textId="77777777" w:rsidR="001B4ABA" w:rsidRPr="00562FAF" w:rsidRDefault="001B4ABA" w:rsidP="00562FAF">
      <w:pPr>
        <w:rPr>
          <w:color w:val="000000" w:themeColor="text1"/>
          <w:lang w:val="en-IN"/>
        </w:rPr>
      </w:pPr>
    </w:p>
    <w:p w14:paraId="301AF785" w14:textId="695EBA3E" w:rsidR="001B4ABA" w:rsidRPr="00562FAF" w:rsidRDefault="004A19BD" w:rsidP="00562FAF">
      <w:pPr>
        <w:rPr>
          <w:color w:val="000000" w:themeColor="text1"/>
          <w:lang w:val="en-IN"/>
        </w:rPr>
      </w:pPr>
      <w:r w:rsidRPr="00562FAF">
        <w:rPr>
          <w:b/>
          <w:bCs/>
          <w:color w:val="000000" w:themeColor="text1"/>
          <w:lang w:val="en-IN"/>
        </w:rPr>
        <w:t>Figure 3</w:t>
      </w:r>
      <w:r w:rsidRPr="00562FAF">
        <w:rPr>
          <w:color w:val="000000" w:themeColor="text1"/>
          <w:lang w:val="en-IN"/>
        </w:rPr>
        <w:t xml:space="preserve"> compares baseline and post-booster (5 days after immunization) plasmablast responses in PBMCs. Total ASC responses (</w:t>
      </w:r>
      <w:r w:rsidRPr="00562FAF">
        <w:rPr>
          <w:b/>
          <w:bCs/>
          <w:color w:val="000000" w:themeColor="text1"/>
          <w:lang w:val="en-IN"/>
        </w:rPr>
        <w:t>Figure 3A</w:t>
      </w:r>
      <w:r w:rsidRPr="00562FAF">
        <w:rPr>
          <w:color w:val="000000" w:themeColor="text1"/>
          <w:lang w:val="en-IN"/>
        </w:rPr>
        <w:t>) and antigen-specific CH505 ASC responses (</w:t>
      </w:r>
      <w:r w:rsidRPr="00562FAF">
        <w:rPr>
          <w:b/>
          <w:bCs/>
          <w:color w:val="000000" w:themeColor="text1"/>
          <w:lang w:val="en-IN"/>
        </w:rPr>
        <w:t>Figure 3B</w:t>
      </w:r>
      <w:r w:rsidRPr="00562FAF">
        <w:rPr>
          <w:color w:val="000000" w:themeColor="text1"/>
          <w:lang w:val="en-IN"/>
        </w:rPr>
        <w:t xml:space="preserve">) increased markedly following booster immunization for IgG, IgM, and IgA compared with baseline. These findings are consistent with the transient expansion of circulating plasmablasts </w:t>
      </w:r>
      <w:r w:rsidR="007372E6" w:rsidRPr="00562FAF">
        <w:rPr>
          <w:color w:val="000000" w:themeColor="text1"/>
          <w:lang w:val="en-IN"/>
        </w:rPr>
        <w:t xml:space="preserve">released from draining lymph nodes </w:t>
      </w:r>
      <w:r w:rsidRPr="00562FAF">
        <w:rPr>
          <w:color w:val="000000" w:themeColor="text1"/>
          <w:lang w:val="en-IN"/>
        </w:rPr>
        <w:t xml:space="preserve">following booster immunization. </w:t>
      </w:r>
      <w:r w:rsidRPr="00562FAF">
        <w:rPr>
          <w:b/>
          <w:bCs/>
          <w:color w:val="000000" w:themeColor="text1"/>
          <w:lang w:val="en-IN"/>
        </w:rPr>
        <w:t>Figure 3C</w:t>
      </w:r>
      <w:r w:rsidRPr="00562FAF">
        <w:rPr>
          <w:color w:val="000000" w:themeColor="text1"/>
          <w:lang w:val="en-IN"/>
        </w:rPr>
        <w:t xml:space="preserve"> shows the ratio of antigen-specific to total ASCs at baseline and after boosting. The increased ratio observed after booster immunization reflects an enhanced antigen-specific response and provides a useful measure for comparing the immunogenicity of different vaccine formulations and adjuvants. </w:t>
      </w:r>
      <w:r w:rsidR="008E7C67" w:rsidRPr="00562FAF">
        <w:rPr>
          <w:color w:val="000000" w:themeColor="text1"/>
          <w:lang w:val="en-IN"/>
        </w:rPr>
        <w:t xml:space="preserve">The </w:t>
      </w:r>
      <w:r w:rsidR="00D77F5A">
        <w:rPr>
          <w:color w:val="000000" w:themeColor="text1"/>
          <w:lang w:val="en-IN"/>
        </w:rPr>
        <w:t>total number of plasmablasts observed after booster immunizations is consistently higher than at baseline, likely reflecting</w:t>
      </w:r>
      <w:r w:rsidR="008E7C67" w:rsidRPr="00562FAF">
        <w:rPr>
          <w:color w:val="000000" w:themeColor="text1"/>
          <w:lang w:val="en-IN"/>
        </w:rPr>
        <w:t xml:space="preserve"> </w:t>
      </w:r>
      <w:r w:rsidR="00D77F5A">
        <w:rPr>
          <w:color w:val="000000" w:themeColor="text1"/>
          <w:lang w:val="en-IN"/>
        </w:rPr>
        <w:t>adjuvant-mediated</w:t>
      </w:r>
      <w:r w:rsidR="008E7C67" w:rsidRPr="00562FAF">
        <w:rPr>
          <w:color w:val="000000" w:themeColor="text1"/>
          <w:lang w:val="en-IN"/>
        </w:rPr>
        <w:t xml:space="preserve"> immune activation. This</w:t>
      </w:r>
      <w:r w:rsidR="00D77F5A">
        <w:rPr>
          <w:color w:val="000000" w:themeColor="text1"/>
          <w:lang w:val="en-IN"/>
        </w:rPr>
        <w:t xml:space="preserve">, combined with higher background antigen-specific plasmablast values, may result in inflated ratios for individual animals, though the mean ratios across the </w:t>
      </w:r>
      <w:r w:rsidR="00502AAD">
        <w:rPr>
          <w:color w:val="000000" w:themeColor="text1"/>
          <w:lang w:val="en-IN"/>
        </w:rPr>
        <w:t>four</w:t>
      </w:r>
      <w:r w:rsidR="00D77F5A">
        <w:rPr>
          <w:color w:val="000000" w:themeColor="text1"/>
          <w:lang w:val="en-IN"/>
        </w:rPr>
        <w:t xml:space="preserve"> animals clearly increased post-immunization</w:t>
      </w:r>
      <w:r w:rsidRPr="00562FAF">
        <w:rPr>
          <w:color w:val="000000" w:themeColor="text1"/>
          <w:lang w:val="en-IN"/>
        </w:rPr>
        <w:t>.</w:t>
      </w:r>
      <w:r w:rsidR="001636B4" w:rsidRPr="00562FAF">
        <w:rPr>
          <w:color w:val="000000" w:themeColor="text1"/>
          <w:lang w:val="en-IN"/>
        </w:rPr>
        <w:t xml:space="preserve"> </w:t>
      </w:r>
    </w:p>
    <w:p w14:paraId="19931CDB" w14:textId="77777777" w:rsidR="001B4ABA" w:rsidRPr="00562FAF" w:rsidRDefault="001B4ABA" w:rsidP="00562FAF">
      <w:pPr>
        <w:rPr>
          <w:color w:val="000000" w:themeColor="text1"/>
          <w:lang w:val="en-IN"/>
        </w:rPr>
      </w:pPr>
    </w:p>
    <w:p w14:paraId="159668C9" w14:textId="05B0701F" w:rsidR="001B4ABA" w:rsidRPr="00562FAF" w:rsidRDefault="004A19BD" w:rsidP="00562FAF">
      <w:pPr>
        <w:rPr>
          <w:color w:val="000000" w:themeColor="text1"/>
          <w:lang w:val="en-IN"/>
        </w:rPr>
      </w:pPr>
      <w:r w:rsidRPr="00562FAF">
        <w:rPr>
          <w:color w:val="000000" w:themeColor="text1"/>
          <w:lang w:val="en-IN"/>
        </w:rPr>
        <w:t xml:space="preserve">Similarly, </w:t>
      </w:r>
      <w:r w:rsidRPr="00562FAF">
        <w:rPr>
          <w:b/>
          <w:bCs/>
          <w:color w:val="000000" w:themeColor="text1"/>
          <w:lang w:val="en-IN"/>
        </w:rPr>
        <w:t>Figure 4</w:t>
      </w:r>
      <w:r w:rsidRPr="00562FAF">
        <w:rPr>
          <w:color w:val="000000" w:themeColor="text1"/>
          <w:lang w:val="en-IN"/>
        </w:rPr>
        <w:t xml:space="preserve"> </w:t>
      </w:r>
      <w:r w:rsidR="00D77F5A">
        <w:rPr>
          <w:color w:val="000000" w:themeColor="text1"/>
          <w:lang w:val="en-IN"/>
        </w:rPr>
        <w:t>shows an increased frequency</w:t>
      </w:r>
      <w:r w:rsidRPr="00562FAF">
        <w:rPr>
          <w:color w:val="000000" w:themeColor="text1"/>
          <w:lang w:val="en-IN"/>
        </w:rPr>
        <w:t xml:space="preserve"> of antigen-specific (CH505) ASCs in bone marrow following booster immunization, consistent with the establishment of long-lived plasma cells (LLPCs). The ratio of antigen-specific to total bone marrow ASCs also increased after boosting compared with baseline (</w:t>
      </w:r>
      <w:r w:rsidRPr="00562FAF">
        <w:rPr>
          <w:b/>
          <w:bCs/>
          <w:color w:val="000000" w:themeColor="text1"/>
          <w:lang w:val="en-IN"/>
        </w:rPr>
        <w:t>Figure 4C</w:t>
      </w:r>
      <w:r w:rsidRPr="00562FAF">
        <w:rPr>
          <w:color w:val="000000" w:themeColor="text1"/>
          <w:lang w:val="en-IN"/>
        </w:rPr>
        <w:t>), indicating successful accumulation of antigen-specific plasma cells within the bone marrow compartment.</w:t>
      </w:r>
    </w:p>
    <w:p w14:paraId="6F3B31C5" w14:textId="77777777" w:rsidR="001160BE" w:rsidRPr="00562FAF" w:rsidRDefault="001160BE" w:rsidP="00562FAF">
      <w:pPr>
        <w:rPr>
          <w:color w:val="000000" w:themeColor="text1"/>
        </w:rPr>
      </w:pPr>
    </w:p>
    <w:p w14:paraId="38C2219D" w14:textId="77777777" w:rsidR="000249F9" w:rsidRPr="00562FAF" w:rsidRDefault="004A19BD" w:rsidP="00562FAF">
      <w:pPr>
        <w:pBdr>
          <w:top w:val="nil"/>
          <w:left w:val="nil"/>
          <w:bottom w:val="nil"/>
          <w:right w:val="nil"/>
          <w:between w:val="nil"/>
        </w:pBdr>
        <w:rPr>
          <w:color w:val="000000" w:themeColor="text1"/>
        </w:rPr>
      </w:pPr>
      <w:r w:rsidRPr="00562FAF">
        <w:rPr>
          <w:b/>
          <w:color w:val="000000" w:themeColor="text1"/>
        </w:rPr>
        <w:t xml:space="preserve">FIGURE AND TABLE LEGENDS:  </w:t>
      </w:r>
    </w:p>
    <w:p w14:paraId="44423478" w14:textId="20CD0F8C" w:rsidR="000249F9" w:rsidRPr="00562FAF" w:rsidRDefault="004A19BD" w:rsidP="00562FAF">
      <w:pPr>
        <w:rPr>
          <w:bCs/>
          <w:color w:val="000000" w:themeColor="text1"/>
        </w:rPr>
      </w:pPr>
      <w:r w:rsidRPr="00562FAF">
        <w:rPr>
          <w:b/>
          <w:bCs/>
          <w:color w:val="000000" w:themeColor="text1"/>
        </w:rPr>
        <w:t>Figure 1: ELISpot plate layout for the quantification of total and antigen-specific antibody-</w:t>
      </w:r>
      <w:r w:rsidRPr="00562FAF">
        <w:rPr>
          <w:b/>
          <w:bCs/>
          <w:color w:val="000000" w:themeColor="text1"/>
        </w:rPr>
        <w:lastRenderedPageBreak/>
        <w:t>secreting cells.</w:t>
      </w:r>
      <w:r w:rsidRPr="00562FAF">
        <w:rPr>
          <w:b/>
          <w:color w:val="000000" w:themeColor="text1"/>
        </w:rPr>
        <w:t xml:space="preserve"> </w:t>
      </w:r>
      <w:r w:rsidRPr="00562FAF">
        <w:rPr>
          <w:bCs/>
          <w:color w:val="000000" w:themeColor="text1"/>
        </w:rPr>
        <w:t>Plate layouts showing the detection of (</w:t>
      </w:r>
      <w:r w:rsidRPr="00562FAF">
        <w:rPr>
          <w:b/>
          <w:color w:val="000000" w:themeColor="text1"/>
        </w:rPr>
        <w:t>A</w:t>
      </w:r>
      <w:r w:rsidRPr="00562FAF">
        <w:rPr>
          <w:bCs/>
          <w:color w:val="000000" w:themeColor="text1"/>
        </w:rPr>
        <w:t>) total immunoglobulin (Ig) plasmablasts, (</w:t>
      </w:r>
      <w:r w:rsidRPr="00562FAF">
        <w:rPr>
          <w:b/>
          <w:color w:val="000000" w:themeColor="text1"/>
        </w:rPr>
        <w:t>B</w:t>
      </w:r>
      <w:r w:rsidRPr="00562FAF">
        <w:rPr>
          <w:bCs/>
          <w:color w:val="000000" w:themeColor="text1"/>
        </w:rPr>
        <w:t>) antigen-specific plasmablasts, (</w:t>
      </w:r>
      <w:r w:rsidRPr="00562FAF">
        <w:rPr>
          <w:b/>
          <w:color w:val="000000" w:themeColor="text1"/>
        </w:rPr>
        <w:t>C</w:t>
      </w:r>
      <w:r w:rsidRPr="00562FAF">
        <w:rPr>
          <w:bCs/>
          <w:color w:val="000000" w:themeColor="text1"/>
        </w:rPr>
        <w:t>) total Ig plasma cells, and (</w:t>
      </w:r>
      <w:r w:rsidRPr="00562FAF">
        <w:rPr>
          <w:b/>
          <w:color w:val="000000" w:themeColor="text1"/>
        </w:rPr>
        <w:t>D</w:t>
      </w:r>
      <w:r w:rsidRPr="00562FAF">
        <w:rPr>
          <w:bCs/>
          <w:color w:val="000000" w:themeColor="text1"/>
        </w:rPr>
        <w:t>) antigen-specific plasma cells.</w:t>
      </w:r>
    </w:p>
    <w:p w14:paraId="35DC883D" w14:textId="77777777" w:rsidR="00F61E0B" w:rsidRPr="00562FAF" w:rsidRDefault="00F61E0B" w:rsidP="00562FAF">
      <w:pPr>
        <w:rPr>
          <w:bCs/>
          <w:color w:val="000000" w:themeColor="text1"/>
        </w:rPr>
      </w:pPr>
    </w:p>
    <w:p w14:paraId="3A671BC2" w14:textId="5362BDD3" w:rsidR="00F61E0B" w:rsidRPr="00562FAF" w:rsidRDefault="004A19BD" w:rsidP="00562FAF">
      <w:pPr>
        <w:rPr>
          <w:bCs/>
          <w:color w:val="000000" w:themeColor="text1"/>
        </w:rPr>
      </w:pPr>
      <w:r w:rsidRPr="00562FAF">
        <w:rPr>
          <w:b/>
          <w:bCs/>
          <w:color w:val="000000" w:themeColor="text1"/>
        </w:rPr>
        <w:t>Figure 2: ELISpot detection of antigen-specific IgG, IgM, and IgA antibody-secreting cells in a bone marrow sample.</w:t>
      </w:r>
      <w:r w:rsidRPr="00562FAF">
        <w:rPr>
          <w:b/>
          <w:color w:val="000000" w:themeColor="text1"/>
        </w:rPr>
        <w:t xml:space="preserve"> </w:t>
      </w:r>
      <w:r w:rsidR="005E0A08" w:rsidRPr="007B36E8">
        <w:rPr>
          <w:bCs/>
          <w:color w:val="000000" w:themeColor="text1"/>
        </w:rPr>
        <w:t>(</w:t>
      </w:r>
      <w:r w:rsidR="005E0A08" w:rsidRPr="00562FAF">
        <w:rPr>
          <w:b/>
          <w:color w:val="000000" w:themeColor="text1"/>
        </w:rPr>
        <w:t>A</w:t>
      </w:r>
      <w:r w:rsidR="005E0A08" w:rsidRPr="007B36E8">
        <w:rPr>
          <w:bCs/>
          <w:color w:val="000000" w:themeColor="text1"/>
        </w:rPr>
        <w:t>)</w:t>
      </w:r>
      <w:r w:rsidR="005E0A08" w:rsidRPr="00562FAF">
        <w:rPr>
          <w:b/>
          <w:color w:val="000000" w:themeColor="text1"/>
        </w:rPr>
        <w:t xml:space="preserve"> </w:t>
      </w:r>
      <w:r w:rsidRPr="00562FAF">
        <w:rPr>
          <w:bCs/>
          <w:color w:val="000000" w:themeColor="text1"/>
        </w:rPr>
        <w:t>Representative IgG, IgM, and IgA ASC responses to CH505 antigen from a single rhesus macaque (RH1) bone marrow sample. Each dark spot represents an individual ASC secreting antigen-specific antibody. Three cell dilutions (0.33, 0.11, and 0.037 million cells per well) were analyzed in duplicate.</w:t>
      </w:r>
      <w:r w:rsidR="005E0A08" w:rsidRPr="00562FAF">
        <w:rPr>
          <w:bCs/>
          <w:color w:val="000000" w:themeColor="text1"/>
        </w:rPr>
        <w:t xml:space="preserve"> </w:t>
      </w:r>
      <w:r w:rsidR="005E0A08" w:rsidRPr="007B36E8">
        <w:rPr>
          <w:bCs/>
          <w:color w:val="000000" w:themeColor="text1"/>
        </w:rPr>
        <w:t>(</w:t>
      </w:r>
      <w:r w:rsidR="005E0A08" w:rsidRPr="00562FAF">
        <w:rPr>
          <w:b/>
          <w:color w:val="000000" w:themeColor="text1"/>
        </w:rPr>
        <w:t>B</w:t>
      </w:r>
      <w:r w:rsidR="005E0A08" w:rsidRPr="007B36E8">
        <w:rPr>
          <w:bCs/>
          <w:color w:val="000000" w:themeColor="text1"/>
        </w:rPr>
        <w:t>)</w:t>
      </w:r>
      <w:r w:rsidRPr="00562FAF">
        <w:rPr>
          <w:bCs/>
          <w:color w:val="000000" w:themeColor="text1"/>
        </w:rPr>
        <w:t xml:space="preserve"> Magnified images compare automated spot counts (black) with manually corrected counts (red), illustrating the need for manual enumeration when spot size varies substantially.</w:t>
      </w:r>
    </w:p>
    <w:p w14:paraId="5A87A6C6" w14:textId="77777777" w:rsidR="00C43712" w:rsidRPr="00562FAF" w:rsidRDefault="00C43712" w:rsidP="00562FAF">
      <w:pPr>
        <w:rPr>
          <w:bCs/>
          <w:color w:val="000000" w:themeColor="text1"/>
        </w:rPr>
      </w:pPr>
    </w:p>
    <w:p w14:paraId="6145367A" w14:textId="72F3968F" w:rsidR="00954E20" w:rsidRPr="00562FAF" w:rsidRDefault="004A19BD" w:rsidP="00562FAF">
      <w:pPr>
        <w:rPr>
          <w:b/>
          <w:bCs/>
          <w:color w:val="000000" w:themeColor="text1"/>
          <w:lang w:val="en-IN"/>
        </w:rPr>
      </w:pPr>
      <w:r w:rsidRPr="00562FAF">
        <w:rPr>
          <w:b/>
          <w:bCs/>
          <w:color w:val="000000" w:themeColor="text1"/>
          <w:lang w:val="en-IN"/>
        </w:rPr>
        <w:t>Figure 3: Total and antigen-specific IgG, IgM, and IgA antibody-secreting cells in peripheral blood mononuclear cells.</w:t>
      </w:r>
      <w:r w:rsidRPr="00562FAF">
        <w:rPr>
          <w:bCs/>
          <w:color w:val="000000" w:themeColor="text1"/>
          <w:lang w:val="en-IN"/>
        </w:rPr>
        <w:t xml:space="preserve"> (</w:t>
      </w:r>
      <w:r w:rsidRPr="00562FAF">
        <w:rPr>
          <w:b/>
          <w:color w:val="000000" w:themeColor="text1"/>
          <w:lang w:val="en-IN"/>
        </w:rPr>
        <w:t>A</w:t>
      </w:r>
      <w:r w:rsidRPr="00562FAF">
        <w:rPr>
          <w:bCs/>
          <w:color w:val="000000" w:themeColor="text1"/>
          <w:lang w:val="en-IN"/>
        </w:rPr>
        <w:t>) Total plasmablast responses and (</w:t>
      </w:r>
      <w:r w:rsidRPr="00562FAF">
        <w:rPr>
          <w:b/>
          <w:color w:val="000000" w:themeColor="text1"/>
          <w:lang w:val="en-IN"/>
        </w:rPr>
        <w:t>B</w:t>
      </w:r>
      <w:r w:rsidRPr="00562FAF">
        <w:rPr>
          <w:bCs/>
          <w:color w:val="000000" w:themeColor="text1"/>
          <w:lang w:val="en-IN"/>
        </w:rPr>
        <w:t>) CH505-specific plasmablast responses for IgG, IgM, and IgA were measured at baseline and 5 days after booster immunization. Values represent the mean spot counts from duplicate wells normalized using the appropriate serial dilution factors (15×, 45×, and 135× for total ASCs; 3×, 9×, and 27× for antigen-specific ASCs). (</w:t>
      </w:r>
      <w:r w:rsidRPr="00562FAF">
        <w:rPr>
          <w:b/>
          <w:color w:val="000000" w:themeColor="text1"/>
          <w:lang w:val="en-IN"/>
        </w:rPr>
        <w:t>C</w:t>
      </w:r>
      <w:r w:rsidRPr="00562FAF">
        <w:rPr>
          <w:bCs/>
          <w:color w:val="000000" w:themeColor="text1"/>
          <w:lang w:val="en-IN"/>
        </w:rPr>
        <w:t>) Ratio of antigen-specific to total ASC responses at baseline and after booster immunization.</w:t>
      </w:r>
    </w:p>
    <w:p w14:paraId="7D1240D6" w14:textId="77777777" w:rsidR="00C43712" w:rsidRPr="00562FAF" w:rsidRDefault="00C43712" w:rsidP="00562FAF">
      <w:pPr>
        <w:rPr>
          <w:bCs/>
          <w:color w:val="000000" w:themeColor="text1"/>
        </w:rPr>
      </w:pPr>
    </w:p>
    <w:p w14:paraId="4D1E211F" w14:textId="50D98B67" w:rsidR="00807A6B" w:rsidRDefault="0086417B" w:rsidP="00562FAF">
      <w:pPr>
        <w:rPr>
          <w:b/>
          <w:bCs/>
          <w:color w:val="000000" w:themeColor="text1"/>
          <w:lang w:val="en-IN"/>
        </w:rPr>
      </w:pPr>
      <w:r w:rsidRPr="0086417B">
        <w:rPr>
          <w:b/>
          <w:bCs/>
          <w:color w:val="000000" w:themeColor="text1"/>
          <w:lang w:val="en-IN"/>
        </w:rPr>
        <w:t>Figure 4</w:t>
      </w:r>
      <w:r>
        <w:rPr>
          <w:b/>
          <w:bCs/>
          <w:color w:val="000000" w:themeColor="text1"/>
          <w:lang w:val="en-IN"/>
        </w:rPr>
        <w:t>:</w:t>
      </w:r>
      <w:r w:rsidRPr="0086417B">
        <w:rPr>
          <w:b/>
          <w:bCs/>
          <w:color w:val="000000" w:themeColor="text1"/>
          <w:lang w:val="en-IN"/>
        </w:rPr>
        <w:t xml:space="preserve"> Total and antigen-specific IgG, IgM, and IgA antibody-secreting cell responses in bone marrow. </w:t>
      </w:r>
      <w:r w:rsidRPr="0086417B">
        <w:rPr>
          <w:color w:val="000000" w:themeColor="text1"/>
          <w:lang w:val="en-IN"/>
        </w:rPr>
        <w:t>(</w:t>
      </w:r>
      <w:r w:rsidRPr="0086417B">
        <w:rPr>
          <w:b/>
          <w:bCs/>
          <w:color w:val="000000" w:themeColor="text1"/>
          <w:lang w:val="en-IN"/>
        </w:rPr>
        <w:t>A</w:t>
      </w:r>
      <w:r w:rsidRPr="0086417B">
        <w:rPr>
          <w:color w:val="000000" w:themeColor="text1"/>
          <w:lang w:val="en-IN"/>
        </w:rPr>
        <w:t>) Total and (</w:t>
      </w:r>
      <w:r w:rsidRPr="0086417B">
        <w:rPr>
          <w:b/>
          <w:bCs/>
          <w:color w:val="000000" w:themeColor="text1"/>
          <w:lang w:val="en-IN"/>
        </w:rPr>
        <w:t>B</w:t>
      </w:r>
      <w:r w:rsidRPr="0086417B">
        <w:rPr>
          <w:color w:val="000000" w:themeColor="text1"/>
          <w:lang w:val="en-IN"/>
        </w:rPr>
        <w:t>) antigen-specific antibody-secreting cell (ASC) responses in bone marrow were measured at baseline and 1 month after booster immunization. Values represent the mean spot counts from duplicate wells normalized using the appropriate serial dilution factors (15×, 45×, and 135× for total ASCs; 3×, 9×, and 27× for antigen-specific ASCs). (</w:t>
      </w:r>
      <w:r w:rsidRPr="0086417B">
        <w:rPr>
          <w:b/>
          <w:bCs/>
          <w:color w:val="000000" w:themeColor="text1"/>
          <w:lang w:val="en-IN"/>
        </w:rPr>
        <w:t>C</w:t>
      </w:r>
      <w:r w:rsidRPr="0086417B">
        <w:rPr>
          <w:color w:val="000000" w:themeColor="text1"/>
          <w:lang w:val="en-IN"/>
        </w:rPr>
        <w:t>) Ratio of antigen-specific to total ASC responses for each immunoglobulin isotype at baseline and after booster immunization.</w:t>
      </w:r>
    </w:p>
    <w:p w14:paraId="3309455A" w14:textId="77777777" w:rsidR="0086417B" w:rsidRPr="00562FAF" w:rsidRDefault="0086417B" w:rsidP="00562FAF">
      <w:pPr>
        <w:rPr>
          <w:bCs/>
          <w:color w:val="000000" w:themeColor="text1"/>
        </w:rPr>
      </w:pPr>
    </w:p>
    <w:p w14:paraId="2E6C9BCD" w14:textId="010BFE81" w:rsidR="00696F93" w:rsidRPr="00562FAF" w:rsidRDefault="004A19BD" w:rsidP="00562FAF">
      <w:pPr>
        <w:rPr>
          <w:b/>
          <w:bCs/>
          <w:color w:val="000000" w:themeColor="text1"/>
          <w:lang w:val="en-IN"/>
        </w:rPr>
      </w:pPr>
      <w:r w:rsidRPr="00562FAF">
        <w:rPr>
          <w:b/>
          <w:bCs/>
          <w:color w:val="000000" w:themeColor="text1"/>
          <w:lang w:val="en-IN"/>
        </w:rPr>
        <w:t>Table 1: Automated ELISpot plate washer settings used for assay processing.</w:t>
      </w:r>
    </w:p>
    <w:p w14:paraId="1DD1A078" w14:textId="77777777" w:rsidR="00B3370F" w:rsidRPr="00562FAF" w:rsidRDefault="00B3370F" w:rsidP="00562FAF">
      <w:pPr>
        <w:rPr>
          <w:b/>
          <w:bCs/>
          <w:color w:val="000000" w:themeColor="text1"/>
          <w:lang w:val="en-IN"/>
        </w:rPr>
      </w:pPr>
    </w:p>
    <w:p w14:paraId="4CAE9490" w14:textId="4214CB4F" w:rsidR="00B3370F" w:rsidRPr="00562FAF" w:rsidRDefault="004A19BD" w:rsidP="00562FAF">
      <w:pPr>
        <w:rPr>
          <w:b/>
          <w:bCs/>
          <w:color w:val="000000" w:themeColor="text1"/>
          <w:lang w:val="en-IN"/>
        </w:rPr>
      </w:pPr>
      <w:r w:rsidRPr="00562FAF">
        <w:rPr>
          <w:b/>
          <w:bCs/>
          <w:color w:val="000000" w:themeColor="text1"/>
          <w:lang w:val="en-IN"/>
        </w:rPr>
        <w:t>Table 2: Calculation worksheet for determining antibody-secreting cells per million input cells from ELISpot spot counts.</w:t>
      </w:r>
    </w:p>
    <w:p w14:paraId="2A9D0473" w14:textId="77777777" w:rsidR="00B3370F" w:rsidRPr="00562FAF" w:rsidRDefault="00B3370F" w:rsidP="00562FAF">
      <w:pPr>
        <w:rPr>
          <w:b/>
          <w:bCs/>
          <w:color w:val="000000" w:themeColor="text1"/>
          <w:lang w:val="en-IN"/>
        </w:rPr>
      </w:pPr>
    </w:p>
    <w:p w14:paraId="5DFE8C9F" w14:textId="2AC315C2" w:rsidR="00B3370F" w:rsidRPr="00562FAF" w:rsidRDefault="004A19BD" w:rsidP="00562FAF">
      <w:pPr>
        <w:rPr>
          <w:b/>
          <w:bCs/>
          <w:color w:val="000000" w:themeColor="text1"/>
          <w:lang w:val="en-IN"/>
        </w:rPr>
      </w:pPr>
      <w:r w:rsidRPr="00562FAF">
        <w:rPr>
          <w:b/>
          <w:bCs/>
          <w:color w:val="000000" w:themeColor="text1"/>
          <w:lang w:val="en-IN"/>
        </w:rPr>
        <w:t>Table 3: Manual spot counts of CH505-specific IgG, IgM, and IgA antibody-secreting cells from individual ELISpot wells.</w:t>
      </w:r>
    </w:p>
    <w:p w14:paraId="09658F60" w14:textId="4CB7F3BB" w:rsidR="00B3370F" w:rsidRPr="00562FAF" w:rsidRDefault="00B3370F" w:rsidP="00562FAF">
      <w:pPr>
        <w:rPr>
          <w:b/>
          <w:bCs/>
          <w:color w:val="000000" w:themeColor="text1"/>
          <w:lang w:val="en-IN"/>
        </w:rPr>
      </w:pPr>
    </w:p>
    <w:p w14:paraId="0438225F" w14:textId="4B44F737" w:rsidR="00B3370F" w:rsidRPr="00562FAF" w:rsidRDefault="004A19BD" w:rsidP="00562FAF">
      <w:pPr>
        <w:rPr>
          <w:b/>
          <w:bCs/>
          <w:color w:val="000000" w:themeColor="text1"/>
          <w:lang w:val="en-IN"/>
        </w:rPr>
      </w:pPr>
      <w:r w:rsidRPr="00562FAF">
        <w:rPr>
          <w:b/>
          <w:bCs/>
          <w:color w:val="000000" w:themeColor="text1"/>
          <w:lang w:val="en-IN"/>
        </w:rPr>
        <w:t>Table 4: Mean antibody-secreting cell counts calculated from duplicate ELISpot wells.</w:t>
      </w:r>
    </w:p>
    <w:p w14:paraId="788B5B38" w14:textId="24F7CBAC" w:rsidR="00B3370F" w:rsidRPr="00562FAF" w:rsidRDefault="00B3370F" w:rsidP="00562FAF">
      <w:pPr>
        <w:rPr>
          <w:b/>
          <w:bCs/>
          <w:color w:val="000000" w:themeColor="text1"/>
          <w:lang w:val="en-IN"/>
        </w:rPr>
      </w:pPr>
    </w:p>
    <w:p w14:paraId="08D79060" w14:textId="5DF0C752" w:rsidR="00B3370F" w:rsidRPr="00562FAF" w:rsidRDefault="004A19BD" w:rsidP="00562FAF">
      <w:pPr>
        <w:rPr>
          <w:b/>
          <w:bCs/>
          <w:color w:val="000000" w:themeColor="text1"/>
          <w:lang w:val="en-IN"/>
        </w:rPr>
      </w:pPr>
      <w:r w:rsidRPr="00562FAF">
        <w:rPr>
          <w:b/>
          <w:bCs/>
          <w:color w:val="000000" w:themeColor="text1"/>
          <w:lang w:val="en-IN"/>
        </w:rPr>
        <w:t>Table 5: Calculated frequencies of total and antigen-specific antibody-secreting cells per million input cells after application of dilution factors.</w:t>
      </w:r>
    </w:p>
    <w:p w14:paraId="50CA642D" w14:textId="22DA2433" w:rsidR="00B3370F" w:rsidRPr="00562FAF" w:rsidRDefault="00B3370F" w:rsidP="00562FAF">
      <w:pPr>
        <w:rPr>
          <w:b/>
          <w:bCs/>
          <w:color w:val="000000" w:themeColor="text1"/>
          <w:lang w:val="en-IN"/>
        </w:rPr>
      </w:pPr>
    </w:p>
    <w:p w14:paraId="537B5CB5" w14:textId="72F10BCB" w:rsidR="00B3370F" w:rsidRPr="00562FAF" w:rsidRDefault="004A19BD" w:rsidP="00562FAF">
      <w:pPr>
        <w:rPr>
          <w:b/>
          <w:bCs/>
          <w:color w:val="000000" w:themeColor="text1"/>
          <w:lang w:val="en-IN"/>
        </w:rPr>
      </w:pPr>
      <w:r w:rsidRPr="00562FAF">
        <w:rPr>
          <w:b/>
          <w:bCs/>
          <w:color w:val="000000" w:themeColor="text1"/>
          <w:lang w:val="en-IN"/>
        </w:rPr>
        <w:t>Table 6: Summary of antibody-secreting cell frequencies per million cells for individual rhesus macaques and group mean responses.</w:t>
      </w:r>
    </w:p>
    <w:p w14:paraId="74C1B7BC" w14:textId="77777777" w:rsidR="000249F9" w:rsidRPr="00562FAF" w:rsidRDefault="000249F9" w:rsidP="00562FAF">
      <w:pPr>
        <w:rPr>
          <w:color w:val="000000" w:themeColor="text1"/>
        </w:rPr>
      </w:pPr>
    </w:p>
    <w:p w14:paraId="21AAC9C6" w14:textId="15F07695" w:rsidR="00145CF0" w:rsidRPr="00562FAF" w:rsidRDefault="004A19BD" w:rsidP="00562FAF">
      <w:pPr>
        <w:rPr>
          <w:b/>
          <w:color w:val="000000" w:themeColor="text1"/>
        </w:rPr>
      </w:pPr>
      <w:r w:rsidRPr="00562FAF">
        <w:rPr>
          <w:b/>
          <w:color w:val="000000" w:themeColor="text1"/>
        </w:rPr>
        <w:t>DISCUSSION:</w:t>
      </w:r>
    </w:p>
    <w:p w14:paraId="336FADF8" w14:textId="3AFFF584" w:rsidR="00C94D2B" w:rsidRDefault="00C94D2B" w:rsidP="00C94D2B">
      <w:pPr>
        <w:pBdr>
          <w:top w:val="nil"/>
          <w:left w:val="nil"/>
          <w:bottom w:val="nil"/>
          <w:right w:val="nil"/>
          <w:between w:val="nil"/>
        </w:pBdr>
        <w:rPr>
          <w:color w:val="000000" w:themeColor="text1"/>
          <w:lang w:val="en-IN"/>
        </w:rPr>
      </w:pPr>
      <w:r w:rsidRPr="00C94D2B">
        <w:rPr>
          <w:color w:val="000000" w:themeColor="text1"/>
          <w:lang w:val="en-IN"/>
        </w:rPr>
        <w:lastRenderedPageBreak/>
        <w:t>B-cell ELISpot is a sensitive method for detecting total immunoglobulin and antigen-specific antibody-secreting cell (ASC) responses in blood, plasma, and bone marrow cells</w:t>
      </w:r>
      <w:r w:rsidR="00965817" w:rsidRPr="00965817">
        <w:rPr>
          <w:color w:val="000000" w:themeColor="text1"/>
          <w:vertAlign w:val="superscript"/>
          <w:lang w:val="en-IN"/>
        </w:rPr>
        <w:t>8–11</w:t>
      </w:r>
      <w:r w:rsidRPr="00C94D2B">
        <w:rPr>
          <w:color w:val="000000" w:themeColor="text1"/>
          <w:lang w:val="en-IN"/>
        </w:rPr>
        <w:t>.</w:t>
      </w:r>
      <w:r w:rsidR="00965817">
        <w:rPr>
          <w:color w:val="000000" w:themeColor="text1"/>
          <w:lang w:val="en-IN"/>
        </w:rPr>
        <w:t xml:space="preserve"> </w:t>
      </w:r>
      <w:r w:rsidRPr="00C94D2B">
        <w:rPr>
          <w:color w:val="000000" w:themeColor="text1"/>
          <w:lang w:val="en-IN"/>
        </w:rPr>
        <w:t xml:space="preserve">Several steps are critical to ensuring </w:t>
      </w:r>
      <w:r w:rsidR="00965817">
        <w:rPr>
          <w:color w:val="000000" w:themeColor="text1"/>
          <w:lang w:val="en-IN"/>
        </w:rPr>
        <w:t>the protocol's reproducibility</w:t>
      </w:r>
      <w:r w:rsidRPr="00C94D2B">
        <w:rPr>
          <w:color w:val="000000" w:themeColor="text1"/>
          <w:lang w:val="en-IN"/>
        </w:rPr>
        <w:t xml:space="preserve">. First, membranes should be </w:t>
      </w:r>
      <w:r>
        <w:rPr>
          <w:color w:val="000000" w:themeColor="text1"/>
          <w:lang w:val="en-IN"/>
        </w:rPr>
        <w:t xml:space="preserve">precisely coated with the optimal concentration of the </w:t>
      </w:r>
      <w:r w:rsidRPr="00C94D2B">
        <w:rPr>
          <w:color w:val="000000" w:themeColor="text1"/>
          <w:lang w:val="en-IN"/>
        </w:rPr>
        <w:t xml:space="preserve">capture antibody. Membrane blocking is essential to prevent non-specific binding and is preferably performed overnight at 4 °C, as described in this protocol. Alternatively, when time is limited, blocking can be performed for </w:t>
      </w:r>
      <w:r>
        <w:rPr>
          <w:color w:val="000000" w:themeColor="text1"/>
          <w:lang w:val="en-IN"/>
        </w:rPr>
        <w:t>at least</w:t>
      </w:r>
      <w:r w:rsidRPr="00C94D2B">
        <w:rPr>
          <w:color w:val="000000" w:themeColor="text1"/>
          <w:lang w:val="en-IN"/>
        </w:rPr>
        <w:t xml:space="preserve"> 2 h at 37 °C.</w:t>
      </w:r>
    </w:p>
    <w:p w14:paraId="699FBA47" w14:textId="77777777" w:rsidR="00C94D2B" w:rsidRPr="00C94D2B" w:rsidRDefault="00C94D2B" w:rsidP="00C94D2B">
      <w:pPr>
        <w:pBdr>
          <w:top w:val="nil"/>
          <w:left w:val="nil"/>
          <w:bottom w:val="nil"/>
          <w:right w:val="nil"/>
          <w:between w:val="nil"/>
        </w:pBdr>
        <w:rPr>
          <w:color w:val="000000" w:themeColor="text1"/>
          <w:lang w:val="en-IN"/>
        </w:rPr>
      </w:pPr>
    </w:p>
    <w:p w14:paraId="5E71CC39" w14:textId="75C6B10A" w:rsidR="00C94D2B" w:rsidRDefault="00C94D2B" w:rsidP="00C94D2B">
      <w:pPr>
        <w:pBdr>
          <w:top w:val="nil"/>
          <w:left w:val="nil"/>
          <w:bottom w:val="nil"/>
          <w:right w:val="nil"/>
          <w:between w:val="nil"/>
        </w:pBdr>
        <w:rPr>
          <w:color w:val="000000" w:themeColor="text1"/>
          <w:lang w:val="en-IN"/>
        </w:rPr>
      </w:pPr>
      <w:r w:rsidRPr="00C94D2B">
        <w:rPr>
          <w:color w:val="000000" w:themeColor="text1"/>
          <w:lang w:val="en-IN"/>
        </w:rPr>
        <w:t>Another critical factor is maintaining high cell viability by using freshly harvested cells. Unlike T cells, B-cell lineages, particularly plasmablasts and plasma cells, are highly susceptible to functional loss following cryopreservation (data not shown). Therefore, using freshly isolated cells with viability exceeding 90%, and ideally 95–99%</w:t>
      </w:r>
      <w:r w:rsidR="00C95483">
        <w:rPr>
          <w:color w:val="000000" w:themeColor="text1"/>
          <w:lang w:val="en-IN"/>
        </w:rPr>
        <w:t>, is recommended</w:t>
      </w:r>
      <w:r w:rsidRPr="00C94D2B">
        <w:rPr>
          <w:color w:val="000000" w:themeColor="text1"/>
          <w:lang w:val="en-IN"/>
        </w:rPr>
        <w:t xml:space="preserve"> to ensure reliable results. In addition, peripheral blood mononuclear cells (PBMCs) and bone marrow (BM) cells should contain little to no red blood cell contamination. Precise control of incubation temperature and CO</w:t>
      </w:r>
      <w:r w:rsidR="004D07F4">
        <w:rPr>
          <w:color w:val="000000" w:themeColor="text1"/>
          <w:vertAlign w:val="subscript"/>
          <w:lang w:val="en-IN"/>
        </w:rPr>
        <w:t>2</w:t>
      </w:r>
      <w:r w:rsidRPr="00C94D2B">
        <w:rPr>
          <w:color w:val="000000" w:themeColor="text1"/>
          <w:lang w:val="en-IN"/>
        </w:rPr>
        <w:t xml:space="preserve"> concentration is also essential for optimal cell stimulation. The incubation period should not exceed 18–20 h, and plates should be incubated in stable incubators with minimal vibration. Gentle opening and closing of incubator doors </w:t>
      </w:r>
      <w:proofErr w:type="gramStart"/>
      <w:r w:rsidRPr="00C94D2B">
        <w:rPr>
          <w:color w:val="000000" w:themeColor="text1"/>
          <w:lang w:val="en-IN"/>
        </w:rPr>
        <w:t>helps</w:t>
      </w:r>
      <w:proofErr w:type="gramEnd"/>
      <w:r w:rsidRPr="00C94D2B">
        <w:rPr>
          <w:color w:val="000000" w:themeColor="text1"/>
          <w:lang w:val="en-IN"/>
        </w:rPr>
        <w:t xml:space="preserve"> prevent cells from becoming dislodged from the membrane surface, which can generate </w:t>
      </w:r>
      <w:proofErr w:type="spellStart"/>
      <w:r w:rsidRPr="00C94D2B">
        <w:rPr>
          <w:color w:val="000000" w:themeColor="text1"/>
          <w:lang w:val="en-IN"/>
        </w:rPr>
        <w:t>artifactual</w:t>
      </w:r>
      <w:proofErr w:type="spellEnd"/>
      <w:r w:rsidRPr="00C94D2B">
        <w:rPr>
          <w:color w:val="000000" w:themeColor="text1"/>
          <w:lang w:val="en-IN"/>
        </w:rPr>
        <w:t xml:space="preserve"> spots.</w:t>
      </w:r>
    </w:p>
    <w:p w14:paraId="5425A13A" w14:textId="77777777" w:rsidR="00691679" w:rsidRPr="00C94D2B" w:rsidRDefault="00691679" w:rsidP="00C94D2B">
      <w:pPr>
        <w:pBdr>
          <w:top w:val="nil"/>
          <w:left w:val="nil"/>
          <w:bottom w:val="nil"/>
          <w:right w:val="nil"/>
          <w:between w:val="nil"/>
        </w:pBdr>
        <w:rPr>
          <w:color w:val="000000" w:themeColor="text1"/>
          <w:lang w:val="en-IN"/>
        </w:rPr>
      </w:pPr>
    </w:p>
    <w:p w14:paraId="4EB48B56" w14:textId="129864D1" w:rsidR="00C94D2B" w:rsidRDefault="00C94D2B" w:rsidP="00C94D2B">
      <w:pPr>
        <w:pBdr>
          <w:top w:val="nil"/>
          <w:left w:val="nil"/>
          <w:bottom w:val="nil"/>
          <w:right w:val="nil"/>
          <w:between w:val="nil"/>
        </w:pBdr>
        <w:rPr>
          <w:color w:val="000000" w:themeColor="text1"/>
          <w:lang w:val="en-IN"/>
        </w:rPr>
      </w:pPr>
      <w:r w:rsidRPr="00C94D2B">
        <w:rPr>
          <w:color w:val="000000" w:themeColor="text1"/>
          <w:lang w:val="en-IN"/>
        </w:rPr>
        <w:t xml:space="preserve">Weak or diffuse spots may occur during the assay. These can often be improved by optimizing antigen density on the membrane and ensuring that ambient laboratory temperatures are sufficiently warm (&gt;18 °C) to support efficient enzymatic </w:t>
      </w:r>
      <w:proofErr w:type="spellStart"/>
      <w:r w:rsidRPr="00C94D2B">
        <w:rPr>
          <w:color w:val="000000" w:themeColor="text1"/>
          <w:lang w:val="en-IN"/>
        </w:rPr>
        <w:t>color</w:t>
      </w:r>
      <w:proofErr w:type="spellEnd"/>
      <w:r w:rsidRPr="00C94D2B">
        <w:rPr>
          <w:color w:val="000000" w:themeColor="text1"/>
          <w:lang w:val="en-IN"/>
        </w:rPr>
        <w:t xml:space="preserve"> development. Extending the incubation period has not improved signal intensity in our </w:t>
      </w:r>
      <w:proofErr w:type="gramStart"/>
      <w:r w:rsidRPr="00C94D2B">
        <w:rPr>
          <w:color w:val="000000" w:themeColor="text1"/>
          <w:lang w:val="en-IN"/>
        </w:rPr>
        <w:t>experience</w:t>
      </w:r>
      <w:r w:rsidR="004D07F4">
        <w:rPr>
          <w:color w:val="000000" w:themeColor="text1"/>
          <w:lang w:val="en-IN"/>
        </w:rPr>
        <w:t>,</w:t>
      </w:r>
      <w:r w:rsidRPr="00C94D2B">
        <w:rPr>
          <w:color w:val="000000" w:themeColor="text1"/>
          <w:lang w:val="en-IN"/>
        </w:rPr>
        <w:t xml:space="preserve"> but</w:t>
      </w:r>
      <w:proofErr w:type="gramEnd"/>
      <w:r w:rsidRPr="00C94D2B">
        <w:rPr>
          <w:color w:val="000000" w:themeColor="text1"/>
          <w:lang w:val="en-IN"/>
        </w:rPr>
        <w:t xml:space="preserve"> can substantially increase background staining (data not shown). Conversely, excessive spot density can be addressed by </w:t>
      </w:r>
      <w:proofErr w:type="spellStart"/>
      <w:r w:rsidRPr="00C94D2B">
        <w:rPr>
          <w:color w:val="000000" w:themeColor="text1"/>
          <w:lang w:val="en-IN"/>
        </w:rPr>
        <w:t>analyzing</w:t>
      </w:r>
      <w:proofErr w:type="spellEnd"/>
      <w:r w:rsidRPr="00C94D2B">
        <w:rPr>
          <w:color w:val="000000" w:themeColor="text1"/>
          <w:lang w:val="en-IN"/>
        </w:rPr>
        <w:t xml:space="preserve"> wells plated at lower cell densities.</w:t>
      </w:r>
    </w:p>
    <w:p w14:paraId="0398502C" w14:textId="77777777" w:rsidR="004D07F4" w:rsidRPr="00C94D2B" w:rsidRDefault="004D07F4" w:rsidP="00C94D2B">
      <w:pPr>
        <w:pBdr>
          <w:top w:val="nil"/>
          <w:left w:val="nil"/>
          <w:bottom w:val="nil"/>
          <w:right w:val="nil"/>
          <w:between w:val="nil"/>
        </w:pBdr>
        <w:rPr>
          <w:color w:val="000000" w:themeColor="text1"/>
          <w:lang w:val="en-IN"/>
        </w:rPr>
      </w:pPr>
    </w:p>
    <w:p w14:paraId="7F5239E8" w14:textId="05B66C18" w:rsidR="00C94D2B" w:rsidRDefault="00C94D2B" w:rsidP="00C94D2B">
      <w:pPr>
        <w:pBdr>
          <w:top w:val="nil"/>
          <w:left w:val="nil"/>
          <w:bottom w:val="nil"/>
          <w:right w:val="nil"/>
          <w:between w:val="nil"/>
        </w:pBdr>
        <w:rPr>
          <w:color w:val="000000" w:themeColor="text1"/>
          <w:lang w:val="en-IN"/>
        </w:rPr>
      </w:pPr>
      <w:r w:rsidRPr="00C94D2B">
        <w:rPr>
          <w:color w:val="000000" w:themeColor="text1"/>
          <w:lang w:val="en-IN"/>
        </w:rPr>
        <w:t xml:space="preserve">Thorough washing at multiple stages of the protocol is essential for removing cells and unbound reagents, regardless of whether manual or automated washing methods are </w:t>
      </w:r>
      <w:proofErr w:type="gramStart"/>
      <w:r w:rsidRPr="00C94D2B">
        <w:rPr>
          <w:color w:val="000000" w:themeColor="text1"/>
          <w:lang w:val="en-IN"/>
        </w:rPr>
        <w:t>used, and</w:t>
      </w:r>
      <w:proofErr w:type="gramEnd"/>
      <w:r w:rsidRPr="00C94D2B">
        <w:rPr>
          <w:color w:val="000000" w:themeColor="text1"/>
          <w:lang w:val="en-IN"/>
        </w:rPr>
        <w:t xml:space="preserve"> helps minimize background. Proper plate development is equally important. Development time should be adjusted </w:t>
      </w:r>
      <w:r w:rsidR="004D07F4">
        <w:rPr>
          <w:color w:val="000000" w:themeColor="text1"/>
          <w:lang w:val="en-IN"/>
        </w:rPr>
        <w:t>based on laboratory temperature to achieve optimal spot visualization, particularly in wells with</w:t>
      </w:r>
      <w:r w:rsidRPr="00C94D2B">
        <w:rPr>
          <w:color w:val="000000" w:themeColor="text1"/>
          <w:lang w:val="en-IN"/>
        </w:rPr>
        <w:t xml:space="preserve"> the highest cell concentrations. Plates should also be completely dry before quantification, as residual moisture can adversely affect spot counting.</w:t>
      </w:r>
    </w:p>
    <w:p w14:paraId="2C83E6D9" w14:textId="77777777" w:rsidR="004D07F4" w:rsidRPr="00C94D2B" w:rsidRDefault="004D07F4" w:rsidP="00C94D2B">
      <w:pPr>
        <w:pBdr>
          <w:top w:val="nil"/>
          <w:left w:val="nil"/>
          <w:bottom w:val="nil"/>
          <w:right w:val="nil"/>
          <w:between w:val="nil"/>
        </w:pBdr>
        <w:rPr>
          <w:color w:val="000000" w:themeColor="text1"/>
          <w:lang w:val="en-IN"/>
        </w:rPr>
      </w:pPr>
    </w:p>
    <w:p w14:paraId="1084670E" w14:textId="60F3B75A" w:rsidR="00C94D2B" w:rsidRDefault="00C95483" w:rsidP="00C94D2B">
      <w:pPr>
        <w:pBdr>
          <w:top w:val="nil"/>
          <w:left w:val="nil"/>
          <w:bottom w:val="nil"/>
          <w:right w:val="nil"/>
          <w:between w:val="nil"/>
        </w:pBdr>
        <w:rPr>
          <w:color w:val="000000" w:themeColor="text1"/>
          <w:lang w:val="en-IN"/>
        </w:rPr>
      </w:pPr>
      <w:r>
        <w:rPr>
          <w:color w:val="000000" w:themeColor="text1"/>
          <w:lang w:val="en-IN"/>
        </w:rPr>
        <w:t>M</w:t>
      </w:r>
      <w:r w:rsidR="00C94D2B" w:rsidRPr="00C94D2B">
        <w:rPr>
          <w:color w:val="000000" w:themeColor="text1"/>
          <w:lang w:val="en-IN"/>
        </w:rPr>
        <w:t>odest adjustments to the timing of certain protocol steps, made to accommodate personnel availability, do not substantially affect assay performance. For example, membrane blocking can be performed either for 2 h at 37 °C or overnight at 4 °C with comparable results. Similarly, incubation with biotin-conjugated anti-monkey IgG, IgM, and IgA antibodies can be extended overnight at 4</w:t>
      </w:r>
      <w:r w:rsidR="00161A38">
        <w:rPr>
          <w:color w:val="000000" w:themeColor="text1"/>
          <w:lang w:val="en-IN"/>
        </w:rPr>
        <w:t xml:space="preserve"> </w:t>
      </w:r>
      <w:r w:rsidR="00C94D2B" w:rsidRPr="00C94D2B">
        <w:rPr>
          <w:color w:val="000000" w:themeColor="text1"/>
          <w:lang w:val="en-IN"/>
        </w:rPr>
        <w:t>°C without compromising assay performance. When implementing these assays for the first time, it is essential to include appropriate controls, particularly negative control wells containing cells without antigen and antigen without cells. In our experience, these control wells are consistently devoid of spots.</w:t>
      </w:r>
    </w:p>
    <w:p w14:paraId="316038BE" w14:textId="77777777" w:rsidR="004D07F4" w:rsidRPr="00C94D2B" w:rsidRDefault="004D07F4" w:rsidP="00C94D2B">
      <w:pPr>
        <w:pBdr>
          <w:top w:val="nil"/>
          <w:left w:val="nil"/>
          <w:bottom w:val="nil"/>
          <w:right w:val="nil"/>
          <w:between w:val="nil"/>
        </w:pBdr>
        <w:rPr>
          <w:color w:val="000000" w:themeColor="text1"/>
          <w:lang w:val="en-IN"/>
        </w:rPr>
      </w:pPr>
    </w:p>
    <w:p w14:paraId="2C68AF7B" w14:textId="04F05479" w:rsidR="00145CF0" w:rsidRDefault="00C94D2B" w:rsidP="00562FAF">
      <w:pPr>
        <w:pBdr>
          <w:top w:val="nil"/>
          <w:left w:val="nil"/>
          <w:bottom w:val="nil"/>
          <w:right w:val="nil"/>
          <w:between w:val="nil"/>
        </w:pBdr>
        <w:rPr>
          <w:color w:val="000000" w:themeColor="text1"/>
          <w:lang w:val="en-IN"/>
        </w:rPr>
      </w:pPr>
      <w:r w:rsidRPr="00C94D2B">
        <w:rPr>
          <w:color w:val="000000" w:themeColor="text1"/>
          <w:lang w:val="en-IN"/>
        </w:rPr>
        <w:t>The most common challenge</w:t>
      </w:r>
      <w:r w:rsidR="00C95483">
        <w:rPr>
          <w:color w:val="000000" w:themeColor="text1"/>
          <w:lang w:val="en-IN"/>
        </w:rPr>
        <w:t xml:space="preserve"> </w:t>
      </w:r>
      <w:r w:rsidRPr="00C94D2B">
        <w:rPr>
          <w:color w:val="000000" w:themeColor="text1"/>
          <w:lang w:val="en-IN"/>
        </w:rPr>
        <w:t>encounter</w:t>
      </w:r>
      <w:r w:rsidR="00C95483">
        <w:rPr>
          <w:color w:val="000000" w:themeColor="text1"/>
          <w:lang w:val="en-IN"/>
        </w:rPr>
        <w:t>ed</w:t>
      </w:r>
      <w:r w:rsidRPr="00C94D2B">
        <w:rPr>
          <w:color w:val="000000" w:themeColor="text1"/>
          <w:lang w:val="en-IN"/>
        </w:rPr>
        <w:t xml:space="preserve"> </w:t>
      </w:r>
      <w:r w:rsidR="002411D9">
        <w:rPr>
          <w:color w:val="000000" w:themeColor="text1"/>
          <w:lang w:val="en-IN"/>
        </w:rPr>
        <w:t>is</w:t>
      </w:r>
      <w:r w:rsidRPr="00C94D2B">
        <w:rPr>
          <w:color w:val="000000" w:themeColor="text1"/>
          <w:lang w:val="en-IN"/>
        </w:rPr>
        <w:t xml:space="preserve"> obtaining cell counts below 5 × 10</w:t>
      </w:r>
      <w:r w:rsidR="00494ABB">
        <w:rPr>
          <w:color w:val="000000" w:themeColor="text1"/>
          <w:vertAlign w:val="superscript"/>
          <w:lang w:val="en-IN"/>
        </w:rPr>
        <w:t>6</w:t>
      </w:r>
      <w:r w:rsidRPr="00C94D2B">
        <w:rPr>
          <w:color w:val="000000" w:themeColor="text1"/>
          <w:lang w:val="en-IN"/>
        </w:rPr>
        <w:t xml:space="preserve"> cells/mL, particularly when BM aspirates yield fewer cells than expected. In such cases, calculations should be adjusted according to the actual starting cell count. Although not ideal, when cell numbers </w:t>
      </w:r>
      <w:r w:rsidRPr="00C94D2B">
        <w:rPr>
          <w:color w:val="000000" w:themeColor="text1"/>
          <w:lang w:val="en-IN"/>
        </w:rPr>
        <w:lastRenderedPageBreak/>
        <w:t xml:space="preserve">are limiting, duplicate wells may be omitted for a particular time point or antibody isotype. As illustrated in </w:t>
      </w:r>
      <w:r w:rsidRPr="0003655F">
        <w:rPr>
          <w:b/>
          <w:bCs/>
          <w:color w:val="000000" w:themeColor="text1"/>
          <w:lang w:val="en-IN"/>
        </w:rPr>
        <w:t>Figure 2</w:t>
      </w:r>
      <w:r w:rsidRPr="00C94D2B">
        <w:rPr>
          <w:color w:val="000000" w:themeColor="text1"/>
          <w:lang w:val="en-IN"/>
        </w:rPr>
        <w:t xml:space="preserve">, automated spot counting should be interpreted cautiously in the context of ASC enumeration because spot sizes vary considerably. The automated counter appears to apply a fixed spot-size threshold, which can </w:t>
      </w:r>
      <w:r w:rsidR="00C95483">
        <w:rPr>
          <w:color w:val="000000" w:themeColor="text1"/>
          <w:lang w:val="en-IN"/>
        </w:rPr>
        <w:t>cause large spots to be</w:t>
      </w:r>
      <w:r w:rsidRPr="00C94D2B">
        <w:rPr>
          <w:color w:val="000000" w:themeColor="text1"/>
          <w:lang w:val="en-IN"/>
        </w:rPr>
        <w:t xml:space="preserve"> counted multiple times</w:t>
      </w:r>
      <w:r w:rsidR="004D07F4">
        <w:rPr>
          <w:color w:val="000000" w:themeColor="text1"/>
          <w:lang w:val="en-IN"/>
        </w:rPr>
        <w:t>, thereby overestimating</w:t>
      </w:r>
      <w:r w:rsidRPr="00C94D2B">
        <w:rPr>
          <w:color w:val="000000" w:themeColor="text1"/>
          <w:lang w:val="en-IN"/>
        </w:rPr>
        <w:t xml:space="preserve"> ASC frequencies, particularly in wells with high spot densities. One strategy is to calculate spot-forming cells per million using only wells with sufficiently diluted cell concentrations that produce a manageable number of clearly distinguishable spots. However, provided individual spots remain visually distinct, averaging counts across multiple dilutions and wells yields a more accurate estimate of ASC frequency. </w:t>
      </w:r>
      <w:r w:rsidR="00564AF1" w:rsidRPr="00564AF1">
        <w:rPr>
          <w:color w:val="000000" w:themeColor="text1"/>
          <w:lang w:val="en-IN"/>
        </w:rPr>
        <w:t>Other ELISpot counting systems may provide more accurate automated quantification, although these were not evaluated here.</w:t>
      </w:r>
    </w:p>
    <w:p w14:paraId="0BB9C114" w14:textId="77777777" w:rsidR="00564AF1" w:rsidRPr="00562FAF" w:rsidRDefault="00564AF1" w:rsidP="00562FAF">
      <w:pPr>
        <w:pBdr>
          <w:top w:val="nil"/>
          <w:left w:val="nil"/>
          <w:bottom w:val="nil"/>
          <w:right w:val="nil"/>
          <w:between w:val="nil"/>
        </w:pBdr>
        <w:rPr>
          <w:color w:val="000000" w:themeColor="text1"/>
        </w:rPr>
      </w:pPr>
    </w:p>
    <w:p w14:paraId="4720BA1B" w14:textId="103DAB86" w:rsidR="00145CF0" w:rsidRPr="00562FAF" w:rsidRDefault="004A19BD" w:rsidP="00562FAF">
      <w:pPr>
        <w:pBdr>
          <w:top w:val="nil"/>
          <w:left w:val="nil"/>
          <w:bottom w:val="nil"/>
          <w:right w:val="nil"/>
          <w:between w:val="nil"/>
        </w:pBdr>
        <w:rPr>
          <w:color w:val="000000" w:themeColor="text1"/>
        </w:rPr>
      </w:pPr>
      <w:r w:rsidRPr="00562FAF">
        <w:rPr>
          <w:color w:val="000000" w:themeColor="text1"/>
        </w:rPr>
        <w:t>Multiple preclinical and clinical B-cell ELISpot protocols have been previously described that address various cell types</w:t>
      </w:r>
      <w:r w:rsidR="00656A55" w:rsidRPr="00562FAF">
        <w:rPr>
          <w:color w:val="000000" w:themeColor="text1"/>
        </w:rPr>
        <w:t>,</w:t>
      </w:r>
      <w:r w:rsidRPr="00562FAF">
        <w:rPr>
          <w:color w:val="000000" w:themeColor="text1"/>
        </w:rPr>
        <w:t xml:space="preserve"> including </w:t>
      </w:r>
      <w:r w:rsidR="00656A55" w:rsidRPr="00562FAF">
        <w:rPr>
          <w:color w:val="000000" w:themeColor="text1"/>
        </w:rPr>
        <w:t>small-animal models for preclinical studies, detection of RBD-specific antibodies in SARS-CoV-2 clinical studies, and detection of Hepatitis B surface antibodies in healthy and infected individuals in clinical settings</w:t>
      </w:r>
      <w:r w:rsidR="00656A55" w:rsidRPr="00562FAF">
        <w:rPr>
          <w:color w:val="000000" w:themeColor="text1"/>
          <w:vertAlign w:val="superscript"/>
        </w:rPr>
        <w:t>12–14</w:t>
      </w:r>
      <w:r w:rsidRPr="00562FAF">
        <w:rPr>
          <w:color w:val="000000" w:themeColor="text1"/>
        </w:rPr>
        <w:t xml:space="preserve">. </w:t>
      </w:r>
      <w:r w:rsidR="00EC0A39">
        <w:rPr>
          <w:color w:val="000000" w:themeColor="text1"/>
        </w:rPr>
        <w:t>The</w:t>
      </w:r>
      <w:r w:rsidRPr="00562FAF">
        <w:rPr>
          <w:color w:val="000000" w:themeColor="text1"/>
        </w:rPr>
        <w:t xml:space="preserve"> proposed protocol is specific to pre-clinical NHP studies. This protocol provides a valuable tool for measuring the effectiveness of immunogen and adjuvant combinations in preclinical vaccine studies, with potential downstream translation to clinical studies.</w:t>
      </w:r>
    </w:p>
    <w:p w14:paraId="39005BDA" w14:textId="144756DE" w:rsidR="00145CF0" w:rsidRPr="00562FAF" w:rsidRDefault="00145CF0" w:rsidP="00562FAF">
      <w:pPr>
        <w:pBdr>
          <w:top w:val="nil"/>
          <w:left w:val="nil"/>
          <w:bottom w:val="nil"/>
          <w:right w:val="nil"/>
          <w:between w:val="nil"/>
        </w:pBdr>
        <w:rPr>
          <w:color w:val="000000" w:themeColor="text1"/>
        </w:rPr>
      </w:pPr>
    </w:p>
    <w:p w14:paraId="5DD07AC8" w14:textId="77777777" w:rsidR="00145CF0" w:rsidRPr="00562FAF" w:rsidRDefault="004A19BD" w:rsidP="00562FAF">
      <w:pPr>
        <w:pBdr>
          <w:top w:val="nil"/>
          <w:left w:val="nil"/>
          <w:bottom w:val="nil"/>
          <w:right w:val="nil"/>
          <w:between w:val="nil"/>
        </w:pBdr>
        <w:rPr>
          <w:color w:val="000000" w:themeColor="text1"/>
        </w:rPr>
      </w:pPr>
      <w:r w:rsidRPr="00562FAF">
        <w:rPr>
          <w:b/>
          <w:color w:val="000000" w:themeColor="text1"/>
        </w:rPr>
        <w:t xml:space="preserve">ACKNOWLEDGMENTS:  </w:t>
      </w:r>
    </w:p>
    <w:p w14:paraId="22033A87" w14:textId="08299219" w:rsidR="00145CF0" w:rsidRPr="00562FAF" w:rsidRDefault="00B12436" w:rsidP="00562FAF">
      <w:pPr>
        <w:rPr>
          <w:color w:val="000000" w:themeColor="text1"/>
        </w:rPr>
      </w:pPr>
      <w:r>
        <w:rPr>
          <w:color w:val="000000" w:themeColor="text1"/>
        </w:rPr>
        <w:t xml:space="preserve">The authors </w:t>
      </w:r>
      <w:r w:rsidR="004A19BD" w:rsidRPr="00562FAF">
        <w:rPr>
          <w:color w:val="000000" w:themeColor="text1"/>
        </w:rPr>
        <w:t xml:space="preserve">would like to thank the animals and </w:t>
      </w:r>
      <w:r w:rsidR="000249F9" w:rsidRPr="00562FAF">
        <w:rPr>
          <w:color w:val="000000" w:themeColor="text1"/>
        </w:rPr>
        <w:t>the research care staff at the Keeling Center for Comparative Medicine and Research for their care</w:t>
      </w:r>
      <w:r w:rsidR="003209E3" w:rsidRPr="00562FAF">
        <w:rPr>
          <w:color w:val="000000" w:themeColor="text1"/>
        </w:rPr>
        <w:t>, and many former team members</w:t>
      </w:r>
      <w:r w:rsidR="000249F9" w:rsidRPr="00562FAF">
        <w:rPr>
          <w:color w:val="000000" w:themeColor="text1"/>
        </w:rPr>
        <w:t xml:space="preserve"> and collaborators for successive improvements to</w:t>
      </w:r>
      <w:r w:rsidR="004A19BD" w:rsidRPr="00562FAF">
        <w:rPr>
          <w:color w:val="000000" w:themeColor="text1"/>
        </w:rPr>
        <w:t xml:space="preserve"> the procedure. </w:t>
      </w:r>
      <w:r w:rsidR="000249F9" w:rsidRPr="00562FAF">
        <w:rPr>
          <w:bCs/>
          <w:color w:val="000000" w:themeColor="text1"/>
        </w:rPr>
        <w:t xml:space="preserve">Funding for this NHP HIV vaccine project was provided by NIH awards </w:t>
      </w:r>
      <w:r w:rsidR="000249F9" w:rsidRPr="00562FAF">
        <w:rPr>
          <w:color w:val="000000" w:themeColor="text1"/>
          <w:shd w:val="clear" w:color="auto" w:fill="FFFFFF"/>
        </w:rPr>
        <w:t xml:space="preserve">5R01AI183472 to MBZ and R24OD010947 to FJV. </w:t>
      </w:r>
    </w:p>
    <w:p w14:paraId="36DC9372" w14:textId="77777777" w:rsidR="00145CF0" w:rsidRPr="00562FAF" w:rsidRDefault="00145CF0" w:rsidP="00562FAF">
      <w:pPr>
        <w:rPr>
          <w:color w:val="000000" w:themeColor="text1"/>
        </w:rPr>
      </w:pPr>
    </w:p>
    <w:p w14:paraId="471145C5" w14:textId="23F62BA5" w:rsidR="00145CF0" w:rsidRPr="00562FAF" w:rsidRDefault="004A19BD" w:rsidP="00562FAF">
      <w:pPr>
        <w:rPr>
          <w:b/>
          <w:color w:val="000000" w:themeColor="text1"/>
        </w:rPr>
      </w:pPr>
      <w:r w:rsidRPr="00562FAF">
        <w:rPr>
          <w:b/>
          <w:color w:val="000000" w:themeColor="text1"/>
        </w:rPr>
        <w:t>DISCLOSURES:</w:t>
      </w:r>
    </w:p>
    <w:p w14:paraId="16826C8D" w14:textId="4A9E3D77" w:rsidR="000249F9" w:rsidRPr="00562FAF" w:rsidRDefault="004A19BD" w:rsidP="00562FAF">
      <w:pPr>
        <w:rPr>
          <w:color w:val="000000" w:themeColor="text1"/>
        </w:rPr>
      </w:pPr>
      <w:r w:rsidRPr="00562FAF">
        <w:rPr>
          <w:color w:val="000000" w:themeColor="text1"/>
        </w:rPr>
        <w:t xml:space="preserve">The authors have no financial interest </w:t>
      </w:r>
      <w:proofErr w:type="gramStart"/>
      <w:r w:rsidRPr="00562FAF">
        <w:rPr>
          <w:color w:val="000000" w:themeColor="text1"/>
        </w:rPr>
        <w:t>to declare</w:t>
      </w:r>
      <w:proofErr w:type="gramEnd"/>
      <w:r w:rsidRPr="00562FAF">
        <w:rPr>
          <w:color w:val="000000" w:themeColor="text1"/>
        </w:rPr>
        <w:t xml:space="preserve">. </w:t>
      </w:r>
    </w:p>
    <w:p w14:paraId="12E4C657" w14:textId="77777777" w:rsidR="00145CF0" w:rsidRPr="00562FAF" w:rsidRDefault="00145CF0" w:rsidP="00562FAF">
      <w:pPr>
        <w:rPr>
          <w:b/>
          <w:color w:val="000000" w:themeColor="text1"/>
        </w:rPr>
      </w:pPr>
    </w:p>
    <w:p w14:paraId="28FDD515" w14:textId="3B8ABA39" w:rsidR="00841656" w:rsidRDefault="004A19BD" w:rsidP="00562FAF">
      <w:pPr>
        <w:rPr>
          <w:color w:val="000000" w:themeColor="text1"/>
        </w:rPr>
      </w:pPr>
      <w:proofErr w:type="gramStart"/>
      <w:r w:rsidRPr="00562FAF">
        <w:rPr>
          <w:b/>
          <w:color w:val="000000" w:themeColor="text1"/>
        </w:rPr>
        <w:t>REFERENCE</w:t>
      </w:r>
      <w:r w:rsidR="000249F9" w:rsidRPr="00562FAF">
        <w:rPr>
          <w:b/>
          <w:color w:val="000000" w:themeColor="text1"/>
        </w:rPr>
        <w:t>S</w:t>
      </w:r>
      <w:proofErr w:type="gramEnd"/>
      <w:r w:rsidR="00551D82" w:rsidRPr="00562FAF">
        <w:rPr>
          <w:b/>
          <w:color w:val="000000" w:themeColor="text1"/>
        </w:rPr>
        <w:t>:</w:t>
      </w:r>
      <w:r w:rsidR="00551D82" w:rsidRPr="00562FAF">
        <w:rPr>
          <w:color w:val="000000" w:themeColor="text1"/>
        </w:rPr>
        <w:t xml:space="preserve"> </w:t>
      </w:r>
    </w:p>
    <w:p w14:paraId="012CB281" w14:textId="7777777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proofErr w:type="spellStart"/>
      <w:r w:rsidRPr="00303AF0">
        <w:rPr>
          <w:rFonts w:ascii="Calibri" w:hAnsi="Calibri" w:cs="Calibri"/>
          <w:color w:val="000000" w:themeColor="text1"/>
          <w:sz w:val="24"/>
          <w:szCs w:val="24"/>
        </w:rPr>
        <w:t>Hwai</w:t>
      </w:r>
      <w:proofErr w:type="spellEnd"/>
      <w:r w:rsidRPr="00303AF0">
        <w:rPr>
          <w:rFonts w:ascii="Calibri" w:hAnsi="Calibri" w:cs="Calibri"/>
          <w:color w:val="000000" w:themeColor="text1"/>
          <w:sz w:val="24"/>
          <w:szCs w:val="24"/>
        </w:rPr>
        <w:t xml:space="preserve"> H, Chen YY, Tzeng SJ. B-Cell ELISpot Assay to Quantify Antigen-Specific Antibody-Secreting Cells in Human Peripheral Blood Mononuclear Cells. Methods Mol Biol. </w:t>
      </w:r>
      <w:proofErr w:type="gramStart"/>
      <w:r w:rsidRPr="00303AF0">
        <w:rPr>
          <w:rFonts w:ascii="Calibri" w:hAnsi="Calibri" w:cs="Calibri"/>
          <w:color w:val="000000" w:themeColor="text1"/>
          <w:sz w:val="24"/>
          <w:szCs w:val="24"/>
        </w:rPr>
        <w:t>2018;1808:133</w:t>
      </w:r>
      <w:proofErr w:type="gramEnd"/>
      <w:r w:rsidRPr="00303AF0">
        <w:rPr>
          <w:rFonts w:ascii="Calibri" w:hAnsi="Calibri" w:cs="Calibri"/>
          <w:color w:val="000000" w:themeColor="text1"/>
          <w:sz w:val="24"/>
          <w:szCs w:val="24"/>
        </w:rPr>
        <w:t>-141.</w:t>
      </w:r>
    </w:p>
    <w:p w14:paraId="2AC8AA40" w14:textId="7777777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proofErr w:type="spellStart"/>
      <w:r w:rsidRPr="00303AF0">
        <w:rPr>
          <w:rFonts w:ascii="Calibri" w:hAnsi="Calibri" w:cs="Calibri"/>
          <w:color w:val="000000" w:themeColor="text1"/>
          <w:sz w:val="24"/>
          <w:szCs w:val="24"/>
        </w:rPr>
        <w:t>Haralambieva</w:t>
      </w:r>
      <w:proofErr w:type="spellEnd"/>
      <w:r w:rsidRPr="00303AF0">
        <w:rPr>
          <w:rFonts w:ascii="Calibri" w:hAnsi="Calibri" w:cs="Calibri"/>
          <w:color w:val="000000" w:themeColor="text1"/>
          <w:sz w:val="24"/>
          <w:szCs w:val="24"/>
        </w:rPr>
        <w:t xml:space="preserve"> IH, Ovsyannikova IG, Kennedy RB, Poland GA. Detection and Quantification of Influenza A/H1N1 Virus-Specific Memory B Cells in Human PBMCs Using ELISpot Assay. Methods Mol Biol. </w:t>
      </w:r>
      <w:proofErr w:type="gramStart"/>
      <w:r w:rsidRPr="00303AF0">
        <w:rPr>
          <w:rFonts w:ascii="Calibri" w:hAnsi="Calibri" w:cs="Calibri"/>
          <w:color w:val="000000" w:themeColor="text1"/>
          <w:sz w:val="24"/>
          <w:szCs w:val="24"/>
        </w:rPr>
        <w:t>2018;1808:221</w:t>
      </w:r>
      <w:proofErr w:type="gramEnd"/>
      <w:r w:rsidRPr="00303AF0">
        <w:rPr>
          <w:rFonts w:ascii="Calibri" w:hAnsi="Calibri" w:cs="Calibri"/>
          <w:color w:val="000000" w:themeColor="text1"/>
          <w:sz w:val="24"/>
          <w:szCs w:val="24"/>
        </w:rPr>
        <w:t>-236.</w:t>
      </w:r>
    </w:p>
    <w:p w14:paraId="6F38133E" w14:textId="7777777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r w:rsidRPr="00303AF0">
        <w:rPr>
          <w:rFonts w:ascii="Calibri" w:hAnsi="Calibri" w:cs="Calibri"/>
          <w:color w:val="000000" w:themeColor="text1"/>
          <w:sz w:val="24"/>
          <w:szCs w:val="24"/>
        </w:rPr>
        <w:t xml:space="preserve">Sahay B, Aranyos AM, McAvoy A, Yamamoto JK. Utilization of Feline ELISpot to Evaluate the Immunogenicity of a T Cell-Based FIV MAP Vaccine. Methods Mol Biol. </w:t>
      </w:r>
      <w:proofErr w:type="gramStart"/>
      <w:r w:rsidRPr="00303AF0">
        <w:rPr>
          <w:rFonts w:ascii="Calibri" w:hAnsi="Calibri" w:cs="Calibri"/>
          <w:color w:val="000000" w:themeColor="text1"/>
          <w:sz w:val="24"/>
          <w:szCs w:val="24"/>
        </w:rPr>
        <w:t>2018;1808:197</w:t>
      </w:r>
      <w:proofErr w:type="gramEnd"/>
      <w:r w:rsidRPr="00303AF0">
        <w:rPr>
          <w:rFonts w:ascii="Calibri" w:hAnsi="Calibri" w:cs="Calibri"/>
          <w:color w:val="000000" w:themeColor="text1"/>
          <w:sz w:val="24"/>
          <w:szCs w:val="24"/>
        </w:rPr>
        <w:t>-219.</w:t>
      </w:r>
    </w:p>
    <w:p w14:paraId="55472D7E" w14:textId="7777777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r w:rsidRPr="00303AF0">
        <w:rPr>
          <w:rFonts w:ascii="Calibri" w:hAnsi="Calibri" w:cs="Calibri"/>
          <w:color w:val="000000" w:themeColor="text1"/>
          <w:sz w:val="24"/>
          <w:szCs w:val="24"/>
        </w:rPr>
        <w:t xml:space="preserve">Silveira EL, et al. Vaccine-induced plasmablast responses in rhesus macaques: Phenotypic characterization and a source for generating antigen-specific monoclonal antibodies. J Immunol Methods. </w:t>
      </w:r>
      <w:proofErr w:type="gramStart"/>
      <w:r w:rsidRPr="00303AF0">
        <w:rPr>
          <w:rFonts w:ascii="Calibri" w:hAnsi="Calibri" w:cs="Calibri"/>
          <w:color w:val="000000" w:themeColor="text1"/>
          <w:sz w:val="24"/>
          <w:szCs w:val="24"/>
        </w:rPr>
        <w:t>2015;416:69</w:t>
      </w:r>
      <w:proofErr w:type="gramEnd"/>
      <w:r w:rsidRPr="00303AF0">
        <w:rPr>
          <w:rFonts w:ascii="Calibri" w:hAnsi="Calibri" w:cs="Calibri"/>
          <w:color w:val="000000" w:themeColor="text1"/>
          <w:sz w:val="24"/>
          <w:szCs w:val="24"/>
        </w:rPr>
        <w:t>-83.</w:t>
      </w:r>
    </w:p>
    <w:p w14:paraId="26A915AA" w14:textId="7777777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r w:rsidRPr="00303AF0">
        <w:rPr>
          <w:rFonts w:ascii="Calibri" w:hAnsi="Calibri" w:cs="Calibri"/>
          <w:color w:val="000000" w:themeColor="text1"/>
          <w:sz w:val="24"/>
          <w:szCs w:val="24"/>
        </w:rPr>
        <w:t xml:space="preserve">Arunachalam PS, et al. A comparative immunological assessment of multiple clinical-stage adjuvants for the R21 malaria vaccine in nonhuman primates. Sci </w:t>
      </w:r>
      <w:proofErr w:type="spellStart"/>
      <w:r w:rsidRPr="00303AF0">
        <w:rPr>
          <w:rFonts w:ascii="Calibri" w:hAnsi="Calibri" w:cs="Calibri"/>
          <w:color w:val="000000" w:themeColor="text1"/>
          <w:sz w:val="24"/>
          <w:szCs w:val="24"/>
        </w:rPr>
        <w:t>Transl</w:t>
      </w:r>
      <w:proofErr w:type="spellEnd"/>
      <w:r w:rsidRPr="00303AF0">
        <w:rPr>
          <w:rFonts w:ascii="Calibri" w:hAnsi="Calibri" w:cs="Calibri"/>
          <w:color w:val="000000" w:themeColor="text1"/>
          <w:sz w:val="24"/>
          <w:szCs w:val="24"/>
        </w:rPr>
        <w:t xml:space="preserve"> Med. 2024;16(758</w:t>
      </w:r>
      <w:proofErr w:type="gramStart"/>
      <w:r w:rsidRPr="00303AF0">
        <w:rPr>
          <w:rFonts w:ascii="Calibri" w:hAnsi="Calibri" w:cs="Calibri"/>
          <w:color w:val="000000" w:themeColor="text1"/>
          <w:sz w:val="24"/>
          <w:szCs w:val="24"/>
        </w:rPr>
        <w:t>):eadn</w:t>
      </w:r>
      <w:proofErr w:type="gramEnd"/>
      <w:r w:rsidRPr="00303AF0">
        <w:rPr>
          <w:rFonts w:ascii="Calibri" w:hAnsi="Calibri" w:cs="Calibri"/>
          <w:color w:val="000000" w:themeColor="text1"/>
          <w:sz w:val="24"/>
          <w:szCs w:val="24"/>
        </w:rPr>
        <w:t>6605.</w:t>
      </w:r>
    </w:p>
    <w:p w14:paraId="3FB0DAE6" w14:textId="2DA5E430"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r w:rsidRPr="00303AF0">
        <w:rPr>
          <w:rFonts w:ascii="Calibri" w:hAnsi="Calibri" w:cs="Calibri"/>
          <w:color w:val="000000" w:themeColor="text1"/>
          <w:sz w:val="24"/>
          <w:szCs w:val="24"/>
        </w:rPr>
        <w:lastRenderedPageBreak/>
        <w:t>Kasturi SP, et al. 3M-052, a synthetic TLR-7/8 agonist, induces durable HIV-1 envelope-specific plasma cells and humoral immunity in nonhuman primates. Sci Immunol. 2020;5(48</w:t>
      </w:r>
      <w:proofErr w:type="gramStart"/>
      <w:r w:rsidRPr="00303AF0">
        <w:rPr>
          <w:rFonts w:ascii="Calibri" w:hAnsi="Calibri" w:cs="Calibri"/>
          <w:color w:val="000000" w:themeColor="text1"/>
          <w:sz w:val="24"/>
          <w:szCs w:val="24"/>
        </w:rPr>
        <w:t>)</w:t>
      </w:r>
      <w:r w:rsidR="00E65486">
        <w:rPr>
          <w:rFonts w:ascii="Calibri" w:hAnsi="Calibri" w:cs="Calibri"/>
          <w:color w:val="000000" w:themeColor="text1"/>
          <w:sz w:val="24"/>
          <w:szCs w:val="24"/>
        </w:rPr>
        <w:t>:</w:t>
      </w:r>
      <w:r w:rsidR="00E65486" w:rsidRPr="00E65486">
        <w:rPr>
          <w:rFonts w:ascii="Calibri" w:hAnsi="Calibri" w:cs="Calibri"/>
          <w:color w:val="000000" w:themeColor="text1"/>
          <w:sz w:val="24"/>
          <w:szCs w:val="24"/>
        </w:rPr>
        <w:t>eabb</w:t>
      </w:r>
      <w:proofErr w:type="gramEnd"/>
      <w:r w:rsidR="00E65486" w:rsidRPr="00E65486">
        <w:rPr>
          <w:rFonts w:ascii="Calibri" w:hAnsi="Calibri" w:cs="Calibri"/>
          <w:color w:val="000000" w:themeColor="text1"/>
          <w:sz w:val="24"/>
          <w:szCs w:val="24"/>
        </w:rPr>
        <w:t>1025</w:t>
      </w:r>
      <w:r w:rsidRPr="00303AF0">
        <w:rPr>
          <w:rFonts w:ascii="Calibri" w:hAnsi="Calibri" w:cs="Calibri"/>
          <w:color w:val="000000" w:themeColor="text1"/>
          <w:sz w:val="24"/>
          <w:szCs w:val="24"/>
        </w:rPr>
        <w:t>.</w:t>
      </w:r>
    </w:p>
    <w:p w14:paraId="7ECA6F9C" w14:textId="70021B3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r w:rsidRPr="00303AF0">
        <w:rPr>
          <w:rFonts w:ascii="Calibri" w:hAnsi="Calibri" w:cs="Calibri"/>
          <w:color w:val="000000" w:themeColor="text1"/>
          <w:sz w:val="24"/>
          <w:szCs w:val="24"/>
        </w:rPr>
        <w:t xml:space="preserve">Kasturi SP, et al. </w:t>
      </w:r>
      <w:proofErr w:type="spellStart"/>
      <w:r w:rsidRPr="00303AF0">
        <w:rPr>
          <w:rFonts w:ascii="Calibri" w:hAnsi="Calibri" w:cs="Calibri"/>
          <w:color w:val="000000" w:themeColor="text1"/>
          <w:sz w:val="24"/>
          <w:szCs w:val="24"/>
        </w:rPr>
        <w:t>Adjuvanting</w:t>
      </w:r>
      <w:proofErr w:type="spellEnd"/>
      <w:r w:rsidRPr="00303AF0">
        <w:rPr>
          <w:rFonts w:ascii="Calibri" w:hAnsi="Calibri" w:cs="Calibri"/>
          <w:color w:val="000000" w:themeColor="text1"/>
          <w:sz w:val="24"/>
          <w:szCs w:val="24"/>
        </w:rPr>
        <w:t xml:space="preserve"> a Simian Immunodeficiency Virus Vaccine with Toll-Like Receptor Ligands Encapsulated in Nanoparticles Induces Persistent Antibody Responses and Enhanced Protection in TRIM5alpha Restrictive Macaques. J Virol. 2017;91(4</w:t>
      </w:r>
      <w:proofErr w:type="gramStart"/>
      <w:r w:rsidRPr="00303AF0">
        <w:rPr>
          <w:rFonts w:ascii="Calibri" w:hAnsi="Calibri" w:cs="Calibri"/>
          <w:color w:val="000000" w:themeColor="text1"/>
          <w:sz w:val="24"/>
          <w:szCs w:val="24"/>
        </w:rPr>
        <w:t>)</w:t>
      </w:r>
      <w:r w:rsidR="008C09A5" w:rsidRPr="008C09A5">
        <w:rPr>
          <w:rFonts w:ascii="Calibri" w:hAnsi="Calibri" w:cs="Calibri"/>
          <w:color w:val="000000" w:themeColor="text1"/>
          <w:sz w:val="24"/>
          <w:szCs w:val="24"/>
        </w:rPr>
        <w:t>:e</w:t>
      </w:r>
      <w:proofErr w:type="gramEnd"/>
      <w:r w:rsidR="008C09A5" w:rsidRPr="008C09A5">
        <w:rPr>
          <w:rFonts w:ascii="Calibri" w:hAnsi="Calibri" w:cs="Calibri"/>
          <w:color w:val="000000" w:themeColor="text1"/>
          <w:sz w:val="24"/>
          <w:szCs w:val="24"/>
        </w:rPr>
        <w:t>01844-16</w:t>
      </w:r>
      <w:r w:rsidRPr="00303AF0">
        <w:rPr>
          <w:rFonts w:ascii="Calibri" w:hAnsi="Calibri" w:cs="Calibri"/>
          <w:color w:val="000000" w:themeColor="text1"/>
          <w:sz w:val="24"/>
          <w:szCs w:val="24"/>
        </w:rPr>
        <w:t>.</w:t>
      </w:r>
    </w:p>
    <w:p w14:paraId="3728AD82" w14:textId="7777777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r w:rsidRPr="00303AF0">
        <w:rPr>
          <w:rFonts w:ascii="Calibri" w:hAnsi="Calibri" w:cs="Calibri"/>
          <w:color w:val="000000" w:themeColor="text1"/>
          <w:sz w:val="24"/>
          <w:szCs w:val="24"/>
        </w:rPr>
        <w:t xml:space="preserve">Shah HB, Koelsch KA. B-Cell ELISPOT: For the Identification of Antigen-Specific Antibody-Secreting Cells. Methods Mol Biol. </w:t>
      </w:r>
      <w:proofErr w:type="gramStart"/>
      <w:r w:rsidRPr="00303AF0">
        <w:rPr>
          <w:rFonts w:ascii="Calibri" w:hAnsi="Calibri" w:cs="Calibri"/>
          <w:color w:val="000000" w:themeColor="text1"/>
          <w:sz w:val="24"/>
          <w:szCs w:val="24"/>
        </w:rPr>
        <w:t>2015;1312:419</w:t>
      </w:r>
      <w:proofErr w:type="gramEnd"/>
      <w:r w:rsidRPr="00303AF0">
        <w:rPr>
          <w:rFonts w:ascii="Calibri" w:hAnsi="Calibri" w:cs="Calibri"/>
          <w:color w:val="000000" w:themeColor="text1"/>
          <w:sz w:val="24"/>
          <w:szCs w:val="24"/>
        </w:rPr>
        <w:t>-426.</w:t>
      </w:r>
    </w:p>
    <w:p w14:paraId="2E951531" w14:textId="7777777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proofErr w:type="spellStart"/>
      <w:r w:rsidRPr="00303AF0">
        <w:rPr>
          <w:rFonts w:ascii="Calibri" w:hAnsi="Calibri" w:cs="Calibri"/>
          <w:color w:val="000000" w:themeColor="text1"/>
          <w:sz w:val="24"/>
          <w:szCs w:val="24"/>
        </w:rPr>
        <w:t>Czerkinsky</w:t>
      </w:r>
      <w:proofErr w:type="spellEnd"/>
      <w:r w:rsidRPr="00303AF0">
        <w:rPr>
          <w:rFonts w:ascii="Calibri" w:hAnsi="Calibri" w:cs="Calibri"/>
          <w:color w:val="000000" w:themeColor="text1"/>
          <w:sz w:val="24"/>
          <w:szCs w:val="24"/>
        </w:rPr>
        <w:t xml:space="preserve"> CC, et al. A solid-phase enzyme-linked </w:t>
      </w:r>
      <w:proofErr w:type="spellStart"/>
      <w:r w:rsidRPr="00303AF0">
        <w:rPr>
          <w:rFonts w:ascii="Calibri" w:hAnsi="Calibri" w:cs="Calibri"/>
          <w:color w:val="000000" w:themeColor="text1"/>
          <w:sz w:val="24"/>
          <w:szCs w:val="24"/>
        </w:rPr>
        <w:t>immunospot</w:t>
      </w:r>
      <w:proofErr w:type="spellEnd"/>
      <w:r w:rsidRPr="00303AF0">
        <w:rPr>
          <w:rFonts w:ascii="Calibri" w:hAnsi="Calibri" w:cs="Calibri"/>
          <w:color w:val="000000" w:themeColor="text1"/>
          <w:sz w:val="24"/>
          <w:szCs w:val="24"/>
        </w:rPr>
        <w:t xml:space="preserve"> (ELISPOT) assay for enumeration of specific antibody-secreting cells. J Immunol Methods. 1983;65(1-2):109-121.</w:t>
      </w:r>
    </w:p>
    <w:p w14:paraId="285ABEC9" w14:textId="7777777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proofErr w:type="spellStart"/>
      <w:r w:rsidRPr="00303AF0">
        <w:rPr>
          <w:rFonts w:ascii="Calibri" w:hAnsi="Calibri" w:cs="Calibri"/>
          <w:color w:val="000000" w:themeColor="text1"/>
          <w:sz w:val="24"/>
          <w:szCs w:val="24"/>
        </w:rPr>
        <w:t>Saletti</w:t>
      </w:r>
      <w:proofErr w:type="spellEnd"/>
      <w:r w:rsidRPr="00303AF0">
        <w:rPr>
          <w:rFonts w:ascii="Calibri" w:hAnsi="Calibri" w:cs="Calibri"/>
          <w:color w:val="000000" w:themeColor="text1"/>
          <w:sz w:val="24"/>
          <w:szCs w:val="24"/>
        </w:rPr>
        <w:t xml:space="preserve"> G, et al. Enzyme-linked </w:t>
      </w:r>
      <w:proofErr w:type="spellStart"/>
      <w:r w:rsidRPr="00303AF0">
        <w:rPr>
          <w:rFonts w:ascii="Calibri" w:hAnsi="Calibri" w:cs="Calibri"/>
          <w:color w:val="000000" w:themeColor="text1"/>
          <w:sz w:val="24"/>
          <w:szCs w:val="24"/>
        </w:rPr>
        <w:t>immunospot</w:t>
      </w:r>
      <w:proofErr w:type="spellEnd"/>
      <w:r w:rsidRPr="00303AF0">
        <w:rPr>
          <w:rFonts w:ascii="Calibri" w:hAnsi="Calibri" w:cs="Calibri"/>
          <w:color w:val="000000" w:themeColor="text1"/>
          <w:sz w:val="24"/>
          <w:szCs w:val="24"/>
        </w:rPr>
        <w:t xml:space="preserve"> assays for direct ex vivo measurement of vaccine-induced human humoral immune responses in blood. Nat </w:t>
      </w:r>
      <w:proofErr w:type="spellStart"/>
      <w:r w:rsidRPr="00303AF0">
        <w:rPr>
          <w:rFonts w:ascii="Calibri" w:hAnsi="Calibri" w:cs="Calibri"/>
          <w:color w:val="000000" w:themeColor="text1"/>
          <w:sz w:val="24"/>
          <w:szCs w:val="24"/>
        </w:rPr>
        <w:t>Protoc</w:t>
      </w:r>
      <w:proofErr w:type="spellEnd"/>
      <w:r w:rsidRPr="00303AF0">
        <w:rPr>
          <w:rFonts w:ascii="Calibri" w:hAnsi="Calibri" w:cs="Calibri"/>
          <w:color w:val="000000" w:themeColor="text1"/>
          <w:sz w:val="24"/>
          <w:szCs w:val="24"/>
        </w:rPr>
        <w:t>. 2013;8(6):1073-1087.</w:t>
      </w:r>
    </w:p>
    <w:p w14:paraId="3C55F186" w14:textId="7777777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r w:rsidRPr="00303AF0">
        <w:rPr>
          <w:rFonts w:ascii="Calibri" w:hAnsi="Calibri" w:cs="Calibri"/>
          <w:color w:val="000000" w:themeColor="text1"/>
          <w:sz w:val="24"/>
          <w:szCs w:val="24"/>
        </w:rPr>
        <w:t>Walsh PN, et al. Optimization and qualification of a memory B-cell ELISpot for the detection of vaccine-induced memory responses in HIV vaccine trials. J Immunol Methods. 2013;394(1-2):84-93.</w:t>
      </w:r>
    </w:p>
    <w:p w14:paraId="481F669D" w14:textId="7777777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r w:rsidRPr="00303AF0">
        <w:rPr>
          <w:rFonts w:ascii="Calibri" w:hAnsi="Calibri" w:cs="Calibri"/>
          <w:color w:val="000000" w:themeColor="text1"/>
          <w:sz w:val="24"/>
          <w:szCs w:val="24"/>
        </w:rPr>
        <w:t xml:space="preserve">Brunner C, et al. Cell-based ELISpot protocol to detect and quantify antigen-specific antibody-secreting cells in murine whole-organ single-cell suspensions. STAR </w:t>
      </w:r>
      <w:proofErr w:type="spellStart"/>
      <w:r w:rsidRPr="00303AF0">
        <w:rPr>
          <w:rFonts w:ascii="Calibri" w:hAnsi="Calibri" w:cs="Calibri"/>
          <w:color w:val="000000" w:themeColor="text1"/>
          <w:sz w:val="24"/>
          <w:szCs w:val="24"/>
        </w:rPr>
        <w:t>Protoc</w:t>
      </w:r>
      <w:proofErr w:type="spellEnd"/>
      <w:r w:rsidRPr="00303AF0">
        <w:rPr>
          <w:rFonts w:ascii="Calibri" w:hAnsi="Calibri" w:cs="Calibri"/>
          <w:color w:val="000000" w:themeColor="text1"/>
          <w:sz w:val="24"/>
          <w:szCs w:val="24"/>
        </w:rPr>
        <w:t>. 2025;6(3):103797.</w:t>
      </w:r>
    </w:p>
    <w:p w14:paraId="77B07311" w14:textId="77777777" w:rsidR="00303AF0"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proofErr w:type="spellStart"/>
      <w:r w:rsidRPr="00303AF0">
        <w:rPr>
          <w:rFonts w:ascii="Calibri" w:hAnsi="Calibri" w:cs="Calibri"/>
          <w:color w:val="000000" w:themeColor="text1"/>
          <w:sz w:val="24"/>
          <w:szCs w:val="24"/>
        </w:rPr>
        <w:t>Rouers</w:t>
      </w:r>
      <w:proofErr w:type="spellEnd"/>
      <w:r w:rsidRPr="00303AF0">
        <w:rPr>
          <w:rFonts w:ascii="Calibri" w:hAnsi="Calibri" w:cs="Calibri"/>
          <w:color w:val="000000" w:themeColor="text1"/>
          <w:sz w:val="24"/>
          <w:szCs w:val="24"/>
        </w:rPr>
        <w:t xml:space="preserve"> A, Tay MZ, Ng LFP, Renia L. B-cell ELISpot assay to analyze human memory B cell and plasmablast responses specific to SARS-CoV-2 receptor-binding domain. STAR </w:t>
      </w:r>
      <w:proofErr w:type="spellStart"/>
      <w:r w:rsidRPr="00303AF0">
        <w:rPr>
          <w:rFonts w:ascii="Calibri" w:hAnsi="Calibri" w:cs="Calibri"/>
          <w:color w:val="000000" w:themeColor="text1"/>
          <w:sz w:val="24"/>
          <w:szCs w:val="24"/>
        </w:rPr>
        <w:t>Protoc</w:t>
      </w:r>
      <w:proofErr w:type="spellEnd"/>
      <w:r w:rsidRPr="00303AF0">
        <w:rPr>
          <w:rFonts w:ascii="Calibri" w:hAnsi="Calibri" w:cs="Calibri"/>
          <w:color w:val="000000" w:themeColor="text1"/>
          <w:sz w:val="24"/>
          <w:szCs w:val="24"/>
        </w:rPr>
        <w:t>. 2023;4(1):102130.</w:t>
      </w:r>
    </w:p>
    <w:p w14:paraId="33791B7F" w14:textId="473B51CE" w:rsidR="00530512" w:rsidRPr="00303AF0" w:rsidRDefault="00303AF0" w:rsidP="00303AF0">
      <w:pPr>
        <w:pStyle w:val="ListParagraph"/>
        <w:numPr>
          <w:ilvl w:val="0"/>
          <w:numId w:val="46"/>
        </w:numPr>
        <w:spacing w:line="240" w:lineRule="auto"/>
        <w:ind w:left="0" w:firstLine="0"/>
        <w:jc w:val="both"/>
        <w:rPr>
          <w:rFonts w:ascii="Calibri" w:hAnsi="Calibri" w:cs="Calibri"/>
          <w:color w:val="000000" w:themeColor="text1"/>
          <w:sz w:val="24"/>
          <w:szCs w:val="24"/>
        </w:rPr>
      </w:pPr>
      <w:r w:rsidRPr="00303AF0">
        <w:rPr>
          <w:rFonts w:ascii="Calibri" w:hAnsi="Calibri" w:cs="Calibri"/>
          <w:color w:val="000000" w:themeColor="text1"/>
          <w:sz w:val="24"/>
          <w:szCs w:val="24"/>
        </w:rPr>
        <w:t>Tian C, et al. Use of ELISpot assay to study HBs-specific B cell responses in vaccinated and HBV-infected humans. Emerg Microbes Infect. 2018;7(1):16.</w:t>
      </w:r>
    </w:p>
    <w:sectPr w:rsidR="00530512" w:rsidRPr="00303AF0" w:rsidSect="00147C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240DF" w14:textId="77777777" w:rsidR="0037351B" w:rsidRDefault="0037351B">
      <w:r>
        <w:separator/>
      </w:r>
    </w:p>
  </w:endnote>
  <w:endnote w:type="continuationSeparator" w:id="0">
    <w:p w14:paraId="3E4A2C78" w14:textId="77777777" w:rsidR="0037351B" w:rsidRDefault="00373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59142C99"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08E69" w14:textId="1045E73F" w:rsidR="00942554" w:rsidRDefault="009425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B66A9" w14:textId="2D6D798E" w:rsidR="00942554" w:rsidRDefault="009425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DAFFF" w14:textId="77777777" w:rsidR="0037351B" w:rsidRDefault="0037351B">
      <w:r>
        <w:separator/>
      </w:r>
    </w:p>
  </w:footnote>
  <w:footnote w:type="continuationSeparator" w:id="0">
    <w:p w14:paraId="1C5B0A5C" w14:textId="77777777" w:rsidR="0037351B" w:rsidRDefault="00373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92FEB2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3F6FBC44" w:rsidR="006E4797" w:rsidRDefault="004A19BD">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8F7DF3E"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B3613"/>
    <w:multiLevelType w:val="hybridMultilevel"/>
    <w:tmpl w:val="4A18127C"/>
    <w:lvl w:ilvl="0" w:tplc="D29E7E64">
      <w:start w:val="1"/>
      <w:numFmt w:val="decimal"/>
      <w:lvlText w:val="%1."/>
      <w:lvlJc w:val="left"/>
      <w:pPr>
        <w:ind w:left="2070" w:hanging="360"/>
      </w:pPr>
      <w:rPr>
        <w:rFonts w:hint="default"/>
      </w:rPr>
    </w:lvl>
    <w:lvl w:ilvl="1" w:tplc="3DF2C6F4" w:tentative="1">
      <w:start w:val="1"/>
      <w:numFmt w:val="lowerLetter"/>
      <w:lvlText w:val="%2."/>
      <w:lvlJc w:val="left"/>
      <w:pPr>
        <w:ind w:left="1440" w:hanging="360"/>
      </w:pPr>
    </w:lvl>
    <w:lvl w:ilvl="2" w:tplc="1FFEC2A8" w:tentative="1">
      <w:start w:val="1"/>
      <w:numFmt w:val="lowerRoman"/>
      <w:lvlText w:val="%3."/>
      <w:lvlJc w:val="right"/>
      <w:pPr>
        <w:ind w:left="2160" w:hanging="180"/>
      </w:pPr>
    </w:lvl>
    <w:lvl w:ilvl="3" w:tplc="325422A0" w:tentative="1">
      <w:start w:val="1"/>
      <w:numFmt w:val="decimal"/>
      <w:lvlText w:val="%4."/>
      <w:lvlJc w:val="left"/>
      <w:pPr>
        <w:ind w:left="2880" w:hanging="360"/>
      </w:pPr>
    </w:lvl>
    <w:lvl w:ilvl="4" w:tplc="BB9E4CDE" w:tentative="1">
      <w:start w:val="1"/>
      <w:numFmt w:val="lowerLetter"/>
      <w:lvlText w:val="%5."/>
      <w:lvlJc w:val="left"/>
      <w:pPr>
        <w:ind w:left="3600" w:hanging="360"/>
      </w:pPr>
    </w:lvl>
    <w:lvl w:ilvl="5" w:tplc="5950E632" w:tentative="1">
      <w:start w:val="1"/>
      <w:numFmt w:val="lowerRoman"/>
      <w:lvlText w:val="%6."/>
      <w:lvlJc w:val="right"/>
      <w:pPr>
        <w:ind w:left="4320" w:hanging="180"/>
      </w:pPr>
    </w:lvl>
    <w:lvl w:ilvl="6" w:tplc="B6AC6A56" w:tentative="1">
      <w:start w:val="1"/>
      <w:numFmt w:val="decimal"/>
      <w:lvlText w:val="%7."/>
      <w:lvlJc w:val="left"/>
      <w:pPr>
        <w:ind w:left="5040" w:hanging="360"/>
      </w:pPr>
    </w:lvl>
    <w:lvl w:ilvl="7" w:tplc="D40676C8" w:tentative="1">
      <w:start w:val="1"/>
      <w:numFmt w:val="lowerLetter"/>
      <w:lvlText w:val="%8."/>
      <w:lvlJc w:val="left"/>
      <w:pPr>
        <w:ind w:left="5760" w:hanging="360"/>
      </w:pPr>
    </w:lvl>
    <w:lvl w:ilvl="8" w:tplc="5552C192" w:tentative="1">
      <w:start w:val="1"/>
      <w:numFmt w:val="lowerRoman"/>
      <w:lvlText w:val="%9."/>
      <w:lvlJc w:val="right"/>
      <w:pPr>
        <w:ind w:left="6480" w:hanging="180"/>
      </w:pPr>
    </w:lvl>
  </w:abstractNum>
  <w:abstractNum w:abstractNumId="1" w15:restartNumberingAfterBreak="0">
    <w:nsid w:val="0DD3176F"/>
    <w:multiLevelType w:val="hybridMultilevel"/>
    <w:tmpl w:val="DA14E3D6"/>
    <w:lvl w:ilvl="0" w:tplc="0D280E0C">
      <w:start w:val="1"/>
      <w:numFmt w:val="decimal"/>
      <w:lvlText w:val="%1."/>
      <w:lvlJc w:val="left"/>
      <w:pPr>
        <w:ind w:left="450" w:hanging="360"/>
      </w:pPr>
      <w:rPr>
        <w:rFonts w:hint="default"/>
        <w:b/>
        <w:bCs w:val="0"/>
      </w:rPr>
    </w:lvl>
    <w:lvl w:ilvl="1" w:tplc="517EB8AE">
      <w:start w:val="1"/>
      <w:numFmt w:val="decimal"/>
      <w:lvlText w:val="%2."/>
      <w:lvlJc w:val="left"/>
      <w:pPr>
        <w:ind w:left="1170" w:hanging="360"/>
      </w:pPr>
      <w:rPr>
        <w:rFonts w:hint="default"/>
        <w:b w:val="0"/>
      </w:rPr>
    </w:lvl>
    <w:lvl w:ilvl="2" w:tplc="5F3255A0">
      <w:start w:val="1"/>
      <w:numFmt w:val="decimal"/>
      <w:lvlText w:val="%3."/>
      <w:lvlJc w:val="left"/>
      <w:pPr>
        <w:ind w:left="2070" w:hanging="360"/>
      </w:pPr>
      <w:rPr>
        <w:rFonts w:hint="default"/>
      </w:rPr>
    </w:lvl>
    <w:lvl w:ilvl="3" w:tplc="6CF80252">
      <w:start w:val="1"/>
      <w:numFmt w:val="decimal"/>
      <w:lvlText w:val="%4."/>
      <w:lvlJc w:val="left"/>
      <w:pPr>
        <w:ind w:left="1800" w:hanging="360"/>
      </w:pPr>
    </w:lvl>
    <w:lvl w:ilvl="4" w:tplc="6630CE2E">
      <w:start w:val="1"/>
      <w:numFmt w:val="lowerLetter"/>
      <w:lvlText w:val="%5."/>
      <w:lvlJc w:val="left"/>
      <w:pPr>
        <w:ind w:left="3330" w:hanging="360"/>
      </w:pPr>
    </w:lvl>
    <w:lvl w:ilvl="5" w:tplc="6B94A300" w:tentative="1">
      <w:start w:val="1"/>
      <w:numFmt w:val="lowerRoman"/>
      <w:lvlText w:val="%6."/>
      <w:lvlJc w:val="right"/>
      <w:pPr>
        <w:ind w:left="4050" w:hanging="180"/>
      </w:pPr>
    </w:lvl>
    <w:lvl w:ilvl="6" w:tplc="E7A0837E" w:tentative="1">
      <w:start w:val="1"/>
      <w:numFmt w:val="decimal"/>
      <w:lvlText w:val="%7."/>
      <w:lvlJc w:val="left"/>
      <w:pPr>
        <w:ind w:left="4770" w:hanging="360"/>
      </w:pPr>
    </w:lvl>
    <w:lvl w:ilvl="7" w:tplc="20A0FA1C" w:tentative="1">
      <w:start w:val="1"/>
      <w:numFmt w:val="lowerLetter"/>
      <w:lvlText w:val="%8."/>
      <w:lvlJc w:val="left"/>
      <w:pPr>
        <w:ind w:left="5490" w:hanging="360"/>
      </w:pPr>
    </w:lvl>
    <w:lvl w:ilvl="8" w:tplc="BB10C6BA" w:tentative="1">
      <w:start w:val="1"/>
      <w:numFmt w:val="lowerRoman"/>
      <w:lvlText w:val="%9."/>
      <w:lvlJc w:val="right"/>
      <w:pPr>
        <w:ind w:left="6210" w:hanging="180"/>
      </w:pPr>
    </w:lvl>
  </w:abstractNum>
  <w:abstractNum w:abstractNumId="2" w15:restartNumberingAfterBreak="0">
    <w:nsid w:val="0FE15FCA"/>
    <w:multiLevelType w:val="hybridMultilevel"/>
    <w:tmpl w:val="4AAABC5E"/>
    <w:lvl w:ilvl="0" w:tplc="4B3CB2C0">
      <w:start w:val="1"/>
      <w:numFmt w:val="bullet"/>
      <w:lvlText w:val=""/>
      <w:lvlJc w:val="left"/>
      <w:pPr>
        <w:ind w:left="360" w:hanging="360"/>
      </w:pPr>
      <w:rPr>
        <w:rFonts w:ascii="Symbol" w:hAnsi="Symbol" w:hint="default"/>
        <w:sz w:val="28"/>
        <w:szCs w:val="28"/>
      </w:rPr>
    </w:lvl>
    <w:lvl w:ilvl="1" w:tplc="ED58EDE8" w:tentative="1">
      <w:start w:val="1"/>
      <w:numFmt w:val="bullet"/>
      <w:lvlText w:val="o"/>
      <w:lvlJc w:val="left"/>
      <w:pPr>
        <w:ind w:left="1440" w:hanging="360"/>
      </w:pPr>
      <w:rPr>
        <w:rFonts w:ascii="Courier New" w:hAnsi="Courier New" w:cs="Courier New" w:hint="default"/>
      </w:rPr>
    </w:lvl>
    <w:lvl w:ilvl="2" w:tplc="6C7AED4E" w:tentative="1">
      <w:start w:val="1"/>
      <w:numFmt w:val="bullet"/>
      <w:lvlText w:val=""/>
      <w:lvlJc w:val="left"/>
      <w:pPr>
        <w:ind w:left="2160" w:hanging="360"/>
      </w:pPr>
      <w:rPr>
        <w:rFonts w:ascii="Wingdings" w:hAnsi="Wingdings" w:hint="default"/>
      </w:rPr>
    </w:lvl>
    <w:lvl w:ilvl="3" w:tplc="700AD2D6" w:tentative="1">
      <w:start w:val="1"/>
      <w:numFmt w:val="bullet"/>
      <w:lvlText w:val=""/>
      <w:lvlJc w:val="left"/>
      <w:pPr>
        <w:ind w:left="2880" w:hanging="360"/>
      </w:pPr>
      <w:rPr>
        <w:rFonts w:ascii="Symbol" w:hAnsi="Symbol" w:hint="default"/>
      </w:rPr>
    </w:lvl>
    <w:lvl w:ilvl="4" w:tplc="19180DB0" w:tentative="1">
      <w:start w:val="1"/>
      <w:numFmt w:val="bullet"/>
      <w:lvlText w:val="o"/>
      <w:lvlJc w:val="left"/>
      <w:pPr>
        <w:ind w:left="3600" w:hanging="360"/>
      </w:pPr>
      <w:rPr>
        <w:rFonts w:ascii="Courier New" w:hAnsi="Courier New" w:cs="Courier New" w:hint="default"/>
      </w:rPr>
    </w:lvl>
    <w:lvl w:ilvl="5" w:tplc="6B0C1152" w:tentative="1">
      <w:start w:val="1"/>
      <w:numFmt w:val="bullet"/>
      <w:lvlText w:val=""/>
      <w:lvlJc w:val="left"/>
      <w:pPr>
        <w:ind w:left="4320" w:hanging="360"/>
      </w:pPr>
      <w:rPr>
        <w:rFonts w:ascii="Wingdings" w:hAnsi="Wingdings" w:hint="default"/>
      </w:rPr>
    </w:lvl>
    <w:lvl w:ilvl="6" w:tplc="E3F81E46" w:tentative="1">
      <w:start w:val="1"/>
      <w:numFmt w:val="bullet"/>
      <w:lvlText w:val=""/>
      <w:lvlJc w:val="left"/>
      <w:pPr>
        <w:ind w:left="5040" w:hanging="360"/>
      </w:pPr>
      <w:rPr>
        <w:rFonts w:ascii="Symbol" w:hAnsi="Symbol" w:hint="default"/>
      </w:rPr>
    </w:lvl>
    <w:lvl w:ilvl="7" w:tplc="B60EE928" w:tentative="1">
      <w:start w:val="1"/>
      <w:numFmt w:val="bullet"/>
      <w:lvlText w:val="o"/>
      <w:lvlJc w:val="left"/>
      <w:pPr>
        <w:ind w:left="5760" w:hanging="360"/>
      </w:pPr>
      <w:rPr>
        <w:rFonts w:ascii="Courier New" w:hAnsi="Courier New" w:cs="Courier New" w:hint="default"/>
      </w:rPr>
    </w:lvl>
    <w:lvl w:ilvl="8" w:tplc="4A088D6A"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308E22F2">
      <w:start w:val="1"/>
      <w:numFmt w:val="decimal"/>
      <w:lvlText w:val="%1."/>
      <w:lvlJc w:val="left"/>
      <w:pPr>
        <w:ind w:left="720" w:hanging="360"/>
      </w:pPr>
    </w:lvl>
    <w:lvl w:ilvl="1" w:tplc="0AFCE99A" w:tentative="1">
      <w:start w:val="1"/>
      <w:numFmt w:val="lowerLetter"/>
      <w:lvlText w:val="%2."/>
      <w:lvlJc w:val="left"/>
      <w:pPr>
        <w:ind w:left="1440" w:hanging="360"/>
      </w:pPr>
    </w:lvl>
    <w:lvl w:ilvl="2" w:tplc="45D219E0" w:tentative="1">
      <w:start w:val="1"/>
      <w:numFmt w:val="lowerRoman"/>
      <w:lvlText w:val="%3."/>
      <w:lvlJc w:val="right"/>
      <w:pPr>
        <w:ind w:left="2160" w:hanging="180"/>
      </w:pPr>
    </w:lvl>
    <w:lvl w:ilvl="3" w:tplc="2ECA473A" w:tentative="1">
      <w:start w:val="1"/>
      <w:numFmt w:val="decimal"/>
      <w:lvlText w:val="%4."/>
      <w:lvlJc w:val="left"/>
      <w:pPr>
        <w:ind w:left="2880" w:hanging="360"/>
      </w:pPr>
    </w:lvl>
    <w:lvl w:ilvl="4" w:tplc="E4F422F2" w:tentative="1">
      <w:start w:val="1"/>
      <w:numFmt w:val="lowerLetter"/>
      <w:lvlText w:val="%5."/>
      <w:lvlJc w:val="left"/>
      <w:pPr>
        <w:ind w:left="3600" w:hanging="360"/>
      </w:pPr>
    </w:lvl>
    <w:lvl w:ilvl="5" w:tplc="1D3A93C0" w:tentative="1">
      <w:start w:val="1"/>
      <w:numFmt w:val="lowerRoman"/>
      <w:lvlText w:val="%6."/>
      <w:lvlJc w:val="right"/>
      <w:pPr>
        <w:ind w:left="4320" w:hanging="180"/>
      </w:pPr>
    </w:lvl>
    <w:lvl w:ilvl="6" w:tplc="D6B6A95C" w:tentative="1">
      <w:start w:val="1"/>
      <w:numFmt w:val="decimal"/>
      <w:lvlText w:val="%7."/>
      <w:lvlJc w:val="left"/>
      <w:pPr>
        <w:ind w:left="5040" w:hanging="360"/>
      </w:pPr>
    </w:lvl>
    <w:lvl w:ilvl="7" w:tplc="CC3E1AD6" w:tentative="1">
      <w:start w:val="1"/>
      <w:numFmt w:val="lowerLetter"/>
      <w:lvlText w:val="%8."/>
      <w:lvlJc w:val="left"/>
      <w:pPr>
        <w:ind w:left="5760" w:hanging="360"/>
      </w:pPr>
    </w:lvl>
    <w:lvl w:ilvl="8" w:tplc="037AC586" w:tentative="1">
      <w:start w:val="1"/>
      <w:numFmt w:val="lowerRoman"/>
      <w:lvlText w:val="%9."/>
      <w:lvlJc w:val="right"/>
      <w:pPr>
        <w:ind w:left="6480" w:hanging="180"/>
      </w:pPr>
    </w:lvl>
  </w:abstractNum>
  <w:abstractNum w:abstractNumId="4" w15:restartNumberingAfterBreak="0">
    <w:nsid w:val="1AC94C98"/>
    <w:multiLevelType w:val="hybridMultilevel"/>
    <w:tmpl w:val="4A4E09C2"/>
    <w:lvl w:ilvl="0" w:tplc="22128C44">
      <w:start w:val="1"/>
      <w:numFmt w:val="decimal"/>
      <w:lvlText w:val="%1."/>
      <w:lvlJc w:val="left"/>
      <w:pPr>
        <w:ind w:left="1440" w:hanging="360"/>
      </w:pPr>
      <w:rPr>
        <w:b/>
        <w:bCs/>
      </w:rPr>
    </w:lvl>
    <w:lvl w:ilvl="1" w:tplc="8E803E20" w:tentative="1">
      <w:start w:val="1"/>
      <w:numFmt w:val="lowerLetter"/>
      <w:lvlText w:val="%2."/>
      <w:lvlJc w:val="left"/>
      <w:pPr>
        <w:ind w:left="1440" w:hanging="360"/>
      </w:pPr>
    </w:lvl>
    <w:lvl w:ilvl="2" w:tplc="9EC2ED44" w:tentative="1">
      <w:start w:val="1"/>
      <w:numFmt w:val="lowerRoman"/>
      <w:lvlText w:val="%3."/>
      <w:lvlJc w:val="right"/>
      <w:pPr>
        <w:ind w:left="2160" w:hanging="180"/>
      </w:pPr>
    </w:lvl>
    <w:lvl w:ilvl="3" w:tplc="D3AE6A42" w:tentative="1">
      <w:start w:val="1"/>
      <w:numFmt w:val="decimal"/>
      <w:lvlText w:val="%4."/>
      <w:lvlJc w:val="left"/>
      <w:pPr>
        <w:ind w:left="2880" w:hanging="360"/>
      </w:pPr>
    </w:lvl>
    <w:lvl w:ilvl="4" w:tplc="BF489D8E" w:tentative="1">
      <w:start w:val="1"/>
      <w:numFmt w:val="lowerLetter"/>
      <w:lvlText w:val="%5."/>
      <w:lvlJc w:val="left"/>
      <w:pPr>
        <w:ind w:left="3600" w:hanging="360"/>
      </w:pPr>
    </w:lvl>
    <w:lvl w:ilvl="5" w:tplc="00C8411C" w:tentative="1">
      <w:start w:val="1"/>
      <w:numFmt w:val="lowerRoman"/>
      <w:lvlText w:val="%6."/>
      <w:lvlJc w:val="right"/>
      <w:pPr>
        <w:ind w:left="4320" w:hanging="180"/>
      </w:pPr>
    </w:lvl>
    <w:lvl w:ilvl="6" w:tplc="3C863DAC" w:tentative="1">
      <w:start w:val="1"/>
      <w:numFmt w:val="decimal"/>
      <w:lvlText w:val="%7."/>
      <w:lvlJc w:val="left"/>
      <w:pPr>
        <w:ind w:left="5040" w:hanging="360"/>
      </w:pPr>
    </w:lvl>
    <w:lvl w:ilvl="7" w:tplc="59C66B84" w:tentative="1">
      <w:start w:val="1"/>
      <w:numFmt w:val="lowerLetter"/>
      <w:lvlText w:val="%8."/>
      <w:lvlJc w:val="left"/>
      <w:pPr>
        <w:ind w:left="5760" w:hanging="360"/>
      </w:pPr>
    </w:lvl>
    <w:lvl w:ilvl="8" w:tplc="0F929C8A" w:tentative="1">
      <w:start w:val="1"/>
      <w:numFmt w:val="lowerRoman"/>
      <w:lvlText w:val="%9."/>
      <w:lvlJc w:val="right"/>
      <w:pPr>
        <w:ind w:left="6480" w:hanging="180"/>
      </w:pPr>
    </w:lvl>
  </w:abstractNum>
  <w:abstractNum w:abstractNumId="5" w15:restartNumberingAfterBreak="0">
    <w:nsid w:val="1B012A80"/>
    <w:multiLevelType w:val="hybridMultilevel"/>
    <w:tmpl w:val="3C805CB2"/>
    <w:lvl w:ilvl="0" w:tplc="47B08906">
      <w:start w:val="1"/>
      <w:numFmt w:val="decimal"/>
      <w:lvlText w:val="%1."/>
      <w:lvlJc w:val="left"/>
      <w:pPr>
        <w:ind w:left="928" w:hanging="360"/>
      </w:pPr>
    </w:lvl>
    <w:lvl w:ilvl="1" w:tplc="0B9CC6FE" w:tentative="1">
      <w:start w:val="1"/>
      <w:numFmt w:val="lowerLetter"/>
      <w:lvlText w:val="%2."/>
      <w:lvlJc w:val="left"/>
      <w:pPr>
        <w:ind w:left="1648" w:hanging="360"/>
      </w:pPr>
    </w:lvl>
    <w:lvl w:ilvl="2" w:tplc="72BE5798" w:tentative="1">
      <w:start w:val="1"/>
      <w:numFmt w:val="lowerRoman"/>
      <w:lvlText w:val="%3."/>
      <w:lvlJc w:val="right"/>
      <w:pPr>
        <w:ind w:left="2368" w:hanging="180"/>
      </w:pPr>
    </w:lvl>
    <w:lvl w:ilvl="3" w:tplc="EBB2CC22" w:tentative="1">
      <w:start w:val="1"/>
      <w:numFmt w:val="decimal"/>
      <w:lvlText w:val="%4."/>
      <w:lvlJc w:val="left"/>
      <w:pPr>
        <w:ind w:left="3088" w:hanging="360"/>
      </w:pPr>
    </w:lvl>
    <w:lvl w:ilvl="4" w:tplc="B1A8EC32" w:tentative="1">
      <w:start w:val="1"/>
      <w:numFmt w:val="lowerLetter"/>
      <w:lvlText w:val="%5."/>
      <w:lvlJc w:val="left"/>
      <w:pPr>
        <w:ind w:left="3808" w:hanging="360"/>
      </w:pPr>
    </w:lvl>
    <w:lvl w:ilvl="5" w:tplc="E66E9692" w:tentative="1">
      <w:start w:val="1"/>
      <w:numFmt w:val="lowerRoman"/>
      <w:lvlText w:val="%6."/>
      <w:lvlJc w:val="right"/>
      <w:pPr>
        <w:ind w:left="4528" w:hanging="180"/>
      </w:pPr>
    </w:lvl>
    <w:lvl w:ilvl="6" w:tplc="CDBEA638" w:tentative="1">
      <w:start w:val="1"/>
      <w:numFmt w:val="decimal"/>
      <w:lvlText w:val="%7."/>
      <w:lvlJc w:val="left"/>
      <w:pPr>
        <w:ind w:left="5248" w:hanging="360"/>
      </w:pPr>
    </w:lvl>
    <w:lvl w:ilvl="7" w:tplc="1D6619F8" w:tentative="1">
      <w:start w:val="1"/>
      <w:numFmt w:val="lowerLetter"/>
      <w:lvlText w:val="%8."/>
      <w:lvlJc w:val="left"/>
      <w:pPr>
        <w:ind w:left="5968" w:hanging="360"/>
      </w:pPr>
    </w:lvl>
    <w:lvl w:ilvl="8" w:tplc="BB74CB5C" w:tentative="1">
      <w:start w:val="1"/>
      <w:numFmt w:val="lowerRoman"/>
      <w:lvlText w:val="%9."/>
      <w:lvlJc w:val="right"/>
      <w:pPr>
        <w:ind w:left="6688" w:hanging="180"/>
      </w:pPr>
    </w:lvl>
  </w:abstractNum>
  <w:abstractNum w:abstractNumId="6" w15:restartNumberingAfterBreak="0">
    <w:nsid w:val="21BA043A"/>
    <w:multiLevelType w:val="hybridMultilevel"/>
    <w:tmpl w:val="97EA5562"/>
    <w:lvl w:ilvl="0" w:tplc="D99275A8">
      <w:start w:val="1"/>
      <w:numFmt w:val="decimal"/>
      <w:lvlText w:val="%1."/>
      <w:lvlJc w:val="left"/>
      <w:pPr>
        <w:ind w:left="720" w:hanging="360"/>
      </w:pPr>
    </w:lvl>
    <w:lvl w:ilvl="1" w:tplc="4E8A5704" w:tentative="1">
      <w:start w:val="1"/>
      <w:numFmt w:val="lowerLetter"/>
      <w:lvlText w:val="%2."/>
      <w:lvlJc w:val="left"/>
      <w:pPr>
        <w:ind w:left="1440" w:hanging="360"/>
      </w:pPr>
    </w:lvl>
    <w:lvl w:ilvl="2" w:tplc="B04CDE42" w:tentative="1">
      <w:start w:val="1"/>
      <w:numFmt w:val="lowerRoman"/>
      <w:lvlText w:val="%3."/>
      <w:lvlJc w:val="right"/>
      <w:pPr>
        <w:ind w:left="2160" w:hanging="180"/>
      </w:pPr>
    </w:lvl>
    <w:lvl w:ilvl="3" w:tplc="3334BBE6" w:tentative="1">
      <w:start w:val="1"/>
      <w:numFmt w:val="decimal"/>
      <w:lvlText w:val="%4."/>
      <w:lvlJc w:val="left"/>
      <w:pPr>
        <w:ind w:left="2880" w:hanging="360"/>
      </w:pPr>
    </w:lvl>
    <w:lvl w:ilvl="4" w:tplc="1D6CFDEE" w:tentative="1">
      <w:start w:val="1"/>
      <w:numFmt w:val="lowerLetter"/>
      <w:lvlText w:val="%5."/>
      <w:lvlJc w:val="left"/>
      <w:pPr>
        <w:ind w:left="3600" w:hanging="360"/>
      </w:pPr>
    </w:lvl>
    <w:lvl w:ilvl="5" w:tplc="18C0D9CE" w:tentative="1">
      <w:start w:val="1"/>
      <w:numFmt w:val="lowerRoman"/>
      <w:lvlText w:val="%6."/>
      <w:lvlJc w:val="right"/>
      <w:pPr>
        <w:ind w:left="4320" w:hanging="180"/>
      </w:pPr>
    </w:lvl>
    <w:lvl w:ilvl="6" w:tplc="58D42B5A" w:tentative="1">
      <w:start w:val="1"/>
      <w:numFmt w:val="decimal"/>
      <w:lvlText w:val="%7."/>
      <w:lvlJc w:val="left"/>
      <w:pPr>
        <w:ind w:left="5040" w:hanging="360"/>
      </w:pPr>
    </w:lvl>
    <w:lvl w:ilvl="7" w:tplc="872E5B54" w:tentative="1">
      <w:start w:val="1"/>
      <w:numFmt w:val="lowerLetter"/>
      <w:lvlText w:val="%8."/>
      <w:lvlJc w:val="left"/>
      <w:pPr>
        <w:ind w:left="5760" w:hanging="360"/>
      </w:pPr>
    </w:lvl>
    <w:lvl w:ilvl="8" w:tplc="3FF4F95A" w:tentative="1">
      <w:start w:val="1"/>
      <w:numFmt w:val="lowerRoman"/>
      <w:lvlText w:val="%9."/>
      <w:lvlJc w:val="right"/>
      <w:pPr>
        <w:ind w:left="6480" w:hanging="180"/>
      </w:pPr>
    </w:lvl>
  </w:abstractNum>
  <w:abstractNum w:abstractNumId="7" w15:restartNumberingAfterBreak="0">
    <w:nsid w:val="22000030"/>
    <w:multiLevelType w:val="hybridMultilevel"/>
    <w:tmpl w:val="BA8AECC4"/>
    <w:lvl w:ilvl="0" w:tplc="26A88686">
      <w:start w:val="1"/>
      <w:numFmt w:val="decimal"/>
      <w:lvlText w:val="%1."/>
      <w:lvlJc w:val="left"/>
      <w:pPr>
        <w:ind w:left="3240" w:hanging="360"/>
      </w:pPr>
    </w:lvl>
    <w:lvl w:ilvl="1" w:tplc="47144AFC" w:tentative="1">
      <w:start w:val="1"/>
      <w:numFmt w:val="lowerLetter"/>
      <w:lvlText w:val="%2."/>
      <w:lvlJc w:val="left"/>
      <w:pPr>
        <w:ind w:left="3960" w:hanging="360"/>
      </w:pPr>
    </w:lvl>
    <w:lvl w:ilvl="2" w:tplc="1F7A1640" w:tentative="1">
      <w:start w:val="1"/>
      <w:numFmt w:val="lowerRoman"/>
      <w:lvlText w:val="%3."/>
      <w:lvlJc w:val="right"/>
      <w:pPr>
        <w:ind w:left="4680" w:hanging="180"/>
      </w:pPr>
    </w:lvl>
    <w:lvl w:ilvl="3" w:tplc="DDA0CD32" w:tentative="1">
      <w:start w:val="1"/>
      <w:numFmt w:val="decimal"/>
      <w:lvlText w:val="%4."/>
      <w:lvlJc w:val="left"/>
      <w:pPr>
        <w:ind w:left="5400" w:hanging="360"/>
      </w:pPr>
    </w:lvl>
    <w:lvl w:ilvl="4" w:tplc="79A8C34C" w:tentative="1">
      <w:start w:val="1"/>
      <w:numFmt w:val="lowerLetter"/>
      <w:lvlText w:val="%5."/>
      <w:lvlJc w:val="left"/>
      <w:pPr>
        <w:ind w:left="6120" w:hanging="360"/>
      </w:pPr>
    </w:lvl>
    <w:lvl w:ilvl="5" w:tplc="DDA22A70" w:tentative="1">
      <w:start w:val="1"/>
      <w:numFmt w:val="lowerRoman"/>
      <w:lvlText w:val="%6."/>
      <w:lvlJc w:val="right"/>
      <w:pPr>
        <w:ind w:left="6840" w:hanging="180"/>
      </w:pPr>
    </w:lvl>
    <w:lvl w:ilvl="6" w:tplc="55F0489E" w:tentative="1">
      <w:start w:val="1"/>
      <w:numFmt w:val="decimal"/>
      <w:lvlText w:val="%7."/>
      <w:lvlJc w:val="left"/>
      <w:pPr>
        <w:ind w:left="7560" w:hanging="360"/>
      </w:pPr>
    </w:lvl>
    <w:lvl w:ilvl="7" w:tplc="34447436" w:tentative="1">
      <w:start w:val="1"/>
      <w:numFmt w:val="lowerLetter"/>
      <w:lvlText w:val="%8."/>
      <w:lvlJc w:val="left"/>
      <w:pPr>
        <w:ind w:left="8280" w:hanging="360"/>
      </w:pPr>
    </w:lvl>
    <w:lvl w:ilvl="8" w:tplc="A67A417A" w:tentative="1">
      <w:start w:val="1"/>
      <w:numFmt w:val="lowerRoman"/>
      <w:lvlText w:val="%9."/>
      <w:lvlJc w:val="right"/>
      <w:pPr>
        <w:ind w:left="9000" w:hanging="180"/>
      </w:pPr>
    </w:lvl>
  </w:abstractNum>
  <w:abstractNum w:abstractNumId="8" w15:restartNumberingAfterBreak="0">
    <w:nsid w:val="22D0428D"/>
    <w:multiLevelType w:val="hybridMultilevel"/>
    <w:tmpl w:val="A28C40B8"/>
    <w:lvl w:ilvl="0" w:tplc="BECC208C">
      <w:start w:val="1"/>
      <w:numFmt w:val="lowerRoman"/>
      <w:lvlText w:val="%1."/>
      <w:lvlJc w:val="right"/>
      <w:pPr>
        <w:ind w:left="1890" w:hanging="180"/>
      </w:pPr>
    </w:lvl>
    <w:lvl w:ilvl="1" w:tplc="DEBA44E0" w:tentative="1">
      <w:start w:val="1"/>
      <w:numFmt w:val="lowerLetter"/>
      <w:lvlText w:val="%2."/>
      <w:lvlJc w:val="left"/>
      <w:pPr>
        <w:ind w:left="1170" w:hanging="360"/>
      </w:pPr>
    </w:lvl>
    <w:lvl w:ilvl="2" w:tplc="B0FE8184" w:tentative="1">
      <w:start w:val="1"/>
      <w:numFmt w:val="lowerRoman"/>
      <w:lvlText w:val="%3."/>
      <w:lvlJc w:val="right"/>
      <w:pPr>
        <w:ind w:left="1890" w:hanging="180"/>
      </w:pPr>
    </w:lvl>
    <w:lvl w:ilvl="3" w:tplc="1C9E1A3E" w:tentative="1">
      <w:start w:val="1"/>
      <w:numFmt w:val="decimal"/>
      <w:lvlText w:val="%4."/>
      <w:lvlJc w:val="left"/>
      <w:pPr>
        <w:ind w:left="2610" w:hanging="360"/>
      </w:pPr>
    </w:lvl>
    <w:lvl w:ilvl="4" w:tplc="1E3C5472" w:tentative="1">
      <w:start w:val="1"/>
      <w:numFmt w:val="lowerLetter"/>
      <w:lvlText w:val="%5."/>
      <w:lvlJc w:val="left"/>
      <w:pPr>
        <w:ind w:left="3330" w:hanging="360"/>
      </w:pPr>
    </w:lvl>
    <w:lvl w:ilvl="5" w:tplc="3278A0F6" w:tentative="1">
      <w:start w:val="1"/>
      <w:numFmt w:val="lowerRoman"/>
      <w:lvlText w:val="%6."/>
      <w:lvlJc w:val="right"/>
      <w:pPr>
        <w:ind w:left="4050" w:hanging="180"/>
      </w:pPr>
    </w:lvl>
    <w:lvl w:ilvl="6" w:tplc="748489A0" w:tentative="1">
      <w:start w:val="1"/>
      <w:numFmt w:val="decimal"/>
      <w:lvlText w:val="%7."/>
      <w:lvlJc w:val="left"/>
      <w:pPr>
        <w:ind w:left="4770" w:hanging="360"/>
      </w:pPr>
    </w:lvl>
    <w:lvl w:ilvl="7" w:tplc="26C82B08" w:tentative="1">
      <w:start w:val="1"/>
      <w:numFmt w:val="lowerLetter"/>
      <w:lvlText w:val="%8."/>
      <w:lvlJc w:val="left"/>
      <w:pPr>
        <w:ind w:left="5490" w:hanging="360"/>
      </w:pPr>
    </w:lvl>
    <w:lvl w:ilvl="8" w:tplc="219A6144" w:tentative="1">
      <w:start w:val="1"/>
      <w:numFmt w:val="lowerRoman"/>
      <w:lvlText w:val="%9."/>
      <w:lvlJc w:val="right"/>
      <w:pPr>
        <w:ind w:left="6210" w:hanging="180"/>
      </w:pPr>
    </w:lvl>
  </w:abstractNum>
  <w:abstractNum w:abstractNumId="9" w15:restartNumberingAfterBreak="0">
    <w:nsid w:val="240A5F44"/>
    <w:multiLevelType w:val="hybridMultilevel"/>
    <w:tmpl w:val="87FAFC60"/>
    <w:lvl w:ilvl="0" w:tplc="E6E0AD94">
      <w:start w:val="1"/>
      <w:numFmt w:val="decimal"/>
      <w:lvlText w:val="%1."/>
      <w:lvlJc w:val="left"/>
      <w:pPr>
        <w:ind w:left="720" w:hanging="360"/>
      </w:pPr>
    </w:lvl>
    <w:lvl w:ilvl="1" w:tplc="89B2049E" w:tentative="1">
      <w:start w:val="1"/>
      <w:numFmt w:val="lowerLetter"/>
      <w:lvlText w:val="%2."/>
      <w:lvlJc w:val="left"/>
      <w:pPr>
        <w:ind w:left="1440" w:hanging="360"/>
      </w:pPr>
    </w:lvl>
    <w:lvl w:ilvl="2" w:tplc="84763A8E" w:tentative="1">
      <w:start w:val="1"/>
      <w:numFmt w:val="lowerRoman"/>
      <w:lvlText w:val="%3."/>
      <w:lvlJc w:val="right"/>
      <w:pPr>
        <w:ind w:left="2160" w:hanging="180"/>
      </w:pPr>
    </w:lvl>
    <w:lvl w:ilvl="3" w:tplc="BAFE3420" w:tentative="1">
      <w:start w:val="1"/>
      <w:numFmt w:val="decimal"/>
      <w:lvlText w:val="%4."/>
      <w:lvlJc w:val="left"/>
      <w:pPr>
        <w:ind w:left="2880" w:hanging="360"/>
      </w:pPr>
    </w:lvl>
    <w:lvl w:ilvl="4" w:tplc="310CFBE8" w:tentative="1">
      <w:start w:val="1"/>
      <w:numFmt w:val="lowerLetter"/>
      <w:lvlText w:val="%5."/>
      <w:lvlJc w:val="left"/>
      <w:pPr>
        <w:ind w:left="3600" w:hanging="360"/>
      </w:pPr>
    </w:lvl>
    <w:lvl w:ilvl="5" w:tplc="A94668F6" w:tentative="1">
      <w:start w:val="1"/>
      <w:numFmt w:val="lowerRoman"/>
      <w:lvlText w:val="%6."/>
      <w:lvlJc w:val="right"/>
      <w:pPr>
        <w:ind w:left="4320" w:hanging="180"/>
      </w:pPr>
    </w:lvl>
    <w:lvl w:ilvl="6" w:tplc="45C64764" w:tentative="1">
      <w:start w:val="1"/>
      <w:numFmt w:val="decimal"/>
      <w:lvlText w:val="%7."/>
      <w:lvlJc w:val="left"/>
      <w:pPr>
        <w:ind w:left="5040" w:hanging="360"/>
      </w:pPr>
    </w:lvl>
    <w:lvl w:ilvl="7" w:tplc="34CE37D2" w:tentative="1">
      <w:start w:val="1"/>
      <w:numFmt w:val="lowerLetter"/>
      <w:lvlText w:val="%8."/>
      <w:lvlJc w:val="left"/>
      <w:pPr>
        <w:ind w:left="5760" w:hanging="360"/>
      </w:pPr>
    </w:lvl>
    <w:lvl w:ilvl="8" w:tplc="E0802B28" w:tentative="1">
      <w:start w:val="1"/>
      <w:numFmt w:val="lowerRoman"/>
      <w:lvlText w:val="%9."/>
      <w:lvlJc w:val="right"/>
      <w:pPr>
        <w:ind w:left="6480" w:hanging="180"/>
      </w:pPr>
    </w:lvl>
  </w:abstractNum>
  <w:abstractNum w:abstractNumId="10" w15:restartNumberingAfterBreak="0">
    <w:nsid w:val="2452245C"/>
    <w:multiLevelType w:val="hybridMultilevel"/>
    <w:tmpl w:val="A8B00126"/>
    <w:lvl w:ilvl="0" w:tplc="4AC4D7A8">
      <w:start w:val="1"/>
      <w:numFmt w:val="decimal"/>
      <w:lvlText w:val="%1."/>
      <w:lvlJc w:val="left"/>
      <w:pPr>
        <w:ind w:left="2340" w:hanging="360"/>
      </w:pPr>
      <w:rPr>
        <w:rFonts w:hint="default"/>
      </w:rPr>
    </w:lvl>
    <w:lvl w:ilvl="1" w:tplc="F790D66A">
      <w:start w:val="1"/>
      <w:numFmt w:val="lowerLetter"/>
      <w:lvlText w:val="%2."/>
      <w:lvlJc w:val="left"/>
      <w:pPr>
        <w:ind w:left="1440" w:hanging="360"/>
      </w:pPr>
    </w:lvl>
    <w:lvl w:ilvl="2" w:tplc="54DC0A86">
      <w:start w:val="1"/>
      <w:numFmt w:val="lowerRoman"/>
      <w:lvlText w:val="%3."/>
      <w:lvlJc w:val="right"/>
      <w:pPr>
        <w:ind w:left="2160" w:hanging="180"/>
      </w:pPr>
    </w:lvl>
    <w:lvl w:ilvl="3" w:tplc="160E5594">
      <w:start w:val="1"/>
      <w:numFmt w:val="decimal"/>
      <w:lvlText w:val="%4."/>
      <w:lvlJc w:val="left"/>
      <w:pPr>
        <w:ind w:left="2880" w:hanging="360"/>
      </w:pPr>
    </w:lvl>
    <w:lvl w:ilvl="4" w:tplc="9A763470" w:tentative="1">
      <w:start w:val="1"/>
      <w:numFmt w:val="lowerLetter"/>
      <w:lvlText w:val="%5."/>
      <w:lvlJc w:val="left"/>
      <w:pPr>
        <w:ind w:left="3600" w:hanging="360"/>
      </w:pPr>
    </w:lvl>
    <w:lvl w:ilvl="5" w:tplc="FFFAA802" w:tentative="1">
      <w:start w:val="1"/>
      <w:numFmt w:val="lowerRoman"/>
      <w:lvlText w:val="%6."/>
      <w:lvlJc w:val="right"/>
      <w:pPr>
        <w:ind w:left="4320" w:hanging="180"/>
      </w:pPr>
    </w:lvl>
    <w:lvl w:ilvl="6" w:tplc="D2C43758" w:tentative="1">
      <w:start w:val="1"/>
      <w:numFmt w:val="decimal"/>
      <w:lvlText w:val="%7."/>
      <w:lvlJc w:val="left"/>
      <w:pPr>
        <w:ind w:left="5040" w:hanging="360"/>
      </w:pPr>
    </w:lvl>
    <w:lvl w:ilvl="7" w:tplc="A7747620" w:tentative="1">
      <w:start w:val="1"/>
      <w:numFmt w:val="lowerLetter"/>
      <w:lvlText w:val="%8."/>
      <w:lvlJc w:val="left"/>
      <w:pPr>
        <w:ind w:left="5760" w:hanging="360"/>
      </w:pPr>
    </w:lvl>
    <w:lvl w:ilvl="8" w:tplc="2AA0CA18" w:tentative="1">
      <w:start w:val="1"/>
      <w:numFmt w:val="lowerRoman"/>
      <w:lvlText w:val="%9."/>
      <w:lvlJc w:val="right"/>
      <w:pPr>
        <w:ind w:left="6480" w:hanging="180"/>
      </w:pPr>
    </w:lvl>
  </w:abstractNum>
  <w:abstractNum w:abstractNumId="1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28335EA7"/>
    <w:multiLevelType w:val="hybridMultilevel"/>
    <w:tmpl w:val="E2765868"/>
    <w:lvl w:ilvl="0" w:tplc="877C3FA6">
      <w:start w:val="1"/>
      <w:numFmt w:val="decimal"/>
      <w:lvlText w:val="%1."/>
      <w:lvlJc w:val="left"/>
      <w:pPr>
        <w:ind w:left="3060" w:hanging="360"/>
      </w:pPr>
      <w:rPr>
        <w:rFonts w:hint="default"/>
      </w:rPr>
    </w:lvl>
    <w:lvl w:ilvl="1" w:tplc="181896AE">
      <w:start w:val="1"/>
      <w:numFmt w:val="lowerLetter"/>
      <w:lvlText w:val="%2."/>
      <w:lvlJc w:val="left"/>
      <w:pPr>
        <w:ind w:left="2160" w:hanging="360"/>
      </w:pPr>
    </w:lvl>
    <w:lvl w:ilvl="2" w:tplc="046AA6E8" w:tentative="1">
      <w:start w:val="1"/>
      <w:numFmt w:val="lowerRoman"/>
      <w:lvlText w:val="%3."/>
      <w:lvlJc w:val="right"/>
      <w:pPr>
        <w:ind w:left="2880" w:hanging="180"/>
      </w:pPr>
    </w:lvl>
    <w:lvl w:ilvl="3" w:tplc="96023D8A" w:tentative="1">
      <w:start w:val="1"/>
      <w:numFmt w:val="decimal"/>
      <w:lvlText w:val="%4."/>
      <w:lvlJc w:val="left"/>
      <w:pPr>
        <w:ind w:left="3600" w:hanging="360"/>
      </w:pPr>
    </w:lvl>
    <w:lvl w:ilvl="4" w:tplc="3B129A8A" w:tentative="1">
      <w:start w:val="1"/>
      <w:numFmt w:val="lowerLetter"/>
      <w:lvlText w:val="%5."/>
      <w:lvlJc w:val="left"/>
      <w:pPr>
        <w:ind w:left="4320" w:hanging="360"/>
      </w:pPr>
    </w:lvl>
    <w:lvl w:ilvl="5" w:tplc="3B6025E0" w:tentative="1">
      <w:start w:val="1"/>
      <w:numFmt w:val="lowerRoman"/>
      <w:lvlText w:val="%6."/>
      <w:lvlJc w:val="right"/>
      <w:pPr>
        <w:ind w:left="5040" w:hanging="180"/>
      </w:pPr>
    </w:lvl>
    <w:lvl w:ilvl="6" w:tplc="64F69F52" w:tentative="1">
      <w:start w:val="1"/>
      <w:numFmt w:val="decimal"/>
      <w:lvlText w:val="%7."/>
      <w:lvlJc w:val="left"/>
      <w:pPr>
        <w:ind w:left="5760" w:hanging="360"/>
      </w:pPr>
    </w:lvl>
    <w:lvl w:ilvl="7" w:tplc="75D6F50C" w:tentative="1">
      <w:start w:val="1"/>
      <w:numFmt w:val="lowerLetter"/>
      <w:lvlText w:val="%8."/>
      <w:lvlJc w:val="left"/>
      <w:pPr>
        <w:ind w:left="6480" w:hanging="360"/>
      </w:pPr>
    </w:lvl>
    <w:lvl w:ilvl="8" w:tplc="65804D4A" w:tentative="1">
      <w:start w:val="1"/>
      <w:numFmt w:val="lowerRoman"/>
      <w:lvlText w:val="%9."/>
      <w:lvlJc w:val="right"/>
      <w:pPr>
        <w:ind w:left="7200" w:hanging="180"/>
      </w:p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1373D0"/>
    <w:multiLevelType w:val="hybridMultilevel"/>
    <w:tmpl w:val="64823644"/>
    <w:lvl w:ilvl="0" w:tplc="9EAA50BE">
      <w:start w:val="1"/>
      <w:numFmt w:val="bullet"/>
      <w:lvlText w:val=""/>
      <w:lvlJc w:val="left"/>
      <w:pPr>
        <w:ind w:left="720" w:hanging="360"/>
      </w:pPr>
      <w:rPr>
        <w:rFonts w:ascii="Symbol" w:hAnsi="Symbol" w:hint="default"/>
      </w:rPr>
    </w:lvl>
    <w:lvl w:ilvl="1" w:tplc="1BD87C88" w:tentative="1">
      <w:start w:val="1"/>
      <w:numFmt w:val="bullet"/>
      <w:lvlText w:val="o"/>
      <w:lvlJc w:val="left"/>
      <w:pPr>
        <w:ind w:left="1440" w:hanging="360"/>
      </w:pPr>
      <w:rPr>
        <w:rFonts w:ascii="Courier New" w:hAnsi="Courier New" w:cs="Courier New" w:hint="default"/>
      </w:rPr>
    </w:lvl>
    <w:lvl w:ilvl="2" w:tplc="D85A8A3A" w:tentative="1">
      <w:start w:val="1"/>
      <w:numFmt w:val="bullet"/>
      <w:lvlText w:val=""/>
      <w:lvlJc w:val="left"/>
      <w:pPr>
        <w:ind w:left="2160" w:hanging="360"/>
      </w:pPr>
      <w:rPr>
        <w:rFonts w:ascii="Wingdings" w:hAnsi="Wingdings" w:hint="default"/>
      </w:rPr>
    </w:lvl>
    <w:lvl w:ilvl="3" w:tplc="6F7C89DC" w:tentative="1">
      <w:start w:val="1"/>
      <w:numFmt w:val="bullet"/>
      <w:lvlText w:val=""/>
      <w:lvlJc w:val="left"/>
      <w:pPr>
        <w:ind w:left="2880" w:hanging="360"/>
      </w:pPr>
      <w:rPr>
        <w:rFonts w:ascii="Symbol" w:hAnsi="Symbol" w:hint="default"/>
      </w:rPr>
    </w:lvl>
    <w:lvl w:ilvl="4" w:tplc="1D9C6B22" w:tentative="1">
      <w:start w:val="1"/>
      <w:numFmt w:val="bullet"/>
      <w:lvlText w:val="o"/>
      <w:lvlJc w:val="left"/>
      <w:pPr>
        <w:ind w:left="3600" w:hanging="360"/>
      </w:pPr>
      <w:rPr>
        <w:rFonts w:ascii="Courier New" w:hAnsi="Courier New" w:cs="Courier New" w:hint="default"/>
      </w:rPr>
    </w:lvl>
    <w:lvl w:ilvl="5" w:tplc="8EA83A5E" w:tentative="1">
      <w:start w:val="1"/>
      <w:numFmt w:val="bullet"/>
      <w:lvlText w:val=""/>
      <w:lvlJc w:val="left"/>
      <w:pPr>
        <w:ind w:left="4320" w:hanging="360"/>
      </w:pPr>
      <w:rPr>
        <w:rFonts w:ascii="Wingdings" w:hAnsi="Wingdings" w:hint="default"/>
      </w:rPr>
    </w:lvl>
    <w:lvl w:ilvl="6" w:tplc="9C82BF3E" w:tentative="1">
      <w:start w:val="1"/>
      <w:numFmt w:val="bullet"/>
      <w:lvlText w:val=""/>
      <w:lvlJc w:val="left"/>
      <w:pPr>
        <w:ind w:left="5040" w:hanging="360"/>
      </w:pPr>
      <w:rPr>
        <w:rFonts w:ascii="Symbol" w:hAnsi="Symbol" w:hint="default"/>
      </w:rPr>
    </w:lvl>
    <w:lvl w:ilvl="7" w:tplc="3FF4D0FC" w:tentative="1">
      <w:start w:val="1"/>
      <w:numFmt w:val="bullet"/>
      <w:lvlText w:val="o"/>
      <w:lvlJc w:val="left"/>
      <w:pPr>
        <w:ind w:left="5760" w:hanging="360"/>
      </w:pPr>
      <w:rPr>
        <w:rFonts w:ascii="Courier New" w:hAnsi="Courier New" w:cs="Courier New" w:hint="default"/>
      </w:rPr>
    </w:lvl>
    <w:lvl w:ilvl="8" w:tplc="D006F778" w:tentative="1">
      <w:start w:val="1"/>
      <w:numFmt w:val="bullet"/>
      <w:lvlText w:val=""/>
      <w:lvlJc w:val="left"/>
      <w:pPr>
        <w:ind w:left="6480" w:hanging="360"/>
      </w:pPr>
      <w:rPr>
        <w:rFonts w:ascii="Wingdings" w:hAnsi="Wingding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21170BC"/>
    <w:multiLevelType w:val="hybridMultilevel"/>
    <w:tmpl w:val="6E18FDD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2E07ABC"/>
    <w:multiLevelType w:val="hybridMultilevel"/>
    <w:tmpl w:val="DF8229D0"/>
    <w:lvl w:ilvl="0" w:tplc="C20854CE">
      <w:start w:val="1"/>
      <w:numFmt w:val="decimal"/>
      <w:lvlText w:val="%1."/>
      <w:lvlJc w:val="left"/>
      <w:pPr>
        <w:ind w:left="720" w:hanging="360"/>
      </w:pPr>
    </w:lvl>
    <w:lvl w:ilvl="1" w:tplc="CCC2CC16" w:tentative="1">
      <w:start w:val="1"/>
      <w:numFmt w:val="lowerLetter"/>
      <w:lvlText w:val="%2."/>
      <w:lvlJc w:val="left"/>
      <w:pPr>
        <w:ind w:left="1440" w:hanging="360"/>
      </w:pPr>
    </w:lvl>
    <w:lvl w:ilvl="2" w:tplc="F4F62674" w:tentative="1">
      <w:start w:val="1"/>
      <w:numFmt w:val="lowerRoman"/>
      <w:lvlText w:val="%3."/>
      <w:lvlJc w:val="right"/>
      <w:pPr>
        <w:ind w:left="2160" w:hanging="180"/>
      </w:pPr>
    </w:lvl>
    <w:lvl w:ilvl="3" w:tplc="AB3A4538" w:tentative="1">
      <w:start w:val="1"/>
      <w:numFmt w:val="decimal"/>
      <w:lvlText w:val="%4."/>
      <w:lvlJc w:val="left"/>
      <w:pPr>
        <w:ind w:left="2880" w:hanging="360"/>
      </w:pPr>
    </w:lvl>
    <w:lvl w:ilvl="4" w:tplc="CA943958" w:tentative="1">
      <w:start w:val="1"/>
      <w:numFmt w:val="lowerLetter"/>
      <w:lvlText w:val="%5."/>
      <w:lvlJc w:val="left"/>
      <w:pPr>
        <w:ind w:left="3600" w:hanging="360"/>
      </w:pPr>
    </w:lvl>
    <w:lvl w:ilvl="5" w:tplc="3B9424F0" w:tentative="1">
      <w:start w:val="1"/>
      <w:numFmt w:val="lowerRoman"/>
      <w:lvlText w:val="%6."/>
      <w:lvlJc w:val="right"/>
      <w:pPr>
        <w:ind w:left="4320" w:hanging="180"/>
      </w:pPr>
    </w:lvl>
    <w:lvl w:ilvl="6" w:tplc="4CCEE2A4" w:tentative="1">
      <w:start w:val="1"/>
      <w:numFmt w:val="decimal"/>
      <w:lvlText w:val="%7."/>
      <w:lvlJc w:val="left"/>
      <w:pPr>
        <w:ind w:left="5040" w:hanging="360"/>
      </w:pPr>
    </w:lvl>
    <w:lvl w:ilvl="7" w:tplc="4D5C4B3E" w:tentative="1">
      <w:start w:val="1"/>
      <w:numFmt w:val="lowerLetter"/>
      <w:lvlText w:val="%8."/>
      <w:lvlJc w:val="left"/>
      <w:pPr>
        <w:ind w:left="5760" w:hanging="360"/>
      </w:pPr>
    </w:lvl>
    <w:lvl w:ilvl="8" w:tplc="098EDE66" w:tentative="1">
      <w:start w:val="1"/>
      <w:numFmt w:val="lowerRoman"/>
      <w:lvlText w:val="%9."/>
      <w:lvlJc w:val="right"/>
      <w:pPr>
        <w:ind w:left="6480" w:hanging="180"/>
      </w:pPr>
    </w:lvl>
  </w:abstractNum>
  <w:abstractNum w:abstractNumId="1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3EB0384"/>
    <w:multiLevelType w:val="hybridMultilevel"/>
    <w:tmpl w:val="10387FBE"/>
    <w:lvl w:ilvl="0" w:tplc="16F039D0">
      <w:start w:val="1"/>
      <w:numFmt w:val="lowerRoman"/>
      <w:lvlText w:val="%1."/>
      <w:lvlJc w:val="right"/>
      <w:pPr>
        <w:ind w:left="1890" w:hanging="180"/>
      </w:pPr>
    </w:lvl>
    <w:lvl w:ilvl="1" w:tplc="5F189D3E" w:tentative="1">
      <w:start w:val="1"/>
      <w:numFmt w:val="lowerLetter"/>
      <w:lvlText w:val="%2."/>
      <w:lvlJc w:val="left"/>
      <w:pPr>
        <w:ind w:left="1170" w:hanging="360"/>
      </w:pPr>
    </w:lvl>
    <w:lvl w:ilvl="2" w:tplc="D38A0364" w:tentative="1">
      <w:start w:val="1"/>
      <w:numFmt w:val="lowerRoman"/>
      <w:lvlText w:val="%3."/>
      <w:lvlJc w:val="right"/>
      <w:pPr>
        <w:ind w:left="1890" w:hanging="180"/>
      </w:pPr>
    </w:lvl>
    <w:lvl w:ilvl="3" w:tplc="845C21E0" w:tentative="1">
      <w:start w:val="1"/>
      <w:numFmt w:val="decimal"/>
      <w:lvlText w:val="%4."/>
      <w:lvlJc w:val="left"/>
      <w:pPr>
        <w:ind w:left="2610" w:hanging="360"/>
      </w:pPr>
    </w:lvl>
    <w:lvl w:ilvl="4" w:tplc="F560F200" w:tentative="1">
      <w:start w:val="1"/>
      <w:numFmt w:val="lowerLetter"/>
      <w:lvlText w:val="%5."/>
      <w:lvlJc w:val="left"/>
      <w:pPr>
        <w:ind w:left="3330" w:hanging="360"/>
      </w:pPr>
    </w:lvl>
    <w:lvl w:ilvl="5" w:tplc="803886BC" w:tentative="1">
      <w:start w:val="1"/>
      <w:numFmt w:val="lowerRoman"/>
      <w:lvlText w:val="%6."/>
      <w:lvlJc w:val="right"/>
      <w:pPr>
        <w:ind w:left="4050" w:hanging="180"/>
      </w:pPr>
    </w:lvl>
    <w:lvl w:ilvl="6" w:tplc="83FCC988" w:tentative="1">
      <w:start w:val="1"/>
      <w:numFmt w:val="decimal"/>
      <w:lvlText w:val="%7."/>
      <w:lvlJc w:val="left"/>
      <w:pPr>
        <w:ind w:left="4770" w:hanging="360"/>
      </w:pPr>
    </w:lvl>
    <w:lvl w:ilvl="7" w:tplc="17D47240" w:tentative="1">
      <w:start w:val="1"/>
      <w:numFmt w:val="lowerLetter"/>
      <w:lvlText w:val="%8."/>
      <w:lvlJc w:val="left"/>
      <w:pPr>
        <w:ind w:left="5490" w:hanging="360"/>
      </w:pPr>
    </w:lvl>
    <w:lvl w:ilvl="8" w:tplc="98B036AE" w:tentative="1">
      <w:start w:val="1"/>
      <w:numFmt w:val="lowerRoman"/>
      <w:lvlText w:val="%9."/>
      <w:lvlJc w:val="right"/>
      <w:pPr>
        <w:ind w:left="6210" w:hanging="180"/>
      </w:pPr>
    </w:lvl>
  </w:abstractNum>
  <w:abstractNum w:abstractNumId="20" w15:restartNumberingAfterBreak="0">
    <w:nsid w:val="344E47F5"/>
    <w:multiLevelType w:val="hybridMultilevel"/>
    <w:tmpl w:val="F5E01642"/>
    <w:lvl w:ilvl="0" w:tplc="29E81F44">
      <w:start w:val="1"/>
      <w:numFmt w:val="decimal"/>
      <w:lvlText w:val="%1."/>
      <w:lvlJc w:val="left"/>
      <w:pPr>
        <w:ind w:left="1800" w:hanging="360"/>
      </w:pPr>
      <w:rPr>
        <w:rFonts w:hint="default"/>
      </w:rPr>
    </w:lvl>
    <w:lvl w:ilvl="1" w:tplc="DC0C3CA0" w:tentative="1">
      <w:start w:val="1"/>
      <w:numFmt w:val="lowerLetter"/>
      <w:lvlText w:val="%2."/>
      <w:lvlJc w:val="left"/>
      <w:pPr>
        <w:ind w:left="1440" w:hanging="360"/>
      </w:pPr>
    </w:lvl>
    <w:lvl w:ilvl="2" w:tplc="2A881226" w:tentative="1">
      <w:start w:val="1"/>
      <w:numFmt w:val="lowerRoman"/>
      <w:lvlText w:val="%3."/>
      <w:lvlJc w:val="right"/>
      <w:pPr>
        <w:ind w:left="2160" w:hanging="180"/>
      </w:pPr>
    </w:lvl>
    <w:lvl w:ilvl="3" w:tplc="A10A7C7E" w:tentative="1">
      <w:start w:val="1"/>
      <w:numFmt w:val="decimal"/>
      <w:lvlText w:val="%4."/>
      <w:lvlJc w:val="left"/>
      <w:pPr>
        <w:ind w:left="2880" w:hanging="360"/>
      </w:pPr>
    </w:lvl>
    <w:lvl w:ilvl="4" w:tplc="726AEA1C" w:tentative="1">
      <w:start w:val="1"/>
      <w:numFmt w:val="lowerLetter"/>
      <w:lvlText w:val="%5."/>
      <w:lvlJc w:val="left"/>
      <w:pPr>
        <w:ind w:left="3600" w:hanging="360"/>
      </w:pPr>
    </w:lvl>
    <w:lvl w:ilvl="5" w:tplc="E54ADCB0" w:tentative="1">
      <w:start w:val="1"/>
      <w:numFmt w:val="lowerRoman"/>
      <w:lvlText w:val="%6."/>
      <w:lvlJc w:val="right"/>
      <w:pPr>
        <w:ind w:left="4320" w:hanging="180"/>
      </w:pPr>
    </w:lvl>
    <w:lvl w:ilvl="6" w:tplc="F2124BAC" w:tentative="1">
      <w:start w:val="1"/>
      <w:numFmt w:val="decimal"/>
      <w:lvlText w:val="%7."/>
      <w:lvlJc w:val="left"/>
      <w:pPr>
        <w:ind w:left="5040" w:hanging="360"/>
      </w:pPr>
    </w:lvl>
    <w:lvl w:ilvl="7" w:tplc="6AF80304" w:tentative="1">
      <w:start w:val="1"/>
      <w:numFmt w:val="lowerLetter"/>
      <w:lvlText w:val="%8."/>
      <w:lvlJc w:val="left"/>
      <w:pPr>
        <w:ind w:left="5760" w:hanging="360"/>
      </w:pPr>
    </w:lvl>
    <w:lvl w:ilvl="8" w:tplc="F6E2E286" w:tentative="1">
      <w:start w:val="1"/>
      <w:numFmt w:val="lowerRoman"/>
      <w:lvlText w:val="%9."/>
      <w:lvlJc w:val="right"/>
      <w:pPr>
        <w:ind w:left="6480" w:hanging="180"/>
      </w:pPr>
    </w:lvl>
  </w:abstractNum>
  <w:abstractNum w:abstractNumId="2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2" w15:restartNumberingAfterBreak="0">
    <w:nsid w:val="359C5C0C"/>
    <w:multiLevelType w:val="hybridMultilevel"/>
    <w:tmpl w:val="F33E2874"/>
    <w:lvl w:ilvl="0" w:tplc="9ABC851A">
      <w:start w:val="1"/>
      <w:numFmt w:val="decimal"/>
      <w:lvlText w:val="%1."/>
      <w:lvlJc w:val="left"/>
      <w:pPr>
        <w:ind w:left="2070" w:hanging="360"/>
      </w:pPr>
      <w:rPr>
        <w:rFonts w:hint="default"/>
      </w:rPr>
    </w:lvl>
    <w:lvl w:ilvl="1" w:tplc="DEC23698" w:tentative="1">
      <w:start w:val="1"/>
      <w:numFmt w:val="lowerLetter"/>
      <w:lvlText w:val="%2."/>
      <w:lvlJc w:val="left"/>
      <w:pPr>
        <w:ind w:left="1440" w:hanging="360"/>
      </w:pPr>
    </w:lvl>
    <w:lvl w:ilvl="2" w:tplc="EB466620" w:tentative="1">
      <w:start w:val="1"/>
      <w:numFmt w:val="lowerRoman"/>
      <w:lvlText w:val="%3."/>
      <w:lvlJc w:val="right"/>
      <w:pPr>
        <w:ind w:left="2160" w:hanging="180"/>
      </w:pPr>
    </w:lvl>
    <w:lvl w:ilvl="3" w:tplc="547C78B6" w:tentative="1">
      <w:start w:val="1"/>
      <w:numFmt w:val="decimal"/>
      <w:lvlText w:val="%4."/>
      <w:lvlJc w:val="left"/>
      <w:pPr>
        <w:ind w:left="2880" w:hanging="360"/>
      </w:pPr>
    </w:lvl>
    <w:lvl w:ilvl="4" w:tplc="4962CA58" w:tentative="1">
      <w:start w:val="1"/>
      <w:numFmt w:val="lowerLetter"/>
      <w:lvlText w:val="%5."/>
      <w:lvlJc w:val="left"/>
      <w:pPr>
        <w:ind w:left="3600" w:hanging="360"/>
      </w:pPr>
    </w:lvl>
    <w:lvl w:ilvl="5" w:tplc="2CD08AB0" w:tentative="1">
      <w:start w:val="1"/>
      <w:numFmt w:val="lowerRoman"/>
      <w:lvlText w:val="%6."/>
      <w:lvlJc w:val="right"/>
      <w:pPr>
        <w:ind w:left="4320" w:hanging="180"/>
      </w:pPr>
    </w:lvl>
    <w:lvl w:ilvl="6" w:tplc="FC562EB2" w:tentative="1">
      <w:start w:val="1"/>
      <w:numFmt w:val="decimal"/>
      <w:lvlText w:val="%7."/>
      <w:lvlJc w:val="left"/>
      <w:pPr>
        <w:ind w:left="5040" w:hanging="360"/>
      </w:pPr>
    </w:lvl>
    <w:lvl w:ilvl="7" w:tplc="C87A81C6" w:tentative="1">
      <w:start w:val="1"/>
      <w:numFmt w:val="lowerLetter"/>
      <w:lvlText w:val="%8."/>
      <w:lvlJc w:val="left"/>
      <w:pPr>
        <w:ind w:left="5760" w:hanging="360"/>
      </w:pPr>
    </w:lvl>
    <w:lvl w:ilvl="8" w:tplc="2AC63748" w:tentative="1">
      <w:start w:val="1"/>
      <w:numFmt w:val="lowerRoman"/>
      <w:lvlText w:val="%9."/>
      <w:lvlJc w:val="right"/>
      <w:pPr>
        <w:ind w:left="6480" w:hanging="180"/>
      </w:pPr>
    </w:lvl>
  </w:abstractNum>
  <w:abstractNum w:abstractNumId="2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7C421C8"/>
    <w:multiLevelType w:val="hybridMultilevel"/>
    <w:tmpl w:val="6690F9E8"/>
    <w:lvl w:ilvl="0" w:tplc="46AA5898">
      <w:start w:val="1"/>
      <w:numFmt w:val="decimal"/>
      <w:lvlText w:val="%1."/>
      <w:lvlJc w:val="left"/>
      <w:pPr>
        <w:ind w:left="3060" w:hanging="360"/>
      </w:pPr>
      <w:rPr>
        <w:rFonts w:hint="default"/>
      </w:rPr>
    </w:lvl>
    <w:lvl w:ilvl="1" w:tplc="15AE2BAE">
      <w:start w:val="1"/>
      <w:numFmt w:val="lowerLetter"/>
      <w:lvlText w:val="%2."/>
      <w:lvlJc w:val="left"/>
      <w:pPr>
        <w:ind w:left="2160" w:hanging="360"/>
      </w:pPr>
    </w:lvl>
    <w:lvl w:ilvl="2" w:tplc="1D9C5A28" w:tentative="1">
      <w:start w:val="1"/>
      <w:numFmt w:val="lowerRoman"/>
      <w:lvlText w:val="%3."/>
      <w:lvlJc w:val="right"/>
      <w:pPr>
        <w:ind w:left="2880" w:hanging="180"/>
      </w:pPr>
    </w:lvl>
    <w:lvl w:ilvl="3" w:tplc="2E50406A" w:tentative="1">
      <w:start w:val="1"/>
      <w:numFmt w:val="decimal"/>
      <w:lvlText w:val="%4."/>
      <w:lvlJc w:val="left"/>
      <w:pPr>
        <w:ind w:left="3600" w:hanging="360"/>
      </w:pPr>
    </w:lvl>
    <w:lvl w:ilvl="4" w:tplc="93882E32" w:tentative="1">
      <w:start w:val="1"/>
      <w:numFmt w:val="lowerLetter"/>
      <w:lvlText w:val="%5."/>
      <w:lvlJc w:val="left"/>
      <w:pPr>
        <w:ind w:left="4320" w:hanging="360"/>
      </w:pPr>
    </w:lvl>
    <w:lvl w:ilvl="5" w:tplc="B3C8A792" w:tentative="1">
      <w:start w:val="1"/>
      <w:numFmt w:val="lowerRoman"/>
      <w:lvlText w:val="%6."/>
      <w:lvlJc w:val="right"/>
      <w:pPr>
        <w:ind w:left="5040" w:hanging="180"/>
      </w:pPr>
    </w:lvl>
    <w:lvl w:ilvl="6" w:tplc="1396A94E" w:tentative="1">
      <w:start w:val="1"/>
      <w:numFmt w:val="decimal"/>
      <w:lvlText w:val="%7."/>
      <w:lvlJc w:val="left"/>
      <w:pPr>
        <w:ind w:left="5760" w:hanging="360"/>
      </w:pPr>
    </w:lvl>
    <w:lvl w:ilvl="7" w:tplc="9EEA18C8" w:tentative="1">
      <w:start w:val="1"/>
      <w:numFmt w:val="lowerLetter"/>
      <w:lvlText w:val="%8."/>
      <w:lvlJc w:val="left"/>
      <w:pPr>
        <w:ind w:left="6480" w:hanging="360"/>
      </w:pPr>
    </w:lvl>
    <w:lvl w:ilvl="8" w:tplc="37C01380" w:tentative="1">
      <w:start w:val="1"/>
      <w:numFmt w:val="lowerRoman"/>
      <w:lvlText w:val="%9."/>
      <w:lvlJc w:val="right"/>
      <w:pPr>
        <w:ind w:left="7200" w:hanging="180"/>
      </w:pPr>
    </w:lvl>
  </w:abstractNum>
  <w:abstractNum w:abstractNumId="25" w15:restartNumberingAfterBreak="0">
    <w:nsid w:val="39AD6CCA"/>
    <w:multiLevelType w:val="hybridMultilevel"/>
    <w:tmpl w:val="5CD0139C"/>
    <w:lvl w:ilvl="0" w:tplc="EB7A448C">
      <w:start w:val="1"/>
      <w:numFmt w:val="decimal"/>
      <w:lvlText w:val="%1."/>
      <w:lvlJc w:val="left"/>
      <w:pPr>
        <w:ind w:left="1800" w:hanging="360"/>
      </w:pPr>
      <w:rPr>
        <w:rFonts w:hint="default"/>
        <w:b w:val="0"/>
        <w:bCs w:val="0"/>
      </w:rPr>
    </w:lvl>
    <w:lvl w:ilvl="1" w:tplc="01FA0F76" w:tentative="1">
      <w:start w:val="1"/>
      <w:numFmt w:val="lowerLetter"/>
      <w:lvlText w:val="%2."/>
      <w:lvlJc w:val="left"/>
      <w:pPr>
        <w:ind w:left="1440" w:hanging="360"/>
      </w:pPr>
    </w:lvl>
    <w:lvl w:ilvl="2" w:tplc="9C5E2F5E" w:tentative="1">
      <w:start w:val="1"/>
      <w:numFmt w:val="lowerRoman"/>
      <w:lvlText w:val="%3."/>
      <w:lvlJc w:val="right"/>
      <w:pPr>
        <w:ind w:left="2160" w:hanging="180"/>
      </w:pPr>
    </w:lvl>
    <w:lvl w:ilvl="3" w:tplc="9ED6E54A" w:tentative="1">
      <w:start w:val="1"/>
      <w:numFmt w:val="decimal"/>
      <w:lvlText w:val="%4."/>
      <w:lvlJc w:val="left"/>
      <w:pPr>
        <w:ind w:left="2880" w:hanging="360"/>
      </w:pPr>
    </w:lvl>
    <w:lvl w:ilvl="4" w:tplc="E6AACD40" w:tentative="1">
      <w:start w:val="1"/>
      <w:numFmt w:val="lowerLetter"/>
      <w:lvlText w:val="%5."/>
      <w:lvlJc w:val="left"/>
      <w:pPr>
        <w:ind w:left="3600" w:hanging="360"/>
      </w:pPr>
    </w:lvl>
    <w:lvl w:ilvl="5" w:tplc="B1DE0352" w:tentative="1">
      <w:start w:val="1"/>
      <w:numFmt w:val="lowerRoman"/>
      <w:lvlText w:val="%6."/>
      <w:lvlJc w:val="right"/>
      <w:pPr>
        <w:ind w:left="4320" w:hanging="180"/>
      </w:pPr>
    </w:lvl>
    <w:lvl w:ilvl="6" w:tplc="A07E9C2E" w:tentative="1">
      <w:start w:val="1"/>
      <w:numFmt w:val="decimal"/>
      <w:lvlText w:val="%7."/>
      <w:lvlJc w:val="left"/>
      <w:pPr>
        <w:ind w:left="5040" w:hanging="360"/>
      </w:pPr>
    </w:lvl>
    <w:lvl w:ilvl="7" w:tplc="08A62498" w:tentative="1">
      <w:start w:val="1"/>
      <w:numFmt w:val="lowerLetter"/>
      <w:lvlText w:val="%8."/>
      <w:lvlJc w:val="left"/>
      <w:pPr>
        <w:ind w:left="5760" w:hanging="360"/>
      </w:pPr>
    </w:lvl>
    <w:lvl w:ilvl="8" w:tplc="1E1427B2" w:tentative="1">
      <w:start w:val="1"/>
      <w:numFmt w:val="lowerRoman"/>
      <w:lvlText w:val="%9."/>
      <w:lvlJc w:val="right"/>
      <w:pPr>
        <w:ind w:left="6480" w:hanging="180"/>
      </w:pPr>
    </w:lvl>
  </w:abstractNum>
  <w:abstractNum w:abstractNumId="26" w15:restartNumberingAfterBreak="0">
    <w:nsid w:val="3AA2106D"/>
    <w:multiLevelType w:val="hybridMultilevel"/>
    <w:tmpl w:val="766C8DF2"/>
    <w:lvl w:ilvl="0" w:tplc="261EDAF4">
      <w:start w:val="1"/>
      <w:numFmt w:val="decimal"/>
      <w:lvlText w:val="%1."/>
      <w:lvlJc w:val="left"/>
      <w:pPr>
        <w:ind w:left="1080" w:hanging="360"/>
      </w:pPr>
      <w:rPr>
        <w:rFonts w:hint="default"/>
      </w:rPr>
    </w:lvl>
    <w:lvl w:ilvl="1" w:tplc="70BEB7F6">
      <w:start w:val="1"/>
      <w:numFmt w:val="decimal"/>
      <w:lvlText w:val="%2."/>
      <w:lvlJc w:val="left"/>
      <w:pPr>
        <w:ind w:left="1800" w:hanging="360"/>
      </w:pPr>
      <w:rPr>
        <w:rFonts w:hint="default"/>
        <w:sz w:val="24"/>
        <w:szCs w:val="24"/>
      </w:rPr>
    </w:lvl>
    <w:lvl w:ilvl="2" w:tplc="FDD808C8" w:tentative="1">
      <w:start w:val="1"/>
      <w:numFmt w:val="lowerRoman"/>
      <w:lvlText w:val="%3."/>
      <w:lvlJc w:val="right"/>
      <w:pPr>
        <w:ind w:left="2520" w:hanging="180"/>
      </w:pPr>
    </w:lvl>
    <w:lvl w:ilvl="3" w:tplc="2F145FCC" w:tentative="1">
      <w:start w:val="1"/>
      <w:numFmt w:val="decimal"/>
      <w:lvlText w:val="%4."/>
      <w:lvlJc w:val="left"/>
      <w:pPr>
        <w:ind w:left="3240" w:hanging="360"/>
      </w:pPr>
    </w:lvl>
    <w:lvl w:ilvl="4" w:tplc="AFE2F116" w:tentative="1">
      <w:start w:val="1"/>
      <w:numFmt w:val="lowerLetter"/>
      <w:lvlText w:val="%5."/>
      <w:lvlJc w:val="left"/>
      <w:pPr>
        <w:ind w:left="3960" w:hanging="360"/>
      </w:pPr>
    </w:lvl>
    <w:lvl w:ilvl="5" w:tplc="9744B008" w:tentative="1">
      <w:start w:val="1"/>
      <w:numFmt w:val="lowerRoman"/>
      <w:lvlText w:val="%6."/>
      <w:lvlJc w:val="right"/>
      <w:pPr>
        <w:ind w:left="4680" w:hanging="180"/>
      </w:pPr>
    </w:lvl>
    <w:lvl w:ilvl="6" w:tplc="953CC35E" w:tentative="1">
      <w:start w:val="1"/>
      <w:numFmt w:val="decimal"/>
      <w:lvlText w:val="%7."/>
      <w:lvlJc w:val="left"/>
      <w:pPr>
        <w:ind w:left="5400" w:hanging="360"/>
      </w:pPr>
    </w:lvl>
    <w:lvl w:ilvl="7" w:tplc="875AFA2E" w:tentative="1">
      <w:start w:val="1"/>
      <w:numFmt w:val="lowerLetter"/>
      <w:lvlText w:val="%8."/>
      <w:lvlJc w:val="left"/>
      <w:pPr>
        <w:ind w:left="6120" w:hanging="360"/>
      </w:pPr>
    </w:lvl>
    <w:lvl w:ilvl="8" w:tplc="6F56C912" w:tentative="1">
      <w:start w:val="1"/>
      <w:numFmt w:val="lowerRoman"/>
      <w:lvlText w:val="%9."/>
      <w:lvlJc w:val="right"/>
      <w:pPr>
        <w:ind w:left="6840" w:hanging="180"/>
      </w:pPr>
    </w:lvl>
  </w:abstractNum>
  <w:abstractNum w:abstractNumId="27" w15:restartNumberingAfterBreak="0">
    <w:nsid w:val="3F9C01F2"/>
    <w:multiLevelType w:val="hybridMultilevel"/>
    <w:tmpl w:val="AF164A96"/>
    <w:lvl w:ilvl="0" w:tplc="F2AC4D14">
      <w:start w:val="1"/>
      <w:numFmt w:val="decimal"/>
      <w:lvlText w:val="%1."/>
      <w:lvlJc w:val="left"/>
      <w:pPr>
        <w:ind w:left="1440" w:hanging="360"/>
      </w:pPr>
      <w:rPr>
        <w:rFonts w:hint="default"/>
      </w:rPr>
    </w:lvl>
    <w:lvl w:ilvl="1" w:tplc="583C7F6A" w:tentative="1">
      <w:start w:val="1"/>
      <w:numFmt w:val="lowerLetter"/>
      <w:lvlText w:val="%2."/>
      <w:lvlJc w:val="left"/>
      <w:pPr>
        <w:ind w:left="1440" w:hanging="360"/>
      </w:pPr>
    </w:lvl>
    <w:lvl w:ilvl="2" w:tplc="A51A6A80" w:tentative="1">
      <w:start w:val="1"/>
      <w:numFmt w:val="lowerRoman"/>
      <w:lvlText w:val="%3."/>
      <w:lvlJc w:val="right"/>
      <w:pPr>
        <w:ind w:left="2160" w:hanging="180"/>
      </w:pPr>
    </w:lvl>
    <w:lvl w:ilvl="3" w:tplc="50D0C096" w:tentative="1">
      <w:start w:val="1"/>
      <w:numFmt w:val="decimal"/>
      <w:lvlText w:val="%4."/>
      <w:lvlJc w:val="left"/>
      <w:pPr>
        <w:ind w:left="2880" w:hanging="360"/>
      </w:pPr>
    </w:lvl>
    <w:lvl w:ilvl="4" w:tplc="F18E5DB2" w:tentative="1">
      <w:start w:val="1"/>
      <w:numFmt w:val="lowerLetter"/>
      <w:lvlText w:val="%5."/>
      <w:lvlJc w:val="left"/>
      <w:pPr>
        <w:ind w:left="3600" w:hanging="360"/>
      </w:pPr>
    </w:lvl>
    <w:lvl w:ilvl="5" w:tplc="0AF4AD8A" w:tentative="1">
      <w:start w:val="1"/>
      <w:numFmt w:val="lowerRoman"/>
      <w:lvlText w:val="%6."/>
      <w:lvlJc w:val="right"/>
      <w:pPr>
        <w:ind w:left="4320" w:hanging="180"/>
      </w:pPr>
    </w:lvl>
    <w:lvl w:ilvl="6" w:tplc="333E2B90" w:tentative="1">
      <w:start w:val="1"/>
      <w:numFmt w:val="decimal"/>
      <w:lvlText w:val="%7."/>
      <w:lvlJc w:val="left"/>
      <w:pPr>
        <w:ind w:left="5040" w:hanging="360"/>
      </w:pPr>
    </w:lvl>
    <w:lvl w:ilvl="7" w:tplc="87BA587A" w:tentative="1">
      <w:start w:val="1"/>
      <w:numFmt w:val="lowerLetter"/>
      <w:lvlText w:val="%8."/>
      <w:lvlJc w:val="left"/>
      <w:pPr>
        <w:ind w:left="5760" w:hanging="360"/>
      </w:pPr>
    </w:lvl>
    <w:lvl w:ilvl="8" w:tplc="C2CCA0F6" w:tentative="1">
      <w:start w:val="1"/>
      <w:numFmt w:val="lowerRoman"/>
      <w:lvlText w:val="%9."/>
      <w:lvlJc w:val="right"/>
      <w:pPr>
        <w:ind w:left="6480" w:hanging="180"/>
      </w:pPr>
    </w:lvl>
  </w:abstractNum>
  <w:abstractNum w:abstractNumId="2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08F0293"/>
    <w:multiLevelType w:val="hybridMultilevel"/>
    <w:tmpl w:val="FA6EDFA4"/>
    <w:lvl w:ilvl="0" w:tplc="2F7899BE">
      <w:start w:val="1"/>
      <w:numFmt w:val="bullet"/>
      <w:lvlText w:val=""/>
      <w:lvlJc w:val="left"/>
      <w:pPr>
        <w:ind w:left="720" w:hanging="360"/>
      </w:pPr>
      <w:rPr>
        <w:rFonts w:ascii="Symbol" w:hAnsi="Symbol" w:hint="default"/>
      </w:rPr>
    </w:lvl>
    <w:lvl w:ilvl="1" w:tplc="B120C986" w:tentative="1">
      <w:start w:val="1"/>
      <w:numFmt w:val="bullet"/>
      <w:lvlText w:val="o"/>
      <w:lvlJc w:val="left"/>
      <w:pPr>
        <w:ind w:left="1440" w:hanging="360"/>
      </w:pPr>
      <w:rPr>
        <w:rFonts w:ascii="Courier New" w:hAnsi="Courier New" w:cs="Courier New" w:hint="default"/>
      </w:rPr>
    </w:lvl>
    <w:lvl w:ilvl="2" w:tplc="C3E82BFE" w:tentative="1">
      <w:start w:val="1"/>
      <w:numFmt w:val="bullet"/>
      <w:lvlText w:val=""/>
      <w:lvlJc w:val="left"/>
      <w:pPr>
        <w:ind w:left="2160" w:hanging="360"/>
      </w:pPr>
      <w:rPr>
        <w:rFonts w:ascii="Wingdings" w:hAnsi="Wingdings" w:hint="default"/>
      </w:rPr>
    </w:lvl>
    <w:lvl w:ilvl="3" w:tplc="28E43F42" w:tentative="1">
      <w:start w:val="1"/>
      <w:numFmt w:val="bullet"/>
      <w:lvlText w:val=""/>
      <w:lvlJc w:val="left"/>
      <w:pPr>
        <w:ind w:left="2880" w:hanging="360"/>
      </w:pPr>
      <w:rPr>
        <w:rFonts w:ascii="Symbol" w:hAnsi="Symbol" w:hint="default"/>
      </w:rPr>
    </w:lvl>
    <w:lvl w:ilvl="4" w:tplc="3FC4B106" w:tentative="1">
      <w:start w:val="1"/>
      <w:numFmt w:val="bullet"/>
      <w:lvlText w:val="o"/>
      <w:lvlJc w:val="left"/>
      <w:pPr>
        <w:ind w:left="3600" w:hanging="360"/>
      </w:pPr>
      <w:rPr>
        <w:rFonts w:ascii="Courier New" w:hAnsi="Courier New" w:cs="Courier New" w:hint="default"/>
      </w:rPr>
    </w:lvl>
    <w:lvl w:ilvl="5" w:tplc="C87842D6" w:tentative="1">
      <w:start w:val="1"/>
      <w:numFmt w:val="bullet"/>
      <w:lvlText w:val=""/>
      <w:lvlJc w:val="left"/>
      <w:pPr>
        <w:ind w:left="4320" w:hanging="360"/>
      </w:pPr>
      <w:rPr>
        <w:rFonts w:ascii="Wingdings" w:hAnsi="Wingdings" w:hint="default"/>
      </w:rPr>
    </w:lvl>
    <w:lvl w:ilvl="6" w:tplc="65F4AFC8" w:tentative="1">
      <w:start w:val="1"/>
      <w:numFmt w:val="bullet"/>
      <w:lvlText w:val=""/>
      <w:lvlJc w:val="left"/>
      <w:pPr>
        <w:ind w:left="5040" w:hanging="360"/>
      </w:pPr>
      <w:rPr>
        <w:rFonts w:ascii="Symbol" w:hAnsi="Symbol" w:hint="default"/>
      </w:rPr>
    </w:lvl>
    <w:lvl w:ilvl="7" w:tplc="25A0E852" w:tentative="1">
      <w:start w:val="1"/>
      <w:numFmt w:val="bullet"/>
      <w:lvlText w:val="o"/>
      <w:lvlJc w:val="left"/>
      <w:pPr>
        <w:ind w:left="5760" w:hanging="360"/>
      </w:pPr>
      <w:rPr>
        <w:rFonts w:ascii="Courier New" w:hAnsi="Courier New" w:cs="Courier New" w:hint="default"/>
      </w:rPr>
    </w:lvl>
    <w:lvl w:ilvl="8" w:tplc="56FEBAF0" w:tentative="1">
      <w:start w:val="1"/>
      <w:numFmt w:val="bullet"/>
      <w:lvlText w:val=""/>
      <w:lvlJc w:val="left"/>
      <w:pPr>
        <w:ind w:left="6480" w:hanging="360"/>
      </w:pPr>
      <w:rPr>
        <w:rFonts w:ascii="Wingdings" w:hAnsi="Wingdings" w:hint="default"/>
      </w:rPr>
    </w:lvl>
  </w:abstractNum>
  <w:abstractNum w:abstractNumId="30" w15:restartNumberingAfterBreak="0">
    <w:nsid w:val="41941BA5"/>
    <w:multiLevelType w:val="hybridMultilevel"/>
    <w:tmpl w:val="C5BEA738"/>
    <w:lvl w:ilvl="0" w:tplc="B82C268A">
      <w:start w:val="1"/>
      <w:numFmt w:val="decimal"/>
      <w:lvlText w:val="%1."/>
      <w:lvlJc w:val="left"/>
      <w:pPr>
        <w:ind w:left="1440" w:hanging="360"/>
      </w:pPr>
      <w:rPr>
        <w:b/>
        <w:bCs/>
      </w:rPr>
    </w:lvl>
    <w:lvl w:ilvl="1" w:tplc="F392B0D6">
      <w:start w:val="1"/>
      <w:numFmt w:val="lowerLetter"/>
      <w:lvlText w:val="%2."/>
      <w:lvlJc w:val="left"/>
      <w:pPr>
        <w:ind w:left="2160" w:hanging="360"/>
      </w:pPr>
    </w:lvl>
    <w:lvl w:ilvl="2" w:tplc="B4C810BC" w:tentative="1">
      <w:start w:val="1"/>
      <w:numFmt w:val="lowerRoman"/>
      <w:lvlText w:val="%3."/>
      <w:lvlJc w:val="right"/>
      <w:pPr>
        <w:ind w:left="2880" w:hanging="180"/>
      </w:pPr>
    </w:lvl>
    <w:lvl w:ilvl="3" w:tplc="652C9F64">
      <w:start w:val="1"/>
      <w:numFmt w:val="decimal"/>
      <w:lvlText w:val="%4."/>
      <w:lvlJc w:val="left"/>
      <w:pPr>
        <w:ind w:left="1800" w:hanging="360"/>
      </w:pPr>
    </w:lvl>
    <w:lvl w:ilvl="4" w:tplc="604227A6" w:tentative="1">
      <w:start w:val="1"/>
      <w:numFmt w:val="lowerLetter"/>
      <w:lvlText w:val="%5."/>
      <w:lvlJc w:val="left"/>
      <w:pPr>
        <w:ind w:left="4320" w:hanging="360"/>
      </w:pPr>
    </w:lvl>
    <w:lvl w:ilvl="5" w:tplc="80E8A6C6" w:tentative="1">
      <w:start w:val="1"/>
      <w:numFmt w:val="lowerRoman"/>
      <w:lvlText w:val="%6."/>
      <w:lvlJc w:val="right"/>
      <w:pPr>
        <w:ind w:left="5040" w:hanging="180"/>
      </w:pPr>
    </w:lvl>
    <w:lvl w:ilvl="6" w:tplc="7AC669D0" w:tentative="1">
      <w:start w:val="1"/>
      <w:numFmt w:val="decimal"/>
      <w:lvlText w:val="%7."/>
      <w:lvlJc w:val="left"/>
      <w:pPr>
        <w:ind w:left="5760" w:hanging="360"/>
      </w:pPr>
    </w:lvl>
    <w:lvl w:ilvl="7" w:tplc="C47A0678" w:tentative="1">
      <w:start w:val="1"/>
      <w:numFmt w:val="lowerLetter"/>
      <w:lvlText w:val="%8."/>
      <w:lvlJc w:val="left"/>
      <w:pPr>
        <w:ind w:left="6480" w:hanging="360"/>
      </w:pPr>
    </w:lvl>
    <w:lvl w:ilvl="8" w:tplc="7E2A9782" w:tentative="1">
      <w:start w:val="1"/>
      <w:numFmt w:val="lowerRoman"/>
      <w:lvlText w:val="%9."/>
      <w:lvlJc w:val="right"/>
      <w:pPr>
        <w:ind w:left="7200" w:hanging="180"/>
      </w:pPr>
    </w:lvl>
  </w:abstractNum>
  <w:abstractNum w:abstractNumId="3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B1056E6"/>
    <w:multiLevelType w:val="hybridMultilevel"/>
    <w:tmpl w:val="F5E01642"/>
    <w:lvl w:ilvl="0" w:tplc="6F544F40">
      <w:start w:val="1"/>
      <w:numFmt w:val="decimal"/>
      <w:lvlText w:val="%1."/>
      <w:lvlJc w:val="left"/>
      <w:pPr>
        <w:ind w:left="1800" w:hanging="360"/>
      </w:pPr>
      <w:rPr>
        <w:rFonts w:hint="default"/>
      </w:rPr>
    </w:lvl>
    <w:lvl w:ilvl="1" w:tplc="9C3E8064" w:tentative="1">
      <w:start w:val="1"/>
      <w:numFmt w:val="lowerLetter"/>
      <w:lvlText w:val="%2."/>
      <w:lvlJc w:val="left"/>
      <w:pPr>
        <w:ind w:left="1440" w:hanging="360"/>
      </w:pPr>
    </w:lvl>
    <w:lvl w:ilvl="2" w:tplc="02FE47A0" w:tentative="1">
      <w:start w:val="1"/>
      <w:numFmt w:val="lowerRoman"/>
      <w:lvlText w:val="%3."/>
      <w:lvlJc w:val="right"/>
      <w:pPr>
        <w:ind w:left="2160" w:hanging="180"/>
      </w:pPr>
    </w:lvl>
    <w:lvl w:ilvl="3" w:tplc="1B8C3DFC" w:tentative="1">
      <w:start w:val="1"/>
      <w:numFmt w:val="decimal"/>
      <w:lvlText w:val="%4."/>
      <w:lvlJc w:val="left"/>
      <w:pPr>
        <w:ind w:left="2880" w:hanging="360"/>
      </w:pPr>
    </w:lvl>
    <w:lvl w:ilvl="4" w:tplc="44C6F472" w:tentative="1">
      <w:start w:val="1"/>
      <w:numFmt w:val="lowerLetter"/>
      <w:lvlText w:val="%5."/>
      <w:lvlJc w:val="left"/>
      <w:pPr>
        <w:ind w:left="3600" w:hanging="360"/>
      </w:pPr>
    </w:lvl>
    <w:lvl w:ilvl="5" w:tplc="77FA4424" w:tentative="1">
      <w:start w:val="1"/>
      <w:numFmt w:val="lowerRoman"/>
      <w:lvlText w:val="%6."/>
      <w:lvlJc w:val="right"/>
      <w:pPr>
        <w:ind w:left="4320" w:hanging="180"/>
      </w:pPr>
    </w:lvl>
    <w:lvl w:ilvl="6" w:tplc="B0482C14" w:tentative="1">
      <w:start w:val="1"/>
      <w:numFmt w:val="decimal"/>
      <w:lvlText w:val="%7."/>
      <w:lvlJc w:val="left"/>
      <w:pPr>
        <w:ind w:left="5040" w:hanging="360"/>
      </w:pPr>
    </w:lvl>
    <w:lvl w:ilvl="7" w:tplc="5772117C" w:tentative="1">
      <w:start w:val="1"/>
      <w:numFmt w:val="lowerLetter"/>
      <w:lvlText w:val="%8."/>
      <w:lvlJc w:val="left"/>
      <w:pPr>
        <w:ind w:left="5760" w:hanging="360"/>
      </w:pPr>
    </w:lvl>
    <w:lvl w:ilvl="8" w:tplc="200CB4F2" w:tentative="1">
      <w:start w:val="1"/>
      <w:numFmt w:val="lowerRoman"/>
      <w:lvlText w:val="%9."/>
      <w:lvlJc w:val="right"/>
      <w:pPr>
        <w:ind w:left="6480" w:hanging="180"/>
      </w:pPr>
    </w:lvl>
  </w:abstractNum>
  <w:abstractNum w:abstractNumId="3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0FC11D4"/>
    <w:multiLevelType w:val="hybridMultilevel"/>
    <w:tmpl w:val="84D43CAC"/>
    <w:lvl w:ilvl="0" w:tplc="4C20DCEA">
      <w:start w:val="1"/>
      <w:numFmt w:val="bullet"/>
      <w:lvlText w:val=""/>
      <w:lvlJc w:val="left"/>
      <w:pPr>
        <w:ind w:left="360" w:hanging="360"/>
      </w:pPr>
      <w:rPr>
        <w:rFonts w:ascii="Symbol" w:hAnsi="Symbol" w:hint="default"/>
        <w:sz w:val="28"/>
        <w:szCs w:val="28"/>
      </w:rPr>
    </w:lvl>
    <w:lvl w:ilvl="1" w:tplc="7ACAF5C6" w:tentative="1">
      <w:start w:val="1"/>
      <w:numFmt w:val="bullet"/>
      <w:lvlText w:val="o"/>
      <w:lvlJc w:val="left"/>
      <w:pPr>
        <w:ind w:left="1080" w:hanging="360"/>
      </w:pPr>
      <w:rPr>
        <w:rFonts w:ascii="Courier New" w:hAnsi="Courier New" w:cs="Courier New" w:hint="default"/>
      </w:rPr>
    </w:lvl>
    <w:lvl w:ilvl="2" w:tplc="3F12F87A" w:tentative="1">
      <w:start w:val="1"/>
      <w:numFmt w:val="bullet"/>
      <w:lvlText w:val=""/>
      <w:lvlJc w:val="left"/>
      <w:pPr>
        <w:ind w:left="1800" w:hanging="360"/>
      </w:pPr>
      <w:rPr>
        <w:rFonts w:ascii="Wingdings" w:hAnsi="Wingdings" w:hint="default"/>
      </w:rPr>
    </w:lvl>
    <w:lvl w:ilvl="3" w:tplc="F8881C58" w:tentative="1">
      <w:start w:val="1"/>
      <w:numFmt w:val="bullet"/>
      <w:lvlText w:val=""/>
      <w:lvlJc w:val="left"/>
      <w:pPr>
        <w:ind w:left="2520" w:hanging="360"/>
      </w:pPr>
      <w:rPr>
        <w:rFonts w:ascii="Symbol" w:hAnsi="Symbol" w:hint="default"/>
      </w:rPr>
    </w:lvl>
    <w:lvl w:ilvl="4" w:tplc="A48C2D0A" w:tentative="1">
      <w:start w:val="1"/>
      <w:numFmt w:val="bullet"/>
      <w:lvlText w:val="o"/>
      <w:lvlJc w:val="left"/>
      <w:pPr>
        <w:ind w:left="3240" w:hanging="360"/>
      </w:pPr>
      <w:rPr>
        <w:rFonts w:ascii="Courier New" w:hAnsi="Courier New" w:cs="Courier New" w:hint="default"/>
      </w:rPr>
    </w:lvl>
    <w:lvl w:ilvl="5" w:tplc="4B8A55E4" w:tentative="1">
      <w:start w:val="1"/>
      <w:numFmt w:val="bullet"/>
      <w:lvlText w:val=""/>
      <w:lvlJc w:val="left"/>
      <w:pPr>
        <w:ind w:left="3960" w:hanging="360"/>
      </w:pPr>
      <w:rPr>
        <w:rFonts w:ascii="Wingdings" w:hAnsi="Wingdings" w:hint="default"/>
      </w:rPr>
    </w:lvl>
    <w:lvl w:ilvl="6" w:tplc="A5CAB096" w:tentative="1">
      <w:start w:val="1"/>
      <w:numFmt w:val="bullet"/>
      <w:lvlText w:val=""/>
      <w:lvlJc w:val="left"/>
      <w:pPr>
        <w:ind w:left="4680" w:hanging="360"/>
      </w:pPr>
      <w:rPr>
        <w:rFonts w:ascii="Symbol" w:hAnsi="Symbol" w:hint="default"/>
      </w:rPr>
    </w:lvl>
    <w:lvl w:ilvl="7" w:tplc="0CAA234E" w:tentative="1">
      <w:start w:val="1"/>
      <w:numFmt w:val="bullet"/>
      <w:lvlText w:val="o"/>
      <w:lvlJc w:val="left"/>
      <w:pPr>
        <w:ind w:left="5400" w:hanging="360"/>
      </w:pPr>
      <w:rPr>
        <w:rFonts w:ascii="Courier New" w:hAnsi="Courier New" w:cs="Courier New" w:hint="default"/>
      </w:rPr>
    </w:lvl>
    <w:lvl w:ilvl="8" w:tplc="A858BD20" w:tentative="1">
      <w:start w:val="1"/>
      <w:numFmt w:val="bullet"/>
      <w:lvlText w:val=""/>
      <w:lvlJc w:val="left"/>
      <w:pPr>
        <w:ind w:left="6120" w:hanging="360"/>
      </w:pPr>
      <w:rPr>
        <w:rFonts w:ascii="Wingdings" w:hAnsi="Wingdings" w:hint="default"/>
      </w:rPr>
    </w:lvl>
  </w:abstractNum>
  <w:abstractNum w:abstractNumId="36" w15:restartNumberingAfterBreak="0">
    <w:nsid w:val="5C3B1068"/>
    <w:multiLevelType w:val="hybridMultilevel"/>
    <w:tmpl w:val="0F58E92C"/>
    <w:lvl w:ilvl="0" w:tplc="7F6CD5FC">
      <w:start w:val="1"/>
      <w:numFmt w:val="decimal"/>
      <w:lvlText w:val="%1."/>
      <w:lvlJc w:val="left"/>
      <w:pPr>
        <w:ind w:left="720" w:hanging="360"/>
      </w:pPr>
    </w:lvl>
    <w:lvl w:ilvl="1" w:tplc="A7923286" w:tentative="1">
      <w:start w:val="1"/>
      <w:numFmt w:val="lowerLetter"/>
      <w:lvlText w:val="%2."/>
      <w:lvlJc w:val="left"/>
      <w:pPr>
        <w:ind w:left="1440" w:hanging="360"/>
      </w:pPr>
    </w:lvl>
    <w:lvl w:ilvl="2" w:tplc="B2E8DFA6" w:tentative="1">
      <w:start w:val="1"/>
      <w:numFmt w:val="lowerRoman"/>
      <w:lvlText w:val="%3."/>
      <w:lvlJc w:val="right"/>
      <w:pPr>
        <w:ind w:left="2160" w:hanging="180"/>
      </w:pPr>
    </w:lvl>
    <w:lvl w:ilvl="3" w:tplc="A2B6993C" w:tentative="1">
      <w:start w:val="1"/>
      <w:numFmt w:val="decimal"/>
      <w:lvlText w:val="%4."/>
      <w:lvlJc w:val="left"/>
      <w:pPr>
        <w:ind w:left="2880" w:hanging="360"/>
      </w:pPr>
    </w:lvl>
    <w:lvl w:ilvl="4" w:tplc="1E40E1C2" w:tentative="1">
      <w:start w:val="1"/>
      <w:numFmt w:val="lowerLetter"/>
      <w:lvlText w:val="%5."/>
      <w:lvlJc w:val="left"/>
      <w:pPr>
        <w:ind w:left="3600" w:hanging="360"/>
      </w:pPr>
    </w:lvl>
    <w:lvl w:ilvl="5" w:tplc="614274DC" w:tentative="1">
      <w:start w:val="1"/>
      <w:numFmt w:val="lowerRoman"/>
      <w:lvlText w:val="%6."/>
      <w:lvlJc w:val="right"/>
      <w:pPr>
        <w:ind w:left="4320" w:hanging="180"/>
      </w:pPr>
    </w:lvl>
    <w:lvl w:ilvl="6" w:tplc="B2E69FB8" w:tentative="1">
      <w:start w:val="1"/>
      <w:numFmt w:val="decimal"/>
      <w:lvlText w:val="%7."/>
      <w:lvlJc w:val="left"/>
      <w:pPr>
        <w:ind w:left="5040" w:hanging="360"/>
      </w:pPr>
    </w:lvl>
    <w:lvl w:ilvl="7" w:tplc="EDBCF4C6" w:tentative="1">
      <w:start w:val="1"/>
      <w:numFmt w:val="lowerLetter"/>
      <w:lvlText w:val="%8."/>
      <w:lvlJc w:val="left"/>
      <w:pPr>
        <w:ind w:left="5760" w:hanging="360"/>
      </w:pPr>
    </w:lvl>
    <w:lvl w:ilvl="8" w:tplc="D0C0F4DE" w:tentative="1">
      <w:start w:val="1"/>
      <w:numFmt w:val="lowerRoman"/>
      <w:lvlText w:val="%9."/>
      <w:lvlJc w:val="right"/>
      <w:pPr>
        <w:ind w:left="6480" w:hanging="180"/>
      </w:pPr>
    </w:lvl>
  </w:abstractNum>
  <w:abstractNum w:abstractNumId="37" w15:restartNumberingAfterBreak="0">
    <w:nsid w:val="5CF26E2C"/>
    <w:multiLevelType w:val="hybridMultilevel"/>
    <w:tmpl w:val="B7D4E3A8"/>
    <w:lvl w:ilvl="0" w:tplc="0BCCD8E6">
      <w:start w:val="1"/>
      <w:numFmt w:val="decimal"/>
      <w:lvlText w:val="%1."/>
      <w:lvlJc w:val="left"/>
      <w:pPr>
        <w:ind w:left="3060" w:hanging="360"/>
      </w:pPr>
      <w:rPr>
        <w:rFonts w:hint="default"/>
      </w:rPr>
    </w:lvl>
    <w:lvl w:ilvl="1" w:tplc="78D2738C" w:tentative="1">
      <w:start w:val="1"/>
      <w:numFmt w:val="lowerLetter"/>
      <w:lvlText w:val="%2."/>
      <w:lvlJc w:val="left"/>
      <w:pPr>
        <w:ind w:left="2160" w:hanging="360"/>
      </w:pPr>
    </w:lvl>
    <w:lvl w:ilvl="2" w:tplc="1E82BD20" w:tentative="1">
      <w:start w:val="1"/>
      <w:numFmt w:val="lowerRoman"/>
      <w:lvlText w:val="%3."/>
      <w:lvlJc w:val="right"/>
      <w:pPr>
        <w:ind w:left="2880" w:hanging="180"/>
      </w:pPr>
    </w:lvl>
    <w:lvl w:ilvl="3" w:tplc="10806AEA" w:tentative="1">
      <w:start w:val="1"/>
      <w:numFmt w:val="decimal"/>
      <w:lvlText w:val="%4."/>
      <w:lvlJc w:val="left"/>
      <w:pPr>
        <w:ind w:left="3600" w:hanging="360"/>
      </w:pPr>
    </w:lvl>
    <w:lvl w:ilvl="4" w:tplc="2716F08C" w:tentative="1">
      <w:start w:val="1"/>
      <w:numFmt w:val="lowerLetter"/>
      <w:lvlText w:val="%5."/>
      <w:lvlJc w:val="left"/>
      <w:pPr>
        <w:ind w:left="4320" w:hanging="360"/>
      </w:pPr>
    </w:lvl>
    <w:lvl w:ilvl="5" w:tplc="BEC2C25A" w:tentative="1">
      <w:start w:val="1"/>
      <w:numFmt w:val="lowerRoman"/>
      <w:lvlText w:val="%6."/>
      <w:lvlJc w:val="right"/>
      <w:pPr>
        <w:ind w:left="5040" w:hanging="180"/>
      </w:pPr>
    </w:lvl>
    <w:lvl w:ilvl="6" w:tplc="A648B63A" w:tentative="1">
      <w:start w:val="1"/>
      <w:numFmt w:val="decimal"/>
      <w:lvlText w:val="%7."/>
      <w:lvlJc w:val="left"/>
      <w:pPr>
        <w:ind w:left="5760" w:hanging="360"/>
      </w:pPr>
    </w:lvl>
    <w:lvl w:ilvl="7" w:tplc="856CFDD6" w:tentative="1">
      <w:start w:val="1"/>
      <w:numFmt w:val="lowerLetter"/>
      <w:lvlText w:val="%8."/>
      <w:lvlJc w:val="left"/>
      <w:pPr>
        <w:ind w:left="6480" w:hanging="360"/>
      </w:pPr>
    </w:lvl>
    <w:lvl w:ilvl="8" w:tplc="9F54F4BE" w:tentative="1">
      <w:start w:val="1"/>
      <w:numFmt w:val="lowerRoman"/>
      <w:lvlText w:val="%9."/>
      <w:lvlJc w:val="right"/>
      <w:pPr>
        <w:ind w:left="7200" w:hanging="180"/>
      </w:pPr>
    </w:lvl>
  </w:abstractNum>
  <w:abstractNum w:abstractNumId="3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B130E42"/>
    <w:multiLevelType w:val="hybridMultilevel"/>
    <w:tmpl w:val="0D4C6952"/>
    <w:lvl w:ilvl="0" w:tplc="BBCE52CC">
      <w:start w:val="1"/>
      <w:numFmt w:val="decimal"/>
      <w:lvlText w:val="%1."/>
      <w:lvlJc w:val="left"/>
      <w:pPr>
        <w:ind w:left="1800" w:hanging="360"/>
      </w:pPr>
      <w:rPr>
        <w:rFonts w:hint="default"/>
      </w:rPr>
    </w:lvl>
    <w:lvl w:ilvl="1" w:tplc="C5F014C8">
      <w:start w:val="1"/>
      <w:numFmt w:val="decimal"/>
      <w:lvlText w:val="%2."/>
      <w:lvlJc w:val="left"/>
      <w:pPr>
        <w:ind w:left="1440" w:hanging="360"/>
      </w:pPr>
      <w:rPr>
        <w:rFonts w:hint="default"/>
        <w:b/>
        <w:bCs/>
      </w:rPr>
    </w:lvl>
    <w:lvl w:ilvl="2" w:tplc="B420C764">
      <w:start w:val="1"/>
      <w:numFmt w:val="lowerRoman"/>
      <w:lvlText w:val="%3."/>
      <w:lvlJc w:val="right"/>
      <w:pPr>
        <w:ind w:left="2160" w:hanging="180"/>
      </w:pPr>
    </w:lvl>
    <w:lvl w:ilvl="3" w:tplc="04AED2A0" w:tentative="1">
      <w:start w:val="1"/>
      <w:numFmt w:val="decimal"/>
      <w:lvlText w:val="%4."/>
      <w:lvlJc w:val="left"/>
      <w:pPr>
        <w:ind w:left="2880" w:hanging="360"/>
      </w:pPr>
    </w:lvl>
    <w:lvl w:ilvl="4" w:tplc="D67847BA" w:tentative="1">
      <w:start w:val="1"/>
      <w:numFmt w:val="lowerLetter"/>
      <w:lvlText w:val="%5."/>
      <w:lvlJc w:val="left"/>
      <w:pPr>
        <w:ind w:left="3600" w:hanging="360"/>
      </w:pPr>
    </w:lvl>
    <w:lvl w:ilvl="5" w:tplc="38905208" w:tentative="1">
      <w:start w:val="1"/>
      <w:numFmt w:val="lowerRoman"/>
      <w:lvlText w:val="%6."/>
      <w:lvlJc w:val="right"/>
      <w:pPr>
        <w:ind w:left="4320" w:hanging="180"/>
      </w:pPr>
    </w:lvl>
    <w:lvl w:ilvl="6" w:tplc="86F4E0C0" w:tentative="1">
      <w:start w:val="1"/>
      <w:numFmt w:val="decimal"/>
      <w:lvlText w:val="%7."/>
      <w:lvlJc w:val="left"/>
      <w:pPr>
        <w:ind w:left="5040" w:hanging="360"/>
      </w:pPr>
    </w:lvl>
    <w:lvl w:ilvl="7" w:tplc="B1440E6A" w:tentative="1">
      <w:start w:val="1"/>
      <w:numFmt w:val="lowerLetter"/>
      <w:lvlText w:val="%8."/>
      <w:lvlJc w:val="left"/>
      <w:pPr>
        <w:ind w:left="5760" w:hanging="360"/>
      </w:pPr>
    </w:lvl>
    <w:lvl w:ilvl="8" w:tplc="6986CB5C" w:tentative="1">
      <w:start w:val="1"/>
      <w:numFmt w:val="lowerRoman"/>
      <w:lvlText w:val="%9."/>
      <w:lvlJc w:val="right"/>
      <w:pPr>
        <w:ind w:left="6480" w:hanging="180"/>
      </w:pPr>
    </w:lvl>
  </w:abstractNum>
  <w:abstractNum w:abstractNumId="40" w15:restartNumberingAfterBreak="0">
    <w:nsid w:val="6B6435D1"/>
    <w:multiLevelType w:val="hybridMultilevel"/>
    <w:tmpl w:val="85AC9182"/>
    <w:lvl w:ilvl="0" w:tplc="B3E84FBE">
      <w:start w:val="1"/>
      <w:numFmt w:val="decimal"/>
      <w:lvlText w:val="%1."/>
      <w:lvlJc w:val="left"/>
      <w:pPr>
        <w:ind w:left="2340" w:hanging="360"/>
      </w:pPr>
      <w:rPr>
        <w:rFonts w:hint="default"/>
      </w:rPr>
    </w:lvl>
    <w:lvl w:ilvl="1" w:tplc="88AEFEFA" w:tentative="1">
      <w:start w:val="1"/>
      <w:numFmt w:val="lowerLetter"/>
      <w:lvlText w:val="%2."/>
      <w:lvlJc w:val="left"/>
      <w:pPr>
        <w:ind w:left="1440" w:hanging="360"/>
      </w:pPr>
    </w:lvl>
    <w:lvl w:ilvl="2" w:tplc="75A01532" w:tentative="1">
      <w:start w:val="1"/>
      <w:numFmt w:val="lowerRoman"/>
      <w:lvlText w:val="%3."/>
      <w:lvlJc w:val="right"/>
      <w:pPr>
        <w:ind w:left="2160" w:hanging="180"/>
      </w:pPr>
    </w:lvl>
    <w:lvl w:ilvl="3" w:tplc="9580C568" w:tentative="1">
      <w:start w:val="1"/>
      <w:numFmt w:val="decimal"/>
      <w:lvlText w:val="%4."/>
      <w:lvlJc w:val="left"/>
      <w:pPr>
        <w:ind w:left="2880" w:hanging="360"/>
      </w:pPr>
    </w:lvl>
    <w:lvl w:ilvl="4" w:tplc="B68E19A4" w:tentative="1">
      <w:start w:val="1"/>
      <w:numFmt w:val="lowerLetter"/>
      <w:lvlText w:val="%5."/>
      <w:lvlJc w:val="left"/>
      <w:pPr>
        <w:ind w:left="3600" w:hanging="360"/>
      </w:pPr>
    </w:lvl>
    <w:lvl w:ilvl="5" w:tplc="12DC0054" w:tentative="1">
      <w:start w:val="1"/>
      <w:numFmt w:val="lowerRoman"/>
      <w:lvlText w:val="%6."/>
      <w:lvlJc w:val="right"/>
      <w:pPr>
        <w:ind w:left="4320" w:hanging="180"/>
      </w:pPr>
    </w:lvl>
    <w:lvl w:ilvl="6" w:tplc="0172AF3E" w:tentative="1">
      <w:start w:val="1"/>
      <w:numFmt w:val="decimal"/>
      <w:lvlText w:val="%7."/>
      <w:lvlJc w:val="left"/>
      <w:pPr>
        <w:ind w:left="5040" w:hanging="360"/>
      </w:pPr>
    </w:lvl>
    <w:lvl w:ilvl="7" w:tplc="92AC64DE" w:tentative="1">
      <w:start w:val="1"/>
      <w:numFmt w:val="lowerLetter"/>
      <w:lvlText w:val="%8."/>
      <w:lvlJc w:val="left"/>
      <w:pPr>
        <w:ind w:left="5760" w:hanging="360"/>
      </w:pPr>
    </w:lvl>
    <w:lvl w:ilvl="8" w:tplc="1A769808" w:tentative="1">
      <w:start w:val="1"/>
      <w:numFmt w:val="lowerRoman"/>
      <w:lvlText w:val="%9."/>
      <w:lvlJc w:val="right"/>
      <w:pPr>
        <w:ind w:left="6480" w:hanging="180"/>
      </w:pPr>
    </w:lvl>
  </w:abstractNum>
  <w:abstractNum w:abstractNumId="4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47B6BC2"/>
    <w:multiLevelType w:val="hybridMultilevel"/>
    <w:tmpl w:val="36F6EDBE"/>
    <w:lvl w:ilvl="0" w:tplc="A760787C">
      <w:start w:val="1"/>
      <w:numFmt w:val="bullet"/>
      <w:lvlText w:val=""/>
      <w:lvlJc w:val="left"/>
      <w:pPr>
        <w:ind w:left="720" w:hanging="360"/>
      </w:pPr>
      <w:rPr>
        <w:rFonts w:ascii="Symbol" w:hAnsi="Symbol" w:hint="default"/>
      </w:rPr>
    </w:lvl>
    <w:lvl w:ilvl="1" w:tplc="B5701D8C" w:tentative="1">
      <w:start w:val="1"/>
      <w:numFmt w:val="bullet"/>
      <w:lvlText w:val="o"/>
      <w:lvlJc w:val="left"/>
      <w:pPr>
        <w:ind w:left="1440" w:hanging="360"/>
      </w:pPr>
      <w:rPr>
        <w:rFonts w:ascii="Courier New" w:hAnsi="Courier New" w:cs="Courier New" w:hint="default"/>
      </w:rPr>
    </w:lvl>
    <w:lvl w:ilvl="2" w:tplc="E79AAB48" w:tentative="1">
      <w:start w:val="1"/>
      <w:numFmt w:val="bullet"/>
      <w:lvlText w:val=""/>
      <w:lvlJc w:val="left"/>
      <w:pPr>
        <w:ind w:left="2160" w:hanging="360"/>
      </w:pPr>
      <w:rPr>
        <w:rFonts w:ascii="Wingdings" w:hAnsi="Wingdings" w:hint="default"/>
      </w:rPr>
    </w:lvl>
    <w:lvl w:ilvl="3" w:tplc="8D9AE632" w:tentative="1">
      <w:start w:val="1"/>
      <w:numFmt w:val="bullet"/>
      <w:lvlText w:val=""/>
      <w:lvlJc w:val="left"/>
      <w:pPr>
        <w:ind w:left="2880" w:hanging="360"/>
      </w:pPr>
      <w:rPr>
        <w:rFonts w:ascii="Symbol" w:hAnsi="Symbol" w:hint="default"/>
      </w:rPr>
    </w:lvl>
    <w:lvl w:ilvl="4" w:tplc="8930A25A" w:tentative="1">
      <w:start w:val="1"/>
      <w:numFmt w:val="bullet"/>
      <w:lvlText w:val="o"/>
      <w:lvlJc w:val="left"/>
      <w:pPr>
        <w:ind w:left="3600" w:hanging="360"/>
      </w:pPr>
      <w:rPr>
        <w:rFonts w:ascii="Courier New" w:hAnsi="Courier New" w:cs="Courier New" w:hint="default"/>
      </w:rPr>
    </w:lvl>
    <w:lvl w:ilvl="5" w:tplc="09A4387E" w:tentative="1">
      <w:start w:val="1"/>
      <w:numFmt w:val="bullet"/>
      <w:lvlText w:val=""/>
      <w:lvlJc w:val="left"/>
      <w:pPr>
        <w:ind w:left="4320" w:hanging="360"/>
      </w:pPr>
      <w:rPr>
        <w:rFonts w:ascii="Wingdings" w:hAnsi="Wingdings" w:hint="default"/>
      </w:rPr>
    </w:lvl>
    <w:lvl w:ilvl="6" w:tplc="A120F01A" w:tentative="1">
      <w:start w:val="1"/>
      <w:numFmt w:val="bullet"/>
      <w:lvlText w:val=""/>
      <w:lvlJc w:val="left"/>
      <w:pPr>
        <w:ind w:left="5040" w:hanging="360"/>
      </w:pPr>
      <w:rPr>
        <w:rFonts w:ascii="Symbol" w:hAnsi="Symbol" w:hint="default"/>
      </w:rPr>
    </w:lvl>
    <w:lvl w:ilvl="7" w:tplc="BF9A2868" w:tentative="1">
      <w:start w:val="1"/>
      <w:numFmt w:val="bullet"/>
      <w:lvlText w:val="o"/>
      <w:lvlJc w:val="left"/>
      <w:pPr>
        <w:ind w:left="5760" w:hanging="360"/>
      </w:pPr>
      <w:rPr>
        <w:rFonts w:ascii="Courier New" w:hAnsi="Courier New" w:cs="Courier New" w:hint="default"/>
      </w:rPr>
    </w:lvl>
    <w:lvl w:ilvl="8" w:tplc="A49C90DC" w:tentative="1">
      <w:start w:val="1"/>
      <w:numFmt w:val="bullet"/>
      <w:lvlText w:val=""/>
      <w:lvlJc w:val="left"/>
      <w:pPr>
        <w:ind w:left="6480" w:hanging="360"/>
      </w:pPr>
      <w:rPr>
        <w:rFonts w:ascii="Wingdings" w:hAnsi="Wingdings" w:hint="default"/>
      </w:rPr>
    </w:lvl>
  </w:abstractNum>
  <w:abstractNum w:abstractNumId="43" w15:restartNumberingAfterBreak="0">
    <w:nsid w:val="76CA7E8D"/>
    <w:multiLevelType w:val="hybridMultilevel"/>
    <w:tmpl w:val="826CF904"/>
    <w:lvl w:ilvl="0" w:tplc="DE72493C">
      <w:start w:val="1"/>
      <w:numFmt w:val="decimal"/>
      <w:lvlText w:val="%1."/>
      <w:lvlJc w:val="left"/>
      <w:pPr>
        <w:ind w:left="2160" w:hanging="360"/>
      </w:pPr>
      <w:rPr>
        <w:rFonts w:hint="default"/>
        <w:b w:val="0"/>
      </w:rPr>
    </w:lvl>
    <w:lvl w:ilvl="1" w:tplc="021431D2" w:tentative="1">
      <w:start w:val="1"/>
      <w:numFmt w:val="lowerLetter"/>
      <w:lvlText w:val="%2."/>
      <w:lvlJc w:val="left"/>
      <w:pPr>
        <w:ind w:left="2160" w:hanging="360"/>
      </w:pPr>
    </w:lvl>
    <w:lvl w:ilvl="2" w:tplc="8C40F950" w:tentative="1">
      <w:start w:val="1"/>
      <w:numFmt w:val="lowerRoman"/>
      <w:lvlText w:val="%3."/>
      <w:lvlJc w:val="right"/>
      <w:pPr>
        <w:ind w:left="2880" w:hanging="180"/>
      </w:pPr>
    </w:lvl>
    <w:lvl w:ilvl="3" w:tplc="146A9A34" w:tentative="1">
      <w:start w:val="1"/>
      <w:numFmt w:val="decimal"/>
      <w:lvlText w:val="%4."/>
      <w:lvlJc w:val="left"/>
      <w:pPr>
        <w:ind w:left="3600" w:hanging="360"/>
      </w:pPr>
    </w:lvl>
    <w:lvl w:ilvl="4" w:tplc="6320396A" w:tentative="1">
      <w:start w:val="1"/>
      <w:numFmt w:val="lowerLetter"/>
      <w:lvlText w:val="%5."/>
      <w:lvlJc w:val="left"/>
      <w:pPr>
        <w:ind w:left="4320" w:hanging="360"/>
      </w:pPr>
    </w:lvl>
    <w:lvl w:ilvl="5" w:tplc="1FD6C60E" w:tentative="1">
      <w:start w:val="1"/>
      <w:numFmt w:val="lowerRoman"/>
      <w:lvlText w:val="%6."/>
      <w:lvlJc w:val="right"/>
      <w:pPr>
        <w:ind w:left="5040" w:hanging="180"/>
      </w:pPr>
    </w:lvl>
    <w:lvl w:ilvl="6" w:tplc="8E2008C6" w:tentative="1">
      <w:start w:val="1"/>
      <w:numFmt w:val="decimal"/>
      <w:lvlText w:val="%7."/>
      <w:lvlJc w:val="left"/>
      <w:pPr>
        <w:ind w:left="5760" w:hanging="360"/>
      </w:pPr>
    </w:lvl>
    <w:lvl w:ilvl="7" w:tplc="E76E13EA" w:tentative="1">
      <w:start w:val="1"/>
      <w:numFmt w:val="lowerLetter"/>
      <w:lvlText w:val="%8."/>
      <w:lvlJc w:val="left"/>
      <w:pPr>
        <w:ind w:left="6480" w:hanging="360"/>
      </w:pPr>
    </w:lvl>
    <w:lvl w:ilvl="8" w:tplc="4C525E62" w:tentative="1">
      <w:start w:val="1"/>
      <w:numFmt w:val="lowerRoman"/>
      <w:lvlText w:val="%9."/>
      <w:lvlJc w:val="right"/>
      <w:pPr>
        <w:ind w:left="7200" w:hanging="180"/>
      </w:pPr>
    </w:lvl>
  </w:abstractNum>
  <w:abstractNum w:abstractNumId="44" w15:restartNumberingAfterBreak="0">
    <w:nsid w:val="7980701F"/>
    <w:multiLevelType w:val="hybridMultilevel"/>
    <w:tmpl w:val="EDCE8ABC"/>
    <w:lvl w:ilvl="0" w:tplc="18A4A958">
      <w:start w:val="1"/>
      <w:numFmt w:val="decimal"/>
      <w:lvlText w:val="%1."/>
      <w:lvlJc w:val="left"/>
      <w:pPr>
        <w:ind w:left="720" w:hanging="360"/>
      </w:pPr>
    </w:lvl>
    <w:lvl w:ilvl="1" w:tplc="41BE8AA6" w:tentative="1">
      <w:start w:val="1"/>
      <w:numFmt w:val="lowerLetter"/>
      <w:lvlText w:val="%2."/>
      <w:lvlJc w:val="left"/>
      <w:pPr>
        <w:ind w:left="1440" w:hanging="360"/>
      </w:pPr>
    </w:lvl>
    <w:lvl w:ilvl="2" w:tplc="6F1027E6" w:tentative="1">
      <w:start w:val="1"/>
      <w:numFmt w:val="lowerRoman"/>
      <w:lvlText w:val="%3."/>
      <w:lvlJc w:val="right"/>
      <w:pPr>
        <w:ind w:left="2160" w:hanging="180"/>
      </w:pPr>
    </w:lvl>
    <w:lvl w:ilvl="3" w:tplc="F6C6C83A" w:tentative="1">
      <w:start w:val="1"/>
      <w:numFmt w:val="decimal"/>
      <w:lvlText w:val="%4."/>
      <w:lvlJc w:val="left"/>
      <w:pPr>
        <w:ind w:left="2880" w:hanging="360"/>
      </w:pPr>
    </w:lvl>
    <w:lvl w:ilvl="4" w:tplc="1284A55E" w:tentative="1">
      <w:start w:val="1"/>
      <w:numFmt w:val="lowerLetter"/>
      <w:lvlText w:val="%5."/>
      <w:lvlJc w:val="left"/>
      <w:pPr>
        <w:ind w:left="3600" w:hanging="360"/>
      </w:pPr>
    </w:lvl>
    <w:lvl w:ilvl="5" w:tplc="8B828056" w:tentative="1">
      <w:start w:val="1"/>
      <w:numFmt w:val="lowerRoman"/>
      <w:lvlText w:val="%6."/>
      <w:lvlJc w:val="right"/>
      <w:pPr>
        <w:ind w:left="4320" w:hanging="180"/>
      </w:pPr>
    </w:lvl>
    <w:lvl w:ilvl="6" w:tplc="D44030D6" w:tentative="1">
      <w:start w:val="1"/>
      <w:numFmt w:val="decimal"/>
      <w:lvlText w:val="%7."/>
      <w:lvlJc w:val="left"/>
      <w:pPr>
        <w:ind w:left="5040" w:hanging="360"/>
      </w:pPr>
    </w:lvl>
    <w:lvl w:ilvl="7" w:tplc="DB249022" w:tentative="1">
      <w:start w:val="1"/>
      <w:numFmt w:val="lowerLetter"/>
      <w:lvlText w:val="%8."/>
      <w:lvlJc w:val="left"/>
      <w:pPr>
        <w:ind w:left="5760" w:hanging="360"/>
      </w:pPr>
    </w:lvl>
    <w:lvl w:ilvl="8" w:tplc="ECE46874" w:tentative="1">
      <w:start w:val="1"/>
      <w:numFmt w:val="lowerRoman"/>
      <w:lvlText w:val="%9."/>
      <w:lvlJc w:val="right"/>
      <w:pPr>
        <w:ind w:left="6480" w:hanging="180"/>
      </w:pPr>
    </w:lvl>
  </w:abstractNum>
  <w:abstractNum w:abstractNumId="45" w15:restartNumberingAfterBreak="0">
    <w:nsid w:val="7B3F6B16"/>
    <w:multiLevelType w:val="hybridMultilevel"/>
    <w:tmpl w:val="EA36AFC6"/>
    <w:lvl w:ilvl="0" w:tplc="9C4E0258">
      <w:start w:val="1"/>
      <w:numFmt w:val="decimal"/>
      <w:lvlText w:val="%1."/>
      <w:lvlJc w:val="left"/>
      <w:pPr>
        <w:ind w:left="1440" w:hanging="360"/>
      </w:pPr>
      <w:rPr>
        <w:rFonts w:hint="default"/>
      </w:rPr>
    </w:lvl>
    <w:lvl w:ilvl="1" w:tplc="454E3076" w:tentative="1">
      <w:start w:val="1"/>
      <w:numFmt w:val="lowerLetter"/>
      <w:lvlText w:val="%2."/>
      <w:lvlJc w:val="left"/>
      <w:pPr>
        <w:ind w:left="1440" w:hanging="360"/>
      </w:pPr>
    </w:lvl>
    <w:lvl w:ilvl="2" w:tplc="7A488464" w:tentative="1">
      <w:start w:val="1"/>
      <w:numFmt w:val="lowerRoman"/>
      <w:lvlText w:val="%3."/>
      <w:lvlJc w:val="right"/>
      <w:pPr>
        <w:ind w:left="2160" w:hanging="180"/>
      </w:pPr>
    </w:lvl>
    <w:lvl w:ilvl="3" w:tplc="95322962" w:tentative="1">
      <w:start w:val="1"/>
      <w:numFmt w:val="decimal"/>
      <w:lvlText w:val="%4."/>
      <w:lvlJc w:val="left"/>
      <w:pPr>
        <w:ind w:left="2880" w:hanging="360"/>
      </w:pPr>
    </w:lvl>
    <w:lvl w:ilvl="4" w:tplc="FF2AB56E" w:tentative="1">
      <w:start w:val="1"/>
      <w:numFmt w:val="lowerLetter"/>
      <w:lvlText w:val="%5."/>
      <w:lvlJc w:val="left"/>
      <w:pPr>
        <w:ind w:left="3600" w:hanging="360"/>
      </w:pPr>
    </w:lvl>
    <w:lvl w:ilvl="5" w:tplc="CC7EAE2E" w:tentative="1">
      <w:start w:val="1"/>
      <w:numFmt w:val="lowerRoman"/>
      <w:lvlText w:val="%6."/>
      <w:lvlJc w:val="right"/>
      <w:pPr>
        <w:ind w:left="4320" w:hanging="180"/>
      </w:pPr>
    </w:lvl>
    <w:lvl w:ilvl="6" w:tplc="95542660" w:tentative="1">
      <w:start w:val="1"/>
      <w:numFmt w:val="decimal"/>
      <w:lvlText w:val="%7."/>
      <w:lvlJc w:val="left"/>
      <w:pPr>
        <w:ind w:left="5040" w:hanging="360"/>
      </w:pPr>
    </w:lvl>
    <w:lvl w:ilvl="7" w:tplc="958CA522" w:tentative="1">
      <w:start w:val="1"/>
      <w:numFmt w:val="lowerLetter"/>
      <w:lvlText w:val="%8."/>
      <w:lvlJc w:val="left"/>
      <w:pPr>
        <w:ind w:left="5760" w:hanging="360"/>
      </w:pPr>
    </w:lvl>
    <w:lvl w:ilvl="8" w:tplc="929627A6" w:tentative="1">
      <w:start w:val="1"/>
      <w:numFmt w:val="lowerRoman"/>
      <w:lvlText w:val="%9."/>
      <w:lvlJc w:val="right"/>
      <w:pPr>
        <w:ind w:left="6480" w:hanging="180"/>
      </w:pPr>
    </w:lvl>
  </w:abstractNum>
  <w:num w:numId="1" w16cid:durableId="1752123839">
    <w:abstractNumId w:val="18"/>
  </w:num>
  <w:num w:numId="2" w16cid:durableId="1984042491">
    <w:abstractNumId w:val="31"/>
  </w:num>
  <w:num w:numId="3" w16cid:durableId="118914537">
    <w:abstractNumId w:val="41"/>
  </w:num>
  <w:num w:numId="4" w16cid:durableId="1932934919">
    <w:abstractNumId w:val="11"/>
  </w:num>
  <w:num w:numId="5" w16cid:durableId="584412448">
    <w:abstractNumId w:val="34"/>
  </w:num>
  <w:num w:numId="6" w16cid:durableId="1692337555">
    <w:abstractNumId w:val="38"/>
  </w:num>
  <w:num w:numId="7" w16cid:durableId="1668751632">
    <w:abstractNumId w:val="21"/>
  </w:num>
  <w:num w:numId="8" w16cid:durableId="1699504584">
    <w:abstractNumId w:val="28"/>
  </w:num>
  <w:num w:numId="9" w16cid:durableId="1471939920">
    <w:abstractNumId w:val="13"/>
  </w:num>
  <w:num w:numId="10" w16cid:durableId="1456294289">
    <w:abstractNumId w:val="23"/>
  </w:num>
  <w:num w:numId="11" w16cid:durableId="1090856223">
    <w:abstractNumId w:val="32"/>
  </w:num>
  <w:num w:numId="12" w16cid:durableId="347753210">
    <w:abstractNumId w:val="15"/>
  </w:num>
  <w:num w:numId="13" w16cid:durableId="62803357">
    <w:abstractNumId w:val="44"/>
  </w:num>
  <w:num w:numId="14" w16cid:durableId="571625102">
    <w:abstractNumId w:val="42"/>
  </w:num>
  <w:num w:numId="15" w16cid:durableId="1783526964">
    <w:abstractNumId w:val="17"/>
  </w:num>
  <w:num w:numId="16" w16cid:durableId="985014971">
    <w:abstractNumId w:val="9"/>
  </w:num>
  <w:num w:numId="17" w16cid:durableId="1511211528">
    <w:abstractNumId w:val="6"/>
  </w:num>
  <w:num w:numId="18" w16cid:durableId="1311205117">
    <w:abstractNumId w:val="29"/>
  </w:num>
  <w:num w:numId="19" w16cid:durableId="81266712">
    <w:abstractNumId w:val="14"/>
  </w:num>
  <w:num w:numId="20" w16cid:durableId="1802188761">
    <w:abstractNumId w:val="35"/>
  </w:num>
  <w:num w:numId="21" w16cid:durableId="225191431">
    <w:abstractNumId w:val="2"/>
  </w:num>
  <w:num w:numId="22" w16cid:durableId="475996718">
    <w:abstractNumId w:val="3"/>
  </w:num>
  <w:num w:numId="23" w16cid:durableId="1177505288">
    <w:abstractNumId w:val="36"/>
  </w:num>
  <w:num w:numId="24" w16cid:durableId="1469979916">
    <w:abstractNumId w:val="1"/>
  </w:num>
  <w:num w:numId="25" w16cid:durableId="2064523745">
    <w:abstractNumId w:val="43"/>
  </w:num>
  <w:num w:numId="26" w16cid:durableId="2035377389">
    <w:abstractNumId w:val="12"/>
  </w:num>
  <w:num w:numId="27" w16cid:durableId="36244250">
    <w:abstractNumId w:val="10"/>
  </w:num>
  <w:num w:numId="28" w16cid:durableId="1292590424">
    <w:abstractNumId w:val="24"/>
  </w:num>
  <w:num w:numId="29" w16cid:durableId="1386101939">
    <w:abstractNumId w:val="40"/>
  </w:num>
  <w:num w:numId="30" w16cid:durableId="162477455">
    <w:abstractNumId w:val="37"/>
  </w:num>
  <w:num w:numId="31" w16cid:durableId="1461613676">
    <w:abstractNumId w:val="26"/>
  </w:num>
  <w:num w:numId="32" w16cid:durableId="2144497285">
    <w:abstractNumId w:val="7"/>
  </w:num>
  <w:num w:numId="33" w16cid:durableId="219102544">
    <w:abstractNumId w:val="39"/>
  </w:num>
  <w:num w:numId="34" w16cid:durableId="1624656481">
    <w:abstractNumId w:val="22"/>
  </w:num>
  <w:num w:numId="35" w16cid:durableId="1509101161">
    <w:abstractNumId w:val="0"/>
  </w:num>
  <w:num w:numId="36" w16cid:durableId="148135459">
    <w:abstractNumId w:val="30"/>
  </w:num>
  <w:num w:numId="37" w16cid:durableId="1945188516">
    <w:abstractNumId w:val="4"/>
  </w:num>
  <w:num w:numId="38" w16cid:durableId="1908417389">
    <w:abstractNumId w:val="19"/>
  </w:num>
  <w:num w:numId="39" w16cid:durableId="1916432313">
    <w:abstractNumId w:val="33"/>
  </w:num>
  <w:num w:numId="40" w16cid:durableId="1293098917">
    <w:abstractNumId w:val="8"/>
  </w:num>
  <w:num w:numId="41" w16cid:durableId="662897725">
    <w:abstractNumId w:val="27"/>
  </w:num>
  <w:num w:numId="42" w16cid:durableId="511338255">
    <w:abstractNumId w:val="45"/>
  </w:num>
  <w:num w:numId="43" w16cid:durableId="1078015820">
    <w:abstractNumId w:val="25"/>
  </w:num>
  <w:num w:numId="44" w16cid:durableId="1448620116">
    <w:abstractNumId w:val="20"/>
  </w:num>
  <w:num w:numId="45" w16cid:durableId="621308805">
    <w:abstractNumId w:val="5"/>
  </w:num>
  <w:num w:numId="46" w16cid:durableId="21079176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s0ds2s9dwafteaw52vv5tjzz0p5eafpz0f&quot;&gt;Jove article&lt;record-ids&gt;&lt;item&gt;1&lt;/item&gt;&lt;item&gt;2&lt;/item&gt;&lt;item&gt;3&lt;/item&gt;&lt;item&gt;4&lt;/item&gt;&lt;item&gt;5&lt;/item&gt;&lt;item&gt;6&lt;/item&gt;&lt;item&gt;7&lt;/item&gt;&lt;item&gt;8&lt;/item&gt;&lt;item&gt;9&lt;/item&gt;&lt;item&gt;10&lt;/item&gt;&lt;item&gt;11&lt;/item&gt;&lt;item&gt;12&lt;/item&gt;&lt;item&gt;13&lt;/item&gt;&lt;item&gt;14&lt;/item&gt;&lt;/record-ids&gt;&lt;/item&gt;&lt;/Libraries&gt;"/>
  </w:docVars>
  <w:rsids>
    <w:rsidRoot w:val="006E4797"/>
    <w:rsid w:val="00002290"/>
    <w:rsid w:val="00004830"/>
    <w:rsid w:val="0000515B"/>
    <w:rsid w:val="000069EE"/>
    <w:rsid w:val="0001117C"/>
    <w:rsid w:val="00011457"/>
    <w:rsid w:val="00013652"/>
    <w:rsid w:val="000144E3"/>
    <w:rsid w:val="00014B5A"/>
    <w:rsid w:val="00016165"/>
    <w:rsid w:val="0002066E"/>
    <w:rsid w:val="00022FDC"/>
    <w:rsid w:val="000249F9"/>
    <w:rsid w:val="0002558C"/>
    <w:rsid w:val="000338BF"/>
    <w:rsid w:val="00034DD1"/>
    <w:rsid w:val="0003655F"/>
    <w:rsid w:val="0004355D"/>
    <w:rsid w:val="00047088"/>
    <w:rsid w:val="000500A6"/>
    <w:rsid w:val="00051953"/>
    <w:rsid w:val="00052394"/>
    <w:rsid w:val="0005405B"/>
    <w:rsid w:val="00054883"/>
    <w:rsid w:val="000549F0"/>
    <w:rsid w:val="00057B67"/>
    <w:rsid w:val="00060F41"/>
    <w:rsid w:val="00061D70"/>
    <w:rsid w:val="00061E0E"/>
    <w:rsid w:val="00062004"/>
    <w:rsid w:val="000639B8"/>
    <w:rsid w:val="00063C3D"/>
    <w:rsid w:val="00065D6C"/>
    <w:rsid w:val="00066D02"/>
    <w:rsid w:val="000675FD"/>
    <w:rsid w:val="00067938"/>
    <w:rsid w:val="0007064C"/>
    <w:rsid w:val="000742E6"/>
    <w:rsid w:val="00074F02"/>
    <w:rsid w:val="0007506F"/>
    <w:rsid w:val="00076815"/>
    <w:rsid w:val="00081991"/>
    <w:rsid w:val="00081F44"/>
    <w:rsid w:val="00082A5F"/>
    <w:rsid w:val="00085D97"/>
    <w:rsid w:val="000863C0"/>
    <w:rsid w:val="000864E9"/>
    <w:rsid w:val="00091C88"/>
    <w:rsid w:val="00094EDF"/>
    <w:rsid w:val="00095F9B"/>
    <w:rsid w:val="00096E58"/>
    <w:rsid w:val="00097D62"/>
    <w:rsid w:val="000A0DBC"/>
    <w:rsid w:val="000A1989"/>
    <w:rsid w:val="000A2117"/>
    <w:rsid w:val="000A2F2D"/>
    <w:rsid w:val="000A2FE7"/>
    <w:rsid w:val="000A4613"/>
    <w:rsid w:val="000A59D6"/>
    <w:rsid w:val="000A7AED"/>
    <w:rsid w:val="000B41B6"/>
    <w:rsid w:val="000B50F7"/>
    <w:rsid w:val="000B5A92"/>
    <w:rsid w:val="000C13C1"/>
    <w:rsid w:val="000C3338"/>
    <w:rsid w:val="000C36F9"/>
    <w:rsid w:val="000C4962"/>
    <w:rsid w:val="000C5108"/>
    <w:rsid w:val="000C5525"/>
    <w:rsid w:val="000C74FA"/>
    <w:rsid w:val="000D1101"/>
    <w:rsid w:val="000D22AB"/>
    <w:rsid w:val="000D3060"/>
    <w:rsid w:val="000D3211"/>
    <w:rsid w:val="000D61FC"/>
    <w:rsid w:val="000E2364"/>
    <w:rsid w:val="000E2ABF"/>
    <w:rsid w:val="000E3F21"/>
    <w:rsid w:val="000E4C51"/>
    <w:rsid w:val="000E4FBE"/>
    <w:rsid w:val="000F3FC0"/>
    <w:rsid w:val="000F52DD"/>
    <w:rsid w:val="000F56FC"/>
    <w:rsid w:val="000F5DC7"/>
    <w:rsid w:val="001037A7"/>
    <w:rsid w:val="0010587F"/>
    <w:rsid w:val="00106AF5"/>
    <w:rsid w:val="00106DEC"/>
    <w:rsid w:val="001160BE"/>
    <w:rsid w:val="0012063B"/>
    <w:rsid w:val="00121FDE"/>
    <w:rsid w:val="00122E5A"/>
    <w:rsid w:val="00123D8E"/>
    <w:rsid w:val="001245CB"/>
    <w:rsid w:val="00125335"/>
    <w:rsid w:val="00125ECB"/>
    <w:rsid w:val="00126BE3"/>
    <w:rsid w:val="001313C9"/>
    <w:rsid w:val="00132FA5"/>
    <w:rsid w:val="00136381"/>
    <w:rsid w:val="00136C85"/>
    <w:rsid w:val="00137358"/>
    <w:rsid w:val="00141BB8"/>
    <w:rsid w:val="001437A5"/>
    <w:rsid w:val="00145CF0"/>
    <w:rsid w:val="00145E07"/>
    <w:rsid w:val="00146F3B"/>
    <w:rsid w:val="00147C58"/>
    <w:rsid w:val="00147CBA"/>
    <w:rsid w:val="0015068F"/>
    <w:rsid w:val="00151E6C"/>
    <w:rsid w:val="0015327B"/>
    <w:rsid w:val="00155EE8"/>
    <w:rsid w:val="00160464"/>
    <w:rsid w:val="00161A38"/>
    <w:rsid w:val="001624E4"/>
    <w:rsid w:val="001636B4"/>
    <w:rsid w:val="00166913"/>
    <w:rsid w:val="0017118E"/>
    <w:rsid w:val="0017387F"/>
    <w:rsid w:val="001740DE"/>
    <w:rsid w:val="0017499D"/>
    <w:rsid w:val="0017567F"/>
    <w:rsid w:val="00175708"/>
    <w:rsid w:val="00181A81"/>
    <w:rsid w:val="0018412F"/>
    <w:rsid w:val="001867E6"/>
    <w:rsid w:val="00187D2E"/>
    <w:rsid w:val="00190B4E"/>
    <w:rsid w:val="00194C04"/>
    <w:rsid w:val="00194CE8"/>
    <w:rsid w:val="00194F4D"/>
    <w:rsid w:val="00195151"/>
    <w:rsid w:val="001959A2"/>
    <w:rsid w:val="00196E40"/>
    <w:rsid w:val="001A1C5C"/>
    <w:rsid w:val="001A1CA1"/>
    <w:rsid w:val="001A2D84"/>
    <w:rsid w:val="001A3D0F"/>
    <w:rsid w:val="001A5133"/>
    <w:rsid w:val="001B1720"/>
    <w:rsid w:val="001B2F1E"/>
    <w:rsid w:val="001B4ABA"/>
    <w:rsid w:val="001B60EA"/>
    <w:rsid w:val="001B6509"/>
    <w:rsid w:val="001B68EB"/>
    <w:rsid w:val="001C1B9E"/>
    <w:rsid w:val="001C1E5D"/>
    <w:rsid w:val="001C21E0"/>
    <w:rsid w:val="001C3EF5"/>
    <w:rsid w:val="001C4305"/>
    <w:rsid w:val="001C43C8"/>
    <w:rsid w:val="001C6D88"/>
    <w:rsid w:val="001C7B09"/>
    <w:rsid w:val="001D1578"/>
    <w:rsid w:val="001D24FD"/>
    <w:rsid w:val="001D273D"/>
    <w:rsid w:val="001D2E09"/>
    <w:rsid w:val="001E0AC0"/>
    <w:rsid w:val="001E362E"/>
    <w:rsid w:val="001E3941"/>
    <w:rsid w:val="001E6C23"/>
    <w:rsid w:val="001E70F1"/>
    <w:rsid w:val="001F28B0"/>
    <w:rsid w:val="001F2E93"/>
    <w:rsid w:val="001F3109"/>
    <w:rsid w:val="001F350A"/>
    <w:rsid w:val="001F4E53"/>
    <w:rsid w:val="001F58D4"/>
    <w:rsid w:val="001F6231"/>
    <w:rsid w:val="001F7934"/>
    <w:rsid w:val="00200948"/>
    <w:rsid w:val="00202326"/>
    <w:rsid w:val="00204931"/>
    <w:rsid w:val="00205E2D"/>
    <w:rsid w:val="0020626C"/>
    <w:rsid w:val="00206779"/>
    <w:rsid w:val="00210DD6"/>
    <w:rsid w:val="00213B6B"/>
    <w:rsid w:val="00214319"/>
    <w:rsid w:val="00215FDC"/>
    <w:rsid w:val="0021618E"/>
    <w:rsid w:val="00216774"/>
    <w:rsid w:val="00217107"/>
    <w:rsid w:val="00220C06"/>
    <w:rsid w:val="00220D65"/>
    <w:rsid w:val="0022385C"/>
    <w:rsid w:val="00231479"/>
    <w:rsid w:val="00231F3E"/>
    <w:rsid w:val="0023296D"/>
    <w:rsid w:val="00232DDC"/>
    <w:rsid w:val="00233ED4"/>
    <w:rsid w:val="002411D9"/>
    <w:rsid w:val="002416C1"/>
    <w:rsid w:val="00242405"/>
    <w:rsid w:val="0024286F"/>
    <w:rsid w:val="002438E3"/>
    <w:rsid w:val="00243DFA"/>
    <w:rsid w:val="002444F8"/>
    <w:rsid w:val="0024467C"/>
    <w:rsid w:val="002465E3"/>
    <w:rsid w:val="00247290"/>
    <w:rsid w:val="0024739A"/>
    <w:rsid w:val="00247AEB"/>
    <w:rsid w:val="00252077"/>
    <w:rsid w:val="00252926"/>
    <w:rsid w:val="0026017A"/>
    <w:rsid w:val="00264A9D"/>
    <w:rsid w:val="00265F50"/>
    <w:rsid w:val="0026666D"/>
    <w:rsid w:val="00273716"/>
    <w:rsid w:val="00273EDD"/>
    <w:rsid w:val="00275E0C"/>
    <w:rsid w:val="0027790C"/>
    <w:rsid w:val="00282580"/>
    <w:rsid w:val="002859AC"/>
    <w:rsid w:val="00287CA3"/>
    <w:rsid w:val="00290237"/>
    <w:rsid w:val="0029041B"/>
    <w:rsid w:val="0029290C"/>
    <w:rsid w:val="00292A8E"/>
    <w:rsid w:val="002938FE"/>
    <w:rsid w:val="00294F42"/>
    <w:rsid w:val="002968D3"/>
    <w:rsid w:val="002A15E6"/>
    <w:rsid w:val="002A2917"/>
    <w:rsid w:val="002A2EB0"/>
    <w:rsid w:val="002A367E"/>
    <w:rsid w:val="002A4444"/>
    <w:rsid w:val="002A4DE5"/>
    <w:rsid w:val="002A4F68"/>
    <w:rsid w:val="002A5B5A"/>
    <w:rsid w:val="002B0EB0"/>
    <w:rsid w:val="002B1BCA"/>
    <w:rsid w:val="002B2658"/>
    <w:rsid w:val="002B2E2E"/>
    <w:rsid w:val="002B44A0"/>
    <w:rsid w:val="002B56A3"/>
    <w:rsid w:val="002B7C23"/>
    <w:rsid w:val="002C0686"/>
    <w:rsid w:val="002C17AD"/>
    <w:rsid w:val="002C3C99"/>
    <w:rsid w:val="002C5F30"/>
    <w:rsid w:val="002C6057"/>
    <w:rsid w:val="002C607F"/>
    <w:rsid w:val="002D2083"/>
    <w:rsid w:val="002D43FD"/>
    <w:rsid w:val="002D475D"/>
    <w:rsid w:val="002D7F71"/>
    <w:rsid w:val="002E03B5"/>
    <w:rsid w:val="002E5DFE"/>
    <w:rsid w:val="002E65F6"/>
    <w:rsid w:val="002F6CE2"/>
    <w:rsid w:val="002F6F83"/>
    <w:rsid w:val="00300DEB"/>
    <w:rsid w:val="00303890"/>
    <w:rsid w:val="00303AF0"/>
    <w:rsid w:val="00305176"/>
    <w:rsid w:val="0030773A"/>
    <w:rsid w:val="00312F2E"/>
    <w:rsid w:val="0031536E"/>
    <w:rsid w:val="0031658E"/>
    <w:rsid w:val="00316F24"/>
    <w:rsid w:val="003209E3"/>
    <w:rsid w:val="003224AA"/>
    <w:rsid w:val="00326912"/>
    <w:rsid w:val="00327BE9"/>
    <w:rsid w:val="00333D4B"/>
    <w:rsid w:val="0033593D"/>
    <w:rsid w:val="003361C6"/>
    <w:rsid w:val="0033638D"/>
    <w:rsid w:val="00340ABB"/>
    <w:rsid w:val="00342CDD"/>
    <w:rsid w:val="003453BD"/>
    <w:rsid w:val="00345A90"/>
    <w:rsid w:val="00345B68"/>
    <w:rsid w:val="00346026"/>
    <w:rsid w:val="003504F8"/>
    <w:rsid w:val="00351087"/>
    <w:rsid w:val="003548DA"/>
    <w:rsid w:val="00354D89"/>
    <w:rsid w:val="00355EAC"/>
    <w:rsid w:val="00356228"/>
    <w:rsid w:val="00356880"/>
    <w:rsid w:val="00360D34"/>
    <w:rsid w:val="00363C1B"/>
    <w:rsid w:val="003660C0"/>
    <w:rsid w:val="003661AE"/>
    <w:rsid w:val="0036728E"/>
    <w:rsid w:val="00370C2F"/>
    <w:rsid w:val="00371333"/>
    <w:rsid w:val="00372159"/>
    <w:rsid w:val="00372E31"/>
    <w:rsid w:val="00372E9C"/>
    <w:rsid w:val="0037351B"/>
    <w:rsid w:val="00377999"/>
    <w:rsid w:val="00383ED8"/>
    <w:rsid w:val="00386403"/>
    <w:rsid w:val="00387CDA"/>
    <w:rsid w:val="00392119"/>
    <w:rsid w:val="003931D6"/>
    <w:rsid w:val="003940CD"/>
    <w:rsid w:val="00395E6C"/>
    <w:rsid w:val="003A2671"/>
    <w:rsid w:val="003A2E0F"/>
    <w:rsid w:val="003A4366"/>
    <w:rsid w:val="003A5297"/>
    <w:rsid w:val="003A747F"/>
    <w:rsid w:val="003B0EE1"/>
    <w:rsid w:val="003B2305"/>
    <w:rsid w:val="003B6CB8"/>
    <w:rsid w:val="003C0FA3"/>
    <w:rsid w:val="003C1DCA"/>
    <w:rsid w:val="003C2E6A"/>
    <w:rsid w:val="003C3813"/>
    <w:rsid w:val="003C3DDA"/>
    <w:rsid w:val="003C596B"/>
    <w:rsid w:val="003C5F15"/>
    <w:rsid w:val="003D3329"/>
    <w:rsid w:val="003D5202"/>
    <w:rsid w:val="003D61C8"/>
    <w:rsid w:val="003D67E2"/>
    <w:rsid w:val="003E073E"/>
    <w:rsid w:val="003E0756"/>
    <w:rsid w:val="003E0DD0"/>
    <w:rsid w:val="003E1A28"/>
    <w:rsid w:val="003E2541"/>
    <w:rsid w:val="003E55E2"/>
    <w:rsid w:val="003E7513"/>
    <w:rsid w:val="003E7EC9"/>
    <w:rsid w:val="003F15E9"/>
    <w:rsid w:val="003F37F0"/>
    <w:rsid w:val="003F4395"/>
    <w:rsid w:val="00401CEA"/>
    <w:rsid w:val="00402940"/>
    <w:rsid w:val="00402F62"/>
    <w:rsid w:val="00403B12"/>
    <w:rsid w:val="00404052"/>
    <w:rsid w:val="0040579A"/>
    <w:rsid w:val="00405BDD"/>
    <w:rsid w:val="00405E50"/>
    <w:rsid w:val="0041071A"/>
    <w:rsid w:val="0041212D"/>
    <w:rsid w:val="004127ED"/>
    <w:rsid w:val="0041400C"/>
    <w:rsid w:val="00414ADE"/>
    <w:rsid w:val="00416AE9"/>
    <w:rsid w:val="00417994"/>
    <w:rsid w:val="00421B4D"/>
    <w:rsid w:val="00421E54"/>
    <w:rsid w:val="00422C63"/>
    <w:rsid w:val="00422FD2"/>
    <w:rsid w:val="00424C29"/>
    <w:rsid w:val="00424DB6"/>
    <w:rsid w:val="00426823"/>
    <w:rsid w:val="00432BE5"/>
    <w:rsid w:val="00433BDA"/>
    <w:rsid w:val="00434A4B"/>
    <w:rsid w:val="004361C8"/>
    <w:rsid w:val="0043697C"/>
    <w:rsid w:val="00436F4D"/>
    <w:rsid w:val="004379F8"/>
    <w:rsid w:val="00440A1A"/>
    <w:rsid w:val="004410A3"/>
    <w:rsid w:val="0044165A"/>
    <w:rsid w:val="004419C4"/>
    <w:rsid w:val="00442DCD"/>
    <w:rsid w:val="00447C0B"/>
    <w:rsid w:val="0046059B"/>
    <w:rsid w:val="004620C9"/>
    <w:rsid w:val="00467A7C"/>
    <w:rsid w:val="00481A0E"/>
    <w:rsid w:val="00484E96"/>
    <w:rsid w:val="00486ED0"/>
    <w:rsid w:val="004879D0"/>
    <w:rsid w:val="00490382"/>
    <w:rsid w:val="00490D2B"/>
    <w:rsid w:val="004939EE"/>
    <w:rsid w:val="00494ABB"/>
    <w:rsid w:val="00494EC7"/>
    <w:rsid w:val="00495ED1"/>
    <w:rsid w:val="004969D3"/>
    <w:rsid w:val="004A0129"/>
    <w:rsid w:val="004A19BD"/>
    <w:rsid w:val="004A2166"/>
    <w:rsid w:val="004A36FE"/>
    <w:rsid w:val="004A3A31"/>
    <w:rsid w:val="004A57DD"/>
    <w:rsid w:val="004A6EA4"/>
    <w:rsid w:val="004B00B6"/>
    <w:rsid w:val="004B1A22"/>
    <w:rsid w:val="004B3970"/>
    <w:rsid w:val="004B5F4B"/>
    <w:rsid w:val="004C0985"/>
    <w:rsid w:val="004C5F5F"/>
    <w:rsid w:val="004C69AD"/>
    <w:rsid w:val="004C6A19"/>
    <w:rsid w:val="004C6D9A"/>
    <w:rsid w:val="004D07F4"/>
    <w:rsid w:val="004D134F"/>
    <w:rsid w:val="004D1B1C"/>
    <w:rsid w:val="004D2C6C"/>
    <w:rsid w:val="004D362E"/>
    <w:rsid w:val="004D4B08"/>
    <w:rsid w:val="004D73E0"/>
    <w:rsid w:val="004D76A8"/>
    <w:rsid w:val="004E0DE6"/>
    <w:rsid w:val="004E1B65"/>
    <w:rsid w:val="004E43C4"/>
    <w:rsid w:val="004E4AD1"/>
    <w:rsid w:val="004F1DC7"/>
    <w:rsid w:val="004F58D4"/>
    <w:rsid w:val="004F58E2"/>
    <w:rsid w:val="004F6AD9"/>
    <w:rsid w:val="00501B85"/>
    <w:rsid w:val="00502AAD"/>
    <w:rsid w:val="005032DC"/>
    <w:rsid w:val="005038D8"/>
    <w:rsid w:val="00506F56"/>
    <w:rsid w:val="00507469"/>
    <w:rsid w:val="00513CCF"/>
    <w:rsid w:val="00516187"/>
    <w:rsid w:val="0051641D"/>
    <w:rsid w:val="00516914"/>
    <w:rsid w:val="005208C3"/>
    <w:rsid w:val="00523429"/>
    <w:rsid w:val="00524937"/>
    <w:rsid w:val="00526532"/>
    <w:rsid w:val="00526C56"/>
    <w:rsid w:val="00530512"/>
    <w:rsid w:val="00530B22"/>
    <w:rsid w:val="00531BF0"/>
    <w:rsid w:val="00532987"/>
    <w:rsid w:val="00533594"/>
    <w:rsid w:val="0053690C"/>
    <w:rsid w:val="00546691"/>
    <w:rsid w:val="005514A2"/>
    <w:rsid w:val="00551D82"/>
    <w:rsid w:val="0055344F"/>
    <w:rsid w:val="00554561"/>
    <w:rsid w:val="005603BB"/>
    <w:rsid w:val="005604CC"/>
    <w:rsid w:val="00560CA9"/>
    <w:rsid w:val="005610B7"/>
    <w:rsid w:val="0056130D"/>
    <w:rsid w:val="00562283"/>
    <w:rsid w:val="005622A2"/>
    <w:rsid w:val="00562FAF"/>
    <w:rsid w:val="00564084"/>
    <w:rsid w:val="00564AF1"/>
    <w:rsid w:val="005669AD"/>
    <w:rsid w:val="005670A9"/>
    <w:rsid w:val="00570D72"/>
    <w:rsid w:val="005713A7"/>
    <w:rsid w:val="0057280A"/>
    <w:rsid w:val="005734D7"/>
    <w:rsid w:val="00575144"/>
    <w:rsid w:val="00575E55"/>
    <w:rsid w:val="005804CB"/>
    <w:rsid w:val="005808CE"/>
    <w:rsid w:val="00580B7C"/>
    <w:rsid w:val="00580ED5"/>
    <w:rsid w:val="00581CEA"/>
    <w:rsid w:val="00585BF5"/>
    <w:rsid w:val="005867B6"/>
    <w:rsid w:val="00587978"/>
    <w:rsid w:val="00590946"/>
    <w:rsid w:val="0059400A"/>
    <w:rsid w:val="00595EE5"/>
    <w:rsid w:val="00596815"/>
    <w:rsid w:val="005969EA"/>
    <w:rsid w:val="005A0CE7"/>
    <w:rsid w:val="005A156F"/>
    <w:rsid w:val="005A19F2"/>
    <w:rsid w:val="005A1B05"/>
    <w:rsid w:val="005A5D04"/>
    <w:rsid w:val="005A637B"/>
    <w:rsid w:val="005B46C4"/>
    <w:rsid w:val="005C07D5"/>
    <w:rsid w:val="005D0714"/>
    <w:rsid w:val="005D1207"/>
    <w:rsid w:val="005D1324"/>
    <w:rsid w:val="005D3F66"/>
    <w:rsid w:val="005D7753"/>
    <w:rsid w:val="005E0A08"/>
    <w:rsid w:val="005E1896"/>
    <w:rsid w:val="005E1EE7"/>
    <w:rsid w:val="005E2438"/>
    <w:rsid w:val="005E4B52"/>
    <w:rsid w:val="005E50D6"/>
    <w:rsid w:val="005F578D"/>
    <w:rsid w:val="00600751"/>
    <w:rsid w:val="006023EC"/>
    <w:rsid w:val="00604100"/>
    <w:rsid w:val="00604758"/>
    <w:rsid w:val="00605A84"/>
    <w:rsid w:val="006078AC"/>
    <w:rsid w:val="00607C78"/>
    <w:rsid w:val="0061144C"/>
    <w:rsid w:val="00611BE9"/>
    <w:rsid w:val="00615035"/>
    <w:rsid w:val="006154EB"/>
    <w:rsid w:val="00620292"/>
    <w:rsid w:val="00620842"/>
    <w:rsid w:val="006212AE"/>
    <w:rsid w:val="00622578"/>
    <w:rsid w:val="006239A1"/>
    <w:rsid w:val="0062648C"/>
    <w:rsid w:val="0062725A"/>
    <w:rsid w:val="006305CA"/>
    <w:rsid w:val="006310B9"/>
    <w:rsid w:val="0063112A"/>
    <w:rsid w:val="00632259"/>
    <w:rsid w:val="006322AC"/>
    <w:rsid w:val="00632B1F"/>
    <w:rsid w:val="00634672"/>
    <w:rsid w:val="0063473C"/>
    <w:rsid w:val="00636EEE"/>
    <w:rsid w:val="00640644"/>
    <w:rsid w:val="00646CB6"/>
    <w:rsid w:val="00647209"/>
    <w:rsid w:val="00650505"/>
    <w:rsid w:val="00654B84"/>
    <w:rsid w:val="00655B6F"/>
    <w:rsid w:val="00656A55"/>
    <w:rsid w:val="00660F2E"/>
    <w:rsid w:val="0066219A"/>
    <w:rsid w:val="00662B0B"/>
    <w:rsid w:val="00663CFB"/>
    <w:rsid w:val="00664D35"/>
    <w:rsid w:val="00665571"/>
    <w:rsid w:val="006659A7"/>
    <w:rsid w:val="006710F3"/>
    <w:rsid w:val="00672DC7"/>
    <w:rsid w:val="006755EE"/>
    <w:rsid w:val="00675FB9"/>
    <w:rsid w:val="0068027B"/>
    <w:rsid w:val="006824BF"/>
    <w:rsid w:val="006839D6"/>
    <w:rsid w:val="00683EC1"/>
    <w:rsid w:val="006840D1"/>
    <w:rsid w:val="00687633"/>
    <w:rsid w:val="00690AE8"/>
    <w:rsid w:val="00691679"/>
    <w:rsid w:val="006916C0"/>
    <w:rsid w:val="0069272A"/>
    <w:rsid w:val="00696091"/>
    <w:rsid w:val="00696F93"/>
    <w:rsid w:val="006A171B"/>
    <w:rsid w:val="006A34E2"/>
    <w:rsid w:val="006A3F85"/>
    <w:rsid w:val="006A53D7"/>
    <w:rsid w:val="006A56DE"/>
    <w:rsid w:val="006A62D3"/>
    <w:rsid w:val="006A6821"/>
    <w:rsid w:val="006A7509"/>
    <w:rsid w:val="006A7962"/>
    <w:rsid w:val="006B043F"/>
    <w:rsid w:val="006B2B3D"/>
    <w:rsid w:val="006B4AF3"/>
    <w:rsid w:val="006B6BFE"/>
    <w:rsid w:val="006B7413"/>
    <w:rsid w:val="006B7D10"/>
    <w:rsid w:val="006C19EB"/>
    <w:rsid w:val="006C29CF"/>
    <w:rsid w:val="006D3D11"/>
    <w:rsid w:val="006E1706"/>
    <w:rsid w:val="006E2C11"/>
    <w:rsid w:val="006E4797"/>
    <w:rsid w:val="006E5FFE"/>
    <w:rsid w:val="006E6E71"/>
    <w:rsid w:val="006E6EB9"/>
    <w:rsid w:val="006E7C64"/>
    <w:rsid w:val="006F0183"/>
    <w:rsid w:val="006F3465"/>
    <w:rsid w:val="006F36CD"/>
    <w:rsid w:val="006F5257"/>
    <w:rsid w:val="00702ADE"/>
    <w:rsid w:val="00703523"/>
    <w:rsid w:val="00703719"/>
    <w:rsid w:val="00703D3F"/>
    <w:rsid w:val="0070444F"/>
    <w:rsid w:val="007054A4"/>
    <w:rsid w:val="0071052B"/>
    <w:rsid w:val="00711073"/>
    <w:rsid w:val="0071179B"/>
    <w:rsid w:val="00711BA7"/>
    <w:rsid w:val="00714611"/>
    <w:rsid w:val="00714BE0"/>
    <w:rsid w:val="00720EB2"/>
    <w:rsid w:val="00733F77"/>
    <w:rsid w:val="00734B44"/>
    <w:rsid w:val="00735065"/>
    <w:rsid w:val="00736048"/>
    <w:rsid w:val="00736371"/>
    <w:rsid w:val="007372E6"/>
    <w:rsid w:val="00740401"/>
    <w:rsid w:val="00740A9C"/>
    <w:rsid w:val="007412F5"/>
    <w:rsid w:val="00743570"/>
    <w:rsid w:val="0074409D"/>
    <w:rsid w:val="0074481C"/>
    <w:rsid w:val="00745792"/>
    <w:rsid w:val="00746516"/>
    <w:rsid w:val="00747290"/>
    <w:rsid w:val="0075002C"/>
    <w:rsid w:val="00751D3D"/>
    <w:rsid w:val="007525EE"/>
    <w:rsid w:val="00753350"/>
    <w:rsid w:val="007543C4"/>
    <w:rsid w:val="0075519C"/>
    <w:rsid w:val="007579F0"/>
    <w:rsid w:val="00757A5B"/>
    <w:rsid w:val="007611AC"/>
    <w:rsid w:val="00762A1E"/>
    <w:rsid w:val="007654B4"/>
    <w:rsid w:val="0076679D"/>
    <w:rsid w:val="00766813"/>
    <w:rsid w:val="0077270A"/>
    <w:rsid w:val="007744A4"/>
    <w:rsid w:val="00781AB7"/>
    <w:rsid w:val="007820D0"/>
    <w:rsid w:val="00785203"/>
    <w:rsid w:val="007900D0"/>
    <w:rsid w:val="00791123"/>
    <w:rsid w:val="00795FD8"/>
    <w:rsid w:val="007A015B"/>
    <w:rsid w:val="007A029D"/>
    <w:rsid w:val="007A4BBA"/>
    <w:rsid w:val="007A6791"/>
    <w:rsid w:val="007A7C54"/>
    <w:rsid w:val="007B1138"/>
    <w:rsid w:val="007B2B17"/>
    <w:rsid w:val="007B36E8"/>
    <w:rsid w:val="007B488F"/>
    <w:rsid w:val="007B4914"/>
    <w:rsid w:val="007B72A4"/>
    <w:rsid w:val="007B751B"/>
    <w:rsid w:val="007C1E9E"/>
    <w:rsid w:val="007C404F"/>
    <w:rsid w:val="007C52F8"/>
    <w:rsid w:val="007C6151"/>
    <w:rsid w:val="007C6B66"/>
    <w:rsid w:val="007C79EA"/>
    <w:rsid w:val="007D2DFC"/>
    <w:rsid w:val="007D3CB7"/>
    <w:rsid w:val="007D4853"/>
    <w:rsid w:val="007D60BC"/>
    <w:rsid w:val="007D6BE0"/>
    <w:rsid w:val="007D7A0F"/>
    <w:rsid w:val="007E075D"/>
    <w:rsid w:val="007E3F38"/>
    <w:rsid w:val="007E3F8B"/>
    <w:rsid w:val="007E44AE"/>
    <w:rsid w:val="007F0EBA"/>
    <w:rsid w:val="007F13E9"/>
    <w:rsid w:val="007F1A63"/>
    <w:rsid w:val="007F2030"/>
    <w:rsid w:val="007F56B8"/>
    <w:rsid w:val="007F5EB0"/>
    <w:rsid w:val="007F7CCF"/>
    <w:rsid w:val="00802BF4"/>
    <w:rsid w:val="008033B8"/>
    <w:rsid w:val="008067AF"/>
    <w:rsid w:val="00807A6B"/>
    <w:rsid w:val="008139B3"/>
    <w:rsid w:val="00815C97"/>
    <w:rsid w:val="00816398"/>
    <w:rsid w:val="00823968"/>
    <w:rsid w:val="00824018"/>
    <w:rsid w:val="00824477"/>
    <w:rsid w:val="00825A50"/>
    <w:rsid w:val="00826174"/>
    <w:rsid w:val="0082793A"/>
    <w:rsid w:val="00833B96"/>
    <w:rsid w:val="008343C7"/>
    <w:rsid w:val="00834DB2"/>
    <w:rsid w:val="00834F9F"/>
    <w:rsid w:val="0083575D"/>
    <w:rsid w:val="00835F46"/>
    <w:rsid w:val="00836613"/>
    <w:rsid w:val="00841656"/>
    <w:rsid w:val="00841DF2"/>
    <w:rsid w:val="008425A4"/>
    <w:rsid w:val="008442F1"/>
    <w:rsid w:val="00844B04"/>
    <w:rsid w:val="00844FBF"/>
    <w:rsid w:val="00845152"/>
    <w:rsid w:val="008461C6"/>
    <w:rsid w:val="00847017"/>
    <w:rsid w:val="00847DDD"/>
    <w:rsid w:val="00851BBA"/>
    <w:rsid w:val="0085348B"/>
    <w:rsid w:val="0085421A"/>
    <w:rsid w:val="0085548D"/>
    <w:rsid w:val="00856CC5"/>
    <w:rsid w:val="008631A3"/>
    <w:rsid w:val="0086417B"/>
    <w:rsid w:val="008712AB"/>
    <w:rsid w:val="00873853"/>
    <w:rsid w:val="00876206"/>
    <w:rsid w:val="0088060C"/>
    <w:rsid w:val="008808F0"/>
    <w:rsid w:val="008822A9"/>
    <w:rsid w:val="00882409"/>
    <w:rsid w:val="00883C3E"/>
    <w:rsid w:val="00885D1A"/>
    <w:rsid w:val="00892E26"/>
    <w:rsid w:val="0089371E"/>
    <w:rsid w:val="008937A1"/>
    <w:rsid w:val="00893FBE"/>
    <w:rsid w:val="0089590E"/>
    <w:rsid w:val="00895944"/>
    <w:rsid w:val="008968E3"/>
    <w:rsid w:val="00897E23"/>
    <w:rsid w:val="008A15AE"/>
    <w:rsid w:val="008A1B97"/>
    <w:rsid w:val="008A21E7"/>
    <w:rsid w:val="008A3EF1"/>
    <w:rsid w:val="008A4859"/>
    <w:rsid w:val="008A6275"/>
    <w:rsid w:val="008A7A39"/>
    <w:rsid w:val="008A7FDF"/>
    <w:rsid w:val="008B06FE"/>
    <w:rsid w:val="008B1A93"/>
    <w:rsid w:val="008B2D50"/>
    <w:rsid w:val="008B35D2"/>
    <w:rsid w:val="008B470C"/>
    <w:rsid w:val="008C09A5"/>
    <w:rsid w:val="008C09F7"/>
    <w:rsid w:val="008C3FD1"/>
    <w:rsid w:val="008C54D5"/>
    <w:rsid w:val="008C6428"/>
    <w:rsid w:val="008C7E14"/>
    <w:rsid w:val="008D0214"/>
    <w:rsid w:val="008D293E"/>
    <w:rsid w:val="008D2D32"/>
    <w:rsid w:val="008D343B"/>
    <w:rsid w:val="008E0464"/>
    <w:rsid w:val="008E19AC"/>
    <w:rsid w:val="008E1B64"/>
    <w:rsid w:val="008E38E8"/>
    <w:rsid w:val="008E51AA"/>
    <w:rsid w:val="008E6586"/>
    <w:rsid w:val="008E7C67"/>
    <w:rsid w:val="008F11F2"/>
    <w:rsid w:val="008F1B70"/>
    <w:rsid w:val="008F1DF1"/>
    <w:rsid w:val="00900E75"/>
    <w:rsid w:val="00901C81"/>
    <w:rsid w:val="00902977"/>
    <w:rsid w:val="0090659E"/>
    <w:rsid w:val="009078A4"/>
    <w:rsid w:val="009109B0"/>
    <w:rsid w:val="00911EF7"/>
    <w:rsid w:val="009131E4"/>
    <w:rsid w:val="00913F00"/>
    <w:rsid w:val="00913FCE"/>
    <w:rsid w:val="009164A8"/>
    <w:rsid w:val="009203E3"/>
    <w:rsid w:val="00926FB4"/>
    <w:rsid w:val="00927109"/>
    <w:rsid w:val="00927D57"/>
    <w:rsid w:val="00934F08"/>
    <w:rsid w:val="00936E08"/>
    <w:rsid w:val="009409EA"/>
    <w:rsid w:val="00942554"/>
    <w:rsid w:val="00944B91"/>
    <w:rsid w:val="00946835"/>
    <w:rsid w:val="00946DCC"/>
    <w:rsid w:val="0094760F"/>
    <w:rsid w:val="00947A6A"/>
    <w:rsid w:val="009503A3"/>
    <w:rsid w:val="00952BBA"/>
    <w:rsid w:val="009546CC"/>
    <w:rsid w:val="00954E20"/>
    <w:rsid w:val="00957F54"/>
    <w:rsid w:val="00965817"/>
    <w:rsid w:val="00966AC1"/>
    <w:rsid w:val="00967119"/>
    <w:rsid w:val="00970867"/>
    <w:rsid w:val="00972098"/>
    <w:rsid w:val="009745E0"/>
    <w:rsid w:val="0097627C"/>
    <w:rsid w:val="00983EFE"/>
    <w:rsid w:val="00983FC3"/>
    <w:rsid w:val="00986E34"/>
    <w:rsid w:val="00987008"/>
    <w:rsid w:val="0099005A"/>
    <w:rsid w:val="0099048F"/>
    <w:rsid w:val="00990588"/>
    <w:rsid w:val="00990F4D"/>
    <w:rsid w:val="00992F54"/>
    <w:rsid w:val="00994B29"/>
    <w:rsid w:val="00994F50"/>
    <w:rsid w:val="009950E1"/>
    <w:rsid w:val="0099572E"/>
    <w:rsid w:val="00995CFC"/>
    <w:rsid w:val="009A118E"/>
    <w:rsid w:val="009A2557"/>
    <w:rsid w:val="009A2F18"/>
    <w:rsid w:val="009A458A"/>
    <w:rsid w:val="009A63F4"/>
    <w:rsid w:val="009A6AE8"/>
    <w:rsid w:val="009A6F37"/>
    <w:rsid w:val="009B0E1F"/>
    <w:rsid w:val="009B1E06"/>
    <w:rsid w:val="009B1E92"/>
    <w:rsid w:val="009B3151"/>
    <w:rsid w:val="009B5FAC"/>
    <w:rsid w:val="009B7AF7"/>
    <w:rsid w:val="009C190C"/>
    <w:rsid w:val="009E1955"/>
    <w:rsid w:val="009E1B4D"/>
    <w:rsid w:val="009E225B"/>
    <w:rsid w:val="009E2651"/>
    <w:rsid w:val="009E2DEF"/>
    <w:rsid w:val="009E2FD6"/>
    <w:rsid w:val="009E3DB8"/>
    <w:rsid w:val="009E581C"/>
    <w:rsid w:val="009E6940"/>
    <w:rsid w:val="009E711E"/>
    <w:rsid w:val="009F01BB"/>
    <w:rsid w:val="009F1189"/>
    <w:rsid w:val="009F2942"/>
    <w:rsid w:val="009F3C3D"/>
    <w:rsid w:val="009F77E8"/>
    <w:rsid w:val="00A01025"/>
    <w:rsid w:val="00A03E83"/>
    <w:rsid w:val="00A056B2"/>
    <w:rsid w:val="00A073A9"/>
    <w:rsid w:val="00A10548"/>
    <w:rsid w:val="00A10A8F"/>
    <w:rsid w:val="00A12DA5"/>
    <w:rsid w:val="00A12FF9"/>
    <w:rsid w:val="00A148A1"/>
    <w:rsid w:val="00A14C27"/>
    <w:rsid w:val="00A153E7"/>
    <w:rsid w:val="00A154D3"/>
    <w:rsid w:val="00A1684A"/>
    <w:rsid w:val="00A24C61"/>
    <w:rsid w:val="00A258D8"/>
    <w:rsid w:val="00A25966"/>
    <w:rsid w:val="00A302C6"/>
    <w:rsid w:val="00A307E7"/>
    <w:rsid w:val="00A3277A"/>
    <w:rsid w:val="00A357EA"/>
    <w:rsid w:val="00A35853"/>
    <w:rsid w:val="00A37C66"/>
    <w:rsid w:val="00A410C3"/>
    <w:rsid w:val="00A41C2C"/>
    <w:rsid w:val="00A42C64"/>
    <w:rsid w:val="00A45305"/>
    <w:rsid w:val="00A455D1"/>
    <w:rsid w:val="00A531E8"/>
    <w:rsid w:val="00A53F42"/>
    <w:rsid w:val="00A5469D"/>
    <w:rsid w:val="00A5551E"/>
    <w:rsid w:val="00A56D05"/>
    <w:rsid w:val="00A61636"/>
    <w:rsid w:val="00A624BE"/>
    <w:rsid w:val="00A637C2"/>
    <w:rsid w:val="00A669E0"/>
    <w:rsid w:val="00A66DBD"/>
    <w:rsid w:val="00A67AAB"/>
    <w:rsid w:val="00A705E9"/>
    <w:rsid w:val="00A70F98"/>
    <w:rsid w:val="00A7272C"/>
    <w:rsid w:val="00A7309F"/>
    <w:rsid w:val="00A75BF7"/>
    <w:rsid w:val="00A771A2"/>
    <w:rsid w:val="00A8155D"/>
    <w:rsid w:val="00A83194"/>
    <w:rsid w:val="00A85F77"/>
    <w:rsid w:val="00A91484"/>
    <w:rsid w:val="00A926C2"/>
    <w:rsid w:val="00A93CFA"/>
    <w:rsid w:val="00A94B23"/>
    <w:rsid w:val="00AA07DB"/>
    <w:rsid w:val="00AA2FC0"/>
    <w:rsid w:val="00AA3D79"/>
    <w:rsid w:val="00AA6C84"/>
    <w:rsid w:val="00AA79FD"/>
    <w:rsid w:val="00AB4038"/>
    <w:rsid w:val="00AB46BB"/>
    <w:rsid w:val="00AB4B85"/>
    <w:rsid w:val="00AB6CA9"/>
    <w:rsid w:val="00AC0127"/>
    <w:rsid w:val="00AC0726"/>
    <w:rsid w:val="00AC0AD4"/>
    <w:rsid w:val="00AC3917"/>
    <w:rsid w:val="00AC67F6"/>
    <w:rsid w:val="00AC6F12"/>
    <w:rsid w:val="00AC7DF3"/>
    <w:rsid w:val="00AD07BE"/>
    <w:rsid w:val="00AD2192"/>
    <w:rsid w:val="00AD37D9"/>
    <w:rsid w:val="00AD3851"/>
    <w:rsid w:val="00AD3ED9"/>
    <w:rsid w:val="00AD4130"/>
    <w:rsid w:val="00AD4803"/>
    <w:rsid w:val="00AE2F44"/>
    <w:rsid w:val="00AE510A"/>
    <w:rsid w:val="00AE61D8"/>
    <w:rsid w:val="00AF0A3E"/>
    <w:rsid w:val="00AF2FB5"/>
    <w:rsid w:val="00AF375F"/>
    <w:rsid w:val="00B015F2"/>
    <w:rsid w:val="00B05515"/>
    <w:rsid w:val="00B05CBF"/>
    <w:rsid w:val="00B075E0"/>
    <w:rsid w:val="00B07612"/>
    <w:rsid w:val="00B12436"/>
    <w:rsid w:val="00B15B96"/>
    <w:rsid w:val="00B15E08"/>
    <w:rsid w:val="00B1644D"/>
    <w:rsid w:val="00B16F00"/>
    <w:rsid w:val="00B26569"/>
    <w:rsid w:val="00B3260C"/>
    <w:rsid w:val="00B3370F"/>
    <w:rsid w:val="00B34E9C"/>
    <w:rsid w:val="00B36475"/>
    <w:rsid w:val="00B36CA1"/>
    <w:rsid w:val="00B41776"/>
    <w:rsid w:val="00B478AE"/>
    <w:rsid w:val="00B52302"/>
    <w:rsid w:val="00B53340"/>
    <w:rsid w:val="00B53C27"/>
    <w:rsid w:val="00B55558"/>
    <w:rsid w:val="00B6557A"/>
    <w:rsid w:val="00B66177"/>
    <w:rsid w:val="00B678E9"/>
    <w:rsid w:val="00B70AB9"/>
    <w:rsid w:val="00B75C9B"/>
    <w:rsid w:val="00B774DD"/>
    <w:rsid w:val="00B8097B"/>
    <w:rsid w:val="00B81064"/>
    <w:rsid w:val="00B81314"/>
    <w:rsid w:val="00B81B29"/>
    <w:rsid w:val="00B82263"/>
    <w:rsid w:val="00B84332"/>
    <w:rsid w:val="00B843C7"/>
    <w:rsid w:val="00B8499F"/>
    <w:rsid w:val="00B86087"/>
    <w:rsid w:val="00B86A58"/>
    <w:rsid w:val="00B87681"/>
    <w:rsid w:val="00B90136"/>
    <w:rsid w:val="00B94D0B"/>
    <w:rsid w:val="00B97628"/>
    <w:rsid w:val="00BA3330"/>
    <w:rsid w:val="00BA36C9"/>
    <w:rsid w:val="00BA3D16"/>
    <w:rsid w:val="00BA6268"/>
    <w:rsid w:val="00BB0BC1"/>
    <w:rsid w:val="00BB1BCC"/>
    <w:rsid w:val="00BB6C3B"/>
    <w:rsid w:val="00BB74A7"/>
    <w:rsid w:val="00BB7835"/>
    <w:rsid w:val="00BC07F9"/>
    <w:rsid w:val="00BC5167"/>
    <w:rsid w:val="00BD1E6E"/>
    <w:rsid w:val="00BD3641"/>
    <w:rsid w:val="00BD3767"/>
    <w:rsid w:val="00BD4718"/>
    <w:rsid w:val="00BD64FF"/>
    <w:rsid w:val="00BD6A80"/>
    <w:rsid w:val="00BE09C0"/>
    <w:rsid w:val="00BE0A75"/>
    <w:rsid w:val="00BE135D"/>
    <w:rsid w:val="00BE19ED"/>
    <w:rsid w:val="00BE22A2"/>
    <w:rsid w:val="00BE2769"/>
    <w:rsid w:val="00BE27DD"/>
    <w:rsid w:val="00BE2B0F"/>
    <w:rsid w:val="00BE38E8"/>
    <w:rsid w:val="00BE3AE0"/>
    <w:rsid w:val="00BE43DB"/>
    <w:rsid w:val="00BE51C9"/>
    <w:rsid w:val="00BE605F"/>
    <w:rsid w:val="00BF066F"/>
    <w:rsid w:val="00BF75B6"/>
    <w:rsid w:val="00BF7FD2"/>
    <w:rsid w:val="00C000AA"/>
    <w:rsid w:val="00C003F7"/>
    <w:rsid w:val="00C037CA"/>
    <w:rsid w:val="00C039CB"/>
    <w:rsid w:val="00C04BBC"/>
    <w:rsid w:val="00C0511C"/>
    <w:rsid w:val="00C06208"/>
    <w:rsid w:val="00C069C7"/>
    <w:rsid w:val="00C072D5"/>
    <w:rsid w:val="00C115E3"/>
    <w:rsid w:val="00C11D93"/>
    <w:rsid w:val="00C13A69"/>
    <w:rsid w:val="00C13BC2"/>
    <w:rsid w:val="00C165C2"/>
    <w:rsid w:val="00C16E0A"/>
    <w:rsid w:val="00C22E20"/>
    <w:rsid w:val="00C26B4F"/>
    <w:rsid w:val="00C27C71"/>
    <w:rsid w:val="00C27CDE"/>
    <w:rsid w:val="00C3090D"/>
    <w:rsid w:val="00C31363"/>
    <w:rsid w:val="00C324D2"/>
    <w:rsid w:val="00C3256D"/>
    <w:rsid w:val="00C331C5"/>
    <w:rsid w:val="00C337CD"/>
    <w:rsid w:val="00C34C57"/>
    <w:rsid w:val="00C357E8"/>
    <w:rsid w:val="00C359E9"/>
    <w:rsid w:val="00C3667C"/>
    <w:rsid w:val="00C366E0"/>
    <w:rsid w:val="00C43712"/>
    <w:rsid w:val="00C438A7"/>
    <w:rsid w:val="00C44441"/>
    <w:rsid w:val="00C47396"/>
    <w:rsid w:val="00C509B2"/>
    <w:rsid w:val="00C5178F"/>
    <w:rsid w:val="00C544A6"/>
    <w:rsid w:val="00C54707"/>
    <w:rsid w:val="00C54EBE"/>
    <w:rsid w:val="00C550F3"/>
    <w:rsid w:val="00C56DA3"/>
    <w:rsid w:val="00C600ED"/>
    <w:rsid w:val="00C616B9"/>
    <w:rsid w:val="00C61E4E"/>
    <w:rsid w:val="00C64352"/>
    <w:rsid w:val="00C64DF6"/>
    <w:rsid w:val="00C652D8"/>
    <w:rsid w:val="00C67B21"/>
    <w:rsid w:val="00C719AC"/>
    <w:rsid w:val="00C72612"/>
    <w:rsid w:val="00C74FFA"/>
    <w:rsid w:val="00C75904"/>
    <w:rsid w:val="00C77826"/>
    <w:rsid w:val="00C81EE3"/>
    <w:rsid w:val="00C83DF0"/>
    <w:rsid w:val="00C875D1"/>
    <w:rsid w:val="00C87814"/>
    <w:rsid w:val="00C909A0"/>
    <w:rsid w:val="00C925D2"/>
    <w:rsid w:val="00C93CA9"/>
    <w:rsid w:val="00C93CCD"/>
    <w:rsid w:val="00C94D2B"/>
    <w:rsid w:val="00C95483"/>
    <w:rsid w:val="00C9744D"/>
    <w:rsid w:val="00CA293A"/>
    <w:rsid w:val="00CA4332"/>
    <w:rsid w:val="00CA6101"/>
    <w:rsid w:val="00CA664F"/>
    <w:rsid w:val="00CA6F0E"/>
    <w:rsid w:val="00CA7255"/>
    <w:rsid w:val="00CB0DC2"/>
    <w:rsid w:val="00CB1230"/>
    <w:rsid w:val="00CB1713"/>
    <w:rsid w:val="00CB1783"/>
    <w:rsid w:val="00CB5F3C"/>
    <w:rsid w:val="00CC19DB"/>
    <w:rsid w:val="00CC3270"/>
    <w:rsid w:val="00CC4E38"/>
    <w:rsid w:val="00CC7BBD"/>
    <w:rsid w:val="00CD1650"/>
    <w:rsid w:val="00CD1D34"/>
    <w:rsid w:val="00CD350C"/>
    <w:rsid w:val="00CD3DF9"/>
    <w:rsid w:val="00CD6678"/>
    <w:rsid w:val="00CD6AB5"/>
    <w:rsid w:val="00CE0589"/>
    <w:rsid w:val="00CE23E5"/>
    <w:rsid w:val="00CE34C3"/>
    <w:rsid w:val="00CE5116"/>
    <w:rsid w:val="00CF15A9"/>
    <w:rsid w:val="00CF4C34"/>
    <w:rsid w:val="00CF683A"/>
    <w:rsid w:val="00D01EBB"/>
    <w:rsid w:val="00D039EF"/>
    <w:rsid w:val="00D03A0B"/>
    <w:rsid w:val="00D07A90"/>
    <w:rsid w:val="00D1257A"/>
    <w:rsid w:val="00D128AF"/>
    <w:rsid w:val="00D169E9"/>
    <w:rsid w:val="00D20A2B"/>
    <w:rsid w:val="00D22A9A"/>
    <w:rsid w:val="00D24FEE"/>
    <w:rsid w:val="00D2510B"/>
    <w:rsid w:val="00D25A5A"/>
    <w:rsid w:val="00D25F69"/>
    <w:rsid w:val="00D27E15"/>
    <w:rsid w:val="00D31C35"/>
    <w:rsid w:val="00D327DE"/>
    <w:rsid w:val="00D32CA4"/>
    <w:rsid w:val="00D33649"/>
    <w:rsid w:val="00D37A28"/>
    <w:rsid w:val="00D4006A"/>
    <w:rsid w:val="00D4025B"/>
    <w:rsid w:val="00D40EBC"/>
    <w:rsid w:val="00D413D7"/>
    <w:rsid w:val="00D4264F"/>
    <w:rsid w:val="00D43A61"/>
    <w:rsid w:val="00D43D96"/>
    <w:rsid w:val="00D47D31"/>
    <w:rsid w:val="00D50BD3"/>
    <w:rsid w:val="00D5317C"/>
    <w:rsid w:val="00D55AB0"/>
    <w:rsid w:val="00D576F4"/>
    <w:rsid w:val="00D57F1F"/>
    <w:rsid w:val="00D6096C"/>
    <w:rsid w:val="00D62D42"/>
    <w:rsid w:val="00D63D66"/>
    <w:rsid w:val="00D661BB"/>
    <w:rsid w:val="00D67E80"/>
    <w:rsid w:val="00D72B3C"/>
    <w:rsid w:val="00D73D0B"/>
    <w:rsid w:val="00D77F5A"/>
    <w:rsid w:val="00D80954"/>
    <w:rsid w:val="00D80ECC"/>
    <w:rsid w:val="00D82DD7"/>
    <w:rsid w:val="00D839B0"/>
    <w:rsid w:val="00D83AE5"/>
    <w:rsid w:val="00D86D57"/>
    <w:rsid w:val="00D86F2C"/>
    <w:rsid w:val="00D86FBA"/>
    <w:rsid w:val="00D913D2"/>
    <w:rsid w:val="00D9200C"/>
    <w:rsid w:val="00D93F09"/>
    <w:rsid w:val="00D959E7"/>
    <w:rsid w:val="00D9694C"/>
    <w:rsid w:val="00D97205"/>
    <w:rsid w:val="00D976CD"/>
    <w:rsid w:val="00DA154A"/>
    <w:rsid w:val="00DA3C5C"/>
    <w:rsid w:val="00DA5809"/>
    <w:rsid w:val="00DA7062"/>
    <w:rsid w:val="00DA73F1"/>
    <w:rsid w:val="00DA771F"/>
    <w:rsid w:val="00DB2207"/>
    <w:rsid w:val="00DB38EE"/>
    <w:rsid w:val="00DB3BB3"/>
    <w:rsid w:val="00DB3F01"/>
    <w:rsid w:val="00DB43DA"/>
    <w:rsid w:val="00DB5602"/>
    <w:rsid w:val="00DB6289"/>
    <w:rsid w:val="00DB66DD"/>
    <w:rsid w:val="00DC0BFB"/>
    <w:rsid w:val="00DC0E61"/>
    <w:rsid w:val="00DC18A7"/>
    <w:rsid w:val="00DC1AFE"/>
    <w:rsid w:val="00DC1CA9"/>
    <w:rsid w:val="00DC44EA"/>
    <w:rsid w:val="00DD0D2A"/>
    <w:rsid w:val="00DD2803"/>
    <w:rsid w:val="00DD3F96"/>
    <w:rsid w:val="00DD47ED"/>
    <w:rsid w:val="00DD56F6"/>
    <w:rsid w:val="00DD5A8E"/>
    <w:rsid w:val="00DD6641"/>
    <w:rsid w:val="00DE0AF6"/>
    <w:rsid w:val="00DE1CCE"/>
    <w:rsid w:val="00DE6056"/>
    <w:rsid w:val="00DE6215"/>
    <w:rsid w:val="00DE6305"/>
    <w:rsid w:val="00DF056F"/>
    <w:rsid w:val="00DF09CA"/>
    <w:rsid w:val="00DF0ED1"/>
    <w:rsid w:val="00DF1184"/>
    <w:rsid w:val="00DF3526"/>
    <w:rsid w:val="00DF4836"/>
    <w:rsid w:val="00DF7D64"/>
    <w:rsid w:val="00E02DA2"/>
    <w:rsid w:val="00E03054"/>
    <w:rsid w:val="00E03920"/>
    <w:rsid w:val="00E052DF"/>
    <w:rsid w:val="00E11EEA"/>
    <w:rsid w:val="00E14EFE"/>
    <w:rsid w:val="00E164AE"/>
    <w:rsid w:val="00E21A4B"/>
    <w:rsid w:val="00E234F0"/>
    <w:rsid w:val="00E23F60"/>
    <w:rsid w:val="00E25529"/>
    <w:rsid w:val="00E25F3D"/>
    <w:rsid w:val="00E3181D"/>
    <w:rsid w:val="00E32523"/>
    <w:rsid w:val="00E33442"/>
    <w:rsid w:val="00E401D5"/>
    <w:rsid w:val="00E4052E"/>
    <w:rsid w:val="00E420CB"/>
    <w:rsid w:val="00E423C1"/>
    <w:rsid w:val="00E427A2"/>
    <w:rsid w:val="00E4565A"/>
    <w:rsid w:val="00E45B92"/>
    <w:rsid w:val="00E47565"/>
    <w:rsid w:val="00E51CEA"/>
    <w:rsid w:val="00E51FBE"/>
    <w:rsid w:val="00E55871"/>
    <w:rsid w:val="00E602AE"/>
    <w:rsid w:val="00E65246"/>
    <w:rsid w:val="00E65486"/>
    <w:rsid w:val="00E66EE9"/>
    <w:rsid w:val="00E70E6F"/>
    <w:rsid w:val="00E73F68"/>
    <w:rsid w:val="00E81F2D"/>
    <w:rsid w:val="00E825BA"/>
    <w:rsid w:val="00E82DCC"/>
    <w:rsid w:val="00E84D3F"/>
    <w:rsid w:val="00E8541A"/>
    <w:rsid w:val="00E8548D"/>
    <w:rsid w:val="00E860FA"/>
    <w:rsid w:val="00E87EEE"/>
    <w:rsid w:val="00E90DDE"/>
    <w:rsid w:val="00E92411"/>
    <w:rsid w:val="00E9272D"/>
    <w:rsid w:val="00E93DF0"/>
    <w:rsid w:val="00E94397"/>
    <w:rsid w:val="00E96A4E"/>
    <w:rsid w:val="00E97D85"/>
    <w:rsid w:val="00EA10B7"/>
    <w:rsid w:val="00EA31B5"/>
    <w:rsid w:val="00EA3952"/>
    <w:rsid w:val="00EA4034"/>
    <w:rsid w:val="00EA42EF"/>
    <w:rsid w:val="00EA4754"/>
    <w:rsid w:val="00EA480A"/>
    <w:rsid w:val="00EA5613"/>
    <w:rsid w:val="00EA6547"/>
    <w:rsid w:val="00EA6A0F"/>
    <w:rsid w:val="00EA79F3"/>
    <w:rsid w:val="00EB0EE0"/>
    <w:rsid w:val="00EB1530"/>
    <w:rsid w:val="00EB1896"/>
    <w:rsid w:val="00EB1E68"/>
    <w:rsid w:val="00EB70B2"/>
    <w:rsid w:val="00EB76BA"/>
    <w:rsid w:val="00EC0649"/>
    <w:rsid w:val="00EC0A39"/>
    <w:rsid w:val="00EC549B"/>
    <w:rsid w:val="00EC57F0"/>
    <w:rsid w:val="00EC5D63"/>
    <w:rsid w:val="00EC5F63"/>
    <w:rsid w:val="00ED1D75"/>
    <w:rsid w:val="00ED4F57"/>
    <w:rsid w:val="00ED680C"/>
    <w:rsid w:val="00ED742D"/>
    <w:rsid w:val="00EE1D29"/>
    <w:rsid w:val="00EE359E"/>
    <w:rsid w:val="00EE3987"/>
    <w:rsid w:val="00EE4090"/>
    <w:rsid w:val="00EE72EF"/>
    <w:rsid w:val="00EF3022"/>
    <w:rsid w:val="00EF3734"/>
    <w:rsid w:val="00EF76C8"/>
    <w:rsid w:val="00F01469"/>
    <w:rsid w:val="00F017E3"/>
    <w:rsid w:val="00F0265A"/>
    <w:rsid w:val="00F068F8"/>
    <w:rsid w:val="00F06BBB"/>
    <w:rsid w:val="00F06E50"/>
    <w:rsid w:val="00F16DDF"/>
    <w:rsid w:val="00F17658"/>
    <w:rsid w:val="00F22FB1"/>
    <w:rsid w:val="00F23032"/>
    <w:rsid w:val="00F23517"/>
    <w:rsid w:val="00F27803"/>
    <w:rsid w:val="00F27F51"/>
    <w:rsid w:val="00F337A7"/>
    <w:rsid w:val="00F33B99"/>
    <w:rsid w:val="00F35A05"/>
    <w:rsid w:val="00F35C6D"/>
    <w:rsid w:val="00F35E53"/>
    <w:rsid w:val="00F36869"/>
    <w:rsid w:val="00F37242"/>
    <w:rsid w:val="00F372C1"/>
    <w:rsid w:val="00F41DE1"/>
    <w:rsid w:val="00F44A3D"/>
    <w:rsid w:val="00F44D39"/>
    <w:rsid w:val="00F47146"/>
    <w:rsid w:val="00F50278"/>
    <w:rsid w:val="00F511BF"/>
    <w:rsid w:val="00F609EE"/>
    <w:rsid w:val="00F61E0B"/>
    <w:rsid w:val="00F63B8D"/>
    <w:rsid w:val="00F70675"/>
    <w:rsid w:val="00F72213"/>
    <w:rsid w:val="00F74034"/>
    <w:rsid w:val="00F741C1"/>
    <w:rsid w:val="00F8228C"/>
    <w:rsid w:val="00F829FD"/>
    <w:rsid w:val="00F83A8E"/>
    <w:rsid w:val="00F87E5A"/>
    <w:rsid w:val="00F92571"/>
    <w:rsid w:val="00F948F1"/>
    <w:rsid w:val="00F96F83"/>
    <w:rsid w:val="00F97074"/>
    <w:rsid w:val="00FA3B53"/>
    <w:rsid w:val="00FA4C9F"/>
    <w:rsid w:val="00FA4CE3"/>
    <w:rsid w:val="00FA6C9C"/>
    <w:rsid w:val="00FA764A"/>
    <w:rsid w:val="00FA7BA9"/>
    <w:rsid w:val="00FA7EF7"/>
    <w:rsid w:val="00FB2688"/>
    <w:rsid w:val="00FB6289"/>
    <w:rsid w:val="00FB6E98"/>
    <w:rsid w:val="00FB7982"/>
    <w:rsid w:val="00FC12FB"/>
    <w:rsid w:val="00FC1B79"/>
    <w:rsid w:val="00FC4FB6"/>
    <w:rsid w:val="00FC54CD"/>
    <w:rsid w:val="00FC6CC4"/>
    <w:rsid w:val="00FD2FCB"/>
    <w:rsid w:val="00FD32AB"/>
    <w:rsid w:val="00FD3CDE"/>
    <w:rsid w:val="00FD5864"/>
    <w:rsid w:val="00FE49D9"/>
    <w:rsid w:val="00FE4FB4"/>
    <w:rsid w:val="00FE72CC"/>
    <w:rsid w:val="00FE7D15"/>
    <w:rsid w:val="00FF173A"/>
    <w:rsid w:val="00FF4595"/>
    <w:rsid w:val="00FF7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18070793-22E8-4C61-8FE7-62DD79CE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841656"/>
    <w:pPr>
      <w:jc w:val="center"/>
    </w:pPr>
    <w:rPr>
      <w:noProof/>
    </w:rPr>
  </w:style>
  <w:style w:type="character" w:customStyle="1" w:styleId="EndNoteBibliographyTitleChar">
    <w:name w:val="EndNote Bibliography Title Char"/>
    <w:basedOn w:val="DefaultParagraphFont"/>
    <w:link w:val="EndNoteBibliographyTitle"/>
    <w:rsid w:val="00841656"/>
    <w:rPr>
      <w:noProof/>
    </w:rPr>
  </w:style>
  <w:style w:type="paragraph" w:customStyle="1" w:styleId="EndNoteBibliography">
    <w:name w:val="EndNote Bibliography"/>
    <w:basedOn w:val="Normal"/>
    <w:link w:val="EndNoteBibliographyChar"/>
    <w:rsid w:val="00841656"/>
    <w:rPr>
      <w:noProof/>
    </w:rPr>
  </w:style>
  <w:style w:type="character" w:customStyle="1" w:styleId="EndNoteBibliographyChar">
    <w:name w:val="EndNote Bibliography Char"/>
    <w:basedOn w:val="DefaultParagraphFont"/>
    <w:link w:val="EndNoteBibliography"/>
    <w:rsid w:val="00841656"/>
    <w:rPr>
      <w:noProof/>
    </w:rPr>
  </w:style>
  <w:style w:type="paragraph" w:styleId="NormalWeb">
    <w:name w:val="Normal (Web)"/>
    <w:basedOn w:val="Normal"/>
    <w:uiPriority w:val="99"/>
    <w:semiHidden/>
    <w:unhideWhenUsed/>
    <w:rsid w:val="00687633"/>
    <w:rPr>
      <w:rFonts w:ascii="Times New Roman" w:hAnsi="Times New Roman" w:cs="Times New Roman"/>
    </w:rPr>
  </w:style>
  <w:style w:type="table" w:styleId="TableGrid">
    <w:name w:val="Table Grid"/>
    <w:basedOn w:val="TableNormal"/>
    <w:uiPriority w:val="39"/>
    <w:rsid w:val="00A32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B78C0-4596-48B3-A3F6-F00E003BF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15</Pages>
  <Words>4759</Words>
  <Characters>31366</Characters>
  <Application>Microsoft Office Word</Application>
  <DocSecurity>0</DocSecurity>
  <Lines>697</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Villinger,Francois Jean</dc:creator>
  <cp:lastModifiedBy>Bose,Deepanwita</cp:lastModifiedBy>
  <cp:revision>115</cp:revision>
  <cp:lastPrinted>2026-07-10T21:40:00Z</cp:lastPrinted>
  <dcterms:created xsi:type="dcterms:W3CDTF">2026-07-17T21:28:00Z</dcterms:created>
  <dcterms:modified xsi:type="dcterms:W3CDTF">2026-08-04T23:45:00Z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0feddb05-b5d7-446c-97d7-fe956244ccc3</vt:lpwstr>
  </property>
</Properties>
</file>