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18B63"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b/>
        </w:rPr>
        <w:t>TITLE:</w:t>
      </w:r>
      <w:r w:rsidRPr="004264BC">
        <w:rPr>
          <w:rFonts w:ascii="Calibri" w:hAnsi="Calibri" w:cs="Calibri"/>
        </w:rPr>
        <w:t xml:space="preserve"> </w:t>
      </w:r>
    </w:p>
    <w:p w14:paraId="3CFD37DF" w14:textId="5685A000" w:rsidR="004264BC" w:rsidRPr="004264BC" w:rsidRDefault="00000000" w:rsidP="004264BC">
      <w:pPr>
        <w:spacing w:after="0" w:line="240" w:lineRule="auto"/>
        <w:jc w:val="both"/>
        <w:rPr>
          <w:rFonts w:ascii="Calibri" w:hAnsi="Calibri" w:cs="Calibri"/>
        </w:rPr>
      </w:pPr>
      <w:r w:rsidRPr="004264BC">
        <w:rPr>
          <w:rFonts w:ascii="Calibri" w:hAnsi="Calibri" w:cs="Calibri"/>
        </w:rPr>
        <w:t xml:space="preserve">Albumin-Corrected Anion Gap and Mortality in Septic Intensive Care Patients: An Analysis </w:t>
      </w:r>
      <w:r w:rsidR="000C0774">
        <w:rPr>
          <w:rFonts w:ascii="Calibri" w:hAnsi="Calibri" w:cs="Calibri"/>
        </w:rPr>
        <w:t>u</w:t>
      </w:r>
      <w:r w:rsidRPr="004264BC">
        <w:rPr>
          <w:rFonts w:ascii="Calibri" w:hAnsi="Calibri" w:cs="Calibri"/>
        </w:rPr>
        <w:t>sing Medical Information Mart for Intensive Care IV</w:t>
      </w:r>
    </w:p>
    <w:p w14:paraId="595536DC" w14:textId="77777777" w:rsidR="004264BC" w:rsidRPr="004264BC" w:rsidRDefault="004264BC" w:rsidP="004264BC">
      <w:pPr>
        <w:spacing w:after="0" w:line="240" w:lineRule="auto"/>
        <w:jc w:val="both"/>
        <w:rPr>
          <w:rFonts w:ascii="Calibri" w:hAnsi="Calibri" w:cs="Calibri"/>
        </w:rPr>
      </w:pPr>
    </w:p>
    <w:p w14:paraId="35266F63"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b/>
        </w:rPr>
        <w:t xml:space="preserve">AUTHORS AND AFFILIATIONS: </w:t>
      </w:r>
    </w:p>
    <w:p w14:paraId="1E8BFE29" w14:textId="77777777" w:rsidR="004264BC" w:rsidRPr="004264BC" w:rsidRDefault="00000000" w:rsidP="004264BC">
      <w:pPr>
        <w:spacing w:after="0" w:line="240" w:lineRule="auto"/>
        <w:jc w:val="both"/>
        <w:rPr>
          <w:rFonts w:ascii="Calibri" w:hAnsi="Calibri" w:cs="Calibri"/>
        </w:rPr>
      </w:pPr>
      <w:proofErr w:type="spellStart"/>
      <w:r w:rsidRPr="004264BC">
        <w:rPr>
          <w:rFonts w:ascii="Calibri" w:hAnsi="Calibri" w:cs="Calibri"/>
        </w:rPr>
        <w:t>Yaohua</w:t>
      </w:r>
      <w:proofErr w:type="spellEnd"/>
      <w:r w:rsidRPr="004264BC">
        <w:rPr>
          <w:rFonts w:ascii="Calibri" w:hAnsi="Calibri" w:cs="Calibri"/>
        </w:rPr>
        <w:t xml:space="preserve"> Yu</w:t>
      </w:r>
      <w:r w:rsidRPr="004264BC">
        <w:rPr>
          <w:rFonts w:ascii="Calibri" w:hAnsi="Calibri" w:cs="Calibri"/>
          <w:vertAlign w:val="superscript"/>
        </w:rPr>
        <w:t>1#</w:t>
      </w:r>
      <w:r w:rsidRPr="004264BC">
        <w:rPr>
          <w:rFonts w:ascii="Calibri" w:hAnsi="Calibri" w:cs="Calibri"/>
        </w:rPr>
        <w:t>, Hong Kong</w:t>
      </w:r>
      <w:r w:rsidRPr="004264BC">
        <w:rPr>
          <w:rFonts w:ascii="Calibri" w:hAnsi="Calibri" w:cs="Calibri"/>
          <w:vertAlign w:val="superscript"/>
        </w:rPr>
        <w:t>2#</w:t>
      </w:r>
      <w:r w:rsidRPr="004264BC">
        <w:rPr>
          <w:rFonts w:ascii="Calibri" w:hAnsi="Calibri" w:cs="Calibri"/>
        </w:rPr>
        <w:t xml:space="preserve">, </w:t>
      </w:r>
      <w:proofErr w:type="spellStart"/>
      <w:r w:rsidRPr="004264BC">
        <w:rPr>
          <w:rFonts w:ascii="Calibri" w:hAnsi="Calibri" w:cs="Calibri"/>
        </w:rPr>
        <w:t>Jiliang</w:t>
      </w:r>
      <w:proofErr w:type="spellEnd"/>
      <w:r w:rsidRPr="004264BC">
        <w:rPr>
          <w:rFonts w:ascii="Calibri" w:hAnsi="Calibri" w:cs="Calibri"/>
        </w:rPr>
        <w:t xml:space="preserve"> Li</w:t>
      </w:r>
      <w:r w:rsidRPr="004264BC">
        <w:rPr>
          <w:rFonts w:ascii="Calibri" w:hAnsi="Calibri" w:cs="Calibri"/>
          <w:vertAlign w:val="superscript"/>
        </w:rPr>
        <w:t>1#</w:t>
      </w:r>
      <w:r w:rsidRPr="004264BC">
        <w:rPr>
          <w:rFonts w:ascii="Calibri" w:hAnsi="Calibri" w:cs="Calibri"/>
        </w:rPr>
        <w:t>, Jiaqi Lou</w:t>
      </w:r>
      <w:r w:rsidRPr="004264BC">
        <w:rPr>
          <w:rFonts w:ascii="Calibri" w:hAnsi="Calibri" w:cs="Calibri"/>
          <w:vertAlign w:val="superscript"/>
        </w:rPr>
        <w:t>1#</w:t>
      </w:r>
      <w:r w:rsidRPr="004264BC">
        <w:rPr>
          <w:rFonts w:ascii="Calibri" w:hAnsi="Calibri" w:cs="Calibri"/>
        </w:rPr>
        <w:t xml:space="preserve">, </w:t>
      </w:r>
      <w:proofErr w:type="spellStart"/>
      <w:r w:rsidRPr="004264BC">
        <w:rPr>
          <w:rFonts w:ascii="Calibri" w:hAnsi="Calibri" w:cs="Calibri"/>
        </w:rPr>
        <w:t>Shengyong</w:t>
      </w:r>
      <w:proofErr w:type="spellEnd"/>
      <w:r w:rsidRPr="004264BC">
        <w:rPr>
          <w:rFonts w:ascii="Calibri" w:hAnsi="Calibri" w:cs="Calibri"/>
        </w:rPr>
        <w:t xml:space="preserve"> Cui</w:t>
      </w:r>
      <w:r w:rsidRPr="004264BC">
        <w:rPr>
          <w:rFonts w:ascii="Calibri" w:hAnsi="Calibri" w:cs="Calibri"/>
          <w:vertAlign w:val="superscript"/>
        </w:rPr>
        <w:t>1</w:t>
      </w:r>
      <w:r w:rsidRPr="004264BC">
        <w:rPr>
          <w:rFonts w:ascii="Calibri" w:hAnsi="Calibri" w:cs="Calibri"/>
        </w:rPr>
        <w:t xml:space="preserve">, </w:t>
      </w:r>
      <w:proofErr w:type="spellStart"/>
      <w:r w:rsidRPr="004264BC">
        <w:rPr>
          <w:rFonts w:ascii="Calibri" w:hAnsi="Calibri" w:cs="Calibri"/>
        </w:rPr>
        <w:t>Sida</w:t>
      </w:r>
      <w:proofErr w:type="spellEnd"/>
      <w:r w:rsidRPr="004264BC">
        <w:rPr>
          <w:rFonts w:ascii="Calibri" w:hAnsi="Calibri" w:cs="Calibri"/>
        </w:rPr>
        <w:t xml:space="preserve"> Xu</w:t>
      </w:r>
      <w:r w:rsidRPr="004264BC">
        <w:rPr>
          <w:rFonts w:ascii="Calibri" w:hAnsi="Calibri" w:cs="Calibri"/>
          <w:vertAlign w:val="superscript"/>
        </w:rPr>
        <w:t>1</w:t>
      </w:r>
      <w:r w:rsidRPr="004264BC">
        <w:rPr>
          <w:rFonts w:ascii="Calibri" w:hAnsi="Calibri" w:cs="Calibri"/>
        </w:rPr>
        <w:t xml:space="preserve">, </w:t>
      </w:r>
      <w:proofErr w:type="spellStart"/>
      <w:r w:rsidRPr="004264BC">
        <w:rPr>
          <w:rFonts w:ascii="Calibri" w:hAnsi="Calibri" w:cs="Calibri"/>
        </w:rPr>
        <w:t>Neng</w:t>
      </w:r>
      <w:proofErr w:type="spellEnd"/>
      <w:r w:rsidRPr="004264BC">
        <w:rPr>
          <w:rFonts w:ascii="Calibri" w:hAnsi="Calibri" w:cs="Calibri"/>
        </w:rPr>
        <w:t xml:space="preserve"> Huang</w:t>
      </w:r>
      <w:r w:rsidRPr="004264BC">
        <w:rPr>
          <w:rFonts w:ascii="Calibri" w:hAnsi="Calibri" w:cs="Calibri"/>
          <w:vertAlign w:val="superscript"/>
        </w:rPr>
        <w:t>1</w:t>
      </w:r>
      <w:r w:rsidRPr="004264BC">
        <w:rPr>
          <w:rFonts w:ascii="Calibri" w:hAnsi="Calibri" w:cs="Calibri"/>
        </w:rPr>
        <w:t xml:space="preserve">, </w:t>
      </w:r>
      <w:proofErr w:type="spellStart"/>
      <w:r w:rsidRPr="004264BC">
        <w:rPr>
          <w:rFonts w:ascii="Calibri" w:hAnsi="Calibri" w:cs="Calibri"/>
        </w:rPr>
        <w:t>Guoying</w:t>
      </w:r>
      <w:proofErr w:type="spellEnd"/>
      <w:r w:rsidRPr="004264BC">
        <w:rPr>
          <w:rFonts w:ascii="Calibri" w:hAnsi="Calibri" w:cs="Calibri"/>
        </w:rPr>
        <w:t xml:space="preserve"> </w:t>
      </w:r>
      <w:proofErr w:type="spellStart"/>
      <w:r w:rsidRPr="004264BC">
        <w:rPr>
          <w:rFonts w:ascii="Calibri" w:hAnsi="Calibri" w:cs="Calibri"/>
        </w:rPr>
        <w:t>Jin</w:t>
      </w:r>
      <w:proofErr w:type="spellEnd"/>
      <w:r w:rsidRPr="004264BC">
        <w:rPr>
          <w:rFonts w:ascii="Calibri" w:hAnsi="Calibri" w:cs="Calibri"/>
          <w:vertAlign w:val="superscript"/>
        </w:rPr>
        <w:t xml:space="preserve"> 1</w:t>
      </w:r>
      <w:r w:rsidRPr="004264BC">
        <w:rPr>
          <w:rFonts w:ascii="Calibri" w:hAnsi="Calibri" w:cs="Calibri"/>
        </w:rPr>
        <w:t xml:space="preserve">, </w:t>
      </w:r>
      <w:proofErr w:type="spellStart"/>
      <w:r w:rsidRPr="004264BC">
        <w:rPr>
          <w:rFonts w:ascii="Calibri" w:hAnsi="Calibri" w:cs="Calibri"/>
        </w:rPr>
        <w:t>Youfen</w:t>
      </w:r>
      <w:proofErr w:type="spellEnd"/>
      <w:r w:rsidRPr="004264BC">
        <w:rPr>
          <w:rFonts w:ascii="Calibri" w:hAnsi="Calibri" w:cs="Calibri"/>
        </w:rPr>
        <w:t xml:space="preserve"> Fan</w:t>
      </w:r>
      <w:r w:rsidRPr="004264BC">
        <w:rPr>
          <w:rFonts w:ascii="Calibri" w:hAnsi="Calibri" w:cs="Calibri"/>
          <w:vertAlign w:val="superscript"/>
        </w:rPr>
        <w:t>1*</w:t>
      </w:r>
      <w:r w:rsidRPr="004264BC">
        <w:rPr>
          <w:rFonts w:ascii="Calibri" w:hAnsi="Calibri" w:cs="Calibri"/>
        </w:rPr>
        <w:t>, Xin Le</w:t>
      </w:r>
      <w:r w:rsidRPr="004264BC">
        <w:rPr>
          <w:rFonts w:ascii="Calibri" w:hAnsi="Calibri" w:cs="Calibri"/>
          <w:vertAlign w:val="superscript"/>
        </w:rPr>
        <w:t>1*</w:t>
      </w:r>
    </w:p>
    <w:p w14:paraId="7BA23286" w14:textId="77777777" w:rsidR="004264BC" w:rsidRPr="004264BC" w:rsidRDefault="004264BC" w:rsidP="004264BC">
      <w:pPr>
        <w:spacing w:after="0" w:line="240" w:lineRule="auto"/>
        <w:jc w:val="both"/>
        <w:rPr>
          <w:rFonts w:ascii="Calibri" w:hAnsi="Calibri" w:cs="Calibri"/>
        </w:rPr>
      </w:pPr>
    </w:p>
    <w:p w14:paraId="18793166"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vertAlign w:val="superscript"/>
        </w:rPr>
        <w:t>1</w:t>
      </w:r>
      <w:r w:rsidRPr="004264BC">
        <w:rPr>
          <w:rFonts w:ascii="Calibri" w:hAnsi="Calibri" w:cs="Calibri"/>
        </w:rPr>
        <w:t>Burn Department, Ningbo No. 2 Hospital, Wenzhou Medical University, Ningbo, Zhejiang Province, China.</w:t>
      </w:r>
    </w:p>
    <w:p w14:paraId="7C68CD20"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vertAlign w:val="superscript"/>
        </w:rPr>
        <w:t>2</w:t>
      </w:r>
      <w:r w:rsidRPr="004264BC">
        <w:rPr>
          <w:rFonts w:ascii="Calibri" w:hAnsi="Calibri" w:cs="Calibri"/>
        </w:rPr>
        <w:t>Ningbo College of Health Sciences, Ningbo 315040, Zhejiang Province, China.</w:t>
      </w:r>
    </w:p>
    <w:p w14:paraId="5B9231DE" w14:textId="77777777" w:rsidR="004264BC" w:rsidRPr="004264BC" w:rsidRDefault="004264BC" w:rsidP="004264BC">
      <w:pPr>
        <w:spacing w:after="0" w:line="240" w:lineRule="auto"/>
        <w:jc w:val="both"/>
        <w:rPr>
          <w:rFonts w:ascii="Calibri" w:hAnsi="Calibri" w:cs="Calibri"/>
        </w:rPr>
      </w:pPr>
    </w:p>
    <w:p w14:paraId="12900B8F" w14:textId="43EB0EE3" w:rsidR="004264BC" w:rsidRPr="004264BC" w:rsidRDefault="00000000" w:rsidP="004264BC">
      <w:pPr>
        <w:spacing w:after="0" w:line="240" w:lineRule="auto"/>
        <w:jc w:val="both"/>
        <w:rPr>
          <w:rFonts w:ascii="Calibri" w:hAnsi="Calibri" w:cs="Calibri"/>
        </w:rPr>
      </w:pPr>
      <w:r w:rsidRPr="004264BC">
        <w:rPr>
          <w:rFonts w:ascii="Calibri" w:hAnsi="Calibri" w:cs="Calibri"/>
          <w:vertAlign w:val="superscript"/>
        </w:rPr>
        <w:t>#</w:t>
      </w:r>
      <w:r w:rsidR="002A25FD" w:rsidRPr="002A25FD">
        <w:rPr>
          <w:rFonts w:ascii="Calibri" w:hAnsi="Calibri" w:cs="Calibri"/>
        </w:rPr>
        <w:t>Equal</w:t>
      </w:r>
      <w:r w:rsidR="002A25FD">
        <w:rPr>
          <w:rFonts w:ascii="Calibri" w:hAnsi="Calibri" w:cs="Calibri"/>
          <w:vertAlign w:val="superscript"/>
        </w:rPr>
        <w:t xml:space="preserve"> </w:t>
      </w:r>
      <w:r w:rsidRPr="004264BC">
        <w:rPr>
          <w:rFonts w:ascii="Calibri" w:hAnsi="Calibri" w:cs="Calibri"/>
        </w:rPr>
        <w:t>contribut</w:t>
      </w:r>
      <w:r w:rsidR="002A25FD">
        <w:rPr>
          <w:rFonts w:ascii="Calibri" w:hAnsi="Calibri" w:cs="Calibri"/>
        </w:rPr>
        <w:t>ion</w:t>
      </w:r>
    </w:p>
    <w:p w14:paraId="3B1834BB" w14:textId="77777777" w:rsidR="004264BC" w:rsidRPr="004264BC" w:rsidRDefault="004264BC" w:rsidP="004264BC">
      <w:pPr>
        <w:spacing w:after="0" w:line="240" w:lineRule="auto"/>
        <w:jc w:val="both"/>
        <w:rPr>
          <w:rFonts w:ascii="Calibri" w:hAnsi="Calibri" w:cs="Calibri"/>
        </w:rPr>
      </w:pPr>
    </w:p>
    <w:p w14:paraId="2AABC439"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Email addresses of co-authors:</w:t>
      </w:r>
    </w:p>
    <w:p w14:paraId="1A9393D4" w14:textId="77777777" w:rsidR="004264BC" w:rsidRPr="004264BC" w:rsidRDefault="00000000" w:rsidP="004264BC">
      <w:pPr>
        <w:spacing w:after="0" w:line="240" w:lineRule="auto"/>
        <w:jc w:val="both"/>
        <w:rPr>
          <w:rFonts w:ascii="Calibri" w:hAnsi="Calibri" w:cs="Calibri"/>
        </w:rPr>
      </w:pPr>
      <w:proofErr w:type="spellStart"/>
      <w:r w:rsidRPr="004264BC">
        <w:rPr>
          <w:rFonts w:ascii="Calibri" w:hAnsi="Calibri" w:cs="Calibri"/>
        </w:rPr>
        <w:t>Yaohua</w:t>
      </w:r>
      <w:proofErr w:type="spellEnd"/>
      <w:r w:rsidRPr="004264BC">
        <w:rPr>
          <w:rFonts w:ascii="Calibri" w:hAnsi="Calibri" w:cs="Calibri"/>
        </w:rPr>
        <w:t xml:space="preserve"> Yu</w:t>
      </w:r>
      <w:r w:rsidRPr="004264BC">
        <w:rPr>
          <w:rFonts w:ascii="Calibri" w:hAnsi="Calibri" w:cs="Calibri"/>
        </w:rPr>
        <w:tab/>
      </w:r>
      <w:r w:rsidRPr="004264BC">
        <w:rPr>
          <w:rFonts w:ascii="Calibri" w:hAnsi="Calibri" w:cs="Calibri"/>
        </w:rPr>
        <w:tab/>
        <w:t>18868611883@126.com</w:t>
      </w:r>
    </w:p>
    <w:p w14:paraId="2A9AECAE"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Hong Kong</w:t>
      </w:r>
      <w:r w:rsidRPr="004264BC">
        <w:rPr>
          <w:rFonts w:ascii="Calibri" w:hAnsi="Calibri" w:cs="Calibri"/>
        </w:rPr>
        <w:tab/>
      </w:r>
      <w:r w:rsidRPr="004264BC">
        <w:rPr>
          <w:rFonts w:ascii="Calibri" w:hAnsi="Calibri" w:cs="Calibri"/>
        </w:rPr>
        <w:tab/>
        <w:t>konghong2024@126.com</w:t>
      </w:r>
    </w:p>
    <w:p w14:paraId="14769FB0" w14:textId="77777777" w:rsidR="004264BC" w:rsidRPr="004264BC" w:rsidRDefault="00000000" w:rsidP="004264BC">
      <w:pPr>
        <w:spacing w:after="0" w:line="240" w:lineRule="auto"/>
        <w:jc w:val="both"/>
        <w:rPr>
          <w:rFonts w:ascii="Calibri" w:hAnsi="Calibri" w:cs="Calibri"/>
        </w:rPr>
      </w:pPr>
      <w:proofErr w:type="spellStart"/>
      <w:r w:rsidRPr="004264BC">
        <w:rPr>
          <w:rFonts w:ascii="Calibri" w:hAnsi="Calibri" w:cs="Calibri"/>
        </w:rPr>
        <w:t>Jiliang</w:t>
      </w:r>
      <w:proofErr w:type="spellEnd"/>
      <w:r w:rsidRPr="004264BC">
        <w:rPr>
          <w:rFonts w:ascii="Calibri" w:hAnsi="Calibri" w:cs="Calibri"/>
        </w:rPr>
        <w:t xml:space="preserve"> Li</w:t>
      </w:r>
      <w:r w:rsidRPr="004264BC">
        <w:rPr>
          <w:rFonts w:ascii="Calibri" w:hAnsi="Calibri" w:cs="Calibri"/>
        </w:rPr>
        <w:tab/>
      </w:r>
      <w:r w:rsidRPr="004264BC">
        <w:rPr>
          <w:rFonts w:ascii="Calibri" w:hAnsi="Calibri" w:cs="Calibri"/>
        </w:rPr>
        <w:tab/>
        <w:t>397272330@qq.com</w:t>
      </w:r>
    </w:p>
    <w:p w14:paraId="25D8D990"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Jiaqi Lou</w:t>
      </w:r>
      <w:r w:rsidRPr="004264BC">
        <w:rPr>
          <w:rFonts w:ascii="Calibri" w:hAnsi="Calibri" w:cs="Calibri"/>
        </w:rPr>
        <w:tab/>
      </w:r>
      <w:r w:rsidRPr="004264BC">
        <w:rPr>
          <w:rFonts w:ascii="Calibri" w:hAnsi="Calibri" w:cs="Calibri"/>
        </w:rPr>
        <w:tab/>
        <w:t>louregain@163.com</w:t>
      </w:r>
    </w:p>
    <w:p w14:paraId="0B1F2CC0" w14:textId="77777777" w:rsidR="004264BC" w:rsidRPr="004264BC" w:rsidRDefault="00000000" w:rsidP="004264BC">
      <w:pPr>
        <w:spacing w:after="0" w:line="240" w:lineRule="auto"/>
        <w:jc w:val="both"/>
        <w:rPr>
          <w:rFonts w:ascii="Calibri" w:hAnsi="Calibri" w:cs="Calibri"/>
        </w:rPr>
      </w:pPr>
      <w:proofErr w:type="spellStart"/>
      <w:r w:rsidRPr="004264BC">
        <w:rPr>
          <w:rFonts w:ascii="Calibri" w:hAnsi="Calibri" w:cs="Calibri"/>
        </w:rPr>
        <w:t>Shengyong</w:t>
      </w:r>
      <w:proofErr w:type="spellEnd"/>
      <w:r w:rsidRPr="004264BC">
        <w:rPr>
          <w:rFonts w:ascii="Calibri" w:hAnsi="Calibri" w:cs="Calibri"/>
        </w:rPr>
        <w:t xml:space="preserve"> Cui</w:t>
      </w:r>
      <w:r w:rsidRPr="004264BC">
        <w:rPr>
          <w:rFonts w:ascii="Calibri" w:hAnsi="Calibri" w:cs="Calibri"/>
        </w:rPr>
        <w:tab/>
      </w:r>
      <w:r w:rsidRPr="004264BC">
        <w:rPr>
          <w:rFonts w:ascii="Calibri" w:hAnsi="Calibri" w:cs="Calibri"/>
        </w:rPr>
        <w:tab/>
        <w:t>csy00544@163.com</w:t>
      </w:r>
    </w:p>
    <w:p w14:paraId="46048782" w14:textId="77777777" w:rsidR="004264BC" w:rsidRPr="004264BC" w:rsidRDefault="00000000" w:rsidP="004264BC">
      <w:pPr>
        <w:spacing w:after="0" w:line="240" w:lineRule="auto"/>
        <w:jc w:val="both"/>
        <w:rPr>
          <w:rFonts w:ascii="Calibri" w:hAnsi="Calibri" w:cs="Calibri"/>
        </w:rPr>
      </w:pPr>
      <w:proofErr w:type="spellStart"/>
      <w:r w:rsidRPr="004264BC">
        <w:rPr>
          <w:rFonts w:ascii="Calibri" w:hAnsi="Calibri" w:cs="Calibri"/>
        </w:rPr>
        <w:t>Sida</w:t>
      </w:r>
      <w:proofErr w:type="spellEnd"/>
      <w:r w:rsidRPr="004264BC">
        <w:rPr>
          <w:rFonts w:ascii="Calibri" w:hAnsi="Calibri" w:cs="Calibri"/>
        </w:rPr>
        <w:t xml:space="preserve"> Xu</w:t>
      </w:r>
      <w:r w:rsidRPr="004264BC">
        <w:rPr>
          <w:rFonts w:ascii="Calibri" w:hAnsi="Calibri" w:cs="Calibri"/>
        </w:rPr>
        <w:tab/>
      </w:r>
      <w:r w:rsidRPr="004264BC">
        <w:rPr>
          <w:rFonts w:ascii="Calibri" w:hAnsi="Calibri" w:cs="Calibri"/>
        </w:rPr>
        <w:tab/>
      </w:r>
      <w:r w:rsidRPr="004264BC">
        <w:rPr>
          <w:rFonts w:ascii="Calibri" w:hAnsi="Calibri" w:cs="Calibri"/>
        </w:rPr>
        <w:tab/>
        <w:t>nbeyxusida@126.com</w:t>
      </w:r>
    </w:p>
    <w:p w14:paraId="36CF6430" w14:textId="77777777" w:rsidR="004264BC" w:rsidRPr="004264BC" w:rsidRDefault="00000000" w:rsidP="004264BC">
      <w:pPr>
        <w:spacing w:after="0" w:line="240" w:lineRule="auto"/>
        <w:jc w:val="both"/>
        <w:rPr>
          <w:rFonts w:ascii="Calibri" w:hAnsi="Calibri" w:cs="Calibri"/>
          <w:lang w:val="pt-BR"/>
        </w:rPr>
      </w:pPr>
      <w:proofErr w:type="spellStart"/>
      <w:r w:rsidRPr="004264BC">
        <w:rPr>
          <w:rFonts w:ascii="Calibri" w:hAnsi="Calibri" w:cs="Calibri"/>
          <w:lang w:val="pt-BR"/>
        </w:rPr>
        <w:t>Neng</w:t>
      </w:r>
      <w:proofErr w:type="spellEnd"/>
      <w:r w:rsidRPr="004264BC">
        <w:rPr>
          <w:rFonts w:ascii="Calibri" w:hAnsi="Calibri" w:cs="Calibri"/>
          <w:lang w:val="pt-BR"/>
        </w:rPr>
        <w:t xml:space="preserve"> Huang</w:t>
      </w:r>
      <w:r w:rsidRPr="004264BC">
        <w:rPr>
          <w:rFonts w:ascii="Calibri" w:hAnsi="Calibri" w:cs="Calibri"/>
          <w:lang w:val="pt-BR"/>
        </w:rPr>
        <w:tab/>
      </w:r>
      <w:r w:rsidRPr="004264BC">
        <w:rPr>
          <w:rFonts w:ascii="Calibri" w:hAnsi="Calibri" w:cs="Calibri"/>
          <w:lang w:val="pt-BR"/>
        </w:rPr>
        <w:tab/>
        <w:t>460474225@qq.com</w:t>
      </w:r>
    </w:p>
    <w:p w14:paraId="4D4356BC" w14:textId="77777777" w:rsidR="004264BC" w:rsidRPr="004264BC" w:rsidRDefault="00000000" w:rsidP="004264BC">
      <w:pPr>
        <w:spacing w:after="0" w:line="240" w:lineRule="auto"/>
        <w:jc w:val="both"/>
        <w:rPr>
          <w:rFonts w:ascii="Calibri" w:hAnsi="Calibri" w:cs="Calibri"/>
          <w:lang w:val="pt-BR"/>
        </w:rPr>
      </w:pPr>
      <w:proofErr w:type="spellStart"/>
      <w:r w:rsidRPr="004264BC">
        <w:rPr>
          <w:rFonts w:ascii="Calibri" w:hAnsi="Calibri" w:cs="Calibri"/>
          <w:lang w:val="pt-BR"/>
        </w:rPr>
        <w:t>Guoying</w:t>
      </w:r>
      <w:proofErr w:type="spellEnd"/>
      <w:r w:rsidRPr="004264BC">
        <w:rPr>
          <w:rFonts w:ascii="Calibri" w:hAnsi="Calibri" w:cs="Calibri"/>
          <w:lang w:val="pt-BR"/>
        </w:rPr>
        <w:t xml:space="preserve"> Jin</w:t>
      </w:r>
      <w:r w:rsidRPr="004264BC">
        <w:rPr>
          <w:rFonts w:ascii="Calibri" w:hAnsi="Calibri" w:cs="Calibri"/>
          <w:lang w:val="pt-BR"/>
        </w:rPr>
        <w:tab/>
      </w:r>
      <w:r w:rsidRPr="004264BC">
        <w:rPr>
          <w:rFonts w:ascii="Calibri" w:hAnsi="Calibri" w:cs="Calibri"/>
          <w:lang w:val="pt-BR"/>
        </w:rPr>
        <w:tab/>
      </w:r>
      <w:hyperlink r:id="rId7" w:history="1">
        <w:r w:rsidRPr="004264BC">
          <w:rPr>
            <w:rStyle w:val="ae"/>
            <w:rFonts w:ascii="Calibri" w:hAnsi="Calibri" w:cs="Calibri"/>
            <w:lang w:val="pt-BR"/>
          </w:rPr>
          <w:t>guoyingking@163.com</w:t>
        </w:r>
      </w:hyperlink>
    </w:p>
    <w:p w14:paraId="2B634736" w14:textId="77777777" w:rsidR="004264BC" w:rsidRPr="004264BC" w:rsidRDefault="004264BC" w:rsidP="004264BC">
      <w:pPr>
        <w:spacing w:after="0" w:line="240" w:lineRule="auto"/>
        <w:jc w:val="both"/>
        <w:rPr>
          <w:rFonts w:ascii="Calibri" w:hAnsi="Calibri" w:cs="Calibri"/>
          <w:lang w:val="pt-BR"/>
        </w:rPr>
      </w:pPr>
    </w:p>
    <w:p w14:paraId="1AAF9F16"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vertAlign w:val="superscript"/>
        </w:rPr>
        <w:t>*</w:t>
      </w:r>
      <w:r w:rsidRPr="004264BC">
        <w:rPr>
          <w:rFonts w:ascii="Calibri" w:hAnsi="Calibri" w:cs="Calibri"/>
        </w:rPr>
        <w:t xml:space="preserve">Corresponding authors: </w:t>
      </w:r>
    </w:p>
    <w:p w14:paraId="5E76D8DF" w14:textId="77777777" w:rsidR="004264BC" w:rsidRPr="004264BC" w:rsidRDefault="00000000" w:rsidP="004264BC">
      <w:pPr>
        <w:spacing w:after="0" w:line="240" w:lineRule="auto"/>
        <w:jc w:val="both"/>
        <w:rPr>
          <w:rFonts w:ascii="Calibri" w:hAnsi="Calibri" w:cs="Calibri"/>
        </w:rPr>
      </w:pPr>
      <w:proofErr w:type="spellStart"/>
      <w:r w:rsidRPr="004264BC">
        <w:rPr>
          <w:rFonts w:ascii="Calibri" w:hAnsi="Calibri" w:cs="Calibri"/>
        </w:rPr>
        <w:t>Youfen</w:t>
      </w:r>
      <w:proofErr w:type="spellEnd"/>
      <w:r w:rsidRPr="004264BC">
        <w:rPr>
          <w:rFonts w:ascii="Calibri" w:hAnsi="Calibri" w:cs="Calibri"/>
        </w:rPr>
        <w:t xml:space="preserve"> Fan</w:t>
      </w:r>
      <w:r w:rsidRPr="004264BC">
        <w:rPr>
          <w:rFonts w:ascii="Calibri" w:hAnsi="Calibri" w:cs="Calibri"/>
        </w:rPr>
        <w:tab/>
      </w:r>
      <w:r w:rsidRPr="004264BC">
        <w:rPr>
          <w:rFonts w:ascii="Calibri" w:hAnsi="Calibri" w:cs="Calibri"/>
        </w:rPr>
        <w:tab/>
        <w:t>13906683613@163.com</w:t>
      </w:r>
    </w:p>
    <w:p w14:paraId="106AC09A"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Xin Le</w:t>
      </w:r>
      <w:r w:rsidRPr="004264BC">
        <w:rPr>
          <w:rFonts w:ascii="Calibri" w:hAnsi="Calibri" w:cs="Calibri"/>
        </w:rPr>
        <w:tab/>
      </w:r>
      <w:r w:rsidRPr="004264BC">
        <w:rPr>
          <w:rFonts w:ascii="Calibri" w:hAnsi="Calibri" w:cs="Calibri"/>
        </w:rPr>
        <w:tab/>
      </w:r>
      <w:r w:rsidRPr="004264BC">
        <w:rPr>
          <w:rFonts w:ascii="Calibri" w:hAnsi="Calibri" w:cs="Calibri"/>
        </w:rPr>
        <w:tab/>
      </w:r>
      <w:hyperlink r:id="rId8" w:history="1">
        <w:r w:rsidRPr="004264BC">
          <w:rPr>
            <w:rStyle w:val="ae"/>
            <w:rFonts w:ascii="Calibri" w:hAnsi="Calibri" w:cs="Calibri"/>
          </w:rPr>
          <w:t>13094991@qq.com</w:t>
        </w:r>
      </w:hyperlink>
    </w:p>
    <w:p w14:paraId="6A6B8266" w14:textId="77777777" w:rsidR="004264BC" w:rsidRPr="004264BC" w:rsidRDefault="004264BC" w:rsidP="004264BC">
      <w:pPr>
        <w:spacing w:after="0" w:line="240" w:lineRule="auto"/>
        <w:jc w:val="both"/>
        <w:rPr>
          <w:rFonts w:ascii="Calibri" w:hAnsi="Calibri" w:cs="Calibri"/>
        </w:rPr>
      </w:pPr>
    </w:p>
    <w:p w14:paraId="39767492"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b/>
        </w:rPr>
        <w:t>SUMMARY:</w:t>
      </w:r>
    </w:p>
    <w:p w14:paraId="1062E600"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This retrospective study of 8,286 intensive care unit (ICU) sepsis patients from the Medical Information Mart for Intensive Care IV (MIMIC-IV) database found that a higher albumin-corrected anion gap (ACAG) was significantly associated with increased 30-day hospital and ICU mortality, showing a nonlinear relationship with an inflection point at 23.</w:t>
      </w:r>
    </w:p>
    <w:p w14:paraId="3D1E4320" w14:textId="77777777" w:rsidR="004264BC" w:rsidRPr="004264BC" w:rsidRDefault="004264BC" w:rsidP="004264BC">
      <w:pPr>
        <w:spacing w:after="0" w:line="240" w:lineRule="auto"/>
        <w:jc w:val="both"/>
        <w:rPr>
          <w:rFonts w:ascii="Calibri" w:hAnsi="Calibri" w:cs="Calibri"/>
        </w:rPr>
      </w:pPr>
    </w:p>
    <w:p w14:paraId="4D01F426"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b/>
        </w:rPr>
        <w:t>KEYWORDS:</w:t>
      </w:r>
    </w:p>
    <w:p w14:paraId="5F002142"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Intensive care unit; MIMIC; Mortality; Sepsis; Anion gap; Albumin-corrected anion gap</w:t>
      </w:r>
    </w:p>
    <w:p w14:paraId="2308B772" w14:textId="77777777" w:rsidR="004264BC" w:rsidRPr="004264BC" w:rsidRDefault="004264BC" w:rsidP="004264BC">
      <w:pPr>
        <w:spacing w:after="0" w:line="240" w:lineRule="auto"/>
        <w:jc w:val="both"/>
        <w:rPr>
          <w:rFonts w:ascii="Calibri" w:hAnsi="Calibri" w:cs="Calibri"/>
        </w:rPr>
      </w:pPr>
    </w:p>
    <w:p w14:paraId="20725B6B"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b/>
        </w:rPr>
        <w:t>ABSTRACT:</w:t>
      </w:r>
    </w:p>
    <w:p w14:paraId="5E29EAE4" w14:textId="6707DCDB" w:rsidR="004264BC" w:rsidRPr="004264BC" w:rsidRDefault="00000000" w:rsidP="004264BC">
      <w:pPr>
        <w:spacing w:after="0" w:line="240" w:lineRule="auto"/>
        <w:jc w:val="both"/>
        <w:rPr>
          <w:rFonts w:ascii="Calibri" w:hAnsi="Calibri" w:cs="Calibri"/>
        </w:rPr>
      </w:pPr>
      <w:r w:rsidRPr="004264BC">
        <w:rPr>
          <w:rFonts w:ascii="Calibri" w:hAnsi="Calibri" w:cs="Calibri"/>
        </w:rPr>
        <w:t xml:space="preserve">Early prognostic assessment is crucial for sepsis patients in intensive care units (ICU). This study investigated the relationship between the albumin-corrected anion gap (ACAG) and clinical outcomes in ICU patients with sepsis. This retrospective cohort study analyzed 8,286 sepsis patients from the MIMIC-IV (version 2.2) database. Primary outcomes were 30-day in-hospital mortality and 30-day ICU mortality. </w:t>
      </w:r>
      <w:r w:rsidR="00801E30">
        <w:rPr>
          <w:rFonts w:ascii="Calibri" w:hAnsi="Calibri" w:cs="Calibri"/>
        </w:rPr>
        <w:t>The authors</w:t>
      </w:r>
      <w:r w:rsidRPr="004264BC">
        <w:rPr>
          <w:rFonts w:ascii="Calibri" w:hAnsi="Calibri" w:cs="Calibri"/>
        </w:rPr>
        <w:t xml:space="preserve"> used Kaplan-Meier analysis, log-rank tests, multivariable Cox regression, and restricted cubic spline (RCS) regression to evaluate associations </w:t>
      </w:r>
      <w:r w:rsidRPr="004264BC">
        <w:rPr>
          <w:rFonts w:ascii="Calibri" w:hAnsi="Calibri" w:cs="Calibri"/>
        </w:rPr>
        <w:lastRenderedPageBreak/>
        <w:t>between ACAG and the outcome. Subgroup analyses assessed consistency across different factors. Higher ACAG levels were significantly associated with increased mortality risks. As a continuous variable, ACAG independently predicted higher in-hospital mortality in fully adjusted models (HR 1.01, 95% CI 1.01–1.02, p &lt; 0.001). Quartile analysis revealed that Q4 patients (ACAG &gt; 26.62) had 41% higher in-hospital mortality risk than Q1 in fully adjusted models (HR 1.41, 95% CI 1.24–1.49, p &lt; 0.001). For ICU mortality, Q4 showed 54% higher risk than Q1 (HR 1.54, 95% CI 1.41–1.75, p &lt; 0.001), although continuous ACAG was not significant in the fully adjusted model (p = 0.099), suggesting a threshold effect. RCS analysis identified a nonlinear association with an inflection point at ACAG = 23. Subgroup analyses confirmed consistent effects, with significant interactions for body mass index, acute kidney injury, continuous renal replacement therapy, and mechanical ventilation. Higher ACAG levels are significantly associated with increased 30-day mortality in ICU sepsis patients, showing a nonlinear pattern with an inflection point at 23. Monitoring ACAG may aid risk assessment in critically ill sepsis patients, particularly when values exceed this threshold. Further research is needed to elucidate mechanisms and validate clinical utility.</w:t>
      </w:r>
    </w:p>
    <w:p w14:paraId="09251090" w14:textId="77777777" w:rsidR="004264BC" w:rsidRPr="004264BC" w:rsidRDefault="004264BC" w:rsidP="004264BC">
      <w:pPr>
        <w:spacing w:after="0" w:line="240" w:lineRule="auto"/>
        <w:jc w:val="both"/>
        <w:rPr>
          <w:rFonts w:ascii="Calibri" w:hAnsi="Calibri" w:cs="Calibri"/>
        </w:rPr>
      </w:pPr>
    </w:p>
    <w:p w14:paraId="6DF90EB8"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b/>
        </w:rPr>
        <w:t>INTRODUCTION:</w:t>
      </w:r>
    </w:p>
    <w:p w14:paraId="06B6A1B5" w14:textId="4C82E6ED" w:rsidR="004264BC" w:rsidRPr="004264BC" w:rsidRDefault="00000000" w:rsidP="004264BC">
      <w:pPr>
        <w:spacing w:after="0" w:line="240" w:lineRule="auto"/>
        <w:jc w:val="both"/>
        <w:rPr>
          <w:rFonts w:ascii="Calibri" w:hAnsi="Calibri" w:cs="Calibri"/>
        </w:rPr>
      </w:pPr>
      <w:r w:rsidRPr="004264BC">
        <w:rPr>
          <w:rFonts w:ascii="Calibri" w:hAnsi="Calibri" w:cs="Calibri"/>
        </w:rPr>
        <w:t>Sepsis is a heterogeneous syndrome resulting from an inappropriate body response to infection. Its incidence and fatality rates remain high across various populations and age groups, imposing a significant burden on the global healthcare system</w:t>
      </w:r>
      <w:r w:rsidRPr="004264BC">
        <w:rPr>
          <w:rFonts w:ascii="Calibri" w:hAnsi="Calibri" w:cs="Calibri"/>
          <w:vertAlign w:val="superscript"/>
        </w:rPr>
        <w:t>1</w:t>
      </w:r>
      <w:r w:rsidRPr="004264BC">
        <w:rPr>
          <w:rFonts w:ascii="Calibri" w:hAnsi="Calibri" w:cs="Calibri"/>
        </w:rPr>
        <w:t>. Sepsis and septic shock are critical conditions characterized by inadequate tissue perfusion and hypoxia, leading to multiple organ dysfunction and posing life-threatening risks</w:t>
      </w:r>
      <w:r w:rsidRPr="004264BC">
        <w:rPr>
          <w:rFonts w:ascii="Calibri" w:hAnsi="Calibri" w:cs="Calibri"/>
          <w:vertAlign w:val="superscript"/>
        </w:rPr>
        <w:t>2,3</w:t>
      </w:r>
      <w:r w:rsidRPr="004264BC">
        <w:rPr>
          <w:rFonts w:ascii="Calibri" w:hAnsi="Calibri" w:cs="Calibri"/>
        </w:rPr>
        <w:t>. Despite advancements in the diagnosis and treatment of sepsis, it continues to be a major cause of high patient mortality, second only to severe cardiac conditions</w:t>
      </w:r>
      <w:r w:rsidRPr="004264BC">
        <w:rPr>
          <w:rFonts w:ascii="Calibri" w:hAnsi="Calibri" w:cs="Calibri"/>
          <w:vertAlign w:val="superscript"/>
        </w:rPr>
        <w:t>4</w:t>
      </w:r>
      <w:r w:rsidRPr="004264BC">
        <w:rPr>
          <w:rFonts w:ascii="Calibri" w:hAnsi="Calibri" w:cs="Calibri"/>
        </w:rPr>
        <w:t xml:space="preserve">. By applying minimal clinical data at the patient’s arrival for diagnosis, healthcare providers can promptly and effectively evaluate prognosis, identify potentially critical cases, and administer targeted early treatment. This approach can reduce mortality among sepsis patients. A key focus is </w:t>
      </w:r>
      <w:r w:rsidR="00635BBD">
        <w:rPr>
          <w:rFonts w:ascii="Calibri" w:hAnsi="Calibri" w:cs="Calibri"/>
        </w:rPr>
        <w:t>identifying biomarkers to predict</w:t>
      </w:r>
      <w:r w:rsidRPr="004264BC">
        <w:rPr>
          <w:rFonts w:ascii="Calibri" w:hAnsi="Calibri" w:cs="Calibri"/>
        </w:rPr>
        <w:t xml:space="preserve"> sepsis mortality.</w:t>
      </w:r>
    </w:p>
    <w:p w14:paraId="27664FC8" w14:textId="77777777" w:rsidR="004264BC" w:rsidRPr="004264BC" w:rsidRDefault="004264BC" w:rsidP="004264BC">
      <w:pPr>
        <w:spacing w:after="0" w:line="240" w:lineRule="auto"/>
        <w:jc w:val="both"/>
        <w:rPr>
          <w:rFonts w:ascii="Calibri" w:hAnsi="Calibri" w:cs="Calibri"/>
        </w:rPr>
      </w:pPr>
    </w:p>
    <w:p w14:paraId="1B0F79E2"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In clinical practice, multiple parameters are employed to predict sepsis, including C-reactive protein (CRP), procalcitonin (PCT), interleukin-6 (IL-6), white blood cell count (WBC), and the neutrophil-to-lymphocyte ratio (NLR), among others</w:t>
      </w:r>
      <w:r w:rsidRPr="004264BC">
        <w:rPr>
          <w:rFonts w:ascii="Calibri" w:hAnsi="Calibri" w:cs="Calibri"/>
          <w:vertAlign w:val="superscript"/>
        </w:rPr>
        <w:t>5</w:t>
      </w:r>
      <w:r w:rsidRPr="004264BC">
        <w:rPr>
          <w:rFonts w:ascii="Calibri" w:hAnsi="Calibri" w:cs="Calibri"/>
        </w:rPr>
        <w:t>. However, some of these indicators or scoring systems exhibit certain limitations, such as a lack of specificity or low sensitivity</w:t>
      </w:r>
      <w:r w:rsidRPr="004264BC">
        <w:rPr>
          <w:rFonts w:ascii="Calibri" w:hAnsi="Calibri" w:cs="Calibri"/>
          <w:vertAlign w:val="superscript"/>
        </w:rPr>
        <w:t>6</w:t>
      </w:r>
      <w:r w:rsidRPr="004264BC">
        <w:rPr>
          <w:rFonts w:ascii="Calibri" w:hAnsi="Calibri" w:cs="Calibri"/>
        </w:rPr>
        <w:t>. Additionally, some parameters are too complex for easy application in clinical settings. Compared to these traditional biomarkers, the albumin-corrected anion gap (ACAG) offers the potential advantage of integrating both acid-base status (via the anion gap) and nutritional/inflammatory status (via albumin), while being easily calculable from routine laboratory tests. Hence, there remains a need for sensitive, specific, and easily obtainable parameters to predict sepsis severity and prognosis. This is crucial for clinicians to develop effective diagnosis and treatment plans, efficiently allocate medical resources, and alleviate the financial burden on patients and families.</w:t>
      </w:r>
    </w:p>
    <w:p w14:paraId="3BC39EDB" w14:textId="77777777" w:rsidR="004264BC" w:rsidRPr="004264BC" w:rsidRDefault="004264BC" w:rsidP="004264BC">
      <w:pPr>
        <w:spacing w:after="0" w:line="240" w:lineRule="auto"/>
        <w:jc w:val="both"/>
        <w:rPr>
          <w:rFonts w:ascii="Calibri" w:hAnsi="Calibri" w:cs="Calibri"/>
        </w:rPr>
      </w:pPr>
    </w:p>
    <w:p w14:paraId="5AB20389" w14:textId="28E6E74F" w:rsidR="004264BC" w:rsidRPr="004264BC" w:rsidRDefault="00000000" w:rsidP="004264BC">
      <w:pPr>
        <w:spacing w:after="0" w:line="240" w:lineRule="auto"/>
        <w:jc w:val="both"/>
        <w:rPr>
          <w:rFonts w:ascii="Calibri" w:hAnsi="Calibri" w:cs="Calibri"/>
        </w:rPr>
      </w:pPr>
      <w:r w:rsidRPr="004264BC">
        <w:rPr>
          <w:rFonts w:ascii="Calibri" w:hAnsi="Calibri" w:cs="Calibri"/>
        </w:rPr>
        <w:t>Metabolic acidosis is commonly observed in critically ill patients due to various causes</w:t>
      </w:r>
      <w:r w:rsidRPr="004264BC">
        <w:rPr>
          <w:rFonts w:ascii="Calibri" w:hAnsi="Calibri" w:cs="Calibri"/>
          <w:vertAlign w:val="superscript"/>
        </w:rPr>
        <w:t>7</w:t>
      </w:r>
      <w:r w:rsidRPr="004264BC">
        <w:rPr>
          <w:rFonts w:ascii="Calibri" w:hAnsi="Calibri" w:cs="Calibri"/>
        </w:rPr>
        <w:t>. Studies have indicated that the type of metabolic acidosis at ICU admission correlates with patient mortality</w:t>
      </w:r>
      <w:r w:rsidRPr="004264BC">
        <w:rPr>
          <w:rFonts w:ascii="Calibri" w:hAnsi="Calibri" w:cs="Calibri"/>
          <w:vertAlign w:val="superscript"/>
        </w:rPr>
        <w:t>8,9</w:t>
      </w:r>
      <w:r w:rsidRPr="004264BC">
        <w:rPr>
          <w:rFonts w:ascii="Calibri" w:hAnsi="Calibri" w:cs="Calibri"/>
        </w:rPr>
        <w:t>. Clinically, the serum anion gap (AG) is typically used to assess the type of metabolic acidosis and the degree of acid-</w:t>
      </w:r>
      <w:proofErr w:type="spellStart"/>
      <w:r w:rsidRPr="004264BC">
        <w:rPr>
          <w:rFonts w:ascii="Calibri" w:hAnsi="Calibri" w:cs="Calibri"/>
        </w:rPr>
        <w:t>base</w:t>
      </w:r>
      <w:proofErr w:type="spellEnd"/>
      <w:r w:rsidRPr="004264BC">
        <w:rPr>
          <w:rFonts w:ascii="Calibri" w:hAnsi="Calibri" w:cs="Calibri"/>
        </w:rPr>
        <w:t xml:space="preserve"> imbalance</w:t>
      </w:r>
      <w:r w:rsidRPr="004264BC">
        <w:rPr>
          <w:rFonts w:ascii="Calibri" w:hAnsi="Calibri" w:cs="Calibri"/>
          <w:vertAlign w:val="superscript"/>
        </w:rPr>
        <w:t>10,11</w:t>
      </w:r>
      <w:r w:rsidRPr="004264BC">
        <w:rPr>
          <w:rFonts w:ascii="Calibri" w:hAnsi="Calibri" w:cs="Calibri"/>
        </w:rPr>
        <w:t xml:space="preserve">. Current research has shown that AG is a </w:t>
      </w:r>
      <w:r w:rsidRPr="004264BC">
        <w:rPr>
          <w:rFonts w:ascii="Calibri" w:hAnsi="Calibri" w:cs="Calibri"/>
        </w:rPr>
        <w:lastRenderedPageBreak/>
        <w:t>promising predictor for various diseases, including heart failure</w:t>
      </w:r>
      <w:r w:rsidRPr="004264BC">
        <w:rPr>
          <w:rFonts w:ascii="Calibri" w:hAnsi="Calibri" w:cs="Calibri"/>
          <w:vertAlign w:val="superscript"/>
        </w:rPr>
        <w:t>12</w:t>
      </w:r>
      <w:r w:rsidRPr="004264BC">
        <w:rPr>
          <w:rFonts w:ascii="Calibri" w:hAnsi="Calibri" w:cs="Calibri"/>
        </w:rPr>
        <w:t>, myocardial infarction</w:t>
      </w:r>
      <w:r w:rsidRPr="004264BC">
        <w:rPr>
          <w:rFonts w:ascii="Calibri" w:hAnsi="Calibri" w:cs="Calibri"/>
          <w:vertAlign w:val="superscript"/>
        </w:rPr>
        <w:t>13</w:t>
      </w:r>
      <w:r w:rsidRPr="004264BC">
        <w:rPr>
          <w:rFonts w:ascii="Calibri" w:hAnsi="Calibri" w:cs="Calibri"/>
        </w:rPr>
        <w:t>, acute kidney injury</w:t>
      </w:r>
      <w:r w:rsidRPr="004264BC">
        <w:rPr>
          <w:rFonts w:ascii="Calibri" w:hAnsi="Calibri" w:cs="Calibri"/>
          <w:vertAlign w:val="superscript"/>
        </w:rPr>
        <w:t>14</w:t>
      </w:r>
      <w:r w:rsidRPr="004264BC">
        <w:rPr>
          <w:rFonts w:ascii="Calibri" w:hAnsi="Calibri" w:cs="Calibri"/>
        </w:rPr>
        <w:t>, and cerebral infarction</w:t>
      </w:r>
      <w:r w:rsidRPr="004264BC">
        <w:rPr>
          <w:rFonts w:ascii="Calibri" w:hAnsi="Calibri" w:cs="Calibri"/>
          <w:vertAlign w:val="superscript"/>
        </w:rPr>
        <w:t>15</w:t>
      </w:r>
      <w:r w:rsidRPr="004264BC">
        <w:rPr>
          <w:rFonts w:ascii="Calibri" w:hAnsi="Calibri" w:cs="Calibri"/>
        </w:rPr>
        <w:t xml:space="preserve">. Conversely, </w:t>
      </w:r>
      <w:r w:rsidR="002544BB">
        <w:rPr>
          <w:rFonts w:ascii="Calibri" w:hAnsi="Calibri" w:cs="Calibri"/>
        </w:rPr>
        <w:t>a study</w:t>
      </w:r>
      <w:r w:rsidRPr="004264BC">
        <w:rPr>
          <w:rFonts w:ascii="Calibri" w:hAnsi="Calibri" w:cs="Calibri"/>
          <w:vertAlign w:val="superscript"/>
        </w:rPr>
        <w:t>16</w:t>
      </w:r>
      <w:r w:rsidRPr="004264BC">
        <w:rPr>
          <w:rFonts w:ascii="Calibri" w:hAnsi="Calibri" w:cs="Calibri"/>
        </w:rPr>
        <w:t xml:space="preserve"> reported that AG’s predictive ability for sepsis mortality is limited. However, other researchers</w:t>
      </w:r>
      <w:r w:rsidRPr="004264BC">
        <w:rPr>
          <w:rFonts w:ascii="Calibri" w:hAnsi="Calibri" w:cs="Calibri"/>
          <w:vertAlign w:val="superscript"/>
        </w:rPr>
        <w:t>17</w:t>
      </w:r>
      <w:r w:rsidRPr="004264BC">
        <w:rPr>
          <w:rFonts w:ascii="Calibri" w:hAnsi="Calibri" w:cs="Calibri"/>
        </w:rPr>
        <w:t xml:space="preserve"> have suggested that this might be due to the influence of albumin charge, causing AG to exhibit “pseudo-normal” behavior</w:t>
      </w:r>
      <w:r w:rsidRPr="004264BC">
        <w:rPr>
          <w:rFonts w:ascii="Calibri" w:hAnsi="Calibri" w:cs="Calibri"/>
          <w:vertAlign w:val="superscript"/>
        </w:rPr>
        <w:t>18,19,20</w:t>
      </w:r>
      <w:r w:rsidRPr="004264BC">
        <w:rPr>
          <w:rFonts w:ascii="Calibri" w:hAnsi="Calibri" w:cs="Calibri"/>
        </w:rPr>
        <w:t>. The albumin-corrected anion gap (ACAG) may better reflect the acid-base balance in patients with liver</w:t>
      </w:r>
      <w:r w:rsidRPr="004264BC">
        <w:rPr>
          <w:rFonts w:ascii="Calibri" w:hAnsi="Calibri" w:cs="Calibri"/>
          <w:vertAlign w:val="superscript"/>
        </w:rPr>
        <w:t>20</w:t>
      </w:r>
      <w:r w:rsidRPr="004264BC">
        <w:rPr>
          <w:rFonts w:ascii="Calibri" w:hAnsi="Calibri" w:cs="Calibri"/>
        </w:rPr>
        <w:t xml:space="preserve"> and kidney diseases</w:t>
      </w:r>
      <w:r w:rsidRPr="004264BC">
        <w:rPr>
          <w:rFonts w:ascii="Calibri" w:hAnsi="Calibri" w:cs="Calibri"/>
          <w:vertAlign w:val="superscript"/>
        </w:rPr>
        <w:t>21</w:t>
      </w:r>
      <w:r w:rsidRPr="004264BC">
        <w:rPr>
          <w:rFonts w:ascii="Calibri" w:hAnsi="Calibri" w:cs="Calibri"/>
        </w:rPr>
        <w:t xml:space="preserve">, thereby guiding clinical treatment. </w:t>
      </w:r>
    </w:p>
    <w:p w14:paraId="7A3E7FA6" w14:textId="77777777" w:rsidR="004264BC" w:rsidRPr="004264BC" w:rsidRDefault="004264BC" w:rsidP="004264BC">
      <w:pPr>
        <w:spacing w:after="0" w:line="240" w:lineRule="auto"/>
        <w:jc w:val="both"/>
        <w:rPr>
          <w:rFonts w:ascii="Calibri" w:hAnsi="Calibri" w:cs="Calibri"/>
        </w:rPr>
      </w:pPr>
    </w:p>
    <w:p w14:paraId="4AB3FE30"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Recent studies</w:t>
      </w:r>
      <w:r w:rsidRPr="004264BC">
        <w:rPr>
          <w:rFonts w:ascii="Calibri" w:hAnsi="Calibri" w:cs="Calibri"/>
          <w:vertAlign w:val="superscript"/>
        </w:rPr>
        <w:t>14–15</w:t>
      </w:r>
      <w:r w:rsidRPr="004264BC">
        <w:rPr>
          <w:rFonts w:ascii="Calibri" w:hAnsi="Calibri" w:cs="Calibri"/>
        </w:rPr>
        <w:t xml:space="preserve"> have explored ACAG in specific sepsis subgroups, such as those with acute kidney injury</w:t>
      </w:r>
      <w:r w:rsidRPr="004264BC">
        <w:rPr>
          <w:rFonts w:ascii="Calibri" w:hAnsi="Calibri" w:cs="Calibri"/>
          <w:vertAlign w:val="superscript"/>
        </w:rPr>
        <w:t>22</w:t>
      </w:r>
      <w:r w:rsidRPr="004264BC">
        <w:rPr>
          <w:rFonts w:ascii="Calibri" w:hAnsi="Calibri" w:cs="Calibri"/>
        </w:rPr>
        <w:t xml:space="preserve"> or cirrhosis</w:t>
      </w:r>
      <w:r w:rsidRPr="004264BC">
        <w:rPr>
          <w:rFonts w:ascii="Calibri" w:hAnsi="Calibri" w:cs="Calibri"/>
          <w:vertAlign w:val="superscript"/>
        </w:rPr>
        <w:t>23</w:t>
      </w:r>
      <w:r w:rsidRPr="004264BC">
        <w:rPr>
          <w:rFonts w:ascii="Calibri" w:hAnsi="Calibri" w:cs="Calibri"/>
        </w:rPr>
        <w:t>, and in older adults</w:t>
      </w:r>
      <w:r w:rsidRPr="004264BC">
        <w:rPr>
          <w:rFonts w:ascii="Calibri" w:hAnsi="Calibri" w:cs="Calibri"/>
          <w:vertAlign w:val="superscript"/>
        </w:rPr>
        <w:t>24</w:t>
      </w:r>
      <w:r w:rsidRPr="004264BC">
        <w:rPr>
          <w:rFonts w:ascii="Calibri" w:hAnsi="Calibri" w:cs="Calibri"/>
        </w:rPr>
        <w:t>, but a comprehensive evaluation of ACAG in a large, unselected ICU sepsis population—particularly the identification of a nonlinear relationship and a clinically actionable threshold—has not been performed. Therefore, this study aims to investigate the independent association between ACAG and 30-day mortality (both in-hospital and ICU) in a large cohort of ICU patients with sepsis using the MIMIC-IV database, explore the potential nonlinear relationship between ACAG and mortality using restricted cubic spline (RCS) regression, specifically testing for the presence of an inflection point; and assess the consistency of this association across clinically relevant subgroups defined by demographics, comorbidities, and organ support therapies. It is hypothesized that elevated albumin-corrected anion gap levels are independently associated with increased 30-day mortality, with a nonlinear relationship above a specific threshold, beyond which mortality risk rises sharply.</w:t>
      </w:r>
    </w:p>
    <w:p w14:paraId="762B4D14" w14:textId="77777777" w:rsidR="004264BC" w:rsidRPr="004264BC" w:rsidRDefault="004264BC" w:rsidP="004264BC">
      <w:pPr>
        <w:spacing w:after="0" w:line="240" w:lineRule="auto"/>
        <w:jc w:val="both"/>
        <w:rPr>
          <w:rFonts w:ascii="Calibri" w:hAnsi="Calibri" w:cs="Calibri"/>
        </w:rPr>
      </w:pPr>
    </w:p>
    <w:p w14:paraId="7638E9B4"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b/>
        </w:rPr>
        <w:t>PROTOCOL:</w:t>
      </w:r>
    </w:p>
    <w:p w14:paraId="006A9EE6" w14:textId="77777777" w:rsidR="004264BC" w:rsidRPr="004264BC" w:rsidRDefault="00000000" w:rsidP="004264BC">
      <w:pPr>
        <w:spacing w:after="0" w:line="240" w:lineRule="auto"/>
        <w:jc w:val="both"/>
        <w:rPr>
          <w:rFonts w:ascii="Calibri" w:hAnsi="Calibri" w:cs="Calibri"/>
          <w:b/>
          <w:bCs/>
        </w:rPr>
      </w:pPr>
      <w:r w:rsidRPr="004264BC">
        <w:rPr>
          <w:rFonts w:ascii="Calibri" w:hAnsi="Calibri" w:cs="Calibri"/>
          <w:b/>
          <w:bCs/>
        </w:rPr>
        <w:t>Data source and study design</w:t>
      </w:r>
    </w:p>
    <w:p w14:paraId="155E7E73"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A retrospective cohort study was performed using data sourced from version 2.2 of the Medical Information Mart for Intensive Care IV database. This database comprises two in-house systems: a comprehensive hospital-wide electronic health record (EHR) and an ICU-specific clinical information system, covering data from 2008 to 2024</w:t>
      </w:r>
      <w:r w:rsidRPr="004264BC">
        <w:rPr>
          <w:rFonts w:ascii="Calibri" w:hAnsi="Calibri" w:cs="Calibri"/>
          <w:vertAlign w:val="superscript"/>
        </w:rPr>
        <w:t>18</w:t>
      </w:r>
      <w:r w:rsidRPr="004264BC">
        <w:rPr>
          <w:rFonts w:ascii="Calibri" w:hAnsi="Calibri" w:cs="Calibri"/>
        </w:rPr>
        <w:t xml:space="preserve">. This study was performed in compliance with institutional guidelines. The MIMIC-IV database received approval from the Massachusetts Institute of Technology and the Beth Israel Deaconess Medical Center. This study was reviewed and approved by the Human Research Ethics Committee of Ningbo No. 2 Hospital (approval number: YJ-NBEY-KY-2022-107-01, dated September 7, 2022). Due to the retrospective design and the anonymized nature of the patient health information, the same ethics committee waived the requirement for informed consent under the same approval (YJ-NBEY-KY-2022-107-01). Access to the database was secured by one of the authors (JQ L), who received the necessary authentication and completed the Collaborative Institutional Training Initiative examination (authentication number 60691748). </w:t>
      </w:r>
    </w:p>
    <w:p w14:paraId="6525D1A6" w14:textId="77777777" w:rsidR="004264BC" w:rsidRPr="004264BC" w:rsidRDefault="004264BC" w:rsidP="004264BC">
      <w:pPr>
        <w:spacing w:after="0" w:line="240" w:lineRule="auto"/>
        <w:jc w:val="both"/>
        <w:rPr>
          <w:rFonts w:ascii="Calibri" w:hAnsi="Calibri" w:cs="Calibri"/>
        </w:rPr>
      </w:pPr>
    </w:p>
    <w:p w14:paraId="76E8CAC5" w14:textId="09315CCF" w:rsidR="004264BC" w:rsidRPr="004264BC" w:rsidRDefault="00000000" w:rsidP="004264BC">
      <w:pPr>
        <w:spacing w:after="0" w:line="240" w:lineRule="auto"/>
        <w:jc w:val="both"/>
        <w:rPr>
          <w:rFonts w:ascii="Calibri" w:hAnsi="Calibri" w:cs="Calibri"/>
        </w:rPr>
      </w:pPr>
      <w:r w:rsidRPr="004264BC">
        <w:rPr>
          <w:rFonts w:ascii="Calibri" w:hAnsi="Calibri" w:cs="Calibri"/>
        </w:rPr>
        <w:t xml:space="preserve">Given the retrospective nature of </w:t>
      </w:r>
      <w:r w:rsidR="00891534">
        <w:rPr>
          <w:rFonts w:ascii="Calibri" w:hAnsi="Calibri" w:cs="Calibri"/>
        </w:rPr>
        <w:t>this</w:t>
      </w:r>
      <w:r w:rsidRPr="004264BC">
        <w:rPr>
          <w:rFonts w:ascii="Calibri" w:hAnsi="Calibri" w:cs="Calibri"/>
        </w:rPr>
        <w:t xml:space="preserve"> study, traditional sample size calculations or power analyses were not performed. However, the volume of available records in the database was deemed adequate to meet the study’s objectives. This assessment is based on investigating the relationship between the albumin-corrected anion gap (ACAG) and mortality outcomes within a large and diverse patient population. The convenience samples drawn from the database effectively represent the intensive care population, thus supporting the statistical analyses employed in this study.</w:t>
      </w:r>
    </w:p>
    <w:p w14:paraId="5BB7DAA8" w14:textId="77777777" w:rsidR="004264BC" w:rsidRPr="004264BC" w:rsidRDefault="004264BC" w:rsidP="004264BC">
      <w:pPr>
        <w:spacing w:after="0" w:line="240" w:lineRule="auto"/>
        <w:jc w:val="both"/>
        <w:rPr>
          <w:rFonts w:ascii="Calibri" w:hAnsi="Calibri" w:cs="Calibri"/>
        </w:rPr>
      </w:pPr>
    </w:p>
    <w:p w14:paraId="374C38DF" w14:textId="77777777" w:rsidR="004264BC" w:rsidRPr="004264BC" w:rsidRDefault="00000000" w:rsidP="004264BC">
      <w:pPr>
        <w:spacing w:after="0" w:line="240" w:lineRule="auto"/>
        <w:jc w:val="both"/>
        <w:rPr>
          <w:rFonts w:ascii="Calibri" w:hAnsi="Calibri" w:cs="Calibri"/>
          <w:b/>
          <w:bCs/>
        </w:rPr>
      </w:pPr>
      <w:r w:rsidRPr="004264BC">
        <w:rPr>
          <w:rFonts w:ascii="Calibri" w:hAnsi="Calibri" w:cs="Calibri"/>
          <w:b/>
          <w:bCs/>
        </w:rPr>
        <w:lastRenderedPageBreak/>
        <w:t>Participants</w:t>
      </w:r>
    </w:p>
    <w:p w14:paraId="022E94B0" w14:textId="316A6FD0" w:rsidR="004264BC" w:rsidRPr="004264BC" w:rsidRDefault="00000000" w:rsidP="004264BC">
      <w:pPr>
        <w:spacing w:after="0" w:line="240" w:lineRule="auto"/>
        <w:jc w:val="both"/>
        <w:rPr>
          <w:rFonts w:ascii="Calibri" w:hAnsi="Calibri" w:cs="Calibri"/>
        </w:rPr>
      </w:pPr>
      <w:r w:rsidRPr="004264BC">
        <w:rPr>
          <w:rFonts w:ascii="Calibri" w:hAnsi="Calibri" w:cs="Calibri"/>
        </w:rPr>
        <w:t xml:space="preserve">The study encompassed all sepsis patients from the MIMIC-IV v2.2 database. Sepsis was defined according to the Sepsis-3.0 criteria, implemented using </w:t>
      </w:r>
      <w:r w:rsidR="00384BC7" w:rsidRPr="004264BC">
        <w:rPr>
          <w:rFonts w:ascii="Calibri" w:hAnsi="Calibri" w:cs="Calibri"/>
        </w:rPr>
        <w:t xml:space="preserve">structured query language </w:t>
      </w:r>
      <w:r w:rsidRPr="004264BC">
        <w:rPr>
          <w:rFonts w:ascii="Calibri" w:hAnsi="Calibri" w:cs="Calibri"/>
        </w:rPr>
        <w:t xml:space="preserve">(SQL) queries to identify patients with suspected infection and a </w:t>
      </w:r>
      <w:r w:rsidR="00384BC7" w:rsidRPr="004264BC">
        <w:rPr>
          <w:rFonts w:ascii="Calibri" w:hAnsi="Calibri" w:cs="Calibri"/>
        </w:rPr>
        <w:t xml:space="preserve">sequential organ failure assessment </w:t>
      </w:r>
      <w:r w:rsidRPr="004264BC">
        <w:rPr>
          <w:rFonts w:ascii="Calibri" w:hAnsi="Calibri" w:cs="Calibri"/>
        </w:rPr>
        <w:t>(SOFA) score change of ≥2 within 24 h</w:t>
      </w:r>
      <w:r w:rsidRPr="004264BC">
        <w:rPr>
          <w:rFonts w:ascii="Calibri" w:hAnsi="Calibri" w:cs="Calibri"/>
          <w:vertAlign w:val="superscript"/>
        </w:rPr>
        <w:t>19</w:t>
      </w:r>
      <w:r w:rsidRPr="004264BC">
        <w:rPr>
          <w:rFonts w:ascii="Calibri" w:hAnsi="Calibri" w:cs="Calibri"/>
        </w:rPr>
        <w:t xml:space="preserve">. All patients in this cohort were admitted to the ICU as the first point of hospital entry; patients admitted to general wards and later transferred to the ICU were excluded to ensure a homogeneous population with early ICU admission. Data extraction was performed using SQL via a database management </w:t>
      </w:r>
      <w:r w:rsidR="00384BC7">
        <w:rPr>
          <w:rFonts w:ascii="Calibri" w:hAnsi="Calibri" w:cs="Calibri"/>
        </w:rPr>
        <w:t>tool</w:t>
      </w:r>
      <w:r w:rsidR="00384BC7" w:rsidRPr="00384BC7">
        <w:rPr>
          <w:rFonts w:ascii="Calibri" w:hAnsi="Calibri" w:cs="Calibri"/>
          <w:vertAlign w:val="superscript"/>
        </w:rPr>
        <w:t>20</w:t>
      </w:r>
      <w:r w:rsidR="00384BC7">
        <w:rPr>
          <w:rFonts w:ascii="Calibri" w:hAnsi="Calibri" w:cs="Calibri"/>
        </w:rPr>
        <w:t xml:space="preserve">, with all utilized software, databases, and analytical tools listed in an </w:t>
      </w:r>
      <w:r w:rsidRPr="004264BC">
        <w:rPr>
          <w:rFonts w:ascii="Calibri" w:hAnsi="Calibri" w:cs="Calibri"/>
        </w:rPr>
        <w:t xml:space="preserve">alphabetically sorted </w:t>
      </w:r>
      <w:r w:rsidRPr="00D6291B">
        <w:rPr>
          <w:rFonts w:ascii="Calibri" w:hAnsi="Calibri" w:cs="Calibri"/>
          <w:b/>
          <w:bCs/>
        </w:rPr>
        <w:t>Table of Materials</w:t>
      </w:r>
      <w:r w:rsidRPr="004264BC">
        <w:rPr>
          <w:rFonts w:ascii="Calibri" w:hAnsi="Calibri" w:cs="Calibri"/>
        </w:rPr>
        <w:t>. Inclusion criteria specified sepsis patients aged over 18 years who were admitted to the ICU for the first time. The exclusion criteria included: (1) patients under 18 years old; (2) ICU stays of less than 48 h; (3) multiple ICU admissions due to sepsis; and (4) insufficient data, such as missing records for albumin or anion gap (</w:t>
      </w:r>
      <w:r w:rsidRPr="004264BC">
        <w:rPr>
          <w:rFonts w:ascii="Calibri" w:hAnsi="Calibri" w:cs="Calibri"/>
          <w:b/>
          <w:bCs/>
        </w:rPr>
        <w:t>Figure 1</w:t>
      </w:r>
      <w:r w:rsidRPr="004264BC">
        <w:rPr>
          <w:rFonts w:ascii="Calibri" w:hAnsi="Calibri" w:cs="Calibri"/>
        </w:rPr>
        <w:t>).</w:t>
      </w:r>
    </w:p>
    <w:p w14:paraId="500AD6F7" w14:textId="77777777" w:rsidR="004264BC" w:rsidRPr="004264BC" w:rsidRDefault="004264BC" w:rsidP="004264BC">
      <w:pPr>
        <w:spacing w:after="0" w:line="240" w:lineRule="auto"/>
        <w:jc w:val="both"/>
        <w:rPr>
          <w:rFonts w:ascii="Calibri" w:hAnsi="Calibri" w:cs="Calibri"/>
        </w:rPr>
      </w:pPr>
    </w:p>
    <w:p w14:paraId="4AE58FF5" w14:textId="77777777" w:rsidR="004264BC" w:rsidRPr="0084384A" w:rsidRDefault="00000000" w:rsidP="004264BC">
      <w:pPr>
        <w:spacing w:after="0" w:line="240" w:lineRule="auto"/>
        <w:jc w:val="both"/>
        <w:rPr>
          <w:rFonts w:ascii="Calibri" w:hAnsi="Calibri" w:cs="Calibri"/>
          <w:b/>
          <w:bCs/>
          <w:highlight w:val="yellow"/>
        </w:rPr>
      </w:pPr>
      <w:r w:rsidRPr="0084384A">
        <w:rPr>
          <w:rFonts w:ascii="Calibri" w:hAnsi="Calibri" w:cs="Calibri"/>
          <w:b/>
          <w:bCs/>
          <w:highlight w:val="yellow"/>
        </w:rPr>
        <w:t>Research procedures and definitions</w:t>
      </w:r>
    </w:p>
    <w:p w14:paraId="63D08CC2" w14:textId="77777777" w:rsidR="004264BC" w:rsidRPr="0084384A" w:rsidRDefault="00000000" w:rsidP="004264BC">
      <w:pPr>
        <w:spacing w:after="0" w:line="240" w:lineRule="auto"/>
        <w:jc w:val="both"/>
        <w:rPr>
          <w:rFonts w:ascii="Calibri" w:hAnsi="Calibri" w:cs="Calibri"/>
          <w:highlight w:val="yellow"/>
        </w:rPr>
      </w:pPr>
      <w:r w:rsidRPr="0084384A">
        <w:rPr>
          <w:rFonts w:ascii="Calibri" w:hAnsi="Calibri" w:cs="Calibri"/>
          <w:highlight w:val="yellow"/>
        </w:rPr>
        <w:t xml:space="preserve">Data extraction from MIMIC-IV was performed using SQL queries. The extracted data encompassed patient demographics (age, height, weight, gender, insurance status, race, and marital status), medical history (including hypertension, type 2 diabetes, heart failure, myocardial infarction, malignant tumors, chronic kidney disease, cirrhosis, hepatitis, pneumonia, chronic obstructive pulmonary disease, and hyperlipidemia), and initial laboratory test results. These results included white and red blood cell counts, sodium, potassium, calcium, chloride, glucose, anion gap, blood pH, thrombin time, fibrinogen, partial thromboplastin time, international normalized ratio, total cholesterol, aspartate aminotransferase, and alanine aminotransferase. Additionally, information on special treatments (such as continuous renal replacement therapy and mechanical ventilation), clinical scores (SOFA, acute physiology and chronic health evaluation III [APACHE III], simplified acute physiology score II [SAPS II], Oxford acute severity of illness score [Oasis], </w:t>
      </w:r>
      <w:proofErr w:type="spellStart"/>
      <w:r w:rsidRPr="0084384A">
        <w:rPr>
          <w:rFonts w:ascii="Calibri" w:hAnsi="Calibri" w:cs="Calibri"/>
          <w:highlight w:val="yellow"/>
        </w:rPr>
        <w:t>Charlson</w:t>
      </w:r>
      <w:proofErr w:type="spellEnd"/>
      <w:r w:rsidRPr="0084384A">
        <w:rPr>
          <w:rFonts w:ascii="Calibri" w:hAnsi="Calibri" w:cs="Calibri"/>
          <w:highlight w:val="yellow"/>
        </w:rPr>
        <w:t xml:space="preserve"> comorbidity index [</w:t>
      </w:r>
      <w:proofErr w:type="spellStart"/>
      <w:r w:rsidRPr="0084384A">
        <w:rPr>
          <w:rFonts w:ascii="Calibri" w:hAnsi="Calibri" w:cs="Calibri"/>
          <w:highlight w:val="yellow"/>
        </w:rPr>
        <w:t>Charlson</w:t>
      </w:r>
      <w:proofErr w:type="spellEnd"/>
      <w:r w:rsidRPr="0084384A">
        <w:rPr>
          <w:rFonts w:ascii="Calibri" w:hAnsi="Calibri" w:cs="Calibri"/>
          <w:highlight w:val="yellow"/>
        </w:rPr>
        <w:t>], and Glasgow coma scale [GCS] scores), and clinical outcomes (length of hospital stay, in-hospital mortality, ICU stay, and ICU mortality) was collected. During data cleaning, predictors with &gt;30% missing data were excluded.</w:t>
      </w:r>
    </w:p>
    <w:p w14:paraId="52B4D7C0" w14:textId="77777777" w:rsidR="004264BC" w:rsidRPr="0084384A" w:rsidRDefault="004264BC" w:rsidP="004264BC">
      <w:pPr>
        <w:spacing w:after="0" w:line="240" w:lineRule="auto"/>
        <w:jc w:val="both"/>
        <w:rPr>
          <w:rFonts w:ascii="Calibri" w:hAnsi="Calibri" w:cs="Calibri"/>
          <w:highlight w:val="yellow"/>
        </w:rPr>
      </w:pPr>
    </w:p>
    <w:p w14:paraId="7EC5C274" w14:textId="77777777" w:rsidR="004264BC" w:rsidRPr="0084384A" w:rsidRDefault="00000000" w:rsidP="004264BC">
      <w:pPr>
        <w:spacing w:after="0" w:line="240" w:lineRule="auto"/>
        <w:jc w:val="both"/>
        <w:rPr>
          <w:rFonts w:ascii="Calibri" w:hAnsi="Calibri" w:cs="Calibri"/>
          <w:highlight w:val="yellow"/>
        </w:rPr>
      </w:pPr>
      <w:r w:rsidRPr="0084384A">
        <w:rPr>
          <w:rFonts w:ascii="Calibri" w:hAnsi="Calibri" w:cs="Calibri"/>
          <w:highlight w:val="yellow"/>
        </w:rPr>
        <w:t>The albumin-corrected anion gap (ACAG) was calculated using the first available measurements of serum anion gap and serum albumin obtained within 24 h of ICU admission. If multiple measurements were available within the first 24 h, the values closest to the admission time were used. The formula for ACAG is:</w:t>
      </w:r>
    </w:p>
    <w:p w14:paraId="03C1D6F4" w14:textId="77777777" w:rsidR="004264BC" w:rsidRPr="0084384A" w:rsidRDefault="004264BC" w:rsidP="004264BC">
      <w:pPr>
        <w:spacing w:after="0" w:line="240" w:lineRule="auto"/>
        <w:jc w:val="both"/>
        <w:rPr>
          <w:rFonts w:ascii="Calibri" w:hAnsi="Calibri" w:cs="Calibri"/>
          <w:highlight w:val="yellow"/>
        </w:rPr>
      </w:pPr>
    </w:p>
    <w:p w14:paraId="3E5FF707" w14:textId="04EBD629" w:rsidR="004264BC" w:rsidRPr="0084384A" w:rsidRDefault="00000000" w:rsidP="004264BC">
      <w:pPr>
        <w:spacing w:after="0" w:line="240" w:lineRule="auto"/>
        <w:jc w:val="both"/>
        <w:rPr>
          <w:rFonts w:ascii="Calibri" w:hAnsi="Calibri" w:cs="Calibri"/>
          <w:highlight w:val="yellow"/>
        </w:rPr>
      </w:pPr>
      <m:oMath>
        <m:r>
          <w:rPr>
            <w:rFonts w:ascii="Cambria Math" w:hAnsi="Cambria Math" w:cs="Calibri"/>
            <w:highlight w:val="yellow"/>
          </w:rPr>
          <m:t>Albumin-corrected anion gap = Anion gap + [40 - Serum albumin (g/dL)] × 0.25</m:t>
        </m:r>
      </m:oMath>
      <w:r w:rsidRPr="0084384A">
        <w:rPr>
          <w:rFonts w:ascii="Calibri" w:hAnsi="Calibri" w:cs="Calibri"/>
          <w:highlight w:val="yellow"/>
          <w:vertAlign w:val="superscript"/>
        </w:rPr>
        <w:t xml:space="preserve">21 </w:t>
      </w:r>
      <m:oMath>
        <m:r>
          <w:rPr>
            <w:rFonts w:ascii="Cambria Math" w:hAnsi="Cambria Math" w:cs="Calibri"/>
            <w:highlight w:val="yellow"/>
            <w:vertAlign w:val="superscript"/>
          </w:rPr>
          <m:t xml:space="preserve">                                                                                                                                                    </m:t>
        </m:r>
        <m:r>
          <w:rPr>
            <w:rFonts w:ascii="Cambria Math" w:hAnsi="Cambria Math" w:cs="Calibri"/>
            <w:highlight w:val="yellow"/>
          </w:rPr>
          <m:t>(1)</m:t>
        </m:r>
      </m:oMath>
    </w:p>
    <w:p w14:paraId="02949DB7" w14:textId="77777777" w:rsidR="004264BC" w:rsidRPr="0084384A" w:rsidRDefault="004264BC" w:rsidP="004264BC">
      <w:pPr>
        <w:spacing w:after="0" w:line="240" w:lineRule="auto"/>
        <w:jc w:val="both"/>
        <w:rPr>
          <w:rFonts w:ascii="Calibri" w:hAnsi="Calibri" w:cs="Calibri"/>
          <w:highlight w:val="yellow"/>
        </w:rPr>
      </w:pPr>
    </w:p>
    <w:p w14:paraId="1A73249D" w14:textId="77777777" w:rsidR="004264BC" w:rsidRPr="0084384A" w:rsidRDefault="00000000" w:rsidP="004264BC">
      <w:pPr>
        <w:spacing w:after="0" w:line="240" w:lineRule="auto"/>
        <w:jc w:val="both"/>
        <w:rPr>
          <w:rFonts w:ascii="Calibri" w:hAnsi="Calibri" w:cs="Calibri"/>
          <w:b/>
          <w:bCs/>
          <w:highlight w:val="yellow"/>
        </w:rPr>
      </w:pPr>
      <w:r w:rsidRPr="0084384A">
        <w:rPr>
          <w:rFonts w:ascii="Calibri" w:hAnsi="Calibri" w:cs="Calibri"/>
          <w:b/>
          <w:bCs/>
          <w:highlight w:val="yellow"/>
        </w:rPr>
        <w:t>Outcomes and Measures</w:t>
      </w:r>
    </w:p>
    <w:p w14:paraId="4E50582E" w14:textId="260E8163" w:rsidR="004264BC" w:rsidRPr="00A45910" w:rsidRDefault="00000000" w:rsidP="004264BC">
      <w:pPr>
        <w:spacing w:after="0" w:line="240" w:lineRule="auto"/>
        <w:jc w:val="both"/>
        <w:rPr>
          <w:rFonts w:ascii="Calibri" w:hAnsi="Calibri" w:cs="Calibri"/>
        </w:rPr>
      </w:pPr>
      <w:r w:rsidRPr="0084384A">
        <w:rPr>
          <w:rFonts w:ascii="Calibri" w:hAnsi="Calibri" w:cs="Calibri"/>
          <w:highlight w:val="yellow"/>
        </w:rPr>
        <w:t xml:space="preserve">The primary outcomes of this study were 30-day in-hospital mortality and 30-day ICU mortality. The index date for survival analysis was the time of ICU admission. Patients were followed for 30 days from this index date, regardless of hospital discharge status. Mortality events occurring after discharge were captured using the </w:t>
      </w:r>
      <w:r w:rsidR="00310B9D" w:rsidRPr="0084384A">
        <w:rPr>
          <w:rFonts w:ascii="Calibri" w:hAnsi="Calibri" w:cs="Calibri"/>
          <w:highlight w:val="yellow"/>
        </w:rPr>
        <w:t xml:space="preserve">social security death index </w:t>
      </w:r>
      <w:r w:rsidRPr="0084384A">
        <w:rPr>
          <w:rFonts w:ascii="Calibri" w:hAnsi="Calibri" w:cs="Calibri"/>
          <w:highlight w:val="yellow"/>
        </w:rPr>
        <w:t>(SSDI) records integrated within the MIMIC-IV database, ensuring accurate ascertainment of out-of-hospital deaths.</w:t>
      </w:r>
    </w:p>
    <w:p w14:paraId="7B53AF94" w14:textId="77777777" w:rsidR="004264BC" w:rsidRPr="0084384A" w:rsidRDefault="004264BC" w:rsidP="004264BC">
      <w:pPr>
        <w:spacing w:after="0" w:line="240" w:lineRule="auto"/>
        <w:jc w:val="both"/>
        <w:rPr>
          <w:rFonts w:ascii="Calibri" w:hAnsi="Calibri" w:cs="Calibri"/>
        </w:rPr>
      </w:pPr>
    </w:p>
    <w:p w14:paraId="5483BCEC" w14:textId="77777777" w:rsidR="004264BC" w:rsidRPr="0084384A" w:rsidRDefault="00000000" w:rsidP="004264BC">
      <w:pPr>
        <w:spacing w:after="0" w:line="240" w:lineRule="auto"/>
        <w:jc w:val="both"/>
        <w:rPr>
          <w:rFonts w:ascii="Calibri" w:hAnsi="Calibri" w:cs="Calibri"/>
          <w:b/>
          <w:bCs/>
        </w:rPr>
      </w:pPr>
      <w:r w:rsidRPr="0084384A">
        <w:rPr>
          <w:rFonts w:ascii="Calibri" w:hAnsi="Calibri" w:cs="Calibri"/>
          <w:b/>
          <w:bCs/>
        </w:rPr>
        <w:t>Statistical analysis</w:t>
      </w:r>
    </w:p>
    <w:p w14:paraId="5CF382D3" w14:textId="77777777" w:rsidR="004264BC" w:rsidRPr="0084384A" w:rsidRDefault="00000000" w:rsidP="004264BC">
      <w:pPr>
        <w:spacing w:after="0" w:line="240" w:lineRule="auto"/>
        <w:jc w:val="both"/>
        <w:rPr>
          <w:rFonts w:ascii="Calibri" w:hAnsi="Calibri" w:cs="Calibri"/>
        </w:rPr>
      </w:pPr>
      <w:r w:rsidRPr="0084384A">
        <w:rPr>
          <w:rFonts w:ascii="Calibri" w:hAnsi="Calibri" w:cs="Calibri"/>
        </w:rPr>
        <w:t>Continuous variables were expressed as mean (standard deviation) or median (interquartile range), while categorical variables were presented as frequency and percentage. For data adhering to a normal distribution, t-tests or analysis of variance (ANOVA) were utilized. Data not following a normal distribution were analyzed using the Mann-Whitney U test or Kruskal-</w:t>
      </w:r>
      <w:proofErr w:type="gramStart"/>
      <w:r w:rsidRPr="0084384A">
        <w:rPr>
          <w:rFonts w:ascii="Calibri" w:hAnsi="Calibri" w:cs="Calibri"/>
        </w:rPr>
        <w:t>Wallis</w:t>
      </w:r>
      <w:proofErr w:type="gramEnd"/>
      <w:r w:rsidRPr="0084384A">
        <w:rPr>
          <w:rFonts w:ascii="Calibri" w:hAnsi="Calibri" w:cs="Calibri"/>
        </w:rPr>
        <w:t xml:space="preserve"> test. Kaplan-Meier survival analysis was employed to assess the incidence of endpoint events across different levels of ACAG, with differences evaluated using the log-rank test (</w:t>
      </w:r>
      <w:r w:rsidRPr="0084384A">
        <w:rPr>
          <w:rFonts w:ascii="Calibri" w:hAnsi="Calibri" w:cs="Calibri"/>
          <w:b/>
          <w:bCs/>
        </w:rPr>
        <w:t>Figure 2</w:t>
      </w:r>
      <w:r w:rsidRPr="0084384A">
        <w:rPr>
          <w:rFonts w:ascii="Calibri" w:hAnsi="Calibri" w:cs="Calibri"/>
        </w:rPr>
        <w:t xml:space="preserve">). </w:t>
      </w:r>
    </w:p>
    <w:p w14:paraId="04EEB15F" w14:textId="77777777" w:rsidR="004264BC" w:rsidRPr="0084384A" w:rsidRDefault="004264BC" w:rsidP="004264BC">
      <w:pPr>
        <w:spacing w:after="0" w:line="240" w:lineRule="auto"/>
        <w:jc w:val="both"/>
        <w:rPr>
          <w:rFonts w:ascii="Calibri" w:hAnsi="Calibri" w:cs="Calibri"/>
        </w:rPr>
      </w:pPr>
    </w:p>
    <w:p w14:paraId="54173F62" w14:textId="18EBFC24" w:rsidR="004264BC" w:rsidRPr="0084384A" w:rsidRDefault="00000000" w:rsidP="004264BC">
      <w:pPr>
        <w:spacing w:after="0" w:line="240" w:lineRule="auto"/>
        <w:jc w:val="both"/>
        <w:rPr>
          <w:rFonts w:ascii="Calibri" w:hAnsi="Calibri" w:cs="Calibri"/>
        </w:rPr>
      </w:pPr>
      <w:r w:rsidRPr="0084384A">
        <w:rPr>
          <w:rFonts w:ascii="Calibri" w:hAnsi="Calibri" w:cs="Calibri"/>
        </w:rPr>
        <w:t xml:space="preserve">The Cox proportional hazards model was used to calculate hazard ratios (HRs) and 95% confidence intervals (CIs) for the association between ACAG and mortality. ACAG was analyzed both as a continuous variable and by quartiles. Model adjustments were made as follows: </w:t>
      </w:r>
      <w:r w:rsidR="00122E0D" w:rsidRPr="0084384A">
        <w:rPr>
          <w:rFonts w:ascii="Calibri" w:hAnsi="Calibri" w:cs="Calibri"/>
        </w:rPr>
        <w:t>m</w:t>
      </w:r>
      <w:r w:rsidRPr="0084384A">
        <w:rPr>
          <w:rFonts w:ascii="Calibri" w:hAnsi="Calibri" w:cs="Calibri"/>
        </w:rPr>
        <w:t xml:space="preserve">odel 1 involved univariate analysis; </w:t>
      </w:r>
      <w:r w:rsidR="00122E0D" w:rsidRPr="0084384A">
        <w:rPr>
          <w:rFonts w:ascii="Calibri" w:hAnsi="Calibri" w:cs="Calibri"/>
        </w:rPr>
        <w:t>m</w:t>
      </w:r>
      <w:r w:rsidRPr="0084384A">
        <w:rPr>
          <w:rFonts w:ascii="Calibri" w:hAnsi="Calibri" w:cs="Calibri"/>
        </w:rPr>
        <w:t xml:space="preserve">odel 2 adjusted for age, gender, height, weight, and race; and </w:t>
      </w:r>
      <w:r w:rsidR="00122E0D" w:rsidRPr="0084384A">
        <w:rPr>
          <w:rFonts w:ascii="Calibri" w:hAnsi="Calibri" w:cs="Calibri"/>
        </w:rPr>
        <w:t>m</w:t>
      </w:r>
      <w:r w:rsidRPr="0084384A">
        <w:rPr>
          <w:rFonts w:ascii="Calibri" w:hAnsi="Calibri" w:cs="Calibri"/>
        </w:rPr>
        <w:t xml:space="preserve">odel 3 further adjusted for insurance status, marital status, WBC and RBC counts, RDW, albumin, chloride, ALT, AST, SOFA score, APACHE III score, SAPS II score, Oasis score, </w:t>
      </w:r>
      <w:proofErr w:type="spellStart"/>
      <w:r w:rsidRPr="0084384A">
        <w:rPr>
          <w:rFonts w:ascii="Calibri" w:hAnsi="Calibri" w:cs="Calibri"/>
        </w:rPr>
        <w:t>Charlson</w:t>
      </w:r>
      <w:proofErr w:type="spellEnd"/>
      <w:r w:rsidRPr="0084384A">
        <w:rPr>
          <w:rFonts w:ascii="Calibri" w:hAnsi="Calibri" w:cs="Calibri"/>
        </w:rPr>
        <w:t xml:space="preserve"> score, and a range of comorbidities including hypertension, type 2 diabetes mellitus, heart failure, myocardial infarction, malignant tumors, chronic kidney disease, acute renal failure, cirrhosis, hepatitis, pneumonia, stroke, hyperlipidemia, acute kidney injury, and chronic obstructive pulmonary disease. Collinearity among covariates in </w:t>
      </w:r>
      <w:r w:rsidR="00122E0D" w:rsidRPr="0084384A">
        <w:rPr>
          <w:rFonts w:ascii="Calibri" w:hAnsi="Calibri" w:cs="Calibri"/>
        </w:rPr>
        <w:t>m</w:t>
      </w:r>
      <w:r w:rsidRPr="0084384A">
        <w:rPr>
          <w:rFonts w:ascii="Calibri" w:hAnsi="Calibri" w:cs="Calibri"/>
        </w:rPr>
        <w:t xml:space="preserve">odel 3 was assessed using the variance inflation factor (VIF), with VIF &gt; 5 indicating significant collinearity. No significant collinearity was detected (all VIF &lt; 3). </w:t>
      </w:r>
    </w:p>
    <w:p w14:paraId="1AE78372" w14:textId="77777777" w:rsidR="004264BC" w:rsidRPr="0084384A" w:rsidRDefault="004264BC" w:rsidP="004264BC">
      <w:pPr>
        <w:spacing w:after="0" w:line="240" w:lineRule="auto"/>
        <w:jc w:val="both"/>
        <w:rPr>
          <w:rFonts w:ascii="Calibri" w:hAnsi="Calibri" w:cs="Calibri"/>
        </w:rPr>
      </w:pPr>
    </w:p>
    <w:p w14:paraId="4B11D00E" w14:textId="6423EA60" w:rsidR="004264BC" w:rsidRPr="004264BC" w:rsidRDefault="00000000" w:rsidP="004264BC">
      <w:pPr>
        <w:spacing w:after="0" w:line="240" w:lineRule="auto"/>
        <w:jc w:val="both"/>
        <w:rPr>
          <w:rFonts w:ascii="Calibri" w:hAnsi="Calibri" w:cs="Calibri"/>
        </w:rPr>
      </w:pPr>
      <w:r w:rsidRPr="0084384A">
        <w:rPr>
          <w:rFonts w:ascii="Calibri" w:hAnsi="Calibri" w:cs="Calibri"/>
        </w:rPr>
        <w:t>A restricted cubic spline (RCS) regression model with four knots was applied to examine the nonlinear relationship between baseline ACAG and mortality in both hospital and ICU settings. The RCS analysis specifically tested for an inflection point where the slope of the mortality risk curve changes. Subgroup analyses were conducted to explore potential differences across strata based on age (≤70 years vs. &gt;70 years), sex, body mass index (BMI; &lt;21.4, 21.4–31.2, ≥31.2 kg/m²), presence of hypertension, type 2 diabetes, myocardial infarction, chronic kidney disease, stroke, acute kidney injury, as well as use of continuous renal replacement therapy (CRRT) and mechanical ventilation. These analyses evaluated the consistency of ACAG’s prognostic value for the primary outcomes. Cox models were also used in subgroup analyses to adjust for all baseline variables. Interaction p-values were calculated to assess effect modification.</w:t>
      </w:r>
      <w:r w:rsidR="00310B9D" w:rsidRPr="0084384A">
        <w:rPr>
          <w:rFonts w:ascii="Calibri" w:hAnsi="Calibri" w:cs="Calibri"/>
        </w:rPr>
        <w:t xml:space="preserve"> </w:t>
      </w:r>
      <w:r w:rsidRPr="0084384A">
        <w:rPr>
          <w:rFonts w:ascii="Calibri" w:hAnsi="Calibri" w:cs="Calibri"/>
        </w:rPr>
        <w:t>Data processing and analysis were performed using R version 4.3.0 (RRID: SCR_001905), with statistical significance set at two-tailed p &lt; 0.05. For handling missing values, multiple imputation by chained equations (MICE) was applied using the R package “mice” under the missing at random assumption. Variables with missing values exceeding 30%</w:t>
      </w:r>
      <w:r w:rsidRPr="005E47AA">
        <w:rPr>
          <w:rFonts w:ascii="Calibri" w:hAnsi="Calibri" w:cs="Calibri"/>
        </w:rPr>
        <w:t xml:space="preserve"> were excluded prior to imputation.</w:t>
      </w:r>
    </w:p>
    <w:p w14:paraId="0567943D" w14:textId="77777777" w:rsidR="004264BC" w:rsidRPr="004264BC" w:rsidRDefault="004264BC" w:rsidP="004264BC">
      <w:pPr>
        <w:spacing w:after="0" w:line="240" w:lineRule="auto"/>
        <w:jc w:val="both"/>
        <w:rPr>
          <w:rFonts w:ascii="Calibri" w:hAnsi="Calibri" w:cs="Calibri"/>
        </w:rPr>
      </w:pPr>
    </w:p>
    <w:p w14:paraId="71AE91E4"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b/>
        </w:rPr>
        <w:t>RESULTS:</w:t>
      </w:r>
    </w:p>
    <w:p w14:paraId="511FDEB3"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Among adult patients in the MIMIC-IV database, 22,517 subjects met the eligibility criteria. Initially, 152 prognostic factors were extracted from the database. Following data cleaning, 105 predictors with over 30% missing data were excluded. Ultimately, 47 prognostic factors were included in the model for analysis.</w:t>
      </w:r>
    </w:p>
    <w:p w14:paraId="4EAF5111" w14:textId="77777777" w:rsidR="004264BC" w:rsidRPr="004264BC" w:rsidRDefault="004264BC" w:rsidP="004264BC">
      <w:pPr>
        <w:spacing w:after="0" w:line="240" w:lineRule="auto"/>
        <w:jc w:val="both"/>
        <w:rPr>
          <w:rFonts w:ascii="Calibri" w:hAnsi="Calibri" w:cs="Calibri"/>
          <w:b/>
          <w:bCs/>
        </w:rPr>
      </w:pPr>
    </w:p>
    <w:p w14:paraId="36C5E36D"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b/>
          <w:bCs/>
        </w:rPr>
        <w:t>Characteristics of included patients</w:t>
      </w:r>
    </w:p>
    <w:p w14:paraId="60B295CD"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lastRenderedPageBreak/>
        <w:t xml:space="preserve">A total of 8,286 sepsis patients who met the study’s inclusion criteria were included. The screening process is depicted in </w:t>
      </w:r>
      <w:r w:rsidRPr="004264BC">
        <w:rPr>
          <w:rFonts w:ascii="Calibri" w:hAnsi="Calibri" w:cs="Calibri"/>
          <w:b/>
          <w:bCs/>
        </w:rPr>
        <w:t>Figure 1</w:t>
      </w:r>
      <w:r w:rsidRPr="004264BC">
        <w:rPr>
          <w:rFonts w:ascii="Calibri" w:hAnsi="Calibri" w:cs="Calibri"/>
        </w:rPr>
        <w:t xml:space="preserve">. Upon stratification into four categories, the distribution of each variable across the groups was analyzed, with all baseline data presented in </w:t>
      </w:r>
      <w:r w:rsidRPr="004264BC">
        <w:rPr>
          <w:rFonts w:ascii="Calibri" w:hAnsi="Calibri" w:cs="Calibri"/>
          <w:b/>
          <w:bCs/>
        </w:rPr>
        <w:t>Table 1</w:t>
      </w:r>
      <w:r w:rsidRPr="004264BC">
        <w:rPr>
          <w:rFonts w:ascii="Calibri" w:hAnsi="Calibri" w:cs="Calibri"/>
        </w:rPr>
        <w:t xml:space="preserve">. Among the participants, 2,070 individuals were assigned to ACAG Quartile 1 (24.98%), 2,072 to Quartile 2 (25.01%), 2,072 to Quartile 3 (25.01%), and 2,072 to Quartile 4 (25.01%). The ACAG quartile cutoffs were: Q1 ≤ 21.87, Q2 21.87–23.93, Q3 23.93–26.62, Q4 &gt; 26.62. </w:t>
      </w:r>
    </w:p>
    <w:p w14:paraId="3E29C512" w14:textId="77777777" w:rsidR="004264BC" w:rsidRPr="004264BC" w:rsidRDefault="004264BC" w:rsidP="004264BC">
      <w:pPr>
        <w:spacing w:after="0" w:line="240" w:lineRule="auto"/>
        <w:jc w:val="both"/>
        <w:rPr>
          <w:rFonts w:ascii="Calibri" w:hAnsi="Calibri" w:cs="Calibri"/>
        </w:rPr>
      </w:pPr>
    </w:p>
    <w:p w14:paraId="637A1715"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Statistically significant differences (p &lt; 0.05) were observed among the four groups for the following variables: age, weight, height, race, white blood cell count, red blood cell count, red blood cell distribution width, albumin, globulin, total protein, sodium, potassium, total calcium, chloride, glucose, anion gap, pH, continuous renal replacement therapy, prothrombin time, partial thromboplastin time, International Normalized Ratio, alanine aminotransferase, aspartate aminotransferase, ventilation hours, SOFA scores, APACHE III scores, SAPS II scores, Oasis scores, insurance status, marital status, hypertension, type 2 diabetes mellitus, heart failure, myocardial infarction, chronic kidney disease, cirrhosis, hepatitis, stroke, acute kidney injury, and CRRT use.</w:t>
      </w:r>
    </w:p>
    <w:p w14:paraId="5DD46EC6"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Conversely, no significant differences (p &gt; 0.05) were found for gender, language, thrombin time, total cholesterol, GCS scores, pneumonia, chronic obstructive pulmonary disease, and overall ventilation use.</w:t>
      </w:r>
    </w:p>
    <w:p w14:paraId="39AA7C38" w14:textId="77777777" w:rsidR="004264BC" w:rsidRPr="004264BC" w:rsidRDefault="004264BC" w:rsidP="004264BC">
      <w:pPr>
        <w:spacing w:after="0" w:line="240" w:lineRule="auto"/>
        <w:jc w:val="both"/>
        <w:rPr>
          <w:rFonts w:ascii="Calibri" w:hAnsi="Calibri" w:cs="Calibri"/>
        </w:rPr>
      </w:pPr>
    </w:p>
    <w:p w14:paraId="5C6C4576" w14:textId="77777777" w:rsidR="004264BC" w:rsidRPr="004264BC" w:rsidRDefault="00000000" w:rsidP="004264BC">
      <w:pPr>
        <w:spacing w:after="0" w:line="240" w:lineRule="auto"/>
        <w:jc w:val="both"/>
        <w:rPr>
          <w:rFonts w:ascii="Calibri" w:hAnsi="Calibri" w:cs="Calibri"/>
          <w:b/>
          <w:bCs/>
        </w:rPr>
      </w:pPr>
      <w:r w:rsidRPr="004264BC">
        <w:rPr>
          <w:rFonts w:ascii="Calibri" w:hAnsi="Calibri" w:cs="Calibri"/>
          <w:b/>
          <w:bCs/>
        </w:rPr>
        <w:t>Kaplan</w:t>
      </w:r>
      <w:r w:rsidRPr="004264BC">
        <w:rPr>
          <w:rFonts w:ascii="Calibri" w:hAnsi="Calibri" w:cs="Calibri"/>
          <w:b/>
          <w:bCs/>
        </w:rPr>
        <w:noBreakHyphen/>
        <w:t>Meier survival curve analysis</w:t>
      </w:r>
    </w:p>
    <w:p w14:paraId="40B1A6E5" w14:textId="77777777" w:rsidR="004264BC" w:rsidRPr="004264BC" w:rsidRDefault="00000000" w:rsidP="004264BC">
      <w:pPr>
        <w:spacing w:after="0" w:line="240" w:lineRule="auto"/>
        <w:jc w:val="both"/>
        <w:rPr>
          <w:rFonts w:ascii="Calibri" w:hAnsi="Calibri" w:cs="Calibri"/>
        </w:rPr>
      </w:pPr>
      <w:r w:rsidRPr="00A45910">
        <w:rPr>
          <w:rFonts w:ascii="Calibri" w:hAnsi="Calibri" w:cs="Calibri"/>
          <w:highlight w:val="yellow"/>
        </w:rPr>
        <w:t xml:space="preserve">The Kaplan-Meier survival curves, shown in </w:t>
      </w:r>
      <w:r w:rsidRPr="00A45910">
        <w:rPr>
          <w:rFonts w:ascii="Calibri" w:hAnsi="Calibri" w:cs="Calibri"/>
          <w:b/>
          <w:bCs/>
          <w:highlight w:val="yellow"/>
        </w:rPr>
        <w:t>Figure 2</w:t>
      </w:r>
      <w:r w:rsidRPr="00A45910">
        <w:rPr>
          <w:rFonts w:ascii="Calibri" w:hAnsi="Calibri" w:cs="Calibri"/>
          <w:highlight w:val="yellow"/>
        </w:rPr>
        <w:t>, illustrate a progressively decreasing survival probability for critically ill sepsis patients across the first to fourth quartiles (Q1–Q4). Significant differences in mortality were observed among the groups during both ICU admission and hospitalization (log-rank test, p &lt; 0.001 for both comparisons)</w:t>
      </w:r>
      <w:r w:rsidRPr="004264BC">
        <w:rPr>
          <w:rFonts w:ascii="Calibri" w:hAnsi="Calibri" w:cs="Calibri"/>
        </w:rPr>
        <w:t xml:space="preserve"> (</w:t>
      </w:r>
      <w:r w:rsidRPr="004264BC">
        <w:rPr>
          <w:rFonts w:ascii="Calibri" w:hAnsi="Calibri" w:cs="Calibri"/>
          <w:b/>
          <w:bCs/>
        </w:rPr>
        <w:t>Figures 2A</w:t>
      </w:r>
      <w:r w:rsidRPr="004264BC">
        <w:rPr>
          <w:rFonts w:ascii="Calibri" w:hAnsi="Calibri" w:cs="Calibri"/>
        </w:rPr>
        <w:t xml:space="preserve"> and </w:t>
      </w:r>
      <w:r w:rsidRPr="004264BC">
        <w:rPr>
          <w:rFonts w:ascii="Calibri" w:hAnsi="Calibri" w:cs="Calibri"/>
          <w:b/>
          <w:bCs/>
        </w:rPr>
        <w:t>2B</w:t>
      </w:r>
      <w:r w:rsidRPr="004264BC">
        <w:rPr>
          <w:rFonts w:ascii="Calibri" w:hAnsi="Calibri" w:cs="Calibri"/>
        </w:rPr>
        <w:t>).</w:t>
      </w:r>
    </w:p>
    <w:p w14:paraId="7A5C6FA9" w14:textId="77777777" w:rsidR="004264BC" w:rsidRPr="004264BC" w:rsidRDefault="004264BC" w:rsidP="004264BC">
      <w:pPr>
        <w:spacing w:after="0" w:line="240" w:lineRule="auto"/>
        <w:jc w:val="both"/>
        <w:rPr>
          <w:rFonts w:ascii="Calibri" w:hAnsi="Calibri" w:cs="Calibri"/>
        </w:rPr>
      </w:pPr>
    </w:p>
    <w:p w14:paraId="4734A9BE" w14:textId="77777777" w:rsidR="004264BC" w:rsidRPr="004264BC" w:rsidRDefault="00000000" w:rsidP="004264BC">
      <w:pPr>
        <w:spacing w:after="0" w:line="240" w:lineRule="auto"/>
        <w:jc w:val="both"/>
        <w:rPr>
          <w:rFonts w:ascii="Calibri" w:hAnsi="Calibri" w:cs="Calibri"/>
          <w:b/>
          <w:bCs/>
        </w:rPr>
      </w:pPr>
      <w:r w:rsidRPr="004264BC">
        <w:rPr>
          <w:rFonts w:ascii="Calibri" w:hAnsi="Calibri" w:cs="Calibri"/>
          <w:b/>
          <w:bCs/>
        </w:rPr>
        <w:t>Cox regression models for all-cause mortality (in hospital and ICU)</w:t>
      </w:r>
    </w:p>
    <w:p w14:paraId="4A60C7E6" w14:textId="79C26FA8" w:rsidR="004264BC" w:rsidRPr="004264BC" w:rsidRDefault="00000000" w:rsidP="004264BC">
      <w:pPr>
        <w:spacing w:after="0" w:line="240" w:lineRule="auto"/>
        <w:jc w:val="both"/>
        <w:rPr>
          <w:rFonts w:ascii="Calibri" w:hAnsi="Calibri" w:cs="Calibri"/>
        </w:rPr>
      </w:pPr>
      <w:r w:rsidRPr="00A45910">
        <w:rPr>
          <w:rFonts w:ascii="Calibri" w:hAnsi="Calibri" w:cs="Calibri"/>
          <w:highlight w:val="yellow"/>
        </w:rPr>
        <w:t xml:space="preserve">In the Cox regression analysis, a higher ACAG was positively correlated with increased mortality in both ICU and hospital settings among critically ill sepsis patients. Collinearity diagnostics revealed no significant multicollinearity among covariates in </w:t>
      </w:r>
      <w:r w:rsidR="00621EEC" w:rsidRPr="00A45910">
        <w:rPr>
          <w:rFonts w:ascii="Calibri" w:hAnsi="Calibri" w:cs="Calibri"/>
          <w:highlight w:val="yellow"/>
        </w:rPr>
        <w:t>m</w:t>
      </w:r>
      <w:r w:rsidRPr="00A45910">
        <w:rPr>
          <w:rFonts w:ascii="Calibri" w:hAnsi="Calibri" w:cs="Calibri"/>
          <w:highlight w:val="yellow"/>
        </w:rPr>
        <w:t xml:space="preserve">odel 3 (all variance inflation factor [VIF] values &lt; 3; see Supplementary Results). When analyzed as a continuous variable, ACAG was independently associated with a higher risk of in-hospital mortality (all p &lt; 0.01). When categorized into quartiles, </w:t>
      </w:r>
      <w:r w:rsidR="00621EEC" w:rsidRPr="00A45910">
        <w:rPr>
          <w:rFonts w:ascii="Calibri" w:hAnsi="Calibri" w:cs="Calibri"/>
          <w:highlight w:val="yellow"/>
        </w:rPr>
        <w:t>m</w:t>
      </w:r>
      <w:r w:rsidRPr="00A45910">
        <w:rPr>
          <w:rFonts w:ascii="Calibri" w:hAnsi="Calibri" w:cs="Calibri"/>
          <w:highlight w:val="yellow"/>
        </w:rPr>
        <w:t xml:space="preserve">odel 1 showed that the risk of in-hospital mortality for Q4 was 30% higher than for Q1 (HR 1.30 [95% CI 1.18–1.43], p &lt; 0.001). Model 3 indicated that this risk increased to 41% higher for Q4 compared to Q1 (HR 1.41 [95 % CI 1.24–1.49], p &lt; 0.001). For ICU mortality, ACAG as a continuous variable was significantly associated with an elevated risk of ICU death in </w:t>
      </w:r>
      <w:r w:rsidR="00621EEC" w:rsidRPr="00A45910">
        <w:rPr>
          <w:rFonts w:ascii="Calibri" w:hAnsi="Calibri" w:cs="Calibri"/>
          <w:highlight w:val="yellow"/>
        </w:rPr>
        <w:t>m</w:t>
      </w:r>
      <w:r w:rsidRPr="00A45910">
        <w:rPr>
          <w:rFonts w:ascii="Calibri" w:hAnsi="Calibri" w:cs="Calibri"/>
          <w:highlight w:val="yellow"/>
        </w:rPr>
        <w:t xml:space="preserve">odels 1 and 2 (HR 1.01 [95% CI 1.01–1.01], p &lt; 0.001; HR 1.01 [95% CI 1.01–1.02], p &lt; 0.001, respectively), but this association was not observed in </w:t>
      </w:r>
      <w:r w:rsidR="00621EEC" w:rsidRPr="00A45910">
        <w:rPr>
          <w:rFonts w:ascii="Calibri" w:hAnsi="Calibri" w:cs="Calibri"/>
          <w:highlight w:val="yellow"/>
        </w:rPr>
        <w:t>m</w:t>
      </w:r>
      <w:r w:rsidRPr="00A45910">
        <w:rPr>
          <w:rFonts w:ascii="Calibri" w:hAnsi="Calibri" w:cs="Calibri"/>
          <w:highlight w:val="yellow"/>
        </w:rPr>
        <w:t xml:space="preserve">odel 3 (HR 1.19 [95% CI 0.97–1.46], p = 0.099), suggesting a threshold effect rather than a linear relationship. When ACAG was categorized into quartiles, </w:t>
      </w:r>
      <w:r w:rsidR="00621EEC" w:rsidRPr="00A45910">
        <w:rPr>
          <w:rFonts w:ascii="Calibri" w:hAnsi="Calibri" w:cs="Calibri"/>
          <w:highlight w:val="yellow"/>
        </w:rPr>
        <w:t>m</w:t>
      </w:r>
      <w:r w:rsidRPr="00A45910">
        <w:rPr>
          <w:rFonts w:ascii="Calibri" w:hAnsi="Calibri" w:cs="Calibri"/>
          <w:highlight w:val="yellow"/>
        </w:rPr>
        <w:t xml:space="preserve">odel 1 indicated that the risk of ICU mortality for Q4 was 1.38 times that of Q1 (HR 1.38 [95% CI 1.23–1.54], p &lt; 0.001), with no significant differences between Q1, Q2, and Q3. In </w:t>
      </w:r>
      <w:r w:rsidR="00621EEC" w:rsidRPr="00A45910">
        <w:rPr>
          <w:rFonts w:ascii="Calibri" w:hAnsi="Calibri" w:cs="Calibri"/>
          <w:highlight w:val="yellow"/>
        </w:rPr>
        <w:t>m</w:t>
      </w:r>
      <w:r w:rsidRPr="00A45910">
        <w:rPr>
          <w:rFonts w:ascii="Calibri" w:hAnsi="Calibri" w:cs="Calibri"/>
          <w:highlight w:val="yellow"/>
        </w:rPr>
        <w:t xml:space="preserve">odel 3, the risk of ICU mortality increased with higher quartiles of ACAG, with Q4 exhibiting a 54% higher risk compared to Q1 (HR 1.54 [95% CI 1.41–1.75], p &lt; 0.001) </w:t>
      </w:r>
      <w:r w:rsidRPr="004264BC">
        <w:rPr>
          <w:rFonts w:ascii="Calibri" w:hAnsi="Calibri" w:cs="Calibri"/>
        </w:rPr>
        <w:t>(</w:t>
      </w:r>
      <w:r w:rsidRPr="004264BC">
        <w:rPr>
          <w:rFonts w:ascii="Calibri" w:hAnsi="Calibri" w:cs="Calibri"/>
          <w:b/>
          <w:bCs/>
        </w:rPr>
        <w:t>Table 2</w:t>
      </w:r>
      <w:r w:rsidRPr="004264BC">
        <w:rPr>
          <w:rFonts w:ascii="Calibri" w:hAnsi="Calibri" w:cs="Calibri"/>
        </w:rPr>
        <w:t>).</w:t>
      </w:r>
    </w:p>
    <w:p w14:paraId="7DE18F47" w14:textId="77777777" w:rsidR="004264BC" w:rsidRPr="004264BC" w:rsidRDefault="004264BC" w:rsidP="004264BC">
      <w:pPr>
        <w:spacing w:after="0" w:line="240" w:lineRule="auto"/>
        <w:jc w:val="both"/>
        <w:rPr>
          <w:rFonts w:ascii="Calibri" w:hAnsi="Calibri" w:cs="Calibri"/>
        </w:rPr>
      </w:pPr>
    </w:p>
    <w:p w14:paraId="514296FF" w14:textId="0164A130" w:rsidR="004264BC" w:rsidRPr="00A45910" w:rsidRDefault="00000000" w:rsidP="004264BC">
      <w:pPr>
        <w:spacing w:after="0" w:line="240" w:lineRule="auto"/>
        <w:jc w:val="both"/>
        <w:rPr>
          <w:rFonts w:ascii="Calibri" w:hAnsi="Calibri" w:cs="Calibri"/>
          <w:highlight w:val="yellow"/>
        </w:rPr>
      </w:pPr>
      <w:r w:rsidRPr="00A45910">
        <w:rPr>
          <w:rFonts w:ascii="Calibri" w:hAnsi="Calibri" w:cs="Calibri"/>
          <w:highlight w:val="yellow"/>
        </w:rPr>
        <w:lastRenderedPageBreak/>
        <w:t xml:space="preserve">A restricted cubic spline regression model was adopted to further assess risk factors, confirming a nonlinear association between albumin-corrected anion gap and mortality. </w:t>
      </w:r>
      <w:r w:rsidRPr="00A45910">
        <w:rPr>
          <w:rFonts w:ascii="Calibri" w:hAnsi="Calibri" w:cs="Calibri"/>
          <w:b/>
          <w:bCs/>
          <w:highlight w:val="yellow"/>
        </w:rPr>
        <w:t>Figures 3A</w:t>
      </w:r>
      <w:r w:rsidRPr="00A45910">
        <w:rPr>
          <w:rFonts w:ascii="Calibri" w:hAnsi="Calibri" w:cs="Calibri"/>
          <w:highlight w:val="yellow"/>
        </w:rPr>
        <w:t xml:space="preserve"> and </w:t>
      </w:r>
      <w:r w:rsidRPr="00A45910">
        <w:rPr>
          <w:rFonts w:ascii="Calibri" w:hAnsi="Calibri" w:cs="Calibri"/>
          <w:b/>
          <w:bCs/>
          <w:highlight w:val="yellow"/>
        </w:rPr>
        <w:t>3B</w:t>
      </w:r>
      <w:r w:rsidRPr="00A45910">
        <w:rPr>
          <w:rFonts w:ascii="Calibri" w:hAnsi="Calibri" w:cs="Calibri"/>
          <w:highlight w:val="yellow"/>
        </w:rPr>
        <w:t xml:space="preserve"> illustrate the results of the univariate and multivariable analyses related to the association between ACAG and in-hospital mortality, respectively. Similarly, </w:t>
      </w:r>
      <w:r w:rsidRPr="00A45910">
        <w:rPr>
          <w:rFonts w:ascii="Calibri" w:hAnsi="Calibri" w:cs="Calibri"/>
          <w:b/>
          <w:bCs/>
          <w:highlight w:val="yellow"/>
        </w:rPr>
        <w:t>Figures 3C</w:t>
      </w:r>
      <w:r w:rsidRPr="00A45910">
        <w:rPr>
          <w:rFonts w:ascii="Calibri" w:hAnsi="Calibri" w:cs="Calibri"/>
          <w:highlight w:val="yellow"/>
        </w:rPr>
        <w:t xml:space="preserve"> and </w:t>
      </w:r>
      <w:r w:rsidRPr="00A45910">
        <w:rPr>
          <w:rFonts w:ascii="Calibri" w:hAnsi="Calibri" w:cs="Calibri"/>
          <w:b/>
          <w:bCs/>
          <w:highlight w:val="yellow"/>
        </w:rPr>
        <w:t>3D</w:t>
      </w:r>
      <w:r w:rsidRPr="00A45910">
        <w:rPr>
          <w:rFonts w:ascii="Calibri" w:hAnsi="Calibri" w:cs="Calibri"/>
          <w:highlight w:val="yellow"/>
        </w:rPr>
        <w:t xml:space="preserve"> depict the findings for the relationship between ACAG and ICU mortality. For in-hospital mortality, the </w:t>
      </w:r>
      <w:r w:rsidR="00FF146E" w:rsidRPr="00A45910">
        <w:rPr>
          <w:rFonts w:ascii="Calibri" w:hAnsi="Calibri" w:cs="Calibri"/>
          <w:highlight w:val="yellow"/>
        </w:rPr>
        <w:t>p</w:t>
      </w:r>
      <w:r w:rsidRPr="00A45910">
        <w:rPr>
          <w:rFonts w:ascii="Calibri" w:hAnsi="Calibri" w:cs="Calibri"/>
          <w:highlight w:val="yellow"/>
        </w:rPr>
        <w:t xml:space="preserve">-value for the overall effect was &lt; 0.001, with a </w:t>
      </w:r>
      <w:r w:rsidR="00FF146E" w:rsidRPr="00A45910">
        <w:rPr>
          <w:rFonts w:ascii="Calibri" w:hAnsi="Calibri" w:cs="Calibri"/>
          <w:highlight w:val="yellow"/>
        </w:rPr>
        <w:t>p</w:t>
      </w:r>
      <w:r w:rsidRPr="00A45910">
        <w:rPr>
          <w:rFonts w:ascii="Calibri" w:hAnsi="Calibri" w:cs="Calibri"/>
          <w:highlight w:val="yellow"/>
        </w:rPr>
        <w:t xml:space="preserve">-value of 0.011 for the nonlinear effect before adjustment. Following the adjustment, all p-values remained below 0.01, indicating a significant nonlinear relationship. Regarding ICU mortality, the </w:t>
      </w:r>
      <w:r w:rsidR="00FF146E" w:rsidRPr="00A45910">
        <w:rPr>
          <w:rFonts w:ascii="Calibri" w:hAnsi="Calibri" w:cs="Calibri"/>
          <w:highlight w:val="yellow"/>
        </w:rPr>
        <w:t>p</w:t>
      </w:r>
      <w:r w:rsidRPr="00A45910">
        <w:rPr>
          <w:rFonts w:ascii="Calibri" w:hAnsi="Calibri" w:cs="Calibri"/>
          <w:highlight w:val="yellow"/>
        </w:rPr>
        <w:t xml:space="preserve">-value for the overall effect was &lt; 0.001, and the </w:t>
      </w:r>
      <w:r w:rsidR="00FF146E" w:rsidRPr="00A45910">
        <w:rPr>
          <w:rFonts w:ascii="Calibri" w:hAnsi="Calibri" w:cs="Calibri"/>
          <w:highlight w:val="yellow"/>
        </w:rPr>
        <w:t>p</w:t>
      </w:r>
      <w:r w:rsidRPr="00A45910">
        <w:rPr>
          <w:rFonts w:ascii="Calibri" w:hAnsi="Calibri" w:cs="Calibri"/>
          <w:highlight w:val="yellow"/>
        </w:rPr>
        <w:t xml:space="preserve">-value for the nonlinear effect was 0.012 prior to adjustment. After adjustment, all p-values were below 0.05, further confirming the nonlinear relationship. These findings consistently indicate a nonlinear relationship between ACAG and patient mortality in both settings. As demonstrated in </w:t>
      </w:r>
      <w:r w:rsidRPr="00A45910">
        <w:rPr>
          <w:rFonts w:ascii="Calibri" w:hAnsi="Calibri" w:cs="Calibri"/>
          <w:b/>
          <w:bCs/>
          <w:highlight w:val="yellow"/>
        </w:rPr>
        <w:t>Figure 3</w:t>
      </w:r>
      <w:r w:rsidRPr="00A45910">
        <w:rPr>
          <w:rFonts w:ascii="Calibri" w:hAnsi="Calibri" w:cs="Calibri"/>
          <w:highlight w:val="yellow"/>
        </w:rPr>
        <w:t>, the inflection point in both multivariable models occurs at an ACAG value of 23.</w:t>
      </w:r>
    </w:p>
    <w:p w14:paraId="02A78663" w14:textId="77777777" w:rsidR="004264BC" w:rsidRPr="004264BC" w:rsidRDefault="004264BC" w:rsidP="004264BC">
      <w:pPr>
        <w:spacing w:after="0" w:line="240" w:lineRule="auto"/>
        <w:jc w:val="both"/>
        <w:rPr>
          <w:rFonts w:ascii="Calibri" w:hAnsi="Calibri" w:cs="Calibri"/>
        </w:rPr>
      </w:pPr>
    </w:p>
    <w:p w14:paraId="6FDB3DF5" w14:textId="77777777" w:rsidR="004264BC" w:rsidRPr="004264BC" w:rsidRDefault="00000000" w:rsidP="004264BC">
      <w:pPr>
        <w:spacing w:after="0" w:line="240" w:lineRule="auto"/>
        <w:jc w:val="both"/>
        <w:rPr>
          <w:rFonts w:ascii="Calibri" w:hAnsi="Calibri" w:cs="Calibri"/>
          <w:b/>
          <w:bCs/>
        </w:rPr>
      </w:pPr>
      <w:r w:rsidRPr="004264BC">
        <w:rPr>
          <w:rFonts w:ascii="Calibri" w:hAnsi="Calibri" w:cs="Calibri"/>
          <w:b/>
          <w:bCs/>
        </w:rPr>
        <w:t>Subgroup analysis</w:t>
      </w:r>
    </w:p>
    <w:p w14:paraId="48E4D079" w14:textId="77777777" w:rsidR="004264BC" w:rsidRPr="00A45910" w:rsidRDefault="00000000" w:rsidP="004264BC">
      <w:pPr>
        <w:spacing w:after="0" w:line="240" w:lineRule="auto"/>
        <w:jc w:val="both"/>
        <w:rPr>
          <w:rFonts w:ascii="Calibri" w:hAnsi="Calibri" w:cs="Calibri"/>
          <w:highlight w:val="yellow"/>
        </w:rPr>
      </w:pPr>
      <w:r w:rsidRPr="00A45910">
        <w:rPr>
          <w:rFonts w:ascii="Calibri" w:hAnsi="Calibri" w:cs="Calibri"/>
          <w:highlight w:val="yellow"/>
        </w:rPr>
        <w:t xml:space="preserve">In the subgroup analysis, the directionality of effect estimates within subgroups was consistent with the overall outcomes. The analyses were stratified by variables such as age, gender, body mass index (BMI), hypertension, type 2 diabetes mellitus, myocardial infarction, chronic kidney disease, stroke, acute kidney injury, CRRT use, and mechanical ventilation. As shown in </w:t>
      </w:r>
      <w:r w:rsidRPr="00A45910">
        <w:rPr>
          <w:rFonts w:ascii="Calibri" w:hAnsi="Calibri" w:cs="Calibri"/>
          <w:b/>
          <w:bCs/>
          <w:highlight w:val="yellow"/>
        </w:rPr>
        <w:t>Supplementary Table 1</w:t>
      </w:r>
      <w:r w:rsidRPr="00A45910">
        <w:rPr>
          <w:rFonts w:ascii="Calibri" w:hAnsi="Calibri" w:cs="Calibri"/>
          <w:highlight w:val="yellow"/>
        </w:rPr>
        <w:t>, no significant interactions were observed between ACAG and the following factors for in-hospital mortality: age, gender, hypertension, type 2 diabetes mellitus, myocardial infarction, chronic kidney disease, and stroke (all interaction p &gt; 0.05). However, significant interactions were observed with BMI, acute kidney injury, CRRT use, and mechanical ventilation (p = 0.029, 0.002, &lt; 0.001, and 0.034, respectively).</w:t>
      </w:r>
    </w:p>
    <w:p w14:paraId="0D1E9517" w14:textId="77777777" w:rsidR="004264BC" w:rsidRPr="00A45910" w:rsidRDefault="004264BC" w:rsidP="004264BC">
      <w:pPr>
        <w:spacing w:after="0" w:line="240" w:lineRule="auto"/>
        <w:jc w:val="both"/>
        <w:rPr>
          <w:rFonts w:ascii="Calibri" w:hAnsi="Calibri" w:cs="Calibri"/>
          <w:highlight w:val="yellow"/>
        </w:rPr>
      </w:pPr>
    </w:p>
    <w:p w14:paraId="694A52BE" w14:textId="77777777" w:rsidR="004264BC" w:rsidRPr="00A45910" w:rsidRDefault="00000000" w:rsidP="004264BC">
      <w:pPr>
        <w:spacing w:after="0" w:line="240" w:lineRule="auto"/>
        <w:jc w:val="both"/>
        <w:rPr>
          <w:rFonts w:ascii="Calibri" w:hAnsi="Calibri" w:cs="Calibri"/>
          <w:highlight w:val="yellow"/>
        </w:rPr>
      </w:pPr>
      <w:r w:rsidRPr="00A45910">
        <w:rPr>
          <w:rFonts w:ascii="Calibri" w:hAnsi="Calibri" w:cs="Calibri"/>
          <w:highlight w:val="yellow"/>
        </w:rPr>
        <w:t xml:space="preserve">For ICU mortality, significant interaction effects were noted with BMI, acute kidney injury, and CRRT use (p = 0.007, 0.002, and &lt; 0.001, respectively). These findings highlight that ACAG’s impact on mortality may vary across specific subgroups, particularly with respect to BMI and renal function-related variables. </w:t>
      </w:r>
    </w:p>
    <w:p w14:paraId="6355367C" w14:textId="77777777" w:rsidR="004264BC" w:rsidRPr="004264BC" w:rsidRDefault="004264BC" w:rsidP="004264BC">
      <w:pPr>
        <w:spacing w:after="0" w:line="240" w:lineRule="auto"/>
        <w:jc w:val="both"/>
        <w:rPr>
          <w:rFonts w:ascii="Calibri" w:hAnsi="Calibri" w:cs="Calibri"/>
        </w:rPr>
      </w:pPr>
    </w:p>
    <w:p w14:paraId="57182FBA" w14:textId="77777777" w:rsidR="004264BC" w:rsidRPr="004264BC" w:rsidRDefault="00000000" w:rsidP="004264BC">
      <w:pPr>
        <w:spacing w:after="0" w:line="240" w:lineRule="auto"/>
        <w:jc w:val="both"/>
        <w:rPr>
          <w:rFonts w:ascii="Calibri" w:hAnsi="Calibri" w:cs="Calibri"/>
          <w:b/>
          <w:bCs/>
        </w:rPr>
      </w:pPr>
      <w:r w:rsidRPr="004264BC">
        <w:rPr>
          <w:rFonts w:ascii="Calibri" w:hAnsi="Calibri" w:cs="Calibri"/>
          <w:b/>
          <w:bCs/>
        </w:rPr>
        <w:t>Summary of key findings</w:t>
      </w:r>
    </w:p>
    <w:p w14:paraId="55EBD600"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In summary, higher ACAG levels were significantly associated with increased 30-day in-hospital and ICU mortality in ICU patients with sepsis. The association followed a nonlinear pattern, with an inflection point at ACAG = 23, above which the mortality risk escalated disproportionately. Subgroup analyses confirmed the consistency of this association across most strata, with significant effect modification observed for BMI, acute kidney injury, CRRT use, and mechanical ventilation. These findings suggest that ACAG may serve as a useful risk stratification tool in critically ill septic patients, particularly when values exceed 23.</w:t>
      </w:r>
    </w:p>
    <w:p w14:paraId="537D9943" w14:textId="77777777" w:rsidR="004264BC" w:rsidRPr="004264BC" w:rsidRDefault="004264BC" w:rsidP="004264BC">
      <w:pPr>
        <w:spacing w:after="0" w:line="240" w:lineRule="auto"/>
        <w:jc w:val="both"/>
        <w:rPr>
          <w:rFonts w:ascii="Calibri" w:hAnsi="Calibri" w:cs="Calibri"/>
        </w:rPr>
      </w:pPr>
    </w:p>
    <w:p w14:paraId="146D8253"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b/>
        </w:rPr>
        <w:t>DATA AVAILABILITY:</w:t>
      </w:r>
      <w:r w:rsidRPr="004264BC">
        <w:rPr>
          <w:rFonts w:ascii="Calibri" w:hAnsi="Calibri" w:cs="Calibri"/>
        </w:rPr>
        <w:t xml:space="preserve"> </w:t>
      </w:r>
    </w:p>
    <w:p w14:paraId="482D5B9B"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 xml:space="preserve">The data supporting the findings of this study are available from the MIMIC-IV database (version 2.2), which can be accessed at https://mimic.mit.edu/ after completion of required training and credentialing (authentication number 60691748). The analytic code and derived, de-identified datasets have been deposited in a public repository and are available at </w:t>
      </w:r>
      <w:proofErr w:type="spellStart"/>
      <w:r w:rsidRPr="004264BC">
        <w:rPr>
          <w:rFonts w:ascii="Calibri" w:hAnsi="Calibri" w:cs="Calibri"/>
        </w:rPr>
        <w:t>Zenodo</w:t>
      </w:r>
      <w:proofErr w:type="spellEnd"/>
      <w:r w:rsidRPr="004264BC">
        <w:rPr>
          <w:rFonts w:ascii="Calibri" w:hAnsi="Calibri" w:cs="Calibri"/>
        </w:rPr>
        <w:t xml:space="preserve">: </w:t>
      </w:r>
      <w:r w:rsidRPr="004264BC">
        <w:rPr>
          <w:rFonts w:ascii="Calibri" w:hAnsi="Calibri" w:cs="Calibri"/>
        </w:rPr>
        <w:lastRenderedPageBreak/>
        <w:t xml:space="preserve">https://doi.org/10.5281/zenodo.20232587. The corresponding </w:t>
      </w:r>
      <w:proofErr w:type="spellStart"/>
      <w:r w:rsidRPr="004264BC">
        <w:rPr>
          <w:rFonts w:ascii="Calibri" w:hAnsi="Calibri" w:cs="Calibri"/>
        </w:rPr>
        <w:t>Zenodo</w:t>
      </w:r>
      <w:proofErr w:type="spellEnd"/>
      <w:r w:rsidRPr="004264BC">
        <w:rPr>
          <w:rFonts w:ascii="Calibri" w:hAnsi="Calibri" w:cs="Calibri"/>
        </w:rPr>
        <w:t xml:space="preserve"> citation is: </w:t>
      </w:r>
      <w:proofErr w:type="spellStart"/>
      <w:r w:rsidRPr="004264BC">
        <w:rPr>
          <w:rFonts w:ascii="Calibri" w:hAnsi="Calibri" w:cs="Calibri"/>
        </w:rPr>
        <w:t>Yaohua</w:t>
      </w:r>
      <w:proofErr w:type="spellEnd"/>
      <w:r w:rsidRPr="004264BC">
        <w:rPr>
          <w:rFonts w:ascii="Calibri" w:hAnsi="Calibri" w:cs="Calibri"/>
        </w:rPr>
        <w:t xml:space="preserve"> Y, Hong K, </w:t>
      </w:r>
      <w:proofErr w:type="spellStart"/>
      <w:r w:rsidRPr="004264BC">
        <w:rPr>
          <w:rFonts w:ascii="Calibri" w:hAnsi="Calibri" w:cs="Calibri"/>
        </w:rPr>
        <w:t>Jiliang</w:t>
      </w:r>
      <w:proofErr w:type="spellEnd"/>
      <w:r w:rsidRPr="004264BC">
        <w:rPr>
          <w:rFonts w:ascii="Calibri" w:hAnsi="Calibri" w:cs="Calibri"/>
        </w:rPr>
        <w:t xml:space="preserve"> L, Jiaqi L, </w:t>
      </w:r>
      <w:proofErr w:type="spellStart"/>
      <w:r w:rsidRPr="004264BC">
        <w:rPr>
          <w:rFonts w:ascii="Calibri" w:hAnsi="Calibri" w:cs="Calibri"/>
        </w:rPr>
        <w:t>Shengyong</w:t>
      </w:r>
      <w:proofErr w:type="spellEnd"/>
      <w:r w:rsidRPr="004264BC">
        <w:rPr>
          <w:rFonts w:ascii="Calibri" w:hAnsi="Calibri" w:cs="Calibri"/>
        </w:rPr>
        <w:t xml:space="preserve"> C, </w:t>
      </w:r>
      <w:proofErr w:type="spellStart"/>
      <w:r w:rsidRPr="004264BC">
        <w:rPr>
          <w:rFonts w:ascii="Calibri" w:hAnsi="Calibri" w:cs="Calibri"/>
        </w:rPr>
        <w:t>Sida</w:t>
      </w:r>
      <w:proofErr w:type="spellEnd"/>
      <w:r w:rsidRPr="004264BC">
        <w:rPr>
          <w:rFonts w:ascii="Calibri" w:hAnsi="Calibri" w:cs="Calibri"/>
        </w:rPr>
        <w:t xml:space="preserve"> X, et al. Data and Code for "Association of Albumin-Corrected Anion Gap with 30-Day Mortality in ICU Patients with Sepsis: A Retrospective Cohort Study Using the MIMIC-IV Database". </w:t>
      </w:r>
      <w:proofErr w:type="spellStart"/>
      <w:r w:rsidRPr="004264BC">
        <w:rPr>
          <w:rFonts w:ascii="Calibri" w:hAnsi="Calibri" w:cs="Calibri"/>
        </w:rPr>
        <w:t>Zenodo</w:t>
      </w:r>
      <w:proofErr w:type="spellEnd"/>
      <w:r w:rsidRPr="004264BC">
        <w:rPr>
          <w:rFonts w:ascii="Calibri" w:hAnsi="Calibri" w:cs="Calibri"/>
        </w:rPr>
        <w:t>. 2026. https://doi.org/10.5281/zenodo.20232587. All raw data underlying the figures and tables are provided as supplementary files with this submission. The corresponding author can also be contacted for reasonable requests regarding data access, subject to MIMIC-IV data use agreements.</w:t>
      </w:r>
    </w:p>
    <w:p w14:paraId="0F201EA8" w14:textId="77777777" w:rsidR="004264BC" w:rsidRPr="004264BC" w:rsidRDefault="004264BC" w:rsidP="004264BC">
      <w:pPr>
        <w:spacing w:after="0" w:line="240" w:lineRule="auto"/>
        <w:jc w:val="both"/>
        <w:rPr>
          <w:rFonts w:ascii="Calibri" w:hAnsi="Calibri" w:cs="Calibri"/>
        </w:rPr>
      </w:pPr>
    </w:p>
    <w:p w14:paraId="5E44C23C" w14:textId="77777777" w:rsidR="004264BC" w:rsidRPr="004264BC" w:rsidRDefault="00000000" w:rsidP="004264BC">
      <w:pPr>
        <w:spacing w:after="0" w:line="240" w:lineRule="auto"/>
        <w:jc w:val="both"/>
        <w:rPr>
          <w:rFonts w:ascii="Calibri" w:hAnsi="Calibri" w:cs="Calibri"/>
          <w:b/>
        </w:rPr>
      </w:pPr>
      <w:r w:rsidRPr="004264BC">
        <w:rPr>
          <w:rFonts w:ascii="Calibri" w:hAnsi="Calibri" w:cs="Calibri"/>
          <w:b/>
        </w:rPr>
        <w:t>FIGURE AND TABLE LEGENDS:</w:t>
      </w:r>
    </w:p>
    <w:p w14:paraId="0EDC6246"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b/>
          <w:bCs/>
        </w:rPr>
        <w:t>Figure 1: Selection of the study population from the MIMIC-IV database.</w:t>
      </w:r>
      <w:r w:rsidRPr="004264BC">
        <w:rPr>
          <w:rFonts w:ascii="Calibri" w:hAnsi="Calibri" w:cs="Calibri"/>
        </w:rPr>
        <w:t xml:space="preserve"> This flowchart shows the process of selecting adult sepsis patients based on Sepsis-3.0 criteria for the first ICU admission. Initially, 22,517 patients were screened. After applying exclusion criteria (age &lt;18 years, ICU stay &lt;48 h, multiple admissions, missing data for albumin or anion gap), 8,286 patients were included in the final analytical cohort. Patients were stratified into four quartiles based on the albumin-corrected anion gap (ACAG) values.</w:t>
      </w:r>
    </w:p>
    <w:p w14:paraId="37B2CF2D" w14:textId="77777777" w:rsidR="004264BC" w:rsidRPr="004264BC" w:rsidRDefault="004264BC" w:rsidP="004264BC">
      <w:pPr>
        <w:spacing w:after="0" w:line="240" w:lineRule="auto"/>
        <w:jc w:val="both"/>
        <w:rPr>
          <w:rFonts w:ascii="Calibri" w:hAnsi="Calibri" w:cs="Calibri"/>
        </w:rPr>
      </w:pPr>
    </w:p>
    <w:p w14:paraId="61C2D094"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b/>
          <w:bCs/>
        </w:rPr>
        <w:t>Figure 2: Kaplan-Meier survival curves for cumulative survival during hospitalization and ICU stay.</w:t>
      </w:r>
      <w:r w:rsidRPr="004264BC">
        <w:rPr>
          <w:rFonts w:ascii="Calibri" w:hAnsi="Calibri" w:cs="Calibri"/>
        </w:rPr>
        <w:t xml:space="preserve"> (</w:t>
      </w:r>
      <w:r w:rsidRPr="004264BC">
        <w:rPr>
          <w:rFonts w:ascii="Calibri" w:hAnsi="Calibri" w:cs="Calibri"/>
          <w:b/>
          <w:bCs/>
        </w:rPr>
        <w:t>A</w:t>
      </w:r>
      <w:r w:rsidRPr="004264BC">
        <w:rPr>
          <w:rFonts w:ascii="Calibri" w:hAnsi="Calibri" w:cs="Calibri"/>
        </w:rPr>
        <w:t>) Kaplan-Meier curves for in-hospital survival across ACAG quartiles (Q1–Q4). (</w:t>
      </w:r>
      <w:r w:rsidRPr="004264BC">
        <w:rPr>
          <w:rFonts w:ascii="Calibri" w:hAnsi="Calibri" w:cs="Calibri"/>
          <w:b/>
          <w:bCs/>
        </w:rPr>
        <w:t>B</w:t>
      </w:r>
      <w:r w:rsidRPr="004264BC">
        <w:rPr>
          <w:rFonts w:ascii="Calibri" w:hAnsi="Calibri" w:cs="Calibri"/>
        </w:rPr>
        <w:t>) Kaplan-Meier curves for ICU survival across ACAG quartiles. The log-rank test showed significant differences among the four groups (p &lt; 0.001 for both comparisons). The survival probability progressively decreased from Q1 to Q4, indicating higher mortality in patients with higher ACAG values.</w:t>
      </w:r>
    </w:p>
    <w:p w14:paraId="09C8B8CD" w14:textId="77777777" w:rsidR="004264BC" w:rsidRPr="004264BC" w:rsidRDefault="004264BC" w:rsidP="004264BC">
      <w:pPr>
        <w:spacing w:after="0" w:line="240" w:lineRule="auto"/>
        <w:jc w:val="both"/>
        <w:rPr>
          <w:rFonts w:ascii="Calibri" w:hAnsi="Calibri" w:cs="Calibri"/>
        </w:rPr>
      </w:pPr>
    </w:p>
    <w:p w14:paraId="74664DB0" w14:textId="62437DC1" w:rsidR="004264BC" w:rsidRPr="004264BC" w:rsidRDefault="00000000" w:rsidP="004264BC">
      <w:pPr>
        <w:spacing w:after="0" w:line="240" w:lineRule="auto"/>
        <w:jc w:val="both"/>
        <w:rPr>
          <w:rFonts w:ascii="Calibri" w:hAnsi="Calibri" w:cs="Calibri"/>
        </w:rPr>
      </w:pPr>
      <w:r w:rsidRPr="004264BC">
        <w:rPr>
          <w:rFonts w:ascii="Calibri" w:hAnsi="Calibri" w:cs="Calibri"/>
          <w:b/>
          <w:bCs/>
        </w:rPr>
        <w:t>Figure 3: Restricted cubic spline (RCS) regression for the association between ACAG and mortality.</w:t>
      </w:r>
      <w:r w:rsidRPr="004264BC">
        <w:rPr>
          <w:rFonts w:ascii="Calibri" w:hAnsi="Calibri" w:cs="Calibri"/>
        </w:rPr>
        <w:t xml:space="preserve"> (</w:t>
      </w:r>
      <w:r w:rsidRPr="004264BC">
        <w:rPr>
          <w:rFonts w:ascii="Calibri" w:hAnsi="Calibri" w:cs="Calibri"/>
          <w:b/>
          <w:bCs/>
        </w:rPr>
        <w:t>A</w:t>
      </w:r>
      <w:r w:rsidRPr="004264BC">
        <w:rPr>
          <w:rFonts w:ascii="Calibri" w:hAnsi="Calibri" w:cs="Calibri"/>
        </w:rPr>
        <w:t>) RCS for in-hospital mortality in univariate analysis. (</w:t>
      </w:r>
      <w:r w:rsidRPr="004264BC">
        <w:rPr>
          <w:rFonts w:ascii="Calibri" w:hAnsi="Calibri" w:cs="Calibri"/>
          <w:b/>
          <w:bCs/>
        </w:rPr>
        <w:t>B</w:t>
      </w:r>
      <w:r w:rsidRPr="004264BC">
        <w:rPr>
          <w:rFonts w:ascii="Calibri" w:hAnsi="Calibri" w:cs="Calibri"/>
        </w:rPr>
        <w:t xml:space="preserve">) RCS for in-hospital mortality in multivariable analysis (adjusted for all covariates in </w:t>
      </w:r>
      <w:r w:rsidR="00621C5D">
        <w:rPr>
          <w:rFonts w:ascii="Calibri" w:hAnsi="Calibri" w:cs="Calibri"/>
        </w:rPr>
        <w:t>m</w:t>
      </w:r>
      <w:r w:rsidRPr="004264BC">
        <w:rPr>
          <w:rFonts w:ascii="Calibri" w:hAnsi="Calibri" w:cs="Calibri"/>
        </w:rPr>
        <w:t>odel 3). (</w:t>
      </w:r>
      <w:r w:rsidRPr="004264BC">
        <w:rPr>
          <w:rFonts w:ascii="Calibri" w:hAnsi="Calibri" w:cs="Calibri"/>
          <w:b/>
          <w:bCs/>
        </w:rPr>
        <w:t>C</w:t>
      </w:r>
      <w:r w:rsidRPr="004264BC">
        <w:rPr>
          <w:rFonts w:ascii="Calibri" w:hAnsi="Calibri" w:cs="Calibri"/>
        </w:rPr>
        <w:t>) RCS for ICU mortality in univariate analysis. (</w:t>
      </w:r>
      <w:r w:rsidRPr="004264BC">
        <w:rPr>
          <w:rFonts w:ascii="Calibri" w:hAnsi="Calibri" w:cs="Calibri"/>
          <w:b/>
          <w:bCs/>
        </w:rPr>
        <w:t>D</w:t>
      </w:r>
      <w:r w:rsidRPr="004264BC">
        <w:rPr>
          <w:rFonts w:ascii="Calibri" w:hAnsi="Calibri" w:cs="Calibri"/>
        </w:rPr>
        <w:t>) RCS for ICU mortality in multivariable analysis. The solid lines represent hazard ratios (HRs), and the shaded areas represent 95% confidence intervals. p-values for nonlinearity were calculated by the likelihood ratio test of the spline model against the null model. All p-values for nonlinearity were below 0.05, confirming a significant nonlinear relationship. The inflection point in both multivariable models occurs at an ACAG value of 23 (indicated by the vertical dashed line).</w:t>
      </w:r>
    </w:p>
    <w:p w14:paraId="13BF4224" w14:textId="77777777" w:rsidR="004264BC" w:rsidRPr="004264BC" w:rsidRDefault="004264BC" w:rsidP="004264BC">
      <w:pPr>
        <w:spacing w:after="0" w:line="240" w:lineRule="auto"/>
        <w:jc w:val="both"/>
        <w:rPr>
          <w:rFonts w:ascii="Calibri" w:hAnsi="Calibri" w:cs="Calibri"/>
        </w:rPr>
      </w:pPr>
    </w:p>
    <w:p w14:paraId="2B591374"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b/>
          <w:bCs/>
        </w:rPr>
        <w:t>Table 1: Crucial characteristics and outcomes of participants categorized by the albumin-corrected anion gap (ACAG).</w:t>
      </w:r>
      <w:r w:rsidRPr="004264BC">
        <w:rPr>
          <w:rFonts w:ascii="Calibri" w:hAnsi="Calibri" w:cs="Calibri"/>
        </w:rPr>
        <w:t xml:space="preserve"> Data are presented as n (%) for categorical variables and mean (standard deviation) for continuous variables. p-values were calculated using one-way ANOVA for continuous variables and the Chi-square test for categorical variables. ACAG quartile cutoffs: Q1 ≤ 21.87, Q2 21.87–23.93, Q3 23.93–26.62, Q4 &gt; 26.62. Abbreviations; SD = standard deviation; WBC = white blood cell; RBC = red blood cell; RDW = red blood cell distribution width; CRRT = continuous renal replacement therapy; TT = thrombin time; PT = prothrombin time; PTT = partial thromboplastin time; INR = international normalized ratio; ALT = alanine aminotransferase; AST = aspartate aminotransferase; COPD = chronic obstructive pulmonary disease.</w:t>
      </w:r>
    </w:p>
    <w:p w14:paraId="134C21B5" w14:textId="77777777" w:rsidR="004264BC" w:rsidRPr="004264BC" w:rsidRDefault="004264BC" w:rsidP="004264BC">
      <w:pPr>
        <w:spacing w:after="0" w:line="240" w:lineRule="auto"/>
        <w:jc w:val="both"/>
        <w:rPr>
          <w:rFonts w:ascii="Calibri" w:hAnsi="Calibri" w:cs="Calibri"/>
        </w:rPr>
      </w:pPr>
    </w:p>
    <w:p w14:paraId="6AB5EB0D"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b/>
          <w:bCs/>
        </w:rPr>
        <w:lastRenderedPageBreak/>
        <w:t xml:space="preserve">Table 2: Association between albumin-corrected anion gap (ACAG) groups and in-hospital and intensive care unit (ICU) mortality. </w:t>
      </w:r>
      <w:r w:rsidRPr="004264BC">
        <w:rPr>
          <w:rFonts w:ascii="Calibri" w:hAnsi="Calibri" w:cs="Calibri"/>
        </w:rPr>
        <w:t>Data are presented as hazard ratio (HR) with 95% confidence interval (CI) for the association between ACAG (as a continuous variable or by quartiles) and mortality outcomes, with corresponding p-values. ACAG quartile cutoffs: Q1 ≤ 21.87, Q2 21.87–23.93, Q3 23.93–26.62, Q4 &gt; 26.62. Model 1: unadjusted. Model 2: adjusted for age, gender, height, weight, and race. Model 3: adjusted for all covariates listed in the table footnote. Abbreviations; HR = hazard ratio; CI = confidence interval; WBC = white blood cell; RBC = red blood cell; RDW = red blood cell distribution width; ALT = alanine aminotransferase; AST = aspartate aminotransferase; SOFA = sequential organ failure assessment; APACHE III = acute physiology and chronic health evaluation III; SAPS II = simplified acute physiology score II; OASIS = Oxford acute severity of illness score; COPD = chronic obstructive pulmonary disease.</w:t>
      </w:r>
    </w:p>
    <w:p w14:paraId="60074ACE" w14:textId="77777777" w:rsidR="004264BC" w:rsidRPr="004264BC" w:rsidRDefault="004264BC" w:rsidP="004264BC">
      <w:pPr>
        <w:spacing w:after="0" w:line="240" w:lineRule="auto"/>
        <w:jc w:val="both"/>
        <w:rPr>
          <w:rFonts w:ascii="Calibri" w:hAnsi="Calibri" w:cs="Calibri"/>
        </w:rPr>
      </w:pPr>
    </w:p>
    <w:p w14:paraId="12CDAF0F" w14:textId="01FABC0B" w:rsidR="004264BC" w:rsidRPr="004264BC" w:rsidRDefault="00000000" w:rsidP="004264BC">
      <w:pPr>
        <w:spacing w:after="0" w:line="240" w:lineRule="auto"/>
        <w:jc w:val="both"/>
        <w:rPr>
          <w:rFonts w:ascii="Calibri" w:hAnsi="Calibri" w:cs="Calibri"/>
        </w:rPr>
      </w:pPr>
      <w:r w:rsidRPr="004264BC">
        <w:rPr>
          <w:rFonts w:ascii="Calibri" w:hAnsi="Calibri" w:cs="Calibri"/>
          <w:b/>
          <w:bCs/>
        </w:rPr>
        <w:t>Supplementary Table 1: Subgroup analysis results after incorporating covariates.</w:t>
      </w:r>
      <w:r w:rsidRPr="004264BC">
        <w:rPr>
          <w:rFonts w:ascii="Calibri" w:hAnsi="Calibri" w:cs="Calibri"/>
        </w:rPr>
        <w:t xml:space="preserve"> Data are presented as n (%) for subgroup sample sizes, hazard ratio (HR) with 95% confidence interval (CI) for the association between ACAG (as a continuous variable) and mortality, P-value for the HR, and p for interaction for effect modification across subgroups. All models were adjusted for all baseline variables listed in </w:t>
      </w:r>
      <w:r w:rsidR="00855527">
        <w:rPr>
          <w:rFonts w:ascii="Calibri" w:hAnsi="Calibri" w:cs="Calibri"/>
        </w:rPr>
        <w:t>m</w:t>
      </w:r>
      <w:r w:rsidRPr="004264BC">
        <w:rPr>
          <w:rFonts w:ascii="Calibri" w:hAnsi="Calibri" w:cs="Calibri"/>
        </w:rPr>
        <w:t xml:space="preserve">odel 3 of </w:t>
      </w:r>
      <w:r w:rsidRPr="004264BC">
        <w:rPr>
          <w:rFonts w:ascii="Calibri" w:hAnsi="Calibri" w:cs="Calibri"/>
          <w:b/>
          <w:bCs/>
        </w:rPr>
        <w:t>Table 2</w:t>
      </w:r>
      <w:r w:rsidRPr="004264BC">
        <w:rPr>
          <w:rFonts w:ascii="Calibri" w:hAnsi="Calibri" w:cs="Calibri"/>
        </w:rPr>
        <w:t>. Abbreviations; HR = hazard ratio; CI = confidence interval; CRRT = continuous renal replacement therapy.</w:t>
      </w:r>
    </w:p>
    <w:p w14:paraId="77C18D57" w14:textId="77777777" w:rsidR="004264BC" w:rsidRPr="004264BC" w:rsidRDefault="004264BC" w:rsidP="004264BC">
      <w:pPr>
        <w:spacing w:after="0" w:line="240" w:lineRule="auto"/>
        <w:jc w:val="both"/>
        <w:rPr>
          <w:rFonts w:ascii="Calibri" w:hAnsi="Calibri" w:cs="Calibri"/>
        </w:rPr>
      </w:pPr>
    </w:p>
    <w:p w14:paraId="575839F7" w14:textId="77777777" w:rsidR="004264BC" w:rsidRPr="004264BC" w:rsidRDefault="00000000" w:rsidP="004264BC">
      <w:pPr>
        <w:spacing w:after="0" w:line="240" w:lineRule="auto"/>
        <w:jc w:val="both"/>
        <w:rPr>
          <w:rFonts w:ascii="Calibri" w:hAnsi="Calibri" w:cs="Calibri"/>
          <w:b/>
        </w:rPr>
      </w:pPr>
      <w:r w:rsidRPr="004264BC">
        <w:rPr>
          <w:rFonts w:ascii="Calibri" w:hAnsi="Calibri" w:cs="Calibri"/>
          <w:b/>
        </w:rPr>
        <w:t>DISCUSSION:</w:t>
      </w:r>
    </w:p>
    <w:p w14:paraId="6EB4A034"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This study demonstrates that a higher albumin-corrected anion gap (ACAG) is significantly associated with increased 30-day mortality in patients with severe sepsis. A key novel finding is the nonlinear relationship between ACAG and mortality, with an inflection point at a value of 23, above which the risk escalates disproportionately. Subgroup analyses revealed significant effect modification by body mass index (BMI), acute kidney injury (AKI), continuous renal replacement therapy (CRRT) use, and mechanical ventilation, indicating that ACAG’s prognostic value may be particularly pronounced in specific patient populations.</w:t>
      </w:r>
    </w:p>
    <w:p w14:paraId="2272E52D" w14:textId="77777777" w:rsidR="004264BC" w:rsidRPr="004264BC" w:rsidRDefault="004264BC" w:rsidP="004264BC">
      <w:pPr>
        <w:spacing w:after="0" w:line="240" w:lineRule="auto"/>
        <w:jc w:val="both"/>
        <w:rPr>
          <w:rFonts w:ascii="Calibri" w:hAnsi="Calibri" w:cs="Calibri"/>
        </w:rPr>
      </w:pPr>
    </w:p>
    <w:p w14:paraId="2CCEB39C"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Previous research</w:t>
      </w:r>
      <w:r w:rsidRPr="004264BC">
        <w:rPr>
          <w:rFonts w:ascii="Calibri" w:hAnsi="Calibri" w:cs="Calibri"/>
          <w:vertAlign w:val="superscript"/>
        </w:rPr>
        <w:t>22</w:t>
      </w:r>
      <w:r w:rsidRPr="004264BC">
        <w:rPr>
          <w:rFonts w:ascii="Calibri" w:hAnsi="Calibri" w:cs="Calibri"/>
        </w:rPr>
        <w:t xml:space="preserve"> has primarily concentrated on traditional markers such as lactate, procalcitonin (PCT), and C-reactive protein (CRP) to evaluate sepsis-related mortality. Compared to these biomarkers, ACAG offers the advantage of integrating both acid-base status (via the anion gap) and nutritional/inflammatory status (via albumin), while being easily calculable from routine laboratory tests without additional cost. Recent studies</w:t>
      </w:r>
      <w:r w:rsidRPr="004264BC">
        <w:rPr>
          <w:rFonts w:ascii="Calibri" w:hAnsi="Calibri" w:cs="Calibri"/>
          <w:vertAlign w:val="superscript"/>
        </w:rPr>
        <w:t xml:space="preserve">22,23 </w:t>
      </w:r>
      <w:r w:rsidRPr="004264BC">
        <w:rPr>
          <w:rFonts w:ascii="Calibri" w:hAnsi="Calibri" w:cs="Calibri"/>
        </w:rPr>
        <w:t>have explored ACAG in specific sepsis subgroups: A study²² found that ACAG was associated with in-hospital mortality in sepsis-associated acute kidney injury (S-AKI); another study</w:t>
      </w:r>
      <w:r w:rsidRPr="004264BC">
        <w:rPr>
          <w:rFonts w:ascii="Calibri" w:hAnsi="Calibri" w:cs="Calibri"/>
          <w:vertAlign w:val="superscript"/>
        </w:rPr>
        <w:t>23</w:t>
      </w:r>
      <w:r w:rsidRPr="004264BC">
        <w:rPr>
          <w:rFonts w:ascii="Calibri" w:hAnsi="Calibri" w:cs="Calibri"/>
        </w:rPr>
        <w:t xml:space="preserve"> reported similar findings in septic patients with liver cirrhosis; and one study</w:t>
      </w:r>
      <w:r w:rsidRPr="004264BC">
        <w:rPr>
          <w:rFonts w:ascii="Calibri" w:hAnsi="Calibri" w:cs="Calibri"/>
          <w:vertAlign w:val="superscript"/>
        </w:rPr>
        <w:t>24</w:t>
      </w:r>
      <w:r w:rsidRPr="004264BC">
        <w:rPr>
          <w:rFonts w:ascii="Calibri" w:hAnsi="Calibri" w:cs="Calibri"/>
        </w:rPr>
        <w:t xml:space="preserve"> identified an association in septic older adults. However, this study uniquely provides a comprehensive evaluation in a large, unselected ICU sepsis cohort (n = 8,286), identifies a nonlinear relationship with a specific inflection point (23), and systematically tests for interactions across 11 clinically relevant subgroups. These aspects have not been previously reported.</w:t>
      </w:r>
    </w:p>
    <w:p w14:paraId="10CD2D5C" w14:textId="77777777" w:rsidR="004264BC" w:rsidRPr="004264BC" w:rsidRDefault="004264BC" w:rsidP="004264BC">
      <w:pPr>
        <w:spacing w:after="0" w:line="240" w:lineRule="auto"/>
        <w:jc w:val="both"/>
        <w:rPr>
          <w:rFonts w:ascii="Calibri" w:hAnsi="Calibri" w:cs="Calibri"/>
        </w:rPr>
      </w:pPr>
    </w:p>
    <w:p w14:paraId="2A51D30D" w14:textId="2F56CF1E" w:rsidR="004264BC" w:rsidRPr="004264BC" w:rsidRDefault="00000000" w:rsidP="004264BC">
      <w:pPr>
        <w:spacing w:after="0" w:line="240" w:lineRule="auto"/>
        <w:jc w:val="both"/>
        <w:rPr>
          <w:rFonts w:ascii="Calibri" w:hAnsi="Calibri" w:cs="Calibri"/>
        </w:rPr>
      </w:pPr>
      <w:r w:rsidRPr="004264BC">
        <w:rPr>
          <w:rFonts w:ascii="Calibri" w:hAnsi="Calibri" w:cs="Calibri"/>
        </w:rPr>
        <w:t xml:space="preserve">Mechanistic insights and the inflection point at 23. The nonlinear association between ACAG and mortality—with an inflection point at 23—has potential clinical utility. Below this threshold, the association with mortality is relatively flat; above 23, the risk escalates disproportionately. This </w:t>
      </w:r>
      <w:r w:rsidRPr="004264BC">
        <w:rPr>
          <w:rFonts w:ascii="Calibri" w:hAnsi="Calibri" w:cs="Calibri"/>
        </w:rPr>
        <w:lastRenderedPageBreak/>
        <w:t>finding suggests that an ACAG &gt; 23 could serve as an actionable warning sign, prompting clinicians to intensify acid-base monitoring and investigate underlying causes such as occult hypoperfusion, unmeasured anions, or worsening renal function</w:t>
      </w:r>
      <w:r w:rsidRPr="004264BC">
        <w:rPr>
          <w:rFonts w:ascii="Calibri" w:hAnsi="Calibri" w:cs="Calibri"/>
          <w:vertAlign w:val="superscript"/>
        </w:rPr>
        <w:t>25,26</w:t>
      </w:r>
      <w:r w:rsidRPr="004264BC">
        <w:rPr>
          <w:rFonts w:ascii="Calibri" w:hAnsi="Calibri" w:cs="Calibri"/>
        </w:rPr>
        <w:t>. The biological plausibility of this relationship stems from the dual components of ACAG. Serum anion gap (AG) is a common marker of metabolic acidosis. In sepsis, abnormal energy metabolism and hemodynamic changes lead to microcirculation dysfunction, tissue hypoperfusion, and hypoxia</w:t>
      </w:r>
      <w:r w:rsidRPr="004264BC">
        <w:rPr>
          <w:rFonts w:ascii="Calibri" w:hAnsi="Calibri" w:cs="Calibri"/>
          <w:vertAlign w:val="superscript"/>
        </w:rPr>
        <w:t>27</w:t>
      </w:r>
      <w:r w:rsidRPr="004264BC">
        <w:rPr>
          <w:rFonts w:ascii="Calibri" w:hAnsi="Calibri" w:cs="Calibri"/>
        </w:rPr>
        <w:t>, accelerating glycolysis and increasing lactic acid production</w:t>
      </w:r>
      <w:r w:rsidRPr="004264BC">
        <w:rPr>
          <w:rFonts w:ascii="Calibri" w:hAnsi="Calibri" w:cs="Calibri"/>
          <w:vertAlign w:val="superscript"/>
        </w:rPr>
        <w:t>28</w:t>
      </w:r>
      <w:r w:rsidRPr="004264BC">
        <w:rPr>
          <w:rFonts w:ascii="Calibri" w:hAnsi="Calibri" w:cs="Calibri"/>
        </w:rPr>
        <w:t>. Additionally, sepsis causes persistent inflammation and immunosuppression, leading to increased production of proteins and acidic metabolites such as α-keto acids</w:t>
      </w:r>
      <w:r w:rsidRPr="004264BC">
        <w:rPr>
          <w:rFonts w:ascii="Calibri" w:hAnsi="Calibri" w:cs="Calibri"/>
          <w:vertAlign w:val="superscript"/>
        </w:rPr>
        <w:t>29</w:t>
      </w:r>
      <w:r w:rsidRPr="004264BC">
        <w:rPr>
          <w:rFonts w:ascii="Calibri" w:hAnsi="Calibri" w:cs="Calibri"/>
        </w:rPr>
        <w:t>, which deplete blood buffer bases and produce anions including lactate, acetoacetate</w:t>
      </w:r>
      <w:r w:rsidRPr="004264BC">
        <w:rPr>
          <w:rFonts w:ascii="Calibri" w:hAnsi="Calibri" w:cs="Calibri"/>
          <w:vertAlign w:val="superscript"/>
        </w:rPr>
        <w:t>30</w:t>
      </w:r>
      <w:r w:rsidR="005B08B8">
        <w:rPr>
          <w:rFonts w:ascii="Calibri" w:hAnsi="Calibri" w:cs="Calibri"/>
          <w:vertAlign w:val="superscript"/>
        </w:rPr>
        <w:t>–</w:t>
      </w:r>
      <w:r w:rsidRPr="004264BC">
        <w:rPr>
          <w:rFonts w:ascii="Calibri" w:hAnsi="Calibri" w:cs="Calibri"/>
          <w:vertAlign w:val="superscript"/>
        </w:rPr>
        <w:t>32</w:t>
      </w:r>
      <w:r w:rsidRPr="004264BC">
        <w:rPr>
          <w:rFonts w:ascii="Calibri" w:hAnsi="Calibri" w:cs="Calibri"/>
        </w:rPr>
        <w:t>, and sulfate. Meanwhile, hypoalbuminemia—frequent in critically ill patients—results from inflammation-mediated inhibition of albumin mRNA expression</w:t>
      </w:r>
      <w:r w:rsidRPr="004264BC">
        <w:rPr>
          <w:rFonts w:ascii="Calibri" w:hAnsi="Calibri" w:cs="Calibri"/>
          <w:vertAlign w:val="superscript"/>
        </w:rPr>
        <w:t>33,34</w:t>
      </w:r>
      <w:r w:rsidRPr="004264BC">
        <w:rPr>
          <w:rFonts w:ascii="Calibri" w:hAnsi="Calibri" w:cs="Calibri"/>
        </w:rPr>
        <w:t>, accelerated catabolism</w:t>
      </w:r>
      <w:r w:rsidRPr="004264BC">
        <w:rPr>
          <w:rFonts w:ascii="Calibri" w:hAnsi="Calibri" w:cs="Calibri"/>
          <w:vertAlign w:val="superscript"/>
        </w:rPr>
        <w:t>35,36</w:t>
      </w:r>
      <w:r w:rsidRPr="004264BC">
        <w:rPr>
          <w:rFonts w:ascii="Calibri" w:hAnsi="Calibri" w:cs="Calibri"/>
        </w:rPr>
        <w:t xml:space="preserve">, and increased extravascular distribution. The corrected formula </w:t>
      </w:r>
    </w:p>
    <w:p w14:paraId="201A6F25" w14:textId="77777777" w:rsidR="004264BC" w:rsidRPr="004264BC" w:rsidRDefault="004264BC" w:rsidP="004264BC">
      <w:pPr>
        <w:spacing w:after="0" w:line="240" w:lineRule="auto"/>
        <w:jc w:val="both"/>
        <w:rPr>
          <w:rFonts w:ascii="Calibri" w:hAnsi="Calibri" w:cs="Calibri"/>
        </w:rPr>
      </w:pPr>
    </w:p>
    <w:p w14:paraId="3126949E" w14:textId="4F64FEEA" w:rsidR="004264BC" w:rsidRPr="004264BC" w:rsidRDefault="00000000" w:rsidP="004264BC">
      <w:pPr>
        <w:spacing w:after="0" w:line="240" w:lineRule="auto"/>
        <w:jc w:val="both"/>
        <w:rPr>
          <w:rFonts w:ascii="Calibri" w:hAnsi="Calibri" w:cs="Calibri"/>
        </w:rPr>
      </w:pPr>
      <m:oMathPara>
        <m:oMath>
          <m:r>
            <w:rPr>
              <w:rFonts w:ascii="Cambria Math" w:hAnsi="Cambria Math" w:cs="Calibri"/>
            </w:rPr>
            <m:t>(ACAG = AG + [40 - albumin] × 0.25)                                                                   (2)</m:t>
          </m:r>
        </m:oMath>
      </m:oMathPara>
    </w:p>
    <w:p w14:paraId="30203163" w14:textId="77777777" w:rsidR="004264BC" w:rsidRPr="004264BC" w:rsidRDefault="004264BC" w:rsidP="004264BC">
      <w:pPr>
        <w:spacing w:after="0" w:line="240" w:lineRule="auto"/>
        <w:jc w:val="both"/>
        <w:rPr>
          <w:rFonts w:ascii="Calibri" w:hAnsi="Calibri" w:cs="Calibri"/>
        </w:rPr>
      </w:pPr>
    </w:p>
    <w:p w14:paraId="5E138173"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accounts for albumin’s contribution, and this data show that patients in Q4 had significantly lower albumin levels (3.01 vs. 2.92 g/L in Q1, p &lt; 0.001) despite having higher AG. This suggests that ACAG may capture a “double-hit” phenomenon: severe acidosis combined with profound hypoalbuminemia, both driven by overwhelming systemic inflammation.</w:t>
      </w:r>
    </w:p>
    <w:p w14:paraId="2D59F47E" w14:textId="77777777" w:rsidR="004264BC" w:rsidRPr="004264BC" w:rsidRDefault="004264BC" w:rsidP="004264BC">
      <w:pPr>
        <w:spacing w:after="0" w:line="240" w:lineRule="auto"/>
        <w:jc w:val="both"/>
        <w:rPr>
          <w:rFonts w:ascii="Calibri" w:hAnsi="Calibri" w:cs="Calibri"/>
        </w:rPr>
      </w:pPr>
    </w:p>
    <w:p w14:paraId="6F0545D6"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The identified ACAG threshold of 23 may help clinicians identify high-risk patients who could benefit from early intensive monitoring or targeted interventions. For example, patients with ACAG &gt; 23—particularly those with concomitant AKI or requiring CRRT—had substantially higher mortality (Q4 vs. Q1: adjusted HR 1.54 for ICU mortality, p &lt; 0.001). These findings suggest that ACAG may serve as a supplementary risk stratification tool, pending prospective validation. Integrating ACAG into existing scoring systems (e.g., SOFA, APACHE III) could potentially improve the predictive accuracy, although this hypothesis requires formal testing</w:t>
      </w:r>
      <w:r w:rsidRPr="004264BC">
        <w:rPr>
          <w:rFonts w:ascii="Calibri" w:hAnsi="Calibri" w:cs="Calibri"/>
          <w:vertAlign w:val="superscript"/>
        </w:rPr>
        <w:t>37–39</w:t>
      </w:r>
      <w:r w:rsidRPr="004264BC">
        <w:rPr>
          <w:rFonts w:ascii="Calibri" w:hAnsi="Calibri" w:cs="Calibri"/>
        </w:rPr>
        <w:t>. Future studies should prospectively validate the ACAG threshold of 23 in multi-center cohorts across different healthcare settings and investigate the pathophysiological mechanisms linking elevated ACAG to organ failure in sepsis, particularly the relative contributions of lactic acidosis, unmeasured anions, and albumin kinetics</w:t>
      </w:r>
      <w:r w:rsidRPr="004264BC">
        <w:rPr>
          <w:rFonts w:ascii="Calibri" w:hAnsi="Calibri" w:cs="Calibri"/>
          <w:vertAlign w:val="superscript"/>
        </w:rPr>
        <w:t>40</w:t>
      </w:r>
      <w:r w:rsidRPr="004264BC">
        <w:rPr>
          <w:rFonts w:ascii="Calibri" w:hAnsi="Calibri" w:cs="Calibri"/>
        </w:rPr>
        <w:t>.</w:t>
      </w:r>
    </w:p>
    <w:p w14:paraId="38550832" w14:textId="77777777" w:rsidR="004264BC" w:rsidRPr="004264BC" w:rsidRDefault="004264BC" w:rsidP="004264BC">
      <w:pPr>
        <w:spacing w:after="0" w:line="240" w:lineRule="auto"/>
        <w:jc w:val="both"/>
        <w:rPr>
          <w:rFonts w:ascii="Calibri" w:hAnsi="Calibri" w:cs="Calibri"/>
        </w:rPr>
      </w:pPr>
    </w:p>
    <w:p w14:paraId="31283DE8"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This study has several strengths, including the use of a large, well-characterized database (MIMIC-IV), rigorous multivariable adjustment, and systematic subgroup analyses. However, several limitations merit consideration. First, the retrospective design may introduce selection and information bias. Despite adjustment for numerous confounders, residual confounding cannot be fully excluded. These findings should be interpreted within the context of a retrospective, single-country database, which may limit generalizability to non-US populations or healthcare systems. Second, due to the constraints of the MIMIC-IV database, detailed microbiological data were not available for subgroup analysis by pathogen type. This represents an important direction for future research</w:t>
      </w:r>
      <w:r w:rsidRPr="004264BC">
        <w:rPr>
          <w:rFonts w:ascii="Calibri" w:hAnsi="Calibri" w:cs="Calibri"/>
          <w:vertAlign w:val="superscript"/>
        </w:rPr>
        <w:t>41</w:t>
      </w:r>
      <w:r w:rsidRPr="004264BC">
        <w:rPr>
          <w:rFonts w:ascii="Calibri" w:hAnsi="Calibri" w:cs="Calibri"/>
        </w:rPr>
        <w:t xml:space="preserve">. Third, the MIMIC-IV database primarily comprises patients of American descent (predominantly Caucasian, 72%), and the external validity of the ACAG threshold of 23 in other ethnic populations requires confirmation. Fourth, this study focused on short-term mortality (30 days); long-term outcomes (e.g., 90-day, 1-year mortality) were not examined. </w:t>
      </w:r>
      <w:r w:rsidRPr="004264BC">
        <w:rPr>
          <w:rFonts w:ascii="Calibri" w:hAnsi="Calibri" w:cs="Calibri"/>
        </w:rPr>
        <w:lastRenderedPageBreak/>
        <w:t>Causal inference cannot be established in this observational study. Randomized trials or prospective cohort studies are required to determine whether targeting an albumin-corrected anion gap level below 23 improves clinical outcomes.</w:t>
      </w:r>
    </w:p>
    <w:p w14:paraId="6FDBBBA7" w14:textId="77777777" w:rsidR="004264BC" w:rsidRPr="004264BC" w:rsidRDefault="004264BC" w:rsidP="004264BC">
      <w:pPr>
        <w:spacing w:after="0" w:line="240" w:lineRule="auto"/>
        <w:jc w:val="both"/>
        <w:rPr>
          <w:rFonts w:ascii="Calibri" w:hAnsi="Calibri" w:cs="Calibri"/>
        </w:rPr>
      </w:pPr>
    </w:p>
    <w:p w14:paraId="5BBAF5B8"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Two priority research avenues emerge from this study. First, prospective validation of the ACAG threshold of 23 in multi-ethnic, geographically diverse sepsis cohorts is essential to establish universal clinical applicability. Second, interventional studies should test whether an ACAG-guided protocol—for example, prompting earlier initiation of renal replacement therapy, optimization of hemodynamics, or nutritional support in patients with ACAG &gt; 23—can improve survival. Additionally, mechanistic studies investigating the relationship between ACAG and markers of endothelial dysfunction, inflammation, and mitochondrial injury could provide deeper biological insights</w:t>
      </w:r>
      <w:r w:rsidRPr="004264BC">
        <w:rPr>
          <w:rFonts w:ascii="Calibri" w:hAnsi="Calibri" w:cs="Calibri"/>
          <w:vertAlign w:val="superscript"/>
        </w:rPr>
        <w:t>42</w:t>
      </w:r>
      <w:r w:rsidRPr="004264BC">
        <w:rPr>
          <w:rFonts w:ascii="Calibri" w:hAnsi="Calibri" w:cs="Calibri"/>
        </w:rPr>
        <w:t>. The development of real-time ACAG calculators integrated into electronic health record dashboards would facilitate bedside risk stratification and may enable automated alerts for high-risk patients.</w:t>
      </w:r>
    </w:p>
    <w:p w14:paraId="2E717E05" w14:textId="77777777" w:rsidR="004264BC" w:rsidRPr="004264BC" w:rsidRDefault="004264BC" w:rsidP="004264BC">
      <w:pPr>
        <w:spacing w:after="0" w:line="240" w:lineRule="auto"/>
        <w:jc w:val="both"/>
        <w:rPr>
          <w:rFonts w:ascii="Calibri" w:hAnsi="Calibri" w:cs="Calibri"/>
        </w:rPr>
      </w:pPr>
    </w:p>
    <w:p w14:paraId="52FC480D"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b/>
        </w:rPr>
        <w:t xml:space="preserve">ACKNOWLEDGMENTS: </w:t>
      </w:r>
    </w:p>
    <w:p w14:paraId="33650A71"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 xml:space="preserve">This work was supported by the following funding sources: Zhejiang Medical and Health Science and Technology Project (Grant No. 2022498346); National Natural Science Foundation of China (No. 81971554); Medical Scientific Research Foundation of Zhejiang Province (Grant Nos. 2021KY1004, 2022ZB331, 2022KY1134, 2023RC081, 2025KY1395, 2025KY1443); Medical and Health Science Program of Zhejiang Province (Project No. 2025HY0993); Traditional Chinese Medicine Science and Technology Project of Zhejiang Province (No. 2022RC255); Scientific Research Fund of Zhejiang Provincial Education Department (Nos. Y202140685, Y202456684); Zhejiang </w:t>
      </w:r>
      <w:proofErr w:type="spellStart"/>
      <w:r w:rsidRPr="004264BC">
        <w:rPr>
          <w:rFonts w:ascii="Calibri" w:hAnsi="Calibri" w:cs="Calibri"/>
        </w:rPr>
        <w:t>Clinovation</w:t>
      </w:r>
      <w:proofErr w:type="spellEnd"/>
      <w:r w:rsidRPr="004264BC">
        <w:rPr>
          <w:rFonts w:ascii="Calibri" w:hAnsi="Calibri" w:cs="Calibri"/>
        </w:rPr>
        <w:t xml:space="preserve"> Pride (CXTD202502004); Natural Science Foundation of Ningbo Municipality (No. 2022J177); Ningbo Top Medical and Health Research Program (No. 2023030615); Project of NINGBO Leading Medical &amp; Health Discipline (No. 2022-F17); </w:t>
      </w:r>
      <w:proofErr w:type="spellStart"/>
      <w:r w:rsidRPr="004264BC">
        <w:rPr>
          <w:rFonts w:ascii="Calibri" w:hAnsi="Calibri" w:cs="Calibri"/>
        </w:rPr>
        <w:t>HwaMei</w:t>
      </w:r>
      <w:proofErr w:type="spellEnd"/>
      <w:r w:rsidRPr="004264BC">
        <w:rPr>
          <w:rFonts w:ascii="Calibri" w:hAnsi="Calibri" w:cs="Calibri"/>
        </w:rPr>
        <w:t xml:space="preserve"> Research Foundation of Ningbo No.2 Hospital (Grant Nos. 2022HMKY48, 2023HMZD07); Zhu </w:t>
      </w:r>
      <w:proofErr w:type="spellStart"/>
      <w:r w:rsidRPr="004264BC">
        <w:rPr>
          <w:rFonts w:ascii="Calibri" w:hAnsi="Calibri" w:cs="Calibri"/>
        </w:rPr>
        <w:t>Xiu</w:t>
      </w:r>
      <w:proofErr w:type="spellEnd"/>
      <w:r w:rsidRPr="004264BC">
        <w:rPr>
          <w:rFonts w:ascii="Calibri" w:hAnsi="Calibri" w:cs="Calibri"/>
        </w:rPr>
        <w:t xml:space="preserve"> Shan Talent Project of Ningbo No.2 Hospital (No. 2023HMYQ25); Ningbo Health Youth Technical Backbone Talent Development Program (No. 2024RC-QN-02); Research and development of efficient hemostatic materials (2024001). The funders played no role in the study design, execution, data analysis, or manuscript writing. The authors thank the Massachusetts Institute of Technology and Beth Israel Deaconess Medical Center for establishing and maintaining the MIMIC-IV database. We also thank all members of the Burn Department at Ningbo No. 2 Hospital for their support.</w:t>
      </w:r>
    </w:p>
    <w:p w14:paraId="464E6439" w14:textId="77777777" w:rsidR="004264BC" w:rsidRPr="004264BC" w:rsidRDefault="004264BC" w:rsidP="004264BC">
      <w:pPr>
        <w:spacing w:after="0" w:line="240" w:lineRule="auto"/>
        <w:jc w:val="both"/>
        <w:rPr>
          <w:rFonts w:ascii="Calibri" w:hAnsi="Calibri" w:cs="Calibri"/>
        </w:rPr>
      </w:pPr>
    </w:p>
    <w:p w14:paraId="4867AA03"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b/>
        </w:rPr>
        <w:t xml:space="preserve">DISCLOSURES: </w:t>
      </w:r>
    </w:p>
    <w:p w14:paraId="4BF1FD9F"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The authors declare that they have no competing interests.</w:t>
      </w:r>
    </w:p>
    <w:p w14:paraId="1D9B9002" w14:textId="77777777" w:rsidR="004264BC" w:rsidRPr="004264BC" w:rsidRDefault="004264BC" w:rsidP="004264BC">
      <w:pPr>
        <w:spacing w:after="0" w:line="240" w:lineRule="auto"/>
        <w:jc w:val="both"/>
        <w:rPr>
          <w:rFonts w:ascii="Calibri" w:hAnsi="Calibri" w:cs="Calibri"/>
          <w:b/>
          <w:bCs/>
        </w:rPr>
      </w:pPr>
    </w:p>
    <w:p w14:paraId="73F06EFF" w14:textId="77777777" w:rsidR="004264BC" w:rsidRPr="004264BC" w:rsidRDefault="00000000" w:rsidP="004264BC">
      <w:pPr>
        <w:spacing w:after="0" w:line="240" w:lineRule="auto"/>
        <w:jc w:val="both"/>
        <w:rPr>
          <w:rFonts w:ascii="Calibri" w:hAnsi="Calibri" w:cs="Calibri"/>
          <w:b/>
          <w:bCs/>
        </w:rPr>
      </w:pPr>
      <w:r w:rsidRPr="004264BC">
        <w:rPr>
          <w:rFonts w:ascii="Calibri" w:hAnsi="Calibri" w:cs="Calibri"/>
          <w:b/>
          <w:bCs/>
        </w:rPr>
        <w:t>AUTHORS’ CONTRIBUTIONS:</w:t>
      </w:r>
    </w:p>
    <w:p w14:paraId="69DF1768" w14:textId="77777777" w:rsidR="004264BC" w:rsidRPr="004264BC" w:rsidRDefault="00000000" w:rsidP="004264BC">
      <w:pPr>
        <w:spacing w:after="0" w:line="240" w:lineRule="auto"/>
        <w:jc w:val="both"/>
        <w:rPr>
          <w:rFonts w:ascii="Calibri" w:hAnsi="Calibri" w:cs="Calibri"/>
        </w:rPr>
      </w:pPr>
      <w:r w:rsidRPr="004264BC">
        <w:rPr>
          <w:rFonts w:ascii="Calibri" w:hAnsi="Calibri" w:cs="Calibri"/>
        </w:rPr>
        <w:t>YH Y, H K, JL L, and JQ L contributed equally to this work. YH Y, YF F, and X L designed and conceptualized the study. JQ L, H K, JL L, SY C, and GY J completed the record retrieval and data extraction. Mathematical modeling and meta-analysis were conducted with the help of YF F, N H, X L, SD X, and GY J. The original draft was written by YH Y and H K. All authors have read and agreed to the published version of the manuscript.</w:t>
      </w:r>
    </w:p>
    <w:p w14:paraId="2E91EAD7" w14:textId="77777777" w:rsidR="004264BC" w:rsidRPr="004264BC" w:rsidRDefault="004264BC" w:rsidP="004264BC">
      <w:pPr>
        <w:spacing w:after="0" w:line="240" w:lineRule="auto"/>
        <w:jc w:val="both"/>
        <w:rPr>
          <w:rFonts w:ascii="Calibri" w:hAnsi="Calibri" w:cs="Calibri"/>
        </w:rPr>
      </w:pPr>
    </w:p>
    <w:p w14:paraId="2EEB0FD3" w14:textId="77777777" w:rsidR="004264BC" w:rsidRPr="004264BC" w:rsidRDefault="00000000" w:rsidP="004264BC">
      <w:pPr>
        <w:spacing w:after="0" w:line="240" w:lineRule="auto"/>
        <w:jc w:val="both"/>
        <w:rPr>
          <w:rFonts w:ascii="Calibri" w:hAnsi="Calibri" w:cs="Calibri"/>
          <w:b/>
        </w:rPr>
      </w:pPr>
      <w:r w:rsidRPr="004264BC">
        <w:rPr>
          <w:rFonts w:ascii="Calibri" w:hAnsi="Calibri" w:cs="Calibri"/>
          <w:b/>
        </w:rPr>
        <w:lastRenderedPageBreak/>
        <w:t>REFERENCES:</w:t>
      </w:r>
    </w:p>
    <w:p w14:paraId="0ACAE3B4"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Rudd KE, Johnson SC, </w:t>
      </w:r>
      <w:proofErr w:type="spellStart"/>
      <w:r w:rsidRPr="004264BC">
        <w:rPr>
          <w:rFonts w:ascii="Calibri" w:hAnsi="Calibri" w:cs="Calibri"/>
        </w:rPr>
        <w:t>Agesa</w:t>
      </w:r>
      <w:proofErr w:type="spellEnd"/>
      <w:r w:rsidRPr="004264BC">
        <w:rPr>
          <w:rFonts w:ascii="Calibri" w:hAnsi="Calibri" w:cs="Calibri"/>
        </w:rPr>
        <w:t xml:space="preserve"> KM, Shackelford KA, Tsoi D, </w:t>
      </w:r>
      <w:proofErr w:type="spellStart"/>
      <w:r w:rsidRPr="004264BC">
        <w:rPr>
          <w:rFonts w:ascii="Calibri" w:hAnsi="Calibri" w:cs="Calibri"/>
        </w:rPr>
        <w:t>Kievlan</w:t>
      </w:r>
      <w:proofErr w:type="spellEnd"/>
      <w:r w:rsidRPr="004264BC">
        <w:rPr>
          <w:rFonts w:ascii="Calibri" w:hAnsi="Calibri" w:cs="Calibri"/>
        </w:rPr>
        <w:t xml:space="preserve"> DR, et al. Global, regional, and national sepsis incidence and mortality, 1990-2017: analysis for the Global Burden of Disease Study. Lancet. 2020;395(10219):200-11.</w:t>
      </w:r>
    </w:p>
    <w:p w14:paraId="248E1FE6"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lang w:val="pt-BR"/>
        </w:rPr>
        <w:t xml:space="preserve">Sato R, Hasegawa D, </w:t>
      </w:r>
      <w:proofErr w:type="spellStart"/>
      <w:r w:rsidRPr="004264BC">
        <w:rPr>
          <w:rFonts w:ascii="Calibri" w:hAnsi="Calibri" w:cs="Calibri"/>
          <w:lang w:val="pt-BR"/>
        </w:rPr>
        <w:t>Guo</w:t>
      </w:r>
      <w:proofErr w:type="spellEnd"/>
      <w:r w:rsidRPr="004264BC">
        <w:rPr>
          <w:rFonts w:ascii="Calibri" w:hAnsi="Calibri" w:cs="Calibri"/>
          <w:lang w:val="pt-BR"/>
        </w:rPr>
        <w:t xml:space="preserve"> S, </w:t>
      </w:r>
      <w:proofErr w:type="spellStart"/>
      <w:r w:rsidRPr="004264BC">
        <w:rPr>
          <w:rFonts w:ascii="Calibri" w:hAnsi="Calibri" w:cs="Calibri"/>
          <w:lang w:val="pt-BR"/>
        </w:rPr>
        <w:t>Nuqali</w:t>
      </w:r>
      <w:proofErr w:type="spellEnd"/>
      <w:r w:rsidRPr="004264BC">
        <w:rPr>
          <w:rFonts w:ascii="Calibri" w:hAnsi="Calibri" w:cs="Calibri"/>
          <w:lang w:val="pt-BR"/>
        </w:rPr>
        <w:t xml:space="preserve"> AE, Moreno JEP. </w:t>
      </w:r>
      <w:r w:rsidRPr="004264BC">
        <w:rPr>
          <w:rFonts w:ascii="Calibri" w:hAnsi="Calibri" w:cs="Calibri"/>
        </w:rPr>
        <w:t>Sepsis-induced cardiogenic shock: controversies and evidence gaps in diagnosis and management. J Intensive Care. 2025;13(1):1.</w:t>
      </w:r>
    </w:p>
    <w:p w14:paraId="7B6A742C"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Martin-</w:t>
      </w:r>
      <w:proofErr w:type="spellStart"/>
      <w:r w:rsidRPr="004264BC">
        <w:rPr>
          <w:rFonts w:ascii="Calibri" w:hAnsi="Calibri" w:cs="Calibri"/>
        </w:rPr>
        <w:t>Loeches</w:t>
      </w:r>
      <w:proofErr w:type="spellEnd"/>
      <w:r w:rsidRPr="004264BC">
        <w:rPr>
          <w:rFonts w:ascii="Calibri" w:hAnsi="Calibri" w:cs="Calibri"/>
        </w:rPr>
        <w:t xml:space="preserve"> I, Singer M, Leone M. Sepsis: key insights, future directions, and immediate goals. A review and expert opinion. Intensive Care Med. 2024;50(12):2043-9.</w:t>
      </w:r>
    </w:p>
    <w:p w14:paraId="3DF7AFF9"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Z </w:t>
      </w:r>
      <w:proofErr w:type="spellStart"/>
      <w:r w:rsidRPr="004264BC">
        <w:rPr>
          <w:rFonts w:ascii="Calibri" w:hAnsi="Calibri" w:cs="Calibri"/>
        </w:rPr>
        <w:t>Oikonomakou</w:t>
      </w:r>
      <w:proofErr w:type="spellEnd"/>
      <w:r w:rsidRPr="004264BC">
        <w:rPr>
          <w:rFonts w:ascii="Calibri" w:hAnsi="Calibri" w:cs="Calibri"/>
        </w:rPr>
        <w:t xml:space="preserve"> M, </w:t>
      </w:r>
      <w:proofErr w:type="spellStart"/>
      <w:r w:rsidRPr="004264BC">
        <w:rPr>
          <w:rFonts w:ascii="Calibri" w:hAnsi="Calibri" w:cs="Calibri"/>
        </w:rPr>
        <w:t>Gkentzi</w:t>
      </w:r>
      <w:proofErr w:type="spellEnd"/>
      <w:r w:rsidRPr="004264BC">
        <w:rPr>
          <w:rFonts w:ascii="Calibri" w:hAnsi="Calibri" w:cs="Calibri"/>
        </w:rPr>
        <w:t xml:space="preserve"> D, </w:t>
      </w:r>
      <w:proofErr w:type="spellStart"/>
      <w:r w:rsidRPr="004264BC">
        <w:rPr>
          <w:rFonts w:ascii="Calibri" w:hAnsi="Calibri" w:cs="Calibri"/>
        </w:rPr>
        <w:t>Gogos</w:t>
      </w:r>
      <w:proofErr w:type="spellEnd"/>
      <w:r w:rsidRPr="004264BC">
        <w:rPr>
          <w:rFonts w:ascii="Calibri" w:hAnsi="Calibri" w:cs="Calibri"/>
        </w:rPr>
        <w:t xml:space="preserve"> C, </w:t>
      </w:r>
      <w:proofErr w:type="spellStart"/>
      <w:r w:rsidRPr="004264BC">
        <w:rPr>
          <w:rFonts w:ascii="Calibri" w:hAnsi="Calibri" w:cs="Calibri"/>
        </w:rPr>
        <w:t>Akinosoglou</w:t>
      </w:r>
      <w:proofErr w:type="spellEnd"/>
      <w:r w:rsidRPr="004264BC">
        <w:rPr>
          <w:rFonts w:ascii="Calibri" w:hAnsi="Calibri" w:cs="Calibri"/>
        </w:rPr>
        <w:t xml:space="preserve"> K. Biomarkers in pediatric sepsis: a review of recent literature. </w:t>
      </w:r>
      <w:proofErr w:type="spellStart"/>
      <w:r w:rsidRPr="004264BC">
        <w:rPr>
          <w:rFonts w:ascii="Calibri" w:hAnsi="Calibri" w:cs="Calibri"/>
        </w:rPr>
        <w:t>Biomark</w:t>
      </w:r>
      <w:proofErr w:type="spellEnd"/>
      <w:r w:rsidRPr="004264BC">
        <w:rPr>
          <w:rFonts w:ascii="Calibri" w:hAnsi="Calibri" w:cs="Calibri"/>
        </w:rPr>
        <w:t xml:space="preserve"> Med. 2020;14(10):895-917.</w:t>
      </w:r>
    </w:p>
    <w:p w14:paraId="6226C430" w14:textId="77777777" w:rsidR="004264BC" w:rsidRPr="004264BC" w:rsidRDefault="00000000" w:rsidP="004264BC">
      <w:pPr>
        <w:numPr>
          <w:ilvl w:val="0"/>
          <w:numId w:val="1"/>
        </w:numPr>
        <w:spacing w:after="0" w:line="240" w:lineRule="auto"/>
        <w:jc w:val="both"/>
        <w:rPr>
          <w:rFonts w:ascii="Calibri" w:hAnsi="Calibri" w:cs="Calibri"/>
        </w:rPr>
      </w:pPr>
      <w:proofErr w:type="spellStart"/>
      <w:r w:rsidRPr="004264BC">
        <w:rPr>
          <w:rFonts w:ascii="Calibri" w:hAnsi="Calibri" w:cs="Calibri"/>
          <w:lang w:val="pt-BR"/>
        </w:rPr>
        <w:t>Biron</w:t>
      </w:r>
      <w:proofErr w:type="spellEnd"/>
      <w:r w:rsidRPr="004264BC">
        <w:rPr>
          <w:rFonts w:ascii="Calibri" w:hAnsi="Calibri" w:cs="Calibri"/>
          <w:lang w:val="pt-BR"/>
        </w:rPr>
        <w:t xml:space="preserve"> BM, Ayala A, </w:t>
      </w:r>
      <w:proofErr w:type="spellStart"/>
      <w:r w:rsidRPr="004264BC">
        <w:rPr>
          <w:rFonts w:ascii="Calibri" w:hAnsi="Calibri" w:cs="Calibri"/>
          <w:lang w:val="pt-BR"/>
        </w:rPr>
        <w:t>Lomas-Neira</w:t>
      </w:r>
      <w:proofErr w:type="spellEnd"/>
      <w:r w:rsidRPr="004264BC">
        <w:rPr>
          <w:rFonts w:ascii="Calibri" w:hAnsi="Calibri" w:cs="Calibri"/>
          <w:lang w:val="pt-BR"/>
        </w:rPr>
        <w:t xml:space="preserve"> JL. </w:t>
      </w:r>
      <w:r w:rsidRPr="004264BC">
        <w:rPr>
          <w:rFonts w:ascii="Calibri" w:hAnsi="Calibri" w:cs="Calibri"/>
        </w:rPr>
        <w:t xml:space="preserve">Biomarkers for sepsis: what is and what might be? </w:t>
      </w:r>
      <w:proofErr w:type="spellStart"/>
      <w:r w:rsidRPr="004264BC">
        <w:rPr>
          <w:rFonts w:ascii="Calibri" w:hAnsi="Calibri" w:cs="Calibri"/>
        </w:rPr>
        <w:t>Biomark</w:t>
      </w:r>
      <w:proofErr w:type="spellEnd"/>
      <w:r w:rsidRPr="004264BC">
        <w:rPr>
          <w:rFonts w:ascii="Calibri" w:hAnsi="Calibri" w:cs="Calibri"/>
        </w:rPr>
        <w:t xml:space="preserve"> Insights. 2015;10(Suppl 4):7-17.</w:t>
      </w:r>
    </w:p>
    <w:p w14:paraId="04415263"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Yuan Y, Xiao Y, Zhao J, Zhang L, Li M, Luo L, et al. Exosomes as novel biomarkers in sepsis and sepsis related organ failure. J </w:t>
      </w:r>
      <w:proofErr w:type="spellStart"/>
      <w:r w:rsidRPr="004264BC">
        <w:rPr>
          <w:rFonts w:ascii="Calibri" w:hAnsi="Calibri" w:cs="Calibri"/>
        </w:rPr>
        <w:t>Transl</w:t>
      </w:r>
      <w:proofErr w:type="spellEnd"/>
      <w:r w:rsidRPr="004264BC">
        <w:rPr>
          <w:rFonts w:ascii="Calibri" w:hAnsi="Calibri" w:cs="Calibri"/>
        </w:rPr>
        <w:t xml:space="preserve"> Med. 2024;22(1):1078.</w:t>
      </w:r>
    </w:p>
    <w:p w14:paraId="5902577C"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Goldwater PN, </w:t>
      </w:r>
      <w:proofErr w:type="spellStart"/>
      <w:r w:rsidRPr="004264BC">
        <w:rPr>
          <w:rFonts w:ascii="Calibri" w:hAnsi="Calibri" w:cs="Calibri"/>
        </w:rPr>
        <w:t>Gebien</w:t>
      </w:r>
      <w:proofErr w:type="spellEnd"/>
      <w:r w:rsidRPr="004264BC">
        <w:rPr>
          <w:rFonts w:ascii="Calibri" w:hAnsi="Calibri" w:cs="Calibri"/>
        </w:rPr>
        <w:t xml:space="preserve"> DJ. Metabolic acidosis and sudden infant death syndrome: overlooked data provides insight into SIDS pathogenesis. World J </w:t>
      </w:r>
      <w:proofErr w:type="spellStart"/>
      <w:r w:rsidRPr="004264BC">
        <w:rPr>
          <w:rFonts w:ascii="Calibri" w:hAnsi="Calibri" w:cs="Calibri"/>
        </w:rPr>
        <w:t>Pediatr</w:t>
      </w:r>
      <w:proofErr w:type="spellEnd"/>
      <w:r w:rsidRPr="004264BC">
        <w:rPr>
          <w:rFonts w:ascii="Calibri" w:hAnsi="Calibri" w:cs="Calibri"/>
        </w:rPr>
        <w:t xml:space="preserve">. </w:t>
      </w:r>
      <w:proofErr w:type="gramStart"/>
      <w:r w:rsidRPr="004264BC">
        <w:rPr>
          <w:rFonts w:ascii="Calibri" w:hAnsi="Calibri" w:cs="Calibri"/>
        </w:rPr>
        <w:t>2024;Epub</w:t>
      </w:r>
      <w:proofErr w:type="gramEnd"/>
      <w:r w:rsidRPr="004264BC">
        <w:rPr>
          <w:rFonts w:ascii="Calibri" w:hAnsi="Calibri" w:cs="Calibri"/>
        </w:rPr>
        <w:t xml:space="preserve"> ahead of print.</w:t>
      </w:r>
    </w:p>
    <w:p w14:paraId="49E320BD"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Abdalla M, Faris ME, Saad E, Meng Q, Friedman H, </w:t>
      </w:r>
      <w:proofErr w:type="spellStart"/>
      <w:r w:rsidRPr="004264BC">
        <w:rPr>
          <w:rFonts w:ascii="Calibri" w:hAnsi="Calibri" w:cs="Calibri"/>
        </w:rPr>
        <w:t>Soifer</w:t>
      </w:r>
      <w:proofErr w:type="spellEnd"/>
      <w:r w:rsidRPr="004264BC">
        <w:rPr>
          <w:rFonts w:ascii="Calibri" w:hAnsi="Calibri" w:cs="Calibri"/>
        </w:rPr>
        <w:t xml:space="preserve"> N. Profound metabolic acidosis in association with sodium thiosulfate therapy in a patient with calcific uremic arteriolopathy: a case report and literature review. CEN Case Rep. 2024;13(1):59-65.</w:t>
      </w:r>
    </w:p>
    <w:p w14:paraId="296BD3B2"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Gong W, Gao K, Shan Z, Yang L, Fang P, Li C, et al. Research progress of biomarkers in evaluating the severity and prognostic value of severe pneumonia in children. Front </w:t>
      </w:r>
      <w:proofErr w:type="spellStart"/>
      <w:r w:rsidRPr="004264BC">
        <w:rPr>
          <w:rFonts w:ascii="Calibri" w:hAnsi="Calibri" w:cs="Calibri"/>
        </w:rPr>
        <w:t>Pediatr</w:t>
      </w:r>
      <w:proofErr w:type="spellEnd"/>
      <w:r w:rsidRPr="004264BC">
        <w:rPr>
          <w:rFonts w:ascii="Calibri" w:hAnsi="Calibri" w:cs="Calibri"/>
        </w:rPr>
        <w:t xml:space="preserve">. </w:t>
      </w:r>
      <w:proofErr w:type="gramStart"/>
      <w:r w:rsidRPr="004264BC">
        <w:rPr>
          <w:rFonts w:ascii="Calibri" w:hAnsi="Calibri" w:cs="Calibri"/>
        </w:rPr>
        <w:t>2024;12:1417644</w:t>
      </w:r>
      <w:proofErr w:type="gramEnd"/>
      <w:r w:rsidRPr="004264BC">
        <w:rPr>
          <w:rFonts w:ascii="Calibri" w:hAnsi="Calibri" w:cs="Calibri"/>
        </w:rPr>
        <w:t>.</w:t>
      </w:r>
    </w:p>
    <w:p w14:paraId="28A50FC2"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Lu D, Song H, Amy Liu IL, Shi J, </w:t>
      </w:r>
      <w:proofErr w:type="spellStart"/>
      <w:r w:rsidRPr="004264BC">
        <w:rPr>
          <w:rFonts w:ascii="Calibri" w:hAnsi="Calibri" w:cs="Calibri"/>
        </w:rPr>
        <w:t>Treger</w:t>
      </w:r>
      <w:proofErr w:type="spellEnd"/>
      <w:r w:rsidRPr="004264BC">
        <w:rPr>
          <w:rFonts w:ascii="Calibri" w:hAnsi="Calibri" w:cs="Calibri"/>
        </w:rPr>
        <w:t xml:space="preserve"> RM. The Δ anion gap/Δ bicarbonate ratio in lactic acidosis: time for a new baseline? Kidney360. 2024;5(9):1251-61.</w:t>
      </w:r>
    </w:p>
    <w:p w14:paraId="5F5A52E0"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Mandell I. Serum anion gap in metabolic acidosis. Neonatal </w:t>
      </w:r>
      <w:proofErr w:type="spellStart"/>
      <w:r w:rsidRPr="004264BC">
        <w:rPr>
          <w:rFonts w:ascii="Calibri" w:hAnsi="Calibri" w:cs="Calibri"/>
        </w:rPr>
        <w:t>Netw</w:t>
      </w:r>
      <w:proofErr w:type="spellEnd"/>
      <w:r w:rsidRPr="004264BC">
        <w:rPr>
          <w:rFonts w:ascii="Calibri" w:hAnsi="Calibri" w:cs="Calibri"/>
        </w:rPr>
        <w:t>. 2009;28(4):252-8.</w:t>
      </w:r>
    </w:p>
    <w:p w14:paraId="272A4D91"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Meng K, Lei X, He D. Association between serum calcium and in-hospital mortality in intensive care unit patients with cerebral infarction: a cohort study. Front Neurol. </w:t>
      </w:r>
      <w:proofErr w:type="gramStart"/>
      <w:r w:rsidRPr="004264BC">
        <w:rPr>
          <w:rFonts w:ascii="Calibri" w:hAnsi="Calibri" w:cs="Calibri"/>
        </w:rPr>
        <w:t>2024;15:1428868</w:t>
      </w:r>
      <w:proofErr w:type="gramEnd"/>
      <w:r w:rsidRPr="004264BC">
        <w:rPr>
          <w:rFonts w:ascii="Calibri" w:hAnsi="Calibri" w:cs="Calibri"/>
        </w:rPr>
        <w:t>.</w:t>
      </w:r>
    </w:p>
    <w:p w14:paraId="1CEE86A0"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Sheng H, Lu J, Zhong L, Hu B, Sun X, Dong H. The correlation between albumin-corrected anion gap and prognosis in patients with acute myocardial infarction. ESC Heart Fail. 2024;11(2):826-36.</w:t>
      </w:r>
    </w:p>
    <w:p w14:paraId="05AF5E87"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Xu C, Wang G, Zhang M, </w:t>
      </w:r>
      <w:proofErr w:type="spellStart"/>
      <w:r w:rsidRPr="004264BC">
        <w:rPr>
          <w:rFonts w:ascii="Calibri" w:hAnsi="Calibri" w:cs="Calibri"/>
        </w:rPr>
        <w:t>Lv</w:t>
      </w:r>
      <w:proofErr w:type="spellEnd"/>
      <w:r w:rsidRPr="004264BC">
        <w:rPr>
          <w:rFonts w:ascii="Calibri" w:hAnsi="Calibri" w:cs="Calibri"/>
        </w:rPr>
        <w:t xml:space="preserve"> L, Chen M, Yang X. Albumin-corrected anion gap as a predictive marker for mortality in critically ill cirrhosis patients: an analysis based on the MIMIC-IV database. </w:t>
      </w:r>
      <w:proofErr w:type="spellStart"/>
      <w:r w:rsidRPr="004264BC">
        <w:rPr>
          <w:rFonts w:ascii="Calibri" w:hAnsi="Calibri" w:cs="Calibri"/>
        </w:rPr>
        <w:t>PLoS</w:t>
      </w:r>
      <w:proofErr w:type="spellEnd"/>
      <w:r w:rsidRPr="004264BC">
        <w:rPr>
          <w:rFonts w:ascii="Calibri" w:hAnsi="Calibri" w:cs="Calibri"/>
        </w:rPr>
        <w:t xml:space="preserve"> One. 2025;20(9</w:t>
      </w:r>
      <w:proofErr w:type="gramStart"/>
      <w:r w:rsidRPr="004264BC">
        <w:rPr>
          <w:rFonts w:ascii="Calibri" w:hAnsi="Calibri" w:cs="Calibri"/>
        </w:rPr>
        <w:t>):e</w:t>
      </w:r>
      <w:proofErr w:type="gramEnd"/>
      <w:r w:rsidRPr="004264BC">
        <w:rPr>
          <w:rFonts w:ascii="Calibri" w:hAnsi="Calibri" w:cs="Calibri"/>
        </w:rPr>
        <w:t>0332490.</w:t>
      </w:r>
    </w:p>
    <w:p w14:paraId="33CA0F93"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Pan Z, Lin J, </w:t>
      </w:r>
      <w:proofErr w:type="spellStart"/>
      <w:r w:rsidRPr="004264BC">
        <w:rPr>
          <w:rFonts w:ascii="Calibri" w:hAnsi="Calibri" w:cs="Calibri"/>
        </w:rPr>
        <w:t>Huo</w:t>
      </w:r>
      <w:proofErr w:type="spellEnd"/>
      <w:r w:rsidRPr="004264BC">
        <w:rPr>
          <w:rFonts w:ascii="Calibri" w:hAnsi="Calibri" w:cs="Calibri"/>
        </w:rPr>
        <w:t xml:space="preserve"> C, Yin D, Guo Q. Increased serum albumin corrected anion gap levels are associated with poor prognosis in septic patients with liver cirrhosis. Sci Rep. 2024;14(1):21510.</w:t>
      </w:r>
    </w:p>
    <w:p w14:paraId="69C44C86"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Mohr NM, </w:t>
      </w:r>
      <w:proofErr w:type="spellStart"/>
      <w:r w:rsidRPr="004264BC">
        <w:rPr>
          <w:rFonts w:ascii="Calibri" w:hAnsi="Calibri" w:cs="Calibri"/>
        </w:rPr>
        <w:t>Vakkalanka</w:t>
      </w:r>
      <w:proofErr w:type="spellEnd"/>
      <w:r w:rsidRPr="004264BC">
        <w:rPr>
          <w:rFonts w:ascii="Calibri" w:hAnsi="Calibri" w:cs="Calibri"/>
        </w:rPr>
        <w:t xml:space="preserve"> JP, </w:t>
      </w:r>
      <w:proofErr w:type="spellStart"/>
      <w:r w:rsidRPr="004264BC">
        <w:rPr>
          <w:rFonts w:ascii="Calibri" w:hAnsi="Calibri" w:cs="Calibri"/>
        </w:rPr>
        <w:t>Faine</w:t>
      </w:r>
      <w:proofErr w:type="spellEnd"/>
      <w:r w:rsidRPr="004264BC">
        <w:rPr>
          <w:rFonts w:ascii="Calibri" w:hAnsi="Calibri" w:cs="Calibri"/>
        </w:rPr>
        <w:t xml:space="preserve"> BA, </w:t>
      </w:r>
      <w:proofErr w:type="spellStart"/>
      <w:r w:rsidRPr="004264BC">
        <w:rPr>
          <w:rFonts w:ascii="Calibri" w:hAnsi="Calibri" w:cs="Calibri"/>
        </w:rPr>
        <w:t>Skow</w:t>
      </w:r>
      <w:proofErr w:type="spellEnd"/>
      <w:r w:rsidRPr="004264BC">
        <w:rPr>
          <w:rFonts w:ascii="Calibri" w:hAnsi="Calibri" w:cs="Calibri"/>
        </w:rPr>
        <w:t xml:space="preserve"> B, Harland KK, Dick-Perez R, et al. Serum anion gap predicts lactate poorly, but may be used to identify sepsis patients at risk for death: a cohort study. J Crit Care. </w:t>
      </w:r>
      <w:proofErr w:type="gramStart"/>
      <w:r w:rsidRPr="004264BC">
        <w:rPr>
          <w:rFonts w:ascii="Calibri" w:hAnsi="Calibri" w:cs="Calibri"/>
        </w:rPr>
        <w:t>2018;44:223</w:t>
      </w:r>
      <w:proofErr w:type="gramEnd"/>
      <w:r w:rsidRPr="004264BC">
        <w:rPr>
          <w:rFonts w:ascii="Calibri" w:hAnsi="Calibri" w:cs="Calibri"/>
        </w:rPr>
        <w:t>-8.</w:t>
      </w:r>
    </w:p>
    <w:p w14:paraId="2AB88D84" w14:textId="77777777" w:rsidR="004264BC" w:rsidRPr="004264BC" w:rsidRDefault="00000000" w:rsidP="004264BC">
      <w:pPr>
        <w:numPr>
          <w:ilvl w:val="0"/>
          <w:numId w:val="1"/>
        </w:numPr>
        <w:spacing w:after="0" w:line="240" w:lineRule="auto"/>
        <w:jc w:val="both"/>
        <w:rPr>
          <w:rFonts w:ascii="Calibri" w:hAnsi="Calibri" w:cs="Calibri"/>
        </w:rPr>
      </w:pPr>
      <w:proofErr w:type="spellStart"/>
      <w:r w:rsidRPr="004264BC">
        <w:rPr>
          <w:rFonts w:ascii="Calibri" w:hAnsi="Calibri" w:cs="Calibri"/>
          <w:lang w:val="pt-BR"/>
        </w:rPr>
        <w:t>Uduman</w:t>
      </w:r>
      <w:proofErr w:type="spellEnd"/>
      <w:r w:rsidRPr="004264BC">
        <w:rPr>
          <w:rFonts w:ascii="Calibri" w:hAnsi="Calibri" w:cs="Calibri"/>
          <w:lang w:val="pt-BR"/>
        </w:rPr>
        <w:t xml:space="preserve"> J, </w:t>
      </w:r>
      <w:proofErr w:type="spellStart"/>
      <w:r w:rsidRPr="004264BC">
        <w:rPr>
          <w:rFonts w:ascii="Calibri" w:hAnsi="Calibri" w:cs="Calibri"/>
          <w:lang w:val="pt-BR"/>
        </w:rPr>
        <w:t>Yee</w:t>
      </w:r>
      <w:proofErr w:type="spellEnd"/>
      <w:r w:rsidRPr="004264BC">
        <w:rPr>
          <w:rFonts w:ascii="Calibri" w:hAnsi="Calibri" w:cs="Calibri"/>
          <w:lang w:val="pt-BR"/>
        </w:rPr>
        <w:t xml:space="preserve"> J. </w:t>
      </w:r>
      <w:proofErr w:type="spellStart"/>
      <w:r w:rsidRPr="004264BC">
        <w:rPr>
          <w:rFonts w:ascii="Calibri" w:hAnsi="Calibri" w:cs="Calibri"/>
          <w:lang w:val="pt-BR"/>
        </w:rPr>
        <w:t>Pseudo-renal</w:t>
      </w:r>
      <w:proofErr w:type="spellEnd"/>
      <w:r w:rsidRPr="004264BC">
        <w:rPr>
          <w:rFonts w:ascii="Calibri" w:hAnsi="Calibri" w:cs="Calibri"/>
          <w:lang w:val="pt-BR"/>
        </w:rPr>
        <w:t xml:space="preserve"> tubular </w:t>
      </w:r>
      <w:proofErr w:type="spellStart"/>
      <w:r w:rsidRPr="004264BC">
        <w:rPr>
          <w:rFonts w:ascii="Calibri" w:hAnsi="Calibri" w:cs="Calibri"/>
          <w:lang w:val="pt-BR"/>
        </w:rPr>
        <w:t>acidosis</w:t>
      </w:r>
      <w:proofErr w:type="spellEnd"/>
      <w:r w:rsidRPr="004264BC">
        <w:rPr>
          <w:rFonts w:ascii="Calibri" w:hAnsi="Calibri" w:cs="Calibri"/>
          <w:lang w:val="pt-BR"/>
        </w:rPr>
        <w:t xml:space="preserve">: </w:t>
      </w:r>
      <w:proofErr w:type="spellStart"/>
      <w:r w:rsidRPr="004264BC">
        <w:rPr>
          <w:rFonts w:ascii="Calibri" w:hAnsi="Calibri" w:cs="Calibri"/>
          <w:lang w:val="pt-BR"/>
        </w:rPr>
        <w:t>conditions</w:t>
      </w:r>
      <w:proofErr w:type="spellEnd"/>
      <w:r w:rsidRPr="004264BC">
        <w:rPr>
          <w:rFonts w:ascii="Calibri" w:hAnsi="Calibri" w:cs="Calibri"/>
          <w:lang w:val="pt-BR"/>
        </w:rPr>
        <w:t xml:space="preserve"> </w:t>
      </w:r>
      <w:proofErr w:type="spellStart"/>
      <w:r w:rsidRPr="004264BC">
        <w:rPr>
          <w:rFonts w:ascii="Calibri" w:hAnsi="Calibri" w:cs="Calibri"/>
          <w:lang w:val="pt-BR"/>
        </w:rPr>
        <w:t>mimicking</w:t>
      </w:r>
      <w:proofErr w:type="spellEnd"/>
      <w:r w:rsidRPr="004264BC">
        <w:rPr>
          <w:rFonts w:ascii="Calibri" w:hAnsi="Calibri" w:cs="Calibri"/>
          <w:lang w:val="pt-BR"/>
        </w:rPr>
        <w:t xml:space="preserve"> renal tubular </w:t>
      </w:r>
      <w:proofErr w:type="spellStart"/>
      <w:r w:rsidRPr="004264BC">
        <w:rPr>
          <w:rFonts w:ascii="Calibri" w:hAnsi="Calibri" w:cs="Calibri"/>
          <w:lang w:val="pt-BR"/>
        </w:rPr>
        <w:t>acidosis</w:t>
      </w:r>
      <w:proofErr w:type="spellEnd"/>
      <w:r w:rsidRPr="004264BC">
        <w:rPr>
          <w:rFonts w:ascii="Calibri" w:hAnsi="Calibri" w:cs="Calibri"/>
          <w:lang w:val="pt-BR"/>
        </w:rPr>
        <w:t xml:space="preserve">. </w:t>
      </w:r>
      <w:r w:rsidRPr="004264BC">
        <w:rPr>
          <w:rFonts w:ascii="Calibri" w:hAnsi="Calibri" w:cs="Calibri"/>
        </w:rPr>
        <w:t>Adv Chronic Kidney Dis. 2018;25(4):358-65.</w:t>
      </w:r>
    </w:p>
    <w:p w14:paraId="0519DCD2"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lastRenderedPageBreak/>
        <w:t xml:space="preserve">Pan P, Zhao L, </w:t>
      </w:r>
      <w:proofErr w:type="spellStart"/>
      <w:r w:rsidRPr="004264BC">
        <w:rPr>
          <w:rFonts w:ascii="Calibri" w:hAnsi="Calibri" w:cs="Calibri"/>
        </w:rPr>
        <w:t>Su</w:t>
      </w:r>
      <w:proofErr w:type="spellEnd"/>
      <w:r w:rsidRPr="004264BC">
        <w:rPr>
          <w:rFonts w:ascii="Calibri" w:hAnsi="Calibri" w:cs="Calibri"/>
        </w:rPr>
        <w:t xml:space="preserve"> F, Chao Y, editors. Molecular mechanisms and clinical studies of multi-organ dysfunction in sepsis associated with pathogenic microbial infection. Lausanne: Frontiers Media SA; 2026.</w:t>
      </w:r>
    </w:p>
    <w:p w14:paraId="4C390BED"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Lou J, Xiang Z, Zhu X, Fan Y, Song J, Cui S, et al. A retrospective study utilized MIMIC-IV database to explore the potential association between triglyceride-glucose index and mortality in critically ill patients with sepsis. Sci Rep. 2024;14(1):24081.</w:t>
      </w:r>
    </w:p>
    <w:p w14:paraId="438B604F"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Deng H, Wang P, Liu M. The prognostic value of pulmonary hypertension in intensive care unit patients from Beth Israel Deaconess Medical Center (BIDMC). J </w:t>
      </w:r>
      <w:proofErr w:type="spellStart"/>
      <w:r w:rsidRPr="004264BC">
        <w:rPr>
          <w:rFonts w:ascii="Calibri" w:hAnsi="Calibri" w:cs="Calibri"/>
        </w:rPr>
        <w:t>Cardiothorac</w:t>
      </w:r>
      <w:proofErr w:type="spellEnd"/>
      <w:r w:rsidRPr="004264BC">
        <w:rPr>
          <w:rFonts w:ascii="Calibri" w:hAnsi="Calibri" w:cs="Calibri"/>
        </w:rPr>
        <w:t xml:space="preserve"> Surg. 2025;20(1):29.</w:t>
      </w:r>
    </w:p>
    <w:p w14:paraId="54FA8F0A"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Hu T, Zhang Z, Jiang Y. Albumin corrected anion gap for predicting in-hospital mortality among intensive care patients with sepsis: a retrospective propensity </w:t>
      </w:r>
      <w:proofErr w:type="gramStart"/>
      <w:r w:rsidRPr="004264BC">
        <w:rPr>
          <w:rFonts w:ascii="Calibri" w:hAnsi="Calibri" w:cs="Calibri"/>
        </w:rPr>
        <w:t>score</w:t>
      </w:r>
      <w:proofErr w:type="gramEnd"/>
      <w:r w:rsidRPr="004264BC">
        <w:rPr>
          <w:rFonts w:ascii="Calibri" w:hAnsi="Calibri" w:cs="Calibri"/>
        </w:rPr>
        <w:t xml:space="preserve"> matching analysis. Clin </w:t>
      </w:r>
      <w:proofErr w:type="spellStart"/>
      <w:r w:rsidRPr="004264BC">
        <w:rPr>
          <w:rFonts w:ascii="Calibri" w:hAnsi="Calibri" w:cs="Calibri"/>
        </w:rPr>
        <w:t>Chim</w:t>
      </w:r>
      <w:proofErr w:type="spellEnd"/>
      <w:r w:rsidRPr="004264BC">
        <w:rPr>
          <w:rFonts w:ascii="Calibri" w:hAnsi="Calibri" w:cs="Calibri"/>
        </w:rPr>
        <w:t xml:space="preserve"> Acta. </w:t>
      </w:r>
      <w:proofErr w:type="gramStart"/>
      <w:r w:rsidRPr="004264BC">
        <w:rPr>
          <w:rFonts w:ascii="Calibri" w:hAnsi="Calibri" w:cs="Calibri"/>
        </w:rPr>
        <w:t>2021;521:272</w:t>
      </w:r>
      <w:proofErr w:type="gramEnd"/>
      <w:r w:rsidRPr="004264BC">
        <w:rPr>
          <w:rFonts w:ascii="Calibri" w:hAnsi="Calibri" w:cs="Calibri"/>
        </w:rPr>
        <w:t>-7.</w:t>
      </w:r>
    </w:p>
    <w:p w14:paraId="2B4E5265"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Guo H, Wang J. Association between albumin-corrected anion gap and in-hospital mortality and sepsis-associated acute kidney injury. Med Sci </w:t>
      </w:r>
      <w:proofErr w:type="spellStart"/>
      <w:r w:rsidRPr="004264BC">
        <w:rPr>
          <w:rFonts w:ascii="Calibri" w:hAnsi="Calibri" w:cs="Calibri"/>
        </w:rPr>
        <w:t>Monit</w:t>
      </w:r>
      <w:proofErr w:type="spellEnd"/>
      <w:r w:rsidRPr="004264BC">
        <w:rPr>
          <w:rFonts w:ascii="Calibri" w:hAnsi="Calibri" w:cs="Calibri"/>
        </w:rPr>
        <w:t>. 2024;</w:t>
      </w:r>
      <w:proofErr w:type="gramStart"/>
      <w:r w:rsidRPr="004264BC">
        <w:rPr>
          <w:rFonts w:ascii="Calibri" w:hAnsi="Calibri" w:cs="Calibri"/>
        </w:rPr>
        <w:t>30:e</w:t>
      </w:r>
      <w:proofErr w:type="gramEnd"/>
      <w:r w:rsidRPr="004264BC">
        <w:rPr>
          <w:rFonts w:ascii="Calibri" w:hAnsi="Calibri" w:cs="Calibri"/>
        </w:rPr>
        <w:t>943012.</w:t>
      </w:r>
    </w:p>
    <w:p w14:paraId="76BBA569"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Pan Z, Lin J, </w:t>
      </w:r>
      <w:proofErr w:type="spellStart"/>
      <w:r w:rsidRPr="004264BC">
        <w:rPr>
          <w:rFonts w:ascii="Calibri" w:hAnsi="Calibri" w:cs="Calibri"/>
        </w:rPr>
        <w:t>Huo</w:t>
      </w:r>
      <w:proofErr w:type="spellEnd"/>
      <w:r w:rsidRPr="004264BC">
        <w:rPr>
          <w:rFonts w:ascii="Calibri" w:hAnsi="Calibri" w:cs="Calibri"/>
        </w:rPr>
        <w:t xml:space="preserve"> C, Yin D, Guo Q. Increased serum albumin corrected anion gap levels are associated with poor prognosis in septic patients with liver cirrhosis. Sci Rep. 2024;14(1):21510.</w:t>
      </w:r>
    </w:p>
    <w:p w14:paraId="17C59A3E"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Zhou Q, Miao Y, Wang P, Li F, Li J, Li N. Association between albumin corrected anion gap and mortality in septic older adults. </w:t>
      </w:r>
      <w:proofErr w:type="spellStart"/>
      <w:r w:rsidRPr="004264BC">
        <w:rPr>
          <w:rFonts w:ascii="Calibri" w:hAnsi="Calibri" w:cs="Calibri"/>
        </w:rPr>
        <w:t>Geriatr</w:t>
      </w:r>
      <w:proofErr w:type="spellEnd"/>
      <w:r w:rsidRPr="004264BC">
        <w:rPr>
          <w:rFonts w:ascii="Calibri" w:hAnsi="Calibri" w:cs="Calibri"/>
        </w:rPr>
        <w:t xml:space="preserve"> </w:t>
      </w:r>
      <w:proofErr w:type="spellStart"/>
      <w:r w:rsidRPr="004264BC">
        <w:rPr>
          <w:rFonts w:ascii="Calibri" w:hAnsi="Calibri" w:cs="Calibri"/>
        </w:rPr>
        <w:t>Nurs</w:t>
      </w:r>
      <w:proofErr w:type="spellEnd"/>
      <w:r w:rsidRPr="004264BC">
        <w:rPr>
          <w:rFonts w:ascii="Calibri" w:hAnsi="Calibri" w:cs="Calibri"/>
        </w:rPr>
        <w:t xml:space="preserve">. </w:t>
      </w:r>
      <w:proofErr w:type="gramStart"/>
      <w:r w:rsidRPr="004264BC">
        <w:rPr>
          <w:rFonts w:ascii="Calibri" w:hAnsi="Calibri" w:cs="Calibri"/>
        </w:rPr>
        <w:t>2024;60:580</w:t>
      </w:r>
      <w:proofErr w:type="gramEnd"/>
      <w:r w:rsidRPr="004264BC">
        <w:rPr>
          <w:rFonts w:ascii="Calibri" w:hAnsi="Calibri" w:cs="Calibri"/>
        </w:rPr>
        <w:t>-5.</w:t>
      </w:r>
    </w:p>
    <w:p w14:paraId="12BB01FC"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Lou Z, Zeng F, Huang W, Xiao L, Zou K, Zhou H. Association between the anion-gap and 28-day mortality in critically ill adult patients with sepsis: a retrospective cohort study. Medicine (Baltimore). 2024;103(30</w:t>
      </w:r>
      <w:proofErr w:type="gramStart"/>
      <w:r w:rsidRPr="004264BC">
        <w:rPr>
          <w:rFonts w:ascii="Calibri" w:hAnsi="Calibri" w:cs="Calibri"/>
        </w:rPr>
        <w:t>):e</w:t>
      </w:r>
      <w:proofErr w:type="gramEnd"/>
      <w:r w:rsidRPr="004264BC">
        <w:rPr>
          <w:rFonts w:ascii="Calibri" w:hAnsi="Calibri" w:cs="Calibri"/>
        </w:rPr>
        <w:t>39029.</w:t>
      </w:r>
    </w:p>
    <w:p w14:paraId="2B47E2A3" w14:textId="77777777" w:rsidR="004264BC" w:rsidRPr="004264BC" w:rsidRDefault="00000000" w:rsidP="004264BC">
      <w:pPr>
        <w:numPr>
          <w:ilvl w:val="0"/>
          <w:numId w:val="1"/>
        </w:numPr>
        <w:spacing w:after="0" w:line="240" w:lineRule="auto"/>
        <w:jc w:val="both"/>
        <w:rPr>
          <w:rFonts w:ascii="Calibri" w:hAnsi="Calibri" w:cs="Calibri"/>
        </w:rPr>
      </w:pPr>
      <w:proofErr w:type="spellStart"/>
      <w:r w:rsidRPr="004264BC">
        <w:rPr>
          <w:rFonts w:ascii="Calibri" w:hAnsi="Calibri" w:cs="Calibri"/>
        </w:rPr>
        <w:t>Maciel</w:t>
      </w:r>
      <w:proofErr w:type="spellEnd"/>
      <w:r w:rsidRPr="004264BC">
        <w:rPr>
          <w:rFonts w:ascii="Calibri" w:hAnsi="Calibri" w:cs="Calibri"/>
        </w:rPr>
        <w:t xml:space="preserve"> AT. Severe metabolic alkalosis due to the combination of unmeasured cations and </w:t>
      </w:r>
      <w:proofErr w:type="spellStart"/>
      <w:r w:rsidRPr="004264BC">
        <w:rPr>
          <w:rFonts w:ascii="Calibri" w:hAnsi="Calibri" w:cs="Calibri"/>
        </w:rPr>
        <w:t>hypochloraemia</w:t>
      </w:r>
      <w:proofErr w:type="spellEnd"/>
      <w:r w:rsidRPr="004264BC">
        <w:rPr>
          <w:rFonts w:ascii="Calibri" w:hAnsi="Calibri" w:cs="Calibri"/>
        </w:rPr>
        <w:t xml:space="preserve"> in a patient with </w:t>
      </w:r>
      <w:proofErr w:type="spellStart"/>
      <w:r w:rsidRPr="004264BC">
        <w:rPr>
          <w:rFonts w:ascii="Calibri" w:hAnsi="Calibri" w:cs="Calibri"/>
        </w:rPr>
        <w:t>gastroparesia</w:t>
      </w:r>
      <w:proofErr w:type="spellEnd"/>
      <w:r w:rsidRPr="004264BC">
        <w:rPr>
          <w:rFonts w:ascii="Calibri" w:hAnsi="Calibri" w:cs="Calibri"/>
        </w:rPr>
        <w:t xml:space="preserve"> and frequent emesis. BMJ Case Rep. 2009;</w:t>
      </w:r>
      <w:proofErr w:type="gramStart"/>
      <w:r w:rsidRPr="004264BC">
        <w:rPr>
          <w:rFonts w:ascii="Calibri" w:hAnsi="Calibri" w:cs="Calibri"/>
        </w:rPr>
        <w:t>2009:bcr</w:t>
      </w:r>
      <w:proofErr w:type="gramEnd"/>
      <w:r w:rsidRPr="004264BC">
        <w:rPr>
          <w:rFonts w:ascii="Calibri" w:hAnsi="Calibri" w:cs="Calibri"/>
        </w:rPr>
        <w:t>09.2008.1011.</w:t>
      </w:r>
    </w:p>
    <w:p w14:paraId="7FCE42A1" w14:textId="77777777" w:rsidR="004264BC" w:rsidRPr="004264BC" w:rsidRDefault="00000000" w:rsidP="004264BC">
      <w:pPr>
        <w:numPr>
          <w:ilvl w:val="0"/>
          <w:numId w:val="1"/>
        </w:numPr>
        <w:spacing w:after="0" w:line="240" w:lineRule="auto"/>
        <w:jc w:val="both"/>
        <w:rPr>
          <w:rFonts w:ascii="Calibri" w:hAnsi="Calibri" w:cs="Calibri"/>
        </w:rPr>
      </w:pPr>
      <w:proofErr w:type="spellStart"/>
      <w:r w:rsidRPr="004264BC">
        <w:rPr>
          <w:rFonts w:ascii="Calibri" w:hAnsi="Calibri" w:cs="Calibri"/>
        </w:rPr>
        <w:t>Samanta</w:t>
      </w:r>
      <w:proofErr w:type="spellEnd"/>
      <w:r w:rsidRPr="004264BC">
        <w:rPr>
          <w:rFonts w:ascii="Calibri" w:hAnsi="Calibri" w:cs="Calibri"/>
        </w:rPr>
        <w:t xml:space="preserve"> S, Singh RK, </w:t>
      </w:r>
      <w:proofErr w:type="spellStart"/>
      <w:r w:rsidRPr="004264BC">
        <w:rPr>
          <w:rFonts w:ascii="Calibri" w:hAnsi="Calibri" w:cs="Calibri"/>
        </w:rPr>
        <w:t>Baronia</w:t>
      </w:r>
      <w:proofErr w:type="spellEnd"/>
      <w:r w:rsidRPr="004264BC">
        <w:rPr>
          <w:rFonts w:ascii="Calibri" w:hAnsi="Calibri" w:cs="Calibri"/>
        </w:rPr>
        <w:t xml:space="preserve"> AK, Mishra P, Poddar B, Azim A, et al. Early pH change predicts intensive care unit mortality. Indian J Crit Care Med. 2018;22(10):697-705.</w:t>
      </w:r>
    </w:p>
    <w:p w14:paraId="26DF1C44" w14:textId="77777777" w:rsidR="004264BC" w:rsidRPr="004264BC" w:rsidRDefault="00000000" w:rsidP="004264BC">
      <w:pPr>
        <w:numPr>
          <w:ilvl w:val="0"/>
          <w:numId w:val="1"/>
        </w:numPr>
        <w:spacing w:after="0" w:line="240" w:lineRule="auto"/>
        <w:jc w:val="both"/>
        <w:rPr>
          <w:rFonts w:ascii="Calibri" w:hAnsi="Calibri" w:cs="Calibri"/>
        </w:rPr>
      </w:pPr>
      <w:proofErr w:type="spellStart"/>
      <w:r w:rsidRPr="004264BC">
        <w:rPr>
          <w:rFonts w:ascii="Calibri" w:hAnsi="Calibri" w:cs="Calibri"/>
        </w:rPr>
        <w:t>Achanti</w:t>
      </w:r>
      <w:proofErr w:type="spellEnd"/>
      <w:r w:rsidRPr="004264BC">
        <w:rPr>
          <w:rFonts w:ascii="Calibri" w:hAnsi="Calibri" w:cs="Calibri"/>
        </w:rPr>
        <w:t xml:space="preserve"> A, </w:t>
      </w:r>
      <w:proofErr w:type="spellStart"/>
      <w:r w:rsidRPr="004264BC">
        <w:rPr>
          <w:rFonts w:ascii="Calibri" w:hAnsi="Calibri" w:cs="Calibri"/>
        </w:rPr>
        <w:t>Szerlip</w:t>
      </w:r>
      <w:proofErr w:type="spellEnd"/>
      <w:r w:rsidRPr="004264BC">
        <w:rPr>
          <w:rFonts w:ascii="Calibri" w:hAnsi="Calibri" w:cs="Calibri"/>
        </w:rPr>
        <w:t xml:space="preserve"> HM. Acid-base disorders in the critically ill patient. Clin J Am Soc Nephrol. 2023;18(1):102-12.</w:t>
      </w:r>
    </w:p>
    <w:p w14:paraId="584C2741"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Liu G, Lu J, Sun W, Jia G, Zhao H, Chen X, et al. Alpha-ketoglutaric acid attenuates oxidative stress and modulates mitochondrial dynamics and autophagy of spleen in a piglet model of lipopolysaccharide-induced sepsis. Free </w:t>
      </w:r>
      <w:proofErr w:type="spellStart"/>
      <w:r w:rsidRPr="004264BC">
        <w:rPr>
          <w:rFonts w:ascii="Calibri" w:hAnsi="Calibri" w:cs="Calibri"/>
        </w:rPr>
        <w:t>Radic</w:t>
      </w:r>
      <w:proofErr w:type="spellEnd"/>
      <w:r w:rsidRPr="004264BC">
        <w:rPr>
          <w:rFonts w:ascii="Calibri" w:hAnsi="Calibri" w:cs="Calibri"/>
        </w:rPr>
        <w:t xml:space="preserve"> Biol Med. </w:t>
      </w:r>
      <w:proofErr w:type="gramStart"/>
      <w:r w:rsidRPr="004264BC">
        <w:rPr>
          <w:rFonts w:ascii="Calibri" w:hAnsi="Calibri" w:cs="Calibri"/>
        </w:rPr>
        <w:t>2024;214:80</w:t>
      </w:r>
      <w:proofErr w:type="gramEnd"/>
      <w:r w:rsidRPr="004264BC">
        <w:rPr>
          <w:rFonts w:ascii="Calibri" w:hAnsi="Calibri" w:cs="Calibri"/>
        </w:rPr>
        <w:t>-6.</w:t>
      </w:r>
    </w:p>
    <w:p w14:paraId="7C8ADE8C"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Kong D, </w:t>
      </w:r>
      <w:proofErr w:type="spellStart"/>
      <w:r w:rsidRPr="004264BC">
        <w:rPr>
          <w:rFonts w:ascii="Calibri" w:hAnsi="Calibri" w:cs="Calibri"/>
        </w:rPr>
        <w:t>WillsonShirkey</w:t>
      </w:r>
      <w:proofErr w:type="spellEnd"/>
      <w:r w:rsidRPr="004264BC">
        <w:rPr>
          <w:rFonts w:ascii="Calibri" w:hAnsi="Calibri" w:cs="Calibri"/>
        </w:rPr>
        <w:t xml:space="preserve"> M, Piao W, Wu L, Luo S, </w:t>
      </w:r>
      <w:proofErr w:type="spellStart"/>
      <w:r w:rsidRPr="004264BC">
        <w:rPr>
          <w:rFonts w:ascii="Calibri" w:hAnsi="Calibri" w:cs="Calibri"/>
        </w:rPr>
        <w:t>Kensiski</w:t>
      </w:r>
      <w:proofErr w:type="spellEnd"/>
      <w:r w:rsidRPr="004264BC">
        <w:rPr>
          <w:rFonts w:ascii="Calibri" w:hAnsi="Calibri" w:cs="Calibri"/>
        </w:rPr>
        <w:t xml:space="preserve"> A, et al. Metabolic reprogramming of fibroblastic reticular cells in immunity and tolerance. </w:t>
      </w:r>
      <w:proofErr w:type="spellStart"/>
      <w:r w:rsidRPr="004264BC">
        <w:rPr>
          <w:rFonts w:ascii="Calibri" w:hAnsi="Calibri" w:cs="Calibri"/>
        </w:rPr>
        <w:t>Eur</w:t>
      </w:r>
      <w:proofErr w:type="spellEnd"/>
      <w:r w:rsidRPr="004264BC">
        <w:rPr>
          <w:rFonts w:ascii="Calibri" w:hAnsi="Calibri" w:cs="Calibri"/>
        </w:rPr>
        <w:t xml:space="preserve"> J Immunol. </w:t>
      </w:r>
      <w:proofErr w:type="gramStart"/>
      <w:r w:rsidRPr="004264BC">
        <w:rPr>
          <w:rFonts w:ascii="Calibri" w:hAnsi="Calibri" w:cs="Calibri"/>
        </w:rPr>
        <w:t>2024;Epub</w:t>
      </w:r>
      <w:proofErr w:type="gramEnd"/>
      <w:r w:rsidRPr="004264BC">
        <w:rPr>
          <w:rFonts w:ascii="Calibri" w:hAnsi="Calibri" w:cs="Calibri"/>
        </w:rPr>
        <w:t xml:space="preserve"> ahead of print.</w:t>
      </w:r>
    </w:p>
    <w:p w14:paraId="76889D50"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Tong T, Guo Y, Wang Q, Sun X, Sun Z, Yang Y, et al. Development and validation of a nomogram to predict survival in septic patients with heart failure in the intensive care unit. Sci Rep. 2025;15(1):909.</w:t>
      </w:r>
    </w:p>
    <w:p w14:paraId="7207FB06" w14:textId="77777777" w:rsidR="004264BC" w:rsidRPr="004264BC" w:rsidRDefault="00000000" w:rsidP="004264BC">
      <w:pPr>
        <w:numPr>
          <w:ilvl w:val="0"/>
          <w:numId w:val="1"/>
        </w:numPr>
        <w:spacing w:after="0" w:line="240" w:lineRule="auto"/>
        <w:jc w:val="both"/>
        <w:rPr>
          <w:rFonts w:ascii="Calibri" w:hAnsi="Calibri" w:cs="Calibri"/>
        </w:rPr>
      </w:pPr>
      <w:proofErr w:type="spellStart"/>
      <w:r w:rsidRPr="004264BC">
        <w:rPr>
          <w:rFonts w:ascii="Calibri" w:hAnsi="Calibri" w:cs="Calibri"/>
        </w:rPr>
        <w:t>Samavarchitehrani</w:t>
      </w:r>
      <w:proofErr w:type="spellEnd"/>
      <w:r w:rsidRPr="004264BC">
        <w:rPr>
          <w:rFonts w:ascii="Calibri" w:hAnsi="Calibri" w:cs="Calibri"/>
        </w:rPr>
        <w:t xml:space="preserve"> A, </w:t>
      </w:r>
      <w:proofErr w:type="spellStart"/>
      <w:r w:rsidRPr="004264BC">
        <w:rPr>
          <w:rFonts w:ascii="Calibri" w:hAnsi="Calibri" w:cs="Calibri"/>
        </w:rPr>
        <w:t>Norouzi</w:t>
      </w:r>
      <w:proofErr w:type="spellEnd"/>
      <w:r w:rsidRPr="004264BC">
        <w:rPr>
          <w:rFonts w:ascii="Calibri" w:hAnsi="Calibri" w:cs="Calibri"/>
        </w:rPr>
        <w:t xml:space="preserve"> M, </w:t>
      </w:r>
      <w:proofErr w:type="spellStart"/>
      <w:r w:rsidRPr="004264BC">
        <w:rPr>
          <w:rFonts w:ascii="Calibri" w:hAnsi="Calibri" w:cs="Calibri"/>
        </w:rPr>
        <w:t>Khalaji</w:t>
      </w:r>
      <w:proofErr w:type="spellEnd"/>
      <w:r w:rsidRPr="004264BC">
        <w:rPr>
          <w:rFonts w:ascii="Calibri" w:hAnsi="Calibri" w:cs="Calibri"/>
        </w:rPr>
        <w:t xml:space="preserve"> A, </w:t>
      </w:r>
      <w:proofErr w:type="spellStart"/>
      <w:r w:rsidRPr="004264BC">
        <w:rPr>
          <w:rFonts w:ascii="Calibri" w:hAnsi="Calibri" w:cs="Calibri"/>
        </w:rPr>
        <w:t>Ghondaghsaz</w:t>
      </w:r>
      <w:proofErr w:type="spellEnd"/>
      <w:r w:rsidRPr="004264BC">
        <w:rPr>
          <w:rFonts w:ascii="Calibri" w:hAnsi="Calibri" w:cs="Calibri"/>
        </w:rPr>
        <w:t xml:space="preserve"> E, </w:t>
      </w:r>
      <w:proofErr w:type="spellStart"/>
      <w:r w:rsidRPr="004264BC">
        <w:rPr>
          <w:rFonts w:ascii="Calibri" w:hAnsi="Calibri" w:cs="Calibri"/>
        </w:rPr>
        <w:t>Behnoush</w:t>
      </w:r>
      <w:proofErr w:type="spellEnd"/>
      <w:r w:rsidRPr="004264BC">
        <w:rPr>
          <w:rFonts w:ascii="Calibri" w:hAnsi="Calibri" w:cs="Calibri"/>
        </w:rPr>
        <w:t xml:space="preserve"> AH. Prognostic value of anion gap for patients with heart failure: a systematic review and meta-analysis. BMC Cardiovasc </w:t>
      </w:r>
      <w:proofErr w:type="spellStart"/>
      <w:r w:rsidRPr="004264BC">
        <w:rPr>
          <w:rFonts w:ascii="Calibri" w:hAnsi="Calibri" w:cs="Calibri"/>
        </w:rPr>
        <w:t>Disord</w:t>
      </w:r>
      <w:proofErr w:type="spellEnd"/>
      <w:r w:rsidRPr="004264BC">
        <w:rPr>
          <w:rFonts w:ascii="Calibri" w:hAnsi="Calibri" w:cs="Calibri"/>
        </w:rPr>
        <w:t>. 2024;24(1):727.</w:t>
      </w:r>
    </w:p>
    <w:p w14:paraId="373603DA"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lang w:val="pt-BR"/>
        </w:rPr>
        <w:t xml:space="preserve">Silva JBNF, </w:t>
      </w:r>
      <w:proofErr w:type="spellStart"/>
      <w:r w:rsidRPr="004264BC">
        <w:rPr>
          <w:rFonts w:ascii="Calibri" w:hAnsi="Calibri" w:cs="Calibri"/>
          <w:lang w:val="pt-BR"/>
        </w:rPr>
        <w:t>Calcia</w:t>
      </w:r>
      <w:proofErr w:type="spellEnd"/>
      <w:r w:rsidRPr="004264BC">
        <w:rPr>
          <w:rFonts w:ascii="Calibri" w:hAnsi="Calibri" w:cs="Calibri"/>
          <w:lang w:val="pt-BR"/>
        </w:rPr>
        <w:t xml:space="preserve"> TBB, Silva CP, Guilherme RF, Almeida-Souza F, Lemos FS, et al. </w:t>
      </w:r>
      <w:r w:rsidRPr="004264BC">
        <w:rPr>
          <w:rFonts w:ascii="Calibri" w:hAnsi="Calibri" w:cs="Calibri"/>
        </w:rPr>
        <w:t>ATRvD1 attenuates renal tubulointerstitial injury induced by albumin overload in sepsis-surviving mice. Int J Mol Sci. 2021;22(21):11634.</w:t>
      </w:r>
    </w:p>
    <w:p w14:paraId="2E3E809D"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lastRenderedPageBreak/>
        <w:t xml:space="preserve">Derigs M, </w:t>
      </w:r>
      <w:proofErr w:type="spellStart"/>
      <w:r w:rsidRPr="004264BC">
        <w:rPr>
          <w:rFonts w:ascii="Calibri" w:hAnsi="Calibri" w:cs="Calibri"/>
        </w:rPr>
        <w:t>Heers</w:t>
      </w:r>
      <w:proofErr w:type="spellEnd"/>
      <w:r w:rsidRPr="004264BC">
        <w:rPr>
          <w:rFonts w:ascii="Calibri" w:hAnsi="Calibri" w:cs="Calibri"/>
        </w:rPr>
        <w:t xml:space="preserve"> H, </w:t>
      </w:r>
      <w:proofErr w:type="spellStart"/>
      <w:r w:rsidRPr="004264BC">
        <w:rPr>
          <w:rFonts w:ascii="Calibri" w:hAnsi="Calibri" w:cs="Calibri"/>
        </w:rPr>
        <w:t>Lingelbach</w:t>
      </w:r>
      <w:proofErr w:type="spellEnd"/>
      <w:r w:rsidRPr="004264BC">
        <w:rPr>
          <w:rFonts w:ascii="Calibri" w:hAnsi="Calibri" w:cs="Calibri"/>
        </w:rPr>
        <w:t xml:space="preserve"> S, Hofmann R, </w:t>
      </w:r>
      <w:proofErr w:type="spellStart"/>
      <w:r w:rsidRPr="004264BC">
        <w:rPr>
          <w:rFonts w:ascii="Calibri" w:hAnsi="Calibri" w:cs="Calibri"/>
        </w:rPr>
        <w:t>Hänze</w:t>
      </w:r>
      <w:proofErr w:type="spellEnd"/>
      <w:r w:rsidRPr="004264BC">
        <w:rPr>
          <w:rFonts w:ascii="Calibri" w:hAnsi="Calibri" w:cs="Calibri"/>
        </w:rPr>
        <w:t xml:space="preserve"> J. Soluble PD-L1 in blood correlates positively with neutrophil and negatively with lymphocyte mRNA markers and implies adverse sepsis outcome. Immunol Res. 2022;70(5):698-707.</w:t>
      </w:r>
    </w:p>
    <w:p w14:paraId="2ED8C647"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Lou J, Cui S, Huang N, </w:t>
      </w:r>
      <w:proofErr w:type="spellStart"/>
      <w:r w:rsidRPr="004264BC">
        <w:rPr>
          <w:rFonts w:ascii="Calibri" w:hAnsi="Calibri" w:cs="Calibri"/>
        </w:rPr>
        <w:t>Jin</w:t>
      </w:r>
      <w:proofErr w:type="spellEnd"/>
      <w:r w:rsidRPr="004264BC">
        <w:rPr>
          <w:rFonts w:ascii="Calibri" w:hAnsi="Calibri" w:cs="Calibri"/>
        </w:rPr>
        <w:t xml:space="preserve"> G, Chen C, Fan Y, et al. Efficacy of probiotics or </w:t>
      </w:r>
      <w:proofErr w:type="spellStart"/>
      <w:r w:rsidRPr="004264BC">
        <w:rPr>
          <w:rFonts w:ascii="Calibri" w:hAnsi="Calibri" w:cs="Calibri"/>
        </w:rPr>
        <w:t>synbiotics</w:t>
      </w:r>
      <w:proofErr w:type="spellEnd"/>
      <w:r w:rsidRPr="004264BC">
        <w:rPr>
          <w:rFonts w:ascii="Calibri" w:hAnsi="Calibri" w:cs="Calibri"/>
        </w:rPr>
        <w:t xml:space="preserve"> in critically ill patients: a systematic review and meta-analysis. Clin </w:t>
      </w:r>
      <w:proofErr w:type="spellStart"/>
      <w:r w:rsidRPr="004264BC">
        <w:rPr>
          <w:rFonts w:ascii="Calibri" w:hAnsi="Calibri" w:cs="Calibri"/>
        </w:rPr>
        <w:t>Nutr</w:t>
      </w:r>
      <w:proofErr w:type="spellEnd"/>
      <w:r w:rsidRPr="004264BC">
        <w:rPr>
          <w:rFonts w:ascii="Calibri" w:hAnsi="Calibri" w:cs="Calibri"/>
        </w:rPr>
        <w:t xml:space="preserve"> ESPEN. </w:t>
      </w:r>
      <w:proofErr w:type="gramStart"/>
      <w:r w:rsidRPr="004264BC">
        <w:rPr>
          <w:rFonts w:ascii="Calibri" w:hAnsi="Calibri" w:cs="Calibri"/>
        </w:rPr>
        <w:t>2024;59:48</w:t>
      </w:r>
      <w:proofErr w:type="gramEnd"/>
      <w:r w:rsidRPr="004264BC">
        <w:rPr>
          <w:rFonts w:ascii="Calibri" w:hAnsi="Calibri" w:cs="Calibri"/>
        </w:rPr>
        <w:t>-62.</w:t>
      </w:r>
    </w:p>
    <w:p w14:paraId="4D3B50F5"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Greenhalgh DG. Current thoughts on burn resuscitation. Adv Surg. 2024;58(1):1-17.</w:t>
      </w:r>
    </w:p>
    <w:p w14:paraId="779DA58F"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Abedi F, </w:t>
      </w:r>
      <w:proofErr w:type="spellStart"/>
      <w:r w:rsidRPr="004264BC">
        <w:rPr>
          <w:rFonts w:ascii="Calibri" w:hAnsi="Calibri" w:cs="Calibri"/>
        </w:rPr>
        <w:t>Zarei</w:t>
      </w:r>
      <w:proofErr w:type="spellEnd"/>
      <w:r w:rsidRPr="004264BC">
        <w:rPr>
          <w:rFonts w:ascii="Calibri" w:hAnsi="Calibri" w:cs="Calibri"/>
        </w:rPr>
        <w:t xml:space="preserve"> B, </w:t>
      </w:r>
      <w:proofErr w:type="spellStart"/>
      <w:r w:rsidRPr="004264BC">
        <w:rPr>
          <w:rFonts w:ascii="Calibri" w:hAnsi="Calibri" w:cs="Calibri"/>
        </w:rPr>
        <w:t>Elyasi</w:t>
      </w:r>
      <w:proofErr w:type="spellEnd"/>
      <w:r w:rsidRPr="004264BC">
        <w:rPr>
          <w:rFonts w:ascii="Calibri" w:hAnsi="Calibri" w:cs="Calibri"/>
        </w:rPr>
        <w:t xml:space="preserve"> S. Albumin: a comprehensive review and practical guideline for clinical use. </w:t>
      </w:r>
      <w:proofErr w:type="spellStart"/>
      <w:r w:rsidRPr="004264BC">
        <w:rPr>
          <w:rFonts w:ascii="Calibri" w:hAnsi="Calibri" w:cs="Calibri"/>
        </w:rPr>
        <w:t>Eur</w:t>
      </w:r>
      <w:proofErr w:type="spellEnd"/>
      <w:r w:rsidRPr="004264BC">
        <w:rPr>
          <w:rFonts w:ascii="Calibri" w:hAnsi="Calibri" w:cs="Calibri"/>
        </w:rPr>
        <w:t xml:space="preserve"> J Clin </w:t>
      </w:r>
      <w:proofErr w:type="spellStart"/>
      <w:r w:rsidRPr="004264BC">
        <w:rPr>
          <w:rFonts w:ascii="Calibri" w:hAnsi="Calibri" w:cs="Calibri"/>
        </w:rPr>
        <w:t>Pharmacol</w:t>
      </w:r>
      <w:proofErr w:type="spellEnd"/>
      <w:r w:rsidRPr="004264BC">
        <w:rPr>
          <w:rFonts w:ascii="Calibri" w:hAnsi="Calibri" w:cs="Calibri"/>
        </w:rPr>
        <w:t>. 2024;80(8):1151-69.</w:t>
      </w:r>
    </w:p>
    <w:p w14:paraId="75E567FD"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Kaneko M, Hagiwara S, Aoki M, Murata M, Nakajima J, </w:t>
      </w:r>
      <w:proofErr w:type="spellStart"/>
      <w:r w:rsidRPr="004264BC">
        <w:rPr>
          <w:rFonts w:ascii="Calibri" w:hAnsi="Calibri" w:cs="Calibri"/>
        </w:rPr>
        <w:t>Oshima</w:t>
      </w:r>
      <w:proofErr w:type="spellEnd"/>
      <w:r w:rsidRPr="004264BC">
        <w:rPr>
          <w:rFonts w:ascii="Calibri" w:hAnsi="Calibri" w:cs="Calibri"/>
        </w:rPr>
        <w:t xml:space="preserve"> K. The significance of strong ion gap for predicting return of spontaneous circulation in patients with cardiopulmonary arrest. Open Med (Wars). </w:t>
      </w:r>
      <w:proofErr w:type="gramStart"/>
      <w:r w:rsidRPr="004264BC">
        <w:rPr>
          <w:rFonts w:ascii="Calibri" w:hAnsi="Calibri" w:cs="Calibri"/>
        </w:rPr>
        <w:t>2017;12:33</w:t>
      </w:r>
      <w:proofErr w:type="gramEnd"/>
      <w:r w:rsidRPr="004264BC">
        <w:rPr>
          <w:rFonts w:ascii="Calibri" w:hAnsi="Calibri" w:cs="Calibri"/>
        </w:rPr>
        <w:t>-8.</w:t>
      </w:r>
    </w:p>
    <w:p w14:paraId="7CD35DA7" w14:textId="77777777" w:rsidR="004264BC" w:rsidRPr="004264BC" w:rsidRDefault="00000000" w:rsidP="004264BC">
      <w:pPr>
        <w:numPr>
          <w:ilvl w:val="0"/>
          <w:numId w:val="1"/>
        </w:numPr>
        <w:spacing w:after="0" w:line="240" w:lineRule="auto"/>
        <w:jc w:val="both"/>
        <w:rPr>
          <w:rFonts w:ascii="Calibri" w:hAnsi="Calibri" w:cs="Calibri"/>
        </w:rPr>
      </w:pPr>
      <w:proofErr w:type="spellStart"/>
      <w:r w:rsidRPr="004264BC">
        <w:rPr>
          <w:rFonts w:ascii="Calibri" w:hAnsi="Calibri" w:cs="Calibri"/>
        </w:rPr>
        <w:t>Tądel</w:t>
      </w:r>
      <w:proofErr w:type="spellEnd"/>
      <w:r w:rsidRPr="004264BC">
        <w:rPr>
          <w:rFonts w:ascii="Calibri" w:hAnsi="Calibri" w:cs="Calibri"/>
        </w:rPr>
        <w:t xml:space="preserve"> K, Dudek A, </w:t>
      </w:r>
      <w:proofErr w:type="spellStart"/>
      <w:r w:rsidRPr="004264BC">
        <w:rPr>
          <w:rFonts w:ascii="Calibri" w:hAnsi="Calibri" w:cs="Calibri"/>
        </w:rPr>
        <w:t>Bil</w:t>
      </w:r>
      <w:proofErr w:type="spellEnd"/>
      <w:r w:rsidRPr="004264BC">
        <w:rPr>
          <w:rFonts w:ascii="Calibri" w:hAnsi="Calibri" w:cs="Calibri"/>
        </w:rPr>
        <w:t>-Lula I. AI algorithms for modeling the risk, progression, and treatment of sepsis, including early-onset sepsis-a systematic review. J Clin Med. 2024;13(19):5959.</w:t>
      </w:r>
    </w:p>
    <w:p w14:paraId="53BCBC8A"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Li J, Zhu M, Yan L. Predictive models of sepsis-associated acute kidney injury based on machine learning: a scoping review. Ren Fail. 2024;46(2):2380748.</w:t>
      </w:r>
    </w:p>
    <w:p w14:paraId="0A99D121"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Wu CC, Poly TN, Weng YC, Lin MC, Islam MM. Machine learning models for predicting mortality in critically ill patients with sepsis-associated acute kidney injury: a systematic review. Diagnostics (Basel). 2024;14(15):1594.</w:t>
      </w:r>
    </w:p>
    <w:p w14:paraId="49F88E0B" w14:textId="77777777" w:rsidR="004264BC" w:rsidRPr="004264BC" w:rsidRDefault="00000000" w:rsidP="004264BC">
      <w:pPr>
        <w:numPr>
          <w:ilvl w:val="0"/>
          <w:numId w:val="1"/>
        </w:numPr>
        <w:spacing w:after="0" w:line="240" w:lineRule="auto"/>
        <w:jc w:val="both"/>
        <w:rPr>
          <w:rFonts w:ascii="Calibri" w:hAnsi="Calibri" w:cs="Calibri"/>
        </w:rPr>
      </w:pPr>
      <w:r w:rsidRPr="004264BC">
        <w:rPr>
          <w:rFonts w:ascii="Calibri" w:hAnsi="Calibri" w:cs="Calibri"/>
        </w:rPr>
        <w:t xml:space="preserve">Yue S, Li S, Huang X, Liu J, Hou X, Zhao Y, et al. Machine learning for the prediction of acute kidney injury in patients with sepsis. J </w:t>
      </w:r>
      <w:proofErr w:type="spellStart"/>
      <w:r w:rsidRPr="004264BC">
        <w:rPr>
          <w:rFonts w:ascii="Calibri" w:hAnsi="Calibri" w:cs="Calibri"/>
        </w:rPr>
        <w:t>Transl</w:t>
      </w:r>
      <w:proofErr w:type="spellEnd"/>
      <w:r w:rsidRPr="004264BC">
        <w:rPr>
          <w:rFonts w:ascii="Calibri" w:hAnsi="Calibri" w:cs="Calibri"/>
        </w:rPr>
        <w:t xml:space="preserve"> Med. 2022;20(1):215.</w:t>
      </w:r>
    </w:p>
    <w:p w14:paraId="5F6E1888" w14:textId="77777777" w:rsidR="004264BC" w:rsidRPr="004264BC" w:rsidRDefault="004264BC" w:rsidP="004264BC">
      <w:pPr>
        <w:spacing w:after="0" w:line="240" w:lineRule="auto"/>
        <w:jc w:val="both"/>
        <w:rPr>
          <w:rFonts w:ascii="Calibri" w:hAnsi="Calibri" w:cs="Calibri"/>
        </w:rPr>
      </w:pPr>
    </w:p>
    <w:p w14:paraId="33999FA8" w14:textId="77777777" w:rsidR="00B404CE" w:rsidRPr="004264BC" w:rsidRDefault="00B404CE" w:rsidP="004264BC">
      <w:pPr>
        <w:spacing w:after="0" w:line="240" w:lineRule="auto"/>
        <w:jc w:val="both"/>
        <w:rPr>
          <w:rFonts w:ascii="Calibri" w:hAnsi="Calibri" w:cs="Calibri"/>
        </w:rPr>
      </w:pPr>
    </w:p>
    <w:sectPr w:rsidR="00B404CE" w:rsidRPr="004264BC" w:rsidSect="004264BC">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A5849" w14:textId="77777777" w:rsidR="00792E5E" w:rsidRDefault="00792E5E">
      <w:pPr>
        <w:spacing w:after="0" w:line="240" w:lineRule="auto"/>
      </w:pPr>
      <w:r>
        <w:separator/>
      </w:r>
    </w:p>
  </w:endnote>
  <w:endnote w:type="continuationSeparator" w:id="0">
    <w:p w14:paraId="4FFBFA15" w14:textId="77777777" w:rsidR="00792E5E" w:rsidRDefault="00792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4BCC0" w14:textId="77777777" w:rsidR="004264BC" w:rsidRDefault="004264BC">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AC0AA" w14:textId="77777777" w:rsidR="00792E5E" w:rsidRDefault="00792E5E">
      <w:pPr>
        <w:spacing w:after="0" w:line="240" w:lineRule="auto"/>
      </w:pPr>
      <w:r>
        <w:separator/>
      </w:r>
    </w:p>
  </w:footnote>
  <w:footnote w:type="continuationSeparator" w:id="0">
    <w:p w14:paraId="26A6FFAA" w14:textId="77777777" w:rsidR="00792E5E" w:rsidRDefault="00792E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FFFC3" w14:textId="77777777" w:rsidR="004264BC" w:rsidRDefault="004264BC">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02015" w14:textId="77777777" w:rsidR="004264BC" w:rsidRDefault="00000000">
    <w:pPr>
      <w:pBdr>
        <w:top w:val="nil"/>
        <w:left w:val="nil"/>
        <w:bottom w:val="nil"/>
        <w:right w:val="nil"/>
        <w:between w:val="nil"/>
      </w:pBdr>
      <w:tabs>
        <w:tab w:val="center" w:pos="4680"/>
        <w:tab w:val="left" w:pos="5724"/>
        <w:tab w:val="right" w:pos="9360"/>
      </w:tabs>
      <w:rPr>
        <w:b/>
        <w:color w:val="1F497D"/>
        <w:sz w:val="28"/>
        <w:szCs w:val="28"/>
      </w:rPr>
    </w:pPr>
    <w:bookmarkStart w:id="0" w:name="_lnxbz9" w:colFirst="0" w:colLast="0"/>
    <w:bookmarkEnd w:id="0"/>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F12EE" w14:textId="77777777" w:rsidR="004264BC" w:rsidRDefault="004264BC">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D34F8"/>
    <w:multiLevelType w:val="multilevel"/>
    <w:tmpl w:val="262D34F8"/>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311909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removePersonalInformation/>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4BC"/>
    <w:rsid w:val="000629DB"/>
    <w:rsid w:val="0006719C"/>
    <w:rsid w:val="000C0774"/>
    <w:rsid w:val="00122E0D"/>
    <w:rsid w:val="001E0421"/>
    <w:rsid w:val="00216ACB"/>
    <w:rsid w:val="002544BB"/>
    <w:rsid w:val="002A0CCB"/>
    <w:rsid w:val="002A25FD"/>
    <w:rsid w:val="00310B9D"/>
    <w:rsid w:val="003230EE"/>
    <w:rsid w:val="00384BC7"/>
    <w:rsid w:val="004264BC"/>
    <w:rsid w:val="004E03A8"/>
    <w:rsid w:val="005B08B8"/>
    <w:rsid w:val="005E47AA"/>
    <w:rsid w:val="005E5F91"/>
    <w:rsid w:val="00621C5D"/>
    <w:rsid w:val="00621EEC"/>
    <w:rsid w:val="00634CCD"/>
    <w:rsid w:val="00635BBD"/>
    <w:rsid w:val="00770F82"/>
    <w:rsid w:val="00792E5E"/>
    <w:rsid w:val="00801E30"/>
    <w:rsid w:val="0084384A"/>
    <w:rsid w:val="00855527"/>
    <w:rsid w:val="00891534"/>
    <w:rsid w:val="00A45910"/>
    <w:rsid w:val="00B404CE"/>
    <w:rsid w:val="00B60290"/>
    <w:rsid w:val="00BA2FB6"/>
    <w:rsid w:val="00C953CD"/>
    <w:rsid w:val="00D6291B"/>
    <w:rsid w:val="00EC25E5"/>
    <w:rsid w:val="00FF146E"/>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0416D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en-US"/>
    </w:rPr>
  </w:style>
  <w:style w:type="paragraph" w:styleId="1">
    <w:name w:val="heading 1"/>
    <w:basedOn w:val="a"/>
    <w:next w:val="a"/>
    <w:link w:val="10"/>
    <w:uiPriority w:val="9"/>
    <w:qFormat/>
    <w:rsid w:val="004264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264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264B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264B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264B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264B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264B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264B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264B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264BC"/>
    <w:rPr>
      <w:rFonts w:asciiTheme="majorHAnsi" w:eastAsiaTheme="majorEastAsia" w:hAnsiTheme="majorHAnsi" w:cstheme="majorBidi"/>
      <w:color w:val="0F4761" w:themeColor="accent1" w:themeShade="BF"/>
      <w:sz w:val="40"/>
      <w:szCs w:val="40"/>
      <w:lang w:val="en-US"/>
    </w:rPr>
  </w:style>
  <w:style w:type="character" w:customStyle="1" w:styleId="20">
    <w:name w:val="标题 2 字符"/>
    <w:basedOn w:val="a0"/>
    <w:link w:val="2"/>
    <w:uiPriority w:val="9"/>
    <w:semiHidden/>
    <w:rsid w:val="004264BC"/>
    <w:rPr>
      <w:rFonts w:asciiTheme="majorHAnsi" w:eastAsiaTheme="majorEastAsia" w:hAnsiTheme="majorHAnsi" w:cstheme="majorBidi"/>
      <w:color w:val="0F4761" w:themeColor="accent1" w:themeShade="BF"/>
      <w:sz w:val="32"/>
      <w:szCs w:val="32"/>
      <w:lang w:val="en-US"/>
    </w:rPr>
  </w:style>
  <w:style w:type="character" w:customStyle="1" w:styleId="30">
    <w:name w:val="标题 3 字符"/>
    <w:basedOn w:val="a0"/>
    <w:link w:val="3"/>
    <w:uiPriority w:val="9"/>
    <w:semiHidden/>
    <w:rsid w:val="004264BC"/>
    <w:rPr>
      <w:rFonts w:eastAsiaTheme="majorEastAsia" w:cstheme="majorBidi"/>
      <w:color w:val="0F4761" w:themeColor="accent1" w:themeShade="BF"/>
      <w:sz w:val="28"/>
      <w:szCs w:val="28"/>
      <w:lang w:val="en-US"/>
    </w:rPr>
  </w:style>
  <w:style w:type="character" w:customStyle="1" w:styleId="40">
    <w:name w:val="标题 4 字符"/>
    <w:basedOn w:val="a0"/>
    <w:link w:val="4"/>
    <w:uiPriority w:val="9"/>
    <w:semiHidden/>
    <w:rsid w:val="004264BC"/>
    <w:rPr>
      <w:rFonts w:eastAsiaTheme="majorEastAsia" w:cstheme="majorBidi"/>
      <w:i/>
      <w:iCs/>
      <w:color w:val="0F4761" w:themeColor="accent1" w:themeShade="BF"/>
      <w:lang w:val="en-US"/>
    </w:rPr>
  </w:style>
  <w:style w:type="character" w:customStyle="1" w:styleId="50">
    <w:name w:val="标题 5 字符"/>
    <w:basedOn w:val="a0"/>
    <w:link w:val="5"/>
    <w:uiPriority w:val="9"/>
    <w:semiHidden/>
    <w:rsid w:val="004264BC"/>
    <w:rPr>
      <w:rFonts w:eastAsiaTheme="majorEastAsia" w:cstheme="majorBidi"/>
      <w:color w:val="0F4761" w:themeColor="accent1" w:themeShade="BF"/>
      <w:lang w:val="en-US"/>
    </w:rPr>
  </w:style>
  <w:style w:type="character" w:customStyle="1" w:styleId="60">
    <w:name w:val="标题 6 字符"/>
    <w:basedOn w:val="a0"/>
    <w:link w:val="6"/>
    <w:uiPriority w:val="9"/>
    <w:semiHidden/>
    <w:rsid w:val="004264BC"/>
    <w:rPr>
      <w:rFonts w:eastAsiaTheme="majorEastAsia" w:cstheme="majorBidi"/>
      <w:i/>
      <w:iCs/>
      <w:color w:val="595959" w:themeColor="text1" w:themeTint="A6"/>
      <w:lang w:val="en-US"/>
    </w:rPr>
  </w:style>
  <w:style w:type="character" w:customStyle="1" w:styleId="70">
    <w:name w:val="标题 7 字符"/>
    <w:basedOn w:val="a0"/>
    <w:link w:val="7"/>
    <w:uiPriority w:val="9"/>
    <w:semiHidden/>
    <w:rsid w:val="004264BC"/>
    <w:rPr>
      <w:rFonts w:eastAsiaTheme="majorEastAsia" w:cstheme="majorBidi"/>
      <w:color w:val="595959" w:themeColor="text1" w:themeTint="A6"/>
      <w:lang w:val="en-US"/>
    </w:rPr>
  </w:style>
  <w:style w:type="character" w:customStyle="1" w:styleId="80">
    <w:name w:val="标题 8 字符"/>
    <w:basedOn w:val="a0"/>
    <w:link w:val="8"/>
    <w:uiPriority w:val="9"/>
    <w:semiHidden/>
    <w:rsid w:val="004264BC"/>
    <w:rPr>
      <w:rFonts w:eastAsiaTheme="majorEastAsia" w:cstheme="majorBidi"/>
      <w:i/>
      <w:iCs/>
      <w:color w:val="272727" w:themeColor="text1" w:themeTint="D8"/>
      <w:lang w:val="en-US"/>
    </w:rPr>
  </w:style>
  <w:style w:type="character" w:customStyle="1" w:styleId="90">
    <w:name w:val="标题 9 字符"/>
    <w:basedOn w:val="a0"/>
    <w:link w:val="9"/>
    <w:uiPriority w:val="9"/>
    <w:semiHidden/>
    <w:rsid w:val="004264BC"/>
    <w:rPr>
      <w:rFonts w:eastAsiaTheme="majorEastAsia" w:cstheme="majorBidi"/>
      <w:color w:val="272727" w:themeColor="text1" w:themeTint="D8"/>
      <w:lang w:val="en-US"/>
    </w:rPr>
  </w:style>
  <w:style w:type="paragraph" w:styleId="a3">
    <w:name w:val="Title"/>
    <w:basedOn w:val="a"/>
    <w:next w:val="a"/>
    <w:link w:val="a4"/>
    <w:uiPriority w:val="10"/>
    <w:qFormat/>
    <w:rsid w:val="004264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264BC"/>
    <w:rPr>
      <w:rFonts w:asciiTheme="majorHAnsi" w:eastAsiaTheme="majorEastAsia" w:hAnsiTheme="majorHAnsi" w:cstheme="majorBidi"/>
      <w:spacing w:val="-10"/>
      <w:kern w:val="28"/>
      <w:sz w:val="56"/>
      <w:szCs w:val="56"/>
      <w:lang w:val="en-US"/>
    </w:rPr>
  </w:style>
  <w:style w:type="paragraph" w:styleId="a5">
    <w:name w:val="Subtitle"/>
    <w:basedOn w:val="a"/>
    <w:next w:val="a"/>
    <w:link w:val="a6"/>
    <w:uiPriority w:val="11"/>
    <w:qFormat/>
    <w:rsid w:val="004264BC"/>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4264BC"/>
    <w:rPr>
      <w:rFonts w:eastAsiaTheme="majorEastAsia" w:cstheme="majorBidi"/>
      <w:color w:val="595959" w:themeColor="text1" w:themeTint="A6"/>
      <w:spacing w:val="15"/>
      <w:sz w:val="28"/>
      <w:szCs w:val="28"/>
      <w:lang w:val="en-US"/>
    </w:rPr>
  </w:style>
  <w:style w:type="paragraph" w:styleId="a7">
    <w:name w:val="Quote"/>
    <w:basedOn w:val="a"/>
    <w:next w:val="a"/>
    <w:link w:val="a8"/>
    <w:uiPriority w:val="29"/>
    <w:qFormat/>
    <w:rsid w:val="004264BC"/>
    <w:pPr>
      <w:spacing w:before="160"/>
      <w:jc w:val="center"/>
    </w:pPr>
    <w:rPr>
      <w:i/>
      <w:iCs/>
      <w:color w:val="404040" w:themeColor="text1" w:themeTint="BF"/>
    </w:rPr>
  </w:style>
  <w:style w:type="character" w:customStyle="1" w:styleId="a8">
    <w:name w:val="引用 字符"/>
    <w:basedOn w:val="a0"/>
    <w:link w:val="a7"/>
    <w:uiPriority w:val="29"/>
    <w:rsid w:val="004264BC"/>
    <w:rPr>
      <w:i/>
      <w:iCs/>
      <w:color w:val="404040" w:themeColor="text1" w:themeTint="BF"/>
      <w:lang w:val="en-US"/>
    </w:rPr>
  </w:style>
  <w:style w:type="paragraph" w:styleId="a9">
    <w:name w:val="List Paragraph"/>
    <w:basedOn w:val="a"/>
    <w:uiPriority w:val="34"/>
    <w:qFormat/>
    <w:rsid w:val="004264BC"/>
    <w:pPr>
      <w:ind w:left="720"/>
      <w:contextualSpacing/>
    </w:pPr>
  </w:style>
  <w:style w:type="character" w:styleId="aa">
    <w:name w:val="Intense Emphasis"/>
    <w:basedOn w:val="a0"/>
    <w:uiPriority w:val="21"/>
    <w:qFormat/>
    <w:rsid w:val="004264BC"/>
    <w:rPr>
      <w:i/>
      <w:iCs/>
      <w:color w:val="0F4761" w:themeColor="accent1" w:themeShade="BF"/>
    </w:rPr>
  </w:style>
  <w:style w:type="paragraph" w:styleId="ab">
    <w:name w:val="Intense Quote"/>
    <w:basedOn w:val="a"/>
    <w:next w:val="a"/>
    <w:link w:val="ac"/>
    <w:uiPriority w:val="30"/>
    <w:qFormat/>
    <w:rsid w:val="004264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264BC"/>
    <w:rPr>
      <w:i/>
      <w:iCs/>
      <w:color w:val="0F4761" w:themeColor="accent1" w:themeShade="BF"/>
      <w:lang w:val="en-US"/>
    </w:rPr>
  </w:style>
  <w:style w:type="character" w:styleId="ad">
    <w:name w:val="Intense Reference"/>
    <w:basedOn w:val="a0"/>
    <w:uiPriority w:val="32"/>
    <w:qFormat/>
    <w:rsid w:val="004264BC"/>
    <w:rPr>
      <w:b/>
      <w:bCs/>
      <w:smallCaps/>
      <w:color w:val="0F4761" w:themeColor="accent1" w:themeShade="BF"/>
      <w:spacing w:val="5"/>
    </w:rPr>
  </w:style>
  <w:style w:type="character" w:styleId="ae">
    <w:name w:val="Hyperlink"/>
    <w:basedOn w:val="a0"/>
    <w:uiPriority w:val="99"/>
    <w:unhideWhenUsed/>
    <w:rsid w:val="004264BC"/>
    <w:rPr>
      <w:color w:val="467886" w:themeColor="hyperlink"/>
      <w:u w:val="single"/>
    </w:rPr>
  </w:style>
  <w:style w:type="character" w:styleId="af">
    <w:name w:val="Unresolved Mention"/>
    <w:basedOn w:val="a0"/>
    <w:uiPriority w:val="99"/>
    <w:semiHidden/>
    <w:unhideWhenUsed/>
    <w:rsid w:val="004264BC"/>
    <w:rPr>
      <w:color w:val="605E5C"/>
      <w:shd w:val="clear" w:color="auto" w:fill="E1DFDD"/>
    </w:rPr>
  </w:style>
  <w:style w:type="character" w:styleId="af0">
    <w:name w:val="line number"/>
    <w:basedOn w:val="a0"/>
    <w:uiPriority w:val="99"/>
    <w:semiHidden/>
    <w:unhideWhenUsed/>
    <w:rsid w:val="00426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3094991@qq.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uoyingking@163.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6640</Words>
  <Characters>37853</Characters>
  <Application>Microsoft Office Word</Application>
  <DocSecurity>0</DocSecurity>
  <Lines>315</Lines>
  <Paragraphs>88</Paragraphs>
  <ScaleCrop>false</ScaleCrop>
  <Company/>
  <LinksUpToDate>false</LinksUpToDate>
  <CharactersWithSpaces>44405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2026-05-20T12:02:00Z</dcterms:created>
  <dcterms:modified xsi:type="dcterms:W3CDTF">2026-05-21T11:56:00Z</dcterms:modified>
</cp:coreProperties>
</file>