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1F916D46" w:rsidR="006E4797" w:rsidRPr="00D677F7" w:rsidRDefault="00665C01" w:rsidP="00D677F7">
      <w:pPr>
        <w:pBdr>
          <w:top w:val="nil"/>
          <w:left w:val="nil"/>
          <w:bottom w:val="nil"/>
          <w:right w:val="nil"/>
          <w:between w:val="nil"/>
        </w:pBdr>
        <w:spacing w:line="0" w:lineRule="atLeast"/>
        <w:rPr>
          <w:color w:val="000000" w:themeColor="text1"/>
        </w:rPr>
      </w:pPr>
      <w:r w:rsidRPr="00D677F7">
        <w:rPr>
          <w:b/>
          <w:color w:val="000000" w:themeColor="text1"/>
        </w:rPr>
        <w:t>TITLE:</w:t>
      </w:r>
    </w:p>
    <w:p w14:paraId="3584A09E" w14:textId="451F24A9" w:rsidR="00D26102" w:rsidRPr="00D677F7" w:rsidRDefault="00665C01" w:rsidP="00D677F7">
      <w:pPr>
        <w:spacing w:line="0" w:lineRule="atLeast"/>
        <w:rPr>
          <w:color w:val="000000" w:themeColor="text1"/>
        </w:rPr>
      </w:pPr>
      <w:r w:rsidRPr="00D677F7">
        <w:rPr>
          <w:color w:val="000000" w:themeColor="text1"/>
        </w:rPr>
        <w:t>Generation of Fibrin-Based Three-Dimensional Engineered Vascular Tissues from Human Aortic Smooth Muscle Cells for Proteomic Analysis</w:t>
      </w:r>
    </w:p>
    <w:p w14:paraId="06C0C87E" w14:textId="77777777" w:rsidR="006E4797" w:rsidRPr="00D677F7" w:rsidRDefault="006E4797" w:rsidP="00D677F7">
      <w:pPr>
        <w:spacing w:line="0" w:lineRule="atLeast"/>
        <w:rPr>
          <w:b/>
          <w:color w:val="000000" w:themeColor="text1"/>
        </w:rPr>
      </w:pPr>
    </w:p>
    <w:p w14:paraId="2CD8481E" w14:textId="47A8FA3E" w:rsidR="006E4797" w:rsidRPr="00D677F7" w:rsidRDefault="00665C01" w:rsidP="00D677F7">
      <w:pPr>
        <w:spacing w:line="0" w:lineRule="atLeast"/>
        <w:rPr>
          <w:color w:val="000000" w:themeColor="text1"/>
        </w:rPr>
      </w:pPr>
      <w:r w:rsidRPr="00D677F7">
        <w:rPr>
          <w:b/>
          <w:color w:val="000000" w:themeColor="text1"/>
        </w:rPr>
        <w:t>AUTHORS AND AFFILIATIONS:</w:t>
      </w:r>
    </w:p>
    <w:p w14:paraId="00535F2C" w14:textId="1C82262D" w:rsidR="006E4797" w:rsidRPr="00D677F7" w:rsidRDefault="00665C01" w:rsidP="00D677F7">
      <w:pPr>
        <w:spacing w:line="0" w:lineRule="atLeast"/>
        <w:rPr>
          <w:color w:val="000000" w:themeColor="text1"/>
        </w:rPr>
      </w:pPr>
      <w:r w:rsidRPr="00D677F7">
        <w:rPr>
          <w:color w:val="000000" w:themeColor="text1"/>
        </w:rPr>
        <w:t>Benedict A. S. M</w:t>
      </w:r>
      <w:r w:rsidR="002A3299" w:rsidRPr="00D677F7">
        <w:rPr>
          <w:color w:val="000000" w:themeColor="text1"/>
        </w:rPr>
        <w:t>oss</w:t>
      </w:r>
      <w:r w:rsidR="008A3BF8" w:rsidRPr="00D677F7">
        <w:rPr>
          <w:color w:val="000000" w:themeColor="text1"/>
          <w:vertAlign w:val="superscript"/>
        </w:rPr>
        <w:t>1</w:t>
      </w:r>
      <w:r w:rsidR="002A3299" w:rsidRPr="00D677F7">
        <w:rPr>
          <w:color w:val="000000" w:themeColor="text1"/>
        </w:rPr>
        <w:t>, Elisa Duregotti</w:t>
      </w:r>
      <w:r w:rsidR="009767C8" w:rsidRPr="00D677F7">
        <w:rPr>
          <w:color w:val="000000" w:themeColor="text1"/>
          <w:vertAlign w:val="superscript"/>
        </w:rPr>
        <w:t>1</w:t>
      </w:r>
      <w:r w:rsidR="002A3299" w:rsidRPr="00D677F7">
        <w:rPr>
          <w:color w:val="000000" w:themeColor="text1"/>
        </w:rPr>
        <w:t>,</w:t>
      </w:r>
      <w:r w:rsidR="00A934A4" w:rsidRPr="00D677F7">
        <w:rPr>
          <w:color w:val="000000" w:themeColor="text1"/>
        </w:rPr>
        <w:t xml:space="preserve"> </w:t>
      </w:r>
      <w:proofErr w:type="spellStart"/>
      <w:r w:rsidR="00504B84" w:rsidRPr="00D677F7">
        <w:rPr>
          <w:color w:val="000000" w:themeColor="text1"/>
        </w:rPr>
        <w:t>Xiaoke</w:t>
      </w:r>
      <w:proofErr w:type="spellEnd"/>
      <w:r w:rsidR="00504B84" w:rsidRPr="00D677F7">
        <w:rPr>
          <w:color w:val="000000" w:themeColor="text1"/>
        </w:rPr>
        <w:t xml:space="preserve"> Yin</w:t>
      </w:r>
      <w:r w:rsidR="00504B84" w:rsidRPr="00D677F7">
        <w:rPr>
          <w:color w:val="000000" w:themeColor="text1"/>
          <w:vertAlign w:val="superscript"/>
        </w:rPr>
        <w:t>1</w:t>
      </w:r>
      <w:r w:rsidR="00504B84" w:rsidRPr="00D677F7">
        <w:rPr>
          <w:color w:val="000000" w:themeColor="text1"/>
        </w:rPr>
        <w:t xml:space="preserve">, </w:t>
      </w:r>
      <w:r w:rsidR="002A3299" w:rsidRPr="00D677F7">
        <w:rPr>
          <w:color w:val="000000" w:themeColor="text1"/>
        </w:rPr>
        <w:t>Manuel Mayr</w:t>
      </w:r>
      <w:r w:rsidR="003A5D28" w:rsidRPr="00D677F7">
        <w:rPr>
          <w:color w:val="000000" w:themeColor="text1"/>
          <w:vertAlign w:val="superscript"/>
        </w:rPr>
        <w:t>1,2</w:t>
      </w:r>
      <w:r w:rsidR="003B4C82" w:rsidRPr="00D677F7">
        <w:rPr>
          <w:color w:val="000000" w:themeColor="text1"/>
        </w:rPr>
        <w:t>*</w:t>
      </w:r>
    </w:p>
    <w:p w14:paraId="52C00619" w14:textId="77777777" w:rsidR="003A5D28" w:rsidRPr="00D677F7" w:rsidRDefault="003A5D28" w:rsidP="00D677F7">
      <w:pPr>
        <w:spacing w:line="0" w:lineRule="atLeast"/>
        <w:rPr>
          <w:color w:val="000000" w:themeColor="text1"/>
        </w:rPr>
      </w:pPr>
    </w:p>
    <w:p w14:paraId="372D91D0" w14:textId="07976056" w:rsidR="00AC06E3" w:rsidRPr="00D677F7" w:rsidRDefault="00665C01" w:rsidP="00D677F7">
      <w:pPr>
        <w:spacing w:line="0" w:lineRule="atLeast"/>
        <w:rPr>
          <w:color w:val="000000" w:themeColor="text1"/>
        </w:rPr>
      </w:pPr>
      <w:r w:rsidRPr="00D677F7">
        <w:rPr>
          <w:color w:val="000000" w:themeColor="text1"/>
          <w:vertAlign w:val="superscript"/>
        </w:rPr>
        <w:t>1</w:t>
      </w:r>
      <w:r w:rsidR="00237BC9" w:rsidRPr="00D677F7">
        <w:rPr>
          <w:color w:val="000000" w:themeColor="text1"/>
        </w:rPr>
        <w:t>National Heart and Lung Institute, Imperial College London, London, United Kingdom</w:t>
      </w:r>
    </w:p>
    <w:p w14:paraId="3E029352" w14:textId="59040523" w:rsidR="00237BC9" w:rsidRPr="00D677F7" w:rsidRDefault="00665C01" w:rsidP="00D677F7">
      <w:pPr>
        <w:spacing w:line="0" w:lineRule="atLeast"/>
        <w:rPr>
          <w:color w:val="000000" w:themeColor="text1"/>
        </w:rPr>
      </w:pPr>
      <w:r w:rsidRPr="00D677F7">
        <w:rPr>
          <w:color w:val="000000" w:themeColor="text1"/>
          <w:vertAlign w:val="superscript"/>
        </w:rPr>
        <w:t>2</w:t>
      </w:r>
      <w:r w:rsidR="00852DA3" w:rsidRPr="00D677F7">
        <w:rPr>
          <w:color w:val="000000" w:themeColor="text1"/>
        </w:rPr>
        <w:t>Division of Cardiology, Medical University of Vienna, Austria</w:t>
      </w:r>
    </w:p>
    <w:p w14:paraId="34256ECC" w14:textId="77777777" w:rsidR="00220CDD" w:rsidRPr="00D677F7" w:rsidRDefault="00220CDD" w:rsidP="00D677F7">
      <w:pPr>
        <w:spacing w:line="0" w:lineRule="atLeast"/>
        <w:rPr>
          <w:color w:val="000000" w:themeColor="text1"/>
        </w:rPr>
      </w:pPr>
    </w:p>
    <w:p w14:paraId="6A4202F9" w14:textId="77777777" w:rsidR="009F0D8D" w:rsidRPr="00D677F7" w:rsidRDefault="00665C01" w:rsidP="00D677F7">
      <w:pPr>
        <w:spacing w:line="0" w:lineRule="atLeast"/>
        <w:rPr>
          <w:color w:val="000000" w:themeColor="text1"/>
        </w:rPr>
      </w:pPr>
      <w:r w:rsidRPr="00D677F7">
        <w:rPr>
          <w:color w:val="000000" w:themeColor="text1"/>
        </w:rPr>
        <w:t>E-mail addresses of the co-authors:</w:t>
      </w:r>
    </w:p>
    <w:p w14:paraId="409F4BE5" w14:textId="77777777" w:rsidR="008B7B8A" w:rsidRPr="00D677F7" w:rsidRDefault="008B7B8A" w:rsidP="00D677F7">
      <w:pPr>
        <w:spacing w:line="0" w:lineRule="atLeast"/>
        <w:rPr>
          <w:color w:val="000000" w:themeColor="text1"/>
        </w:rPr>
      </w:pPr>
      <w:r w:rsidRPr="00D677F7">
        <w:rPr>
          <w:color w:val="000000" w:themeColor="text1"/>
        </w:rPr>
        <w:t xml:space="preserve">Benedict A. S. Moss </w:t>
      </w:r>
      <w:r w:rsidRPr="00D677F7">
        <w:rPr>
          <w:color w:val="000000" w:themeColor="text1"/>
        </w:rPr>
        <w:tab/>
      </w:r>
      <w:r w:rsidRPr="00D677F7">
        <w:rPr>
          <w:color w:val="000000" w:themeColor="text1"/>
        </w:rPr>
        <w:tab/>
        <w:t>(</w:t>
      </w:r>
      <w:hyperlink r:id="rId7" w:history="1">
        <w:r w:rsidRPr="00D677F7">
          <w:rPr>
            <w:rStyle w:val="Hyperlink"/>
            <w:color w:val="000000" w:themeColor="text1"/>
          </w:rPr>
          <w:t>benedict.moss19@imperial.ac.uk</w:t>
        </w:r>
      </w:hyperlink>
      <w:r w:rsidRPr="00D677F7">
        <w:rPr>
          <w:color w:val="000000" w:themeColor="text1"/>
        </w:rPr>
        <w:t>)</w:t>
      </w:r>
    </w:p>
    <w:p w14:paraId="1CB171E4" w14:textId="6C34A2AB" w:rsidR="009F0D8D" w:rsidRPr="00D677F7" w:rsidRDefault="00665C01" w:rsidP="00D677F7">
      <w:pPr>
        <w:spacing w:line="0" w:lineRule="atLeast"/>
        <w:rPr>
          <w:color w:val="000000" w:themeColor="text1"/>
        </w:rPr>
      </w:pPr>
      <w:r w:rsidRPr="00D677F7">
        <w:rPr>
          <w:color w:val="000000" w:themeColor="text1"/>
        </w:rPr>
        <w:t xml:space="preserve">Elisa Duregotti </w:t>
      </w:r>
      <w:r w:rsidRPr="00D677F7">
        <w:rPr>
          <w:color w:val="000000" w:themeColor="text1"/>
        </w:rPr>
        <w:tab/>
      </w:r>
      <w:r w:rsidRPr="00D677F7">
        <w:rPr>
          <w:color w:val="000000" w:themeColor="text1"/>
        </w:rPr>
        <w:tab/>
        <w:t>(</w:t>
      </w:r>
      <w:hyperlink r:id="rId8" w:history="1">
        <w:r w:rsidR="009F0D8D" w:rsidRPr="00D677F7">
          <w:rPr>
            <w:rStyle w:val="Hyperlink"/>
            <w:color w:val="000000" w:themeColor="text1"/>
          </w:rPr>
          <w:t>e.duregotti@imperial.ac.uk</w:t>
        </w:r>
      </w:hyperlink>
      <w:r w:rsidRPr="00D677F7">
        <w:rPr>
          <w:color w:val="000000" w:themeColor="text1"/>
        </w:rPr>
        <w:t>)</w:t>
      </w:r>
    </w:p>
    <w:p w14:paraId="626194F5" w14:textId="75CAB276" w:rsidR="009F0D8D" w:rsidRPr="00D677F7" w:rsidRDefault="00DE7B3E" w:rsidP="00D677F7">
      <w:pPr>
        <w:spacing w:line="0" w:lineRule="atLeast"/>
        <w:rPr>
          <w:color w:val="000000" w:themeColor="text1"/>
        </w:rPr>
      </w:pPr>
      <w:proofErr w:type="spellStart"/>
      <w:r w:rsidRPr="00D677F7">
        <w:rPr>
          <w:color w:val="000000" w:themeColor="text1"/>
        </w:rPr>
        <w:t>Xiaoke</w:t>
      </w:r>
      <w:proofErr w:type="spellEnd"/>
      <w:r w:rsidRPr="00D677F7">
        <w:rPr>
          <w:color w:val="000000" w:themeColor="text1"/>
        </w:rPr>
        <w:t xml:space="preserve"> Yin</w:t>
      </w:r>
      <w:r w:rsidRPr="00D677F7">
        <w:rPr>
          <w:color w:val="000000" w:themeColor="text1"/>
        </w:rPr>
        <w:tab/>
      </w:r>
      <w:r w:rsidRPr="00D677F7">
        <w:rPr>
          <w:color w:val="000000" w:themeColor="text1"/>
        </w:rPr>
        <w:tab/>
      </w:r>
      <w:r w:rsidRPr="00D677F7">
        <w:rPr>
          <w:color w:val="000000" w:themeColor="text1"/>
        </w:rPr>
        <w:tab/>
        <w:t>(</w:t>
      </w:r>
      <w:hyperlink r:id="rId9" w:history="1">
        <w:r w:rsidR="00146414" w:rsidRPr="00D677F7">
          <w:rPr>
            <w:rStyle w:val="Hyperlink"/>
            <w:color w:val="000000" w:themeColor="text1"/>
            <w:lang w:val="en-GB"/>
          </w:rPr>
          <w:t>xiaoke.yin@imperial.ac.uk</w:t>
        </w:r>
      </w:hyperlink>
      <w:r w:rsidRPr="00D677F7">
        <w:rPr>
          <w:color w:val="000000" w:themeColor="text1"/>
        </w:rPr>
        <w:t>)</w:t>
      </w:r>
    </w:p>
    <w:p w14:paraId="2D4BAB8B" w14:textId="77777777" w:rsidR="00296190" w:rsidRPr="00D677F7" w:rsidRDefault="00296190" w:rsidP="00D677F7">
      <w:pPr>
        <w:spacing w:line="0" w:lineRule="atLeast"/>
        <w:rPr>
          <w:color w:val="000000" w:themeColor="text1"/>
          <w:lang w:val="en-GB"/>
        </w:rPr>
      </w:pPr>
    </w:p>
    <w:p w14:paraId="1B49A292" w14:textId="77777777" w:rsidR="009F0D8D" w:rsidRPr="00D677F7" w:rsidRDefault="00665C01" w:rsidP="00D677F7">
      <w:pPr>
        <w:spacing w:line="0" w:lineRule="atLeast"/>
        <w:rPr>
          <w:color w:val="000000" w:themeColor="text1"/>
        </w:rPr>
      </w:pPr>
      <w:r w:rsidRPr="00D677F7">
        <w:rPr>
          <w:color w:val="000000" w:themeColor="text1"/>
        </w:rPr>
        <w:t>*Corresponding author:</w:t>
      </w:r>
    </w:p>
    <w:p w14:paraId="08ED2122" w14:textId="5B02AE99" w:rsidR="00877788" w:rsidRPr="00D677F7" w:rsidRDefault="008B7B8A" w:rsidP="00D677F7">
      <w:pPr>
        <w:spacing w:line="0" w:lineRule="atLeast"/>
        <w:rPr>
          <w:color w:val="000000" w:themeColor="text1"/>
        </w:rPr>
      </w:pPr>
      <w:r w:rsidRPr="00D677F7">
        <w:rPr>
          <w:color w:val="000000" w:themeColor="text1"/>
        </w:rPr>
        <w:t>Manuel Mayr</w:t>
      </w:r>
      <w:r w:rsidRPr="00D677F7">
        <w:rPr>
          <w:color w:val="000000" w:themeColor="text1"/>
        </w:rPr>
        <w:tab/>
      </w:r>
      <w:r w:rsidRPr="00D677F7">
        <w:rPr>
          <w:color w:val="000000" w:themeColor="text1"/>
        </w:rPr>
        <w:tab/>
      </w:r>
      <w:r w:rsidRPr="00D677F7">
        <w:rPr>
          <w:color w:val="000000" w:themeColor="text1"/>
        </w:rPr>
        <w:tab/>
        <w:t>(</w:t>
      </w:r>
      <w:hyperlink r:id="rId10" w:history="1">
        <w:r w:rsidRPr="00D677F7">
          <w:rPr>
            <w:rStyle w:val="Hyperlink"/>
            <w:color w:val="000000" w:themeColor="text1"/>
          </w:rPr>
          <w:t>m.mayr@imperial.ac.uk</w:t>
        </w:r>
      </w:hyperlink>
      <w:r w:rsidRPr="00D677F7">
        <w:rPr>
          <w:color w:val="000000" w:themeColor="text1"/>
        </w:rPr>
        <w:t>)</w:t>
      </w:r>
    </w:p>
    <w:p w14:paraId="141ABDE5" w14:textId="77777777" w:rsidR="006E4797" w:rsidRPr="00D677F7" w:rsidRDefault="006E4797" w:rsidP="00D677F7">
      <w:pPr>
        <w:pBdr>
          <w:top w:val="nil"/>
          <w:left w:val="nil"/>
          <w:bottom w:val="nil"/>
          <w:right w:val="nil"/>
          <w:between w:val="nil"/>
        </w:pBdr>
        <w:spacing w:line="0" w:lineRule="atLeast"/>
        <w:rPr>
          <w:color w:val="000000" w:themeColor="text1"/>
        </w:rPr>
      </w:pPr>
    </w:p>
    <w:p w14:paraId="60F3B8D4" w14:textId="7ECF3D4E" w:rsidR="006E4797" w:rsidRPr="00D677F7" w:rsidRDefault="00665C01" w:rsidP="00D677F7">
      <w:pPr>
        <w:spacing w:line="0" w:lineRule="atLeast"/>
        <w:rPr>
          <w:color w:val="000000" w:themeColor="text1"/>
        </w:rPr>
      </w:pPr>
      <w:r w:rsidRPr="00D677F7">
        <w:rPr>
          <w:b/>
          <w:color w:val="000000" w:themeColor="text1"/>
        </w:rPr>
        <w:t>SUMMARY:</w:t>
      </w:r>
    </w:p>
    <w:p w14:paraId="01069787" w14:textId="7BB3CA49" w:rsidR="006E4797" w:rsidRPr="00D677F7" w:rsidRDefault="00665C01" w:rsidP="00D677F7">
      <w:pPr>
        <w:spacing w:line="0" w:lineRule="atLeast"/>
        <w:rPr>
          <w:color w:val="000000" w:themeColor="text1"/>
        </w:rPr>
      </w:pPr>
      <w:r w:rsidRPr="00D677F7">
        <w:rPr>
          <w:color w:val="000000" w:themeColor="text1"/>
        </w:rPr>
        <w:t xml:space="preserve">This protocol describes the generation of fibrin-based three-dimensional engineered vascular tissues from human aortic smooth muscle cells and subsequent processing for extracellular matrix analysis using </w:t>
      </w:r>
      <w:r w:rsidR="00AA58C3" w:rsidRPr="00D677F7">
        <w:rPr>
          <w:color w:val="000000" w:themeColor="text1"/>
        </w:rPr>
        <w:t>immunofluorescence</w:t>
      </w:r>
      <w:r w:rsidR="002F577F" w:rsidRPr="00D677F7">
        <w:rPr>
          <w:color w:val="000000" w:themeColor="text1"/>
        </w:rPr>
        <w:t xml:space="preserve"> staining</w:t>
      </w:r>
      <w:r w:rsidR="00A7680D" w:rsidRPr="00D677F7">
        <w:rPr>
          <w:color w:val="000000" w:themeColor="text1"/>
        </w:rPr>
        <w:t xml:space="preserve">, </w:t>
      </w:r>
      <w:r w:rsidRPr="00D677F7">
        <w:rPr>
          <w:color w:val="000000" w:themeColor="text1"/>
        </w:rPr>
        <w:t>mass spectrometry</w:t>
      </w:r>
      <w:r w:rsidR="009C7568" w:rsidRPr="00D677F7">
        <w:rPr>
          <w:color w:val="000000" w:themeColor="text1"/>
        </w:rPr>
        <w:t>–</w:t>
      </w:r>
      <w:r w:rsidRPr="00D677F7">
        <w:rPr>
          <w:color w:val="000000" w:themeColor="text1"/>
        </w:rPr>
        <w:t>based proteomics</w:t>
      </w:r>
      <w:r w:rsidR="008B7B8A" w:rsidRPr="00D677F7">
        <w:rPr>
          <w:color w:val="000000" w:themeColor="text1"/>
        </w:rPr>
        <w:t>,</w:t>
      </w:r>
      <w:r w:rsidR="00A7680D" w:rsidRPr="00D677F7">
        <w:rPr>
          <w:color w:val="000000" w:themeColor="text1"/>
        </w:rPr>
        <w:t xml:space="preserve"> and Western blotting</w:t>
      </w:r>
      <w:r w:rsidRPr="00D677F7">
        <w:rPr>
          <w:color w:val="000000" w:themeColor="text1"/>
        </w:rPr>
        <w:t>.</w:t>
      </w:r>
    </w:p>
    <w:p w14:paraId="74EFC8D7" w14:textId="77777777" w:rsidR="006E4797" w:rsidRPr="00D677F7" w:rsidRDefault="006E4797" w:rsidP="00D677F7">
      <w:pPr>
        <w:spacing w:line="0" w:lineRule="atLeast"/>
        <w:rPr>
          <w:color w:val="000000" w:themeColor="text1"/>
        </w:rPr>
      </w:pPr>
    </w:p>
    <w:p w14:paraId="2DF8E628" w14:textId="50507AA5" w:rsidR="006E4797" w:rsidRPr="00D677F7" w:rsidRDefault="00665C01" w:rsidP="00D677F7">
      <w:pPr>
        <w:spacing w:line="0" w:lineRule="atLeast"/>
        <w:rPr>
          <w:color w:val="000000" w:themeColor="text1"/>
        </w:rPr>
      </w:pPr>
      <w:r w:rsidRPr="00D677F7">
        <w:rPr>
          <w:b/>
          <w:color w:val="000000" w:themeColor="text1"/>
        </w:rPr>
        <w:t>ABSTRACT:</w:t>
      </w:r>
    </w:p>
    <w:p w14:paraId="603978A9" w14:textId="221D778E" w:rsidR="00130B44" w:rsidRPr="00D677F7" w:rsidRDefault="00665C01" w:rsidP="00D677F7">
      <w:pPr>
        <w:spacing w:line="0" w:lineRule="atLeast"/>
        <w:rPr>
          <w:color w:val="000000" w:themeColor="text1"/>
          <w:lang w:val="en-IN"/>
        </w:rPr>
      </w:pPr>
      <w:r w:rsidRPr="00D677F7">
        <w:rPr>
          <w:color w:val="000000" w:themeColor="text1"/>
          <w:lang w:val="en-IN"/>
        </w:rPr>
        <w:t xml:space="preserve">Vascular smooth muscle cells (SMCs) reside within the medial layer of blood vessels, where they interact with an extracellular matrix (ECM) composed of collagen, elastin, and proteoglycans to maintain vascular structure and function. Aberrant ECM </w:t>
      </w:r>
      <w:proofErr w:type="spellStart"/>
      <w:r w:rsidRPr="00D677F7">
        <w:rPr>
          <w:color w:val="000000" w:themeColor="text1"/>
          <w:lang w:val="en-IN"/>
        </w:rPr>
        <w:t>remodeling</w:t>
      </w:r>
      <w:proofErr w:type="spellEnd"/>
      <w:r w:rsidRPr="00D677F7">
        <w:rPr>
          <w:color w:val="000000" w:themeColor="text1"/>
          <w:lang w:val="en-IN"/>
        </w:rPr>
        <w:t xml:space="preserve"> contributes to multiple vascular diseases; however, conventional two-dimensional culture systems do not adequately recapitulate the three-dimensional (3D) cellular and matrix environment required to study </w:t>
      </w:r>
      <w:r w:rsidR="00DD1C98" w:rsidRPr="00D677F7">
        <w:rPr>
          <w:color w:val="000000" w:themeColor="text1"/>
          <w:lang w:val="en-IN"/>
        </w:rPr>
        <w:t>SMC</w:t>
      </w:r>
      <w:r w:rsidRPr="00D677F7">
        <w:rPr>
          <w:color w:val="000000" w:themeColor="text1"/>
          <w:lang w:val="en-IN"/>
        </w:rPr>
        <w:t xml:space="preserve">–ECM interactions and matrix </w:t>
      </w:r>
      <w:proofErr w:type="spellStart"/>
      <w:r w:rsidRPr="00D677F7">
        <w:rPr>
          <w:color w:val="000000" w:themeColor="text1"/>
          <w:lang w:val="en-IN"/>
        </w:rPr>
        <w:t>remodeling</w:t>
      </w:r>
      <w:proofErr w:type="spellEnd"/>
      <w:r w:rsidRPr="00D677F7">
        <w:rPr>
          <w:color w:val="000000" w:themeColor="text1"/>
          <w:lang w:val="en-IN"/>
        </w:rPr>
        <w:t>. This protocol describes the generation of engineered vascular tissues (EVTs) from primary human aortic SMCs cultured within fibrin-based 3D hydrogels. Following casting between flexible polydimethylsiloxane posts, EVTs undergo cellular alignment, contraction, and deposi</w:t>
      </w:r>
      <w:r w:rsidR="00E80131" w:rsidRPr="00D677F7">
        <w:rPr>
          <w:color w:val="000000" w:themeColor="text1"/>
          <w:lang w:val="en-IN"/>
        </w:rPr>
        <w:t>t</w:t>
      </w:r>
      <w:r w:rsidRPr="00D677F7">
        <w:rPr>
          <w:color w:val="000000" w:themeColor="text1"/>
          <w:lang w:val="en-IN"/>
        </w:rPr>
        <w:t xml:space="preserve"> de novo ECM, providing a physiologically relevant platform for studying vascular matrix biology. The protocol details tissue fabrication, culture, harvesting, and downstream analysis of newly deposited ECM</w:t>
      </w:r>
      <w:r w:rsidR="002216C7" w:rsidRPr="00D677F7">
        <w:rPr>
          <w:color w:val="000000" w:themeColor="text1"/>
          <w:lang w:val="en-IN"/>
        </w:rPr>
        <w:t xml:space="preserve"> by immunofluorescence staining</w:t>
      </w:r>
      <w:r w:rsidRPr="00D677F7">
        <w:rPr>
          <w:color w:val="000000" w:themeColor="text1"/>
          <w:lang w:val="en-IN"/>
        </w:rPr>
        <w:t xml:space="preserve">. In addition, a workflow is presented for qualitative and quantitative characterization of EVT-derived proteins using Western blotting and mass spectrometry-based proteomics. Sequential protein extraction enables assessment of soluble and ECM-enriched protein fractions, facilitating in-depth evaluation of ECM composition. This platform provides a reproducible approach for investigating ECM production and </w:t>
      </w:r>
      <w:proofErr w:type="spellStart"/>
      <w:r w:rsidRPr="00D677F7">
        <w:rPr>
          <w:color w:val="000000" w:themeColor="text1"/>
          <w:lang w:val="en-IN"/>
        </w:rPr>
        <w:t>remodeling</w:t>
      </w:r>
      <w:proofErr w:type="spellEnd"/>
      <w:r w:rsidRPr="00D677F7">
        <w:rPr>
          <w:color w:val="000000" w:themeColor="text1"/>
          <w:lang w:val="en-IN"/>
        </w:rPr>
        <w:t xml:space="preserve"> by human </w:t>
      </w:r>
      <w:r w:rsidR="00E8699A" w:rsidRPr="00D677F7">
        <w:rPr>
          <w:color w:val="000000" w:themeColor="text1"/>
          <w:lang w:val="en-IN"/>
        </w:rPr>
        <w:t>SMCs</w:t>
      </w:r>
      <w:r w:rsidRPr="00D677F7">
        <w:rPr>
          <w:color w:val="000000" w:themeColor="text1"/>
          <w:lang w:val="en-IN"/>
        </w:rPr>
        <w:t xml:space="preserve"> in a 3D environment.</w:t>
      </w:r>
    </w:p>
    <w:p w14:paraId="725BF10E" w14:textId="77777777" w:rsidR="00130B44" w:rsidRPr="00D677F7" w:rsidRDefault="00130B44" w:rsidP="00D677F7">
      <w:pPr>
        <w:spacing w:line="0" w:lineRule="atLeast"/>
        <w:rPr>
          <w:color w:val="000000" w:themeColor="text1"/>
        </w:rPr>
      </w:pPr>
    </w:p>
    <w:p w14:paraId="526D55E6" w14:textId="77777777" w:rsidR="008E736C" w:rsidRPr="00D677F7" w:rsidRDefault="00665C01" w:rsidP="00D677F7">
      <w:pPr>
        <w:spacing w:line="0" w:lineRule="atLeast"/>
        <w:rPr>
          <w:b/>
          <w:bCs/>
          <w:color w:val="000000" w:themeColor="text1"/>
        </w:rPr>
      </w:pPr>
      <w:r w:rsidRPr="00D677F7">
        <w:rPr>
          <w:b/>
          <w:bCs/>
          <w:color w:val="000000" w:themeColor="text1"/>
        </w:rPr>
        <w:t>INTRODUCTION:</w:t>
      </w:r>
    </w:p>
    <w:p w14:paraId="47852834" w14:textId="094B040E" w:rsidR="008E736C" w:rsidRPr="00D677F7" w:rsidRDefault="00665C01" w:rsidP="00D677F7">
      <w:pPr>
        <w:spacing w:line="0" w:lineRule="atLeast"/>
        <w:rPr>
          <w:color w:val="000000" w:themeColor="text1"/>
        </w:rPr>
      </w:pPr>
      <w:r w:rsidRPr="00D677F7">
        <w:rPr>
          <w:color w:val="000000" w:themeColor="text1"/>
        </w:rPr>
        <w:t xml:space="preserve">The development of more </w:t>
      </w:r>
      <w:r w:rsidR="00257CBF" w:rsidRPr="00D677F7">
        <w:rPr>
          <w:color w:val="000000" w:themeColor="text1"/>
        </w:rPr>
        <w:t>physiologically relevant</w:t>
      </w:r>
      <w:r w:rsidRPr="00D677F7">
        <w:rPr>
          <w:color w:val="000000" w:themeColor="text1"/>
        </w:rPr>
        <w:t xml:space="preserve"> in vitro tissue models in high-throughput, </w:t>
      </w:r>
      <w:r w:rsidRPr="00D677F7">
        <w:rPr>
          <w:color w:val="000000" w:themeColor="text1"/>
        </w:rPr>
        <w:lastRenderedPageBreak/>
        <w:t>reproducible formats can enhance mechanistic investigations of cardiovascular disease (CVD) and reduce attrition in drug discovery</w:t>
      </w:r>
      <w:r w:rsidRPr="00D677F7">
        <w:rPr>
          <w:color w:val="000000" w:themeColor="text1"/>
          <w:vertAlign w:val="superscript"/>
        </w:rPr>
        <w:t>1,2</w:t>
      </w:r>
      <w:r w:rsidRPr="00D677F7">
        <w:rPr>
          <w:color w:val="000000" w:themeColor="text1"/>
        </w:rPr>
        <w:t>. For vascular diseases in particular, extracellular matrix (ECM) remodeling is a common hallmark</w:t>
      </w:r>
      <w:r w:rsidRPr="00D677F7">
        <w:rPr>
          <w:color w:val="000000" w:themeColor="text1"/>
          <w:vertAlign w:val="superscript"/>
        </w:rPr>
        <w:t>3</w:t>
      </w:r>
      <w:r w:rsidRPr="00D677F7">
        <w:rPr>
          <w:color w:val="000000" w:themeColor="text1"/>
        </w:rPr>
        <w:t>, and tissue-based models offer clear advantages over traditional monolayer cultures, which do not feature a three-dimensional (3D) ECM microenvironment. Previous studies have indicated that the absence of an ECM niche may contribute to phenotypic switching of smooth muscle cells (SMCs)</w:t>
      </w:r>
      <w:r w:rsidRPr="00D677F7">
        <w:rPr>
          <w:color w:val="000000" w:themeColor="text1"/>
          <w:vertAlign w:val="superscript"/>
        </w:rPr>
        <w:t>4</w:t>
      </w:r>
      <w:r w:rsidRPr="00D677F7">
        <w:rPr>
          <w:color w:val="000000" w:themeColor="text1"/>
        </w:rPr>
        <w:t>, the dominant ECM-producing cells in blood vessels, thereby confounding investigations into SMC–ECM crosstalk in disease.</w:t>
      </w:r>
    </w:p>
    <w:p w14:paraId="5A642FF3" w14:textId="77777777" w:rsidR="008E736C" w:rsidRPr="00D677F7" w:rsidRDefault="008E736C" w:rsidP="00D677F7">
      <w:pPr>
        <w:spacing w:line="0" w:lineRule="atLeast"/>
        <w:rPr>
          <w:color w:val="000000" w:themeColor="text1"/>
        </w:rPr>
      </w:pPr>
    </w:p>
    <w:p w14:paraId="50906E0B" w14:textId="2829D3DB" w:rsidR="008E736C" w:rsidRPr="00D677F7" w:rsidRDefault="00665C01" w:rsidP="00D677F7">
      <w:pPr>
        <w:spacing w:line="0" w:lineRule="atLeast"/>
        <w:rPr>
          <w:color w:val="000000" w:themeColor="text1"/>
        </w:rPr>
      </w:pPr>
      <w:r w:rsidRPr="00D677F7">
        <w:rPr>
          <w:color w:val="000000" w:themeColor="text1"/>
        </w:rPr>
        <w:t xml:space="preserve">The SMC-derived ECM comprises more than 300 </w:t>
      </w:r>
      <w:proofErr w:type="spellStart"/>
      <w:r w:rsidRPr="00D677F7">
        <w:rPr>
          <w:color w:val="000000" w:themeColor="text1"/>
        </w:rPr>
        <w:t>matrisome</w:t>
      </w:r>
      <w:proofErr w:type="spellEnd"/>
      <w:r w:rsidRPr="00D677F7">
        <w:rPr>
          <w:color w:val="000000" w:themeColor="text1"/>
        </w:rPr>
        <w:t xml:space="preserve"> proteins that form a complex structural scaffold essential for vessel integrity and function</w:t>
      </w:r>
      <w:r w:rsidRPr="00D677F7">
        <w:rPr>
          <w:color w:val="000000" w:themeColor="text1"/>
          <w:vertAlign w:val="superscript"/>
        </w:rPr>
        <w:t>5</w:t>
      </w:r>
      <w:r w:rsidRPr="00D677F7">
        <w:rPr>
          <w:color w:val="000000" w:themeColor="text1"/>
        </w:rPr>
        <w:t>. Principal components include collagen types I and III, which provide tensile strength and prevent overstretching, and crosslinked elastin lamellae, which enable distensibility in response to blood flow</w:t>
      </w:r>
      <w:r w:rsidRPr="00D677F7">
        <w:rPr>
          <w:color w:val="000000" w:themeColor="text1"/>
          <w:vertAlign w:val="superscript"/>
        </w:rPr>
        <w:t>6</w:t>
      </w:r>
      <w:r w:rsidRPr="00D677F7">
        <w:rPr>
          <w:color w:val="000000" w:themeColor="text1"/>
        </w:rPr>
        <w:t xml:space="preserve">. Chondroitin sulfate proteoglycans, such as </w:t>
      </w:r>
      <w:proofErr w:type="spellStart"/>
      <w:r w:rsidRPr="00D677F7">
        <w:rPr>
          <w:color w:val="000000" w:themeColor="text1"/>
        </w:rPr>
        <w:t>versican</w:t>
      </w:r>
      <w:proofErr w:type="spellEnd"/>
      <w:r w:rsidRPr="00D677F7">
        <w:rPr>
          <w:color w:val="000000" w:themeColor="text1"/>
        </w:rPr>
        <w:t>, also contribute to vascular compressive resilience by maintaining tissue hydration</w:t>
      </w:r>
      <w:r w:rsidRPr="00D677F7">
        <w:rPr>
          <w:color w:val="000000" w:themeColor="text1"/>
          <w:vertAlign w:val="superscript"/>
        </w:rPr>
        <w:t>7</w:t>
      </w:r>
      <w:r w:rsidRPr="00D677F7">
        <w:rPr>
          <w:color w:val="000000" w:themeColor="text1"/>
        </w:rPr>
        <w:t>. Since the first description of a tissue-engineered blood vessel construct approximately 40 years ago</w:t>
      </w:r>
      <w:r w:rsidRPr="00D677F7">
        <w:rPr>
          <w:color w:val="000000" w:themeColor="text1"/>
          <w:vertAlign w:val="superscript"/>
        </w:rPr>
        <w:t>8</w:t>
      </w:r>
      <w:r w:rsidRPr="00D677F7">
        <w:rPr>
          <w:color w:val="000000" w:themeColor="text1"/>
        </w:rPr>
        <w:t>, several models have been developed to mimic the ECM architecture of vascular tissue using different scaffold materials</w:t>
      </w:r>
      <w:r w:rsidRPr="00D677F7">
        <w:rPr>
          <w:color w:val="000000" w:themeColor="text1"/>
          <w:vertAlign w:val="superscript"/>
        </w:rPr>
        <w:t>9–12</w:t>
      </w:r>
      <w:r w:rsidRPr="00D677F7">
        <w:rPr>
          <w:color w:val="000000" w:themeColor="text1"/>
        </w:rPr>
        <w:t xml:space="preserve"> and fabrication strategies</w:t>
      </w:r>
      <w:r w:rsidRPr="00D677F7">
        <w:rPr>
          <w:color w:val="000000" w:themeColor="text1"/>
          <w:vertAlign w:val="superscript"/>
        </w:rPr>
        <w:t>13–15</w:t>
      </w:r>
      <w:r w:rsidRPr="00D677F7">
        <w:rPr>
          <w:color w:val="000000" w:themeColor="text1"/>
        </w:rPr>
        <w:t>. Despite the emerging role of artificial intelligence in standardizing these approaches</w:t>
      </w:r>
      <w:r w:rsidRPr="00D677F7">
        <w:rPr>
          <w:color w:val="000000" w:themeColor="text1"/>
          <w:vertAlign w:val="superscript"/>
        </w:rPr>
        <w:t>16</w:t>
      </w:r>
      <w:r w:rsidRPr="00D677F7">
        <w:rPr>
          <w:color w:val="000000" w:themeColor="text1"/>
        </w:rPr>
        <w:t>, many currently require specialized equipment and have limited scalability.</w:t>
      </w:r>
    </w:p>
    <w:p w14:paraId="4FDA83FF" w14:textId="77777777" w:rsidR="008E736C" w:rsidRPr="00D677F7" w:rsidRDefault="008E736C" w:rsidP="00D677F7">
      <w:pPr>
        <w:spacing w:line="0" w:lineRule="atLeast"/>
        <w:rPr>
          <w:color w:val="000000" w:themeColor="text1"/>
        </w:rPr>
      </w:pPr>
    </w:p>
    <w:p w14:paraId="0D06ABFA" w14:textId="1E776E66" w:rsidR="008E736C" w:rsidRPr="00D677F7" w:rsidRDefault="00665C01" w:rsidP="00D677F7">
      <w:pPr>
        <w:spacing w:line="0" w:lineRule="atLeast"/>
        <w:rPr>
          <w:color w:val="000000" w:themeColor="text1"/>
        </w:rPr>
      </w:pPr>
      <w:r w:rsidRPr="00D677F7">
        <w:rPr>
          <w:color w:val="000000" w:themeColor="text1"/>
        </w:rPr>
        <w:t>For disease modeling applications, reductionist 3D models that require less technical expertise are advantageous and may be more readily adopted and transferred between laboratories. A successful example is fibrin-based engineered heart tissue (EHT) generated from human induced pluripotent stem cell (iPSC)-derived cardiomyocytes, which is now widely used for cardiac disease modeling and drug screening</w:t>
      </w:r>
      <w:r w:rsidRPr="00D677F7">
        <w:rPr>
          <w:color w:val="000000" w:themeColor="text1"/>
          <w:vertAlign w:val="superscript"/>
        </w:rPr>
        <w:t>17–20</w:t>
      </w:r>
      <w:r w:rsidRPr="00D677F7">
        <w:rPr>
          <w:color w:val="000000" w:themeColor="text1"/>
        </w:rPr>
        <w:t>. Recently, our laboratory adapted the EHT platform to generate engineered vascular tissues (EVTs) from mouse aortic SMCs and applied this system to model vascular calcification</w:t>
      </w:r>
      <w:r w:rsidRPr="00D677F7">
        <w:rPr>
          <w:color w:val="000000" w:themeColor="text1"/>
          <w:vertAlign w:val="superscript"/>
        </w:rPr>
        <w:t>21</w:t>
      </w:r>
      <w:r w:rsidRPr="00D677F7">
        <w:rPr>
          <w:color w:val="000000" w:themeColor="text1"/>
        </w:rPr>
        <w:t>.</w:t>
      </w:r>
    </w:p>
    <w:p w14:paraId="54003D3B" w14:textId="77777777" w:rsidR="008E736C" w:rsidRPr="00D677F7" w:rsidRDefault="008E736C" w:rsidP="00D677F7">
      <w:pPr>
        <w:spacing w:line="0" w:lineRule="atLeast"/>
        <w:rPr>
          <w:color w:val="000000" w:themeColor="text1"/>
        </w:rPr>
      </w:pPr>
    </w:p>
    <w:p w14:paraId="2839EF1B" w14:textId="77777777" w:rsidR="008E736C" w:rsidRPr="00D677F7" w:rsidRDefault="00665C01" w:rsidP="00D677F7">
      <w:pPr>
        <w:spacing w:line="0" w:lineRule="atLeast"/>
        <w:rPr>
          <w:color w:val="000000" w:themeColor="text1"/>
        </w:rPr>
      </w:pPr>
      <w:r w:rsidRPr="00D677F7">
        <w:rPr>
          <w:color w:val="000000" w:themeColor="text1"/>
        </w:rPr>
        <w:t>The model exploits the natural fibrin polymerization process to rapidly form an insoluble fibrin matrix suspended between flexible polydimethylsiloxane (PDMS) posts. Embedded cells anchor to Arg-Gly-Asp (RGD) domains within the biopolymer scaffold, and plasmin secretion over time promotes fibrin degradation and replacement with de novo ECM</w:t>
      </w:r>
      <w:r w:rsidRPr="00D677F7">
        <w:rPr>
          <w:color w:val="000000" w:themeColor="text1"/>
          <w:vertAlign w:val="superscript"/>
        </w:rPr>
        <w:t>21</w:t>
      </w:r>
      <w:r w:rsidRPr="00D677F7">
        <w:rPr>
          <w:color w:val="000000" w:themeColor="text1"/>
        </w:rPr>
        <w:t>. This process generates a more physiologically relevant 3D environment, while the ability of SMCs within EVTs to contract over time also makes the system well suited for studying SMC contractility</w:t>
      </w:r>
      <w:r w:rsidRPr="00D677F7">
        <w:rPr>
          <w:color w:val="000000" w:themeColor="text1"/>
          <w:vertAlign w:val="superscript"/>
        </w:rPr>
        <w:t>22</w:t>
      </w:r>
      <w:r w:rsidRPr="00D677F7">
        <w:rPr>
          <w:color w:val="000000" w:themeColor="text1"/>
        </w:rPr>
        <w:t>.</w:t>
      </w:r>
    </w:p>
    <w:p w14:paraId="51969D26" w14:textId="77777777" w:rsidR="008E736C" w:rsidRPr="00D677F7" w:rsidRDefault="008E736C" w:rsidP="00D677F7">
      <w:pPr>
        <w:spacing w:line="0" w:lineRule="atLeast"/>
        <w:rPr>
          <w:color w:val="000000" w:themeColor="text1"/>
        </w:rPr>
      </w:pPr>
    </w:p>
    <w:p w14:paraId="48BA6B0A" w14:textId="4478D094" w:rsidR="006E4797" w:rsidRPr="00D677F7" w:rsidRDefault="00665C01" w:rsidP="00D677F7">
      <w:pPr>
        <w:spacing w:line="0" w:lineRule="atLeast"/>
        <w:rPr>
          <w:color w:val="000000" w:themeColor="text1"/>
        </w:rPr>
      </w:pPr>
      <w:r w:rsidRPr="00D677F7">
        <w:rPr>
          <w:color w:val="000000" w:themeColor="text1"/>
        </w:rPr>
        <w:t xml:space="preserve">Here, we provide a detailed protocol for generating EVTs using human aortic SMCs. Downstream embedding in optimal cutting temperature (OCT) compound or paraffin can be performed, and transverse or longitudinal sections can be stained for a range of applications, including terminal deoxynucleotidyl transferase </w:t>
      </w:r>
      <w:proofErr w:type="spellStart"/>
      <w:r w:rsidRPr="00D677F7">
        <w:rPr>
          <w:color w:val="000000" w:themeColor="text1"/>
        </w:rPr>
        <w:t>dUTP</w:t>
      </w:r>
      <w:proofErr w:type="spellEnd"/>
      <w:r w:rsidRPr="00D677F7">
        <w:rPr>
          <w:color w:val="000000" w:themeColor="text1"/>
        </w:rPr>
        <w:t xml:space="preserve"> nick end labeling (TUNEL) for assessment of apoptosis. In addition, we describe a two-step protein extraction approach that enables efficient separation of intracellular and soluble </w:t>
      </w:r>
      <w:proofErr w:type="spellStart"/>
      <w:r w:rsidRPr="00D677F7">
        <w:rPr>
          <w:color w:val="000000" w:themeColor="text1"/>
        </w:rPr>
        <w:t>matrisome</w:t>
      </w:r>
      <w:proofErr w:type="spellEnd"/>
      <w:r w:rsidRPr="00D677F7">
        <w:rPr>
          <w:color w:val="000000" w:themeColor="text1"/>
        </w:rPr>
        <w:t xml:space="preserve"> proteins from less soluble, highly crosslinked ECM proteins.</w:t>
      </w:r>
      <w:r w:rsidR="008B7B8A" w:rsidRPr="00D677F7">
        <w:rPr>
          <w:color w:val="000000" w:themeColor="text1"/>
        </w:rPr>
        <w:t xml:space="preserve"> </w:t>
      </w:r>
      <w:r w:rsidRPr="00D677F7">
        <w:rPr>
          <w:color w:val="000000" w:themeColor="text1"/>
        </w:rPr>
        <w:t>Analysis of these fractions by mass spectrometry-based proteomics enables characterization of de novo ECM production in EVTs.</w:t>
      </w:r>
    </w:p>
    <w:p w14:paraId="7A069FEA" w14:textId="77777777" w:rsidR="008E736C" w:rsidRPr="00D677F7" w:rsidRDefault="008E736C" w:rsidP="00D677F7">
      <w:pPr>
        <w:spacing w:line="0" w:lineRule="atLeast"/>
        <w:rPr>
          <w:color w:val="000000" w:themeColor="text1"/>
        </w:rPr>
      </w:pPr>
    </w:p>
    <w:p w14:paraId="6F413202" w14:textId="77777777" w:rsidR="00A62763" w:rsidRPr="00D677F7" w:rsidRDefault="00665C01" w:rsidP="00D677F7">
      <w:pPr>
        <w:spacing w:line="0" w:lineRule="atLeast"/>
        <w:rPr>
          <w:b/>
          <w:bCs/>
          <w:color w:val="000000" w:themeColor="text1"/>
        </w:rPr>
      </w:pPr>
      <w:r w:rsidRPr="00D677F7">
        <w:rPr>
          <w:b/>
          <w:bCs/>
          <w:color w:val="000000" w:themeColor="text1"/>
        </w:rPr>
        <w:lastRenderedPageBreak/>
        <w:t>PROTOCOL:</w:t>
      </w:r>
    </w:p>
    <w:p w14:paraId="332876B5" w14:textId="32FD6AD8" w:rsidR="00A62763" w:rsidRPr="00D677F7" w:rsidRDefault="00144A3B" w:rsidP="00D677F7">
      <w:pPr>
        <w:spacing w:line="0" w:lineRule="atLeast"/>
        <w:rPr>
          <w:color w:val="000000" w:themeColor="text1"/>
        </w:rPr>
      </w:pPr>
      <w:r w:rsidRPr="00144A3B">
        <w:rPr>
          <w:color w:val="000000" w:themeColor="text1"/>
        </w:rPr>
        <w:t xml:space="preserve">Primary human aortic </w:t>
      </w:r>
      <w:r>
        <w:rPr>
          <w:color w:val="000000" w:themeColor="text1"/>
        </w:rPr>
        <w:t>SMCs</w:t>
      </w:r>
      <w:r w:rsidRPr="00144A3B">
        <w:rPr>
          <w:color w:val="000000" w:themeColor="text1"/>
        </w:rPr>
        <w:t xml:space="preserve"> were commercially obtained from </w:t>
      </w:r>
      <w:proofErr w:type="spellStart"/>
      <w:r w:rsidRPr="00144A3B">
        <w:rPr>
          <w:color w:val="000000" w:themeColor="text1"/>
        </w:rPr>
        <w:t>PromoCell</w:t>
      </w:r>
      <w:proofErr w:type="spellEnd"/>
      <w:r w:rsidRPr="00144A3B">
        <w:rPr>
          <w:color w:val="000000" w:themeColor="text1"/>
        </w:rPr>
        <w:t xml:space="preserve"> (Cat. No. C-12533), Lonza (Cat. No. CC-2571), </w:t>
      </w:r>
      <w:proofErr w:type="spellStart"/>
      <w:r w:rsidRPr="00144A3B">
        <w:rPr>
          <w:color w:val="000000" w:themeColor="text1"/>
        </w:rPr>
        <w:t>Thermo</w:t>
      </w:r>
      <w:proofErr w:type="spellEnd"/>
      <w:r w:rsidRPr="00144A3B">
        <w:rPr>
          <w:color w:val="000000" w:themeColor="text1"/>
        </w:rPr>
        <w:t xml:space="preserve"> Fisher Scientific (Cat. No. C0075C), and Tebu-Bio/Cell Applications (Cat. No. 354-05a). All cells were acquired from commercial vendors and were supplied in accordance with the vendors</w:t>
      </w:r>
      <w:r>
        <w:rPr>
          <w:color w:val="000000" w:themeColor="text1"/>
        </w:rPr>
        <w:t>’</w:t>
      </w:r>
      <w:r w:rsidRPr="00144A3B">
        <w:rPr>
          <w:color w:val="000000" w:themeColor="text1"/>
        </w:rPr>
        <w:t xml:space="preserve"> ethical procurement policies and applicable regulations.</w:t>
      </w:r>
    </w:p>
    <w:p w14:paraId="325EBA86" w14:textId="77777777" w:rsidR="00A62763" w:rsidRPr="00D677F7" w:rsidRDefault="00A62763" w:rsidP="00D677F7">
      <w:pPr>
        <w:spacing w:line="0" w:lineRule="atLeast"/>
        <w:rPr>
          <w:color w:val="000000" w:themeColor="text1"/>
        </w:rPr>
      </w:pPr>
    </w:p>
    <w:p w14:paraId="11D2701B" w14:textId="77777777" w:rsidR="00E12523" w:rsidRPr="00D677F7" w:rsidRDefault="00E12523" w:rsidP="00D677F7">
      <w:pPr>
        <w:spacing w:line="0" w:lineRule="atLeast"/>
        <w:rPr>
          <w:b/>
          <w:bCs/>
          <w:color w:val="000000" w:themeColor="text1"/>
        </w:rPr>
      </w:pPr>
      <w:r w:rsidRPr="00D677F7">
        <w:rPr>
          <w:b/>
          <w:bCs/>
          <w:color w:val="000000" w:themeColor="text1"/>
        </w:rPr>
        <w:t>1. Preparation of Reagents (Aprotinin, Thrombin, and Fibrinogen)</w:t>
      </w:r>
    </w:p>
    <w:p w14:paraId="5123779A" w14:textId="77777777" w:rsidR="00E12523" w:rsidRPr="00D677F7" w:rsidRDefault="00E12523" w:rsidP="00D677F7">
      <w:pPr>
        <w:spacing w:line="0" w:lineRule="atLeast"/>
        <w:rPr>
          <w:color w:val="000000" w:themeColor="text1"/>
        </w:rPr>
      </w:pPr>
    </w:p>
    <w:p w14:paraId="58B026D6" w14:textId="77777777" w:rsidR="00E12523" w:rsidRPr="00D677F7" w:rsidRDefault="00E12523" w:rsidP="00D677F7">
      <w:pPr>
        <w:spacing w:line="0" w:lineRule="atLeast"/>
        <w:rPr>
          <w:color w:val="000000" w:themeColor="text1"/>
        </w:rPr>
      </w:pPr>
      <w:r w:rsidRPr="00D677F7">
        <w:rPr>
          <w:color w:val="000000" w:themeColor="text1"/>
        </w:rPr>
        <w:t>1.1. Under a sterile hood, add 303 µL of sterile distilled water to 10 mg of lyophilized bovine aprotinin. Mix carefully until the powder is completely resuspended. Prepare six 50 µL aliquots (33 mg/mL) and store at −80°C.</w:t>
      </w:r>
    </w:p>
    <w:p w14:paraId="78CEBC0D" w14:textId="77777777" w:rsidR="00E12523" w:rsidRPr="00D677F7" w:rsidRDefault="00E12523" w:rsidP="00D677F7">
      <w:pPr>
        <w:spacing w:line="0" w:lineRule="atLeast"/>
        <w:rPr>
          <w:color w:val="000000" w:themeColor="text1"/>
        </w:rPr>
      </w:pPr>
    </w:p>
    <w:p w14:paraId="2E113689" w14:textId="77777777" w:rsidR="00E12523" w:rsidRPr="00D677F7" w:rsidRDefault="00E12523" w:rsidP="00D677F7">
      <w:pPr>
        <w:spacing w:line="0" w:lineRule="atLeast"/>
        <w:rPr>
          <w:color w:val="000000" w:themeColor="text1"/>
        </w:rPr>
      </w:pPr>
      <w:r w:rsidRPr="00D677F7">
        <w:rPr>
          <w:color w:val="000000" w:themeColor="text1"/>
        </w:rPr>
        <w:t>1.2. Under a sterile hood, add 5 mL of sterile 0.9% NaCl solution to 500 mg of lyophilized human fibrinogen containing sodium citrate and sodium chloride. Do not mix with a pipette, as this may cause clumping and material loss.</w:t>
      </w:r>
    </w:p>
    <w:p w14:paraId="6565EA54" w14:textId="77777777" w:rsidR="00E12523" w:rsidRPr="00D677F7" w:rsidRDefault="00E12523" w:rsidP="00D677F7">
      <w:pPr>
        <w:spacing w:line="0" w:lineRule="atLeast"/>
        <w:rPr>
          <w:color w:val="000000" w:themeColor="text1"/>
        </w:rPr>
      </w:pPr>
    </w:p>
    <w:p w14:paraId="11DB7A13" w14:textId="77777777" w:rsidR="00E12523" w:rsidRPr="00D677F7" w:rsidRDefault="00E12523" w:rsidP="00D677F7">
      <w:pPr>
        <w:spacing w:line="0" w:lineRule="atLeast"/>
        <w:rPr>
          <w:color w:val="000000" w:themeColor="text1"/>
        </w:rPr>
      </w:pPr>
      <w:r w:rsidRPr="00D677F7">
        <w:rPr>
          <w:color w:val="000000" w:themeColor="text1"/>
        </w:rPr>
        <w:t>1.3. Seal the fibrinogen bottle with its lid under a sterile hood. Incubate the bottle in a 37°C water bath for 30 min, swirling periodically to facilitate complete resuspension. Prepare ten 500 µL aliquots (100 mg/mL) and store at −80°C.</w:t>
      </w:r>
    </w:p>
    <w:p w14:paraId="2BE6F169" w14:textId="77777777" w:rsidR="00E12523" w:rsidRPr="00D677F7" w:rsidRDefault="00E12523" w:rsidP="00D677F7">
      <w:pPr>
        <w:spacing w:line="0" w:lineRule="atLeast"/>
        <w:rPr>
          <w:color w:val="000000" w:themeColor="text1"/>
        </w:rPr>
      </w:pPr>
    </w:p>
    <w:p w14:paraId="55C8200F" w14:textId="77777777" w:rsidR="00E12523" w:rsidRPr="00D677F7" w:rsidRDefault="00E12523" w:rsidP="00D677F7">
      <w:pPr>
        <w:spacing w:line="0" w:lineRule="atLeast"/>
        <w:rPr>
          <w:color w:val="000000" w:themeColor="text1"/>
        </w:rPr>
      </w:pPr>
      <w:r w:rsidRPr="00D677F7">
        <w:rPr>
          <w:color w:val="000000" w:themeColor="text1"/>
        </w:rPr>
        <w:t>NOTE: Ensure that no visible clumps remain after fibrinogen resuspension. Incomplete resuspension will reduce the effective concentration of dissolved fibrinogen and may affect protocol reproducibility.</w:t>
      </w:r>
    </w:p>
    <w:p w14:paraId="7982D442" w14:textId="77777777" w:rsidR="00E12523" w:rsidRPr="00D677F7" w:rsidRDefault="00E12523" w:rsidP="00D677F7">
      <w:pPr>
        <w:spacing w:line="0" w:lineRule="atLeast"/>
        <w:rPr>
          <w:color w:val="000000" w:themeColor="text1"/>
        </w:rPr>
      </w:pPr>
    </w:p>
    <w:p w14:paraId="2B15EF00" w14:textId="77777777" w:rsidR="00E12523" w:rsidRPr="00D677F7" w:rsidRDefault="00E12523" w:rsidP="00D677F7">
      <w:pPr>
        <w:spacing w:line="0" w:lineRule="atLeast"/>
        <w:rPr>
          <w:color w:val="000000" w:themeColor="text1"/>
        </w:rPr>
      </w:pPr>
      <w:r w:rsidRPr="00D677F7">
        <w:rPr>
          <w:color w:val="000000" w:themeColor="text1"/>
        </w:rPr>
        <w:t>1.4. Thaw one aliquot of aprotinin and one aliquot of fibrinogen solution. Add 0.76 µL of aprotinin solution to a 500 µL fibrinogen aliquot to achieve a final aprotinin concentration of 50 µg/</w:t>
      </w:r>
      <w:proofErr w:type="spellStart"/>
      <w:r w:rsidRPr="00D677F7">
        <w:rPr>
          <w:color w:val="000000" w:themeColor="text1"/>
        </w:rPr>
        <w:t>mL.</w:t>
      </w:r>
      <w:proofErr w:type="spellEnd"/>
    </w:p>
    <w:p w14:paraId="037E92C5" w14:textId="77777777" w:rsidR="00E12523" w:rsidRPr="00D677F7" w:rsidRDefault="00E12523" w:rsidP="00D677F7">
      <w:pPr>
        <w:spacing w:line="0" w:lineRule="atLeast"/>
        <w:rPr>
          <w:color w:val="000000" w:themeColor="text1"/>
        </w:rPr>
      </w:pPr>
    </w:p>
    <w:p w14:paraId="29D132C9" w14:textId="77777777" w:rsidR="00E12523" w:rsidRPr="00D677F7" w:rsidRDefault="00E12523" w:rsidP="00D677F7">
      <w:pPr>
        <w:spacing w:line="0" w:lineRule="atLeast"/>
        <w:rPr>
          <w:color w:val="000000" w:themeColor="text1"/>
        </w:rPr>
      </w:pPr>
      <w:r w:rsidRPr="00D677F7">
        <w:rPr>
          <w:color w:val="000000" w:themeColor="text1"/>
        </w:rPr>
        <w:t>1.5. Aliquot the fibrinogen–aprotinin mixture into 50 µL volumes and store at −80°C together with the remaining aprotinin aliquot.</w:t>
      </w:r>
    </w:p>
    <w:p w14:paraId="59960ABB" w14:textId="77777777" w:rsidR="00E12523" w:rsidRPr="00D677F7" w:rsidRDefault="00E12523" w:rsidP="00D677F7">
      <w:pPr>
        <w:spacing w:line="0" w:lineRule="atLeast"/>
        <w:rPr>
          <w:color w:val="000000" w:themeColor="text1"/>
        </w:rPr>
      </w:pPr>
    </w:p>
    <w:p w14:paraId="6C268D3C" w14:textId="45312266" w:rsidR="00E12523" w:rsidRPr="00D677F7" w:rsidRDefault="00E12523" w:rsidP="00D677F7">
      <w:pPr>
        <w:spacing w:line="0" w:lineRule="atLeast"/>
        <w:rPr>
          <w:color w:val="000000" w:themeColor="text1"/>
        </w:rPr>
      </w:pPr>
      <w:r w:rsidRPr="00D677F7">
        <w:rPr>
          <w:color w:val="000000" w:themeColor="text1"/>
        </w:rPr>
        <w:t>1.6. Under a sterile hood, prepare a diluent by mixing 6.6 mL of sterile Dulbecco</w:t>
      </w:r>
      <w:r w:rsidR="009B22E4">
        <w:rPr>
          <w:color w:val="000000" w:themeColor="text1"/>
        </w:rPr>
        <w:t>’</w:t>
      </w:r>
      <w:r w:rsidRPr="00D677F7">
        <w:rPr>
          <w:color w:val="000000" w:themeColor="text1"/>
        </w:rPr>
        <w:t>s phosphate-buffered saline (DPBS) with 4.4 mL of sterile water.</w:t>
      </w:r>
    </w:p>
    <w:p w14:paraId="1E0526D1" w14:textId="77777777" w:rsidR="00E12523" w:rsidRPr="00D677F7" w:rsidRDefault="00E12523" w:rsidP="00D677F7">
      <w:pPr>
        <w:spacing w:line="0" w:lineRule="atLeast"/>
        <w:rPr>
          <w:color w:val="000000" w:themeColor="text1"/>
        </w:rPr>
      </w:pPr>
    </w:p>
    <w:p w14:paraId="46AEE8AE" w14:textId="77777777" w:rsidR="00E12523" w:rsidRPr="00D677F7" w:rsidRDefault="00E12523" w:rsidP="00D677F7">
      <w:pPr>
        <w:spacing w:line="0" w:lineRule="atLeast"/>
        <w:rPr>
          <w:color w:val="000000" w:themeColor="text1"/>
        </w:rPr>
      </w:pPr>
      <w:r w:rsidRPr="00D677F7">
        <w:rPr>
          <w:color w:val="000000" w:themeColor="text1"/>
        </w:rPr>
        <w:t xml:space="preserve">1.7. Under a sterile hood, add 10 mL of the DPBS–water diluent to 1 </w:t>
      </w:r>
      <w:proofErr w:type="spellStart"/>
      <w:r w:rsidRPr="00D677F7">
        <w:rPr>
          <w:color w:val="000000" w:themeColor="text1"/>
        </w:rPr>
        <w:t>kU</w:t>
      </w:r>
      <w:proofErr w:type="spellEnd"/>
      <w:r w:rsidRPr="00D677F7">
        <w:rPr>
          <w:color w:val="000000" w:themeColor="text1"/>
        </w:rPr>
        <w:t xml:space="preserve"> of lyophilized bovine thrombin supplied in 50 mM sodium citrate, 0.2 M NaCl, and 0.1% PEG-8000 (pH 6.5). Mix carefully until the thrombin is completely resuspended.</w:t>
      </w:r>
    </w:p>
    <w:p w14:paraId="3F21435D" w14:textId="77777777" w:rsidR="00E12523" w:rsidRPr="00D677F7" w:rsidRDefault="00E12523" w:rsidP="00D677F7">
      <w:pPr>
        <w:spacing w:line="0" w:lineRule="atLeast"/>
        <w:rPr>
          <w:color w:val="000000" w:themeColor="text1"/>
        </w:rPr>
      </w:pPr>
    </w:p>
    <w:p w14:paraId="7A220CB1" w14:textId="77777777" w:rsidR="00E12523" w:rsidRPr="00D677F7" w:rsidRDefault="00E12523" w:rsidP="00D677F7">
      <w:pPr>
        <w:spacing w:line="0" w:lineRule="atLeast"/>
        <w:rPr>
          <w:color w:val="000000" w:themeColor="text1"/>
        </w:rPr>
      </w:pPr>
      <w:r w:rsidRPr="00D677F7">
        <w:rPr>
          <w:color w:val="000000" w:themeColor="text1"/>
        </w:rPr>
        <w:t xml:space="preserve">1.8. Aliquot the thrombin solution into eighty 125 µL aliquots (100 U/mL) and store at −80°C. Further subdivide one 125 µL </w:t>
      </w:r>
      <w:proofErr w:type="gramStart"/>
      <w:r w:rsidRPr="00D677F7">
        <w:rPr>
          <w:color w:val="000000" w:themeColor="text1"/>
        </w:rPr>
        <w:t>aliquot</w:t>
      </w:r>
      <w:proofErr w:type="gramEnd"/>
      <w:r w:rsidRPr="00D677F7">
        <w:rPr>
          <w:color w:val="000000" w:themeColor="text1"/>
        </w:rPr>
        <w:t xml:space="preserve"> into forty 3 µL aliquots, allowing for residual volume during pipetting, and store at −80°C with the remaining aliquots.</w:t>
      </w:r>
    </w:p>
    <w:p w14:paraId="074DCE34" w14:textId="77777777" w:rsidR="00E12523" w:rsidRPr="00D677F7" w:rsidRDefault="00E12523" w:rsidP="00D677F7">
      <w:pPr>
        <w:spacing w:line="0" w:lineRule="atLeast"/>
        <w:rPr>
          <w:color w:val="000000" w:themeColor="text1"/>
        </w:rPr>
      </w:pPr>
    </w:p>
    <w:p w14:paraId="4EEC4395" w14:textId="77777777" w:rsidR="00E12523" w:rsidRPr="00D677F7" w:rsidRDefault="00E12523" w:rsidP="00D677F7">
      <w:pPr>
        <w:spacing w:line="0" w:lineRule="atLeast"/>
        <w:rPr>
          <w:color w:val="000000" w:themeColor="text1"/>
        </w:rPr>
      </w:pPr>
      <w:r w:rsidRPr="00D677F7">
        <w:rPr>
          <w:color w:val="000000" w:themeColor="text1"/>
        </w:rPr>
        <w:t>NOTE: Limit freeze–thaw cycles for fibrinogen, aprotinin, and thrombin aliquots to a maximum of three. Aliquots are stable for at least 2 years when stored at −80°C.</w:t>
      </w:r>
    </w:p>
    <w:p w14:paraId="58E988CA" w14:textId="77777777" w:rsidR="00E12523" w:rsidRPr="00D677F7" w:rsidRDefault="00E12523" w:rsidP="00D677F7">
      <w:pPr>
        <w:spacing w:line="0" w:lineRule="atLeast"/>
        <w:rPr>
          <w:color w:val="000000" w:themeColor="text1"/>
        </w:rPr>
      </w:pPr>
    </w:p>
    <w:p w14:paraId="1231892C" w14:textId="77777777" w:rsidR="00E12523" w:rsidRPr="00D677F7" w:rsidRDefault="00E12523" w:rsidP="00D677F7">
      <w:pPr>
        <w:spacing w:line="0" w:lineRule="atLeast"/>
        <w:rPr>
          <w:b/>
          <w:bCs/>
          <w:color w:val="000000" w:themeColor="text1"/>
        </w:rPr>
      </w:pPr>
      <w:r w:rsidRPr="00D677F7">
        <w:rPr>
          <w:b/>
          <w:bCs/>
          <w:color w:val="000000" w:themeColor="text1"/>
        </w:rPr>
        <w:t>2. Preparation of Culture Media, Casting Apparatus, and Agarose Solution</w:t>
      </w:r>
    </w:p>
    <w:p w14:paraId="11682405" w14:textId="77777777" w:rsidR="00E12523" w:rsidRPr="00D677F7" w:rsidRDefault="00E12523" w:rsidP="00D677F7">
      <w:pPr>
        <w:spacing w:line="0" w:lineRule="atLeast"/>
        <w:rPr>
          <w:b/>
          <w:bCs/>
          <w:color w:val="000000" w:themeColor="text1"/>
        </w:rPr>
      </w:pPr>
    </w:p>
    <w:p w14:paraId="633A8EC8" w14:textId="77777777" w:rsidR="00E12523" w:rsidRPr="00D677F7" w:rsidRDefault="00E12523" w:rsidP="00D677F7">
      <w:pPr>
        <w:spacing w:line="0" w:lineRule="atLeast"/>
        <w:rPr>
          <w:color w:val="000000" w:themeColor="text1"/>
        </w:rPr>
      </w:pPr>
      <w:r w:rsidRPr="00D677F7">
        <w:rPr>
          <w:color w:val="000000" w:themeColor="text1"/>
        </w:rPr>
        <w:t>NOTE: This protocol uses Smooth Muscle Cell Growth Medium 2 (SMCGM-2) as the complete medium for growth and maintenance of SMCs prior to casting EVTs. Plan culture vessel numbers and sizes based on a requirement of 550,000 cells per EVT.</w:t>
      </w:r>
    </w:p>
    <w:p w14:paraId="58848CFC" w14:textId="77777777" w:rsidR="00E12523" w:rsidRPr="00D677F7" w:rsidRDefault="00E12523" w:rsidP="00D677F7">
      <w:pPr>
        <w:spacing w:line="0" w:lineRule="atLeast"/>
        <w:rPr>
          <w:color w:val="000000" w:themeColor="text1"/>
        </w:rPr>
      </w:pPr>
    </w:p>
    <w:p w14:paraId="702182D3" w14:textId="77777777" w:rsidR="00E12523" w:rsidRPr="00D677F7" w:rsidRDefault="00E12523" w:rsidP="00D677F7">
      <w:pPr>
        <w:spacing w:line="0" w:lineRule="atLeast"/>
        <w:rPr>
          <w:color w:val="000000" w:themeColor="text1"/>
        </w:rPr>
      </w:pPr>
      <w:r w:rsidRPr="00D677F7">
        <w:rPr>
          <w:color w:val="000000" w:themeColor="text1"/>
        </w:rPr>
        <w:t>2.1. Under a sterile hood, add 5.3 mL of 100× penicillin–streptomycin (10,000 U/mL) solution to a 500 mL bottle of SMCGM-2 basal medium.</w:t>
      </w:r>
    </w:p>
    <w:p w14:paraId="425F4171" w14:textId="77777777" w:rsidR="009B22E4" w:rsidRDefault="009B22E4" w:rsidP="00D677F7">
      <w:pPr>
        <w:spacing w:line="0" w:lineRule="atLeast"/>
        <w:rPr>
          <w:color w:val="000000" w:themeColor="text1"/>
        </w:rPr>
      </w:pPr>
    </w:p>
    <w:p w14:paraId="50A4CC57" w14:textId="57FA8F7B" w:rsidR="00E12523" w:rsidRPr="00D677F7" w:rsidRDefault="00E12523" w:rsidP="00D677F7">
      <w:pPr>
        <w:spacing w:line="0" w:lineRule="atLeast"/>
        <w:rPr>
          <w:color w:val="000000" w:themeColor="text1"/>
        </w:rPr>
      </w:pPr>
      <w:r w:rsidRPr="00D677F7">
        <w:rPr>
          <w:color w:val="000000" w:themeColor="text1"/>
        </w:rPr>
        <w:t>2.2. Complete the medium formulation by adding the manufacturer-provided fetal bovine serum (FBS; 25 mL) and 500 µL each of the following supplements: recombinant human epidermal growth factor (0.5 µg/mL stock; final concentration 0.5 ng/mL), recombinant human basic fibroblast growth factor (2 µg/mL stock; final concentration 2 ng/mL), and recombinant human insulin (5 mg/mL stock; final concentration 5 µg/mL).</w:t>
      </w:r>
    </w:p>
    <w:p w14:paraId="5D4010D4" w14:textId="77777777" w:rsidR="00E12523" w:rsidRPr="00D677F7" w:rsidRDefault="00E12523" w:rsidP="00D677F7">
      <w:pPr>
        <w:spacing w:line="0" w:lineRule="atLeast"/>
        <w:rPr>
          <w:color w:val="000000" w:themeColor="text1"/>
        </w:rPr>
      </w:pPr>
    </w:p>
    <w:p w14:paraId="7DD26C14" w14:textId="77777777" w:rsidR="00E12523" w:rsidRPr="00D677F7" w:rsidRDefault="00E12523" w:rsidP="00D677F7">
      <w:pPr>
        <w:spacing w:line="0" w:lineRule="atLeast"/>
        <w:rPr>
          <w:color w:val="000000" w:themeColor="text1"/>
        </w:rPr>
      </w:pPr>
      <w:r w:rsidRPr="00D677F7">
        <w:rPr>
          <w:color w:val="000000" w:themeColor="text1"/>
        </w:rPr>
        <w:t>2.3. Culture SMCs, splitting the cells at a 1:3 ratio at each passage until approximately 80% confluency is reached in a T225 flask.</w:t>
      </w:r>
    </w:p>
    <w:p w14:paraId="0C893E05" w14:textId="77777777" w:rsidR="00E12523" w:rsidRPr="00D677F7" w:rsidRDefault="00E12523" w:rsidP="00D677F7">
      <w:pPr>
        <w:spacing w:line="0" w:lineRule="atLeast"/>
        <w:rPr>
          <w:color w:val="000000" w:themeColor="text1"/>
        </w:rPr>
      </w:pPr>
    </w:p>
    <w:p w14:paraId="081CF7F2" w14:textId="77777777" w:rsidR="00E12523" w:rsidRPr="00D677F7" w:rsidRDefault="00E12523" w:rsidP="00D677F7">
      <w:pPr>
        <w:spacing w:line="0" w:lineRule="atLeast"/>
        <w:rPr>
          <w:color w:val="000000" w:themeColor="text1"/>
        </w:rPr>
      </w:pPr>
      <w:r w:rsidRPr="00D677F7">
        <w:rPr>
          <w:color w:val="000000" w:themeColor="text1"/>
        </w:rPr>
        <w:t>NOTE: EVTs used to generate the data presented in this manuscript were cast using SMCs at passages 8 or 9.</w:t>
      </w:r>
    </w:p>
    <w:p w14:paraId="5A60C63F" w14:textId="77777777" w:rsidR="00E12523" w:rsidRPr="00D677F7" w:rsidRDefault="00E12523" w:rsidP="00D677F7">
      <w:pPr>
        <w:spacing w:line="0" w:lineRule="atLeast"/>
        <w:rPr>
          <w:color w:val="000000" w:themeColor="text1"/>
        </w:rPr>
      </w:pPr>
    </w:p>
    <w:p w14:paraId="4DA235BA" w14:textId="50472D8A" w:rsidR="00E12523" w:rsidRPr="00D677F7" w:rsidRDefault="00E12523" w:rsidP="00D677F7">
      <w:pPr>
        <w:spacing w:line="0" w:lineRule="atLeast"/>
        <w:rPr>
          <w:color w:val="000000" w:themeColor="text1"/>
        </w:rPr>
      </w:pPr>
      <w:r w:rsidRPr="00D677F7">
        <w:rPr>
          <w:color w:val="000000" w:themeColor="text1"/>
        </w:rPr>
        <w:t>2.4. On the day before EVT casting, autoclave the PDMS racks and polytetrafluoroethylene (PTFE) spacers in separate clean containers. Use one rack–spacer pair for casting four EVTs within one column of a 24-well tissue culture plate.</w:t>
      </w:r>
    </w:p>
    <w:p w14:paraId="62F40E6A" w14:textId="77777777" w:rsidR="00E12523" w:rsidRPr="00D677F7" w:rsidRDefault="00E12523" w:rsidP="00D677F7">
      <w:pPr>
        <w:spacing w:line="0" w:lineRule="atLeast"/>
        <w:rPr>
          <w:color w:val="000000" w:themeColor="text1"/>
        </w:rPr>
      </w:pPr>
    </w:p>
    <w:p w14:paraId="47D9DD49" w14:textId="77777777" w:rsidR="00E12523" w:rsidRPr="00D677F7" w:rsidRDefault="00E12523" w:rsidP="00D677F7">
      <w:pPr>
        <w:spacing w:line="0" w:lineRule="atLeast"/>
        <w:rPr>
          <w:color w:val="000000" w:themeColor="text1"/>
        </w:rPr>
      </w:pPr>
      <w:r w:rsidRPr="00D677F7">
        <w:rPr>
          <w:color w:val="000000" w:themeColor="text1"/>
        </w:rPr>
        <w:t>NOTE: PDMS racks and PTFE spacers used for EVT generation may be obtained commercially. Refer to the Table of Materials for product details.</w:t>
      </w:r>
    </w:p>
    <w:p w14:paraId="0C0B1F20" w14:textId="77777777" w:rsidR="00E12523" w:rsidRPr="00D677F7" w:rsidRDefault="00E12523" w:rsidP="00D677F7">
      <w:pPr>
        <w:spacing w:line="0" w:lineRule="atLeast"/>
        <w:rPr>
          <w:color w:val="000000" w:themeColor="text1"/>
        </w:rPr>
      </w:pPr>
    </w:p>
    <w:p w14:paraId="21B5CDCB" w14:textId="77777777" w:rsidR="00E12523" w:rsidRPr="00D677F7" w:rsidRDefault="00E12523" w:rsidP="00D677F7">
      <w:pPr>
        <w:spacing w:line="0" w:lineRule="atLeast"/>
        <w:rPr>
          <w:color w:val="000000" w:themeColor="text1"/>
        </w:rPr>
      </w:pPr>
      <w:r w:rsidRPr="00D677F7">
        <w:rPr>
          <w:color w:val="000000" w:themeColor="text1"/>
        </w:rPr>
        <w:t>2.5. On the day of EVT casting, prepare EVT medium by adding one 50 µL aprotinin stock aliquot prepared in Step 1.1 to 49.95 mL of SMCGM-2. Store the medium at 4°C until use.</w:t>
      </w:r>
    </w:p>
    <w:p w14:paraId="56A49CF1" w14:textId="77777777" w:rsidR="00E12523" w:rsidRPr="00D677F7" w:rsidRDefault="00E12523" w:rsidP="00D677F7">
      <w:pPr>
        <w:spacing w:line="0" w:lineRule="atLeast"/>
        <w:rPr>
          <w:color w:val="000000" w:themeColor="text1"/>
        </w:rPr>
      </w:pPr>
    </w:p>
    <w:p w14:paraId="0425AC3C" w14:textId="1BD30FD4" w:rsidR="00E12523" w:rsidRPr="00D677F7" w:rsidRDefault="00E12523" w:rsidP="00D677F7">
      <w:pPr>
        <w:spacing w:line="0" w:lineRule="atLeast"/>
        <w:rPr>
          <w:color w:val="000000" w:themeColor="text1"/>
        </w:rPr>
      </w:pPr>
      <w:r w:rsidRPr="00D677F7">
        <w:rPr>
          <w:color w:val="000000" w:themeColor="text1"/>
        </w:rPr>
        <w:t>2.6. Weigh 670 mg of Dulbecco</w:t>
      </w:r>
      <w:r w:rsidR="009B22E4">
        <w:rPr>
          <w:color w:val="000000" w:themeColor="text1"/>
        </w:rPr>
        <w:t>’</w:t>
      </w:r>
      <w:r w:rsidRPr="00D677F7">
        <w:rPr>
          <w:color w:val="000000" w:themeColor="text1"/>
        </w:rPr>
        <w:t>s Modified Eagle Medium (DMEM) powder under a sterile hood and dissolve it in 5 mL of sterile water to prepare basal 10× DMEM. Sterile-filter the solution through a 0.22 µm filter into a sterile tube and store at 4°C until use.</w:t>
      </w:r>
    </w:p>
    <w:p w14:paraId="344D35BE" w14:textId="77777777" w:rsidR="00E12523" w:rsidRPr="00D677F7" w:rsidRDefault="00E12523" w:rsidP="00D677F7">
      <w:pPr>
        <w:spacing w:line="0" w:lineRule="atLeast"/>
        <w:rPr>
          <w:color w:val="000000" w:themeColor="text1"/>
        </w:rPr>
      </w:pPr>
    </w:p>
    <w:p w14:paraId="1113797E" w14:textId="77777777" w:rsidR="00E12523" w:rsidRPr="00D677F7" w:rsidRDefault="00E12523" w:rsidP="00D677F7">
      <w:pPr>
        <w:spacing w:line="0" w:lineRule="atLeast"/>
        <w:rPr>
          <w:color w:val="000000" w:themeColor="text1"/>
        </w:rPr>
      </w:pPr>
      <w:r w:rsidRPr="00D677F7">
        <w:rPr>
          <w:color w:val="000000" w:themeColor="text1"/>
        </w:rPr>
        <w:t xml:space="preserve">2.7. Prepare complete 3× DMEM by combining 3 mL of basal 10× DMEM, 1.5 mL of FBS, 300 µL of 100× penicillin–streptomycin solution, and 300 µL of </w:t>
      </w:r>
      <w:proofErr w:type="spellStart"/>
      <w:r w:rsidRPr="00D677F7">
        <w:rPr>
          <w:color w:val="000000" w:themeColor="text1"/>
        </w:rPr>
        <w:t>GlutaMAX</w:t>
      </w:r>
      <w:proofErr w:type="spellEnd"/>
      <w:r w:rsidRPr="00D677F7">
        <w:rPr>
          <w:color w:val="000000" w:themeColor="text1"/>
        </w:rPr>
        <w:t xml:space="preserve"> Supplement. Bring the volume to 10 mL with sterile water.</w:t>
      </w:r>
    </w:p>
    <w:p w14:paraId="3328847B" w14:textId="77777777" w:rsidR="00E12523" w:rsidRPr="00D677F7" w:rsidRDefault="00E12523" w:rsidP="00D677F7">
      <w:pPr>
        <w:spacing w:line="0" w:lineRule="atLeast"/>
        <w:rPr>
          <w:color w:val="000000" w:themeColor="text1"/>
        </w:rPr>
      </w:pPr>
    </w:p>
    <w:p w14:paraId="346F34E2" w14:textId="77777777" w:rsidR="00E12523" w:rsidRPr="00D677F7" w:rsidRDefault="00E12523" w:rsidP="00D677F7">
      <w:pPr>
        <w:spacing w:line="0" w:lineRule="atLeast"/>
        <w:rPr>
          <w:color w:val="000000" w:themeColor="text1"/>
        </w:rPr>
      </w:pPr>
      <w:r w:rsidRPr="00D677F7">
        <w:rPr>
          <w:color w:val="000000" w:themeColor="text1"/>
        </w:rPr>
        <w:t>2.8. Prepare a 2% agarose suspension by adding 2.0 g agarose powder to 100 mL DPBS under a sterile hood.</w:t>
      </w:r>
    </w:p>
    <w:p w14:paraId="294C7F8B" w14:textId="77777777" w:rsidR="00E12523" w:rsidRPr="00D677F7" w:rsidRDefault="00E12523" w:rsidP="00D677F7">
      <w:pPr>
        <w:spacing w:line="0" w:lineRule="atLeast"/>
        <w:rPr>
          <w:color w:val="000000" w:themeColor="text1"/>
        </w:rPr>
      </w:pPr>
    </w:p>
    <w:p w14:paraId="76C5CF3C" w14:textId="77777777" w:rsidR="00E12523" w:rsidRPr="00D677F7" w:rsidRDefault="00E12523" w:rsidP="00D677F7">
      <w:pPr>
        <w:spacing w:line="0" w:lineRule="atLeast"/>
        <w:rPr>
          <w:color w:val="000000" w:themeColor="text1"/>
        </w:rPr>
      </w:pPr>
      <w:r w:rsidRPr="00D677F7">
        <w:rPr>
          <w:color w:val="000000" w:themeColor="text1"/>
        </w:rPr>
        <w:t xml:space="preserve">2.9. Autoclave the agarose suspension before EVT casting and allow the autoclave cycle to </w:t>
      </w:r>
      <w:r w:rsidRPr="00D677F7">
        <w:rPr>
          <w:color w:val="000000" w:themeColor="text1"/>
        </w:rPr>
        <w:lastRenderedPageBreak/>
        <w:t>complete fully.</w:t>
      </w:r>
    </w:p>
    <w:p w14:paraId="1DAC258A" w14:textId="77777777" w:rsidR="00E12523" w:rsidRPr="00D677F7" w:rsidRDefault="00E12523" w:rsidP="00D677F7">
      <w:pPr>
        <w:spacing w:line="0" w:lineRule="atLeast"/>
        <w:rPr>
          <w:color w:val="000000" w:themeColor="text1"/>
        </w:rPr>
      </w:pPr>
    </w:p>
    <w:p w14:paraId="7028D29B" w14:textId="77777777" w:rsidR="00E12523" w:rsidRPr="00D677F7" w:rsidRDefault="00E12523" w:rsidP="00D677F7">
      <w:pPr>
        <w:spacing w:line="0" w:lineRule="atLeast"/>
        <w:rPr>
          <w:color w:val="000000" w:themeColor="text1"/>
        </w:rPr>
      </w:pPr>
      <w:r w:rsidRPr="00D677F7">
        <w:rPr>
          <w:color w:val="000000" w:themeColor="text1"/>
        </w:rPr>
        <w:t>2.10. Transfer the agarose solution to a 60°C oven and maintain it in a liquid state until use. Store the molten agarose for no longer than 24 h and do not reuse it after solidification.</w:t>
      </w:r>
    </w:p>
    <w:p w14:paraId="69247C57" w14:textId="77777777" w:rsidR="00E12523" w:rsidRPr="00D677F7" w:rsidRDefault="00E12523" w:rsidP="00D677F7">
      <w:pPr>
        <w:spacing w:line="0" w:lineRule="atLeast"/>
        <w:rPr>
          <w:color w:val="000000" w:themeColor="text1"/>
        </w:rPr>
      </w:pPr>
    </w:p>
    <w:p w14:paraId="37C31582" w14:textId="77777777" w:rsidR="00E12523" w:rsidRPr="00D677F7" w:rsidRDefault="00E12523" w:rsidP="00D677F7">
      <w:pPr>
        <w:spacing w:line="0" w:lineRule="atLeast"/>
        <w:rPr>
          <w:b/>
          <w:bCs/>
          <w:color w:val="000000" w:themeColor="text1"/>
        </w:rPr>
      </w:pPr>
      <w:r w:rsidRPr="00D677F7">
        <w:rPr>
          <w:b/>
          <w:bCs/>
          <w:color w:val="000000" w:themeColor="text1"/>
        </w:rPr>
        <w:t>3. Casting and Culture of EVTs</w:t>
      </w:r>
    </w:p>
    <w:p w14:paraId="521CF863" w14:textId="77777777" w:rsidR="00E12523" w:rsidRPr="00D677F7" w:rsidRDefault="00E12523" w:rsidP="00D677F7">
      <w:pPr>
        <w:spacing w:line="0" w:lineRule="atLeast"/>
        <w:rPr>
          <w:color w:val="000000" w:themeColor="text1"/>
        </w:rPr>
      </w:pPr>
    </w:p>
    <w:p w14:paraId="3C71D7D7"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t>3.1. Warm SMCGM-2, 0.05% trypsin–ethylenediaminetetraacetic acid (EDTA), and DPBS to 37°C in a water bath.</w:t>
      </w:r>
    </w:p>
    <w:p w14:paraId="76721FD4" w14:textId="77777777" w:rsidR="00E12523" w:rsidRPr="000C5222" w:rsidRDefault="00E12523" w:rsidP="00D677F7">
      <w:pPr>
        <w:spacing w:line="0" w:lineRule="atLeast"/>
        <w:rPr>
          <w:color w:val="000000" w:themeColor="text1"/>
          <w:highlight w:val="yellow"/>
        </w:rPr>
      </w:pPr>
    </w:p>
    <w:p w14:paraId="133C0839"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t>3.2. Wash the cells once with pre-warmed DPBS. Aspirate the DPBS and incubate the cells with 0.05% trypsin–EDTA in a cell culture incubator (37°C, 5% CO₂) for 3 min.</w:t>
      </w:r>
    </w:p>
    <w:p w14:paraId="01141E18" w14:textId="77777777" w:rsidR="00E12523" w:rsidRPr="000C5222" w:rsidRDefault="00E12523" w:rsidP="00D677F7">
      <w:pPr>
        <w:spacing w:line="0" w:lineRule="atLeast"/>
        <w:rPr>
          <w:color w:val="000000" w:themeColor="text1"/>
          <w:highlight w:val="yellow"/>
        </w:rPr>
      </w:pPr>
    </w:p>
    <w:p w14:paraId="7BD338B6"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t>3.3. After cell detachment, dissociate the cell suspension by pipetting. Neutralize the trypsin with an equal volume of pre-warmed SMCGM-2 and centrifuge at 220 × g for 5 min.</w:t>
      </w:r>
    </w:p>
    <w:p w14:paraId="71338E95" w14:textId="77777777" w:rsidR="00E12523" w:rsidRPr="000C5222" w:rsidRDefault="00E12523" w:rsidP="00D677F7">
      <w:pPr>
        <w:spacing w:line="0" w:lineRule="atLeast"/>
        <w:rPr>
          <w:color w:val="000000" w:themeColor="text1"/>
          <w:highlight w:val="yellow"/>
        </w:rPr>
      </w:pPr>
    </w:p>
    <w:p w14:paraId="61F1E83B"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t>3.4. During centrifugation, thaw fibrinogen–aprotinin aliquots (Step 1.5) and 3 µL thrombin aliquots (Step 1.8) on ice. Use one 50 µL fibrinogen–aprotinin aliquot for every nine EVTs. Use one 3 µL thrombin aliquot for each EVT.</w:t>
      </w:r>
    </w:p>
    <w:p w14:paraId="18671440" w14:textId="77777777" w:rsidR="00E12523" w:rsidRPr="000C5222" w:rsidRDefault="00E12523" w:rsidP="00D677F7">
      <w:pPr>
        <w:spacing w:line="0" w:lineRule="atLeast"/>
        <w:rPr>
          <w:color w:val="000000" w:themeColor="text1"/>
          <w:highlight w:val="yellow"/>
        </w:rPr>
      </w:pPr>
    </w:p>
    <w:p w14:paraId="4580958B"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t>3.5. During centrifugation, place the molten agarose solution under a sterile hood. Dispense 1.6 mL agarose into each required well of a 24-well plate.</w:t>
      </w:r>
    </w:p>
    <w:p w14:paraId="70F5DB79" w14:textId="77777777" w:rsidR="00E12523" w:rsidRPr="000C5222" w:rsidRDefault="00E12523" w:rsidP="00D677F7">
      <w:pPr>
        <w:spacing w:line="0" w:lineRule="atLeast"/>
        <w:rPr>
          <w:color w:val="000000" w:themeColor="text1"/>
          <w:highlight w:val="yellow"/>
        </w:rPr>
      </w:pPr>
    </w:p>
    <w:p w14:paraId="22F192F7"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t>3.6. Immediately insert the PTFE spacers into the agarose and allow the agarose to solidify for 10 min.</w:t>
      </w:r>
    </w:p>
    <w:p w14:paraId="289FD7B0" w14:textId="77777777" w:rsidR="00E12523" w:rsidRPr="000C5222" w:rsidRDefault="00E12523" w:rsidP="00D677F7">
      <w:pPr>
        <w:spacing w:line="0" w:lineRule="atLeast"/>
        <w:rPr>
          <w:color w:val="000000" w:themeColor="text1"/>
          <w:highlight w:val="yellow"/>
        </w:rPr>
      </w:pPr>
    </w:p>
    <w:p w14:paraId="17223921"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t>3.7. Resuspend the cell pellet in 10 mL of pre-warmed SMCGM-2 and determine the cell concentration.</w:t>
      </w:r>
    </w:p>
    <w:p w14:paraId="16F677B0" w14:textId="77777777" w:rsidR="00E12523" w:rsidRPr="000C5222" w:rsidRDefault="00E12523" w:rsidP="00D677F7">
      <w:pPr>
        <w:spacing w:line="0" w:lineRule="atLeast"/>
        <w:rPr>
          <w:color w:val="000000" w:themeColor="text1"/>
          <w:highlight w:val="yellow"/>
        </w:rPr>
      </w:pPr>
    </w:p>
    <w:p w14:paraId="085A6678"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t>3.8. Collect 550,000 cells for each EVT and centrifuge at 220 × g for 5 min.</w:t>
      </w:r>
    </w:p>
    <w:p w14:paraId="0F19C0AB" w14:textId="77777777" w:rsidR="00E12523" w:rsidRPr="000C5222" w:rsidRDefault="00E12523" w:rsidP="00D677F7">
      <w:pPr>
        <w:spacing w:line="0" w:lineRule="atLeast"/>
        <w:rPr>
          <w:color w:val="000000" w:themeColor="text1"/>
          <w:highlight w:val="yellow"/>
        </w:rPr>
      </w:pPr>
    </w:p>
    <w:p w14:paraId="6A012700"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t>3.9. Remove the PTFE spacers from the solidified agarose molds and cover the plate with a lid.</w:t>
      </w:r>
    </w:p>
    <w:p w14:paraId="494224C2" w14:textId="77777777" w:rsidR="00E12523" w:rsidRPr="000C5222" w:rsidRDefault="00E12523" w:rsidP="00D677F7">
      <w:pPr>
        <w:spacing w:line="0" w:lineRule="atLeast"/>
        <w:rPr>
          <w:color w:val="000000" w:themeColor="text1"/>
          <w:highlight w:val="yellow"/>
        </w:rPr>
      </w:pPr>
    </w:p>
    <w:p w14:paraId="098906B0"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t>3.10. On ice, prepare 105 µL of EVT master mix per EVT to provide 100 µL for cell resuspension while allowing for pipetting loss. Prepare the master mix using fibrinogen–aprotinin solution (5% v/v), SMCGM-2 (91% v/v), and 3× DMEM (4% v/v). Add the components in this order.</w:t>
      </w:r>
    </w:p>
    <w:p w14:paraId="68D24A1A" w14:textId="77777777" w:rsidR="00E12523" w:rsidRPr="000C5222" w:rsidRDefault="00E12523" w:rsidP="00D677F7">
      <w:pPr>
        <w:spacing w:line="0" w:lineRule="atLeast"/>
        <w:rPr>
          <w:color w:val="000000" w:themeColor="text1"/>
          <w:highlight w:val="yellow"/>
        </w:rPr>
      </w:pPr>
    </w:p>
    <w:p w14:paraId="6671C22D"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t>3.11. Resuspend the cell pellet in EVT master mix using 100 µL of master mix per EVT.</w:t>
      </w:r>
    </w:p>
    <w:p w14:paraId="3533266B" w14:textId="77777777" w:rsidR="00E12523" w:rsidRPr="000C5222" w:rsidRDefault="00E12523" w:rsidP="00D677F7">
      <w:pPr>
        <w:spacing w:line="0" w:lineRule="atLeast"/>
        <w:rPr>
          <w:color w:val="000000" w:themeColor="text1"/>
          <w:highlight w:val="yellow"/>
        </w:rPr>
      </w:pPr>
    </w:p>
    <w:p w14:paraId="0655AA32"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t>3.12. Position the PDMS racks in the center of each agarose mold.</w:t>
      </w:r>
    </w:p>
    <w:p w14:paraId="1F6EF30B" w14:textId="77777777" w:rsidR="00E12523" w:rsidRPr="000C5222" w:rsidRDefault="00E12523" w:rsidP="00D677F7">
      <w:pPr>
        <w:spacing w:line="0" w:lineRule="atLeast"/>
        <w:rPr>
          <w:color w:val="000000" w:themeColor="text1"/>
          <w:highlight w:val="yellow"/>
        </w:rPr>
      </w:pPr>
    </w:p>
    <w:p w14:paraId="7E6EAD48"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t>3.13. Prepare one 3 µL thrombin aliquot for each EVT. Aspirate 97 µL of the cell suspension with a P100 pipette and adjust the volume to 100 µL while retaining a small air gap at the tip.</w:t>
      </w:r>
    </w:p>
    <w:p w14:paraId="76FA9D83" w14:textId="77777777" w:rsidR="00E12523" w:rsidRPr="000C5222" w:rsidRDefault="00E12523" w:rsidP="00D677F7">
      <w:pPr>
        <w:spacing w:line="0" w:lineRule="atLeast"/>
        <w:rPr>
          <w:color w:val="000000" w:themeColor="text1"/>
          <w:highlight w:val="yellow"/>
        </w:rPr>
      </w:pPr>
    </w:p>
    <w:p w14:paraId="07799C43"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lastRenderedPageBreak/>
        <w:t>3.14. Dispense the retained air against the side of the thrombin tube. Add the 97 µL cell suspension directly to the 3 µL thrombin aliquot, gently mix twice, and immediately aspirate the entire 100 µL volume.</w:t>
      </w:r>
    </w:p>
    <w:p w14:paraId="5F6C5895" w14:textId="77777777" w:rsidR="00E12523" w:rsidRPr="000C5222" w:rsidRDefault="00E12523" w:rsidP="00D677F7">
      <w:pPr>
        <w:spacing w:line="0" w:lineRule="atLeast"/>
        <w:rPr>
          <w:color w:val="000000" w:themeColor="text1"/>
          <w:highlight w:val="yellow"/>
        </w:rPr>
      </w:pPr>
    </w:p>
    <w:p w14:paraId="5A8F2657"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t>3.15. Dispense the mixture between the PDMS posts, depressing the pipette plunger only to the first stop to minimize bubble formation. Discard the residual volume remaining in the pipette tip.</w:t>
      </w:r>
    </w:p>
    <w:p w14:paraId="40BECC1F" w14:textId="77777777" w:rsidR="00E12523" w:rsidRPr="000C5222" w:rsidRDefault="00E12523" w:rsidP="00D677F7">
      <w:pPr>
        <w:spacing w:line="0" w:lineRule="atLeast"/>
        <w:rPr>
          <w:color w:val="000000" w:themeColor="text1"/>
          <w:highlight w:val="yellow"/>
        </w:rPr>
      </w:pPr>
    </w:p>
    <w:p w14:paraId="72A9860B"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t>3.16. Repeat Steps 3.13–3.15 for all remaining EVTs.</w:t>
      </w:r>
    </w:p>
    <w:p w14:paraId="6C884A75" w14:textId="77777777" w:rsidR="00E12523" w:rsidRPr="000C5222" w:rsidRDefault="00E12523" w:rsidP="00D677F7">
      <w:pPr>
        <w:spacing w:line="0" w:lineRule="atLeast"/>
        <w:rPr>
          <w:color w:val="000000" w:themeColor="text1"/>
          <w:highlight w:val="yellow"/>
        </w:rPr>
      </w:pPr>
    </w:p>
    <w:p w14:paraId="439D4B16"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t>3.17. Incubate the plate at 37°C and 5% CO₂ for 1 h.</w:t>
      </w:r>
    </w:p>
    <w:p w14:paraId="04566A15" w14:textId="77777777" w:rsidR="00E12523" w:rsidRPr="000C5222" w:rsidRDefault="00E12523" w:rsidP="00D677F7">
      <w:pPr>
        <w:spacing w:line="0" w:lineRule="atLeast"/>
        <w:rPr>
          <w:color w:val="000000" w:themeColor="text1"/>
          <w:highlight w:val="yellow"/>
        </w:rPr>
      </w:pPr>
    </w:p>
    <w:p w14:paraId="02304801"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t>3.18. Warm SMCGM-2 to provide 500 µL per EVT.</w:t>
      </w:r>
    </w:p>
    <w:p w14:paraId="1146ED76" w14:textId="77777777" w:rsidR="00E12523" w:rsidRPr="000C5222" w:rsidRDefault="00E12523" w:rsidP="00D677F7">
      <w:pPr>
        <w:spacing w:line="0" w:lineRule="atLeast"/>
        <w:rPr>
          <w:color w:val="000000" w:themeColor="text1"/>
          <w:highlight w:val="yellow"/>
        </w:rPr>
      </w:pPr>
    </w:p>
    <w:p w14:paraId="691089F4"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t>3.19. Slowly dispense 500 µL SMCGM-2 into the corner of each well containing an EVT. Return the plate to the incubator for 15 min.</w:t>
      </w:r>
    </w:p>
    <w:p w14:paraId="3A894E6D" w14:textId="77777777" w:rsidR="00E12523" w:rsidRPr="000C5222" w:rsidRDefault="00E12523" w:rsidP="00D677F7">
      <w:pPr>
        <w:spacing w:line="0" w:lineRule="atLeast"/>
        <w:rPr>
          <w:color w:val="000000" w:themeColor="text1"/>
          <w:highlight w:val="yellow"/>
        </w:rPr>
      </w:pPr>
    </w:p>
    <w:p w14:paraId="40927DF2"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t>3.20. Warm EVT medium and prepare 1.5 mL per EVT.</w:t>
      </w:r>
    </w:p>
    <w:p w14:paraId="4EF6784B" w14:textId="77777777" w:rsidR="00E12523" w:rsidRPr="000C5222" w:rsidRDefault="00E12523" w:rsidP="00D677F7">
      <w:pPr>
        <w:spacing w:line="0" w:lineRule="atLeast"/>
        <w:rPr>
          <w:color w:val="000000" w:themeColor="text1"/>
          <w:highlight w:val="yellow"/>
        </w:rPr>
      </w:pPr>
    </w:p>
    <w:p w14:paraId="6071A4BE" w14:textId="77777777" w:rsidR="00E12523" w:rsidRPr="00D677F7" w:rsidRDefault="00E12523" w:rsidP="00D677F7">
      <w:pPr>
        <w:spacing w:line="0" w:lineRule="atLeast"/>
        <w:rPr>
          <w:color w:val="000000" w:themeColor="text1"/>
        </w:rPr>
      </w:pPr>
      <w:r w:rsidRPr="000C5222">
        <w:rPr>
          <w:color w:val="000000" w:themeColor="text1"/>
          <w:highlight w:val="yellow"/>
        </w:rPr>
        <w:t>3.21. Transfer 1.5 mL EVT medium into new wells of a 24-well plate. Carefully lift the PDMS racks and transfer the EVTs into the prepared wells.</w:t>
      </w:r>
    </w:p>
    <w:p w14:paraId="02CA0284" w14:textId="77777777" w:rsidR="00E12523" w:rsidRPr="00D677F7" w:rsidRDefault="00E12523" w:rsidP="00D677F7">
      <w:pPr>
        <w:spacing w:line="0" w:lineRule="atLeast"/>
        <w:rPr>
          <w:color w:val="000000" w:themeColor="text1"/>
        </w:rPr>
      </w:pPr>
    </w:p>
    <w:p w14:paraId="1ACF2E3D" w14:textId="77777777" w:rsidR="00E12523" w:rsidRPr="00D677F7" w:rsidRDefault="00E12523" w:rsidP="00D677F7">
      <w:pPr>
        <w:spacing w:line="0" w:lineRule="atLeast"/>
        <w:rPr>
          <w:color w:val="000000" w:themeColor="text1"/>
        </w:rPr>
      </w:pPr>
      <w:r w:rsidRPr="00D677F7">
        <w:rPr>
          <w:color w:val="000000" w:themeColor="text1"/>
        </w:rPr>
        <w:t xml:space="preserve">NOTE: EVTs are considered successfully formed if they remain attached to </w:t>
      </w:r>
      <w:proofErr w:type="gramStart"/>
      <w:r w:rsidRPr="00D677F7">
        <w:rPr>
          <w:color w:val="000000" w:themeColor="text1"/>
        </w:rPr>
        <w:t>both PDMS</w:t>
      </w:r>
      <w:proofErr w:type="gramEnd"/>
      <w:r w:rsidRPr="00D677F7">
        <w:rPr>
          <w:color w:val="000000" w:themeColor="text1"/>
        </w:rPr>
        <w:t xml:space="preserve"> posts following Step 3.21. Failed EVTs detach from one post and hang from the other and should be discarded because they are not subjected to the same mechanical tension. Successfully formed EVTs should exhibit a uniform cylindrical shape and be free of bubbles, as bubbles may alter EVT morphology and impair contraction. Healthy, viable EVTs are considered to contain &lt;10% TUNEL-positive cells, as determined by the TUNEL assay (Step 5).</w:t>
      </w:r>
    </w:p>
    <w:p w14:paraId="192D9B0E" w14:textId="77777777" w:rsidR="00E12523" w:rsidRPr="00D677F7" w:rsidRDefault="00E12523" w:rsidP="00D677F7">
      <w:pPr>
        <w:spacing w:line="0" w:lineRule="atLeast"/>
        <w:rPr>
          <w:color w:val="000000" w:themeColor="text1"/>
        </w:rPr>
      </w:pPr>
    </w:p>
    <w:p w14:paraId="05A217BF" w14:textId="77777777" w:rsidR="00E12523" w:rsidRPr="00D677F7" w:rsidRDefault="00E12523" w:rsidP="00D677F7">
      <w:pPr>
        <w:spacing w:line="0" w:lineRule="atLeast"/>
        <w:rPr>
          <w:color w:val="000000" w:themeColor="text1"/>
        </w:rPr>
      </w:pPr>
      <w:r w:rsidRPr="00D677F7">
        <w:rPr>
          <w:color w:val="000000" w:themeColor="text1"/>
        </w:rPr>
        <w:t>3.22. Replace the medium the following day and every 2–3 days thereafter for the desired culture duration.</w:t>
      </w:r>
    </w:p>
    <w:p w14:paraId="36759B95" w14:textId="77777777" w:rsidR="00E12523" w:rsidRPr="00D677F7" w:rsidRDefault="00E12523" w:rsidP="00D677F7">
      <w:pPr>
        <w:spacing w:line="0" w:lineRule="atLeast"/>
        <w:rPr>
          <w:color w:val="000000" w:themeColor="text1"/>
        </w:rPr>
      </w:pPr>
    </w:p>
    <w:p w14:paraId="58DE6883" w14:textId="77777777" w:rsidR="00E12523" w:rsidRPr="00D677F7" w:rsidRDefault="00E12523" w:rsidP="00D677F7">
      <w:pPr>
        <w:spacing w:line="0" w:lineRule="atLeast"/>
        <w:rPr>
          <w:color w:val="000000" w:themeColor="text1"/>
        </w:rPr>
      </w:pPr>
      <w:r w:rsidRPr="00D677F7">
        <w:rPr>
          <w:color w:val="000000" w:themeColor="text1"/>
        </w:rPr>
        <w:t>3.23. Acquire images of EVTs at 4× magnification using an inverted light microscope in darkfield mode.</w:t>
      </w:r>
    </w:p>
    <w:p w14:paraId="675C4B12" w14:textId="77777777" w:rsidR="00E12523" w:rsidRPr="00D677F7" w:rsidRDefault="00E12523" w:rsidP="00D677F7">
      <w:pPr>
        <w:spacing w:line="0" w:lineRule="atLeast"/>
        <w:rPr>
          <w:color w:val="000000" w:themeColor="text1"/>
        </w:rPr>
      </w:pPr>
    </w:p>
    <w:p w14:paraId="5AB8D771" w14:textId="77777777" w:rsidR="00E12523" w:rsidRPr="00D677F7" w:rsidRDefault="00E12523" w:rsidP="00D677F7">
      <w:pPr>
        <w:spacing w:line="0" w:lineRule="atLeast"/>
        <w:rPr>
          <w:color w:val="000000" w:themeColor="text1"/>
        </w:rPr>
      </w:pPr>
      <w:r w:rsidRPr="00D677F7">
        <w:rPr>
          <w:color w:val="000000" w:themeColor="text1"/>
        </w:rPr>
        <w:t>3.24. Using ImageJ, select the straight-line tool and draw a line between the inner edges of the two PDMS posts parallel to the longitudinal axis of the tissue. Select Analyze &gt; Measure to determine the EVT length.</w:t>
      </w:r>
    </w:p>
    <w:p w14:paraId="002DE518" w14:textId="77777777" w:rsidR="00E12523" w:rsidRPr="00D677F7" w:rsidRDefault="00E12523" w:rsidP="00D677F7">
      <w:pPr>
        <w:spacing w:line="0" w:lineRule="atLeast"/>
        <w:rPr>
          <w:color w:val="000000" w:themeColor="text1"/>
        </w:rPr>
      </w:pPr>
    </w:p>
    <w:p w14:paraId="7BBA716D" w14:textId="77777777" w:rsidR="00E12523" w:rsidRPr="00D677F7" w:rsidRDefault="00E12523" w:rsidP="00D677F7">
      <w:pPr>
        <w:spacing w:line="0" w:lineRule="atLeast"/>
        <w:rPr>
          <w:b/>
          <w:bCs/>
          <w:color w:val="000000" w:themeColor="text1"/>
        </w:rPr>
      </w:pPr>
      <w:r w:rsidRPr="00D677F7">
        <w:rPr>
          <w:b/>
          <w:bCs/>
          <w:color w:val="000000" w:themeColor="text1"/>
        </w:rPr>
        <w:t xml:space="preserve">4. Fixation and </w:t>
      </w:r>
      <w:proofErr w:type="gramStart"/>
      <w:r w:rsidRPr="00D677F7">
        <w:rPr>
          <w:b/>
          <w:bCs/>
          <w:color w:val="000000" w:themeColor="text1"/>
        </w:rPr>
        <w:t>Embedding</w:t>
      </w:r>
      <w:proofErr w:type="gramEnd"/>
      <w:r w:rsidRPr="00D677F7">
        <w:rPr>
          <w:b/>
          <w:bCs/>
          <w:color w:val="000000" w:themeColor="text1"/>
        </w:rPr>
        <w:t xml:space="preserve"> of EVTs</w:t>
      </w:r>
    </w:p>
    <w:p w14:paraId="3A9E6D24" w14:textId="77777777" w:rsidR="00E12523" w:rsidRPr="00D677F7" w:rsidRDefault="00E12523" w:rsidP="00D677F7">
      <w:pPr>
        <w:spacing w:line="0" w:lineRule="atLeast"/>
        <w:rPr>
          <w:color w:val="000000" w:themeColor="text1"/>
        </w:rPr>
      </w:pPr>
    </w:p>
    <w:p w14:paraId="6ACDE0C2" w14:textId="77777777" w:rsidR="00E12523" w:rsidRPr="00D677F7" w:rsidRDefault="00E12523" w:rsidP="00D677F7">
      <w:pPr>
        <w:spacing w:line="0" w:lineRule="atLeast"/>
        <w:rPr>
          <w:color w:val="000000" w:themeColor="text1"/>
        </w:rPr>
      </w:pPr>
      <w:r w:rsidRPr="00D677F7">
        <w:rPr>
          <w:color w:val="000000" w:themeColor="text1"/>
        </w:rPr>
        <w:t>4.1. While the EVTs remain on the racks, wash them with pre-warmed PBS in new wells for 3 × 5 min in a cell culture incubator at 37°C and 5% CO₂.</w:t>
      </w:r>
    </w:p>
    <w:p w14:paraId="773454C8" w14:textId="77777777" w:rsidR="00E12523" w:rsidRPr="00D677F7" w:rsidRDefault="00E12523" w:rsidP="00D677F7">
      <w:pPr>
        <w:spacing w:line="0" w:lineRule="atLeast"/>
        <w:rPr>
          <w:color w:val="000000" w:themeColor="text1"/>
        </w:rPr>
      </w:pPr>
    </w:p>
    <w:p w14:paraId="2DA5627C" w14:textId="77777777" w:rsidR="00E12523" w:rsidRPr="00D677F7" w:rsidRDefault="00E12523" w:rsidP="00D677F7">
      <w:pPr>
        <w:spacing w:line="0" w:lineRule="atLeast"/>
        <w:rPr>
          <w:color w:val="000000" w:themeColor="text1"/>
        </w:rPr>
      </w:pPr>
      <w:r w:rsidRPr="00D677F7">
        <w:rPr>
          <w:color w:val="000000" w:themeColor="text1"/>
        </w:rPr>
        <w:t xml:space="preserve">4.2. Transfer the racks to new wells containing 1.5 mL of 10% neutral buffered formalin per well. </w:t>
      </w:r>
      <w:r w:rsidRPr="00D677F7">
        <w:rPr>
          <w:color w:val="000000" w:themeColor="text1"/>
        </w:rPr>
        <w:lastRenderedPageBreak/>
        <w:t>Seal the plate with Parafilm and incubate with gentle shaking at 300 rpm for 24 h at room temperature.</w:t>
      </w:r>
    </w:p>
    <w:p w14:paraId="3CC00331" w14:textId="77777777" w:rsidR="00E12523" w:rsidRPr="00D677F7" w:rsidRDefault="00E12523" w:rsidP="00D677F7">
      <w:pPr>
        <w:spacing w:line="0" w:lineRule="atLeast"/>
        <w:rPr>
          <w:color w:val="000000" w:themeColor="text1"/>
        </w:rPr>
      </w:pPr>
    </w:p>
    <w:p w14:paraId="2D4747F8" w14:textId="77777777" w:rsidR="00E12523" w:rsidRPr="00D677F7" w:rsidRDefault="00E12523" w:rsidP="00D677F7">
      <w:pPr>
        <w:spacing w:line="0" w:lineRule="atLeast"/>
        <w:rPr>
          <w:color w:val="000000" w:themeColor="text1"/>
        </w:rPr>
      </w:pPr>
      <w:r w:rsidRPr="00D677F7">
        <w:rPr>
          <w:color w:val="000000" w:themeColor="text1"/>
        </w:rPr>
        <w:t>4.3. Wash the EVTs with PBS in new wells for 3 × 5 min.</w:t>
      </w:r>
    </w:p>
    <w:p w14:paraId="22A0AE6A" w14:textId="77777777" w:rsidR="00E12523" w:rsidRPr="00D677F7" w:rsidRDefault="00E12523" w:rsidP="00D677F7">
      <w:pPr>
        <w:spacing w:line="0" w:lineRule="atLeast"/>
        <w:rPr>
          <w:color w:val="000000" w:themeColor="text1"/>
        </w:rPr>
      </w:pPr>
    </w:p>
    <w:p w14:paraId="094FF0A1" w14:textId="77777777" w:rsidR="00E12523" w:rsidRPr="00D677F7" w:rsidRDefault="00E12523" w:rsidP="00D677F7">
      <w:pPr>
        <w:spacing w:line="0" w:lineRule="atLeast"/>
        <w:rPr>
          <w:color w:val="000000" w:themeColor="text1"/>
        </w:rPr>
      </w:pPr>
      <w:r w:rsidRPr="00D677F7">
        <w:rPr>
          <w:color w:val="000000" w:themeColor="text1"/>
        </w:rPr>
        <w:t>4.4. Proceed with either cryo-embedding or paraffin embedding as described below.</w:t>
      </w:r>
    </w:p>
    <w:p w14:paraId="5ACEF4FA" w14:textId="77777777" w:rsidR="00E12523" w:rsidRPr="00D677F7" w:rsidRDefault="00E12523" w:rsidP="00D677F7">
      <w:pPr>
        <w:spacing w:line="0" w:lineRule="atLeast"/>
        <w:rPr>
          <w:color w:val="000000" w:themeColor="text1"/>
        </w:rPr>
      </w:pPr>
    </w:p>
    <w:p w14:paraId="50990644" w14:textId="77777777" w:rsidR="00E12523" w:rsidRPr="00D677F7" w:rsidRDefault="00E12523" w:rsidP="00D677F7">
      <w:pPr>
        <w:spacing w:line="0" w:lineRule="atLeast"/>
        <w:rPr>
          <w:color w:val="000000" w:themeColor="text1"/>
        </w:rPr>
      </w:pPr>
      <w:r w:rsidRPr="00D677F7">
        <w:rPr>
          <w:color w:val="000000" w:themeColor="text1"/>
        </w:rPr>
        <w:t>4.5. Cryo-embedding</w:t>
      </w:r>
    </w:p>
    <w:p w14:paraId="19924AAD" w14:textId="77777777" w:rsidR="00E12523" w:rsidRPr="00D677F7" w:rsidRDefault="00E12523" w:rsidP="00D677F7">
      <w:pPr>
        <w:spacing w:line="0" w:lineRule="atLeast"/>
        <w:rPr>
          <w:color w:val="000000" w:themeColor="text1"/>
        </w:rPr>
      </w:pPr>
    </w:p>
    <w:p w14:paraId="1C479EE0" w14:textId="77777777" w:rsidR="00E12523" w:rsidRPr="00D677F7" w:rsidRDefault="00E12523" w:rsidP="00D677F7">
      <w:pPr>
        <w:spacing w:line="0" w:lineRule="atLeast"/>
        <w:rPr>
          <w:color w:val="000000" w:themeColor="text1"/>
        </w:rPr>
      </w:pPr>
      <w:r w:rsidRPr="00D677F7">
        <w:rPr>
          <w:color w:val="000000" w:themeColor="text1"/>
        </w:rPr>
        <w:t>4.5.1. Using clean tweezers, carefully remove each EVT from the posts and transfer it to a well of a 48-well plate containing 300 µL of 30% sucrose in PBS. Incubate with gentle shaking at 300 rpm for 24 h at 4°C.</w:t>
      </w:r>
    </w:p>
    <w:p w14:paraId="02A6AA8E" w14:textId="77777777" w:rsidR="00E12523" w:rsidRPr="00D677F7" w:rsidRDefault="00E12523" w:rsidP="00D677F7">
      <w:pPr>
        <w:spacing w:line="0" w:lineRule="atLeast"/>
        <w:rPr>
          <w:color w:val="000000" w:themeColor="text1"/>
        </w:rPr>
      </w:pPr>
    </w:p>
    <w:p w14:paraId="4EE9BF62" w14:textId="77777777" w:rsidR="00E12523" w:rsidRPr="00D677F7" w:rsidRDefault="00E12523" w:rsidP="00D677F7">
      <w:pPr>
        <w:spacing w:line="0" w:lineRule="atLeast"/>
        <w:rPr>
          <w:color w:val="000000" w:themeColor="text1"/>
        </w:rPr>
      </w:pPr>
      <w:r w:rsidRPr="00D677F7">
        <w:rPr>
          <w:color w:val="000000" w:themeColor="text1"/>
        </w:rPr>
        <w:t>4.5.2. Transfer the EVT to a new well containing 50% sucrose–OCT compound. Incubate with gentle shaking at 300 rpm for 24 h at 4°C.</w:t>
      </w:r>
    </w:p>
    <w:p w14:paraId="785FFC79" w14:textId="77777777" w:rsidR="00E12523" w:rsidRPr="00D677F7" w:rsidRDefault="00E12523" w:rsidP="00D677F7">
      <w:pPr>
        <w:spacing w:line="0" w:lineRule="atLeast"/>
        <w:rPr>
          <w:color w:val="000000" w:themeColor="text1"/>
        </w:rPr>
      </w:pPr>
    </w:p>
    <w:p w14:paraId="1565B80E" w14:textId="77777777" w:rsidR="00E12523" w:rsidRPr="00D677F7" w:rsidRDefault="00E12523" w:rsidP="00D677F7">
      <w:pPr>
        <w:spacing w:line="0" w:lineRule="atLeast"/>
        <w:rPr>
          <w:color w:val="000000" w:themeColor="text1"/>
        </w:rPr>
      </w:pPr>
      <w:r w:rsidRPr="00D677F7">
        <w:rPr>
          <w:color w:val="000000" w:themeColor="text1"/>
        </w:rPr>
        <w:t>4.5.3. Transfer the EVT to a new well containing OCT compound. Incubate with gentle shaking at 300 rpm for 24 h at 4°C.</w:t>
      </w:r>
    </w:p>
    <w:p w14:paraId="7A529B91" w14:textId="77777777" w:rsidR="00E12523" w:rsidRPr="00D677F7" w:rsidRDefault="00E12523" w:rsidP="00D677F7">
      <w:pPr>
        <w:spacing w:line="0" w:lineRule="atLeast"/>
        <w:rPr>
          <w:color w:val="000000" w:themeColor="text1"/>
        </w:rPr>
      </w:pPr>
    </w:p>
    <w:p w14:paraId="4E270981" w14:textId="77777777" w:rsidR="00E12523" w:rsidRPr="00D677F7" w:rsidRDefault="00E12523" w:rsidP="00D677F7">
      <w:pPr>
        <w:spacing w:line="0" w:lineRule="atLeast"/>
        <w:rPr>
          <w:color w:val="000000" w:themeColor="text1"/>
        </w:rPr>
      </w:pPr>
      <w:r w:rsidRPr="00D677F7">
        <w:rPr>
          <w:color w:val="000000" w:themeColor="text1"/>
        </w:rPr>
        <w:t>4.5.4. Transfer the EVT to a cryomold containing OCT compound, orient the longer side flat (parallel to the cryomold), and rapidly freeze it over a pre-cooled reservoir of 2-methylbutane on dry ice.</w:t>
      </w:r>
    </w:p>
    <w:p w14:paraId="4AA46F35" w14:textId="77777777" w:rsidR="00E12523" w:rsidRPr="00D677F7" w:rsidRDefault="00E12523" w:rsidP="00D677F7">
      <w:pPr>
        <w:spacing w:line="0" w:lineRule="atLeast"/>
        <w:rPr>
          <w:color w:val="000000" w:themeColor="text1"/>
        </w:rPr>
      </w:pPr>
    </w:p>
    <w:p w14:paraId="214B19D3" w14:textId="77777777" w:rsidR="00E12523" w:rsidRPr="00D677F7" w:rsidRDefault="00E12523" w:rsidP="00D677F7">
      <w:pPr>
        <w:spacing w:line="0" w:lineRule="atLeast"/>
        <w:rPr>
          <w:color w:val="000000" w:themeColor="text1"/>
        </w:rPr>
      </w:pPr>
      <w:r w:rsidRPr="00D677F7">
        <w:rPr>
          <w:color w:val="000000" w:themeColor="text1"/>
        </w:rPr>
        <w:t>4.5.5. Section the EVTs at 10 µm (transverse) or 5 µm (longitudinal) using a cryostat with the specimen holder maintained at −20°C and the blade at −16°C. Collect the sections onto glass slides and either process them immediately or store them at −80°C.</w:t>
      </w:r>
    </w:p>
    <w:p w14:paraId="592A77C3" w14:textId="77777777" w:rsidR="00E12523" w:rsidRPr="00D677F7" w:rsidRDefault="00E12523" w:rsidP="00D677F7">
      <w:pPr>
        <w:spacing w:line="0" w:lineRule="atLeast"/>
        <w:rPr>
          <w:color w:val="000000" w:themeColor="text1"/>
        </w:rPr>
      </w:pPr>
    </w:p>
    <w:p w14:paraId="4D4151F3" w14:textId="77777777" w:rsidR="00E12523" w:rsidRPr="00D677F7" w:rsidRDefault="00E12523" w:rsidP="00D677F7">
      <w:pPr>
        <w:spacing w:line="0" w:lineRule="atLeast"/>
        <w:rPr>
          <w:color w:val="000000" w:themeColor="text1"/>
        </w:rPr>
      </w:pPr>
      <w:r w:rsidRPr="00D677F7">
        <w:rPr>
          <w:color w:val="000000" w:themeColor="text1"/>
        </w:rPr>
        <w:t>4.6. Paraffin embedding</w:t>
      </w:r>
    </w:p>
    <w:p w14:paraId="5DF1B682" w14:textId="77777777" w:rsidR="00E12523" w:rsidRPr="00D677F7" w:rsidRDefault="00E12523" w:rsidP="00D677F7">
      <w:pPr>
        <w:spacing w:line="0" w:lineRule="atLeast"/>
        <w:rPr>
          <w:color w:val="000000" w:themeColor="text1"/>
        </w:rPr>
      </w:pPr>
    </w:p>
    <w:p w14:paraId="1CF39443" w14:textId="77777777" w:rsidR="00E12523" w:rsidRPr="00D677F7" w:rsidRDefault="00E12523" w:rsidP="00D677F7">
      <w:pPr>
        <w:spacing w:line="0" w:lineRule="atLeast"/>
        <w:rPr>
          <w:color w:val="000000" w:themeColor="text1"/>
        </w:rPr>
      </w:pPr>
      <w:r w:rsidRPr="00D677F7">
        <w:rPr>
          <w:color w:val="000000" w:themeColor="text1"/>
        </w:rPr>
        <w:t>4.6.1. Using clean tweezers, remove each EVT from the posts and transfer it to 70% ethanol for 24 h.</w:t>
      </w:r>
    </w:p>
    <w:p w14:paraId="478B8B8E" w14:textId="77777777" w:rsidR="00E12523" w:rsidRPr="00D677F7" w:rsidRDefault="00E12523" w:rsidP="00D677F7">
      <w:pPr>
        <w:spacing w:line="0" w:lineRule="atLeast"/>
        <w:rPr>
          <w:color w:val="000000" w:themeColor="text1"/>
        </w:rPr>
      </w:pPr>
    </w:p>
    <w:p w14:paraId="4F75AFC9" w14:textId="77777777" w:rsidR="00E12523" w:rsidRPr="00D677F7" w:rsidRDefault="00E12523" w:rsidP="00D677F7">
      <w:pPr>
        <w:spacing w:line="0" w:lineRule="atLeast"/>
        <w:rPr>
          <w:color w:val="000000" w:themeColor="text1"/>
        </w:rPr>
      </w:pPr>
      <w:r w:rsidRPr="00D677F7">
        <w:rPr>
          <w:color w:val="000000" w:themeColor="text1"/>
        </w:rPr>
        <w:t>4.6.2. Dehydrate the EVTs sequentially in 70% ethanol for 15 min, 90% ethanol for 15 min, and 100% ethanol for 3 × 15 min.</w:t>
      </w:r>
    </w:p>
    <w:p w14:paraId="70E58CC1" w14:textId="77777777" w:rsidR="00E12523" w:rsidRPr="00D677F7" w:rsidRDefault="00E12523" w:rsidP="00D677F7">
      <w:pPr>
        <w:spacing w:line="0" w:lineRule="atLeast"/>
        <w:rPr>
          <w:color w:val="000000" w:themeColor="text1"/>
        </w:rPr>
      </w:pPr>
    </w:p>
    <w:p w14:paraId="3155C70B" w14:textId="77777777" w:rsidR="00E12523" w:rsidRPr="00D677F7" w:rsidRDefault="00E12523" w:rsidP="00D677F7">
      <w:pPr>
        <w:spacing w:line="0" w:lineRule="atLeast"/>
        <w:rPr>
          <w:color w:val="000000" w:themeColor="text1"/>
        </w:rPr>
      </w:pPr>
      <w:r w:rsidRPr="00D677F7">
        <w:rPr>
          <w:color w:val="000000" w:themeColor="text1"/>
        </w:rPr>
        <w:t>4.6.3. Clear the EVTs in xylene for 20 min. Repeat twice.</w:t>
      </w:r>
    </w:p>
    <w:p w14:paraId="42C1BF72" w14:textId="77777777" w:rsidR="00E12523" w:rsidRPr="00D677F7" w:rsidRDefault="00E12523" w:rsidP="00D677F7">
      <w:pPr>
        <w:spacing w:line="0" w:lineRule="atLeast"/>
        <w:rPr>
          <w:color w:val="000000" w:themeColor="text1"/>
        </w:rPr>
      </w:pPr>
    </w:p>
    <w:p w14:paraId="1DDA5913" w14:textId="77777777" w:rsidR="00E12523" w:rsidRPr="00D677F7" w:rsidRDefault="00E12523" w:rsidP="00D677F7">
      <w:pPr>
        <w:spacing w:line="0" w:lineRule="atLeast"/>
        <w:rPr>
          <w:color w:val="000000" w:themeColor="text1"/>
        </w:rPr>
      </w:pPr>
      <w:r w:rsidRPr="00D677F7">
        <w:rPr>
          <w:color w:val="000000" w:themeColor="text1"/>
        </w:rPr>
        <w:t>4.6.4. Infiltrate the EVTs with paraffin wax at 60°C for 30 min. Repeat twice.</w:t>
      </w:r>
    </w:p>
    <w:p w14:paraId="5C97ED84" w14:textId="77777777" w:rsidR="00E12523" w:rsidRPr="00D677F7" w:rsidRDefault="00E12523" w:rsidP="00D677F7">
      <w:pPr>
        <w:spacing w:line="0" w:lineRule="atLeast"/>
        <w:rPr>
          <w:color w:val="000000" w:themeColor="text1"/>
        </w:rPr>
      </w:pPr>
    </w:p>
    <w:p w14:paraId="4B7FC2F5" w14:textId="77777777" w:rsidR="00E12523" w:rsidRPr="00D677F7" w:rsidRDefault="00E12523" w:rsidP="00D677F7">
      <w:pPr>
        <w:spacing w:line="0" w:lineRule="atLeast"/>
        <w:rPr>
          <w:color w:val="000000" w:themeColor="text1"/>
        </w:rPr>
      </w:pPr>
      <w:r w:rsidRPr="00D677F7">
        <w:rPr>
          <w:color w:val="000000" w:themeColor="text1"/>
        </w:rPr>
        <w:t>4.6.5. Transfer each EVT to an embedding mold, attach a cassette, and allow the paraffin block to cool. For longitudinal sectioning, orient the longer side flat (parallel to the embedding mold). For transverse sectioning, orient the longer side upright (perpendicular to the embedding mold).</w:t>
      </w:r>
    </w:p>
    <w:p w14:paraId="7F672151" w14:textId="77777777" w:rsidR="00E12523" w:rsidRPr="00D677F7" w:rsidRDefault="00E12523" w:rsidP="00D677F7">
      <w:pPr>
        <w:spacing w:line="0" w:lineRule="atLeast"/>
        <w:rPr>
          <w:color w:val="000000" w:themeColor="text1"/>
        </w:rPr>
      </w:pPr>
    </w:p>
    <w:p w14:paraId="32762B58" w14:textId="77777777" w:rsidR="00E12523" w:rsidRPr="00D677F7" w:rsidRDefault="00E12523" w:rsidP="00D677F7">
      <w:pPr>
        <w:spacing w:line="0" w:lineRule="atLeast"/>
        <w:rPr>
          <w:color w:val="000000" w:themeColor="text1"/>
        </w:rPr>
      </w:pPr>
      <w:r w:rsidRPr="00D677F7">
        <w:rPr>
          <w:color w:val="000000" w:themeColor="text1"/>
        </w:rPr>
        <w:t>4.6.6. Section the EVTs at 10 µm (transverse) or 5 µm (longitudinal) using a microtome.</w:t>
      </w:r>
    </w:p>
    <w:p w14:paraId="7A699FD0" w14:textId="77777777" w:rsidR="00E12523" w:rsidRPr="00D677F7" w:rsidRDefault="00E12523" w:rsidP="00D677F7">
      <w:pPr>
        <w:spacing w:line="0" w:lineRule="atLeast"/>
        <w:rPr>
          <w:color w:val="000000" w:themeColor="text1"/>
        </w:rPr>
      </w:pPr>
    </w:p>
    <w:p w14:paraId="4124EE64" w14:textId="77777777" w:rsidR="00E12523" w:rsidRPr="00D677F7" w:rsidRDefault="00E12523" w:rsidP="00D677F7">
      <w:pPr>
        <w:spacing w:line="0" w:lineRule="atLeast"/>
        <w:rPr>
          <w:color w:val="000000" w:themeColor="text1"/>
        </w:rPr>
      </w:pPr>
      <w:r w:rsidRPr="00D677F7">
        <w:rPr>
          <w:color w:val="000000" w:themeColor="text1"/>
        </w:rPr>
        <w:t>4.6.7. Float the sections on a 40°C water bath and mount them onto glass slides.</w:t>
      </w:r>
    </w:p>
    <w:p w14:paraId="40DA47AC" w14:textId="77777777" w:rsidR="00E12523" w:rsidRPr="00D677F7" w:rsidRDefault="00E12523" w:rsidP="00D677F7">
      <w:pPr>
        <w:spacing w:line="0" w:lineRule="atLeast"/>
        <w:rPr>
          <w:color w:val="000000" w:themeColor="text1"/>
        </w:rPr>
      </w:pPr>
    </w:p>
    <w:p w14:paraId="10FC670E" w14:textId="77777777" w:rsidR="00E12523" w:rsidRPr="00D677F7" w:rsidRDefault="00E12523" w:rsidP="00D677F7">
      <w:pPr>
        <w:spacing w:line="0" w:lineRule="atLeast"/>
        <w:rPr>
          <w:color w:val="000000" w:themeColor="text1"/>
        </w:rPr>
      </w:pPr>
      <w:r w:rsidRPr="00D677F7">
        <w:rPr>
          <w:color w:val="000000" w:themeColor="text1"/>
        </w:rPr>
        <w:t>4.6.8. Dry the sections overnight at 37°C.</w:t>
      </w:r>
    </w:p>
    <w:p w14:paraId="3E0A4832" w14:textId="77777777" w:rsidR="00E12523" w:rsidRPr="00D677F7" w:rsidRDefault="00E12523" w:rsidP="00D677F7">
      <w:pPr>
        <w:spacing w:line="0" w:lineRule="atLeast"/>
        <w:rPr>
          <w:color w:val="000000" w:themeColor="text1"/>
        </w:rPr>
      </w:pPr>
    </w:p>
    <w:p w14:paraId="2B808447" w14:textId="77777777" w:rsidR="00E12523" w:rsidRPr="00D677F7" w:rsidRDefault="00E12523" w:rsidP="00D677F7">
      <w:pPr>
        <w:spacing w:line="0" w:lineRule="atLeast"/>
        <w:rPr>
          <w:b/>
          <w:bCs/>
          <w:color w:val="000000" w:themeColor="text1"/>
        </w:rPr>
      </w:pPr>
      <w:r w:rsidRPr="00D677F7">
        <w:rPr>
          <w:b/>
          <w:bCs/>
          <w:color w:val="000000" w:themeColor="text1"/>
        </w:rPr>
        <w:t>5. TUNEL Assay Using EVT Transverse Cryosections</w:t>
      </w:r>
    </w:p>
    <w:p w14:paraId="7C5F50A9" w14:textId="77777777" w:rsidR="00E12523" w:rsidRPr="00D677F7" w:rsidRDefault="00E12523" w:rsidP="00D677F7">
      <w:pPr>
        <w:spacing w:line="0" w:lineRule="atLeast"/>
        <w:rPr>
          <w:color w:val="000000" w:themeColor="text1"/>
        </w:rPr>
      </w:pPr>
    </w:p>
    <w:p w14:paraId="6FA65E6D" w14:textId="77777777" w:rsidR="00E12523" w:rsidRPr="00D677F7" w:rsidRDefault="00E12523" w:rsidP="00D677F7">
      <w:pPr>
        <w:spacing w:line="0" w:lineRule="atLeast"/>
        <w:rPr>
          <w:color w:val="000000" w:themeColor="text1"/>
        </w:rPr>
      </w:pPr>
      <w:r w:rsidRPr="00D677F7">
        <w:rPr>
          <w:color w:val="000000" w:themeColor="text1"/>
        </w:rPr>
        <w:t>5.1. Thaw the slides and allow them to air dry. Rinse the slides with PBS in a glass staining jar, draw hydrophobic barriers around each section using a PAP pen, and rinse the slides again with PBS.</w:t>
      </w:r>
    </w:p>
    <w:p w14:paraId="5C815F53" w14:textId="77777777" w:rsidR="00E12523" w:rsidRPr="00D677F7" w:rsidRDefault="00E12523" w:rsidP="00D677F7">
      <w:pPr>
        <w:spacing w:line="0" w:lineRule="atLeast"/>
        <w:rPr>
          <w:color w:val="000000" w:themeColor="text1"/>
        </w:rPr>
      </w:pPr>
    </w:p>
    <w:p w14:paraId="6A32EA5C" w14:textId="77777777" w:rsidR="00E12523" w:rsidRPr="00D677F7" w:rsidRDefault="00E12523" w:rsidP="00D677F7">
      <w:pPr>
        <w:spacing w:line="0" w:lineRule="atLeast"/>
        <w:rPr>
          <w:color w:val="000000" w:themeColor="text1"/>
        </w:rPr>
      </w:pPr>
      <w:r w:rsidRPr="00D677F7">
        <w:rPr>
          <w:color w:val="000000" w:themeColor="text1"/>
        </w:rPr>
        <w:t>5.2. Transfer the slides to a humid chamber and remove excess PBS using absorbent tissue. Apply approximately 30 µL of 0.1% Triton X-100 in PBS to each section and incubate for 15 min at room temperature to permeabilize the tissue.</w:t>
      </w:r>
    </w:p>
    <w:p w14:paraId="3E55CB40" w14:textId="77777777" w:rsidR="00E12523" w:rsidRPr="00D677F7" w:rsidRDefault="00E12523" w:rsidP="00D677F7">
      <w:pPr>
        <w:spacing w:line="0" w:lineRule="atLeast"/>
        <w:rPr>
          <w:color w:val="000000" w:themeColor="text1"/>
        </w:rPr>
      </w:pPr>
    </w:p>
    <w:p w14:paraId="7C632B71" w14:textId="77777777" w:rsidR="00E12523" w:rsidRPr="00D677F7" w:rsidRDefault="00E12523" w:rsidP="00D677F7">
      <w:pPr>
        <w:spacing w:line="0" w:lineRule="atLeast"/>
        <w:rPr>
          <w:color w:val="000000" w:themeColor="text1"/>
        </w:rPr>
      </w:pPr>
      <w:r w:rsidRPr="00D677F7">
        <w:rPr>
          <w:color w:val="000000" w:themeColor="text1"/>
        </w:rPr>
        <w:t>5.3. Rinse the slides twice with PBS in a staining jar. Transfer the slides to a humid chamber and cover each section with approximately 30 µL PBS. For positive control sections, apply approximately 30 µL DNase I (2.73 Kunitz/µL) prepared in RNase-free water.</w:t>
      </w:r>
    </w:p>
    <w:p w14:paraId="03867C0D" w14:textId="77777777" w:rsidR="00E12523" w:rsidRPr="00D677F7" w:rsidRDefault="00E12523" w:rsidP="00D677F7">
      <w:pPr>
        <w:spacing w:line="0" w:lineRule="atLeast"/>
        <w:rPr>
          <w:color w:val="000000" w:themeColor="text1"/>
        </w:rPr>
      </w:pPr>
    </w:p>
    <w:p w14:paraId="5951A4B6" w14:textId="77777777" w:rsidR="00E12523" w:rsidRPr="00D677F7" w:rsidRDefault="00E12523" w:rsidP="00D677F7">
      <w:pPr>
        <w:spacing w:line="0" w:lineRule="atLeast"/>
        <w:rPr>
          <w:color w:val="000000" w:themeColor="text1"/>
        </w:rPr>
      </w:pPr>
      <w:r w:rsidRPr="00D677F7">
        <w:rPr>
          <w:color w:val="000000" w:themeColor="text1"/>
        </w:rPr>
        <w:t>5.4. Incubate the slides in a humid chamber at 37°C for 15 min. Seal the chamber with Parafilm to prevent evaporation.</w:t>
      </w:r>
    </w:p>
    <w:p w14:paraId="2C28B77B" w14:textId="77777777" w:rsidR="00E12523" w:rsidRPr="00D677F7" w:rsidRDefault="00E12523" w:rsidP="00D677F7">
      <w:pPr>
        <w:spacing w:line="0" w:lineRule="atLeast"/>
        <w:rPr>
          <w:color w:val="000000" w:themeColor="text1"/>
        </w:rPr>
      </w:pPr>
    </w:p>
    <w:p w14:paraId="3113A999" w14:textId="7111C4BC" w:rsidR="00E12523" w:rsidRPr="00D677F7" w:rsidRDefault="00E12523" w:rsidP="00D677F7">
      <w:pPr>
        <w:spacing w:line="0" w:lineRule="atLeast"/>
        <w:rPr>
          <w:color w:val="000000" w:themeColor="text1"/>
        </w:rPr>
      </w:pPr>
      <w:r w:rsidRPr="00D677F7">
        <w:rPr>
          <w:color w:val="000000" w:themeColor="text1"/>
        </w:rPr>
        <w:t>5.5. Rinse the slides twice with PBS in a staining jar. Prepare the TUNEL reaction mixture by combining the label solution and enzyme solution at a 9:1 ratio according to the manufacturer</w:t>
      </w:r>
      <w:r w:rsidR="009B22E4">
        <w:rPr>
          <w:color w:val="000000" w:themeColor="text1"/>
        </w:rPr>
        <w:t>’</w:t>
      </w:r>
      <w:r w:rsidRPr="00D677F7">
        <w:rPr>
          <w:color w:val="000000" w:themeColor="text1"/>
        </w:rPr>
        <w:t>s instructions. Apply approximately 30 µL of the reaction mixture to each section. For negative control sections, apply the label solution only.</w:t>
      </w:r>
    </w:p>
    <w:p w14:paraId="5A5E2A19" w14:textId="77777777" w:rsidR="00E12523" w:rsidRPr="00D677F7" w:rsidRDefault="00E12523" w:rsidP="00D677F7">
      <w:pPr>
        <w:spacing w:line="0" w:lineRule="atLeast"/>
        <w:rPr>
          <w:color w:val="000000" w:themeColor="text1"/>
        </w:rPr>
      </w:pPr>
    </w:p>
    <w:p w14:paraId="6981E0EA" w14:textId="77777777" w:rsidR="00E12523" w:rsidRPr="00D677F7" w:rsidRDefault="00E12523" w:rsidP="00D677F7">
      <w:pPr>
        <w:spacing w:line="0" w:lineRule="atLeast"/>
        <w:rPr>
          <w:color w:val="000000" w:themeColor="text1"/>
        </w:rPr>
      </w:pPr>
      <w:r w:rsidRPr="00D677F7">
        <w:rPr>
          <w:color w:val="000000" w:themeColor="text1"/>
        </w:rPr>
        <w:t>5.6. Incubate the slides in the humid chamber at 37°C for 60 min in the dark. Seal the chamber with Parafilm to prevent evaporation.</w:t>
      </w:r>
    </w:p>
    <w:p w14:paraId="369E5710" w14:textId="77777777" w:rsidR="00E12523" w:rsidRPr="00D677F7" w:rsidRDefault="00E12523" w:rsidP="00D677F7">
      <w:pPr>
        <w:spacing w:line="0" w:lineRule="atLeast"/>
        <w:rPr>
          <w:color w:val="000000" w:themeColor="text1"/>
        </w:rPr>
      </w:pPr>
    </w:p>
    <w:p w14:paraId="737EC36C" w14:textId="77777777" w:rsidR="00E12523" w:rsidRPr="00D677F7" w:rsidRDefault="00E12523" w:rsidP="00D677F7">
      <w:pPr>
        <w:spacing w:line="0" w:lineRule="atLeast"/>
        <w:rPr>
          <w:color w:val="000000" w:themeColor="text1"/>
        </w:rPr>
      </w:pPr>
      <w:r w:rsidRPr="00D677F7">
        <w:rPr>
          <w:color w:val="000000" w:themeColor="text1"/>
        </w:rPr>
        <w:t>5.7. Rinse the slides twice with PBS in a staining jar. Counterstain all sections with DAPI (4 µg/mL in PBS; approximately 30 µL per section) for 15 min.</w:t>
      </w:r>
    </w:p>
    <w:p w14:paraId="611BF26E" w14:textId="77777777" w:rsidR="00E12523" w:rsidRPr="00D677F7" w:rsidRDefault="00E12523" w:rsidP="00D677F7">
      <w:pPr>
        <w:spacing w:line="0" w:lineRule="atLeast"/>
        <w:rPr>
          <w:color w:val="000000" w:themeColor="text1"/>
        </w:rPr>
      </w:pPr>
    </w:p>
    <w:p w14:paraId="08304AE5" w14:textId="77777777" w:rsidR="00E12523" w:rsidRPr="00D677F7" w:rsidRDefault="00E12523" w:rsidP="00D677F7">
      <w:pPr>
        <w:spacing w:line="0" w:lineRule="atLeast"/>
        <w:rPr>
          <w:color w:val="000000" w:themeColor="text1"/>
        </w:rPr>
      </w:pPr>
      <w:r w:rsidRPr="00D677F7">
        <w:rPr>
          <w:color w:val="000000" w:themeColor="text1"/>
        </w:rPr>
        <w:t xml:space="preserve">5.8. Rinse the slides twice with PBS in a staining jar. Apply approximately 20 µL aqueous mounting </w:t>
      </w:r>
      <w:proofErr w:type="gramStart"/>
      <w:r w:rsidRPr="00D677F7">
        <w:rPr>
          <w:color w:val="000000" w:themeColor="text1"/>
        </w:rPr>
        <w:t>medium</w:t>
      </w:r>
      <w:proofErr w:type="gramEnd"/>
      <w:r w:rsidRPr="00D677F7">
        <w:rPr>
          <w:color w:val="000000" w:themeColor="text1"/>
        </w:rPr>
        <w:t xml:space="preserve"> to each section, mount coverslips, and allow the slides to dry at room temperature.</w:t>
      </w:r>
    </w:p>
    <w:p w14:paraId="3FB5DA01" w14:textId="77777777" w:rsidR="00E12523" w:rsidRPr="00D677F7" w:rsidRDefault="00E12523" w:rsidP="00D677F7">
      <w:pPr>
        <w:spacing w:line="0" w:lineRule="atLeast"/>
        <w:rPr>
          <w:color w:val="000000" w:themeColor="text1"/>
        </w:rPr>
      </w:pPr>
    </w:p>
    <w:p w14:paraId="3E7935A6" w14:textId="77777777" w:rsidR="00E12523" w:rsidRPr="00D677F7" w:rsidRDefault="00E12523" w:rsidP="00D677F7">
      <w:pPr>
        <w:spacing w:line="0" w:lineRule="atLeast"/>
        <w:rPr>
          <w:color w:val="000000" w:themeColor="text1"/>
        </w:rPr>
      </w:pPr>
      <w:r w:rsidRPr="00D677F7">
        <w:rPr>
          <w:color w:val="000000" w:themeColor="text1"/>
        </w:rPr>
        <w:t>5.9. Acquire images using a confocal microscope with a 10× objective. Detect TUNEL-positive cells using an excitation wavelength of 450–500 nm and an emission detection wavelength of 515–565 nm. Detect DAPI using an excitation wavelength of 340–380 nm and an emission detection wavelength of 430–480 nm.</w:t>
      </w:r>
    </w:p>
    <w:p w14:paraId="4B0C009D" w14:textId="77777777" w:rsidR="00E12523" w:rsidRPr="00D677F7" w:rsidRDefault="00E12523" w:rsidP="00D677F7">
      <w:pPr>
        <w:spacing w:line="0" w:lineRule="atLeast"/>
        <w:rPr>
          <w:color w:val="000000" w:themeColor="text1"/>
        </w:rPr>
      </w:pPr>
    </w:p>
    <w:p w14:paraId="268062AD" w14:textId="77777777" w:rsidR="00E12523" w:rsidRPr="00D677F7" w:rsidRDefault="00E12523" w:rsidP="00D677F7">
      <w:pPr>
        <w:spacing w:line="0" w:lineRule="atLeast"/>
        <w:rPr>
          <w:color w:val="000000" w:themeColor="text1"/>
        </w:rPr>
      </w:pPr>
      <w:r w:rsidRPr="00D677F7">
        <w:rPr>
          <w:color w:val="000000" w:themeColor="text1"/>
        </w:rPr>
        <w:t xml:space="preserve">5.10. Using ImageJ, convert the DAPI and TUNEL images to 8-bit grayscale. Select Image &gt; Adjust &gt; Threshold and adjust the threshold so that the processed image accurately reflects the original fluorescence image. Apply identical threshold settings to all DAPI images and all TUNEL images </w:t>
      </w:r>
      <w:r w:rsidRPr="00D677F7">
        <w:rPr>
          <w:color w:val="000000" w:themeColor="text1"/>
        </w:rPr>
        <w:lastRenderedPageBreak/>
        <w:t>within the experiment.</w:t>
      </w:r>
    </w:p>
    <w:p w14:paraId="26563FF2" w14:textId="77777777" w:rsidR="00E12523" w:rsidRPr="00D677F7" w:rsidRDefault="00E12523" w:rsidP="00D677F7">
      <w:pPr>
        <w:spacing w:line="0" w:lineRule="atLeast"/>
        <w:rPr>
          <w:color w:val="000000" w:themeColor="text1"/>
        </w:rPr>
      </w:pPr>
    </w:p>
    <w:p w14:paraId="55DFEA20" w14:textId="77777777" w:rsidR="00E12523" w:rsidRPr="00D677F7" w:rsidRDefault="00E12523" w:rsidP="00D677F7">
      <w:pPr>
        <w:spacing w:line="0" w:lineRule="atLeast"/>
        <w:rPr>
          <w:color w:val="000000" w:themeColor="text1"/>
        </w:rPr>
      </w:pPr>
      <w:r w:rsidRPr="00D677F7">
        <w:rPr>
          <w:color w:val="000000" w:themeColor="text1"/>
        </w:rPr>
        <w:t>5.11. Select Process &gt; Binary &gt; Watershed to separate partially overlapping nuclei.</w:t>
      </w:r>
    </w:p>
    <w:p w14:paraId="0A25A4D8" w14:textId="77777777" w:rsidR="00E12523" w:rsidRPr="00D677F7" w:rsidRDefault="00E12523" w:rsidP="00D677F7">
      <w:pPr>
        <w:spacing w:line="0" w:lineRule="atLeast"/>
        <w:rPr>
          <w:color w:val="000000" w:themeColor="text1"/>
        </w:rPr>
      </w:pPr>
    </w:p>
    <w:p w14:paraId="6131B66D" w14:textId="77777777" w:rsidR="00E12523" w:rsidRPr="00D677F7" w:rsidRDefault="00E12523" w:rsidP="00D677F7">
      <w:pPr>
        <w:spacing w:line="0" w:lineRule="atLeast"/>
        <w:rPr>
          <w:color w:val="000000" w:themeColor="text1"/>
        </w:rPr>
      </w:pPr>
      <w:r w:rsidRPr="00D677F7">
        <w:rPr>
          <w:color w:val="000000" w:themeColor="text1"/>
        </w:rPr>
        <w:t>5.12. Select Analyze &gt; Analyze Particles to quantify total nuclei in the DAPI images and TUNEL-positive nuclei in the TUNEL images.</w:t>
      </w:r>
    </w:p>
    <w:p w14:paraId="4B306A22" w14:textId="77777777" w:rsidR="00E12523" w:rsidRPr="00D677F7" w:rsidRDefault="00E12523" w:rsidP="00D677F7">
      <w:pPr>
        <w:spacing w:line="0" w:lineRule="atLeast"/>
        <w:rPr>
          <w:color w:val="000000" w:themeColor="text1"/>
        </w:rPr>
      </w:pPr>
    </w:p>
    <w:p w14:paraId="1B6481D5" w14:textId="77777777" w:rsidR="00E12523" w:rsidRPr="00D677F7" w:rsidRDefault="00E12523" w:rsidP="00D677F7">
      <w:pPr>
        <w:spacing w:line="0" w:lineRule="atLeast"/>
        <w:rPr>
          <w:color w:val="000000" w:themeColor="text1"/>
        </w:rPr>
      </w:pPr>
      <w:r w:rsidRPr="00D677F7">
        <w:rPr>
          <w:color w:val="000000" w:themeColor="text1"/>
        </w:rPr>
        <w:t>5.13. For DAPI images, analyze particles from 5 pixels² to infinity. For TUNEL images, analyze particles from 0 pixels² to infinity. Use a circularity range of 0.00–1.00 for both analyses.</w:t>
      </w:r>
    </w:p>
    <w:p w14:paraId="79D575EF" w14:textId="77777777" w:rsidR="00E12523" w:rsidRPr="00D677F7" w:rsidRDefault="00E12523" w:rsidP="00D677F7">
      <w:pPr>
        <w:spacing w:line="0" w:lineRule="atLeast"/>
        <w:rPr>
          <w:color w:val="000000" w:themeColor="text1"/>
        </w:rPr>
      </w:pPr>
    </w:p>
    <w:p w14:paraId="0D1A3C73" w14:textId="77777777" w:rsidR="00E12523" w:rsidRPr="00D677F7" w:rsidRDefault="00E12523" w:rsidP="00D677F7">
      <w:pPr>
        <w:spacing w:line="0" w:lineRule="atLeast"/>
        <w:rPr>
          <w:color w:val="000000" w:themeColor="text1"/>
        </w:rPr>
      </w:pPr>
      <w:r w:rsidRPr="00D677F7">
        <w:rPr>
          <w:color w:val="000000" w:themeColor="text1"/>
        </w:rPr>
        <w:t>5.14. Calculate the percentage of TUNEL-positive cells by dividing the number of TUNEL-positive nuclei by the total number of DAPI-positive nuclei and multiplying by 100.</w:t>
      </w:r>
    </w:p>
    <w:p w14:paraId="428DCD89" w14:textId="77777777" w:rsidR="00E12523" w:rsidRPr="00D677F7" w:rsidRDefault="00E12523" w:rsidP="00D677F7">
      <w:pPr>
        <w:spacing w:line="0" w:lineRule="atLeast"/>
        <w:rPr>
          <w:color w:val="000000" w:themeColor="text1"/>
        </w:rPr>
      </w:pPr>
    </w:p>
    <w:p w14:paraId="5512DEBB" w14:textId="77777777" w:rsidR="00E12523" w:rsidRPr="00D677F7" w:rsidRDefault="00E12523" w:rsidP="00D677F7">
      <w:pPr>
        <w:spacing w:line="0" w:lineRule="atLeast"/>
        <w:rPr>
          <w:color w:val="000000" w:themeColor="text1"/>
        </w:rPr>
      </w:pPr>
      <w:r w:rsidRPr="00D677F7">
        <w:rPr>
          <w:color w:val="000000" w:themeColor="text1"/>
        </w:rPr>
        <w:t xml:space="preserve">NOTE: A single 10× image typically captures most of a transverse EVT cross-section; therefore, one field of view is generally sufficient for analysis. However, </w:t>
      </w:r>
      <w:proofErr w:type="gramStart"/>
      <w:r w:rsidRPr="00D677F7">
        <w:rPr>
          <w:color w:val="000000" w:themeColor="text1"/>
        </w:rPr>
        <w:t>average the</w:t>
      </w:r>
      <w:proofErr w:type="gramEnd"/>
      <w:r w:rsidRPr="00D677F7">
        <w:rPr>
          <w:color w:val="000000" w:themeColor="text1"/>
        </w:rPr>
        <w:t xml:space="preserve"> counts obtained from at least two sections per EVT. Successful assay performance is indicated by negative control sections exhibiting approximately 0% TUNEL-positive cells and positive control sections exhibiting approximately 100% TUNEL-positive cells.</w:t>
      </w:r>
    </w:p>
    <w:p w14:paraId="4FF77D3B" w14:textId="77777777" w:rsidR="00E12523" w:rsidRPr="00D677F7" w:rsidRDefault="00E12523" w:rsidP="00D677F7">
      <w:pPr>
        <w:spacing w:line="0" w:lineRule="atLeast"/>
        <w:rPr>
          <w:color w:val="000000" w:themeColor="text1"/>
        </w:rPr>
      </w:pPr>
    </w:p>
    <w:p w14:paraId="648C1D58" w14:textId="77777777" w:rsidR="00E12523" w:rsidRPr="00D677F7" w:rsidRDefault="00E12523" w:rsidP="00D677F7">
      <w:pPr>
        <w:spacing w:line="0" w:lineRule="atLeast"/>
        <w:rPr>
          <w:b/>
          <w:bCs/>
          <w:color w:val="000000" w:themeColor="text1"/>
        </w:rPr>
      </w:pPr>
      <w:r w:rsidRPr="00D677F7">
        <w:rPr>
          <w:b/>
          <w:bCs/>
          <w:color w:val="000000" w:themeColor="text1"/>
        </w:rPr>
        <w:t>6. Immunofluorescence Staining Using EVT Cryosections</w:t>
      </w:r>
    </w:p>
    <w:p w14:paraId="6E4E9BCC" w14:textId="77777777" w:rsidR="00E12523" w:rsidRPr="00D677F7" w:rsidRDefault="00E12523" w:rsidP="00D677F7">
      <w:pPr>
        <w:spacing w:line="0" w:lineRule="atLeast"/>
        <w:rPr>
          <w:color w:val="000000" w:themeColor="text1"/>
        </w:rPr>
      </w:pPr>
    </w:p>
    <w:p w14:paraId="58BBD15A" w14:textId="77777777" w:rsidR="00E12523" w:rsidRPr="00D677F7" w:rsidRDefault="00E12523" w:rsidP="00D677F7">
      <w:pPr>
        <w:spacing w:line="0" w:lineRule="atLeast"/>
        <w:rPr>
          <w:color w:val="000000" w:themeColor="text1"/>
        </w:rPr>
      </w:pPr>
      <w:r w:rsidRPr="00D677F7">
        <w:rPr>
          <w:color w:val="000000" w:themeColor="text1"/>
        </w:rPr>
        <w:t>6.1. Thaw the slides and allow them to air dry. Rinse the slides with PBS in a glass staining jar, draw hydrophobic barriers around each section using a PAP pen, and rinse the slides again with PBS.</w:t>
      </w:r>
    </w:p>
    <w:p w14:paraId="385B476E" w14:textId="77777777" w:rsidR="00E12523" w:rsidRPr="00D677F7" w:rsidRDefault="00E12523" w:rsidP="00D677F7">
      <w:pPr>
        <w:spacing w:line="0" w:lineRule="atLeast"/>
        <w:rPr>
          <w:color w:val="000000" w:themeColor="text1"/>
        </w:rPr>
      </w:pPr>
    </w:p>
    <w:p w14:paraId="20D029B8" w14:textId="77777777" w:rsidR="00E12523" w:rsidRPr="00D677F7" w:rsidRDefault="00E12523" w:rsidP="00D677F7">
      <w:pPr>
        <w:spacing w:line="0" w:lineRule="atLeast"/>
        <w:rPr>
          <w:color w:val="000000" w:themeColor="text1"/>
        </w:rPr>
      </w:pPr>
      <w:r w:rsidRPr="00D677F7">
        <w:rPr>
          <w:color w:val="000000" w:themeColor="text1"/>
        </w:rPr>
        <w:t>6.2. Prepare 50 mM ammonium chloride (NH</w:t>
      </w:r>
      <w:r w:rsidRPr="00D677F7">
        <w:rPr>
          <w:color w:val="000000" w:themeColor="text1"/>
          <w:vertAlign w:val="subscript"/>
        </w:rPr>
        <w:t>4</w:t>
      </w:r>
      <w:r w:rsidRPr="00D677F7">
        <w:rPr>
          <w:color w:val="000000" w:themeColor="text1"/>
        </w:rPr>
        <w:t>Cl) in PBS. Incubate the slides in this solution for 15 min.</w:t>
      </w:r>
    </w:p>
    <w:p w14:paraId="6CDD3AC1" w14:textId="77777777" w:rsidR="00E12523" w:rsidRPr="00D677F7" w:rsidRDefault="00E12523" w:rsidP="00D677F7">
      <w:pPr>
        <w:spacing w:line="0" w:lineRule="atLeast"/>
        <w:rPr>
          <w:color w:val="000000" w:themeColor="text1"/>
        </w:rPr>
      </w:pPr>
    </w:p>
    <w:p w14:paraId="7E23DFD1" w14:textId="77777777" w:rsidR="00E12523" w:rsidRPr="00D677F7" w:rsidRDefault="00E12523" w:rsidP="00D677F7">
      <w:pPr>
        <w:spacing w:line="0" w:lineRule="atLeast"/>
        <w:rPr>
          <w:color w:val="000000" w:themeColor="text1"/>
        </w:rPr>
      </w:pPr>
      <w:r w:rsidRPr="00D677F7">
        <w:rPr>
          <w:color w:val="000000" w:themeColor="text1"/>
        </w:rPr>
        <w:t>NOTE: This incubation reduces tissue autofluorescence during subsequent fluorescence imaging.</w:t>
      </w:r>
    </w:p>
    <w:p w14:paraId="414E4FBC" w14:textId="77777777" w:rsidR="00E12523" w:rsidRPr="00D677F7" w:rsidRDefault="00E12523" w:rsidP="00D677F7">
      <w:pPr>
        <w:spacing w:line="0" w:lineRule="atLeast"/>
        <w:rPr>
          <w:color w:val="000000" w:themeColor="text1"/>
        </w:rPr>
      </w:pPr>
    </w:p>
    <w:p w14:paraId="7455AE0B" w14:textId="77777777" w:rsidR="00E12523" w:rsidRPr="00D677F7" w:rsidRDefault="00E12523" w:rsidP="00D677F7">
      <w:pPr>
        <w:spacing w:line="0" w:lineRule="atLeast"/>
        <w:rPr>
          <w:color w:val="000000" w:themeColor="text1"/>
        </w:rPr>
      </w:pPr>
      <w:r w:rsidRPr="00D677F7">
        <w:rPr>
          <w:color w:val="000000" w:themeColor="text1"/>
        </w:rPr>
        <w:t>6.3. Prepare 10 mL blocking solution consisting of 10% donkey serum and 0.2% glycine in PBS. Sterile-filter the solution through a 0.22 µm filter and prepare 1 mL aliquots. Supplement one aliquot with 0.5% Triton X-100 to generate the permeabilization solution.</w:t>
      </w:r>
    </w:p>
    <w:p w14:paraId="1602D888" w14:textId="77777777" w:rsidR="00E12523" w:rsidRPr="00D677F7" w:rsidRDefault="00E12523" w:rsidP="00D677F7">
      <w:pPr>
        <w:spacing w:line="0" w:lineRule="atLeast"/>
        <w:rPr>
          <w:color w:val="000000" w:themeColor="text1"/>
        </w:rPr>
      </w:pPr>
    </w:p>
    <w:p w14:paraId="063988B1" w14:textId="77777777" w:rsidR="00E12523" w:rsidRPr="00D677F7" w:rsidRDefault="00E12523" w:rsidP="00D677F7">
      <w:pPr>
        <w:spacing w:line="0" w:lineRule="atLeast"/>
        <w:rPr>
          <w:color w:val="000000" w:themeColor="text1"/>
        </w:rPr>
      </w:pPr>
      <w:r w:rsidRPr="00D677F7">
        <w:rPr>
          <w:color w:val="000000" w:themeColor="text1"/>
        </w:rPr>
        <w:t>6.4. Rinse the slides with PBS.</w:t>
      </w:r>
    </w:p>
    <w:p w14:paraId="683D9303" w14:textId="77777777" w:rsidR="00E12523" w:rsidRPr="00D677F7" w:rsidRDefault="00E12523" w:rsidP="00D677F7">
      <w:pPr>
        <w:spacing w:line="0" w:lineRule="atLeast"/>
        <w:rPr>
          <w:color w:val="000000" w:themeColor="text1"/>
        </w:rPr>
      </w:pPr>
    </w:p>
    <w:p w14:paraId="1D3DDA72" w14:textId="77777777" w:rsidR="00E12523" w:rsidRPr="00D677F7" w:rsidRDefault="00E12523" w:rsidP="00D677F7">
      <w:pPr>
        <w:spacing w:line="0" w:lineRule="atLeast"/>
        <w:rPr>
          <w:color w:val="000000" w:themeColor="text1"/>
        </w:rPr>
      </w:pPr>
      <w:r w:rsidRPr="00D677F7">
        <w:rPr>
          <w:color w:val="000000" w:themeColor="text1"/>
        </w:rPr>
        <w:t>6.5. Remove excess PBS using absorbent tissue. Apply approximately 30 µL of the permeabilization solution to each section and incubate for 1 h at room temperature in a humid chamber.</w:t>
      </w:r>
    </w:p>
    <w:p w14:paraId="68F200A8" w14:textId="77777777" w:rsidR="00E12523" w:rsidRPr="00D677F7" w:rsidRDefault="00E12523" w:rsidP="00D677F7">
      <w:pPr>
        <w:spacing w:line="0" w:lineRule="atLeast"/>
        <w:rPr>
          <w:color w:val="000000" w:themeColor="text1"/>
        </w:rPr>
      </w:pPr>
    </w:p>
    <w:p w14:paraId="2710248B" w14:textId="77777777" w:rsidR="00E12523" w:rsidRPr="00D677F7" w:rsidRDefault="00E12523" w:rsidP="00D677F7">
      <w:pPr>
        <w:spacing w:line="0" w:lineRule="atLeast"/>
        <w:rPr>
          <w:color w:val="000000" w:themeColor="text1"/>
        </w:rPr>
      </w:pPr>
      <w:r w:rsidRPr="00D677F7">
        <w:rPr>
          <w:color w:val="000000" w:themeColor="text1"/>
        </w:rPr>
        <w:t>6.6. Prepare matched dilutions of the primary antibodies and corresponding IgG controls in blocking solution.</w:t>
      </w:r>
    </w:p>
    <w:p w14:paraId="3156B779" w14:textId="77777777" w:rsidR="00E12523" w:rsidRPr="00D677F7" w:rsidRDefault="00E12523" w:rsidP="00D677F7">
      <w:pPr>
        <w:spacing w:line="0" w:lineRule="atLeast"/>
        <w:rPr>
          <w:color w:val="000000" w:themeColor="text1"/>
        </w:rPr>
      </w:pPr>
    </w:p>
    <w:p w14:paraId="66C961AA" w14:textId="77777777" w:rsidR="00E12523" w:rsidRPr="00D677F7" w:rsidRDefault="00E12523" w:rsidP="00D677F7">
      <w:pPr>
        <w:spacing w:line="0" w:lineRule="atLeast"/>
        <w:rPr>
          <w:color w:val="000000" w:themeColor="text1"/>
        </w:rPr>
      </w:pPr>
      <w:r w:rsidRPr="00D677F7">
        <w:rPr>
          <w:color w:val="000000" w:themeColor="text1"/>
        </w:rPr>
        <w:t xml:space="preserve">NOTE: The primary antibodies and IgG controls used in this study are listed in the Table of </w:t>
      </w:r>
      <w:r w:rsidRPr="00D677F7">
        <w:rPr>
          <w:color w:val="000000" w:themeColor="text1"/>
        </w:rPr>
        <w:lastRenderedPageBreak/>
        <w:t>Materials.</w:t>
      </w:r>
    </w:p>
    <w:p w14:paraId="56B4A640" w14:textId="77777777" w:rsidR="00E12523" w:rsidRPr="00D677F7" w:rsidRDefault="00E12523" w:rsidP="00D677F7">
      <w:pPr>
        <w:spacing w:line="0" w:lineRule="atLeast"/>
        <w:rPr>
          <w:color w:val="000000" w:themeColor="text1"/>
        </w:rPr>
      </w:pPr>
    </w:p>
    <w:p w14:paraId="6B5AC9E0" w14:textId="77777777" w:rsidR="00E12523" w:rsidRPr="00D677F7" w:rsidRDefault="00E12523" w:rsidP="00D677F7">
      <w:pPr>
        <w:spacing w:line="0" w:lineRule="atLeast"/>
        <w:rPr>
          <w:color w:val="000000" w:themeColor="text1"/>
        </w:rPr>
      </w:pPr>
      <w:r w:rsidRPr="00D677F7">
        <w:rPr>
          <w:color w:val="000000" w:themeColor="text1"/>
        </w:rPr>
        <w:t>6.7. Aspirate the permeabilization solution and apply approximately 30 µL of the appropriate primary antibody or IgG control solution to each section. Incubate overnight at 4°C in a humid chamber.</w:t>
      </w:r>
    </w:p>
    <w:p w14:paraId="14FF9468" w14:textId="77777777" w:rsidR="00E12523" w:rsidRPr="00D677F7" w:rsidRDefault="00E12523" w:rsidP="00D677F7">
      <w:pPr>
        <w:spacing w:line="0" w:lineRule="atLeast"/>
        <w:rPr>
          <w:color w:val="000000" w:themeColor="text1"/>
        </w:rPr>
      </w:pPr>
    </w:p>
    <w:p w14:paraId="2BED2157" w14:textId="77777777" w:rsidR="00E12523" w:rsidRPr="00D677F7" w:rsidRDefault="00E12523" w:rsidP="00D677F7">
      <w:pPr>
        <w:spacing w:line="0" w:lineRule="atLeast"/>
        <w:rPr>
          <w:color w:val="000000" w:themeColor="text1"/>
        </w:rPr>
      </w:pPr>
      <w:r w:rsidRPr="00D677F7">
        <w:rPr>
          <w:color w:val="000000" w:themeColor="text1"/>
        </w:rPr>
        <w:t>6.8. Rinse the slides with PBS for 3 × 5 min. Prepare the secondary antibodies at a 1:200 dilution in blocking solution.</w:t>
      </w:r>
    </w:p>
    <w:p w14:paraId="4324CBFD" w14:textId="77777777" w:rsidR="00E12523" w:rsidRPr="00D677F7" w:rsidRDefault="00E12523" w:rsidP="00D677F7">
      <w:pPr>
        <w:spacing w:line="0" w:lineRule="atLeast"/>
        <w:rPr>
          <w:color w:val="000000" w:themeColor="text1"/>
        </w:rPr>
      </w:pPr>
    </w:p>
    <w:p w14:paraId="75B28A64" w14:textId="77777777" w:rsidR="00E12523" w:rsidRPr="00D677F7" w:rsidRDefault="00E12523" w:rsidP="00D677F7">
      <w:pPr>
        <w:spacing w:line="0" w:lineRule="atLeast"/>
        <w:rPr>
          <w:color w:val="000000" w:themeColor="text1"/>
        </w:rPr>
      </w:pPr>
      <w:r w:rsidRPr="00D677F7">
        <w:rPr>
          <w:color w:val="000000" w:themeColor="text1"/>
        </w:rPr>
        <w:t>NOTE: The secondary antibodies used in this study are listed in the Table of Materials.</w:t>
      </w:r>
    </w:p>
    <w:p w14:paraId="5D74043B" w14:textId="77777777" w:rsidR="00E12523" w:rsidRPr="00D677F7" w:rsidRDefault="00E12523" w:rsidP="00D677F7">
      <w:pPr>
        <w:spacing w:line="0" w:lineRule="atLeast"/>
        <w:rPr>
          <w:color w:val="000000" w:themeColor="text1"/>
        </w:rPr>
      </w:pPr>
    </w:p>
    <w:p w14:paraId="46D32679" w14:textId="77777777" w:rsidR="00E12523" w:rsidRPr="00D677F7" w:rsidRDefault="00E12523" w:rsidP="00D677F7">
      <w:pPr>
        <w:spacing w:line="0" w:lineRule="atLeast"/>
        <w:rPr>
          <w:color w:val="000000" w:themeColor="text1"/>
        </w:rPr>
      </w:pPr>
      <w:r w:rsidRPr="00D677F7">
        <w:rPr>
          <w:color w:val="000000" w:themeColor="text1"/>
        </w:rPr>
        <w:t>6.9. Remove excess PBS using absorbent tissue. Apply approximately 30 µL of the secondary antibody solution to each section and incubate for 1 h at room temperature in a humid chamber.</w:t>
      </w:r>
    </w:p>
    <w:p w14:paraId="2D77BE09" w14:textId="77777777" w:rsidR="00E12523" w:rsidRPr="00D677F7" w:rsidRDefault="00E12523" w:rsidP="00D677F7">
      <w:pPr>
        <w:spacing w:line="0" w:lineRule="atLeast"/>
        <w:rPr>
          <w:color w:val="000000" w:themeColor="text1"/>
        </w:rPr>
      </w:pPr>
    </w:p>
    <w:p w14:paraId="65C21D15" w14:textId="77777777" w:rsidR="00E12523" w:rsidRPr="00D677F7" w:rsidRDefault="00E12523" w:rsidP="00D677F7">
      <w:pPr>
        <w:spacing w:line="0" w:lineRule="atLeast"/>
        <w:rPr>
          <w:color w:val="000000" w:themeColor="text1"/>
        </w:rPr>
      </w:pPr>
      <w:r w:rsidRPr="00D677F7">
        <w:rPr>
          <w:color w:val="000000" w:themeColor="text1"/>
        </w:rPr>
        <w:t>6.10. Aspirate the secondary antibody solution and counterstain each section with DAPI (4 µg/mL in PBS; approximately 30 µL per section) for 15 min.</w:t>
      </w:r>
    </w:p>
    <w:p w14:paraId="62E2A936" w14:textId="77777777" w:rsidR="00E12523" w:rsidRPr="00D677F7" w:rsidRDefault="00E12523" w:rsidP="00D677F7">
      <w:pPr>
        <w:spacing w:line="0" w:lineRule="atLeast"/>
        <w:rPr>
          <w:color w:val="000000" w:themeColor="text1"/>
        </w:rPr>
      </w:pPr>
    </w:p>
    <w:p w14:paraId="2C825CC0" w14:textId="77777777" w:rsidR="00E12523" w:rsidRPr="00D677F7" w:rsidRDefault="00E12523" w:rsidP="00D677F7">
      <w:pPr>
        <w:spacing w:line="0" w:lineRule="atLeast"/>
        <w:rPr>
          <w:color w:val="000000" w:themeColor="text1"/>
        </w:rPr>
      </w:pPr>
      <w:r w:rsidRPr="00D677F7">
        <w:rPr>
          <w:color w:val="000000" w:themeColor="text1"/>
        </w:rPr>
        <w:t xml:space="preserve">6.11. Rinse the slides twice with PBS. Apply approximately 20 µL aqueous mounting </w:t>
      </w:r>
      <w:proofErr w:type="gramStart"/>
      <w:r w:rsidRPr="00D677F7">
        <w:rPr>
          <w:color w:val="000000" w:themeColor="text1"/>
        </w:rPr>
        <w:t>medium</w:t>
      </w:r>
      <w:proofErr w:type="gramEnd"/>
      <w:r w:rsidRPr="00D677F7">
        <w:rPr>
          <w:color w:val="000000" w:themeColor="text1"/>
        </w:rPr>
        <w:t xml:space="preserve"> to each section, mount coverslips, and allow the slides to dry at room temperature.</w:t>
      </w:r>
    </w:p>
    <w:p w14:paraId="202D0D51" w14:textId="77777777" w:rsidR="00E12523" w:rsidRPr="00D677F7" w:rsidRDefault="00E12523" w:rsidP="00D677F7">
      <w:pPr>
        <w:spacing w:line="0" w:lineRule="atLeast"/>
        <w:rPr>
          <w:color w:val="000000" w:themeColor="text1"/>
        </w:rPr>
      </w:pPr>
    </w:p>
    <w:p w14:paraId="7B648E8D" w14:textId="77777777" w:rsidR="00E12523" w:rsidRPr="00D677F7" w:rsidRDefault="00E12523" w:rsidP="00D677F7">
      <w:pPr>
        <w:spacing w:line="0" w:lineRule="atLeast"/>
        <w:rPr>
          <w:color w:val="000000" w:themeColor="text1"/>
        </w:rPr>
      </w:pPr>
      <w:r w:rsidRPr="00D677F7">
        <w:rPr>
          <w:color w:val="000000" w:themeColor="text1"/>
        </w:rPr>
        <w:t xml:space="preserve">6.12. Image the sections using a fluorescence microscope with </w:t>
      </w:r>
      <w:proofErr w:type="gramStart"/>
      <w:r w:rsidRPr="00D677F7">
        <w:rPr>
          <w:color w:val="000000" w:themeColor="text1"/>
        </w:rPr>
        <w:t>a 10×</w:t>
      </w:r>
      <w:proofErr w:type="gramEnd"/>
      <w:r w:rsidRPr="00D677F7">
        <w:rPr>
          <w:color w:val="000000" w:themeColor="text1"/>
        </w:rPr>
        <w:t xml:space="preserve"> objective and appropriate excitation channels (350, 488, 555, and 647 nm).</w:t>
      </w:r>
    </w:p>
    <w:p w14:paraId="5BBDA4EB" w14:textId="77777777" w:rsidR="00E12523" w:rsidRPr="00D677F7" w:rsidRDefault="00E12523" w:rsidP="00D677F7">
      <w:pPr>
        <w:spacing w:line="0" w:lineRule="atLeast"/>
        <w:rPr>
          <w:color w:val="000000" w:themeColor="text1"/>
        </w:rPr>
      </w:pPr>
    </w:p>
    <w:p w14:paraId="156CA237" w14:textId="77777777" w:rsidR="00E12523" w:rsidRPr="00D677F7" w:rsidRDefault="00E12523" w:rsidP="00D677F7">
      <w:pPr>
        <w:spacing w:line="0" w:lineRule="atLeast"/>
        <w:rPr>
          <w:b/>
          <w:bCs/>
          <w:color w:val="000000" w:themeColor="text1"/>
        </w:rPr>
      </w:pPr>
      <w:r w:rsidRPr="00D677F7">
        <w:rPr>
          <w:b/>
          <w:bCs/>
          <w:color w:val="000000" w:themeColor="text1"/>
        </w:rPr>
        <w:t>7. Protein Extraction from EVTs</w:t>
      </w:r>
    </w:p>
    <w:p w14:paraId="0397DF77" w14:textId="77777777" w:rsidR="00E12523" w:rsidRPr="00D677F7" w:rsidRDefault="00E12523" w:rsidP="00D677F7">
      <w:pPr>
        <w:spacing w:line="0" w:lineRule="atLeast"/>
        <w:rPr>
          <w:color w:val="000000" w:themeColor="text1"/>
        </w:rPr>
      </w:pPr>
    </w:p>
    <w:p w14:paraId="746496A5"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t>NOTE: This protocol uses a two-step extraction procedure to sequentially isolate soluble extracellular and intracellular proteins, followed by less soluble, highly crosslinked extracellular matrix (ECM) proteins.</w:t>
      </w:r>
    </w:p>
    <w:p w14:paraId="51F41D8B" w14:textId="77777777" w:rsidR="00E12523" w:rsidRPr="000C5222" w:rsidRDefault="00E12523" w:rsidP="00D677F7">
      <w:pPr>
        <w:spacing w:line="0" w:lineRule="atLeast"/>
        <w:rPr>
          <w:color w:val="000000" w:themeColor="text1"/>
          <w:highlight w:val="yellow"/>
        </w:rPr>
      </w:pPr>
    </w:p>
    <w:p w14:paraId="1D1E4307"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t>7.1. Prepare tissue lysis buffer (TLB) consisting of 20 mM Tris-HCl, 113 mM NaCl, 5 mM EDTA, 2 mM EGTA, 1% Triton X-100, and 0.1% SDS at pH 7.4.</w:t>
      </w:r>
    </w:p>
    <w:p w14:paraId="2CFE1BBE" w14:textId="77777777" w:rsidR="00E12523" w:rsidRPr="000C5222" w:rsidRDefault="00E12523" w:rsidP="00D677F7">
      <w:pPr>
        <w:spacing w:line="0" w:lineRule="atLeast"/>
        <w:rPr>
          <w:color w:val="000000" w:themeColor="text1"/>
          <w:highlight w:val="yellow"/>
        </w:rPr>
      </w:pPr>
    </w:p>
    <w:p w14:paraId="2B7B0458"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t>7.2. Prepare guanidine hydrochloride (</w:t>
      </w:r>
      <w:proofErr w:type="spellStart"/>
      <w:r w:rsidRPr="000C5222">
        <w:rPr>
          <w:color w:val="000000" w:themeColor="text1"/>
          <w:highlight w:val="yellow"/>
        </w:rPr>
        <w:t>GuHCl</w:t>
      </w:r>
      <w:proofErr w:type="spellEnd"/>
      <w:r w:rsidRPr="000C5222">
        <w:rPr>
          <w:color w:val="000000" w:themeColor="text1"/>
          <w:highlight w:val="yellow"/>
        </w:rPr>
        <w:t xml:space="preserve">) buffer consisting of 4 M </w:t>
      </w:r>
      <w:proofErr w:type="spellStart"/>
      <w:r w:rsidRPr="000C5222">
        <w:rPr>
          <w:color w:val="000000" w:themeColor="text1"/>
          <w:highlight w:val="yellow"/>
        </w:rPr>
        <w:t>GuHCl</w:t>
      </w:r>
      <w:proofErr w:type="spellEnd"/>
      <w:r w:rsidRPr="000C5222">
        <w:rPr>
          <w:color w:val="000000" w:themeColor="text1"/>
          <w:highlight w:val="yellow"/>
        </w:rPr>
        <w:t>, 50 mM sodium acetate, and 12.5 mM EDTA at pH 5.8.</w:t>
      </w:r>
    </w:p>
    <w:p w14:paraId="29625FEA" w14:textId="77777777" w:rsidR="00E12523" w:rsidRPr="000C5222" w:rsidRDefault="00E12523" w:rsidP="00D677F7">
      <w:pPr>
        <w:spacing w:line="0" w:lineRule="atLeast"/>
        <w:rPr>
          <w:color w:val="000000" w:themeColor="text1"/>
          <w:highlight w:val="yellow"/>
        </w:rPr>
      </w:pPr>
    </w:p>
    <w:p w14:paraId="3E065379"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t xml:space="preserve">7.3. Supplement 10 mL of each buffer with one </w:t>
      </w:r>
      <w:proofErr w:type="spellStart"/>
      <w:proofErr w:type="gramStart"/>
      <w:r w:rsidRPr="000C5222">
        <w:rPr>
          <w:color w:val="000000" w:themeColor="text1"/>
          <w:highlight w:val="yellow"/>
        </w:rPr>
        <w:t>cOmplete</w:t>
      </w:r>
      <w:proofErr w:type="spellEnd"/>
      <w:proofErr w:type="gramEnd"/>
      <w:r w:rsidRPr="000C5222">
        <w:rPr>
          <w:color w:val="000000" w:themeColor="text1"/>
          <w:highlight w:val="yellow"/>
        </w:rPr>
        <w:t xml:space="preserve"> Mini EDTA-free Protease Inhibitor Cocktail tablet and one </w:t>
      </w:r>
      <w:proofErr w:type="spellStart"/>
      <w:r w:rsidRPr="000C5222">
        <w:rPr>
          <w:color w:val="000000" w:themeColor="text1"/>
          <w:highlight w:val="yellow"/>
        </w:rPr>
        <w:t>PhosSTOP</w:t>
      </w:r>
      <w:proofErr w:type="spellEnd"/>
      <w:r w:rsidRPr="000C5222">
        <w:rPr>
          <w:color w:val="000000" w:themeColor="text1"/>
          <w:highlight w:val="yellow"/>
        </w:rPr>
        <w:t xml:space="preserve"> phosphatase inhibitor tablet, as specified in the Table of Materials.</w:t>
      </w:r>
    </w:p>
    <w:p w14:paraId="13BD1D08" w14:textId="77777777" w:rsidR="00E12523" w:rsidRPr="000C5222" w:rsidRDefault="00E12523" w:rsidP="00D677F7">
      <w:pPr>
        <w:spacing w:line="0" w:lineRule="atLeast"/>
        <w:rPr>
          <w:color w:val="000000" w:themeColor="text1"/>
          <w:highlight w:val="yellow"/>
        </w:rPr>
      </w:pPr>
    </w:p>
    <w:p w14:paraId="590F67BD"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t>7.4. While the EVTs remain on the racks, wash them with 1.5 mL of pre-warmed PBS per well for 3 × 5 min in a cell culture incubator at 37°C and 5% CO₂.</w:t>
      </w:r>
    </w:p>
    <w:p w14:paraId="3F0BA177" w14:textId="77777777" w:rsidR="00E12523" w:rsidRPr="000C5222" w:rsidRDefault="00E12523" w:rsidP="00D677F7">
      <w:pPr>
        <w:spacing w:line="0" w:lineRule="atLeast"/>
        <w:rPr>
          <w:color w:val="000000" w:themeColor="text1"/>
          <w:highlight w:val="yellow"/>
        </w:rPr>
      </w:pPr>
    </w:p>
    <w:p w14:paraId="3C3E29F9"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t xml:space="preserve">7.5. Remove the plate from the incubator. Using clean tweezers, detach each EVT from the posts and transfer it to a glass slide. Cut the EVTs into smaller pieces using Vannas-type micro scissors </w:t>
      </w:r>
      <w:r w:rsidRPr="000C5222">
        <w:rPr>
          <w:color w:val="000000" w:themeColor="text1"/>
          <w:highlight w:val="yellow"/>
        </w:rPr>
        <w:lastRenderedPageBreak/>
        <w:t>or a scalpel.</w:t>
      </w:r>
    </w:p>
    <w:p w14:paraId="37DD03D5" w14:textId="77777777" w:rsidR="00E12523" w:rsidRPr="000C5222" w:rsidRDefault="00E12523" w:rsidP="00D677F7">
      <w:pPr>
        <w:spacing w:line="0" w:lineRule="atLeast"/>
        <w:rPr>
          <w:color w:val="000000" w:themeColor="text1"/>
          <w:highlight w:val="yellow"/>
        </w:rPr>
      </w:pPr>
    </w:p>
    <w:p w14:paraId="34E8DC12"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t>7.6. Transfer the EVT fragments to a low-protein-binding 2 mL tube containing 100 µL of complete TLB. Ensure that all tissue fragments are fully submerged.</w:t>
      </w:r>
    </w:p>
    <w:p w14:paraId="644F6246" w14:textId="77777777" w:rsidR="00E12523" w:rsidRPr="000C5222" w:rsidRDefault="00E12523" w:rsidP="00D677F7">
      <w:pPr>
        <w:spacing w:line="0" w:lineRule="atLeast"/>
        <w:rPr>
          <w:color w:val="000000" w:themeColor="text1"/>
          <w:highlight w:val="yellow"/>
        </w:rPr>
      </w:pPr>
    </w:p>
    <w:p w14:paraId="5479F90F"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t xml:space="preserve">7.7. Seal the tube lids with Parafilm and incubate at room temperature with vigorous shaking at 1,400 rpm for 24 h using the multi-tube </w:t>
      </w:r>
      <w:proofErr w:type="spellStart"/>
      <w:r w:rsidRPr="000C5222">
        <w:rPr>
          <w:color w:val="000000" w:themeColor="text1"/>
          <w:highlight w:val="yellow"/>
        </w:rPr>
        <w:t>vortexer</w:t>
      </w:r>
      <w:proofErr w:type="spellEnd"/>
      <w:r w:rsidRPr="000C5222">
        <w:rPr>
          <w:color w:val="000000" w:themeColor="text1"/>
          <w:highlight w:val="yellow"/>
        </w:rPr>
        <w:t xml:space="preserve"> specified in the Table of Materials.</w:t>
      </w:r>
    </w:p>
    <w:p w14:paraId="6654A849" w14:textId="77777777" w:rsidR="00E12523" w:rsidRPr="000C5222" w:rsidRDefault="00E12523" w:rsidP="00D677F7">
      <w:pPr>
        <w:spacing w:line="0" w:lineRule="atLeast"/>
        <w:rPr>
          <w:color w:val="000000" w:themeColor="text1"/>
          <w:highlight w:val="yellow"/>
        </w:rPr>
      </w:pPr>
    </w:p>
    <w:p w14:paraId="58C8F1AD"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t>NOTE: The TLB incubation is extended to 24 h to demonstrate that a proportion of the ECM deposited within the EVTs becomes integrated into the tissue and is no longer readily soluble.</w:t>
      </w:r>
    </w:p>
    <w:p w14:paraId="2FEC6F09" w14:textId="77777777" w:rsidR="00E12523" w:rsidRPr="000C5222" w:rsidRDefault="00E12523" w:rsidP="00D677F7">
      <w:pPr>
        <w:spacing w:line="0" w:lineRule="atLeast"/>
        <w:rPr>
          <w:color w:val="000000" w:themeColor="text1"/>
          <w:highlight w:val="yellow"/>
        </w:rPr>
      </w:pPr>
    </w:p>
    <w:p w14:paraId="1C6C8968"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t>7.8. Centrifuge the samples at 18,000 × g for 2 min. Using a gel-loading tip, transfer the supernatant to a new low-protein-binding tube and designate it as the TLB fraction. This fraction contains intracellular proteins together with soluble and weakly associated ECM proteins.</w:t>
      </w:r>
    </w:p>
    <w:p w14:paraId="0AE02C28" w14:textId="77777777" w:rsidR="00E12523" w:rsidRPr="000C5222" w:rsidRDefault="00E12523" w:rsidP="00D677F7">
      <w:pPr>
        <w:spacing w:line="0" w:lineRule="atLeast"/>
        <w:rPr>
          <w:color w:val="000000" w:themeColor="text1"/>
          <w:highlight w:val="yellow"/>
        </w:rPr>
      </w:pPr>
    </w:p>
    <w:p w14:paraId="550AB80C"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t>7.9. Wash the remaining pellet with 1 mL of PBS and invert the tube several times to mix. Centrifuge at 18,000 × g for 2 min and remove the supernatant. Repeat the wash and centrifugation procedure once.</w:t>
      </w:r>
    </w:p>
    <w:p w14:paraId="17438312" w14:textId="77777777" w:rsidR="00E12523" w:rsidRPr="000C5222" w:rsidRDefault="00E12523" w:rsidP="00D677F7">
      <w:pPr>
        <w:spacing w:line="0" w:lineRule="atLeast"/>
        <w:rPr>
          <w:color w:val="000000" w:themeColor="text1"/>
          <w:highlight w:val="yellow"/>
        </w:rPr>
      </w:pPr>
    </w:p>
    <w:p w14:paraId="140813CC" w14:textId="77777777" w:rsidR="00E12523" w:rsidRPr="000C5222" w:rsidRDefault="00E12523" w:rsidP="00D677F7">
      <w:pPr>
        <w:spacing w:line="0" w:lineRule="atLeast"/>
        <w:rPr>
          <w:color w:val="000000" w:themeColor="text1"/>
          <w:highlight w:val="yellow"/>
        </w:rPr>
      </w:pPr>
      <w:r w:rsidRPr="000C5222">
        <w:rPr>
          <w:color w:val="000000" w:themeColor="text1"/>
          <w:highlight w:val="yellow"/>
        </w:rPr>
        <w:t xml:space="preserve">7.10. Add 25 µL of complete </w:t>
      </w:r>
      <w:proofErr w:type="spellStart"/>
      <w:r w:rsidRPr="000C5222">
        <w:rPr>
          <w:color w:val="000000" w:themeColor="text1"/>
          <w:highlight w:val="yellow"/>
        </w:rPr>
        <w:t>GuHCl</w:t>
      </w:r>
      <w:proofErr w:type="spellEnd"/>
      <w:r w:rsidRPr="000C5222">
        <w:rPr>
          <w:color w:val="000000" w:themeColor="text1"/>
          <w:highlight w:val="yellow"/>
        </w:rPr>
        <w:t xml:space="preserve"> buffer to the washed pellet. Ensure that all tissue fragments are fully submerged.</w:t>
      </w:r>
    </w:p>
    <w:p w14:paraId="14EC2CD0" w14:textId="77777777" w:rsidR="00E12523" w:rsidRPr="000C5222" w:rsidRDefault="00E12523" w:rsidP="00D677F7">
      <w:pPr>
        <w:spacing w:line="0" w:lineRule="atLeast"/>
        <w:rPr>
          <w:color w:val="000000" w:themeColor="text1"/>
          <w:highlight w:val="yellow"/>
        </w:rPr>
      </w:pPr>
    </w:p>
    <w:p w14:paraId="437FE7C7" w14:textId="77777777" w:rsidR="00E12523" w:rsidRPr="00D677F7" w:rsidRDefault="00E12523" w:rsidP="00D677F7">
      <w:pPr>
        <w:spacing w:line="0" w:lineRule="atLeast"/>
        <w:rPr>
          <w:color w:val="000000" w:themeColor="text1"/>
        </w:rPr>
      </w:pPr>
      <w:r w:rsidRPr="000C5222">
        <w:rPr>
          <w:color w:val="000000" w:themeColor="text1"/>
          <w:highlight w:val="yellow"/>
        </w:rPr>
        <w:t>7.11. Seal the tube lids with Parafilm and incubate for 48 h at 37°C with gentle shaking at 750 rpm. Use a heated lid to minimize evaporation.</w:t>
      </w:r>
    </w:p>
    <w:p w14:paraId="1CEB8A52" w14:textId="77777777" w:rsidR="00E12523" w:rsidRPr="00D677F7" w:rsidRDefault="00E12523" w:rsidP="00D677F7">
      <w:pPr>
        <w:spacing w:line="0" w:lineRule="atLeast"/>
        <w:rPr>
          <w:color w:val="000000" w:themeColor="text1"/>
        </w:rPr>
      </w:pPr>
    </w:p>
    <w:p w14:paraId="13263B24" w14:textId="77777777" w:rsidR="00E12523" w:rsidRPr="00D677F7" w:rsidRDefault="00E12523" w:rsidP="00D677F7">
      <w:pPr>
        <w:spacing w:line="0" w:lineRule="atLeast"/>
        <w:rPr>
          <w:color w:val="000000" w:themeColor="text1"/>
        </w:rPr>
      </w:pPr>
      <w:r w:rsidRPr="001A143C">
        <w:rPr>
          <w:color w:val="000000" w:themeColor="text1"/>
          <w:highlight w:val="yellow"/>
        </w:rPr>
        <w:t xml:space="preserve">7.12. Centrifuge the samples at 18,000 × g for 2 min. Using a gel-loading tip, transfer the supernatant to a new low-protein-binding tube and designate it as the </w:t>
      </w:r>
      <w:proofErr w:type="spellStart"/>
      <w:r w:rsidRPr="001A143C">
        <w:rPr>
          <w:color w:val="000000" w:themeColor="text1"/>
          <w:highlight w:val="yellow"/>
        </w:rPr>
        <w:t>GuHCl</w:t>
      </w:r>
      <w:proofErr w:type="spellEnd"/>
      <w:r w:rsidRPr="001A143C">
        <w:rPr>
          <w:color w:val="000000" w:themeColor="text1"/>
          <w:highlight w:val="yellow"/>
        </w:rPr>
        <w:t xml:space="preserve"> fraction. This fraction is enriched for less soluble, highly crosslinked ECM proteins and other insoluble matrix-associated components.</w:t>
      </w:r>
    </w:p>
    <w:p w14:paraId="3CB79544" w14:textId="77777777" w:rsidR="00E12523" w:rsidRPr="00D677F7" w:rsidRDefault="00E12523" w:rsidP="00D677F7">
      <w:pPr>
        <w:spacing w:line="0" w:lineRule="atLeast"/>
        <w:rPr>
          <w:color w:val="000000" w:themeColor="text1"/>
        </w:rPr>
      </w:pPr>
    </w:p>
    <w:p w14:paraId="69E62C97" w14:textId="77777777" w:rsidR="00E12523" w:rsidRPr="001A143C" w:rsidRDefault="00E12523" w:rsidP="00D677F7">
      <w:pPr>
        <w:spacing w:line="0" w:lineRule="atLeast"/>
        <w:rPr>
          <w:color w:val="000000" w:themeColor="text1"/>
          <w:highlight w:val="yellow"/>
        </w:rPr>
      </w:pPr>
      <w:r w:rsidRPr="001A143C">
        <w:rPr>
          <w:color w:val="000000" w:themeColor="text1"/>
          <w:highlight w:val="yellow"/>
        </w:rPr>
        <w:t>7.13. Measure the protein concentrations in both fractions using a Bradford assay with a bovine serum albumin (BSA) standard curve ranging from 0.125 mg/mL to 2 mg/</w:t>
      </w:r>
      <w:proofErr w:type="spellStart"/>
      <w:r w:rsidRPr="001A143C">
        <w:rPr>
          <w:color w:val="000000" w:themeColor="text1"/>
          <w:highlight w:val="yellow"/>
        </w:rPr>
        <w:t>mL.</w:t>
      </w:r>
      <w:proofErr w:type="spellEnd"/>
      <w:r w:rsidRPr="001A143C">
        <w:rPr>
          <w:color w:val="000000" w:themeColor="text1"/>
          <w:highlight w:val="yellow"/>
        </w:rPr>
        <w:t xml:space="preserve"> Prepare separate BSA standard curves in TLB and </w:t>
      </w:r>
      <w:proofErr w:type="spellStart"/>
      <w:r w:rsidRPr="001A143C">
        <w:rPr>
          <w:color w:val="000000" w:themeColor="text1"/>
          <w:highlight w:val="yellow"/>
        </w:rPr>
        <w:t>GuHCl</w:t>
      </w:r>
      <w:proofErr w:type="spellEnd"/>
      <w:r w:rsidRPr="001A143C">
        <w:rPr>
          <w:color w:val="000000" w:themeColor="text1"/>
          <w:highlight w:val="yellow"/>
        </w:rPr>
        <w:t xml:space="preserve"> buffer.</w:t>
      </w:r>
    </w:p>
    <w:p w14:paraId="3E49835C" w14:textId="77777777" w:rsidR="00E12523" w:rsidRPr="001A143C" w:rsidRDefault="00E12523" w:rsidP="00D677F7">
      <w:pPr>
        <w:spacing w:line="0" w:lineRule="atLeast"/>
        <w:rPr>
          <w:color w:val="000000" w:themeColor="text1"/>
          <w:highlight w:val="yellow"/>
        </w:rPr>
      </w:pPr>
    </w:p>
    <w:p w14:paraId="2541267B" w14:textId="77777777" w:rsidR="00E12523" w:rsidRPr="001A143C" w:rsidRDefault="00E12523" w:rsidP="00D677F7">
      <w:pPr>
        <w:spacing w:line="0" w:lineRule="atLeast"/>
        <w:rPr>
          <w:color w:val="000000" w:themeColor="text1"/>
          <w:highlight w:val="yellow"/>
        </w:rPr>
      </w:pPr>
      <w:r w:rsidRPr="001A143C">
        <w:rPr>
          <w:color w:val="000000" w:themeColor="text1"/>
          <w:highlight w:val="yellow"/>
        </w:rPr>
        <w:t xml:space="preserve">7.14. Normalize the samples by using 10 µg of protein from each TLB and </w:t>
      </w:r>
      <w:proofErr w:type="spellStart"/>
      <w:r w:rsidRPr="001A143C">
        <w:rPr>
          <w:color w:val="000000" w:themeColor="text1"/>
          <w:highlight w:val="yellow"/>
        </w:rPr>
        <w:t>GuHCl</w:t>
      </w:r>
      <w:proofErr w:type="spellEnd"/>
      <w:r w:rsidRPr="001A143C">
        <w:rPr>
          <w:color w:val="000000" w:themeColor="text1"/>
          <w:highlight w:val="yellow"/>
        </w:rPr>
        <w:t xml:space="preserve"> fraction for downstream Western blotting or mass spectrometry-based proteomics.</w:t>
      </w:r>
    </w:p>
    <w:p w14:paraId="4F6E1027" w14:textId="77777777" w:rsidR="00E12523" w:rsidRPr="001A143C" w:rsidRDefault="00E12523" w:rsidP="00D677F7">
      <w:pPr>
        <w:spacing w:line="0" w:lineRule="atLeast"/>
        <w:rPr>
          <w:color w:val="000000" w:themeColor="text1"/>
          <w:highlight w:val="yellow"/>
        </w:rPr>
      </w:pPr>
    </w:p>
    <w:p w14:paraId="4C6E8F58" w14:textId="77777777" w:rsidR="00E12523" w:rsidRPr="001A143C" w:rsidRDefault="00E12523" w:rsidP="00D677F7">
      <w:pPr>
        <w:spacing w:line="0" w:lineRule="atLeast"/>
        <w:rPr>
          <w:color w:val="000000" w:themeColor="text1"/>
          <w:highlight w:val="yellow"/>
        </w:rPr>
      </w:pPr>
      <w:r w:rsidRPr="001A143C">
        <w:rPr>
          <w:color w:val="000000" w:themeColor="text1"/>
          <w:highlight w:val="yellow"/>
        </w:rPr>
        <w:t xml:space="preserve">7.15. Protein precipitation and </w:t>
      </w:r>
      <w:proofErr w:type="spellStart"/>
      <w:r w:rsidRPr="001A143C">
        <w:rPr>
          <w:color w:val="000000" w:themeColor="text1"/>
          <w:highlight w:val="yellow"/>
        </w:rPr>
        <w:t>deglycosylation</w:t>
      </w:r>
      <w:proofErr w:type="spellEnd"/>
      <w:r w:rsidRPr="001A143C">
        <w:rPr>
          <w:color w:val="000000" w:themeColor="text1"/>
          <w:highlight w:val="yellow"/>
        </w:rPr>
        <w:t xml:space="preserve"> for Western blot analysis</w:t>
      </w:r>
    </w:p>
    <w:p w14:paraId="487E0161" w14:textId="77777777" w:rsidR="00E12523" w:rsidRPr="001A143C" w:rsidRDefault="00E12523" w:rsidP="00D677F7">
      <w:pPr>
        <w:spacing w:line="0" w:lineRule="atLeast"/>
        <w:rPr>
          <w:color w:val="000000" w:themeColor="text1"/>
          <w:highlight w:val="yellow"/>
        </w:rPr>
      </w:pPr>
    </w:p>
    <w:p w14:paraId="2507BAFC" w14:textId="77777777" w:rsidR="00E12523" w:rsidRPr="001A143C" w:rsidRDefault="00E12523" w:rsidP="00D677F7">
      <w:pPr>
        <w:spacing w:line="0" w:lineRule="atLeast"/>
        <w:rPr>
          <w:color w:val="000000" w:themeColor="text1"/>
          <w:highlight w:val="yellow"/>
        </w:rPr>
      </w:pPr>
      <w:r w:rsidRPr="001A143C">
        <w:rPr>
          <w:color w:val="000000" w:themeColor="text1"/>
          <w:highlight w:val="yellow"/>
        </w:rPr>
        <w:t xml:space="preserve">7.15.1. Before Western blot analysis, precipitate 10 µg of protein from each TLB and </w:t>
      </w:r>
      <w:proofErr w:type="spellStart"/>
      <w:r w:rsidRPr="001A143C">
        <w:rPr>
          <w:color w:val="000000" w:themeColor="text1"/>
          <w:highlight w:val="yellow"/>
        </w:rPr>
        <w:t>GuHCl</w:t>
      </w:r>
      <w:proofErr w:type="spellEnd"/>
      <w:r w:rsidRPr="001A143C">
        <w:rPr>
          <w:color w:val="000000" w:themeColor="text1"/>
          <w:highlight w:val="yellow"/>
        </w:rPr>
        <w:t xml:space="preserve"> fraction. This precipitation step is required because direct loading of </w:t>
      </w:r>
      <w:proofErr w:type="spellStart"/>
      <w:r w:rsidRPr="001A143C">
        <w:rPr>
          <w:color w:val="000000" w:themeColor="text1"/>
          <w:highlight w:val="yellow"/>
        </w:rPr>
        <w:t>GuHCl</w:t>
      </w:r>
      <w:proofErr w:type="spellEnd"/>
      <w:r w:rsidRPr="001A143C">
        <w:rPr>
          <w:color w:val="000000" w:themeColor="text1"/>
          <w:highlight w:val="yellow"/>
        </w:rPr>
        <w:t>-containing samples onto SDS-PAGE gels causes substantial band distortion.</w:t>
      </w:r>
    </w:p>
    <w:p w14:paraId="349D19BC" w14:textId="77777777" w:rsidR="00E12523" w:rsidRPr="001A143C" w:rsidRDefault="00E12523" w:rsidP="00D677F7">
      <w:pPr>
        <w:spacing w:line="0" w:lineRule="atLeast"/>
        <w:rPr>
          <w:color w:val="000000" w:themeColor="text1"/>
          <w:highlight w:val="yellow"/>
        </w:rPr>
      </w:pPr>
    </w:p>
    <w:p w14:paraId="09F10004" w14:textId="77777777" w:rsidR="00E12523" w:rsidRPr="001A143C" w:rsidRDefault="00E12523" w:rsidP="00D677F7">
      <w:pPr>
        <w:spacing w:line="0" w:lineRule="atLeast"/>
        <w:rPr>
          <w:color w:val="000000" w:themeColor="text1"/>
          <w:highlight w:val="yellow"/>
        </w:rPr>
      </w:pPr>
      <w:r w:rsidRPr="001A143C">
        <w:rPr>
          <w:color w:val="000000" w:themeColor="text1"/>
          <w:highlight w:val="yellow"/>
        </w:rPr>
        <w:t xml:space="preserve">7.15.2. Add 10 volumes of ice-cold ethanol to each sample and store overnight at −20°C to induce </w:t>
      </w:r>
      <w:r w:rsidRPr="001A143C">
        <w:rPr>
          <w:color w:val="000000" w:themeColor="text1"/>
          <w:highlight w:val="yellow"/>
        </w:rPr>
        <w:lastRenderedPageBreak/>
        <w:t>protein precipitation.</w:t>
      </w:r>
    </w:p>
    <w:p w14:paraId="7D9A4E33" w14:textId="77777777" w:rsidR="00E12523" w:rsidRPr="001A143C" w:rsidRDefault="00E12523" w:rsidP="00D677F7">
      <w:pPr>
        <w:spacing w:line="0" w:lineRule="atLeast"/>
        <w:rPr>
          <w:color w:val="000000" w:themeColor="text1"/>
          <w:highlight w:val="yellow"/>
        </w:rPr>
      </w:pPr>
    </w:p>
    <w:p w14:paraId="23B6F5F0" w14:textId="77777777" w:rsidR="00E12523" w:rsidRPr="001A143C" w:rsidRDefault="00E12523" w:rsidP="00D677F7">
      <w:pPr>
        <w:spacing w:line="0" w:lineRule="atLeast"/>
        <w:rPr>
          <w:color w:val="000000" w:themeColor="text1"/>
          <w:highlight w:val="yellow"/>
        </w:rPr>
      </w:pPr>
      <w:r w:rsidRPr="001A143C">
        <w:rPr>
          <w:color w:val="000000" w:themeColor="text1"/>
          <w:highlight w:val="yellow"/>
        </w:rPr>
        <w:t>7.15.3. Centrifuge the samples at 18,000 × g for 30 min at 0°C. Remove most of the ethanol supernatant using a pipette and allow the remaining ethanol to evaporate in a fume hood or vacuum concentrator.</w:t>
      </w:r>
    </w:p>
    <w:p w14:paraId="3D05B1F5" w14:textId="77777777" w:rsidR="00E12523" w:rsidRPr="001A143C" w:rsidRDefault="00E12523" w:rsidP="00D677F7">
      <w:pPr>
        <w:spacing w:line="0" w:lineRule="atLeast"/>
        <w:rPr>
          <w:color w:val="000000" w:themeColor="text1"/>
          <w:highlight w:val="yellow"/>
        </w:rPr>
      </w:pPr>
    </w:p>
    <w:p w14:paraId="1E88DF92" w14:textId="77777777" w:rsidR="00E12523" w:rsidRPr="001A143C" w:rsidRDefault="00E12523" w:rsidP="00D677F7">
      <w:pPr>
        <w:spacing w:line="0" w:lineRule="atLeast"/>
        <w:rPr>
          <w:color w:val="000000" w:themeColor="text1"/>
          <w:highlight w:val="yellow"/>
        </w:rPr>
      </w:pPr>
      <w:r w:rsidRPr="001A143C">
        <w:rPr>
          <w:color w:val="000000" w:themeColor="text1"/>
          <w:highlight w:val="yellow"/>
        </w:rPr>
        <w:t xml:space="preserve">NOTE: Avoid acetone precipitation because it results in greater retention of residual </w:t>
      </w:r>
      <w:proofErr w:type="spellStart"/>
      <w:r w:rsidRPr="001A143C">
        <w:rPr>
          <w:color w:val="000000" w:themeColor="text1"/>
          <w:highlight w:val="yellow"/>
        </w:rPr>
        <w:t>GuHCl</w:t>
      </w:r>
      <w:proofErr w:type="spellEnd"/>
      <w:r w:rsidRPr="001A143C">
        <w:rPr>
          <w:color w:val="000000" w:themeColor="text1"/>
          <w:highlight w:val="yellow"/>
        </w:rPr>
        <w:t xml:space="preserve"> salts in the protein pellets. These salts remain after </w:t>
      </w:r>
      <w:proofErr w:type="spellStart"/>
      <w:r w:rsidRPr="001A143C">
        <w:rPr>
          <w:color w:val="000000" w:themeColor="text1"/>
          <w:highlight w:val="yellow"/>
        </w:rPr>
        <w:t>deglycosylation</w:t>
      </w:r>
      <w:proofErr w:type="spellEnd"/>
      <w:r w:rsidRPr="001A143C">
        <w:rPr>
          <w:color w:val="000000" w:themeColor="text1"/>
          <w:highlight w:val="yellow"/>
        </w:rPr>
        <w:t xml:space="preserve"> and cause substantial band distortion during SDS-PAGE.</w:t>
      </w:r>
    </w:p>
    <w:p w14:paraId="03F5962C" w14:textId="77777777" w:rsidR="00E12523" w:rsidRPr="001A143C" w:rsidRDefault="00E12523" w:rsidP="00D677F7">
      <w:pPr>
        <w:spacing w:line="0" w:lineRule="atLeast"/>
        <w:rPr>
          <w:color w:val="000000" w:themeColor="text1"/>
          <w:highlight w:val="yellow"/>
        </w:rPr>
      </w:pPr>
    </w:p>
    <w:p w14:paraId="7F8EB6F3" w14:textId="77777777" w:rsidR="00E12523" w:rsidRPr="001A143C" w:rsidRDefault="00E12523" w:rsidP="00D677F7">
      <w:pPr>
        <w:spacing w:line="0" w:lineRule="atLeast"/>
        <w:rPr>
          <w:color w:val="000000" w:themeColor="text1"/>
          <w:highlight w:val="yellow"/>
        </w:rPr>
      </w:pPr>
      <w:r w:rsidRPr="001A143C">
        <w:rPr>
          <w:color w:val="000000" w:themeColor="text1"/>
          <w:highlight w:val="yellow"/>
        </w:rPr>
        <w:t xml:space="preserve">7.15.4. Prepare a 4× </w:t>
      </w:r>
      <w:proofErr w:type="spellStart"/>
      <w:r w:rsidRPr="001A143C">
        <w:rPr>
          <w:color w:val="000000" w:themeColor="text1"/>
          <w:highlight w:val="yellow"/>
        </w:rPr>
        <w:t>deglycosylation</w:t>
      </w:r>
      <w:proofErr w:type="spellEnd"/>
      <w:r w:rsidRPr="001A143C">
        <w:rPr>
          <w:color w:val="000000" w:themeColor="text1"/>
          <w:highlight w:val="yellow"/>
        </w:rPr>
        <w:t xml:space="preserve"> buffer consisting of 0.6 M NaCl, 0.2 M sodium acetate, and 40 mM EDTA at pH 6.8.</w:t>
      </w:r>
    </w:p>
    <w:p w14:paraId="210D857C" w14:textId="77777777" w:rsidR="00E12523" w:rsidRPr="001A143C" w:rsidRDefault="00E12523" w:rsidP="00D677F7">
      <w:pPr>
        <w:spacing w:line="0" w:lineRule="atLeast"/>
        <w:rPr>
          <w:color w:val="000000" w:themeColor="text1"/>
          <w:highlight w:val="yellow"/>
        </w:rPr>
      </w:pPr>
    </w:p>
    <w:p w14:paraId="1EC6AD9B" w14:textId="77777777" w:rsidR="00E12523" w:rsidRPr="001A143C" w:rsidRDefault="00E12523" w:rsidP="00D677F7">
      <w:pPr>
        <w:spacing w:line="0" w:lineRule="atLeast"/>
        <w:rPr>
          <w:color w:val="000000" w:themeColor="text1"/>
          <w:highlight w:val="yellow"/>
        </w:rPr>
      </w:pPr>
      <w:r w:rsidRPr="001A143C">
        <w:rPr>
          <w:color w:val="000000" w:themeColor="text1"/>
          <w:highlight w:val="yellow"/>
        </w:rPr>
        <w:t xml:space="preserve">7.15.5. Prepare a 1× </w:t>
      </w:r>
      <w:proofErr w:type="spellStart"/>
      <w:r w:rsidRPr="001A143C">
        <w:rPr>
          <w:color w:val="000000" w:themeColor="text1"/>
          <w:highlight w:val="yellow"/>
        </w:rPr>
        <w:t>deglycosylation</w:t>
      </w:r>
      <w:proofErr w:type="spellEnd"/>
      <w:r w:rsidRPr="001A143C">
        <w:rPr>
          <w:color w:val="000000" w:themeColor="text1"/>
          <w:highlight w:val="yellow"/>
        </w:rPr>
        <w:t xml:space="preserve"> </w:t>
      </w:r>
      <w:proofErr w:type="spellStart"/>
      <w:r w:rsidRPr="001A143C">
        <w:rPr>
          <w:color w:val="000000" w:themeColor="text1"/>
          <w:highlight w:val="yellow"/>
        </w:rPr>
        <w:t>mastermix</w:t>
      </w:r>
      <w:proofErr w:type="spellEnd"/>
      <w:r w:rsidRPr="001A143C">
        <w:rPr>
          <w:color w:val="000000" w:themeColor="text1"/>
          <w:highlight w:val="yellow"/>
        </w:rPr>
        <w:t xml:space="preserve"> containing </w:t>
      </w:r>
      <w:proofErr w:type="spellStart"/>
      <w:r w:rsidRPr="001A143C">
        <w:rPr>
          <w:color w:val="000000" w:themeColor="text1"/>
          <w:highlight w:val="yellow"/>
        </w:rPr>
        <w:t>chondroitinase</w:t>
      </w:r>
      <w:proofErr w:type="spellEnd"/>
      <w:r w:rsidRPr="001A143C">
        <w:rPr>
          <w:color w:val="000000" w:themeColor="text1"/>
          <w:highlight w:val="yellow"/>
        </w:rPr>
        <w:t xml:space="preserve"> ABC at 1:100, heparinase II at 1:500, endo-β-galactosidase at 1:500, β1,4-galactosidase at 1:200, β-N-</w:t>
      </w:r>
      <w:proofErr w:type="spellStart"/>
      <w:r w:rsidRPr="001A143C">
        <w:rPr>
          <w:color w:val="000000" w:themeColor="text1"/>
          <w:highlight w:val="yellow"/>
        </w:rPr>
        <w:t>acetylglucosaminidase</w:t>
      </w:r>
      <w:proofErr w:type="spellEnd"/>
      <w:r w:rsidRPr="001A143C">
        <w:rPr>
          <w:color w:val="000000" w:themeColor="text1"/>
          <w:highlight w:val="yellow"/>
        </w:rPr>
        <w:t xml:space="preserve"> at 1:200, α2-3,6,8,9 neuraminidase at 1:200, and endo-α-N-</w:t>
      </w:r>
      <w:proofErr w:type="spellStart"/>
      <w:r w:rsidRPr="001A143C">
        <w:rPr>
          <w:color w:val="000000" w:themeColor="text1"/>
          <w:highlight w:val="yellow"/>
        </w:rPr>
        <w:t>acetylgalactosaminidase</w:t>
      </w:r>
      <w:proofErr w:type="spellEnd"/>
      <w:r w:rsidRPr="001A143C">
        <w:rPr>
          <w:color w:val="000000" w:themeColor="text1"/>
          <w:highlight w:val="yellow"/>
        </w:rPr>
        <w:t xml:space="preserve"> at 1:200.</w:t>
      </w:r>
    </w:p>
    <w:p w14:paraId="46FED8B1" w14:textId="77777777" w:rsidR="00E12523" w:rsidRPr="001A143C" w:rsidRDefault="00E12523" w:rsidP="00D677F7">
      <w:pPr>
        <w:spacing w:line="0" w:lineRule="atLeast"/>
        <w:rPr>
          <w:color w:val="000000" w:themeColor="text1"/>
          <w:highlight w:val="yellow"/>
        </w:rPr>
      </w:pPr>
    </w:p>
    <w:p w14:paraId="39CBDFC8" w14:textId="77777777" w:rsidR="00E12523" w:rsidRPr="001A143C" w:rsidRDefault="00E12523" w:rsidP="00D677F7">
      <w:pPr>
        <w:spacing w:line="0" w:lineRule="atLeast"/>
        <w:rPr>
          <w:color w:val="000000" w:themeColor="text1"/>
          <w:highlight w:val="yellow"/>
        </w:rPr>
      </w:pPr>
      <w:r w:rsidRPr="001A143C">
        <w:rPr>
          <w:color w:val="000000" w:themeColor="text1"/>
          <w:highlight w:val="yellow"/>
        </w:rPr>
        <w:t xml:space="preserve">7.15.6. Resuspend each protein pellet in 20 µL of </w:t>
      </w:r>
      <w:proofErr w:type="spellStart"/>
      <w:r w:rsidRPr="001A143C">
        <w:rPr>
          <w:color w:val="000000" w:themeColor="text1"/>
          <w:highlight w:val="yellow"/>
        </w:rPr>
        <w:t>deglycosylation</w:t>
      </w:r>
      <w:proofErr w:type="spellEnd"/>
      <w:r w:rsidRPr="001A143C">
        <w:rPr>
          <w:color w:val="000000" w:themeColor="text1"/>
          <w:highlight w:val="yellow"/>
        </w:rPr>
        <w:t xml:space="preserve"> </w:t>
      </w:r>
      <w:proofErr w:type="spellStart"/>
      <w:r w:rsidRPr="001A143C">
        <w:rPr>
          <w:color w:val="000000" w:themeColor="text1"/>
          <w:highlight w:val="yellow"/>
        </w:rPr>
        <w:t>mastermix</w:t>
      </w:r>
      <w:proofErr w:type="spellEnd"/>
      <w:r w:rsidRPr="001A143C">
        <w:rPr>
          <w:color w:val="000000" w:themeColor="text1"/>
          <w:highlight w:val="yellow"/>
        </w:rPr>
        <w:t>. Incubate at 25°C with shaking at 750 rpm for 2 h, followed by incubation at 37°C with shaking at 750 rpm for 24 h.</w:t>
      </w:r>
    </w:p>
    <w:p w14:paraId="5D54E18F" w14:textId="77777777" w:rsidR="00E12523" w:rsidRPr="001A143C" w:rsidRDefault="00E12523" w:rsidP="00D677F7">
      <w:pPr>
        <w:spacing w:line="0" w:lineRule="atLeast"/>
        <w:rPr>
          <w:color w:val="000000" w:themeColor="text1"/>
          <w:highlight w:val="yellow"/>
        </w:rPr>
      </w:pPr>
    </w:p>
    <w:p w14:paraId="1C5E05FD" w14:textId="77777777" w:rsidR="00E12523" w:rsidRPr="001A143C" w:rsidRDefault="00E12523" w:rsidP="00D677F7">
      <w:pPr>
        <w:spacing w:line="0" w:lineRule="atLeast"/>
        <w:rPr>
          <w:color w:val="000000" w:themeColor="text1"/>
          <w:highlight w:val="yellow"/>
        </w:rPr>
      </w:pPr>
      <w:r w:rsidRPr="001A143C">
        <w:rPr>
          <w:color w:val="000000" w:themeColor="text1"/>
          <w:highlight w:val="yellow"/>
        </w:rPr>
        <w:t xml:space="preserve">7.15.7. After 24 h, dry the samples using a vacuum concentrator. Resuspend each sample in 20 µL of water containing </w:t>
      </w:r>
      <w:proofErr w:type="spellStart"/>
      <w:r w:rsidRPr="001A143C">
        <w:rPr>
          <w:color w:val="000000" w:themeColor="text1"/>
          <w:highlight w:val="yellow"/>
        </w:rPr>
        <w:t>PNGase</w:t>
      </w:r>
      <w:proofErr w:type="spellEnd"/>
      <w:r w:rsidRPr="001A143C">
        <w:rPr>
          <w:color w:val="000000" w:themeColor="text1"/>
          <w:highlight w:val="yellow"/>
        </w:rPr>
        <w:t xml:space="preserve"> F at 1:100 and incubate at 37°C with shaking at 750 rpm for 24 h.</w:t>
      </w:r>
    </w:p>
    <w:p w14:paraId="5E1888FC" w14:textId="77777777" w:rsidR="00E12523" w:rsidRPr="001A143C" w:rsidRDefault="00E12523" w:rsidP="00D677F7">
      <w:pPr>
        <w:spacing w:line="0" w:lineRule="atLeast"/>
        <w:rPr>
          <w:color w:val="000000" w:themeColor="text1"/>
          <w:highlight w:val="yellow"/>
        </w:rPr>
      </w:pPr>
    </w:p>
    <w:p w14:paraId="6E4C0FB9" w14:textId="77777777" w:rsidR="00E12523" w:rsidRPr="00D677F7" w:rsidRDefault="00E12523" w:rsidP="00D677F7">
      <w:pPr>
        <w:spacing w:line="0" w:lineRule="atLeast"/>
        <w:rPr>
          <w:color w:val="000000" w:themeColor="text1"/>
        </w:rPr>
      </w:pPr>
      <w:r w:rsidRPr="001A143C">
        <w:rPr>
          <w:color w:val="000000" w:themeColor="text1"/>
          <w:highlight w:val="yellow"/>
        </w:rPr>
        <w:t>7.15.8. Add 6.66 µL of 4× SDS-PAGE loading buffer to each sample. Boil the samples and perform Western blotting according to standard procedures</w:t>
      </w:r>
      <w:r w:rsidRPr="00D677F7">
        <w:rPr>
          <w:color w:val="000000" w:themeColor="text1"/>
        </w:rPr>
        <w:t>.</w:t>
      </w:r>
    </w:p>
    <w:p w14:paraId="770426C9" w14:textId="77777777" w:rsidR="00E12523" w:rsidRPr="00D677F7" w:rsidRDefault="00E12523" w:rsidP="00D677F7">
      <w:pPr>
        <w:spacing w:line="0" w:lineRule="atLeast"/>
        <w:rPr>
          <w:color w:val="000000" w:themeColor="text1"/>
        </w:rPr>
      </w:pPr>
    </w:p>
    <w:p w14:paraId="7550F383" w14:textId="77777777" w:rsidR="00E12523" w:rsidRPr="00D677F7" w:rsidRDefault="00E12523" w:rsidP="00D677F7">
      <w:pPr>
        <w:spacing w:line="0" w:lineRule="atLeast"/>
        <w:rPr>
          <w:color w:val="000000" w:themeColor="text1"/>
        </w:rPr>
      </w:pPr>
      <w:r w:rsidRPr="00D677F7">
        <w:rPr>
          <w:color w:val="000000" w:themeColor="text1"/>
        </w:rPr>
        <w:t>NOTE: The commercial primary and secondary antibodies used for Western blotting are listed in the Table of Materials.</w:t>
      </w:r>
    </w:p>
    <w:p w14:paraId="3D9AEA97" w14:textId="77777777" w:rsidR="00E12523" w:rsidRPr="00D677F7" w:rsidRDefault="00E12523" w:rsidP="00D677F7">
      <w:pPr>
        <w:spacing w:line="0" w:lineRule="atLeast"/>
        <w:rPr>
          <w:color w:val="000000" w:themeColor="text1"/>
        </w:rPr>
      </w:pPr>
    </w:p>
    <w:p w14:paraId="7B268263" w14:textId="77777777" w:rsidR="00E12523" w:rsidRPr="00D677F7" w:rsidRDefault="00E12523" w:rsidP="00D677F7">
      <w:pPr>
        <w:spacing w:line="0" w:lineRule="atLeast"/>
        <w:rPr>
          <w:color w:val="000000" w:themeColor="text1"/>
        </w:rPr>
      </w:pPr>
      <w:r w:rsidRPr="00D677F7">
        <w:rPr>
          <w:color w:val="000000" w:themeColor="text1"/>
        </w:rPr>
        <w:t>7.16. Protein preparation for mass spectrometry-based proteomics</w:t>
      </w:r>
    </w:p>
    <w:p w14:paraId="0F650083" w14:textId="77777777" w:rsidR="00E12523" w:rsidRPr="00D677F7" w:rsidRDefault="00E12523" w:rsidP="00D677F7">
      <w:pPr>
        <w:spacing w:line="0" w:lineRule="atLeast"/>
        <w:rPr>
          <w:color w:val="000000" w:themeColor="text1"/>
        </w:rPr>
      </w:pPr>
    </w:p>
    <w:p w14:paraId="30D14E79" w14:textId="77777777" w:rsidR="00E12523" w:rsidRPr="00D677F7" w:rsidRDefault="00E12523" w:rsidP="00D677F7">
      <w:pPr>
        <w:spacing w:line="0" w:lineRule="atLeast"/>
        <w:rPr>
          <w:color w:val="000000" w:themeColor="text1"/>
        </w:rPr>
      </w:pPr>
      <w:r w:rsidRPr="00D677F7">
        <w:rPr>
          <w:color w:val="000000" w:themeColor="text1"/>
        </w:rPr>
        <w:t>7.16.1. For mass spectrometry-based proteomics, perform Step 7.15.7 using 20 µL of H</w:t>
      </w:r>
      <w:r w:rsidRPr="00D677F7">
        <w:rPr>
          <w:color w:val="000000" w:themeColor="text1"/>
          <w:vertAlign w:val="subscript"/>
        </w:rPr>
        <w:t>2</w:t>
      </w:r>
      <w:r w:rsidRPr="00D677F7">
        <w:rPr>
          <w:color w:val="000000" w:themeColor="text1"/>
          <w:vertAlign w:val="superscript"/>
        </w:rPr>
        <w:t>18</w:t>
      </w:r>
      <w:r w:rsidRPr="00D677F7">
        <w:rPr>
          <w:color w:val="000000" w:themeColor="text1"/>
        </w:rPr>
        <w:t xml:space="preserve">O containing </w:t>
      </w:r>
      <w:proofErr w:type="spellStart"/>
      <w:r w:rsidRPr="00D677F7">
        <w:rPr>
          <w:color w:val="000000" w:themeColor="text1"/>
        </w:rPr>
        <w:t>PNGase</w:t>
      </w:r>
      <w:proofErr w:type="spellEnd"/>
      <w:r w:rsidRPr="00D677F7">
        <w:rPr>
          <w:color w:val="000000" w:themeColor="text1"/>
        </w:rPr>
        <w:t xml:space="preserve"> F at 1:100 instead of water. Incubate at 37°C </w:t>
      </w:r>
      <w:proofErr w:type="gramStart"/>
      <w:r w:rsidRPr="00D677F7">
        <w:rPr>
          <w:color w:val="000000" w:themeColor="text1"/>
        </w:rPr>
        <w:t>with</w:t>
      </w:r>
      <w:proofErr w:type="gramEnd"/>
      <w:r w:rsidRPr="00D677F7">
        <w:rPr>
          <w:color w:val="000000" w:themeColor="text1"/>
        </w:rPr>
        <w:t xml:space="preserve"> shaking at 750 rpm for 24 h.</w:t>
      </w:r>
    </w:p>
    <w:p w14:paraId="68BC4A3A" w14:textId="77777777" w:rsidR="00E12523" w:rsidRPr="00D677F7" w:rsidRDefault="00E12523" w:rsidP="00D677F7">
      <w:pPr>
        <w:spacing w:line="0" w:lineRule="atLeast"/>
        <w:rPr>
          <w:color w:val="000000" w:themeColor="text1"/>
        </w:rPr>
      </w:pPr>
    </w:p>
    <w:p w14:paraId="1A787DD9" w14:textId="77777777" w:rsidR="00E12523" w:rsidRPr="00D677F7" w:rsidRDefault="00E12523" w:rsidP="00D677F7">
      <w:pPr>
        <w:spacing w:line="0" w:lineRule="atLeast"/>
        <w:rPr>
          <w:color w:val="000000" w:themeColor="text1"/>
        </w:rPr>
      </w:pPr>
      <w:r w:rsidRPr="00D677F7">
        <w:rPr>
          <w:color w:val="000000" w:themeColor="text1"/>
        </w:rPr>
        <w:t xml:space="preserve">NOTE: </w:t>
      </w:r>
      <w:proofErr w:type="spellStart"/>
      <w:r w:rsidRPr="00D677F7">
        <w:rPr>
          <w:color w:val="000000" w:themeColor="text1"/>
        </w:rPr>
        <w:t>PNGase</w:t>
      </w:r>
      <w:proofErr w:type="spellEnd"/>
      <w:r w:rsidRPr="00D677F7">
        <w:rPr>
          <w:color w:val="000000" w:themeColor="text1"/>
        </w:rPr>
        <w:t xml:space="preserve"> F digestion of N-linked glycans from asparagine residues in the presence of H</w:t>
      </w:r>
      <w:r w:rsidRPr="00D677F7">
        <w:rPr>
          <w:color w:val="000000" w:themeColor="text1"/>
          <w:vertAlign w:val="subscript"/>
        </w:rPr>
        <w:t>2</w:t>
      </w:r>
      <w:r w:rsidRPr="00D677F7">
        <w:rPr>
          <w:color w:val="000000" w:themeColor="text1"/>
          <w:vertAlign w:val="superscript"/>
        </w:rPr>
        <w:t>18</w:t>
      </w:r>
      <w:r w:rsidRPr="00D677F7">
        <w:rPr>
          <w:color w:val="000000" w:themeColor="text1"/>
        </w:rPr>
        <w:t xml:space="preserve">O converts asparagine to aspartic acid and introduces a +2.99 Da mass shift. Include deamidation with </w:t>
      </w:r>
      <w:r w:rsidRPr="00D677F7">
        <w:rPr>
          <w:color w:val="000000" w:themeColor="text1"/>
          <w:vertAlign w:val="superscript"/>
        </w:rPr>
        <w:t>18</w:t>
      </w:r>
      <w:r w:rsidRPr="00D677F7">
        <w:rPr>
          <w:color w:val="000000" w:themeColor="text1"/>
        </w:rPr>
        <w:t>O on asparagine as a variable modification during database searching. Identification of this modification improves peptide coverage of N-glycosylated proteins and provides evidence of former N-linked glycosylation sites.</w:t>
      </w:r>
    </w:p>
    <w:p w14:paraId="1B809B17" w14:textId="77777777" w:rsidR="00E12523" w:rsidRPr="00D677F7" w:rsidRDefault="00E12523" w:rsidP="00D677F7">
      <w:pPr>
        <w:spacing w:line="0" w:lineRule="atLeast"/>
        <w:rPr>
          <w:color w:val="000000" w:themeColor="text1"/>
        </w:rPr>
      </w:pPr>
    </w:p>
    <w:p w14:paraId="2FCA901B" w14:textId="77777777" w:rsidR="00E12523" w:rsidRPr="00D677F7" w:rsidRDefault="00E12523" w:rsidP="00D677F7">
      <w:pPr>
        <w:spacing w:line="0" w:lineRule="atLeast"/>
        <w:rPr>
          <w:color w:val="000000" w:themeColor="text1"/>
        </w:rPr>
      </w:pPr>
      <w:r w:rsidRPr="00D677F7">
        <w:rPr>
          <w:color w:val="000000" w:themeColor="text1"/>
        </w:rPr>
        <w:t>7.16.2. Prepare 1 M 4-(2-</w:t>
      </w:r>
      <w:proofErr w:type="gramStart"/>
      <w:r w:rsidRPr="00D677F7">
        <w:rPr>
          <w:color w:val="000000" w:themeColor="text1"/>
        </w:rPr>
        <w:t>hydroxyethyl)piperazine</w:t>
      </w:r>
      <w:proofErr w:type="gramEnd"/>
      <w:r w:rsidRPr="00D677F7">
        <w:rPr>
          <w:color w:val="000000" w:themeColor="text1"/>
        </w:rPr>
        <w:t xml:space="preserve">-1-propanesulfonic acid (EPPS) buffer at pH 8.0. Prepare a denaturation solution containing 50 mM EPPS, 9 M urea, and 3 M thiourea. Store the </w:t>
      </w:r>
      <w:r w:rsidRPr="00D677F7">
        <w:rPr>
          <w:color w:val="000000" w:themeColor="text1"/>
        </w:rPr>
        <w:lastRenderedPageBreak/>
        <w:t>solution in 1 mL aliquots at −80°C.</w:t>
      </w:r>
    </w:p>
    <w:p w14:paraId="090731FB" w14:textId="77777777" w:rsidR="00E12523" w:rsidRPr="00D677F7" w:rsidRDefault="00E12523" w:rsidP="00D677F7">
      <w:pPr>
        <w:spacing w:line="0" w:lineRule="atLeast"/>
        <w:rPr>
          <w:color w:val="000000" w:themeColor="text1"/>
        </w:rPr>
      </w:pPr>
    </w:p>
    <w:p w14:paraId="74151950" w14:textId="77777777" w:rsidR="00E12523" w:rsidRPr="00D677F7" w:rsidRDefault="00E12523" w:rsidP="00D677F7">
      <w:pPr>
        <w:spacing w:line="0" w:lineRule="atLeast"/>
        <w:rPr>
          <w:color w:val="000000" w:themeColor="text1"/>
        </w:rPr>
      </w:pPr>
      <w:r w:rsidRPr="00D677F7">
        <w:rPr>
          <w:color w:val="000000" w:themeColor="text1"/>
        </w:rPr>
        <w:t>7.16.3. Prepare 100 mM dithiothreitol and 500 mM iodoacetamide stock solutions separately in water. Store each solution in 0.5 mL aliquots at −80°C.</w:t>
      </w:r>
    </w:p>
    <w:p w14:paraId="6878F591" w14:textId="77777777" w:rsidR="00E12523" w:rsidRPr="00D677F7" w:rsidRDefault="00E12523" w:rsidP="00D677F7">
      <w:pPr>
        <w:spacing w:line="0" w:lineRule="atLeast"/>
        <w:rPr>
          <w:color w:val="000000" w:themeColor="text1"/>
        </w:rPr>
      </w:pPr>
    </w:p>
    <w:p w14:paraId="03719DE9" w14:textId="77777777" w:rsidR="00E12523" w:rsidRPr="00D677F7" w:rsidRDefault="00E12523" w:rsidP="00D677F7">
      <w:pPr>
        <w:spacing w:line="0" w:lineRule="atLeast"/>
        <w:rPr>
          <w:color w:val="000000" w:themeColor="text1"/>
        </w:rPr>
      </w:pPr>
      <w:r w:rsidRPr="00D677F7">
        <w:rPr>
          <w:color w:val="000000" w:themeColor="text1"/>
        </w:rPr>
        <w:t xml:space="preserve">7.16.4. To each 20 µL protein sample following </w:t>
      </w:r>
      <w:proofErr w:type="spellStart"/>
      <w:r w:rsidRPr="00D677F7">
        <w:rPr>
          <w:color w:val="000000" w:themeColor="text1"/>
        </w:rPr>
        <w:t>PNGase</w:t>
      </w:r>
      <w:proofErr w:type="spellEnd"/>
      <w:r w:rsidRPr="00D677F7">
        <w:rPr>
          <w:color w:val="000000" w:themeColor="text1"/>
        </w:rPr>
        <w:t xml:space="preserve"> F digestion, add 40 µL of urea/thiourea solution and 6.66 µL of 100 mM dithiothreitol. Vortex, briefly centrifuge, and incubate for 1 h at 37°C.</w:t>
      </w:r>
    </w:p>
    <w:p w14:paraId="38C3AC24" w14:textId="77777777" w:rsidR="00E12523" w:rsidRPr="00D677F7" w:rsidRDefault="00E12523" w:rsidP="00D677F7">
      <w:pPr>
        <w:spacing w:line="0" w:lineRule="atLeast"/>
        <w:rPr>
          <w:color w:val="000000" w:themeColor="text1"/>
        </w:rPr>
      </w:pPr>
    </w:p>
    <w:p w14:paraId="45AFB945" w14:textId="77777777" w:rsidR="00E12523" w:rsidRPr="00D677F7" w:rsidRDefault="00E12523" w:rsidP="00D677F7">
      <w:pPr>
        <w:spacing w:line="0" w:lineRule="atLeast"/>
        <w:rPr>
          <w:color w:val="000000" w:themeColor="text1"/>
        </w:rPr>
      </w:pPr>
      <w:r w:rsidRPr="00D677F7">
        <w:rPr>
          <w:color w:val="000000" w:themeColor="text1"/>
        </w:rPr>
        <w:t>7.16.5. To each 66.66 µL sample following denaturation and reduction, add 7.41 µL of 500 mM iodoacetamide. Vortex, briefly centrifuge, and incubate for 1 h at room temperature in the dark.</w:t>
      </w:r>
    </w:p>
    <w:p w14:paraId="01635DE4" w14:textId="77777777" w:rsidR="00E12523" w:rsidRPr="00D677F7" w:rsidRDefault="00E12523" w:rsidP="00D677F7">
      <w:pPr>
        <w:spacing w:line="0" w:lineRule="atLeast"/>
        <w:rPr>
          <w:color w:val="000000" w:themeColor="text1"/>
        </w:rPr>
      </w:pPr>
    </w:p>
    <w:p w14:paraId="5C15B4CA" w14:textId="77777777" w:rsidR="00E12523" w:rsidRPr="00D677F7" w:rsidRDefault="00E12523" w:rsidP="00D677F7">
      <w:pPr>
        <w:spacing w:line="0" w:lineRule="atLeast"/>
        <w:rPr>
          <w:color w:val="000000" w:themeColor="text1"/>
        </w:rPr>
      </w:pPr>
      <w:r w:rsidRPr="00D677F7">
        <w:rPr>
          <w:color w:val="000000" w:themeColor="text1"/>
        </w:rPr>
        <w:t>7.16.6. To each 74.07 µL sample following alkylation, add 10 volumes of ice-cold ethanol and store overnight at −20°C to induce protein precipitation.</w:t>
      </w:r>
    </w:p>
    <w:p w14:paraId="47C595BB" w14:textId="77777777" w:rsidR="00E12523" w:rsidRPr="00D677F7" w:rsidRDefault="00E12523" w:rsidP="00D677F7">
      <w:pPr>
        <w:spacing w:line="0" w:lineRule="atLeast"/>
        <w:rPr>
          <w:color w:val="000000" w:themeColor="text1"/>
        </w:rPr>
      </w:pPr>
    </w:p>
    <w:p w14:paraId="020DFEE7" w14:textId="77777777" w:rsidR="00E12523" w:rsidRPr="00D677F7" w:rsidRDefault="00E12523" w:rsidP="00D677F7">
      <w:pPr>
        <w:spacing w:line="0" w:lineRule="atLeast"/>
        <w:rPr>
          <w:color w:val="000000" w:themeColor="text1"/>
        </w:rPr>
      </w:pPr>
      <w:r w:rsidRPr="00D677F7">
        <w:rPr>
          <w:color w:val="000000" w:themeColor="text1"/>
        </w:rPr>
        <w:t>7.16.7. Prepare 0.1 M triethylammonium bicarbonate (TEAB) buffer at pH 8.5. Reconstitute the mass spectrometry-grade Trypsin/Lys-C mix in 50 mM acetic acid to a final concentration of 0.04 µg/µL.</w:t>
      </w:r>
    </w:p>
    <w:p w14:paraId="6DF8A0D5" w14:textId="77777777" w:rsidR="00E12523" w:rsidRPr="00D677F7" w:rsidRDefault="00E12523" w:rsidP="00D677F7">
      <w:pPr>
        <w:spacing w:line="0" w:lineRule="atLeast"/>
        <w:rPr>
          <w:color w:val="000000" w:themeColor="text1"/>
        </w:rPr>
      </w:pPr>
    </w:p>
    <w:p w14:paraId="763EFF11" w14:textId="77777777" w:rsidR="00E12523" w:rsidRPr="00D677F7" w:rsidRDefault="00E12523" w:rsidP="00D677F7">
      <w:pPr>
        <w:spacing w:line="0" w:lineRule="atLeast"/>
        <w:rPr>
          <w:color w:val="000000" w:themeColor="text1"/>
        </w:rPr>
      </w:pPr>
      <w:r w:rsidRPr="00D677F7">
        <w:rPr>
          <w:color w:val="000000" w:themeColor="text1"/>
        </w:rPr>
        <w:t>7.16.8. Centrifuge the precipitated protein samples at 18,000 × g for 30 min at 0°C. Discard the supernatant and dry the samples using a vacuum concentrator.</w:t>
      </w:r>
    </w:p>
    <w:p w14:paraId="69CC3179" w14:textId="77777777" w:rsidR="00E12523" w:rsidRPr="00D677F7" w:rsidRDefault="00E12523" w:rsidP="00D677F7">
      <w:pPr>
        <w:spacing w:line="0" w:lineRule="atLeast"/>
        <w:rPr>
          <w:color w:val="000000" w:themeColor="text1"/>
        </w:rPr>
      </w:pPr>
    </w:p>
    <w:p w14:paraId="5992EA5D" w14:textId="77777777" w:rsidR="00E12523" w:rsidRPr="00D677F7" w:rsidRDefault="00E12523" w:rsidP="00D677F7">
      <w:pPr>
        <w:spacing w:line="0" w:lineRule="atLeast"/>
        <w:rPr>
          <w:color w:val="000000" w:themeColor="text1"/>
        </w:rPr>
      </w:pPr>
      <w:r w:rsidRPr="00D677F7">
        <w:rPr>
          <w:color w:val="000000" w:themeColor="text1"/>
        </w:rPr>
        <w:t xml:space="preserve">7.16.9. Redissolve the protein pellets in 170 µL of 0.1 M TEAB buffer. Add 10 µL of Trypsin/Lys-C to achieve an enzyme-to-protein mass ratio of 1:25 and incubate for 18 h at 37°C </w:t>
      </w:r>
      <w:proofErr w:type="gramStart"/>
      <w:r w:rsidRPr="00D677F7">
        <w:rPr>
          <w:color w:val="000000" w:themeColor="text1"/>
        </w:rPr>
        <w:t>with</w:t>
      </w:r>
      <w:proofErr w:type="gramEnd"/>
      <w:r w:rsidRPr="00D677F7">
        <w:rPr>
          <w:color w:val="000000" w:themeColor="text1"/>
        </w:rPr>
        <w:t xml:space="preserve"> shaking at 750 rpm.</w:t>
      </w:r>
    </w:p>
    <w:p w14:paraId="7435D1D7" w14:textId="77777777" w:rsidR="00E12523" w:rsidRPr="00D677F7" w:rsidRDefault="00E12523" w:rsidP="00D677F7">
      <w:pPr>
        <w:spacing w:line="0" w:lineRule="atLeast"/>
        <w:rPr>
          <w:color w:val="000000" w:themeColor="text1"/>
        </w:rPr>
      </w:pPr>
    </w:p>
    <w:p w14:paraId="4FC02010" w14:textId="77777777" w:rsidR="00E12523" w:rsidRPr="00D677F7" w:rsidRDefault="00E12523" w:rsidP="00D677F7">
      <w:pPr>
        <w:spacing w:line="0" w:lineRule="atLeast"/>
        <w:rPr>
          <w:color w:val="000000" w:themeColor="text1"/>
        </w:rPr>
      </w:pPr>
      <w:r w:rsidRPr="00D677F7">
        <w:rPr>
          <w:color w:val="000000" w:themeColor="text1"/>
        </w:rPr>
        <w:t>7.16.10. Quench the Trypsin/Lys-C digestion by adding 20 µL of 10% (v/v) trifluoroacetic acid (TFA) to each sample.</w:t>
      </w:r>
    </w:p>
    <w:p w14:paraId="189AE280" w14:textId="77777777" w:rsidR="00E12523" w:rsidRPr="00D677F7" w:rsidRDefault="00E12523" w:rsidP="00D677F7">
      <w:pPr>
        <w:spacing w:line="0" w:lineRule="atLeast"/>
        <w:rPr>
          <w:color w:val="000000" w:themeColor="text1"/>
        </w:rPr>
      </w:pPr>
    </w:p>
    <w:p w14:paraId="08F0166E" w14:textId="77777777" w:rsidR="00E12523" w:rsidRPr="00D677F7" w:rsidRDefault="00E12523" w:rsidP="00D677F7">
      <w:pPr>
        <w:spacing w:line="0" w:lineRule="atLeast"/>
        <w:rPr>
          <w:color w:val="000000" w:themeColor="text1"/>
        </w:rPr>
      </w:pPr>
      <w:r w:rsidRPr="00D677F7">
        <w:rPr>
          <w:color w:val="000000" w:themeColor="text1"/>
        </w:rPr>
        <w:t>7.16.11. Briefly centrifuge the samples and transfer them to a round-bottom 96-well plate.</w:t>
      </w:r>
    </w:p>
    <w:p w14:paraId="7D9929D6" w14:textId="77777777" w:rsidR="00E12523" w:rsidRPr="00D677F7" w:rsidRDefault="00E12523" w:rsidP="00D677F7">
      <w:pPr>
        <w:spacing w:line="0" w:lineRule="atLeast"/>
        <w:rPr>
          <w:color w:val="000000" w:themeColor="text1"/>
        </w:rPr>
      </w:pPr>
    </w:p>
    <w:p w14:paraId="77E6F990" w14:textId="77777777" w:rsidR="00E12523" w:rsidRPr="00D677F7" w:rsidRDefault="00E12523" w:rsidP="00D677F7">
      <w:pPr>
        <w:spacing w:line="0" w:lineRule="atLeast"/>
        <w:rPr>
          <w:color w:val="000000" w:themeColor="text1"/>
        </w:rPr>
      </w:pPr>
      <w:r w:rsidRPr="00D677F7">
        <w:rPr>
          <w:color w:val="000000" w:themeColor="text1"/>
        </w:rPr>
        <w:t>7.17. Peptide clean-up</w:t>
      </w:r>
    </w:p>
    <w:p w14:paraId="73010F35" w14:textId="77777777" w:rsidR="00E12523" w:rsidRPr="00D677F7" w:rsidRDefault="00E12523" w:rsidP="00D677F7">
      <w:pPr>
        <w:spacing w:line="0" w:lineRule="atLeast"/>
        <w:rPr>
          <w:color w:val="000000" w:themeColor="text1"/>
        </w:rPr>
      </w:pPr>
    </w:p>
    <w:p w14:paraId="0AB154E0" w14:textId="77777777" w:rsidR="00E12523" w:rsidRPr="00D677F7" w:rsidRDefault="00E12523" w:rsidP="00D677F7">
      <w:pPr>
        <w:spacing w:line="0" w:lineRule="atLeast"/>
        <w:rPr>
          <w:color w:val="000000" w:themeColor="text1"/>
        </w:rPr>
      </w:pPr>
      <w:r w:rsidRPr="00D677F7">
        <w:rPr>
          <w:color w:val="000000" w:themeColor="text1"/>
        </w:rPr>
        <w:t xml:space="preserve">7.17.1. Prepare 50% acetonitrile (ACN) containing 1% TFA, 70% ACN containing 1% TFA, and 1% ACN containing 0.1% TFA for peptide clean-up using C18 cartridges on the </w:t>
      </w:r>
      <w:proofErr w:type="spellStart"/>
      <w:r w:rsidRPr="00D677F7">
        <w:rPr>
          <w:color w:val="000000" w:themeColor="text1"/>
        </w:rPr>
        <w:t>AssayMAP</w:t>
      </w:r>
      <w:proofErr w:type="spellEnd"/>
      <w:r w:rsidRPr="00D677F7">
        <w:rPr>
          <w:color w:val="000000" w:themeColor="text1"/>
        </w:rPr>
        <w:t xml:space="preserve"> Bravo Protein Sample Prep Platform.</w:t>
      </w:r>
    </w:p>
    <w:p w14:paraId="5011C926" w14:textId="77777777" w:rsidR="00E12523" w:rsidRPr="00D677F7" w:rsidRDefault="00E12523" w:rsidP="00D677F7">
      <w:pPr>
        <w:spacing w:line="0" w:lineRule="atLeast"/>
        <w:rPr>
          <w:color w:val="000000" w:themeColor="text1"/>
        </w:rPr>
      </w:pPr>
    </w:p>
    <w:p w14:paraId="555EA459" w14:textId="77777777" w:rsidR="00E12523" w:rsidRPr="00D677F7" w:rsidRDefault="00E12523" w:rsidP="00D677F7">
      <w:pPr>
        <w:spacing w:line="0" w:lineRule="atLeast"/>
        <w:rPr>
          <w:color w:val="000000" w:themeColor="text1"/>
        </w:rPr>
      </w:pPr>
      <w:r w:rsidRPr="00D677F7">
        <w:rPr>
          <w:color w:val="000000" w:themeColor="text1"/>
        </w:rPr>
        <w:t xml:space="preserve">7.17.2. Clean the </w:t>
      </w:r>
      <w:proofErr w:type="gramStart"/>
      <w:r w:rsidRPr="00D677F7">
        <w:rPr>
          <w:color w:val="000000" w:themeColor="text1"/>
        </w:rPr>
        <w:t>peptide</w:t>
      </w:r>
      <w:proofErr w:type="gramEnd"/>
      <w:r w:rsidRPr="00D677F7">
        <w:rPr>
          <w:color w:val="000000" w:themeColor="text1"/>
        </w:rPr>
        <w:t xml:space="preserve"> samples using the Peptide Cleanup v4.0 protocol on the </w:t>
      </w:r>
      <w:proofErr w:type="spellStart"/>
      <w:r w:rsidRPr="00D677F7">
        <w:rPr>
          <w:color w:val="000000" w:themeColor="text1"/>
        </w:rPr>
        <w:t>AssayMAP</w:t>
      </w:r>
      <w:proofErr w:type="spellEnd"/>
      <w:r w:rsidRPr="00D677F7">
        <w:rPr>
          <w:color w:val="000000" w:themeColor="text1"/>
        </w:rPr>
        <w:t xml:space="preserve"> Bravo platform.</w:t>
      </w:r>
    </w:p>
    <w:p w14:paraId="2AD3D99A" w14:textId="77777777" w:rsidR="00E12523" w:rsidRPr="00D677F7" w:rsidRDefault="00E12523" w:rsidP="00D677F7">
      <w:pPr>
        <w:spacing w:line="0" w:lineRule="atLeast"/>
        <w:rPr>
          <w:color w:val="000000" w:themeColor="text1"/>
        </w:rPr>
      </w:pPr>
    </w:p>
    <w:p w14:paraId="1C4FB8AC" w14:textId="77777777" w:rsidR="00E12523" w:rsidRPr="00D677F7" w:rsidRDefault="00E12523" w:rsidP="00D677F7">
      <w:pPr>
        <w:spacing w:line="0" w:lineRule="atLeast"/>
        <w:rPr>
          <w:color w:val="000000" w:themeColor="text1"/>
        </w:rPr>
      </w:pPr>
      <w:r w:rsidRPr="00D677F7">
        <w:rPr>
          <w:color w:val="000000" w:themeColor="text1"/>
        </w:rPr>
        <w:t>7.17.3. Dry the eluates using a vacuum concentrator. Resuspend each sample in 40 µL of 1% ACN and 0.1% formic acid (FA) to obtain a peptide concentration of 250 ng/µL.</w:t>
      </w:r>
    </w:p>
    <w:p w14:paraId="396C5C27" w14:textId="77777777" w:rsidR="00E12523" w:rsidRPr="00D677F7" w:rsidRDefault="00E12523" w:rsidP="00D677F7">
      <w:pPr>
        <w:spacing w:line="0" w:lineRule="atLeast"/>
        <w:rPr>
          <w:color w:val="000000" w:themeColor="text1"/>
        </w:rPr>
      </w:pPr>
    </w:p>
    <w:p w14:paraId="0D180A74" w14:textId="77777777" w:rsidR="00E12523" w:rsidRPr="00D677F7" w:rsidRDefault="00E12523" w:rsidP="00D677F7">
      <w:pPr>
        <w:spacing w:line="0" w:lineRule="atLeast"/>
        <w:rPr>
          <w:color w:val="000000" w:themeColor="text1"/>
        </w:rPr>
      </w:pPr>
      <w:r w:rsidRPr="00D677F7">
        <w:rPr>
          <w:color w:val="000000" w:themeColor="text1"/>
        </w:rPr>
        <w:t>7.18. Liquid chromatography–tandem mass spectrometry</w:t>
      </w:r>
    </w:p>
    <w:p w14:paraId="6E55C626" w14:textId="77777777" w:rsidR="00E12523" w:rsidRPr="00D677F7" w:rsidRDefault="00E12523" w:rsidP="00D677F7">
      <w:pPr>
        <w:spacing w:line="0" w:lineRule="atLeast"/>
        <w:rPr>
          <w:color w:val="000000" w:themeColor="text1"/>
        </w:rPr>
      </w:pPr>
    </w:p>
    <w:p w14:paraId="6B9FA0FB" w14:textId="77777777" w:rsidR="00E12523" w:rsidRPr="00D677F7" w:rsidRDefault="00E12523" w:rsidP="00D677F7">
      <w:pPr>
        <w:spacing w:line="0" w:lineRule="atLeast"/>
        <w:rPr>
          <w:color w:val="000000" w:themeColor="text1"/>
        </w:rPr>
      </w:pPr>
      <w:r w:rsidRPr="00D677F7">
        <w:rPr>
          <w:color w:val="000000" w:themeColor="text1"/>
        </w:rPr>
        <w:t>7.18.1. Analyze 500 ng of each peptide sample by liquid chromatography–tandem mass spectrometry using a Vanquish Neo UHPLC system coupled to an Orbitrap Astral Zoom mass spectrometer.</w:t>
      </w:r>
    </w:p>
    <w:p w14:paraId="65EF9CB7" w14:textId="77777777" w:rsidR="00E12523" w:rsidRPr="00D677F7" w:rsidRDefault="00E12523" w:rsidP="00D677F7">
      <w:pPr>
        <w:spacing w:line="0" w:lineRule="atLeast"/>
        <w:rPr>
          <w:color w:val="000000" w:themeColor="text1"/>
        </w:rPr>
      </w:pPr>
    </w:p>
    <w:p w14:paraId="345C0919" w14:textId="77777777" w:rsidR="00E12523" w:rsidRPr="00D677F7" w:rsidRDefault="00E12523" w:rsidP="00D677F7">
      <w:pPr>
        <w:spacing w:line="0" w:lineRule="atLeast"/>
        <w:rPr>
          <w:color w:val="000000" w:themeColor="text1"/>
        </w:rPr>
      </w:pPr>
      <w:r w:rsidRPr="00D677F7">
        <w:rPr>
          <w:color w:val="000000" w:themeColor="text1"/>
        </w:rPr>
        <w:t>7.18.2. Prepare mobile phase A as 0.1% FA in H₂O and mobile phase B as 80% ACN and 0.1% FA in H₂O.</w:t>
      </w:r>
    </w:p>
    <w:p w14:paraId="49D5DE25" w14:textId="77777777" w:rsidR="00E12523" w:rsidRPr="00D677F7" w:rsidRDefault="00E12523" w:rsidP="00D677F7">
      <w:pPr>
        <w:spacing w:line="0" w:lineRule="atLeast"/>
        <w:rPr>
          <w:color w:val="000000" w:themeColor="text1"/>
        </w:rPr>
      </w:pPr>
    </w:p>
    <w:p w14:paraId="2CB81805" w14:textId="77777777" w:rsidR="00E12523" w:rsidRPr="00D677F7" w:rsidRDefault="00E12523" w:rsidP="00D677F7">
      <w:pPr>
        <w:spacing w:line="0" w:lineRule="atLeast"/>
        <w:rPr>
          <w:color w:val="000000" w:themeColor="text1"/>
        </w:rPr>
      </w:pPr>
      <w:r w:rsidRPr="00D677F7">
        <w:rPr>
          <w:color w:val="000000" w:themeColor="text1"/>
        </w:rPr>
        <w:t xml:space="preserve">7.18.3. Use a trap-and-elute configuration with a </w:t>
      </w:r>
      <w:proofErr w:type="spellStart"/>
      <w:r w:rsidRPr="00D677F7">
        <w:rPr>
          <w:color w:val="000000" w:themeColor="text1"/>
        </w:rPr>
        <w:t>PepMap</w:t>
      </w:r>
      <w:proofErr w:type="spellEnd"/>
      <w:r w:rsidRPr="00D677F7">
        <w:rPr>
          <w:color w:val="000000" w:themeColor="text1"/>
        </w:rPr>
        <w:t xml:space="preserve"> Neo trap cartridge measuring 0.3 mm × 5 mm and an EASY-Spray </w:t>
      </w:r>
      <w:proofErr w:type="spellStart"/>
      <w:r w:rsidRPr="00D677F7">
        <w:rPr>
          <w:color w:val="000000" w:themeColor="text1"/>
        </w:rPr>
        <w:t>PepMap</w:t>
      </w:r>
      <w:proofErr w:type="spellEnd"/>
      <w:r w:rsidRPr="00D677F7">
        <w:rPr>
          <w:color w:val="000000" w:themeColor="text1"/>
        </w:rPr>
        <w:t xml:space="preserve"> RSLC C18 analytical column with 2 µm particles and dimensions of 15 cm × 150 µm.</w:t>
      </w:r>
    </w:p>
    <w:p w14:paraId="2D7E44D8" w14:textId="77777777" w:rsidR="00E12523" w:rsidRPr="00D677F7" w:rsidRDefault="00E12523" w:rsidP="00D677F7">
      <w:pPr>
        <w:spacing w:line="0" w:lineRule="atLeast"/>
        <w:rPr>
          <w:color w:val="000000" w:themeColor="text1"/>
        </w:rPr>
      </w:pPr>
    </w:p>
    <w:p w14:paraId="6023E1D1" w14:textId="77777777" w:rsidR="00E12523" w:rsidRPr="00D677F7" w:rsidRDefault="00E12523" w:rsidP="00D677F7">
      <w:pPr>
        <w:spacing w:line="0" w:lineRule="atLeast"/>
        <w:rPr>
          <w:color w:val="000000" w:themeColor="text1"/>
        </w:rPr>
      </w:pPr>
      <w:r w:rsidRPr="00D677F7">
        <w:rPr>
          <w:color w:val="000000" w:themeColor="text1"/>
        </w:rPr>
        <w:t>7.18.4. Equilibrate the system using four column volumes of 0.1% FA in H₂O.</w:t>
      </w:r>
    </w:p>
    <w:p w14:paraId="5B9AF67A" w14:textId="77777777" w:rsidR="00E12523" w:rsidRPr="00D677F7" w:rsidRDefault="00E12523" w:rsidP="00D677F7">
      <w:pPr>
        <w:spacing w:line="0" w:lineRule="atLeast"/>
        <w:rPr>
          <w:color w:val="000000" w:themeColor="text1"/>
        </w:rPr>
      </w:pPr>
    </w:p>
    <w:p w14:paraId="62EE8135" w14:textId="77777777" w:rsidR="00E12523" w:rsidRPr="00D677F7" w:rsidRDefault="00E12523" w:rsidP="00D677F7">
      <w:pPr>
        <w:spacing w:line="0" w:lineRule="atLeast"/>
        <w:rPr>
          <w:color w:val="000000" w:themeColor="text1"/>
        </w:rPr>
      </w:pPr>
      <w:r w:rsidRPr="00D677F7">
        <w:rPr>
          <w:color w:val="000000" w:themeColor="text1"/>
        </w:rPr>
        <w:t>7.18.5. From 0 to 1 min, increase mobile phase B from 2% to 7% at a flow rate of 5 µL/min.</w:t>
      </w:r>
    </w:p>
    <w:p w14:paraId="72DFB4C1" w14:textId="77777777" w:rsidR="00E12523" w:rsidRPr="00D677F7" w:rsidRDefault="00E12523" w:rsidP="00D677F7">
      <w:pPr>
        <w:spacing w:line="0" w:lineRule="atLeast"/>
        <w:rPr>
          <w:color w:val="000000" w:themeColor="text1"/>
        </w:rPr>
      </w:pPr>
    </w:p>
    <w:p w14:paraId="0B263C8A" w14:textId="77777777" w:rsidR="00E12523" w:rsidRPr="00D677F7" w:rsidRDefault="00E12523" w:rsidP="00D677F7">
      <w:pPr>
        <w:spacing w:line="0" w:lineRule="atLeast"/>
        <w:rPr>
          <w:color w:val="000000" w:themeColor="text1"/>
        </w:rPr>
      </w:pPr>
      <w:r w:rsidRPr="00D677F7">
        <w:rPr>
          <w:color w:val="000000" w:themeColor="text1"/>
        </w:rPr>
        <w:t>7.18.6. From 1 to 2 min, increase mobile phase B from 7% to 10% while decreasing the flow rate from 5 µL/min to 1.25 µL/min.</w:t>
      </w:r>
    </w:p>
    <w:p w14:paraId="54ED2750" w14:textId="77777777" w:rsidR="00E12523" w:rsidRPr="00D677F7" w:rsidRDefault="00E12523" w:rsidP="00D677F7">
      <w:pPr>
        <w:spacing w:line="0" w:lineRule="atLeast"/>
        <w:rPr>
          <w:color w:val="000000" w:themeColor="text1"/>
        </w:rPr>
      </w:pPr>
    </w:p>
    <w:p w14:paraId="290A1635" w14:textId="77777777" w:rsidR="00E12523" w:rsidRPr="00D677F7" w:rsidRDefault="00E12523" w:rsidP="00D677F7">
      <w:pPr>
        <w:spacing w:line="0" w:lineRule="atLeast"/>
        <w:rPr>
          <w:color w:val="000000" w:themeColor="text1"/>
        </w:rPr>
      </w:pPr>
      <w:r w:rsidRPr="00D677F7">
        <w:rPr>
          <w:color w:val="000000" w:themeColor="text1"/>
        </w:rPr>
        <w:t>7.18.7. From 2 to 16.5 min, increase mobile phase B from 10% to 35% at a flow rate of 1.25 µL/min.</w:t>
      </w:r>
    </w:p>
    <w:p w14:paraId="0302C98C" w14:textId="77777777" w:rsidR="00E12523" w:rsidRPr="00D677F7" w:rsidRDefault="00E12523" w:rsidP="00D677F7">
      <w:pPr>
        <w:spacing w:line="0" w:lineRule="atLeast"/>
        <w:rPr>
          <w:color w:val="000000" w:themeColor="text1"/>
        </w:rPr>
      </w:pPr>
    </w:p>
    <w:p w14:paraId="1CFAAE9E" w14:textId="77777777" w:rsidR="00E12523" w:rsidRPr="00D677F7" w:rsidRDefault="00E12523" w:rsidP="00D677F7">
      <w:pPr>
        <w:spacing w:line="0" w:lineRule="atLeast"/>
        <w:rPr>
          <w:color w:val="000000" w:themeColor="text1"/>
        </w:rPr>
      </w:pPr>
      <w:r w:rsidRPr="00D677F7">
        <w:rPr>
          <w:color w:val="000000" w:themeColor="text1"/>
        </w:rPr>
        <w:t>7.18.8. From 16.5 to 18.5 min, increase mobile phase B from 35% to 45% at a flow rate of 1.25 µL/min.</w:t>
      </w:r>
    </w:p>
    <w:p w14:paraId="5809A410" w14:textId="77777777" w:rsidR="00E12523" w:rsidRPr="00D677F7" w:rsidRDefault="00E12523" w:rsidP="00D677F7">
      <w:pPr>
        <w:spacing w:line="0" w:lineRule="atLeast"/>
        <w:rPr>
          <w:color w:val="000000" w:themeColor="text1"/>
        </w:rPr>
      </w:pPr>
    </w:p>
    <w:p w14:paraId="04E7E14B" w14:textId="77777777" w:rsidR="00E12523" w:rsidRPr="00D677F7" w:rsidRDefault="00E12523" w:rsidP="00D677F7">
      <w:pPr>
        <w:spacing w:line="0" w:lineRule="atLeast"/>
        <w:rPr>
          <w:color w:val="000000" w:themeColor="text1"/>
        </w:rPr>
      </w:pPr>
      <w:r w:rsidRPr="00D677F7">
        <w:rPr>
          <w:color w:val="000000" w:themeColor="text1"/>
        </w:rPr>
        <w:t>7.18.9. From 18.5 to 19 min, increase mobile phase B from 45% to 99% at a flow rate of 1.25 µL/min.</w:t>
      </w:r>
    </w:p>
    <w:p w14:paraId="4EBAA7CD" w14:textId="77777777" w:rsidR="00E12523" w:rsidRPr="00D677F7" w:rsidRDefault="00E12523" w:rsidP="00D677F7">
      <w:pPr>
        <w:spacing w:line="0" w:lineRule="atLeast"/>
        <w:rPr>
          <w:color w:val="000000" w:themeColor="text1"/>
        </w:rPr>
      </w:pPr>
    </w:p>
    <w:p w14:paraId="69C44E18" w14:textId="77777777" w:rsidR="00E12523" w:rsidRPr="00D677F7" w:rsidRDefault="00E12523" w:rsidP="00D677F7">
      <w:pPr>
        <w:spacing w:line="0" w:lineRule="atLeast"/>
        <w:rPr>
          <w:color w:val="000000" w:themeColor="text1"/>
        </w:rPr>
      </w:pPr>
      <w:r w:rsidRPr="00D677F7">
        <w:rPr>
          <w:color w:val="000000" w:themeColor="text1"/>
        </w:rPr>
        <w:t>7.18.10. From 19 to 20 min, maintain mobile phase B at 99% and increase the flow rate to 5 µL/min.</w:t>
      </w:r>
    </w:p>
    <w:p w14:paraId="2AF4DAC4" w14:textId="77777777" w:rsidR="00E12523" w:rsidRPr="00D677F7" w:rsidRDefault="00E12523" w:rsidP="00D677F7">
      <w:pPr>
        <w:spacing w:line="0" w:lineRule="atLeast"/>
        <w:rPr>
          <w:color w:val="000000" w:themeColor="text1"/>
        </w:rPr>
      </w:pPr>
    </w:p>
    <w:p w14:paraId="0E796833" w14:textId="77777777" w:rsidR="00E12523" w:rsidRPr="00D677F7" w:rsidRDefault="00E12523" w:rsidP="00D677F7">
      <w:pPr>
        <w:spacing w:line="0" w:lineRule="atLeast"/>
        <w:rPr>
          <w:color w:val="000000" w:themeColor="text1"/>
        </w:rPr>
      </w:pPr>
      <w:r w:rsidRPr="00D677F7">
        <w:rPr>
          <w:color w:val="000000" w:themeColor="text1"/>
        </w:rPr>
        <w:t xml:space="preserve">7.18.11. Set the mass spectrometry acquisition period to 0–20 min and the expected liquid chromatography peak width to 6 s. Enable Advanced Peak Determination and use EASY-IC </w:t>
      </w:r>
      <w:proofErr w:type="spellStart"/>
      <w:r w:rsidRPr="00D677F7">
        <w:rPr>
          <w:color w:val="000000" w:themeColor="text1"/>
        </w:rPr>
        <w:t>RunStart</w:t>
      </w:r>
      <w:proofErr w:type="spellEnd"/>
      <w:r w:rsidRPr="00D677F7">
        <w:rPr>
          <w:color w:val="000000" w:themeColor="text1"/>
        </w:rPr>
        <w:t xml:space="preserve"> mode for Orbitrap lock-mass correction.</w:t>
      </w:r>
    </w:p>
    <w:p w14:paraId="629F1B95" w14:textId="77777777" w:rsidR="00E12523" w:rsidRPr="00D677F7" w:rsidRDefault="00E12523" w:rsidP="00D677F7">
      <w:pPr>
        <w:spacing w:line="0" w:lineRule="atLeast"/>
        <w:rPr>
          <w:color w:val="000000" w:themeColor="text1"/>
        </w:rPr>
      </w:pPr>
    </w:p>
    <w:p w14:paraId="0CF1FFAB" w14:textId="77777777" w:rsidR="00E12523" w:rsidRPr="00D677F7" w:rsidRDefault="00E12523" w:rsidP="00D677F7">
      <w:pPr>
        <w:spacing w:line="0" w:lineRule="atLeast"/>
        <w:rPr>
          <w:color w:val="000000" w:themeColor="text1"/>
        </w:rPr>
      </w:pPr>
      <w:r w:rsidRPr="00D677F7">
        <w:rPr>
          <w:color w:val="000000" w:themeColor="text1"/>
        </w:rPr>
        <w:t>7.18.12. Set the EASY-Spray ion source spray voltage to 2,000 V and the column temperature to 50°C.</w:t>
      </w:r>
    </w:p>
    <w:p w14:paraId="3AEA031C" w14:textId="77777777" w:rsidR="00E12523" w:rsidRPr="00D677F7" w:rsidRDefault="00E12523" w:rsidP="00D677F7">
      <w:pPr>
        <w:spacing w:line="0" w:lineRule="atLeast"/>
        <w:rPr>
          <w:color w:val="000000" w:themeColor="text1"/>
        </w:rPr>
      </w:pPr>
    </w:p>
    <w:p w14:paraId="3E8627A8" w14:textId="77777777" w:rsidR="00E12523" w:rsidRPr="00D677F7" w:rsidRDefault="00E12523" w:rsidP="00D677F7">
      <w:pPr>
        <w:spacing w:line="0" w:lineRule="atLeast"/>
        <w:rPr>
          <w:color w:val="000000" w:themeColor="text1"/>
        </w:rPr>
      </w:pPr>
      <w:r w:rsidRPr="00D677F7">
        <w:rPr>
          <w:color w:val="000000" w:themeColor="text1"/>
        </w:rPr>
        <w:t>7.18.13. Set the FAIMS total carrier gas flow to 3.8 L/min and the compensation voltage to −48 V.</w:t>
      </w:r>
    </w:p>
    <w:p w14:paraId="3BAC33BE" w14:textId="77777777" w:rsidR="00E12523" w:rsidRPr="00D677F7" w:rsidRDefault="00E12523" w:rsidP="00D677F7">
      <w:pPr>
        <w:spacing w:line="0" w:lineRule="atLeast"/>
        <w:rPr>
          <w:color w:val="000000" w:themeColor="text1"/>
        </w:rPr>
      </w:pPr>
    </w:p>
    <w:p w14:paraId="5849E673" w14:textId="77777777" w:rsidR="00E12523" w:rsidRPr="00D677F7" w:rsidRDefault="00E12523" w:rsidP="00D677F7">
      <w:pPr>
        <w:spacing w:line="0" w:lineRule="atLeast"/>
        <w:rPr>
          <w:color w:val="000000" w:themeColor="text1"/>
        </w:rPr>
      </w:pPr>
      <w:r w:rsidRPr="00D677F7">
        <w:rPr>
          <w:color w:val="000000" w:themeColor="text1"/>
        </w:rPr>
        <w:t>7.18.14. Set the ion transfer tube temperature to 280°C.</w:t>
      </w:r>
    </w:p>
    <w:p w14:paraId="261AAF3B" w14:textId="77777777" w:rsidR="00E12523" w:rsidRPr="00D677F7" w:rsidRDefault="00E12523" w:rsidP="00D677F7">
      <w:pPr>
        <w:spacing w:line="0" w:lineRule="atLeast"/>
        <w:rPr>
          <w:color w:val="000000" w:themeColor="text1"/>
        </w:rPr>
      </w:pPr>
    </w:p>
    <w:p w14:paraId="68C14206" w14:textId="77777777" w:rsidR="00E12523" w:rsidRPr="00D677F7" w:rsidRDefault="00E12523" w:rsidP="00D677F7">
      <w:pPr>
        <w:spacing w:line="0" w:lineRule="atLeast"/>
        <w:rPr>
          <w:color w:val="000000" w:themeColor="text1"/>
        </w:rPr>
      </w:pPr>
      <w:r w:rsidRPr="00D677F7">
        <w:rPr>
          <w:color w:val="000000" w:themeColor="text1"/>
        </w:rPr>
        <w:t xml:space="preserve">7.18.15. Acquire full MS scans in the Orbitrap over a range of 380–980 m/z at a resolution of </w:t>
      </w:r>
      <w:r w:rsidRPr="00D677F7">
        <w:rPr>
          <w:color w:val="000000" w:themeColor="text1"/>
        </w:rPr>
        <w:lastRenderedPageBreak/>
        <w:t xml:space="preserve">240,000. Set the RF lens to 40%, the normalized automatic gain control target to 500%, and the maximum injection time to 3 </w:t>
      </w:r>
      <w:proofErr w:type="spellStart"/>
      <w:r w:rsidRPr="00D677F7">
        <w:rPr>
          <w:color w:val="000000" w:themeColor="text1"/>
        </w:rPr>
        <w:t>ms.</w:t>
      </w:r>
      <w:proofErr w:type="spellEnd"/>
      <w:r w:rsidRPr="00D677F7">
        <w:rPr>
          <w:color w:val="000000" w:themeColor="text1"/>
        </w:rPr>
        <w:t xml:space="preserve"> Acquire the data in profile mode.</w:t>
      </w:r>
    </w:p>
    <w:p w14:paraId="590EC6FB" w14:textId="77777777" w:rsidR="00E12523" w:rsidRPr="00D677F7" w:rsidRDefault="00E12523" w:rsidP="00D677F7">
      <w:pPr>
        <w:spacing w:line="0" w:lineRule="atLeast"/>
        <w:rPr>
          <w:color w:val="000000" w:themeColor="text1"/>
        </w:rPr>
      </w:pPr>
    </w:p>
    <w:p w14:paraId="26F46D1E" w14:textId="77777777" w:rsidR="00E12523" w:rsidRPr="00D677F7" w:rsidRDefault="00E12523" w:rsidP="00D677F7">
      <w:pPr>
        <w:spacing w:line="0" w:lineRule="atLeast"/>
        <w:rPr>
          <w:color w:val="000000" w:themeColor="text1"/>
        </w:rPr>
      </w:pPr>
      <w:r w:rsidRPr="00D677F7">
        <w:rPr>
          <w:color w:val="000000" w:themeColor="text1"/>
        </w:rPr>
        <w:t>7.18.16. Perform data-independent acquisition using the Astral analyzer with the DIA window type set to Auto and a coverage range of 380–980 m/z.</w:t>
      </w:r>
    </w:p>
    <w:p w14:paraId="0A0ADAE3" w14:textId="77777777" w:rsidR="00E12523" w:rsidRPr="00D677F7" w:rsidRDefault="00E12523" w:rsidP="00D677F7">
      <w:pPr>
        <w:spacing w:line="0" w:lineRule="atLeast"/>
        <w:rPr>
          <w:color w:val="000000" w:themeColor="text1"/>
        </w:rPr>
      </w:pPr>
    </w:p>
    <w:p w14:paraId="5D7BF8C6" w14:textId="77777777" w:rsidR="00E12523" w:rsidRPr="00D677F7" w:rsidRDefault="00E12523" w:rsidP="00D677F7">
      <w:pPr>
        <w:spacing w:line="0" w:lineRule="atLeast"/>
        <w:rPr>
          <w:color w:val="000000" w:themeColor="text1"/>
        </w:rPr>
      </w:pPr>
      <w:r w:rsidRPr="00D677F7">
        <w:rPr>
          <w:color w:val="000000" w:themeColor="text1"/>
        </w:rPr>
        <w:t>7.18.17. Use non-overlapping isolation windows of 3 m/z with Window Placement Optimization and 200 scan events.</w:t>
      </w:r>
    </w:p>
    <w:p w14:paraId="7803BA9D" w14:textId="77777777" w:rsidR="00E12523" w:rsidRPr="00D677F7" w:rsidRDefault="00E12523" w:rsidP="00D677F7">
      <w:pPr>
        <w:spacing w:line="0" w:lineRule="atLeast"/>
        <w:rPr>
          <w:color w:val="000000" w:themeColor="text1"/>
        </w:rPr>
      </w:pPr>
    </w:p>
    <w:p w14:paraId="421B0E73" w14:textId="77777777" w:rsidR="00E12523" w:rsidRPr="00D677F7" w:rsidRDefault="00E12523" w:rsidP="00D677F7">
      <w:pPr>
        <w:spacing w:line="0" w:lineRule="atLeast"/>
        <w:rPr>
          <w:color w:val="000000" w:themeColor="text1"/>
        </w:rPr>
      </w:pPr>
      <w:r w:rsidRPr="00D677F7">
        <w:rPr>
          <w:color w:val="000000" w:themeColor="text1"/>
        </w:rPr>
        <w:t>7.18.18. Set the higher-energy collisional dissociation normalized collision energy to 25%, the Astral scan range to 150–2,000 m/z, the RF lens to 40%, and the normalized automatic gain control target to 500%.</w:t>
      </w:r>
    </w:p>
    <w:p w14:paraId="23061D88" w14:textId="77777777" w:rsidR="00E12523" w:rsidRPr="00D677F7" w:rsidRDefault="00E12523" w:rsidP="00D677F7">
      <w:pPr>
        <w:spacing w:line="0" w:lineRule="atLeast"/>
        <w:rPr>
          <w:color w:val="000000" w:themeColor="text1"/>
        </w:rPr>
      </w:pPr>
    </w:p>
    <w:p w14:paraId="3CA7B662" w14:textId="77777777" w:rsidR="00E12523" w:rsidRPr="00D677F7" w:rsidRDefault="00E12523" w:rsidP="00D677F7">
      <w:pPr>
        <w:spacing w:line="0" w:lineRule="atLeast"/>
        <w:rPr>
          <w:color w:val="000000" w:themeColor="text1"/>
        </w:rPr>
      </w:pPr>
      <w:r w:rsidRPr="00D677F7">
        <w:rPr>
          <w:color w:val="000000" w:themeColor="text1"/>
        </w:rPr>
        <w:t xml:space="preserve">7.18.19. Enable pre-accumulation, set the maximum injection time to 7 </w:t>
      </w:r>
      <w:proofErr w:type="spellStart"/>
      <w:r w:rsidRPr="00D677F7">
        <w:rPr>
          <w:color w:val="000000" w:themeColor="text1"/>
        </w:rPr>
        <w:t>ms</w:t>
      </w:r>
      <w:proofErr w:type="spellEnd"/>
      <w:r w:rsidRPr="00D677F7">
        <w:rPr>
          <w:color w:val="000000" w:themeColor="text1"/>
        </w:rPr>
        <w:t>, set the loop control to 0.6 s, and acquire the DIA data in centroid mode.</w:t>
      </w:r>
    </w:p>
    <w:p w14:paraId="090CAE7D" w14:textId="77777777" w:rsidR="00E12523" w:rsidRPr="00D677F7" w:rsidRDefault="00E12523" w:rsidP="00D677F7">
      <w:pPr>
        <w:spacing w:line="0" w:lineRule="atLeast"/>
        <w:rPr>
          <w:color w:val="000000" w:themeColor="text1"/>
        </w:rPr>
      </w:pPr>
    </w:p>
    <w:p w14:paraId="468E9F91" w14:textId="77777777" w:rsidR="00E12523" w:rsidRPr="00D677F7" w:rsidRDefault="00E12523" w:rsidP="00D677F7">
      <w:pPr>
        <w:spacing w:line="0" w:lineRule="atLeast"/>
        <w:rPr>
          <w:color w:val="000000" w:themeColor="text1"/>
        </w:rPr>
      </w:pPr>
      <w:r w:rsidRPr="00D677F7">
        <w:rPr>
          <w:color w:val="000000" w:themeColor="text1"/>
        </w:rPr>
        <w:t xml:space="preserve">7.19. </w:t>
      </w:r>
      <w:proofErr w:type="spellStart"/>
      <w:r w:rsidRPr="00D677F7">
        <w:rPr>
          <w:color w:val="000000" w:themeColor="text1"/>
        </w:rPr>
        <w:t>Spectronaut</w:t>
      </w:r>
      <w:proofErr w:type="spellEnd"/>
      <w:r w:rsidRPr="00D677F7">
        <w:rPr>
          <w:color w:val="000000" w:themeColor="text1"/>
        </w:rPr>
        <w:t xml:space="preserve"> processing and database searching</w:t>
      </w:r>
    </w:p>
    <w:p w14:paraId="688C5351" w14:textId="77777777" w:rsidR="00E12523" w:rsidRPr="00D677F7" w:rsidRDefault="00E12523" w:rsidP="00D677F7">
      <w:pPr>
        <w:spacing w:line="0" w:lineRule="atLeast"/>
        <w:rPr>
          <w:color w:val="000000" w:themeColor="text1"/>
        </w:rPr>
      </w:pPr>
    </w:p>
    <w:p w14:paraId="6A653BDD" w14:textId="77777777" w:rsidR="00E12523" w:rsidRPr="00D677F7" w:rsidRDefault="00E12523" w:rsidP="00D677F7">
      <w:pPr>
        <w:spacing w:line="0" w:lineRule="atLeast"/>
        <w:rPr>
          <w:color w:val="000000" w:themeColor="text1"/>
        </w:rPr>
      </w:pPr>
      <w:r w:rsidRPr="00D677F7">
        <w:rPr>
          <w:color w:val="000000" w:themeColor="text1"/>
        </w:rPr>
        <w:t xml:space="preserve">7.19.1. Process the raw files using </w:t>
      </w:r>
      <w:proofErr w:type="spellStart"/>
      <w:r w:rsidRPr="00D677F7">
        <w:rPr>
          <w:color w:val="000000" w:themeColor="text1"/>
        </w:rPr>
        <w:t>Spectronaut</w:t>
      </w:r>
      <w:proofErr w:type="spellEnd"/>
      <w:r w:rsidRPr="00D677F7">
        <w:rPr>
          <w:color w:val="000000" w:themeColor="text1"/>
        </w:rPr>
        <w:t xml:space="preserve"> version 21.0.260609.94842 (Lovell) Enterprise (x64) with the </w:t>
      </w:r>
      <w:proofErr w:type="spellStart"/>
      <w:r w:rsidRPr="00D677F7">
        <w:rPr>
          <w:color w:val="000000" w:themeColor="text1"/>
        </w:rPr>
        <w:t>directDIA</w:t>
      </w:r>
      <w:proofErr w:type="spellEnd"/>
      <w:r w:rsidRPr="00D677F7">
        <w:rPr>
          <w:color w:val="000000" w:themeColor="text1"/>
        </w:rPr>
        <w:t xml:space="preserve"> workflow.</w:t>
      </w:r>
    </w:p>
    <w:p w14:paraId="48B68DA3" w14:textId="77777777" w:rsidR="00E12523" w:rsidRPr="00D677F7" w:rsidRDefault="00E12523" w:rsidP="00D677F7">
      <w:pPr>
        <w:spacing w:line="0" w:lineRule="atLeast"/>
        <w:rPr>
          <w:color w:val="000000" w:themeColor="text1"/>
        </w:rPr>
      </w:pPr>
    </w:p>
    <w:p w14:paraId="1E6485D3" w14:textId="77777777" w:rsidR="00E12523" w:rsidRPr="00D677F7" w:rsidRDefault="00E12523" w:rsidP="00D677F7">
      <w:pPr>
        <w:spacing w:line="0" w:lineRule="atLeast"/>
        <w:rPr>
          <w:color w:val="000000" w:themeColor="text1"/>
        </w:rPr>
      </w:pPr>
      <w:r w:rsidRPr="00D677F7">
        <w:rPr>
          <w:color w:val="000000" w:themeColor="text1"/>
        </w:rPr>
        <w:t>7.19.2. In the Pulsar search settings, specify Trypsin/P as the enzyme, permit peptide lengths of 7–52 amino acids, and allow up to two missed cleavages.</w:t>
      </w:r>
    </w:p>
    <w:p w14:paraId="116EC0CE" w14:textId="77777777" w:rsidR="00E12523" w:rsidRPr="00D677F7" w:rsidRDefault="00E12523" w:rsidP="00D677F7">
      <w:pPr>
        <w:spacing w:line="0" w:lineRule="atLeast"/>
        <w:rPr>
          <w:color w:val="000000" w:themeColor="text1"/>
        </w:rPr>
      </w:pPr>
    </w:p>
    <w:p w14:paraId="60E74772" w14:textId="77777777" w:rsidR="00E12523" w:rsidRPr="00D677F7" w:rsidRDefault="00E12523" w:rsidP="00D677F7">
      <w:pPr>
        <w:spacing w:line="0" w:lineRule="atLeast"/>
        <w:rPr>
          <w:color w:val="000000" w:themeColor="text1"/>
        </w:rPr>
      </w:pPr>
      <w:r w:rsidRPr="00D677F7">
        <w:rPr>
          <w:color w:val="000000" w:themeColor="text1"/>
        </w:rPr>
        <w:t>7.19.3. Search against the human one-gene-one-protein database version 202601 containing 20,659 entries, the bovine one-gene-one-protein database version 202601 containing 20,666 entries, and the Trypsin and Lys-C protein sequences.</w:t>
      </w:r>
    </w:p>
    <w:p w14:paraId="23ACCB7D" w14:textId="77777777" w:rsidR="00E12523" w:rsidRPr="00D677F7" w:rsidRDefault="00E12523" w:rsidP="00D677F7">
      <w:pPr>
        <w:spacing w:line="0" w:lineRule="atLeast"/>
        <w:rPr>
          <w:color w:val="000000" w:themeColor="text1"/>
        </w:rPr>
      </w:pPr>
    </w:p>
    <w:p w14:paraId="3707438B" w14:textId="77777777" w:rsidR="00E12523" w:rsidRPr="00D677F7" w:rsidRDefault="00E12523" w:rsidP="00D677F7">
      <w:pPr>
        <w:spacing w:line="0" w:lineRule="atLeast"/>
        <w:rPr>
          <w:color w:val="000000" w:themeColor="text1"/>
        </w:rPr>
      </w:pPr>
      <w:r w:rsidRPr="00D677F7">
        <w:rPr>
          <w:color w:val="000000" w:themeColor="text1"/>
        </w:rPr>
        <w:t xml:space="preserve">7.19.4. Specify </w:t>
      </w:r>
      <w:proofErr w:type="spellStart"/>
      <w:r w:rsidRPr="00D677F7">
        <w:rPr>
          <w:color w:val="000000" w:themeColor="text1"/>
        </w:rPr>
        <w:t>carbamidomethylation</w:t>
      </w:r>
      <w:proofErr w:type="spellEnd"/>
      <w:r w:rsidRPr="00D677F7">
        <w:rPr>
          <w:color w:val="000000" w:themeColor="text1"/>
        </w:rPr>
        <w:t xml:space="preserve"> of cysteine as a fixed modification.</w:t>
      </w:r>
    </w:p>
    <w:p w14:paraId="2CB6E9C3" w14:textId="77777777" w:rsidR="00E12523" w:rsidRPr="00D677F7" w:rsidRDefault="00E12523" w:rsidP="00D677F7">
      <w:pPr>
        <w:spacing w:line="0" w:lineRule="atLeast"/>
        <w:rPr>
          <w:color w:val="000000" w:themeColor="text1"/>
        </w:rPr>
      </w:pPr>
    </w:p>
    <w:p w14:paraId="0032B583" w14:textId="77777777" w:rsidR="00E12523" w:rsidRPr="00D677F7" w:rsidRDefault="00E12523" w:rsidP="00D677F7">
      <w:pPr>
        <w:spacing w:line="0" w:lineRule="atLeast"/>
        <w:rPr>
          <w:color w:val="000000" w:themeColor="text1"/>
        </w:rPr>
      </w:pPr>
      <w:r w:rsidRPr="00D677F7">
        <w:rPr>
          <w:color w:val="000000" w:themeColor="text1"/>
        </w:rPr>
        <w:t>7.19.5. Specify protein N-terminal acetylation, deamidation with ¹⁸O on asparagine, oxidation of methionine, oxidation of proline, and oxidation of lysine as variable modifications.</w:t>
      </w:r>
    </w:p>
    <w:p w14:paraId="346A03A2" w14:textId="77777777" w:rsidR="00E12523" w:rsidRPr="00D677F7" w:rsidRDefault="00E12523" w:rsidP="00D677F7">
      <w:pPr>
        <w:spacing w:line="0" w:lineRule="atLeast"/>
        <w:rPr>
          <w:color w:val="000000" w:themeColor="text1"/>
        </w:rPr>
      </w:pPr>
    </w:p>
    <w:p w14:paraId="621A3BA9" w14:textId="77777777" w:rsidR="00E12523" w:rsidRPr="00D677F7" w:rsidRDefault="00E12523" w:rsidP="00D677F7">
      <w:pPr>
        <w:spacing w:line="0" w:lineRule="atLeast"/>
        <w:rPr>
          <w:color w:val="000000" w:themeColor="text1"/>
        </w:rPr>
      </w:pPr>
      <w:r w:rsidRPr="00D677F7">
        <w:rPr>
          <w:color w:val="000000" w:themeColor="text1"/>
        </w:rPr>
        <w:t>7.19.6. For DIA analysis, set the experiment-level precursor and protein q-value cutoffs to 0.01.</w:t>
      </w:r>
    </w:p>
    <w:p w14:paraId="236FBA82" w14:textId="77777777" w:rsidR="00E12523" w:rsidRPr="00D677F7" w:rsidRDefault="00E12523" w:rsidP="00D677F7">
      <w:pPr>
        <w:spacing w:line="0" w:lineRule="atLeast"/>
        <w:rPr>
          <w:color w:val="000000" w:themeColor="text1"/>
        </w:rPr>
      </w:pPr>
    </w:p>
    <w:p w14:paraId="1052C739" w14:textId="77777777" w:rsidR="00E12523" w:rsidRPr="00D677F7" w:rsidRDefault="00E12523" w:rsidP="00D677F7">
      <w:pPr>
        <w:spacing w:line="0" w:lineRule="atLeast"/>
        <w:rPr>
          <w:color w:val="000000" w:themeColor="text1"/>
        </w:rPr>
      </w:pPr>
      <w:r w:rsidRPr="00D677F7">
        <w:rPr>
          <w:color w:val="000000" w:themeColor="text1"/>
        </w:rPr>
        <w:t>7.19.7. Quantify proteins using MS2 peak area with cross-run normalization.</w:t>
      </w:r>
    </w:p>
    <w:p w14:paraId="52B19FCF" w14:textId="77777777" w:rsidR="00E12523" w:rsidRPr="00D677F7" w:rsidRDefault="00E12523" w:rsidP="00D677F7">
      <w:pPr>
        <w:spacing w:line="0" w:lineRule="atLeast"/>
        <w:rPr>
          <w:color w:val="000000" w:themeColor="text1"/>
        </w:rPr>
      </w:pPr>
    </w:p>
    <w:p w14:paraId="034CBAB2" w14:textId="77777777" w:rsidR="00E12523" w:rsidRPr="00D677F7" w:rsidRDefault="00E12523" w:rsidP="00D677F7">
      <w:pPr>
        <w:spacing w:line="0" w:lineRule="atLeast"/>
        <w:rPr>
          <w:color w:val="000000" w:themeColor="text1"/>
        </w:rPr>
      </w:pPr>
      <w:r w:rsidRPr="00D677F7">
        <w:rPr>
          <w:color w:val="000000" w:themeColor="text1"/>
        </w:rPr>
        <w:t xml:space="preserve">7.19.8. Export </w:t>
      </w:r>
      <w:proofErr w:type="spellStart"/>
      <w:proofErr w:type="gramStart"/>
      <w:r w:rsidRPr="00D677F7">
        <w:rPr>
          <w:color w:val="000000" w:themeColor="text1"/>
        </w:rPr>
        <w:t>PG.Quantity</w:t>
      </w:r>
      <w:proofErr w:type="spellEnd"/>
      <w:proofErr w:type="gramEnd"/>
      <w:r w:rsidRPr="00D677F7">
        <w:rPr>
          <w:color w:val="000000" w:themeColor="text1"/>
        </w:rPr>
        <w:t xml:space="preserve"> values for subsequent statistical analysis.</w:t>
      </w:r>
    </w:p>
    <w:p w14:paraId="31A2E0C2" w14:textId="77777777" w:rsidR="00E12523" w:rsidRPr="00D677F7" w:rsidRDefault="00E12523" w:rsidP="00D677F7">
      <w:pPr>
        <w:spacing w:line="0" w:lineRule="atLeast"/>
        <w:rPr>
          <w:color w:val="000000" w:themeColor="text1"/>
        </w:rPr>
      </w:pPr>
    </w:p>
    <w:p w14:paraId="50953EC1" w14:textId="77777777" w:rsidR="00E12523" w:rsidRPr="00D677F7" w:rsidRDefault="00E12523" w:rsidP="00D677F7">
      <w:pPr>
        <w:spacing w:line="0" w:lineRule="atLeast"/>
        <w:rPr>
          <w:color w:val="000000" w:themeColor="text1"/>
        </w:rPr>
      </w:pPr>
      <w:r w:rsidRPr="00D677F7">
        <w:rPr>
          <w:color w:val="000000" w:themeColor="text1"/>
        </w:rPr>
        <w:t>7.20. Quantitative and statistical analysis</w:t>
      </w:r>
    </w:p>
    <w:p w14:paraId="08955F83" w14:textId="77777777" w:rsidR="00E12523" w:rsidRPr="00D677F7" w:rsidRDefault="00E12523" w:rsidP="00D677F7">
      <w:pPr>
        <w:spacing w:line="0" w:lineRule="atLeast"/>
        <w:rPr>
          <w:color w:val="000000" w:themeColor="text1"/>
        </w:rPr>
      </w:pPr>
    </w:p>
    <w:p w14:paraId="657DDF8E" w14:textId="77777777" w:rsidR="00E12523" w:rsidRPr="00D677F7" w:rsidRDefault="00E12523" w:rsidP="00D677F7">
      <w:pPr>
        <w:spacing w:line="0" w:lineRule="atLeast"/>
        <w:rPr>
          <w:color w:val="000000" w:themeColor="text1"/>
        </w:rPr>
      </w:pPr>
      <w:r w:rsidRPr="00D677F7">
        <w:rPr>
          <w:color w:val="000000" w:themeColor="text1"/>
        </w:rPr>
        <w:t xml:space="preserve">7.20.1. Remove non-human proteins and proteins with </w:t>
      </w:r>
      <w:proofErr w:type="spellStart"/>
      <w:proofErr w:type="gramStart"/>
      <w:r w:rsidRPr="00D677F7">
        <w:rPr>
          <w:color w:val="000000" w:themeColor="text1"/>
        </w:rPr>
        <w:t>PG.Qvalue</w:t>
      </w:r>
      <w:proofErr w:type="spellEnd"/>
      <w:proofErr w:type="gramEnd"/>
      <w:r w:rsidRPr="00D677F7">
        <w:rPr>
          <w:color w:val="000000" w:themeColor="text1"/>
        </w:rPr>
        <w:t xml:space="preserve"> values greater than or equal to 0.01.</w:t>
      </w:r>
    </w:p>
    <w:p w14:paraId="28F648EB" w14:textId="77777777" w:rsidR="00E12523" w:rsidRPr="00D677F7" w:rsidRDefault="00E12523" w:rsidP="00D677F7">
      <w:pPr>
        <w:spacing w:line="0" w:lineRule="atLeast"/>
        <w:rPr>
          <w:color w:val="000000" w:themeColor="text1"/>
        </w:rPr>
      </w:pPr>
    </w:p>
    <w:p w14:paraId="0B581C4B" w14:textId="77777777" w:rsidR="00E12523" w:rsidRPr="00D677F7" w:rsidRDefault="00E12523" w:rsidP="00D677F7">
      <w:pPr>
        <w:spacing w:line="0" w:lineRule="atLeast"/>
        <w:rPr>
          <w:color w:val="000000" w:themeColor="text1"/>
        </w:rPr>
      </w:pPr>
      <w:r w:rsidRPr="00D677F7">
        <w:rPr>
          <w:color w:val="000000" w:themeColor="text1"/>
        </w:rPr>
        <w:lastRenderedPageBreak/>
        <w:t xml:space="preserve">7.20.2. Remove proteins lacking </w:t>
      </w:r>
      <w:proofErr w:type="gramStart"/>
      <w:r w:rsidRPr="00D677F7">
        <w:rPr>
          <w:color w:val="000000" w:themeColor="text1"/>
        </w:rPr>
        <w:t xml:space="preserve">a </w:t>
      </w:r>
      <w:proofErr w:type="spellStart"/>
      <w:r w:rsidRPr="00D677F7">
        <w:rPr>
          <w:color w:val="000000" w:themeColor="text1"/>
        </w:rPr>
        <w:t>UniProt</w:t>
      </w:r>
      <w:proofErr w:type="spellEnd"/>
      <w:proofErr w:type="gramEnd"/>
      <w:r w:rsidRPr="00D677F7">
        <w:rPr>
          <w:color w:val="000000" w:themeColor="text1"/>
        </w:rPr>
        <w:t xml:space="preserve"> identifier-to-gene mapping.</w:t>
      </w:r>
    </w:p>
    <w:p w14:paraId="4E421035" w14:textId="77777777" w:rsidR="00E12523" w:rsidRPr="00D677F7" w:rsidRDefault="00E12523" w:rsidP="00D677F7">
      <w:pPr>
        <w:spacing w:line="0" w:lineRule="atLeast"/>
        <w:rPr>
          <w:color w:val="000000" w:themeColor="text1"/>
        </w:rPr>
      </w:pPr>
    </w:p>
    <w:p w14:paraId="5774AC7A" w14:textId="77777777" w:rsidR="00E12523" w:rsidRPr="00D677F7" w:rsidRDefault="00E12523" w:rsidP="00D677F7">
      <w:pPr>
        <w:spacing w:line="0" w:lineRule="atLeast"/>
        <w:rPr>
          <w:color w:val="000000" w:themeColor="text1"/>
        </w:rPr>
      </w:pPr>
      <w:r w:rsidRPr="00D677F7">
        <w:rPr>
          <w:color w:val="000000" w:themeColor="text1"/>
        </w:rPr>
        <w:t>7.20.3. For proteins detected in more than 80% of samples in one extraction group, in less than 70% of samples overall, and in less than 50% of samples in the other extraction group, replace missing values with 20% of the minimum observed abundance for that protein before Log₂ transformation.</w:t>
      </w:r>
    </w:p>
    <w:p w14:paraId="32099B63" w14:textId="77777777" w:rsidR="00E12523" w:rsidRPr="00D677F7" w:rsidRDefault="00E12523" w:rsidP="00D677F7">
      <w:pPr>
        <w:spacing w:line="0" w:lineRule="atLeast"/>
        <w:rPr>
          <w:color w:val="000000" w:themeColor="text1"/>
        </w:rPr>
      </w:pPr>
    </w:p>
    <w:p w14:paraId="359B015A" w14:textId="77777777" w:rsidR="00E12523" w:rsidRPr="00D677F7" w:rsidRDefault="00E12523" w:rsidP="00D677F7">
      <w:pPr>
        <w:spacing w:line="0" w:lineRule="atLeast"/>
        <w:rPr>
          <w:color w:val="000000" w:themeColor="text1"/>
        </w:rPr>
      </w:pPr>
      <w:r w:rsidRPr="00D677F7">
        <w:rPr>
          <w:color w:val="000000" w:themeColor="text1"/>
        </w:rPr>
        <w:t>7.20.4. For the remaining proteins detected in at least 70% of samples overall, perform k-nearest neighbor imputation with k = 5 after Log₂ transformation.</w:t>
      </w:r>
    </w:p>
    <w:p w14:paraId="168FB21D" w14:textId="77777777" w:rsidR="00E12523" w:rsidRPr="00D677F7" w:rsidRDefault="00E12523" w:rsidP="00D677F7">
      <w:pPr>
        <w:spacing w:line="0" w:lineRule="atLeast"/>
        <w:rPr>
          <w:color w:val="000000" w:themeColor="text1"/>
        </w:rPr>
      </w:pPr>
    </w:p>
    <w:p w14:paraId="21B0C2E7" w14:textId="77777777" w:rsidR="00E12523" w:rsidRPr="00D677F7" w:rsidRDefault="00E12523" w:rsidP="00D677F7">
      <w:pPr>
        <w:spacing w:line="0" w:lineRule="atLeast"/>
        <w:rPr>
          <w:color w:val="000000" w:themeColor="text1"/>
        </w:rPr>
      </w:pPr>
      <w:r w:rsidRPr="00D677F7">
        <w:rPr>
          <w:color w:val="000000" w:themeColor="text1"/>
        </w:rPr>
        <w:t xml:space="preserve">7.20.5. Perform differential protein abundance analysis using the R </w:t>
      </w:r>
      <w:proofErr w:type="spellStart"/>
      <w:r w:rsidRPr="00D677F7">
        <w:rPr>
          <w:color w:val="000000" w:themeColor="text1"/>
        </w:rPr>
        <w:t>limma</w:t>
      </w:r>
      <w:proofErr w:type="spellEnd"/>
      <w:r w:rsidRPr="00D677F7">
        <w:rPr>
          <w:color w:val="000000" w:themeColor="text1"/>
        </w:rPr>
        <w:t xml:space="preserve"> package on the Log₂-transformed and imputed protein abundance matrix.</w:t>
      </w:r>
    </w:p>
    <w:p w14:paraId="1531CC85" w14:textId="77777777" w:rsidR="00E12523" w:rsidRPr="00D677F7" w:rsidRDefault="00E12523" w:rsidP="00D677F7">
      <w:pPr>
        <w:spacing w:line="0" w:lineRule="atLeast"/>
        <w:rPr>
          <w:color w:val="000000" w:themeColor="text1"/>
        </w:rPr>
      </w:pPr>
    </w:p>
    <w:p w14:paraId="327FD16D" w14:textId="77777777" w:rsidR="00E12523" w:rsidRPr="00D677F7" w:rsidRDefault="00E12523" w:rsidP="00D677F7">
      <w:pPr>
        <w:spacing w:line="0" w:lineRule="atLeast"/>
        <w:rPr>
          <w:color w:val="000000" w:themeColor="text1"/>
        </w:rPr>
      </w:pPr>
      <w:r w:rsidRPr="00D677F7">
        <w:rPr>
          <w:color w:val="000000" w:themeColor="text1"/>
        </w:rPr>
        <w:t xml:space="preserve">7.20.6. Fit a paired linear model that includes donor as a blocking factor and extraction group, TLB or </w:t>
      </w:r>
      <w:proofErr w:type="spellStart"/>
      <w:r w:rsidRPr="00D677F7">
        <w:rPr>
          <w:color w:val="000000" w:themeColor="text1"/>
        </w:rPr>
        <w:t>GuHCl</w:t>
      </w:r>
      <w:proofErr w:type="spellEnd"/>
      <w:r w:rsidRPr="00D677F7">
        <w:rPr>
          <w:color w:val="000000" w:themeColor="text1"/>
        </w:rPr>
        <w:t>, as the experimental variable of interest.</w:t>
      </w:r>
    </w:p>
    <w:p w14:paraId="6C920488" w14:textId="77777777" w:rsidR="00E12523" w:rsidRPr="00D677F7" w:rsidRDefault="00E12523" w:rsidP="00D677F7">
      <w:pPr>
        <w:spacing w:line="0" w:lineRule="atLeast"/>
        <w:rPr>
          <w:color w:val="000000" w:themeColor="text1"/>
        </w:rPr>
      </w:pPr>
    </w:p>
    <w:p w14:paraId="38C4CF9D" w14:textId="77777777" w:rsidR="00E12523" w:rsidRPr="00D677F7" w:rsidRDefault="00E12523" w:rsidP="00D677F7">
      <w:pPr>
        <w:spacing w:line="0" w:lineRule="atLeast"/>
        <w:rPr>
          <w:color w:val="000000" w:themeColor="text1"/>
        </w:rPr>
      </w:pPr>
      <w:r w:rsidRPr="00D677F7">
        <w:rPr>
          <w:color w:val="000000" w:themeColor="text1"/>
        </w:rPr>
        <w:t>7.20.7. Apply empirical Bayes moderation to improve variance estimation across proteins.</w:t>
      </w:r>
    </w:p>
    <w:p w14:paraId="715D9DC3" w14:textId="77777777" w:rsidR="00E12523" w:rsidRPr="00D677F7" w:rsidRDefault="00E12523" w:rsidP="00D677F7">
      <w:pPr>
        <w:spacing w:line="0" w:lineRule="atLeast"/>
        <w:rPr>
          <w:color w:val="000000" w:themeColor="text1"/>
        </w:rPr>
      </w:pPr>
    </w:p>
    <w:p w14:paraId="2F7A38FA" w14:textId="77777777" w:rsidR="00E12523" w:rsidRPr="00D677F7" w:rsidRDefault="00E12523" w:rsidP="00D677F7">
      <w:pPr>
        <w:spacing w:line="0" w:lineRule="atLeast"/>
        <w:rPr>
          <w:color w:val="000000" w:themeColor="text1"/>
        </w:rPr>
      </w:pPr>
      <w:r w:rsidRPr="00D677F7">
        <w:rPr>
          <w:color w:val="000000" w:themeColor="text1"/>
        </w:rPr>
        <w:t xml:space="preserve">7.20.8. Compare the </w:t>
      </w:r>
      <w:proofErr w:type="spellStart"/>
      <w:r w:rsidRPr="00D677F7">
        <w:rPr>
          <w:color w:val="000000" w:themeColor="text1"/>
        </w:rPr>
        <w:t>GuHCl</w:t>
      </w:r>
      <w:proofErr w:type="spellEnd"/>
      <w:r w:rsidRPr="00D677F7">
        <w:rPr>
          <w:color w:val="000000" w:themeColor="text1"/>
        </w:rPr>
        <w:t xml:space="preserve"> fraction with the TLB fraction and report Log₂ fold changes, moderated t-statistics, P values, false discovery rate-adjusted P values, and 95% confidence intervals.</w:t>
      </w:r>
    </w:p>
    <w:p w14:paraId="7EE8A176" w14:textId="77777777" w:rsidR="00E12523" w:rsidRPr="00D677F7" w:rsidRDefault="00E12523" w:rsidP="00D677F7">
      <w:pPr>
        <w:spacing w:line="0" w:lineRule="atLeast"/>
        <w:rPr>
          <w:color w:val="000000" w:themeColor="text1"/>
        </w:rPr>
      </w:pPr>
    </w:p>
    <w:p w14:paraId="3D87397B" w14:textId="77777777" w:rsidR="00E12523" w:rsidRPr="00D677F7" w:rsidRDefault="00E12523" w:rsidP="00D677F7">
      <w:pPr>
        <w:spacing w:line="0" w:lineRule="atLeast"/>
        <w:rPr>
          <w:color w:val="000000" w:themeColor="text1"/>
        </w:rPr>
      </w:pPr>
      <w:r w:rsidRPr="00D677F7">
        <w:rPr>
          <w:color w:val="000000" w:themeColor="text1"/>
        </w:rPr>
        <w:t xml:space="preserve">7.20.9. Annotate identified and quantified proteins using the core </w:t>
      </w:r>
      <w:proofErr w:type="spellStart"/>
      <w:r w:rsidRPr="00D677F7">
        <w:rPr>
          <w:color w:val="000000" w:themeColor="text1"/>
        </w:rPr>
        <w:t>matrisome</w:t>
      </w:r>
      <w:proofErr w:type="spellEnd"/>
      <w:r w:rsidRPr="00D677F7">
        <w:rPr>
          <w:color w:val="000000" w:themeColor="text1"/>
        </w:rPr>
        <w:t xml:space="preserve"> classification applied in the accompanying supplementary dataset.</w:t>
      </w:r>
    </w:p>
    <w:p w14:paraId="07B50937" w14:textId="77777777" w:rsidR="00E12523" w:rsidRPr="00D677F7" w:rsidRDefault="00E12523" w:rsidP="00D677F7">
      <w:pPr>
        <w:spacing w:line="0" w:lineRule="atLeast"/>
        <w:rPr>
          <w:color w:val="000000" w:themeColor="text1"/>
        </w:rPr>
      </w:pPr>
    </w:p>
    <w:p w14:paraId="472F3B2D" w14:textId="77777777" w:rsidR="00E12523" w:rsidRPr="00D677F7" w:rsidRDefault="00E12523" w:rsidP="00D677F7">
      <w:pPr>
        <w:spacing w:line="0" w:lineRule="atLeast"/>
        <w:rPr>
          <w:color w:val="000000" w:themeColor="text1"/>
        </w:rPr>
      </w:pPr>
      <w:r w:rsidRPr="00D677F7">
        <w:rPr>
          <w:color w:val="000000" w:themeColor="text1"/>
        </w:rPr>
        <w:t>7.21. Treatment of scaffold- and reagent-derived proteins</w:t>
      </w:r>
    </w:p>
    <w:p w14:paraId="79FE1006" w14:textId="77777777" w:rsidR="00E12523" w:rsidRPr="00D677F7" w:rsidRDefault="00E12523" w:rsidP="00D677F7">
      <w:pPr>
        <w:spacing w:line="0" w:lineRule="atLeast"/>
        <w:rPr>
          <w:color w:val="000000" w:themeColor="text1"/>
        </w:rPr>
      </w:pPr>
    </w:p>
    <w:p w14:paraId="22B9BEDA" w14:textId="77777777" w:rsidR="00E12523" w:rsidRPr="00D677F7" w:rsidRDefault="00E12523" w:rsidP="00D677F7">
      <w:pPr>
        <w:spacing w:line="0" w:lineRule="atLeast"/>
        <w:rPr>
          <w:color w:val="000000" w:themeColor="text1"/>
        </w:rPr>
      </w:pPr>
      <w:r w:rsidRPr="00D677F7">
        <w:rPr>
          <w:color w:val="000000" w:themeColor="text1"/>
        </w:rPr>
        <w:t>7.21.1. Include both human and bovine protein databases during database searching to distinguish human proteins from bovine reagent-derived proteins.</w:t>
      </w:r>
    </w:p>
    <w:p w14:paraId="4ADB70A9" w14:textId="77777777" w:rsidR="00E12523" w:rsidRPr="00D677F7" w:rsidRDefault="00E12523" w:rsidP="00D677F7">
      <w:pPr>
        <w:spacing w:line="0" w:lineRule="atLeast"/>
        <w:rPr>
          <w:color w:val="000000" w:themeColor="text1"/>
        </w:rPr>
      </w:pPr>
    </w:p>
    <w:p w14:paraId="5F7DD776" w14:textId="77777777" w:rsidR="00E12523" w:rsidRPr="00D677F7" w:rsidRDefault="00E12523" w:rsidP="00D677F7">
      <w:pPr>
        <w:spacing w:line="0" w:lineRule="atLeast"/>
        <w:rPr>
          <w:color w:val="000000" w:themeColor="text1"/>
        </w:rPr>
      </w:pPr>
      <w:r w:rsidRPr="00D677F7">
        <w:rPr>
          <w:color w:val="000000" w:themeColor="text1"/>
        </w:rPr>
        <w:t>7.21.2. Map peptides derived from bovine thrombin and bovine aprotinin to the bovine database. Remove these proteins from the final human dataset during the exclusion of non-human proteins.</w:t>
      </w:r>
    </w:p>
    <w:p w14:paraId="79BFC26C" w14:textId="77777777" w:rsidR="00E12523" w:rsidRPr="00D677F7" w:rsidRDefault="00E12523" w:rsidP="00D677F7">
      <w:pPr>
        <w:spacing w:line="0" w:lineRule="atLeast"/>
        <w:rPr>
          <w:color w:val="000000" w:themeColor="text1"/>
        </w:rPr>
      </w:pPr>
    </w:p>
    <w:p w14:paraId="4C92B367" w14:textId="77777777" w:rsidR="00E12523" w:rsidRPr="00D677F7" w:rsidRDefault="00E12523" w:rsidP="00D677F7">
      <w:pPr>
        <w:spacing w:line="0" w:lineRule="atLeast"/>
        <w:rPr>
          <w:color w:val="000000" w:themeColor="text1"/>
        </w:rPr>
      </w:pPr>
      <w:r w:rsidRPr="00D677F7">
        <w:rPr>
          <w:color w:val="000000" w:themeColor="text1"/>
        </w:rPr>
        <w:t>7.21.3. Retain human fibrinogen α, β, and γ chain proteins, FGA, FGB, and FGG, when detected in the human database because the fibrinogen scaffold is derived from human plasma.</w:t>
      </w:r>
    </w:p>
    <w:p w14:paraId="32F94E29" w14:textId="77777777" w:rsidR="00E12523" w:rsidRPr="00D677F7" w:rsidRDefault="00E12523" w:rsidP="00D677F7">
      <w:pPr>
        <w:spacing w:line="0" w:lineRule="atLeast"/>
        <w:rPr>
          <w:color w:val="000000" w:themeColor="text1"/>
        </w:rPr>
      </w:pPr>
    </w:p>
    <w:p w14:paraId="235E3BB9" w14:textId="4FADA3B7" w:rsidR="00BE4770" w:rsidRPr="00D677F7" w:rsidRDefault="00E12523" w:rsidP="00D677F7">
      <w:pPr>
        <w:spacing w:line="0" w:lineRule="atLeast"/>
        <w:rPr>
          <w:color w:val="000000" w:themeColor="text1"/>
        </w:rPr>
      </w:pPr>
      <w:r w:rsidRPr="00D677F7">
        <w:rPr>
          <w:color w:val="000000" w:themeColor="text1"/>
        </w:rPr>
        <w:t xml:space="preserve">7.21.4. Interpret enrichment of FGA, FGB, and FGG in the </w:t>
      </w:r>
      <w:proofErr w:type="spellStart"/>
      <w:r w:rsidRPr="00D677F7">
        <w:rPr>
          <w:color w:val="000000" w:themeColor="text1"/>
        </w:rPr>
        <w:t>GuHCl</w:t>
      </w:r>
      <w:proofErr w:type="spellEnd"/>
      <w:r w:rsidRPr="00D677F7">
        <w:rPr>
          <w:color w:val="000000" w:themeColor="text1"/>
        </w:rPr>
        <w:t xml:space="preserve"> fraction as evidence of retained fibrin scaffold components rather than newly synthesized cell-derived ECM. Consider these scaffold-derived proteins separately from cell-derived ECM proteins, including collagens, during biological interpretation.</w:t>
      </w:r>
    </w:p>
    <w:p w14:paraId="3DA0EDF9" w14:textId="77777777" w:rsidR="00A62763" w:rsidRPr="00D677F7" w:rsidRDefault="00A62763" w:rsidP="00D677F7">
      <w:pPr>
        <w:spacing w:line="0" w:lineRule="atLeast"/>
        <w:rPr>
          <w:color w:val="000000" w:themeColor="text1"/>
        </w:rPr>
      </w:pPr>
    </w:p>
    <w:p w14:paraId="430B9F4E" w14:textId="77777777" w:rsidR="00CD360E" w:rsidRPr="00D677F7" w:rsidRDefault="00665C01" w:rsidP="00D677F7">
      <w:pPr>
        <w:spacing w:line="0" w:lineRule="atLeast"/>
        <w:rPr>
          <w:b/>
          <w:bCs/>
          <w:color w:val="000000" w:themeColor="text1"/>
        </w:rPr>
      </w:pPr>
      <w:r w:rsidRPr="00D677F7">
        <w:rPr>
          <w:b/>
          <w:bCs/>
          <w:color w:val="000000" w:themeColor="text1"/>
        </w:rPr>
        <w:t>RESULTS:</w:t>
      </w:r>
    </w:p>
    <w:p w14:paraId="0C258E39" w14:textId="77777777" w:rsidR="00F64698" w:rsidRPr="00D677F7" w:rsidRDefault="00F64698" w:rsidP="00D677F7">
      <w:pPr>
        <w:spacing w:line="0" w:lineRule="atLeast"/>
        <w:rPr>
          <w:color w:val="000000" w:themeColor="text1"/>
        </w:rPr>
      </w:pPr>
      <w:r w:rsidRPr="00D677F7">
        <w:rPr>
          <w:color w:val="000000" w:themeColor="text1"/>
        </w:rPr>
        <w:t xml:space="preserve">In vivo, except in avascular tissues, cells exchange nutrients with nearby capillaries located no </w:t>
      </w:r>
      <w:r w:rsidRPr="00D677F7">
        <w:rPr>
          <w:color w:val="000000" w:themeColor="text1"/>
        </w:rPr>
        <w:lastRenderedPageBreak/>
        <w:t>more than 100–150 µm away</w:t>
      </w:r>
      <w:r w:rsidRPr="00D677F7">
        <w:rPr>
          <w:color w:val="000000" w:themeColor="text1"/>
          <w:vertAlign w:val="superscript"/>
        </w:rPr>
        <w:t>23</w:t>
      </w:r>
      <w:r w:rsidRPr="00D677F7">
        <w:rPr>
          <w:color w:val="000000" w:themeColor="text1"/>
        </w:rPr>
        <w:t>. Similarly, in vitro, the balance between nutrient consumption by peripheral cells and diffusion into the tissue is such that only cells within approximately 200 µm of the surface of an avascular engineered tissue are considered to receive an adequate nutrient supply</w:t>
      </w:r>
      <w:r w:rsidRPr="00D677F7">
        <w:rPr>
          <w:color w:val="000000" w:themeColor="text1"/>
          <w:vertAlign w:val="superscript"/>
        </w:rPr>
        <w:t>24</w:t>
      </w:r>
      <w:r w:rsidRPr="00D677F7">
        <w:rPr>
          <w:color w:val="000000" w:themeColor="text1"/>
        </w:rPr>
        <w:t>. Given that EVTs generally have widths of up to 1 mm, cells at the center of the tissue may experience reduced oxygen and nutrient availability relative to cells at the periphery because of diffusion limitations. Although oxygen availability may decrease toward the center of the tissue, EVTs are cultured under atmospheric oxygen conditions, and reduced oxygen diffusion toward the core does not necessarily indicate true hypoxia.</w:t>
      </w:r>
    </w:p>
    <w:p w14:paraId="17CDD17D" w14:textId="77777777" w:rsidR="00F64698" w:rsidRPr="00D677F7" w:rsidRDefault="00F64698" w:rsidP="00D677F7">
      <w:pPr>
        <w:spacing w:line="0" w:lineRule="atLeast"/>
        <w:rPr>
          <w:color w:val="000000" w:themeColor="text1"/>
        </w:rPr>
      </w:pPr>
    </w:p>
    <w:p w14:paraId="4DEA6567" w14:textId="77777777" w:rsidR="00F64698" w:rsidRPr="00D677F7" w:rsidRDefault="00F64698" w:rsidP="00D677F7">
      <w:pPr>
        <w:spacing w:line="0" w:lineRule="atLeast"/>
        <w:rPr>
          <w:color w:val="000000" w:themeColor="text1"/>
        </w:rPr>
      </w:pPr>
      <w:r w:rsidRPr="00D677F7">
        <w:rPr>
          <w:color w:val="000000" w:themeColor="text1"/>
        </w:rPr>
        <w:t>To assess how long human aortic SMCs remain viable in EVTs, we performed a TUNEL assay on transverse cryosections using fluorescein-</w:t>
      </w:r>
      <w:proofErr w:type="spellStart"/>
      <w:r w:rsidRPr="00D677F7">
        <w:rPr>
          <w:color w:val="000000" w:themeColor="text1"/>
        </w:rPr>
        <w:t>dUTP</w:t>
      </w:r>
      <w:proofErr w:type="spellEnd"/>
      <w:r w:rsidRPr="00D677F7">
        <w:rPr>
          <w:color w:val="000000" w:themeColor="text1"/>
        </w:rPr>
        <w:t>. We consistently observed &lt;10% TUNEL-positive cells in EVTs cultured for 3 days, which was the threshold used to define viable EVTs. This assay can also be used to monitor apoptosis following experimental perturbations. For example, we previously used TUNEL staining to assess cell death in EVTs cultured under calcifying conditions</w:t>
      </w:r>
      <w:r w:rsidRPr="00D677F7">
        <w:rPr>
          <w:color w:val="000000" w:themeColor="text1"/>
          <w:vertAlign w:val="superscript"/>
        </w:rPr>
        <w:t>21</w:t>
      </w:r>
      <w:r w:rsidRPr="00D677F7">
        <w:rPr>
          <w:color w:val="000000" w:themeColor="text1"/>
        </w:rPr>
        <w:t>.</w:t>
      </w:r>
    </w:p>
    <w:p w14:paraId="3440F4B7" w14:textId="77777777" w:rsidR="00F64698" w:rsidRPr="00D677F7" w:rsidRDefault="00F64698" w:rsidP="00D677F7">
      <w:pPr>
        <w:spacing w:line="0" w:lineRule="atLeast"/>
        <w:rPr>
          <w:color w:val="000000" w:themeColor="text1"/>
        </w:rPr>
      </w:pPr>
    </w:p>
    <w:p w14:paraId="170F887D" w14:textId="3AF8D138" w:rsidR="0025421C" w:rsidRPr="00D677F7" w:rsidRDefault="00F64698" w:rsidP="00D677F7">
      <w:pPr>
        <w:spacing w:line="0" w:lineRule="atLeast"/>
        <w:rPr>
          <w:color w:val="000000" w:themeColor="text1"/>
        </w:rPr>
      </w:pPr>
      <w:r w:rsidRPr="00D677F7">
        <w:rPr>
          <w:color w:val="000000" w:themeColor="text1"/>
        </w:rPr>
        <w:t xml:space="preserve">Based on these findings, a 3-day culture period was selected for subsequent experiments. The EVT casting workflow is illustrated in </w:t>
      </w:r>
      <w:r w:rsidRPr="00D677F7">
        <w:rPr>
          <w:b/>
          <w:bCs/>
          <w:color w:val="000000" w:themeColor="text1"/>
        </w:rPr>
        <w:t>Figure 1A</w:t>
      </w:r>
      <w:r w:rsidRPr="00D677F7">
        <w:rPr>
          <w:color w:val="000000" w:themeColor="text1"/>
        </w:rPr>
        <w:t xml:space="preserve">, and representative EVTs after 1 day of culture are shown in </w:t>
      </w:r>
      <w:r w:rsidRPr="00D677F7">
        <w:rPr>
          <w:b/>
          <w:bCs/>
          <w:color w:val="000000" w:themeColor="text1"/>
        </w:rPr>
        <w:t>Figure 1B</w:t>
      </w:r>
      <w:r w:rsidRPr="00D677F7">
        <w:rPr>
          <w:color w:val="000000" w:themeColor="text1"/>
        </w:rPr>
        <w:t>. By day 3, EVTs exhibited aligned SMCs spanning the PDMS posts (</w:t>
      </w:r>
      <w:r w:rsidRPr="00D677F7">
        <w:rPr>
          <w:b/>
          <w:bCs/>
          <w:color w:val="000000" w:themeColor="text1"/>
        </w:rPr>
        <w:t>Figure 1C</w:t>
      </w:r>
      <w:r w:rsidRPr="00D677F7">
        <w:rPr>
          <w:color w:val="000000" w:themeColor="text1"/>
        </w:rPr>
        <w:t>) together with widespread deposition of type I collagen (COL1A1/2) and fibronectin (FN1) throughout the constructs (</w:t>
      </w:r>
      <w:r w:rsidRPr="00D677F7">
        <w:rPr>
          <w:b/>
          <w:bCs/>
          <w:color w:val="000000" w:themeColor="text1"/>
        </w:rPr>
        <w:t>Figure 1D</w:t>
      </w:r>
      <w:r w:rsidRPr="00D677F7">
        <w:rPr>
          <w:color w:val="000000" w:themeColor="text1"/>
        </w:rPr>
        <w:t>).</w:t>
      </w:r>
    </w:p>
    <w:p w14:paraId="2A62880E" w14:textId="77777777" w:rsidR="001C45B2" w:rsidRPr="00D677F7" w:rsidRDefault="001C45B2" w:rsidP="00D677F7">
      <w:pPr>
        <w:spacing w:line="0" w:lineRule="atLeast"/>
        <w:rPr>
          <w:color w:val="000000" w:themeColor="text1"/>
        </w:rPr>
      </w:pPr>
    </w:p>
    <w:p w14:paraId="107667D8" w14:textId="3E37AA60" w:rsidR="001C45B2" w:rsidRPr="00D677F7" w:rsidRDefault="001C45B2" w:rsidP="00D677F7">
      <w:pPr>
        <w:spacing w:line="0" w:lineRule="atLeast"/>
        <w:rPr>
          <w:color w:val="000000" w:themeColor="text1"/>
        </w:rPr>
      </w:pPr>
      <w:r w:rsidRPr="00D677F7">
        <w:rPr>
          <w:color w:val="000000" w:themeColor="text1"/>
        </w:rPr>
        <w:t xml:space="preserve">[Place </w:t>
      </w:r>
      <w:r w:rsidRPr="00D677F7">
        <w:rPr>
          <w:b/>
          <w:bCs/>
          <w:color w:val="000000" w:themeColor="text1"/>
        </w:rPr>
        <w:t>Figure 1</w:t>
      </w:r>
      <w:r w:rsidRPr="00D677F7">
        <w:rPr>
          <w:color w:val="000000" w:themeColor="text1"/>
        </w:rPr>
        <w:t xml:space="preserve"> here.]</w:t>
      </w:r>
    </w:p>
    <w:p w14:paraId="19DD167D" w14:textId="77777777" w:rsidR="0025421C" w:rsidRPr="00D677F7" w:rsidRDefault="0025421C" w:rsidP="00D677F7">
      <w:pPr>
        <w:spacing w:line="0" w:lineRule="atLeast"/>
        <w:rPr>
          <w:color w:val="000000" w:themeColor="text1"/>
        </w:rPr>
      </w:pPr>
    </w:p>
    <w:p w14:paraId="508233D4" w14:textId="77777777" w:rsidR="00E32991" w:rsidRPr="00D677F7" w:rsidRDefault="00E32991" w:rsidP="00D677F7">
      <w:pPr>
        <w:spacing w:line="0" w:lineRule="atLeast"/>
        <w:rPr>
          <w:color w:val="000000" w:themeColor="text1"/>
        </w:rPr>
      </w:pPr>
      <w:r w:rsidRPr="00D677F7">
        <w:rPr>
          <w:color w:val="000000" w:themeColor="text1"/>
        </w:rPr>
        <w:t>We next examined the composition of the de novo ECM deposited within EVTs after 3 days of culture using proteomics. To this end, we employed a sequential protein extraction workflow (</w:t>
      </w:r>
      <w:r w:rsidRPr="00D677F7">
        <w:rPr>
          <w:b/>
          <w:bCs/>
          <w:color w:val="000000" w:themeColor="text1"/>
        </w:rPr>
        <w:t>Step 7</w:t>
      </w:r>
      <w:r w:rsidRPr="00D677F7">
        <w:rPr>
          <w:color w:val="000000" w:themeColor="text1"/>
        </w:rPr>
        <w:t xml:space="preserve"> and </w:t>
      </w:r>
      <w:r w:rsidRPr="00D677F7">
        <w:rPr>
          <w:b/>
          <w:bCs/>
          <w:color w:val="000000" w:themeColor="text1"/>
        </w:rPr>
        <w:t>Figure 2A</w:t>
      </w:r>
      <w:r w:rsidRPr="00D677F7">
        <w:rPr>
          <w:color w:val="000000" w:themeColor="text1"/>
        </w:rPr>
        <w:t>) designed to isolate fractions enriched for soluble extracellular and intracellular proteins (TLB) and less soluble, highly crosslinked ECM proteins (</w:t>
      </w:r>
      <w:proofErr w:type="spellStart"/>
      <w:r w:rsidRPr="00D677F7">
        <w:rPr>
          <w:color w:val="000000" w:themeColor="text1"/>
        </w:rPr>
        <w:t>GuHCl</w:t>
      </w:r>
      <w:proofErr w:type="spellEnd"/>
      <w:r w:rsidRPr="00D677F7">
        <w:rPr>
          <w:color w:val="000000" w:themeColor="text1"/>
        </w:rPr>
        <w:t>). The TLB extraction period was extended to 24 h to demonstrate that a proportion of the ECM was not readily soluble and had already become integrated into the developing matrix. In general, however, shorter TLB extraction periods are recommended to minimize the loss of ECM components.</w:t>
      </w:r>
    </w:p>
    <w:p w14:paraId="2E0B3165" w14:textId="77777777" w:rsidR="00E32991" w:rsidRPr="00D677F7" w:rsidRDefault="00E32991" w:rsidP="00D677F7">
      <w:pPr>
        <w:spacing w:line="0" w:lineRule="atLeast"/>
        <w:rPr>
          <w:color w:val="000000" w:themeColor="text1"/>
        </w:rPr>
      </w:pPr>
    </w:p>
    <w:p w14:paraId="7E72C050" w14:textId="77777777" w:rsidR="00E32991" w:rsidRPr="00D677F7" w:rsidRDefault="00E32991" w:rsidP="00D677F7">
      <w:pPr>
        <w:spacing w:line="0" w:lineRule="atLeast"/>
        <w:rPr>
          <w:color w:val="000000" w:themeColor="text1"/>
        </w:rPr>
      </w:pPr>
      <w:r w:rsidRPr="00D677F7">
        <w:rPr>
          <w:color w:val="000000" w:themeColor="text1"/>
        </w:rPr>
        <w:t xml:space="preserve">[Place </w:t>
      </w:r>
      <w:r w:rsidRPr="00D677F7">
        <w:rPr>
          <w:b/>
          <w:bCs/>
          <w:color w:val="000000" w:themeColor="text1"/>
        </w:rPr>
        <w:t>Figure 2</w:t>
      </w:r>
      <w:r w:rsidRPr="00D677F7">
        <w:rPr>
          <w:color w:val="000000" w:themeColor="text1"/>
        </w:rPr>
        <w:t xml:space="preserve"> here.]</w:t>
      </w:r>
    </w:p>
    <w:p w14:paraId="1348A7FD" w14:textId="77777777" w:rsidR="00E32991" w:rsidRPr="00D677F7" w:rsidRDefault="00E32991" w:rsidP="00D677F7">
      <w:pPr>
        <w:spacing w:line="0" w:lineRule="atLeast"/>
        <w:rPr>
          <w:color w:val="000000" w:themeColor="text1"/>
        </w:rPr>
      </w:pPr>
    </w:p>
    <w:p w14:paraId="6561502D" w14:textId="3631E712" w:rsidR="00E32991" w:rsidRPr="00D677F7" w:rsidRDefault="00E32991" w:rsidP="00D677F7">
      <w:pPr>
        <w:spacing w:line="0" w:lineRule="atLeast"/>
        <w:rPr>
          <w:color w:val="000000" w:themeColor="text1"/>
        </w:rPr>
      </w:pPr>
      <w:r w:rsidRPr="00D677F7">
        <w:rPr>
          <w:color w:val="000000" w:themeColor="text1"/>
        </w:rPr>
        <w:t>Proteomic analysis of EVTs from seven human donors by liquid chromatography–tandem mass spectrometry with data-independent acquisition (</w:t>
      </w:r>
      <w:r w:rsidRPr="00D677F7">
        <w:rPr>
          <w:b/>
          <w:bCs/>
          <w:color w:val="000000" w:themeColor="text1"/>
        </w:rPr>
        <w:t>Figure 2A</w:t>
      </w:r>
      <w:r w:rsidRPr="00D677F7">
        <w:rPr>
          <w:color w:val="000000" w:themeColor="text1"/>
        </w:rPr>
        <w:t xml:space="preserve">) revealed enrichment of several collagen family members (COL) in the </w:t>
      </w:r>
      <w:proofErr w:type="spellStart"/>
      <w:r w:rsidRPr="00D677F7">
        <w:rPr>
          <w:color w:val="000000" w:themeColor="text1"/>
        </w:rPr>
        <w:t>GuHCl</w:t>
      </w:r>
      <w:proofErr w:type="spellEnd"/>
      <w:r w:rsidRPr="00D677F7">
        <w:rPr>
          <w:color w:val="000000" w:themeColor="text1"/>
        </w:rPr>
        <w:t xml:space="preserve"> fraction after 3 days of culture, together with regulators of collagen </w:t>
      </w:r>
      <w:proofErr w:type="spellStart"/>
      <w:r w:rsidRPr="00D677F7">
        <w:rPr>
          <w:color w:val="000000" w:themeColor="text1"/>
        </w:rPr>
        <w:t>fibrillogenesis</w:t>
      </w:r>
      <w:proofErr w:type="spellEnd"/>
      <w:r w:rsidRPr="00D677F7">
        <w:rPr>
          <w:color w:val="000000" w:themeColor="text1"/>
        </w:rPr>
        <w:t>, including FMOD, PCOLCE, and PCOLCE2 (</w:t>
      </w:r>
      <w:r w:rsidRPr="00D677F7">
        <w:rPr>
          <w:b/>
          <w:bCs/>
          <w:color w:val="000000" w:themeColor="text1"/>
        </w:rPr>
        <w:t>Figure 2B</w:t>
      </w:r>
      <w:r w:rsidRPr="00D677F7">
        <w:rPr>
          <w:color w:val="000000" w:themeColor="text1"/>
        </w:rPr>
        <w:t xml:space="preserve">). </w:t>
      </w:r>
      <w:r w:rsidR="00DD0F17" w:rsidRPr="00DD0F17">
        <w:rPr>
          <w:color w:val="000000" w:themeColor="text1"/>
        </w:rPr>
        <w:t xml:space="preserve">The complete differential protein abundance dataset, including statistical analyses and core </w:t>
      </w:r>
      <w:proofErr w:type="spellStart"/>
      <w:r w:rsidR="00DD0F17" w:rsidRPr="00DD0F17">
        <w:rPr>
          <w:color w:val="000000" w:themeColor="text1"/>
        </w:rPr>
        <w:t>matrisome</w:t>
      </w:r>
      <w:proofErr w:type="spellEnd"/>
      <w:r w:rsidR="00DD0F17" w:rsidRPr="00DD0F17">
        <w:rPr>
          <w:color w:val="000000" w:themeColor="text1"/>
        </w:rPr>
        <w:t xml:space="preserve"> annotations, is provided in </w:t>
      </w:r>
      <w:r w:rsidR="00DD0F17" w:rsidRPr="00DD0F17">
        <w:rPr>
          <w:b/>
          <w:bCs/>
          <w:color w:val="000000" w:themeColor="text1"/>
        </w:rPr>
        <w:t>Supplementary Table 1</w:t>
      </w:r>
      <w:r w:rsidR="00DD0F17" w:rsidRPr="00DD0F17">
        <w:rPr>
          <w:color w:val="000000" w:themeColor="text1"/>
        </w:rPr>
        <w:t>.</w:t>
      </w:r>
      <w:r w:rsidR="00DD0F17">
        <w:rPr>
          <w:color w:val="000000" w:themeColor="text1"/>
        </w:rPr>
        <w:t xml:space="preserve"> </w:t>
      </w:r>
      <w:r w:rsidRPr="00D677F7">
        <w:rPr>
          <w:color w:val="000000" w:themeColor="text1"/>
        </w:rPr>
        <w:t>Conversely, soluble SMC-secreted proteins, including MFGE8 and EDIL3, were more abundant in the TLB fraction, consistent with enrichment of the expected protein components in the sequentially extracted fractions.</w:t>
      </w:r>
    </w:p>
    <w:p w14:paraId="614DC22F" w14:textId="77777777" w:rsidR="00E32991" w:rsidRPr="00D677F7" w:rsidRDefault="00E32991" w:rsidP="00D677F7">
      <w:pPr>
        <w:spacing w:line="0" w:lineRule="atLeast"/>
        <w:rPr>
          <w:color w:val="000000" w:themeColor="text1"/>
        </w:rPr>
      </w:pPr>
    </w:p>
    <w:p w14:paraId="7F1F7E3B" w14:textId="77777777" w:rsidR="00E32991" w:rsidRPr="00D677F7" w:rsidRDefault="00E32991" w:rsidP="00D677F7">
      <w:pPr>
        <w:spacing w:line="0" w:lineRule="atLeast"/>
        <w:rPr>
          <w:color w:val="000000" w:themeColor="text1"/>
        </w:rPr>
      </w:pPr>
      <w:r w:rsidRPr="00D677F7">
        <w:rPr>
          <w:color w:val="000000" w:themeColor="text1"/>
        </w:rPr>
        <w:t xml:space="preserve">Fibrillar collagens are characterized by a high hydroxyproline content that stabilizes their </w:t>
      </w:r>
      <w:r w:rsidRPr="00D677F7">
        <w:rPr>
          <w:color w:val="000000" w:themeColor="text1"/>
        </w:rPr>
        <w:lastRenderedPageBreak/>
        <w:t xml:space="preserve">continuous triple-helical domains and promotes their assembly into large, cable-like fibrils. Consistent with this biology, detection of fibrillar collagens in the </w:t>
      </w:r>
      <w:proofErr w:type="spellStart"/>
      <w:r w:rsidRPr="00D677F7">
        <w:rPr>
          <w:color w:val="000000" w:themeColor="text1"/>
        </w:rPr>
        <w:t>GuHCl</w:t>
      </w:r>
      <w:proofErr w:type="spellEnd"/>
      <w:r w:rsidRPr="00D677F7">
        <w:rPr>
          <w:color w:val="000000" w:themeColor="text1"/>
        </w:rPr>
        <w:t xml:space="preserve"> fraction was sensitive to the inclusion of hydroxyproline and hydroxylysine as variable modifications during database searching (</w:t>
      </w:r>
      <w:r w:rsidRPr="00D677F7">
        <w:rPr>
          <w:b/>
          <w:bCs/>
          <w:color w:val="000000" w:themeColor="text1"/>
        </w:rPr>
        <w:t>Figure 2C</w:t>
      </w:r>
      <w:r w:rsidRPr="00D677F7">
        <w:rPr>
          <w:color w:val="000000" w:themeColor="text1"/>
        </w:rPr>
        <w:t>). In contrast, the measured abundance of non-fibrillar collagens was largely unchanged irrespective of whether these modifications were included, providing confidence that their identification was not driven by modification-dependent false-positive peptide assignments.</w:t>
      </w:r>
    </w:p>
    <w:p w14:paraId="763A929E" w14:textId="77777777" w:rsidR="00E32991" w:rsidRPr="00D677F7" w:rsidRDefault="00E32991" w:rsidP="00D677F7">
      <w:pPr>
        <w:spacing w:line="0" w:lineRule="atLeast"/>
        <w:rPr>
          <w:color w:val="000000" w:themeColor="text1"/>
        </w:rPr>
      </w:pPr>
    </w:p>
    <w:p w14:paraId="013033B2" w14:textId="4017BAE6" w:rsidR="00CD360E" w:rsidRPr="00D677F7" w:rsidRDefault="00E32991" w:rsidP="00D677F7">
      <w:pPr>
        <w:spacing w:line="0" w:lineRule="atLeast"/>
        <w:rPr>
          <w:color w:val="000000" w:themeColor="text1"/>
        </w:rPr>
      </w:pPr>
      <w:r w:rsidRPr="00D677F7">
        <w:rPr>
          <w:color w:val="000000" w:themeColor="text1"/>
        </w:rPr>
        <w:t xml:space="preserve">In addition to collagens, several basement membrane glycoproteins were enriched in the </w:t>
      </w:r>
      <w:proofErr w:type="spellStart"/>
      <w:r w:rsidRPr="00D677F7">
        <w:rPr>
          <w:color w:val="000000" w:themeColor="text1"/>
        </w:rPr>
        <w:t>GuHCl</w:t>
      </w:r>
      <w:proofErr w:type="spellEnd"/>
      <w:r w:rsidRPr="00D677F7">
        <w:rPr>
          <w:color w:val="000000" w:themeColor="text1"/>
        </w:rPr>
        <w:t xml:space="preserve"> fraction after 3 days of culture, including laminin (LAMA/B/C) subunits, nidogens (NID1 and NID2), and the heparan sulfate proteoglycans </w:t>
      </w:r>
      <w:proofErr w:type="spellStart"/>
      <w:r w:rsidRPr="00D677F7">
        <w:rPr>
          <w:color w:val="000000" w:themeColor="text1"/>
        </w:rPr>
        <w:t>perlecan</w:t>
      </w:r>
      <w:proofErr w:type="spellEnd"/>
      <w:r w:rsidRPr="00D677F7">
        <w:rPr>
          <w:color w:val="000000" w:themeColor="text1"/>
        </w:rPr>
        <w:t xml:space="preserve"> (HSPG2) and </w:t>
      </w:r>
      <w:proofErr w:type="spellStart"/>
      <w:r w:rsidRPr="00D677F7">
        <w:rPr>
          <w:color w:val="000000" w:themeColor="text1"/>
        </w:rPr>
        <w:t>agrin</w:t>
      </w:r>
      <w:proofErr w:type="spellEnd"/>
      <w:r w:rsidRPr="00D677F7">
        <w:rPr>
          <w:color w:val="000000" w:themeColor="text1"/>
        </w:rPr>
        <w:t xml:space="preserve"> (AGRN), demonstrating the presence of a diverse ECM within EVTs. Elastin (ELN), together with proteins involved in fibrillin-1 (FBN1) microfibril assembly (THSD4) and elastin deposition (MFAP2, EMILIN1, and EMILIN2), was also significantly enriched in the </w:t>
      </w:r>
      <w:proofErr w:type="spellStart"/>
      <w:r w:rsidRPr="00D677F7">
        <w:rPr>
          <w:color w:val="000000" w:themeColor="text1"/>
        </w:rPr>
        <w:t>GuHCl</w:t>
      </w:r>
      <w:proofErr w:type="spellEnd"/>
      <w:r w:rsidRPr="00D677F7">
        <w:rPr>
          <w:color w:val="000000" w:themeColor="text1"/>
        </w:rPr>
        <w:t xml:space="preserve"> fraction. Although FBN1 was enriched (Log</w:t>
      </w:r>
      <w:r w:rsidRPr="00D677F7">
        <w:rPr>
          <w:color w:val="000000" w:themeColor="text1"/>
          <w:vertAlign w:val="subscript"/>
        </w:rPr>
        <w:t>2</w:t>
      </w:r>
      <w:r w:rsidRPr="00D677F7">
        <w:rPr>
          <w:color w:val="000000" w:themeColor="text1"/>
        </w:rPr>
        <w:t xml:space="preserve"> fold change = 1.84), it did not reach statistical significance (adjusted </w:t>
      </w:r>
      <w:r w:rsidRPr="00D677F7">
        <w:rPr>
          <w:i/>
          <w:iCs/>
          <w:color w:val="000000" w:themeColor="text1"/>
        </w:rPr>
        <w:t>P</w:t>
      </w:r>
      <w:r w:rsidRPr="00D677F7">
        <w:rPr>
          <w:color w:val="000000" w:themeColor="text1"/>
        </w:rPr>
        <w:t xml:space="preserve"> = 0.051). We previously demonstrated that TGF-β1 treatment induces elastin expression in murine EVTs</w:t>
      </w:r>
      <w:r w:rsidRPr="00D677F7">
        <w:rPr>
          <w:color w:val="000000" w:themeColor="text1"/>
          <w:vertAlign w:val="superscript"/>
        </w:rPr>
        <w:t>21</w:t>
      </w:r>
      <w:r w:rsidRPr="00D677F7">
        <w:rPr>
          <w:color w:val="000000" w:themeColor="text1"/>
        </w:rPr>
        <w:t>; therefore, a similar strategy may be used to further stimulate elastic matrix deposition in human EVTs.</w:t>
      </w:r>
    </w:p>
    <w:p w14:paraId="313BD588" w14:textId="77777777" w:rsidR="00CD360E" w:rsidRPr="00D677F7" w:rsidRDefault="00CD360E" w:rsidP="00D677F7">
      <w:pPr>
        <w:spacing w:line="0" w:lineRule="atLeast"/>
        <w:rPr>
          <w:color w:val="000000" w:themeColor="text1"/>
        </w:rPr>
      </w:pPr>
    </w:p>
    <w:p w14:paraId="476F2A48" w14:textId="77777777" w:rsidR="00A2051F" w:rsidRPr="00D677F7" w:rsidRDefault="00A2051F" w:rsidP="00D677F7">
      <w:pPr>
        <w:spacing w:line="0" w:lineRule="atLeast"/>
        <w:rPr>
          <w:color w:val="000000" w:themeColor="text1"/>
        </w:rPr>
      </w:pPr>
      <w:r w:rsidRPr="00D677F7">
        <w:rPr>
          <w:color w:val="000000" w:themeColor="text1"/>
        </w:rPr>
        <w:t xml:space="preserve">Representative Western blot analysis demonstrated the presence of the SMC cytoskeletal protein </w:t>
      </w:r>
      <w:proofErr w:type="spellStart"/>
      <w:r w:rsidRPr="00D677F7">
        <w:rPr>
          <w:color w:val="000000" w:themeColor="text1"/>
        </w:rPr>
        <w:t>transgelin</w:t>
      </w:r>
      <w:proofErr w:type="spellEnd"/>
      <w:r w:rsidRPr="00D677F7">
        <w:rPr>
          <w:color w:val="000000" w:themeColor="text1"/>
        </w:rPr>
        <w:t xml:space="preserve"> (TAGLN) in both the TLB and </w:t>
      </w:r>
      <w:proofErr w:type="spellStart"/>
      <w:r w:rsidRPr="00D677F7">
        <w:rPr>
          <w:color w:val="000000" w:themeColor="text1"/>
        </w:rPr>
        <w:t>GuHCl</w:t>
      </w:r>
      <w:proofErr w:type="spellEnd"/>
      <w:r w:rsidRPr="00D677F7">
        <w:rPr>
          <w:color w:val="000000" w:themeColor="text1"/>
        </w:rPr>
        <w:t xml:space="preserve"> fractions, with stronger detection in the TLB fraction (</w:t>
      </w:r>
      <w:r w:rsidRPr="00D677F7">
        <w:rPr>
          <w:b/>
          <w:bCs/>
          <w:color w:val="000000" w:themeColor="text1"/>
        </w:rPr>
        <w:t>Figure 3A</w:t>
      </w:r>
      <w:r w:rsidRPr="00D677F7">
        <w:rPr>
          <w:color w:val="000000" w:themeColor="text1"/>
        </w:rPr>
        <w:t xml:space="preserve">). This finding suggests incomplete extraction of intracellular proteins by TLB, even after a 24 h incubation, potentially because cellular remnants remain trapped within the crosslinked ECM and are subsequently extracted using the more stringent </w:t>
      </w:r>
      <w:proofErr w:type="spellStart"/>
      <w:r w:rsidRPr="00D677F7">
        <w:rPr>
          <w:color w:val="000000" w:themeColor="text1"/>
        </w:rPr>
        <w:t>GuHCl</w:t>
      </w:r>
      <w:proofErr w:type="spellEnd"/>
      <w:r w:rsidRPr="00D677F7">
        <w:rPr>
          <w:color w:val="000000" w:themeColor="text1"/>
        </w:rPr>
        <w:t xml:space="preserve"> buffer. FN1, an ECM glycoprotein involved in the deposition of other matrix proteins, and the chondroitin sulfate proteoglycan </w:t>
      </w:r>
      <w:proofErr w:type="spellStart"/>
      <w:r w:rsidRPr="00D677F7">
        <w:rPr>
          <w:color w:val="000000" w:themeColor="text1"/>
        </w:rPr>
        <w:t>versican</w:t>
      </w:r>
      <w:proofErr w:type="spellEnd"/>
      <w:r w:rsidRPr="00D677F7">
        <w:rPr>
          <w:color w:val="000000" w:themeColor="text1"/>
        </w:rPr>
        <w:t xml:space="preserve"> (VCAN) were also detected in both fractions (</w:t>
      </w:r>
      <w:r w:rsidRPr="00D677F7">
        <w:rPr>
          <w:b/>
          <w:bCs/>
          <w:color w:val="000000" w:themeColor="text1"/>
        </w:rPr>
        <w:t>Figure 3A</w:t>
      </w:r>
      <w:r w:rsidRPr="00D677F7">
        <w:rPr>
          <w:color w:val="000000" w:themeColor="text1"/>
        </w:rPr>
        <w:t>). Consistent with the proteomic analysis (</w:t>
      </w:r>
      <w:r w:rsidRPr="00D677F7">
        <w:rPr>
          <w:b/>
          <w:bCs/>
          <w:color w:val="000000" w:themeColor="text1"/>
        </w:rPr>
        <w:t>Figure 2B</w:t>
      </w:r>
      <w:r w:rsidRPr="00D677F7">
        <w:rPr>
          <w:color w:val="000000" w:themeColor="text1"/>
        </w:rPr>
        <w:t xml:space="preserve">), FN1 showed </w:t>
      </w:r>
      <w:proofErr w:type="gramStart"/>
      <w:r w:rsidRPr="00D677F7">
        <w:rPr>
          <w:color w:val="000000" w:themeColor="text1"/>
        </w:rPr>
        <w:t>a modest</w:t>
      </w:r>
      <w:proofErr w:type="gramEnd"/>
      <w:r w:rsidRPr="00D677F7">
        <w:rPr>
          <w:color w:val="000000" w:themeColor="text1"/>
        </w:rPr>
        <w:t xml:space="preserve"> enrichment in the </w:t>
      </w:r>
      <w:proofErr w:type="spellStart"/>
      <w:r w:rsidRPr="00D677F7">
        <w:rPr>
          <w:color w:val="000000" w:themeColor="text1"/>
        </w:rPr>
        <w:t>GuHCl</w:t>
      </w:r>
      <w:proofErr w:type="spellEnd"/>
      <w:r w:rsidRPr="00D677F7">
        <w:rPr>
          <w:color w:val="000000" w:themeColor="text1"/>
        </w:rPr>
        <w:t xml:space="preserve"> fraction. The distribution of FN1 and VCAN across both fractions likely reflects the presence of both readily soluble and more tightly matrix-associated forms within EVTs.</w:t>
      </w:r>
    </w:p>
    <w:p w14:paraId="0EB5F5A9" w14:textId="77777777" w:rsidR="00A2051F" w:rsidRPr="00D677F7" w:rsidRDefault="00A2051F" w:rsidP="00D677F7">
      <w:pPr>
        <w:spacing w:line="0" w:lineRule="atLeast"/>
        <w:rPr>
          <w:color w:val="000000" w:themeColor="text1"/>
        </w:rPr>
      </w:pPr>
    </w:p>
    <w:p w14:paraId="759DFE47" w14:textId="77777777" w:rsidR="00A2051F" w:rsidRPr="00D677F7" w:rsidRDefault="00A2051F" w:rsidP="00D677F7">
      <w:pPr>
        <w:spacing w:line="0" w:lineRule="atLeast"/>
        <w:rPr>
          <w:color w:val="000000" w:themeColor="text1"/>
        </w:rPr>
      </w:pPr>
      <w:r w:rsidRPr="00D677F7">
        <w:rPr>
          <w:color w:val="000000" w:themeColor="text1"/>
        </w:rPr>
        <w:t xml:space="preserve">[Place </w:t>
      </w:r>
      <w:r w:rsidRPr="00D677F7">
        <w:rPr>
          <w:b/>
          <w:bCs/>
          <w:color w:val="000000" w:themeColor="text1"/>
        </w:rPr>
        <w:t>Figure 3</w:t>
      </w:r>
      <w:r w:rsidRPr="00D677F7">
        <w:rPr>
          <w:color w:val="000000" w:themeColor="text1"/>
        </w:rPr>
        <w:t xml:space="preserve"> here.]</w:t>
      </w:r>
    </w:p>
    <w:p w14:paraId="4930D83D" w14:textId="77777777" w:rsidR="00A2051F" w:rsidRPr="00D677F7" w:rsidRDefault="00A2051F" w:rsidP="00D677F7">
      <w:pPr>
        <w:spacing w:line="0" w:lineRule="atLeast"/>
        <w:rPr>
          <w:color w:val="000000" w:themeColor="text1"/>
        </w:rPr>
      </w:pPr>
    </w:p>
    <w:p w14:paraId="71E46C1B" w14:textId="77777777" w:rsidR="00A2051F" w:rsidRPr="00D677F7" w:rsidRDefault="00A2051F" w:rsidP="00D677F7">
      <w:pPr>
        <w:spacing w:line="0" w:lineRule="atLeast"/>
        <w:rPr>
          <w:color w:val="000000" w:themeColor="text1"/>
        </w:rPr>
      </w:pPr>
      <w:r w:rsidRPr="00D677F7">
        <w:rPr>
          <w:color w:val="000000" w:themeColor="text1"/>
        </w:rPr>
        <w:t xml:space="preserve">In contrast, the abundant ECM component type I collagen (COL1A1/2) was detected exclusively in the </w:t>
      </w:r>
      <w:proofErr w:type="spellStart"/>
      <w:r w:rsidRPr="00D677F7">
        <w:rPr>
          <w:color w:val="000000" w:themeColor="text1"/>
        </w:rPr>
        <w:t>GuHCl</w:t>
      </w:r>
      <w:proofErr w:type="spellEnd"/>
      <w:r w:rsidRPr="00D677F7">
        <w:rPr>
          <w:color w:val="000000" w:themeColor="text1"/>
        </w:rPr>
        <w:t xml:space="preserve"> fraction (</w:t>
      </w:r>
      <w:r w:rsidRPr="00D677F7">
        <w:rPr>
          <w:b/>
          <w:bCs/>
          <w:color w:val="000000" w:themeColor="text1"/>
        </w:rPr>
        <w:t>Figure 3A</w:t>
      </w:r>
      <w:r w:rsidRPr="00D677F7">
        <w:rPr>
          <w:color w:val="000000" w:themeColor="text1"/>
        </w:rPr>
        <w:t xml:space="preserve">). In addition to de novo ECM proteins, remnants of fibrinogen β chain and the fibrin scaffold were also detected exclusively in the </w:t>
      </w:r>
      <w:proofErr w:type="spellStart"/>
      <w:r w:rsidRPr="00D677F7">
        <w:rPr>
          <w:color w:val="000000" w:themeColor="text1"/>
        </w:rPr>
        <w:t>GuHCl</w:t>
      </w:r>
      <w:proofErr w:type="spellEnd"/>
      <w:r w:rsidRPr="00D677F7">
        <w:rPr>
          <w:color w:val="000000" w:themeColor="text1"/>
        </w:rPr>
        <w:t xml:space="preserve"> fraction (</w:t>
      </w:r>
      <w:r w:rsidRPr="00D677F7">
        <w:rPr>
          <w:b/>
          <w:bCs/>
          <w:color w:val="000000" w:themeColor="text1"/>
        </w:rPr>
        <w:t>Figure 3A</w:t>
      </w:r>
      <w:r w:rsidRPr="00D677F7">
        <w:rPr>
          <w:color w:val="000000" w:themeColor="text1"/>
        </w:rPr>
        <w:t xml:space="preserve">). Protein abundance varied among extracts from three representative donors, with fibrinogen β chain/fibrin showing an inverse relationship with collagen and fibronectin abundance. These findings demonstrate that the sequential extraction approach can be used to qualitatively assess differences in de novo ECM production among SMC donors. We previously demonstrated that </w:t>
      </w:r>
      <w:proofErr w:type="gramStart"/>
      <w:r w:rsidRPr="00D677F7">
        <w:rPr>
          <w:color w:val="000000" w:themeColor="text1"/>
        </w:rPr>
        <w:t>deposition</w:t>
      </w:r>
      <w:proofErr w:type="gramEnd"/>
      <w:r w:rsidRPr="00D677F7">
        <w:rPr>
          <w:color w:val="000000" w:themeColor="text1"/>
        </w:rPr>
        <w:t xml:space="preserve"> of space-filling proteoglycans characterizes the early ECM response in EVTs, followed by increased collagen deposition</w:t>
      </w:r>
      <w:r w:rsidRPr="00D677F7">
        <w:rPr>
          <w:color w:val="000000" w:themeColor="text1"/>
          <w:vertAlign w:val="superscript"/>
        </w:rPr>
        <w:t>21</w:t>
      </w:r>
      <w:r w:rsidRPr="00D677F7">
        <w:rPr>
          <w:color w:val="000000" w:themeColor="text1"/>
        </w:rPr>
        <w:t>.</w:t>
      </w:r>
    </w:p>
    <w:p w14:paraId="631440BE" w14:textId="77777777" w:rsidR="00A2051F" w:rsidRPr="00D677F7" w:rsidRDefault="00A2051F" w:rsidP="00D677F7">
      <w:pPr>
        <w:spacing w:line="0" w:lineRule="atLeast"/>
        <w:rPr>
          <w:color w:val="000000" w:themeColor="text1"/>
        </w:rPr>
      </w:pPr>
    </w:p>
    <w:p w14:paraId="3B46D880" w14:textId="6FA67A6B" w:rsidR="00CD360E" w:rsidRDefault="00A2051F" w:rsidP="00D677F7">
      <w:pPr>
        <w:spacing w:line="0" w:lineRule="atLeast"/>
        <w:rPr>
          <w:color w:val="000000" w:themeColor="text1"/>
        </w:rPr>
      </w:pPr>
      <w:r w:rsidRPr="00D677F7">
        <w:rPr>
          <w:color w:val="000000" w:themeColor="text1"/>
        </w:rPr>
        <w:t>In addition to differences in ECM production among SMC donors, variation in contractile marker abundance (ACTA2 and CNN1) and the degree of tissue contraction during culture was also observed (</w:t>
      </w:r>
      <w:r w:rsidRPr="00D677F7">
        <w:rPr>
          <w:b/>
          <w:bCs/>
          <w:color w:val="000000" w:themeColor="text1"/>
        </w:rPr>
        <w:t>Figure 3</w:t>
      </w:r>
      <w:proofErr w:type="gramStart"/>
      <w:r w:rsidRPr="00D677F7">
        <w:rPr>
          <w:b/>
          <w:bCs/>
          <w:color w:val="000000" w:themeColor="text1"/>
        </w:rPr>
        <w:t>A,B</w:t>
      </w:r>
      <w:proofErr w:type="gramEnd"/>
      <w:r w:rsidRPr="00D677F7">
        <w:rPr>
          <w:color w:val="000000" w:themeColor="text1"/>
        </w:rPr>
        <w:t xml:space="preserve">). Donor 3, which exhibited lower COL1A1/2, ACTA2, and CNN1 abundance </w:t>
      </w:r>
      <w:r w:rsidRPr="00D677F7">
        <w:rPr>
          <w:color w:val="000000" w:themeColor="text1"/>
        </w:rPr>
        <w:lastRenderedPageBreak/>
        <w:t>than the other donors, also showed reduced contraction under baseline conditions (</w:t>
      </w:r>
      <w:r w:rsidRPr="00D677F7">
        <w:rPr>
          <w:b/>
          <w:bCs/>
          <w:color w:val="000000" w:themeColor="text1"/>
        </w:rPr>
        <w:t>Figure 3B</w:t>
      </w:r>
      <w:r w:rsidRPr="00D677F7">
        <w:rPr>
          <w:color w:val="000000" w:themeColor="text1"/>
        </w:rPr>
        <w:t>). Upon stimulation with TGF-β1, contraction increased to levels comparable to those observed in the other donors under baseline conditions. These findings illustrate the donor-to-donor variability in matrix production, contractile phenotype, and tissue contraction that may be observed using this method. They also demonstrate the enhanced contraction induced by TGF-β1 treatment, consistent with our previous findings in murine EVTs</w:t>
      </w:r>
      <w:r w:rsidR="00186A78" w:rsidRPr="00D677F7">
        <w:rPr>
          <w:color w:val="000000" w:themeColor="text1"/>
          <w:vertAlign w:val="superscript"/>
        </w:rPr>
        <w:t>21</w:t>
      </w:r>
      <w:r w:rsidRPr="00D677F7">
        <w:rPr>
          <w:color w:val="000000" w:themeColor="text1"/>
        </w:rPr>
        <w:t>. Variability among technical replicates for each primary donor was minimal (</w:t>
      </w:r>
      <w:r w:rsidRPr="00D677F7">
        <w:rPr>
          <w:b/>
          <w:bCs/>
          <w:color w:val="000000" w:themeColor="text1"/>
        </w:rPr>
        <w:t>Figure 3B</w:t>
      </w:r>
      <w:r w:rsidRPr="00D677F7">
        <w:rPr>
          <w:color w:val="000000" w:themeColor="text1"/>
        </w:rPr>
        <w:t>), indicating good reproducibility of the EVT casting protocol.</w:t>
      </w:r>
    </w:p>
    <w:p w14:paraId="4EA4FF99" w14:textId="77777777" w:rsidR="00A8634A" w:rsidRDefault="00A8634A" w:rsidP="00D677F7">
      <w:pPr>
        <w:spacing w:line="0" w:lineRule="atLeast"/>
        <w:rPr>
          <w:color w:val="000000" w:themeColor="text1"/>
        </w:rPr>
      </w:pPr>
    </w:p>
    <w:p w14:paraId="7AA83B9D" w14:textId="776614B5" w:rsidR="00A8634A" w:rsidRPr="00D677F7" w:rsidRDefault="001E2B1A" w:rsidP="001E2B1A">
      <w:pPr>
        <w:spacing w:line="0" w:lineRule="atLeast"/>
        <w:rPr>
          <w:color w:val="000000" w:themeColor="text1"/>
        </w:rPr>
      </w:pPr>
      <w:r w:rsidRPr="001E2B1A">
        <w:rPr>
          <w:color w:val="000000" w:themeColor="text1"/>
        </w:rPr>
        <w:t xml:space="preserve">The mass spectrometry proteomics data generated in this study have been deposited to the </w:t>
      </w:r>
      <w:proofErr w:type="spellStart"/>
      <w:r w:rsidRPr="001E2B1A">
        <w:rPr>
          <w:color w:val="000000" w:themeColor="text1"/>
        </w:rPr>
        <w:t>ProteomeXchange</w:t>
      </w:r>
      <w:proofErr w:type="spellEnd"/>
      <w:r w:rsidRPr="001E2B1A">
        <w:rPr>
          <w:color w:val="000000" w:themeColor="text1"/>
        </w:rPr>
        <w:t xml:space="preserve"> Consortium via the PRIDE partner repository under accession number PXD080642. The complete processed quantitative proteomics dataset, including statistical analyses and core </w:t>
      </w:r>
      <w:proofErr w:type="spellStart"/>
      <w:r w:rsidRPr="001E2B1A">
        <w:rPr>
          <w:color w:val="000000" w:themeColor="text1"/>
        </w:rPr>
        <w:t>matrisome</w:t>
      </w:r>
      <w:proofErr w:type="spellEnd"/>
      <w:r w:rsidRPr="001E2B1A">
        <w:rPr>
          <w:color w:val="000000" w:themeColor="text1"/>
        </w:rPr>
        <w:t xml:space="preserve"> annotations, is provided in </w:t>
      </w:r>
      <w:r w:rsidRPr="001E2B1A">
        <w:rPr>
          <w:b/>
          <w:bCs/>
          <w:color w:val="000000" w:themeColor="text1"/>
        </w:rPr>
        <w:t>Supplementary Table 1</w:t>
      </w:r>
      <w:r w:rsidRPr="001E2B1A">
        <w:rPr>
          <w:color w:val="000000" w:themeColor="text1"/>
        </w:rPr>
        <w:t>.</w:t>
      </w:r>
    </w:p>
    <w:p w14:paraId="72B9149A" w14:textId="77777777" w:rsidR="00CD360E" w:rsidRPr="00D677F7" w:rsidRDefault="00CD360E" w:rsidP="00D677F7">
      <w:pPr>
        <w:spacing w:line="0" w:lineRule="atLeast"/>
        <w:rPr>
          <w:color w:val="000000" w:themeColor="text1"/>
        </w:rPr>
      </w:pPr>
    </w:p>
    <w:p w14:paraId="6D510784" w14:textId="1AFD922D" w:rsidR="006E4797" w:rsidRPr="00D677F7" w:rsidRDefault="00665C01" w:rsidP="00D677F7">
      <w:pPr>
        <w:spacing w:line="0" w:lineRule="atLeast"/>
        <w:rPr>
          <w:color w:val="000000" w:themeColor="text1"/>
        </w:rPr>
      </w:pPr>
      <w:r w:rsidRPr="00D677F7">
        <w:rPr>
          <w:b/>
          <w:color w:val="000000" w:themeColor="text1"/>
        </w:rPr>
        <w:t>FIGURE LEGENDS:</w:t>
      </w:r>
    </w:p>
    <w:p w14:paraId="2FBD3A7A" w14:textId="77777777" w:rsidR="009D0BC0" w:rsidRPr="00D677F7" w:rsidRDefault="009D0BC0" w:rsidP="00D677F7">
      <w:pPr>
        <w:spacing w:line="0" w:lineRule="atLeast"/>
        <w:rPr>
          <w:color w:val="000000" w:themeColor="text1"/>
          <w:lang w:val="en-IN"/>
        </w:rPr>
      </w:pPr>
      <w:r w:rsidRPr="00D677F7">
        <w:rPr>
          <w:b/>
          <w:bCs/>
          <w:color w:val="000000" w:themeColor="text1"/>
          <w:lang w:val="en-IN"/>
        </w:rPr>
        <w:t>Figure 1. Casting and immunofluorescence staining of engineered vascular tissues.</w:t>
      </w:r>
      <w:r w:rsidRPr="00D677F7">
        <w:rPr>
          <w:color w:val="000000" w:themeColor="text1"/>
          <w:lang w:val="en-IN"/>
        </w:rPr>
        <w:t xml:space="preserve"> (</w:t>
      </w:r>
      <w:r w:rsidRPr="00D677F7">
        <w:rPr>
          <w:b/>
          <w:bCs/>
          <w:color w:val="000000" w:themeColor="text1"/>
          <w:lang w:val="en-IN"/>
        </w:rPr>
        <w:t>A</w:t>
      </w:r>
      <w:r w:rsidRPr="00D677F7">
        <w:rPr>
          <w:color w:val="000000" w:themeColor="text1"/>
          <w:lang w:val="en-IN"/>
        </w:rPr>
        <w:t>) Schematic overview of the EVT casting process. (</w:t>
      </w:r>
      <w:r w:rsidRPr="00D677F7">
        <w:rPr>
          <w:b/>
          <w:bCs/>
          <w:color w:val="000000" w:themeColor="text1"/>
          <w:lang w:val="en-IN"/>
        </w:rPr>
        <w:t>B</w:t>
      </w:r>
      <w:r w:rsidRPr="00D677F7">
        <w:rPr>
          <w:color w:val="000000" w:themeColor="text1"/>
          <w:lang w:val="en-IN"/>
        </w:rPr>
        <w:t>) Representative photograph of a rack of EVTs after 1 day of culture. (</w:t>
      </w:r>
      <w:r w:rsidRPr="00D677F7">
        <w:rPr>
          <w:b/>
          <w:bCs/>
          <w:color w:val="000000" w:themeColor="text1"/>
          <w:lang w:val="en-IN"/>
        </w:rPr>
        <w:t>C</w:t>
      </w:r>
      <w:r w:rsidRPr="00D677F7">
        <w:rPr>
          <w:color w:val="000000" w:themeColor="text1"/>
          <w:lang w:val="en-IN"/>
        </w:rPr>
        <w:t>) Representative fluorescence images of human smooth muscle cells within a longitudinal EVT section (10×). Blue = DAPI; red = smooth muscle alpha-actin (ACTA2). The merged image is shown at the bottom. (</w:t>
      </w:r>
      <w:r w:rsidRPr="00D677F7">
        <w:rPr>
          <w:b/>
          <w:bCs/>
          <w:color w:val="000000" w:themeColor="text1"/>
          <w:lang w:val="en-IN"/>
        </w:rPr>
        <w:t>D</w:t>
      </w:r>
      <w:r w:rsidRPr="00D677F7">
        <w:rPr>
          <w:color w:val="000000" w:themeColor="text1"/>
          <w:lang w:val="en-IN"/>
        </w:rPr>
        <w:t>) Representative fluorescence images of human smooth muscle cells and surrounding extracellular matrix within longitudinal and transverse EVT sections (10×). Blue = DAPI; red = smooth muscle alpha-actin (ACTA2); yellow = type I collagen (COL1A1/2); green = fibronectin (FN1). Merged images are shown in the bottom right. Insets (white boxes) show corresponding 40× magnified regions. Scale bars = 10 mm (B) and 200 µm (</w:t>
      </w:r>
      <w:proofErr w:type="gramStart"/>
      <w:r w:rsidRPr="00D677F7">
        <w:rPr>
          <w:color w:val="000000" w:themeColor="text1"/>
          <w:lang w:val="en-IN"/>
        </w:rPr>
        <w:t>C,D</w:t>
      </w:r>
      <w:proofErr w:type="gramEnd"/>
      <w:r w:rsidRPr="00D677F7">
        <w:rPr>
          <w:color w:val="000000" w:themeColor="text1"/>
          <w:lang w:val="en-IN"/>
        </w:rPr>
        <w:t>).</w:t>
      </w:r>
    </w:p>
    <w:p w14:paraId="347A1689" w14:textId="77777777" w:rsidR="00CA1CCE" w:rsidRPr="00D677F7" w:rsidRDefault="00CA1CCE" w:rsidP="00D677F7">
      <w:pPr>
        <w:spacing w:line="0" w:lineRule="atLeast"/>
        <w:rPr>
          <w:color w:val="000000" w:themeColor="text1"/>
        </w:rPr>
      </w:pPr>
    </w:p>
    <w:p w14:paraId="4ABF6454" w14:textId="2C45A980" w:rsidR="00CA1CCE" w:rsidRPr="00D677F7" w:rsidRDefault="00836C82" w:rsidP="00D677F7">
      <w:pPr>
        <w:spacing w:line="0" w:lineRule="atLeast"/>
        <w:rPr>
          <w:color w:val="000000" w:themeColor="text1"/>
        </w:rPr>
      </w:pPr>
      <w:r w:rsidRPr="00D677F7">
        <w:rPr>
          <w:b/>
          <w:bCs/>
          <w:color w:val="000000" w:themeColor="text1"/>
        </w:rPr>
        <w:t>Figure 2. Proteomic profiling of engineered vascular tissues.</w:t>
      </w:r>
      <w:r w:rsidRPr="00D677F7">
        <w:rPr>
          <w:color w:val="000000" w:themeColor="text1"/>
        </w:rPr>
        <w:t xml:space="preserve"> (</w:t>
      </w:r>
      <w:r w:rsidRPr="00D677F7">
        <w:rPr>
          <w:b/>
          <w:bCs/>
          <w:color w:val="000000" w:themeColor="text1"/>
        </w:rPr>
        <w:t>A</w:t>
      </w:r>
      <w:r w:rsidRPr="00D677F7">
        <w:rPr>
          <w:color w:val="000000" w:themeColor="text1"/>
        </w:rPr>
        <w:t>) Schematic overview of the sequential protein extraction workflow used to isolate tissue lysis buffer (TLB) and guanidine hydrochloride (</w:t>
      </w:r>
      <w:proofErr w:type="spellStart"/>
      <w:r w:rsidRPr="00D677F7">
        <w:rPr>
          <w:color w:val="000000" w:themeColor="text1"/>
        </w:rPr>
        <w:t>GuHCl</w:t>
      </w:r>
      <w:proofErr w:type="spellEnd"/>
      <w:r w:rsidRPr="00D677F7">
        <w:rPr>
          <w:color w:val="000000" w:themeColor="text1"/>
        </w:rPr>
        <w:t>) fractions from EVTs, followed by protein processing and liquid chromatography–tandem mass spectrometry (LC-MS/MS). (</w:t>
      </w:r>
      <w:r w:rsidRPr="00D677F7">
        <w:rPr>
          <w:b/>
          <w:bCs/>
          <w:color w:val="000000" w:themeColor="text1"/>
        </w:rPr>
        <w:t>B</w:t>
      </w:r>
      <w:r w:rsidRPr="00D677F7">
        <w:rPr>
          <w:color w:val="000000" w:themeColor="text1"/>
        </w:rPr>
        <w:t xml:space="preserve">) Circular heatmap showing Log₂ fold changes for core </w:t>
      </w:r>
      <w:proofErr w:type="spellStart"/>
      <w:r w:rsidRPr="00D677F7">
        <w:rPr>
          <w:color w:val="000000" w:themeColor="text1"/>
        </w:rPr>
        <w:t>matrisome</w:t>
      </w:r>
      <w:proofErr w:type="spellEnd"/>
      <w:r w:rsidRPr="00D677F7">
        <w:rPr>
          <w:color w:val="000000" w:themeColor="text1"/>
        </w:rPr>
        <w:t xml:space="preserve"> proteins comparing paired </w:t>
      </w:r>
      <w:proofErr w:type="spellStart"/>
      <w:r w:rsidRPr="00D677F7">
        <w:rPr>
          <w:color w:val="000000" w:themeColor="text1"/>
        </w:rPr>
        <w:t>GuHCl</w:t>
      </w:r>
      <w:proofErr w:type="spellEnd"/>
      <w:r w:rsidRPr="00D677F7">
        <w:rPr>
          <w:color w:val="000000" w:themeColor="text1"/>
        </w:rPr>
        <w:t xml:space="preserve"> and TLB fractions from human aortic smooth muscle cell donors (n = 7). Positive values (red) indicate enrichment in the </w:t>
      </w:r>
      <w:proofErr w:type="spellStart"/>
      <w:r w:rsidRPr="00D677F7">
        <w:rPr>
          <w:color w:val="000000" w:themeColor="text1"/>
        </w:rPr>
        <w:t>GuHCl</w:t>
      </w:r>
      <w:proofErr w:type="spellEnd"/>
      <w:r w:rsidRPr="00D677F7">
        <w:rPr>
          <w:color w:val="000000" w:themeColor="text1"/>
        </w:rPr>
        <w:t xml:space="preserve"> fraction, whereas negative values (blue) indicate enrichment in the TLB fraction. Only proteins belonging to the NABA Core </w:t>
      </w:r>
      <w:proofErr w:type="spellStart"/>
      <w:r w:rsidRPr="00D677F7">
        <w:rPr>
          <w:color w:val="000000" w:themeColor="text1"/>
        </w:rPr>
        <w:t>Matrisome</w:t>
      </w:r>
      <w:proofErr w:type="spellEnd"/>
      <w:r w:rsidRPr="00D677F7">
        <w:rPr>
          <w:color w:val="000000" w:themeColor="text1"/>
        </w:rPr>
        <w:t xml:space="preserve"> gene set with an adjusted </w:t>
      </w:r>
      <w:r w:rsidRPr="00D677F7">
        <w:rPr>
          <w:i/>
          <w:iCs/>
          <w:color w:val="000000" w:themeColor="text1"/>
        </w:rPr>
        <w:t>P</w:t>
      </w:r>
      <w:r w:rsidRPr="00D677F7">
        <w:rPr>
          <w:color w:val="000000" w:themeColor="text1"/>
        </w:rPr>
        <w:t xml:space="preserve"> &lt; 0.05 (</w:t>
      </w:r>
      <w:proofErr w:type="spellStart"/>
      <w:r w:rsidRPr="00D677F7">
        <w:rPr>
          <w:color w:val="000000" w:themeColor="text1"/>
        </w:rPr>
        <w:t>limma</w:t>
      </w:r>
      <w:proofErr w:type="spellEnd"/>
      <w:r w:rsidRPr="00D677F7">
        <w:rPr>
          <w:color w:val="000000" w:themeColor="text1"/>
        </w:rPr>
        <w:t xml:space="preserve"> analysis) are shown. Collagen family members (COL) are highlighted in bold. (</w:t>
      </w:r>
      <w:r w:rsidRPr="00D677F7">
        <w:rPr>
          <w:b/>
          <w:bCs/>
          <w:color w:val="000000" w:themeColor="text1"/>
        </w:rPr>
        <w:t>C</w:t>
      </w:r>
      <w:r w:rsidRPr="00D677F7">
        <w:rPr>
          <w:color w:val="000000" w:themeColor="text1"/>
        </w:rPr>
        <w:t xml:space="preserve">) Comparison of average Log₂ abundance for fibrillar (red) and non-fibrillar (grey) collagens in the </w:t>
      </w:r>
      <w:proofErr w:type="spellStart"/>
      <w:r w:rsidRPr="00D677F7">
        <w:rPr>
          <w:color w:val="000000" w:themeColor="text1"/>
        </w:rPr>
        <w:t>GuHCl</w:t>
      </w:r>
      <w:proofErr w:type="spellEnd"/>
      <w:r w:rsidRPr="00D677F7">
        <w:rPr>
          <w:color w:val="000000" w:themeColor="text1"/>
        </w:rPr>
        <w:t xml:space="preserve"> fraction following database searches performed with or without hydroxyproline and hydroxylysine variable modifications (n = 7 donors).</w:t>
      </w:r>
    </w:p>
    <w:p w14:paraId="2B78CD33" w14:textId="77777777" w:rsidR="00CA1CCE" w:rsidRPr="00D677F7" w:rsidRDefault="00CA1CCE" w:rsidP="00D677F7">
      <w:pPr>
        <w:spacing w:line="0" w:lineRule="atLeast"/>
        <w:rPr>
          <w:b/>
          <w:bCs/>
          <w:color w:val="000000" w:themeColor="text1"/>
        </w:rPr>
      </w:pPr>
    </w:p>
    <w:p w14:paraId="43CF772C" w14:textId="0B4F4305" w:rsidR="00E5759A" w:rsidRDefault="00836C82" w:rsidP="00D677F7">
      <w:pPr>
        <w:spacing w:line="0" w:lineRule="atLeast"/>
        <w:rPr>
          <w:color w:val="000000" w:themeColor="text1"/>
        </w:rPr>
      </w:pPr>
      <w:r w:rsidRPr="00D677F7">
        <w:rPr>
          <w:b/>
          <w:bCs/>
          <w:color w:val="000000" w:themeColor="text1"/>
        </w:rPr>
        <w:t>Figure 3. Analysis of engineered vascular tissue contraction and smooth muscle marker expression.</w:t>
      </w:r>
      <w:r w:rsidRPr="00D677F7">
        <w:rPr>
          <w:color w:val="000000" w:themeColor="text1"/>
        </w:rPr>
        <w:t xml:space="preserve"> (</w:t>
      </w:r>
      <w:r w:rsidRPr="00D677F7">
        <w:rPr>
          <w:b/>
          <w:bCs/>
          <w:color w:val="000000" w:themeColor="text1"/>
        </w:rPr>
        <w:t>A</w:t>
      </w:r>
      <w:r w:rsidRPr="00D677F7">
        <w:rPr>
          <w:color w:val="000000" w:themeColor="text1"/>
        </w:rPr>
        <w:t xml:space="preserve">) Left: Representative Western blot analysis of </w:t>
      </w:r>
      <w:proofErr w:type="spellStart"/>
      <w:r w:rsidRPr="00D677F7">
        <w:rPr>
          <w:color w:val="000000" w:themeColor="text1"/>
        </w:rPr>
        <w:t>transgelin</w:t>
      </w:r>
      <w:proofErr w:type="spellEnd"/>
      <w:r w:rsidRPr="00D677F7">
        <w:rPr>
          <w:color w:val="000000" w:themeColor="text1"/>
        </w:rPr>
        <w:t xml:space="preserve"> (TAGLN), type I collagen (COL1A1/2), fibronectin (FN1), </w:t>
      </w:r>
      <w:proofErr w:type="spellStart"/>
      <w:r w:rsidRPr="00D677F7">
        <w:rPr>
          <w:color w:val="000000" w:themeColor="text1"/>
        </w:rPr>
        <w:t>versican</w:t>
      </w:r>
      <w:proofErr w:type="spellEnd"/>
      <w:r w:rsidRPr="00D677F7">
        <w:rPr>
          <w:color w:val="000000" w:themeColor="text1"/>
        </w:rPr>
        <w:t xml:space="preserve"> (VCAN), and fibrinogen β chain/fibrin in paired </w:t>
      </w:r>
      <w:proofErr w:type="spellStart"/>
      <w:r w:rsidRPr="00D677F7">
        <w:rPr>
          <w:color w:val="000000" w:themeColor="text1"/>
        </w:rPr>
        <w:t>GuHCl</w:t>
      </w:r>
      <w:proofErr w:type="spellEnd"/>
      <w:r w:rsidRPr="00D677F7">
        <w:rPr>
          <w:color w:val="000000" w:themeColor="text1"/>
        </w:rPr>
        <w:t xml:space="preserve"> and TLB fractions from three representative human aortic smooth muscle cell donors (Donors 1–3). Ponceau S staining is shown as </w:t>
      </w:r>
      <w:proofErr w:type="gramStart"/>
      <w:r w:rsidRPr="00D677F7">
        <w:rPr>
          <w:color w:val="000000" w:themeColor="text1"/>
        </w:rPr>
        <w:t>a loading</w:t>
      </w:r>
      <w:proofErr w:type="gramEnd"/>
      <w:r w:rsidRPr="00D677F7">
        <w:rPr>
          <w:color w:val="000000" w:themeColor="text1"/>
        </w:rPr>
        <w:t xml:space="preserve"> control. Right: Western blot analysis of the </w:t>
      </w:r>
      <w:r w:rsidRPr="00D677F7">
        <w:rPr>
          <w:color w:val="000000" w:themeColor="text1"/>
        </w:rPr>
        <w:lastRenderedPageBreak/>
        <w:t>corresponding TLB fractions probed for vimentin (VIM) and the smooth muscle cell markers TAGLN, smooth muscle alpha-actin (ACTA2), and calponin-1 (CNN1). GAPDH and Ponceau S staining are shown as loading controls. (</w:t>
      </w:r>
      <w:r w:rsidRPr="00D677F7">
        <w:rPr>
          <w:b/>
          <w:bCs/>
          <w:color w:val="000000" w:themeColor="text1"/>
        </w:rPr>
        <w:t>B</w:t>
      </w:r>
      <w:r w:rsidRPr="00D677F7">
        <w:rPr>
          <w:color w:val="000000" w:themeColor="text1"/>
        </w:rPr>
        <w:t xml:space="preserve">) Quantification of EVT contraction after 24, 48, and 72 h of culture under baseline (Vehicle, black) conditions or in the presence of TGF-β1 (20 ng/mL, pink). EVT length was measured from darkfield images using ImageJ. Data are shown for three representative human aortic smooth muscle cell donors corresponding to panel A (Donors 1–3). Individual data points represent technical replicates, and bars indicate the mean ± standard error of the mean (SEM). Representative darkfield images acquired after 48 h of culture using a 4× objective </w:t>
      </w:r>
      <w:proofErr w:type="gramStart"/>
      <w:r w:rsidRPr="00D677F7">
        <w:rPr>
          <w:color w:val="000000" w:themeColor="text1"/>
        </w:rPr>
        <w:t>are</w:t>
      </w:r>
      <w:proofErr w:type="gramEnd"/>
      <w:r w:rsidRPr="00D677F7">
        <w:rPr>
          <w:color w:val="000000" w:themeColor="text1"/>
        </w:rPr>
        <w:t xml:space="preserve"> shown below each graph. Scale bar = 500 µm.</w:t>
      </w:r>
    </w:p>
    <w:p w14:paraId="4DA33FE0" w14:textId="77777777" w:rsidR="00990BF3" w:rsidRDefault="00990BF3" w:rsidP="00D677F7">
      <w:pPr>
        <w:spacing w:line="0" w:lineRule="atLeast"/>
        <w:rPr>
          <w:color w:val="000000" w:themeColor="text1"/>
        </w:rPr>
      </w:pPr>
    </w:p>
    <w:p w14:paraId="11F47DB3" w14:textId="1B81609D" w:rsidR="00990BF3" w:rsidRPr="00990BF3" w:rsidRDefault="00990BF3" w:rsidP="00D677F7">
      <w:pPr>
        <w:spacing w:line="0" w:lineRule="atLeast"/>
        <w:rPr>
          <w:b/>
          <w:bCs/>
          <w:color w:val="000000" w:themeColor="text1"/>
        </w:rPr>
      </w:pPr>
      <w:r w:rsidRPr="00990BF3">
        <w:rPr>
          <w:b/>
          <w:bCs/>
          <w:color w:val="000000" w:themeColor="text1"/>
        </w:rPr>
        <w:t>SUPPLEMENTARY FILE:</w:t>
      </w:r>
    </w:p>
    <w:p w14:paraId="02B1E4D4" w14:textId="560AB9A4" w:rsidR="00990BF3" w:rsidRPr="00990BF3" w:rsidRDefault="00990BF3" w:rsidP="00D677F7">
      <w:pPr>
        <w:spacing w:line="0" w:lineRule="atLeast"/>
        <w:rPr>
          <w:b/>
          <w:bCs/>
          <w:color w:val="000000" w:themeColor="text1"/>
          <w:lang w:val="en-IN"/>
        </w:rPr>
      </w:pPr>
      <w:r w:rsidRPr="00990BF3">
        <w:rPr>
          <w:b/>
          <w:bCs/>
          <w:color w:val="000000" w:themeColor="text1"/>
          <w:lang w:val="en-IN"/>
        </w:rPr>
        <w:t>Supplementary Table 1.</w:t>
      </w:r>
      <w:r>
        <w:rPr>
          <w:b/>
          <w:bCs/>
          <w:color w:val="000000" w:themeColor="text1"/>
          <w:lang w:val="en-IN"/>
        </w:rPr>
        <w:t xml:space="preserve"> </w:t>
      </w:r>
      <w:r w:rsidRPr="00990BF3">
        <w:rPr>
          <w:b/>
          <w:bCs/>
          <w:color w:val="000000" w:themeColor="text1"/>
          <w:lang w:val="en-IN"/>
        </w:rPr>
        <w:t>Complete quantitative proteomic analysis of engineered vascular tissues (EVTs) following sequential extraction.</w:t>
      </w:r>
      <w:r w:rsidRPr="00990BF3">
        <w:rPr>
          <w:color w:val="000000" w:themeColor="text1"/>
          <w:lang w:val="en-IN"/>
        </w:rPr>
        <w:t xml:space="preserve"> Differential protein abundance between the guanidine hydrochloride (</w:t>
      </w:r>
      <w:proofErr w:type="spellStart"/>
      <w:r w:rsidRPr="00990BF3">
        <w:rPr>
          <w:color w:val="000000" w:themeColor="text1"/>
          <w:lang w:val="en-IN"/>
        </w:rPr>
        <w:t>GuHCl</w:t>
      </w:r>
      <w:proofErr w:type="spellEnd"/>
      <w:r w:rsidRPr="00990BF3">
        <w:rPr>
          <w:color w:val="000000" w:themeColor="text1"/>
          <w:lang w:val="en-IN"/>
        </w:rPr>
        <w:t xml:space="preserve">) and </w:t>
      </w:r>
      <w:r w:rsidR="00F57A41">
        <w:rPr>
          <w:color w:val="000000" w:themeColor="text1"/>
          <w:lang w:val="en-IN"/>
        </w:rPr>
        <w:t>t</w:t>
      </w:r>
      <w:r w:rsidR="00186A78">
        <w:rPr>
          <w:color w:val="000000" w:themeColor="text1"/>
          <w:lang w:val="en-IN"/>
        </w:rPr>
        <w:t xml:space="preserve">issue </w:t>
      </w:r>
      <w:r w:rsidRPr="00990BF3">
        <w:rPr>
          <w:color w:val="000000" w:themeColor="text1"/>
          <w:lang w:val="en-IN"/>
        </w:rPr>
        <w:t>lysis buffer (TLB) fractions was determined by liquid chromatography–tandem mass spectrometry with data-independent acquisition. The table includes gene names, log₂ fold changes (</w:t>
      </w:r>
      <w:proofErr w:type="spellStart"/>
      <w:r w:rsidRPr="00990BF3">
        <w:rPr>
          <w:color w:val="000000" w:themeColor="text1"/>
          <w:lang w:val="en-IN"/>
        </w:rPr>
        <w:t>GuHCl</w:t>
      </w:r>
      <w:proofErr w:type="spellEnd"/>
      <w:r w:rsidRPr="00990BF3">
        <w:rPr>
          <w:color w:val="000000" w:themeColor="text1"/>
          <w:lang w:val="en-IN"/>
        </w:rPr>
        <w:t xml:space="preserve"> vs. TLB), 95% confidence intervals, mean protein abundance, moderated </w:t>
      </w:r>
      <w:r w:rsidRPr="00990BF3">
        <w:rPr>
          <w:i/>
          <w:iCs/>
          <w:color w:val="000000" w:themeColor="text1"/>
          <w:lang w:val="en-IN"/>
        </w:rPr>
        <w:t>t</w:t>
      </w:r>
      <w:r w:rsidRPr="00990BF3">
        <w:rPr>
          <w:color w:val="000000" w:themeColor="text1"/>
          <w:lang w:val="en-IN"/>
        </w:rPr>
        <w:t xml:space="preserve">-statistics, </w:t>
      </w:r>
      <w:r w:rsidRPr="00990BF3">
        <w:rPr>
          <w:i/>
          <w:iCs/>
          <w:color w:val="000000" w:themeColor="text1"/>
          <w:lang w:val="en-IN"/>
        </w:rPr>
        <w:t>P</w:t>
      </w:r>
      <w:r w:rsidRPr="00990BF3">
        <w:rPr>
          <w:color w:val="000000" w:themeColor="text1"/>
          <w:lang w:val="en-IN"/>
        </w:rPr>
        <w:t xml:space="preserve">-values, false discovery rate (FDR)-adjusted </w:t>
      </w:r>
      <w:r w:rsidRPr="00990BF3">
        <w:rPr>
          <w:i/>
          <w:iCs/>
          <w:color w:val="000000" w:themeColor="text1"/>
          <w:lang w:val="en-IN"/>
        </w:rPr>
        <w:t>P</w:t>
      </w:r>
      <w:r w:rsidRPr="00990BF3">
        <w:rPr>
          <w:color w:val="000000" w:themeColor="text1"/>
          <w:lang w:val="en-IN"/>
        </w:rPr>
        <w:t>-values, B statistics, –log₁₀(</w:t>
      </w:r>
      <w:r w:rsidRPr="00990BF3">
        <w:rPr>
          <w:i/>
          <w:iCs/>
          <w:color w:val="000000" w:themeColor="text1"/>
          <w:lang w:val="en-IN"/>
        </w:rPr>
        <w:t>P</w:t>
      </w:r>
      <w:r w:rsidRPr="00990BF3">
        <w:rPr>
          <w:color w:val="000000" w:themeColor="text1"/>
          <w:lang w:val="en-IN"/>
        </w:rPr>
        <w:t xml:space="preserve">) values, –log₁₀(FDR) values, and core </w:t>
      </w:r>
      <w:proofErr w:type="spellStart"/>
      <w:r w:rsidRPr="00990BF3">
        <w:rPr>
          <w:color w:val="000000" w:themeColor="text1"/>
          <w:lang w:val="en-IN"/>
        </w:rPr>
        <w:t>matrisome</w:t>
      </w:r>
      <w:proofErr w:type="spellEnd"/>
      <w:r w:rsidRPr="00990BF3">
        <w:rPr>
          <w:color w:val="000000" w:themeColor="text1"/>
          <w:lang w:val="en-IN"/>
        </w:rPr>
        <w:t xml:space="preserve"> annotations.</w:t>
      </w:r>
    </w:p>
    <w:p w14:paraId="32EAFD7D" w14:textId="77777777" w:rsidR="006E4797" w:rsidRPr="00D677F7" w:rsidRDefault="006E4797" w:rsidP="00D677F7">
      <w:pPr>
        <w:spacing w:line="0" w:lineRule="atLeast"/>
        <w:rPr>
          <w:color w:val="000000" w:themeColor="text1"/>
        </w:rPr>
      </w:pPr>
    </w:p>
    <w:p w14:paraId="7C0B6465" w14:textId="007FE508" w:rsidR="006E4797" w:rsidRPr="00D677F7" w:rsidRDefault="00665C01" w:rsidP="00D677F7">
      <w:pPr>
        <w:spacing w:line="0" w:lineRule="atLeast"/>
        <w:rPr>
          <w:color w:val="000000" w:themeColor="text1"/>
        </w:rPr>
      </w:pPr>
      <w:r w:rsidRPr="00D677F7">
        <w:rPr>
          <w:b/>
          <w:color w:val="000000" w:themeColor="text1"/>
        </w:rPr>
        <w:t>DISCUSSION:</w:t>
      </w:r>
    </w:p>
    <w:p w14:paraId="656EC6C1" w14:textId="3FA45DE1" w:rsidR="00790EBB" w:rsidRPr="00D677F7" w:rsidRDefault="00790EBB" w:rsidP="00D677F7">
      <w:pPr>
        <w:spacing w:line="0" w:lineRule="atLeast"/>
        <w:rPr>
          <w:color w:val="000000" w:themeColor="text1"/>
        </w:rPr>
      </w:pPr>
      <w:r w:rsidRPr="00D677F7">
        <w:rPr>
          <w:color w:val="000000" w:themeColor="text1"/>
        </w:rPr>
        <w:t>This protocol describes the generation of EVTs</w:t>
      </w:r>
      <w:r w:rsidRPr="00D677F7">
        <w:rPr>
          <w:color w:val="000000" w:themeColor="text1"/>
          <w:vertAlign w:val="superscript"/>
        </w:rPr>
        <w:t>21</w:t>
      </w:r>
      <w:r w:rsidRPr="00D677F7">
        <w:rPr>
          <w:color w:val="000000" w:themeColor="text1"/>
        </w:rPr>
        <w:t xml:space="preserve"> adapted from previously published EHTs</w:t>
      </w:r>
      <w:r w:rsidRPr="00D677F7">
        <w:rPr>
          <w:color w:val="000000" w:themeColor="text1"/>
          <w:vertAlign w:val="superscript"/>
        </w:rPr>
        <w:t>17</w:t>
      </w:r>
      <w:r w:rsidRPr="00D677F7">
        <w:rPr>
          <w:color w:val="000000" w:themeColor="text1"/>
        </w:rPr>
        <w:t>. Within EVTs, primary human aortic SMCs remain viable and produce a diverse, collagen-rich ECM. Following quality control assessment of apoptotic cell death, these tissues can be processed efficiently for detailed analysis of de novo ECM production using mass spectrometry-based proteomics. Together, these methods establish EVTs as a practical platform for investigating cell–ECM interactions and ECM remodeling in vascular biology.</w:t>
      </w:r>
    </w:p>
    <w:p w14:paraId="65CBC196" w14:textId="77777777" w:rsidR="00790EBB" w:rsidRPr="00D677F7" w:rsidRDefault="00790EBB" w:rsidP="00D677F7">
      <w:pPr>
        <w:spacing w:line="0" w:lineRule="atLeast"/>
        <w:rPr>
          <w:color w:val="000000" w:themeColor="text1"/>
        </w:rPr>
      </w:pPr>
    </w:p>
    <w:p w14:paraId="54CE91C6" w14:textId="77777777" w:rsidR="00790EBB" w:rsidRPr="00D677F7" w:rsidRDefault="00790EBB" w:rsidP="00D677F7">
      <w:pPr>
        <w:spacing w:line="0" w:lineRule="atLeast"/>
        <w:rPr>
          <w:color w:val="000000" w:themeColor="text1"/>
        </w:rPr>
      </w:pPr>
      <w:r w:rsidRPr="00D677F7">
        <w:rPr>
          <w:color w:val="000000" w:themeColor="text1"/>
        </w:rPr>
        <w:t>Our model differs from the original EHT protocol by using human rather than bovine fibrinogen, thereby reducing reliance on animal-derived reagents. Notably, the human fibrinogen preparation did not dissolve at the previously reported concentration of 200 mg/mL</w:t>
      </w:r>
      <w:r w:rsidRPr="00D677F7">
        <w:rPr>
          <w:color w:val="000000" w:themeColor="text1"/>
          <w:vertAlign w:val="superscript"/>
        </w:rPr>
        <w:t>17</w:t>
      </w:r>
      <w:r w:rsidRPr="00D677F7">
        <w:rPr>
          <w:color w:val="000000" w:themeColor="text1"/>
        </w:rPr>
        <w:t xml:space="preserve">. Therefore, the fibrinogen concentration was reduced to 100 mg/mL while the reconstitution volume was doubled. To compensate for the resulting dilution of culture medium components, complete 3× DMEM was incorporated into the EVT master mix. </w:t>
      </w:r>
    </w:p>
    <w:p w14:paraId="13BB438E" w14:textId="77777777" w:rsidR="00790EBB" w:rsidRPr="00D677F7" w:rsidRDefault="00790EBB" w:rsidP="00D677F7">
      <w:pPr>
        <w:spacing w:line="0" w:lineRule="atLeast"/>
        <w:rPr>
          <w:color w:val="000000" w:themeColor="text1"/>
        </w:rPr>
      </w:pPr>
    </w:p>
    <w:p w14:paraId="121B6446" w14:textId="77777777" w:rsidR="00790EBB" w:rsidRPr="00D677F7" w:rsidRDefault="00790EBB" w:rsidP="00D677F7">
      <w:pPr>
        <w:spacing w:line="0" w:lineRule="atLeast"/>
        <w:rPr>
          <w:color w:val="000000" w:themeColor="text1"/>
        </w:rPr>
      </w:pPr>
      <w:r w:rsidRPr="00D677F7">
        <w:rPr>
          <w:color w:val="000000" w:themeColor="text1"/>
        </w:rPr>
        <w:t>In our experience, a fibrinogen concentration of 100 mg/mL is substantially easier to handle; however, several steps of the protocol are critical for successful EVT generation. When combining the EVT master mix with thrombin, the suspension should be mixed only twice because excessive mixing may result in premature fibrin polymerization and clot formation within the pipette tip. Rapid handling and the use of a fresh pipette tip for each EVT are therefore recommended. Following casting, the incubation period after addition of culture medium is another critical step because it facilitates release of the suspended EVTs from the agarose molds. Omitting this incubation frequently results in tissue detachment from the PDMS posts because of friction between the EVT and the agarose mold.</w:t>
      </w:r>
    </w:p>
    <w:p w14:paraId="3FE2820F" w14:textId="77777777" w:rsidR="00790EBB" w:rsidRPr="00D677F7" w:rsidRDefault="00790EBB" w:rsidP="00D677F7">
      <w:pPr>
        <w:spacing w:line="0" w:lineRule="atLeast"/>
        <w:rPr>
          <w:color w:val="000000" w:themeColor="text1"/>
        </w:rPr>
      </w:pPr>
    </w:p>
    <w:p w14:paraId="6FA44EDD" w14:textId="7C913C15" w:rsidR="00790EBB" w:rsidRPr="00D677F7" w:rsidRDefault="00790EBB" w:rsidP="00D677F7">
      <w:pPr>
        <w:spacing w:line="0" w:lineRule="atLeast"/>
        <w:rPr>
          <w:color w:val="000000" w:themeColor="text1"/>
        </w:rPr>
      </w:pPr>
      <w:r w:rsidRPr="00D677F7">
        <w:rPr>
          <w:color w:val="000000" w:themeColor="text1"/>
        </w:rPr>
        <w:lastRenderedPageBreak/>
        <w:t>We routinely prepare EVTs using 550,000 primary human aortic SMCs per construct and have found this cell number suitable for capturing donor-dependent differences in ECM production and tissue contraction. However, optimization may be required when using other primary SMC populations or iPSC-derived SMCs. In the present study, EVTs cultured for 3 days consistently contained fewer than 10% TUNEL-positive cells, supporting the use of this culture period for downstream analyses while maintaining tissue viability.</w:t>
      </w:r>
    </w:p>
    <w:p w14:paraId="0D727730" w14:textId="77777777" w:rsidR="00790EBB" w:rsidRPr="00D677F7" w:rsidRDefault="00790EBB" w:rsidP="00D677F7">
      <w:pPr>
        <w:spacing w:line="0" w:lineRule="atLeast"/>
        <w:rPr>
          <w:color w:val="000000" w:themeColor="text1"/>
        </w:rPr>
      </w:pPr>
    </w:p>
    <w:p w14:paraId="7B532C7F" w14:textId="77777777" w:rsidR="00790EBB" w:rsidRPr="00D677F7" w:rsidRDefault="00790EBB" w:rsidP="00D677F7">
      <w:pPr>
        <w:spacing w:line="0" w:lineRule="atLeast"/>
        <w:rPr>
          <w:color w:val="000000" w:themeColor="text1"/>
        </w:rPr>
      </w:pPr>
      <w:r w:rsidRPr="00D677F7">
        <w:rPr>
          <w:color w:val="000000" w:themeColor="text1"/>
        </w:rPr>
        <w:t>A major advantage of this method is that it combines a relatively simple and scalable three-dimensional culture system with downstream histological, biochemical, and proteomic analyses. Unlike more technically demanding tissue-engineering approaches, EVTs can be generated without specialized fabrication equipment while still supporting de novo ECM deposition and tissue contraction. During proteomic analysis, inclusion of both human and bovine protein databases enabled discrimination of human ECM proteins from bovine reagent-derived proteins, whereas retained human fibrinogen chains were interpreted as scaffold-derived components rather than newly synthesized ECM. These considerations are important when interpreting ECM composition in fibrin-based engineered tissues.</w:t>
      </w:r>
    </w:p>
    <w:p w14:paraId="40DF0FF4" w14:textId="77777777" w:rsidR="00790EBB" w:rsidRPr="00D677F7" w:rsidRDefault="00790EBB" w:rsidP="00D677F7">
      <w:pPr>
        <w:spacing w:line="0" w:lineRule="atLeast"/>
        <w:rPr>
          <w:color w:val="000000" w:themeColor="text1"/>
        </w:rPr>
      </w:pPr>
    </w:p>
    <w:p w14:paraId="0D08CA4D" w14:textId="4873DB62" w:rsidR="00EA2D99" w:rsidRPr="00D677F7" w:rsidRDefault="00790EBB" w:rsidP="00D677F7">
      <w:pPr>
        <w:spacing w:line="0" w:lineRule="atLeast"/>
        <w:rPr>
          <w:color w:val="000000" w:themeColor="text1"/>
          <w:lang w:val="en-IN"/>
        </w:rPr>
      </w:pPr>
      <w:r w:rsidRPr="00D677F7">
        <w:rPr>
          <w:color w:val="000000" w:themeColor="text1"/>
        </w:rPr>
        <w:t>Overall, EVTs provide a practical platform for studying SMC behavior, ECM production, and donor-dependent variability in vascular tissue remodeling. Potential applications include mechanistic studies of vascular disease, investigation of ECM-regulatory pathways, evaluation of patient- or donor-specific phenotypes, and assessment of therapeutic interventions that influence vascular ECM composition and organization.</w:t>
      </w:r>
    </w:p>
    <w:p w14:paraId="0BEB38EC" w14:textId="77777777" w:rsidR="006E4797" w:rsidRPr="00D677F7" w:rsidRDefault="006E4797" w:rsidP="00D677F7">
      <w:pPr>
        <w:spacing w:line="0" w:lineRule="atLeast"/>
        <w:rPr>
          <w:color w:val="000000" w:themeColor="text1"/>
        </w:rPr>
      </w:pPr>
    </w:p>
    <w:p w14:paraId="59F37CC4" w14:textId="0D8EBBA4" w:rsidR="006E4797" w:rsidRPr="00D677F7" w:rsidRDefault="00665C01" w:rsidP="00D677F7">
      <w:pPr>
        <w:pBdr>
          <w:top w:val="nil"/>
          <w:left w:val="nil"/>
          <w:bottom w:val="nil"/>
          <w:right w:val="nil"/>
          <w:between w:val="nil"/>
        </w:pBdr>
        <w:spacing w:line="0" w:lineRule="atLeast"/>
        <w:rPr>
          <w:b/>
          <w:color w:val="000000" w:themeColor="text1"/>
        </w:rPr>
      </w:pPr>
      <w:r w:rsidRPr="00D677F7">
        <w:rPr>
          <w:b/>
          <w:color w:val="000000" w:themeColor="text1"/>
        </w:rPr>
        <w:t>ACKNOWLEDGMENTS:</w:t>
      </w:r>
    </w:p>
    <w:p w14:paraId="7BCB82A8" w14:textId="77777777" w:rsidR="003B4DA6" w:rsidRPr="00D677F7" w:rsidRDefault="00665C01" w:rsidP="00D677F7">
      <w:pPr>
        <w:spacing w:line="0" w:lineRule="atLeast"/>
        <w:rPr>
          <w:color w:val="000000" w:themeColor="text1"/>
          <w:lang w:val="en-IN"/>
        </w:rPr>
      </w:pPr>
      <w:r w:rsidRPr="00D677F7">
        <w:rPr>
          <w:color w:val="000000" w:themeColor="text1"/>
          <w:lang w:val="en-IN"/>
        </w:rPr>
        <w:t xml:space="preserve">B.A.S.M. is funded by a BHF–NC3Rs Joint PhD Studentship Award (NC/X001660/1). M.M. is a British Heart Foundation (BHF) Chair Holder and is supported by a BHF Programme Grant (CH/16/3/32406; RG/F/21/110053). M.M. is also supported by the Excellence Initiative </w:t>
      </w:r>
      <w:proofErr w:type="spellStart"/>
      <w:r w:rsidRPr="00D677F7">
        <w:rPr>
          <w:color w:val="000000" w:themeColor="text1"/>
          <w:lang w:val="en-IN"/>
        </w:rPr>
        <w:t>VASCage</w:t>
      </w:r>
      <w:proofErr w:type="spellEnd"/>
      <w:r w:rsidRPr="00D677F7">
        <w:rPr>
          <w:color w:val="000000" w:themeColor="text1"/>
          <w:lang w:val="en-IN"/>
        </w:rPr>
        <w:t xml:space="preserve"> (Centre for Promoting Vascular Health in the Ageing Community; project number 868624) of the Austrian Research Promotion Agency (FFG) through the COMET Programme (Competence </w:t>
      </w:r>
      <w:proofErr w:type="spellStart"/>
      <w:r w:rsidRPr="00D677F7">
        <w:rPr>
          <w:color w:val="000000" w:themeColor="text1"/>
          <w:lang w:val="en-IN"/>
        </w:rPr>
        <w:t>Centers</w:t>
      </w:r>
      <w:proofErr w:type="spellEnd"/>
      <w:r w:rsidRPr="00D677F7">
        <w:rPr>
          <w:color w:val="000000" w:themeColor="text1"/>
          <w:lang w:val="en-IN"/>
        </w:rPr>
        <w:t xml:space="preserve"> for Excellent Technologies), funded by the Austrian Federal Ministry for Climate Action, Environment, Energy, Mobility, Innovation and Technology; the Austrian Federal Ministry for Labour and Economy; and the federal states of Tyrol (via </w:t>
      </w:r>
      <w:proofErr w:type="spellStart"/>
      <w:r w:rsidRPr="00D677F7">
        <w:rPr>
          <w:color w:val="000000" w:themeColor="text1"/>
          <w:lang w:val="en-IN"/>
        </w:rPr>
        <w:t>Standortagentur</w:t>
      </w:r>
      <w:proofErr w:type="spellEnd"/>
      <w:r w:rsidRPr="00D677F7">
        <w:rPr>
          <w:color w:val="000000" w:themeColor="text1"/>
          <w:lang w:val="en-IN"/>
        </w:rPr>
        <w:t xml:space="preserve"> Tirol), Salzburg, and Vienna (via the Vienna Business Agency). M.M. is further supported by the Imperial BHF Research Excellence Award (RE/24/130023) and a BHF–NC3Rs Partnership and Impact Award (UKRI674: Accelerate Adoption of Engineered Vascular Tissues with Induced Pluripotent Stem Cell-Derived Smooth Muscle Cells).</w:t>
      </w:r>
    </w:p>
    <w:p w14:paraId="13414E6F" w14:textId="77777777" w:rsidR="003B4DA6" w:rsidRPr="00D677F7" w:rsidRDefault="003B4DA6" w:rsidP="00D677F7">
      <w:pPr>
        <w:spacing w:line="0" w:lineRule="atLeast"/>
        <w:rPr>
          <w:color w:val="000000" w:themeColor="text1"/>
          <w:lang w:val="en-IN"/>
        </w:rPr>
      </w:pPr>
    </w:p>
    <w:p w14:paraId="49606AC1" w14:textId="3F7C05E0" w:rsidR="003B4DA6" w:rsidRPr="00D677F7" w:rsidRDefault="00665C01" w:rsidP="00D677F7">
      <w:pPr>
        <w:spacing w:line="0" w:lineRule="atLeast"/>
        <w:rPr>
          <w:color w:val="000000" w:themeColor="text1"/>
          <w:lang w:val="en-IN"/>
        </w:rPr>
      </w:pPr>
      <w:r w:rsidRPr="00D677F7">
        <w:rPr>
          <w:color w:val="000000" w:themeColor="text1"/>
          <w:lang w:val="en-IN"/>
        </w:rPr>
        <w:t xml:space="preserve">The authors thank Dr. </w:t>
      </w:r>
      <w:proofErr w:type="spellStart"/>
      <w:r w:rsidRPr="00D677F7">
        <w:rPr>
          <w:color w:val="000000" w:themeColor="text1"/>
          <w:lang w:val="en-IN"/>
        </w:rPr>
        <w:t>Honglin</w:t>
      </w:r>
      <w:proofErr w:type="spellEnd"/>
      <w:r w:rsidRPr="00D677F7">
        <w:rPr>
          <w:color w:val="000000" w:themeColor="text1"/>
          <w:lang w:val="en-IN"/>
        </w:rPr>
        <w:t xml:space="preserve"> Chen and Mr. Austin Punnoose (Imperial College London) for technical support with mass spectrometry.</w:t>
      </w:r>
    </w:p>
    <w:p w14:paraId="25B2FBBD" w14:textId="77777777" w:rsidR="006E4797" w:rsidRPr="00D677F7" w:rsidRDefault="006E4797" w:rsidP="00D677F7">
      <w:pPr>
        <w:spacing w:line="0" w:lineRule="atLeast"/>
        <w:rPr>
          <w:b/>
          <w:color w:val="000000" w:themeColor="text1"/>
        </w:rPr>
      </w:pPr>
    </w:p>
    <w:p w14:paraId="5E703EBA" w14:textId="69883E86" w:rsidR="006E4797" w:rsidRPr="00D677F7" w:rsidRDefault="00665C01" w:rsidP="00D677F7">
      <w:pPr>
        <w:pBdr>
          <w:top w:val="nil"/>
          <w:left w:val="nil"/>
          <w:bottom w:val="nil"/>
          <w:right w:val="nil"/>
          <w:between w:val="nil"/>
        </w:pBdr>
        <w:spacing w:line="0" w:lineRule="atLeast"/>
        <w:rPr>
          <w:b/>
          <w:color w:val="000000" w:themeColor="text1"/>
        </w:rPr>
      </w:pPr>
      <w:r w:rsidRPr="00D677F7">
        <w:rPr>
          <w:b/>
          <w:color w:val="000000" w:themeColor="text1"/>
        </w:rPr>
        <w:t>DISCLOSURES:</w:t>
      </w:r>
    </w:p>
    <w:p w14:paraId="4A7B0E5C" w14:textId="2B605F00" w:rsidR="006E4797" w:rsidRPr="00D677F7" w:rsidRDefault="00665C01" w:rsidP="00D677F7">
      <w:pPr>
        <w:spacing w:line="0" w:lineRule="atLeast"/>
        <w:rPr>
          <w:color w:val="000000" w:themeColor="text1"/>
        </w:rPr>
      </w:pPr>
      <w:r w:rsidRPr="00D677F7">
        <w:rPr>
          <w:color w:val="000000" w:themeColor="text1"/>
        </w:rPr>
        <w:t>The authors declare no conflicts of interest.</w:t>
      </w:r>
    </w:p>
    <w:p w14:paraId="7A425BD5" w14:textId="77777777" w:rsidR="00B23570" w:rsidRPr="00D677F7" w:rsidRDefault="00B23570" w:rsidP="00D677F7">
      <w:pPr>
        <w:spacing w:line="0" w:lineRule="atLeast"/>
        <w:rPr>
          <w:color w:val="000000" w:themeColor="text1"/>
        </w:rPr>
      </w:pPr>
    </w:p>
    <w:p w14:paraId="6DE2B73C" w14:textId="50BC9B5D" w:rsidR="006E4797" w:rsidRPr="00D677F7" w:rsidRDefault="00665C01" w:rsidP="00D677F7">
      <w:pPr>
        <w:spacing w:line="0" w:lineRule="atLeast"/>
        <w:rPr>
          <w:b/>
          <w:color w:val="000000" w:themeColor="text1"/>
        </w:rPr>
      </w:pPr>
      <w:proofErr w:type="gramStart"/>
      <w:r w:rsidRPr="00D677F7">
        <w:rPr>
          <w:b/>
          <w:color w:val="000000" w:themeColor="text1"/>
        </w:rPr>
        <w:t>REFERENCES</w:t>
      </w:r>
      <w:proofErr w:type="gramEnd"/>
      <w:r w:rsidRPr="00D677F7">
        <w:rPr>
          <w:b/>
          <w:color w:val="000000" w:themeColor="text1"/>
        </w:rPr>
        <w:t>:</w:t>
      </w:r>
    </w:p>
    <w:p w14:paraId="1C9FD39A" w14:textId="77777777" w:rsidR="00250852" w:rsidRPr="00D677F7" w:rsidRDefault="00665C01" w:rsidP="00D677F7">
      <w:pPr>
        <w:numPr>
          <w:ilvl w:val="0"/>
          <w:numId w:val="32"/>
        </w:numPr>
        <w:tabs>
          <w:tab w:val="num" w:pos="720"/>
        </w:tabs>
        <w:spacing w:line="0" w:lineRule="atLeast"/>
        <w:rPr>
          <w:bCs/>
          <w:color w:val="000000" w:themeColor="text1"/>
          <w:lang w:val="en-IN"/>
        </w:rPr>
      </w:pPr>
      <w:r w:rsidRPr="00186A78">
        <w:rPr>
          <w:bCs/>
          <w:color w:val="000000" w:themeColor="text1"/>
          <w:lang w:val="de-DE"/>
        </w:rPr>
        <w:lastRenderedPageBreak/>
        <w:t xml:space="preserve">van der Velden J, et al. </w:t>
      </w:r>
      <w:r w:rsidRPr="00D677F7">
        <w:rPr>
          <w:bCs/>
          <w:color w:val="000000" w:themeColor="text1"/>
          <w:lang w:val="en-IN"/>
        </w:rPr>
        <w:t xml:space="preserve">Animal models and animal-free innovations for cardiovascular research: </w:t>
      </w:r>
      <w:proofErr w:type="gramStart"/>
      <w:r w:rsidRPr="00D677F7">
        <w:rPr>
          <w:bCs/>
          <w:color w:val="000000" w:themeColor="text1"/>
          <w:lang w:val="en-IN"/>
        </w:rPr>
        <w:t>current status</w:t>
      </w:r>
      <w:proofErr w:type="gramEnd"/>
      <w:r w:rsidRPr="00D677F7">
        <w:rPr>
          <w:bCs/>
          <w:color w:val="000000" w:themeColor="text1"/>
          <w:lang w:val="en-IN"/>
        </w:rPr>
        <w:t xml:space="preserve"> and routes to be explored. Consensus document of the ESC Working Group on Myocardial Function and the ESC Working Group on Cellular Biology of the Heart. Cardiovasc Res. 2022;118(15):3016-3051.</w:t>
      </w:r>
    </w:p>
    <w:p w14:paraId="3A856FEC" w14:textId="77777777" w:rsidR="00250852" w:rsidRPr="00D677F7" w:rsidRDefault="00665C01" w:rsidP="00D677F7">
      <w:pPr>
        <w:numPr>
          <w:ilvl w:val="0"/>
          <w:numId w:val="32"/>
        </w:numPr>
        <w:tabs>
          <w:tab w:val="num" w:pos="720"/>
        </w:tabs>
        <w:spacing w:line="0" w:lineRule="atLeast"/>
        <w:rPr>
          <w:bCs/>
          <w:color w:val="000000" w:themeColor="text1"/>
          <w:lang w:val="en-IN"/>
        </w:rPr>
      </w:pPr>
      <w:r w:rsidRPr="00D677F7">
        <w:rPr>
          <w:bCs/>
          <w:color w:val="000000" w:themeColor="text1"/>
          <w:lang w:val="en-IN"/>
        </w:rPr>
        <w:t>Figtree GA, et al. A call to action for new global approaches to cardiovascular disease drug solutions. Circulation. 2021;144(2):159-169.</w:t>
      </w:r>
    </w:p>
    <w:p w14:paraId="2C237452" w14:textId="77777777" w:rsidR="00250852" w:rsidRPr="00D677F7" w:rsidRDefault="00665C01" w:rsidP="00D677F7">
      <w:pPr>
        <w:numPr>
          <w:ilvl w:val="0"/>
          <w:numId w:val="32"/>
        </w:numPr>
        <w:tabs>
          <w:tab w:val="num" w:pos="720"/>
        </w:tabs>
        <w:spacing w:line="0" w:lineRule="atLeast"/>
        <w:rPr>
          <w:bCs/>
          <w:color w:val="000000" w:themeColor="text1"/>
          <w:lang w:val="en-IN"/>
        </w:rPr>
      </w:pPr>
      <w:r w:rsidRPr="00D677F7">
        <w:rPr>
          <w:bCs/>
          <w:color w:val="000000" w:themeColor="text1"/>
          <w:lang w:val="en-IN"/>
        </w:rPr>
        <w:t xml:space="preserve">Zhang L, Zhou J, Kong W. Extracellular matrix in vascular homeostasis and disease. Nat Rev </w:t>
      </w:r>
      <w:proofErr w:type="spellStart"/>
      <w:r w:rsidRPr="00D677F7">
        <w:rPr>
          <w:bCs/>
          <w:color w:val="000000" w:themeColor="text1"/>
          <w:lang w:val="en-IN"/>
        </w:rPr>
        <w:t>Cardiol</w:t>
      </w:r>
      <w:proofErr w:type="spellEnd"/>
      <w:r w:rsidRPr="00D677F7">
        <w:rPr>
          <w:bCs/>
          <w:color w:val="000000" w:themeColor="text1"/>
          <w:lang w:val="en-IN"/>
        </w:rPr>
        <w:t>. 2025;22(5):333-353.</w:t>
      </w:r>
    </w:p>
    <w:p w14:paraId="6732417B" w14:textId="77777777" w:rsidR="00250852" w:rsidRPr="00D677F7" w:rsidRDefault="00665C01" w:rsidP="00D677F7">
      <w:pPr>
        <w:numPr>
          <w:ilvl w:val="0"/>
          <w:numId w:val="32"/>
        </w:numPr>
        <w:tabs>
          <w:tab w:val="num" w:pos="720"/>
        </w:tabs>
        <w:spacing w:line="0" w:lineRule="atLeast"/>
        <w:rPr>
          <w:bCs/>
          <w:color w:val="000000" w:themeColor="text1"/>
          <w:lang w:val="en-IN"/>
        </w:rPr>
      </w:pPr>
      <w:r w:rsidRPr="00D677F7">
        <w:rPr>
          <w:bCs/>
          <w:color w:val="000000" w:themeColor="text1"/>
          <w:lang w:val="en-IN"/>
        </w:rPr>
        <w:t xml:space="preserve">Jensen LF, Bentzon JF, </w:t>
      </w:r>
      <w:proofErr w:type="spellStart"/>
      <w:r w:rsidRPr="00D677F7">
        <w:rPr>
          <w:bCs/>
          <w:color w:val="000000" w:themeColor="text1"/>
          <w:lang w:val="en-IN"/>
        </w:rPr>
        <w:t>Albarrán</w:t>
      </w:r>
      <w:proofErr w:type="spellEnd"/>
      <w:r w:rsidRPr="00D677F7">
        <w:rPr>
          <w:bCs/>
          <w:color w:val="000000" w:themeColor="text1"/>
          <w:lang w:val="en-IN"/>
        </w:rPr>
        <w:t>-Juárez J. The phenotypic responses of vascular smooth muscle cells exposed to mechanical cues. Cells. 2021;10(9):2209.</w:t>
      </w:r>
    </w:p>
    <w:p w14:paraId="0E0707C5" w14:textId="0839B2E7" w:rsidR="00250852" w:rsidRPr="00D677F7" w:rsidRDefault="00665C01" w:rsidP="00D677F7">
      <w:pPr>
        <w:numPr>
          <w:ilvl w:val="0"/>
          <w:numId w:val="32"/>
        </w:numPr>
        <w:tabs>
          <w:tab w:val="num" w:pos="720"/>
        </w:tabs>
        <w:spacing w:line="0" w:lineRule="atLeast"/>
        <w:rPr>
          <w:bCs/>
          <w:color w:val="000000" w:themeColor="text1"/>
          <w:lang w:val="en-IN"/>
        </w:rPr>
      </w:pPr>
      <w:r w:rsidRPr="00D677F7">
        <w:rPr>
          <w:bCs/>
          <w:color w:val="000000" w:themeColor="text1"/>
          <w:lang w:val="en-IN"/>
        </w:rPr>
        <w:t xml:space="preserve">Hynes RO, Naba A. Overview of the </w:t>
      </w:r>
      <w:proofErr w:type="spellStart"/>
      <w:r w:rsidRPr="00D677F7">
        <w:rPr>
          <w:bCs/>
          <w:color w:val="000000" w:themeColor="text1"/>
          <w:lang w:val="en-IN"/>
        </w:rPr>
        <w:t>matrisome</w:t>
      </w:r>
      <w:proofErr w:type="spellEnd"/>
      <w:r w:rsidRPr="00D677F7">
        <w:rPr>
          <w:bCs/>
          <w:color w:val="000000" w:themeColor="text1"/>
          <w:lang w:val="en-IN"/>
        </w:rPr>
        <w:t xml:space="preserve">—an inventory of extracellular matrix constituents and functions. Cold Spring Harb </w:t>
      </w:r>
      <w:proofErr w:type="spellStart"/>
      <w:r w:rsidRPr="00D677F7">
        <w:rPr>
          <w:bCs/>
          <w:color w:val="000000" w:themeColor="text1"/>
          <w:lang w:val="en-IN"/>
        </w:rPr>
        <w:t>Perspect</w:t>
      </w:r>
      <w:proofErr w:type="spellEnd"/>
      <w:r w:rsidRPr="00D677F7">
        <w:rPr>
          <w:bCs/>
          <w:color w:val="000000" w:themeColor="text1"/>
          <w:lang w:val="en-IN"/>
        </w:rPr>
        <w:t xml:space="preserve"> Biol. 2012;4(1</w:t>
      </w:r>
      <w:proofErr w:type="gramStart"/>
      <w:r w:rsidRPr="00D677F7">
        <w:rPr>
          <w:bCs/>
          <w:color w:val="000000" w:themeColor="text1"/>
          <w:lang w:val="en-IN"/>
        </w:rPr>
        <w:t>):a</w:t>
      </w:r>
      <w:proofErr w:type="gramEnd"/>
      <w:r w:rsidRPr="00D677F7">
        <w:rPr>
          <w:bCs/>
          <w:color w:val="000000" w:themeColor="text1"/>
          <w:lang w:val="en-IN"/>
        </w:rPr>
        <w:t>004903.</w:t>
      </w:r>
    </w:p>
    <w:p w14:paraId="3EC1BC40" w14:textId="3CB8D659" w:rsidR="00250852" w:rsidRPr="00D677F7" w:rsidRDefault="00665C01" w:rsidP="00D677F7">
      <w:pPr>
        <w:numPr>
          <w:ilvl w:val="0"/>
          <w:numId w:val="32"/>
        </w:numPr>
        <w:tabs>
          <w:tab w:val="num" w:pos="720"/>
        </w:tabs>
        <w:spacing w:line="0" w:lineRule="atLeast"/>
        <w:rPr>
          <w:bCs/>
          <w:color w:val="000000" w:themeColor="text1"/>
          <w:lang w:val="en-IN"/>
        </w:rPr>
      </w:pPr>
      <w:r w:rsidRPr="00D677F7">
        <w:rPr>
          <w:bCs/>
          <w:color w:val="000000" w:themeColor="text1"/>
          <w:lang w:val="en-IN"/>
        </w:rPr>
        <w:t xml:space="preserve">Barallobre-Barreiro J, et al. Extracellular matrix in vascular disease, Part 2/4: JACC focus seminar. J Am Coll </w:t>
      </w:r>
      <w:proofErr w:type="spellStart"/>
      <w:r w:rsidRPr="00D677F7">
        <w:rPr>
          <w:bCs/>
          <w:color w:val="000000" w:themeColor="text1"/>
          <w:lang w:val="en-IN"/>
        </w:rPr>
        <w:t>Cardiol</w:t>
      </w:r>
      <w:proofErr w:type="spellEnd"/>
      <w:r w:rsidRPr="00D677F7">
        <w:rPr>
          <w:bCs/>
          <w:color w:val="000000" w:themeColor="text1"/>
          <w:lang w:val="en-IN"/>
        </w:rPr>
        <w:t>. 2020;75(17):2189-2203.</w:t>
      </w:r>
    </w:p>
    <w:p w14:paraId="295FB91F" w14:textId="77777777" w:rsidR="00250852" w:rsidRPr="00D677F7" w:rsidRDefault="00665C01" w:rsidP="00D677F7">
      <w:pPr>
        <w:numPr>
          <w:ilvl w:val="0"/>
          <w:numId w:val="32"/>
        </w:numPr>
        <w:tabs>
          <w:tab w:val="num" w:pos="720"/>
        </w:tabs>
        <w:spacing w:line="0" w:lineRule="atLeast"/>
        <w:rPr>
          <w:bCs/>
          <w:color w:val="000000" w:themeColor="text1"/>
          <w:lang w:val="en-IN"/>
        </w:rPr>
      </w:pPr>
      <w:r w:rsidRPr="00D677F7">
        <w:rPr>
          <w:bCs/>
          <w:color w:val="000000" w:themeColor="text1"/>
          <w:lang w:val="en-IN"/>
        </w:rPr>
        <w:t xml:space="preserve">Iozzo RV, Schaefer L. Proteoglycan form and function: a comprehensive nomenclature of proteoglycans. Matrix Biol. </w:t>
      </w:r>
      <w:proofErr w:type="gramStart"/>
      <w:r w:rsidRPr="00D677F7">
        <w:rPr>
          <w:bCs/>
          <w:color w:val="000000" w:themeColor="text1"/>
          <w:lang w:val="en-IN"/>
        </w:rPr>
        <w:t>2015;42:11</w:t>
      </w:r>
      <w:proofErr w:type="gramEnd"/>
      <w:r w:rsidRPr="00D677F7">
        <w:rPr>
          <w:bCs/>
          <w:color w:val="000000" w:themeColor="text1"/>
          <w:lang w:val="en-IN"/>
        </w:rPr>
        <w:t>-55.</w:t>
      </w:r>
    </w:p>
    <w:p w14:paraId="584D93E1" w14:textId="77777777" w:rsidR="00250852" w:rsidRPr="00D677F7" w:rsidRDefault="00665C01" w:rsidP="00D677F7">
      <w:pPr>
        <w:numPr>
          <w:ilvl w:val="0"/>
          <w:numId w:val="32"/>
        </w:numPr>
        <w:tabs>
          <w:tab w:val="num" w:pos="720"/>
        </w:tabs>
        <w:spacing w:line="0" w:lineRule="atLeast"/>
        <w:rPr>
          <w:bCs/>
          <w:color w:val="000000" w:themeColor="text1"/>
          <w:lang w:val="en-IN"/>
        </w:rPr>
      </w:pPr>
      <w:r w:rsidRPr="00D677F7">
        <w:rPr>
          <w:bCs/>
          <w:color w:val="000000" w:themeColor="text1"/>
          <w:lang w:val="en-IN"/>
        </w:rPr>
        <w:t>Weinberg CB, Bell E. A blood vessel model constructed from collagen and cultured vascular cells. Science. 1986;231(4736):397-400.</w:t>
      </w:r>
    </w:p>
    <w:p w14:paraId="332F12BA" w14:textId="33F97AA1" w:rsidR="00250852" w:rsidRPr="00D677F7" w:rsidRDefault="00665C01" w:rsidP="00D677F7">
      <w:pPr>
        <w:numPr>
          <w:ilvl w:val="0"/>
          <w:numId w:val="32"/>
        </w:numPr>
        <w:tabs>
          <w:tab w:val="num" w:pos="720"/>
        </w:tabs>
        <w:spacing w:line="0" w:lineRule="atLeast"/>
        <w:rPr>
          <w:bCs/>
          <w:color w:val="000000" w:themeColor="text1"/>
          <w:lang w:val="en-IN"/>
        </w:rPr>
      </w:pPr>
      <w:r w:rsidRPr="00D677F7">
        <w:rPr>
          <w:bCs/>
          <w:color w:val="000000" w:themeColor="text1"/>
          <w:lang w:val="en-IN"/>
        </w:rPr>
        <w:t>Ryan AJ, Ryan EJ, Cameron AR, O</w:t>
      </w:r>
      <w:r w:rsidR="009B22E4">
        <w:rPr>
          <w:bCs/>
          <w:color w:val="000000" w:themeColor="text1"/>
          <w:lang w:val="en-IN"/>
        </w:rPr>
        <w:t>’</w:t>
      </w:r>
      <w:r w:rsidRPr="00D677F7">
        <w:rPr>
          <w:bCs/>
          <w:color w:val="000000" w:themeColor="text1"/>
          <w:lang w:val="en-IN"/>
        </w:rPr>
        <w:t xml:space="preserve">Brien FJ. Hierarchical </w:t>
      </w:r>
      <w:proofErr w:type="spellStart"/>
      <w:r w:rsidRPr="00D677F7">
        <w:rPr>
          <w:bCs/>
          <w:color w:val="000000" w:themeColor="text1"/>
          <w:lang w:val="en-IN"/>
        </w:rPr>
        <w:t>biofabrication</w:t>
      </w:r>
      <w:proofErr w:type="spellEnd"/>
      <w:r w:rsidRPr="00D677F7">
        <w:rPr>
          <w:bCs/>
          <w:color w:val="000000" w:themeColor="text1"/>
          <w:lang w:val="en-IN"/>
        </w:rPr>
        <w:t xml:space="preserve"> of biomimetic collagen-elastin vascular grafts with controllable properties via lyophilisation. Acta </w:t>
      </w:r>
      <w:proofErr w:type="spellStart"/>
      <w:r w:rsidRPr="00D677F7">
        <w:rPr>
          <w:bCs/>
          <w:color w:val="000000" w:themeColor="text1"/>
          <w:lang w:val="en-IN"/>
        </w:rPr>
        <w:t>Biomater</w:t>
      </w:r>
      <w:proofErr w:type="spellEnd"/>
      <w:r w:rsidRPr="00D677F7">
        <w:rPr>
          <w:bCs/>
          <w:color w:val="000000" w:themeColor="text1"/>
          <w:lang w:val="en-IN"/>
        </w:rPr>
        <w:t xml:space="preserve">. </w:t>
      </w:r>
      <w:proofErr w:type="gramStart"/>
      <w:r w:rsidRPr="00D677F7">
        <w:rPr>
          <w:bCs/>
          <w:color w:val="000000" w:themeColor="text1"/>
          <w:lang w:val="en-IN"/>
        </w:rPr>
        <w:t>2020;112:52</w:t>
      </w:r>
      <w:proofErr w:type="gramEnd"/>
      <w:r w:rsidRPr="00D677F7">
        <w:rPr>
          <w:bCs/>
          <w:color w:val="000000" w:themeColor="text1"/>
          <w:lang w:val="en-IN"/>
        </w:rPr>
        <w:t>-61.</w:t>
      </w:r>
    </w:p>
    <w:p w14:paraId="2FEE4A4E" w14:textId="77777777" w:rsidR="00250852" w:rsidRPr="00D677F7" w:rsidRDefault="00665C01" w:rsidP="00D677F7">
      <w:pPr>
        <w:numPr>
          <w:ilvl w:val="0"/>
          <w:numId w:val="32"/>
        </w:numPr>
        <w:tabs>
          <w:tab w:val="num" w:pos="720"/>
        </w:tabs>
        <w:spacing w:line="0" w:lineRule="atLeast"/>
        <w:rPr>
          <w:bCs/>
          <w:color w:val="000000" w:themeColor="text1"/>
          <w:lang w:val="en-IN"/>
        </w:rPr>
      </w:pPr>
      <w:r w:rsidRPr="00D677F7">
        <w:rPr>
          <w:bCs/>
          <w:color w:val="000000" w:themeColor="text1"/>
          <w:lang w:val="en-IN"/>
        </w:rPr>
        <w:t xml:space="preserve">Ma W, et al. Fabric-enhanced vascular graft with hierarchical structure for promoting the regeneration of vascular tissue. Adv </w:t>
      </w:r>
      <w:proofErr w:type="spellStart"/>
      <w:r w:rsidRPr="00D677F7">
        <w:rPr>
          <w:bCs/>
          <w:color w:val="000000" w:themeColor="text1"/>
          <w:lang w:val="en-IN"/>
        </w:rPr>
        <w:t>Healthc</w:t>
      </w:r>
      <w:proofErr w:type="spellEnd"/>
      <w:r w:rsidRPr="00D677F7">
        <w:rPr>
          <w:bCs/>
          <w:color w:val="000000" w:themeColor="text1"/>
          <w:lang w:val="en-IN"/>
        </w:rPr>
        <w:t xml:space="preserve"> Mater. 2024;13(16</w:t>
      </w:r>
      <w:proofErr w:type="gramStart"/>
      <w:r w:rsidRPr="00D677F7">
        <w:rPr>
          <w:bCs/>
          <w:color w:val="000000" w:themeColor="text1"/>
          <w:lang w:val="en-IN"/>
        </w:rPr>
        <w:t>):e</w:t>
      </w:r>
      <w:proofErr w:type="gramEnd"/>
      <w:r w:rsidRPr="00D677F7">
        <w:rPr>
          <w:bCs/>
          <w:color w:val="000000" w:themeColor="text1"/>
          <w:lang w:val="en-IN"/>
        </w:rPr>
        <w:t>2302676.</w:t>
      </w:r>
    </w:p>
    <w:p w14:paraId="63A558EB" w14:textId="77777777" w:rsidR="00250852" w:rsidRPr="00D677F7" w:rsidRDefault="00665C01" w:rsidP="00D677F7">
      <w:pPr>
        <w:numPr>
          <w:ilvl w:val="0"/>
          <w:numId w:val="32"/>
        </w:numPr>
        <w:tabs>
          <w:tab w:val="num" w:pos="720"/>
        </w:tabs>
        <w:spacing w:line="0" w:lineRule="atLeast"/>
        <w:rPr>
          <w:bCs/>
          <w:color w:val="000000" w:themeColor="text1"/>
          <w:lang w:val="en-IN"/>
        </w:rPr>
      </w:pPr>
      <w:r w:rsidRPr="00D677F7">
        <w:rPr>
          <w:bCs/>
          <w:color w:val="000000" w:themeColor="text1"/>
          <w:lang w:val="en-IN"/>
        </w:rPr>
        <w:t xml:space="preserve">Ding Z, et al. Biomimetic vascular grafts with circumferentially and axially oriented microporous structures for native blood vessel regeneration. Adv </w:t>
      </w:r>
      <w:proofErr w:type="spellStart"/>
      <w:r w:rsidRPr="00D677F7">
        <w:rPr>
          <w:bCs/>
          <w:color w:val="000000" w:themeColor="text1"/>
          <w:lang w:val="en-IN"/>
        </w:rPr>
        <w:t>Funct</w:t>
      </w:r>
      <w:proofErr w:type="spellEnd"/>
      <w:r w:rsidRPr="00D677F7">
        <w:rPr>
          <w:bCs/>
          <w:color w:val="000000" w:themeColor="text1"/>
          <w:lang w:val="en-IN"/>
        </w:rPr>
        <w:t xml:space="preserve"> Mater. 2024;34(1).</w:t>
      </w:r>
    </w:p>
    <w:p w14:paraId="59510D41" w14:textId="77777777" w:rsidR="00250852" w:rsidRPr="00D677F7" w:rsidRDefault="00665C01" w:rsidP="00D677F7">
      <w:pPr>
        <w:numPr>
          <w:ilvl w:val="0"/>
          <w:numId w:val="32"/>
        </w:numPr>
        <w:tabs>
          <w:tab w:val="num" w:pos="720"/>
        </w:tabs>
        <w:spacing w:line="0" w:lineRule="atLeast"/>
        <w:rPr>
          <w:bCs/>
          <w:color w:val="000000" w:themeColor="text1"/>
          <w:lang w:val="en-IN"/>
        </w:rPr>
      </w:pPr>
      <w:r w:rsidRPr="00D677F7">
        <w:rPr>
          <w:bCs/>
          <w:color w:val="000000" w:themeColor="text1"/>
          <w:lang w:val="en-IN"/>
        </w:rPr>
        <w:t>Luo J, et al. Tissue-engineered vascular grafts with advanced mechanical strength from human iPSCs. Cell Stem Cell. 2020;26(2):251-261.e8.</w:t>
      </w:r>
    </w:p>
    <w:p w14:paraId="1576674F" w14:textId="77777777" w:rsidR="00250852" w:rsidRPr="00D677F7" w:rsidRDefault="00665C01" w:rsidP="00D677F7">
      <w:pPr>
        <w:numPr>
          <w:ilvl w:val="0"/>
          <w:numId w:val="32"/>
        </w:numPr>
        <w:tabs>
          <w:tab w:val="num" w:pos="720"/>
        </w:tabs>
        <w:spacing w:line="0" w:lineRule="atLeast"/>
        <w:rPr>
          <w:bCs/>
          <w:color w:val="000000" w:themeColor="text1"/>
          <w:lang w:val="en-IN"/>
        </w:rPr>
      </w:pPr>
      <w:r w:rsidRPr="00D677F7">
        <w:rPr>
          <w:bCs/>
          <w:color w:val="000000" w:themeColor="text1"/>
          <w:lang w:val="en-IN"/>
        </w:rPr>
        <w:t xml:space="preserve">Guo X, et al. Facile preparation of a controlled-release tubular scaffold for blood vessel implantation. J Colloid Interface Sci. </w:t>
      </w:r>
      <w:proofErr w:type="gramStart"/>
      <w:r w:rsidRPr="00D677F7">
        <w:rPr>
          <w:bCs/>
          <w:color w:val="000000" w:themeColor="text1"/>
          <w:lang w:val="en-IN"/>
        </w:rPr>
        <w:t>2019;539:351</w:t>
      </w:r>
      <w:proofErr w:type="gramEnd"/>
      <w:r w:rsidRPr="00D677F7">
        <w:rPr>
          <w:bCs/>
          <w:color w:val="000000" w:themeColor="text1"/>
          <w:lang w:val="en-IN"/>
        </w:rPr>
        <w:t>-360.</w:t>
      </w:r>
    </w:p>
    <w:p w14:paraId="7A65FC5D" w14:textId="5AF6A845" w:rsidR="00250852" w:rsidRPr="00D677F7" w:rsidRDefault="00665C01" w:rsidP="00D677F7">
      <w:pPr>
        <w:numPr>
          <w:ilvl w:val="0"/>
          <w:numId w:val="32"/>
        </w:numPr>
        <w:tabs>
          <w:tab w:val="num" w:pos="720"/>
        </w:tabs>
        <w:spacing w:line="0" w:lineRule="atLeast"/>
        <w:rPr>
          <w:bCs/>
          <w:color w:val="000000" w:themeColor="text1"/>
          <w:lang w:val="en-IN"/>
        </w:rPr>
      </w:pPr>
      <w:r w:rsidRPr="00186A78">
        <w:rPr>
          <w:bCs/>
          <w:color w:val="000000" w:themeColor="text1"/>
          <w:lang w:val="de-DE"/>
        </w:rPr>
        <w:t xml:space="preserve">Fernández-Pérez J, </w:t>
      </w:r>
      <w:r w:rsidR="002A0B47" w:rsidRPr="00186A78">
        <w:rPr>
          <w:bCs/>
          <w:color w:val="000000" w:themeColor="text1"/>
          <w:lang w:val="de-DE"/>
        </w:rPr>
        <w:t>et al</w:t>
      </w:r>
      <w:r w:rsidRPr="00186A78">
        <w:rPr>
          <w:bCs/>
          <w:color w:val="000000" w:themeColor="text1"/>
          <w:lang w:val="de-DE"/>
        </w:rPr>
        <w:t xml:space="preserve">. </w:t>
      </w:r>
      <w:r w:rsidRPr="00D677F7">
        <w:rPr>
          <w:bCs/>
          <w:color w:val="000000" w:themeColor="text1"/>
          <w:lang w:val="en-IN"/>
        </w:rPr>
        <w:t xml:space="preserve">Flexible, </w:t>
      </w:r>
      <w:proofErr w:type="spellStart"/>
      <w:r w:rsidRPr="00D677F7">
        <w:rPr>
          <w:bCs/>
          <w:color w:val="000000" w:themeColor="text1"/>
          <w:lang w:val="en-IN"/>
        </w:rPr>
        <w:t>suturable</w:t>
      </w:r>
      <w:proofErr w:type="spellEnd"/>
      <w:r w:rsidRPr="00D677F7">
        <w:rPr>
          <w:bCs/>
          <w:color w:val="000000" w:themeColor="text1"/>
          <w:lang w:val="en-IN"/>
        </w:rPr>
        <w:t xml:space="preserve">, and leak-free scaffolds for vascular tissue engineering using melt spinning. ACS </w:t>
      </w:r>
      <w:proofErr w:type="spellStart"/>
      <w:r w:rsidRPr="00D677F7">
        <w:rPr>
          <w:bCs/>
          <w:color w:val="000000" w:themeColor="text1"/>
          <w:lang w:val="en-IN"/>
        </w:rPr>
        <w:t>Biomater</w:t>
      </w:r>
      <w:proofErr w:type="spellEnd"/>
      <w:r w:rsidRPr="00D677F7">
        <w:rPr>
          <w:bCs/>
          <w:color w:val="000000" w:themeColor="text1"/>
          <w:lang w:val="en-IN"/>
        </w:rPr>
        <w:t xml:space="preserve"> Sci Eng. 2023;9(8):5006-5014.</w:t>
      </w:r>
    </w:p>
    <w:p w14:paraId="358F849B" w14:textId="77777777" w:rsidR="00250852" w:rsidRPr="00D677F7" w:rsidRDefault="00665C01" w:rsidP="00D677F7">
      <w:pPr>
        <w:numPr>
          <w:ilvl w:val="0"/>
          <w:numId w:val="32"/>
        </w:numPr>
        <w:tabs>
          <w:tab w:val="num" w:pos="720"/>
        </w:tabs>
        <w:spacing w:line="0" w:lineRule="atLeast"/>
        <w:rPr>
          <w:bCs/>
          <w:color w:val="000000" w:themeColor="text1"/>
          <w:lang w:val="en-IN"/>
        </w:rPr>
      </w:pPr>
      <w:r w:rsidRPr="00D677F7">
        <w:rPr>
          <w:bCs/>
          <w:color w:val="000000" w:themeColor="text1"/>
          <w:lang w:val="en-IN"/>
        </w:rPr>
        <w:t>Yu Y, et al. Vascular network-inspired fluidic system (</w:t>
      </w:r>
      <w:proofErr w:type="spellStart"/>
      <w:r w:rsidRPr="00D677F7">
        <w:rPr>
          <w:bCs/>
          <w:color w:val="000000" w:themeColor="text1"/>
          <w:lang w:val="en-IN"/>
        </w:rPr>
        <w:t>VasFluidics</w:t>
      </w:r>
      <w:proofErr w:type="spellEnd"/>
      <w:r w:rsidRPr="00D677F7">
        <w:rPr>
          <w:bCs/>
          <w:color w:val="000000" w:themeColor="text1"/>
          <w:lang w:val="en-IN"/>
        </w:rPr>
        <w:t xml:space="preserve">) with spatially </w:t>
      </w:r>
      <w:proofErr w:type="spellStart"/>
      <w:r w:rsidRPr="00D677F7">
        <w:rPr>
          <w:bCs/>
          <w:color w:val="000000" w:themeColor="text1"/>
          <w:lang w:val="en-IN"/>
        </w:rPr>
        <w:t>functionalizable</w:t>
      </w:r>
      <w:proofErr w:type="spellEnd"/>
      <w:r w:rsidRPr="00D677F7">
        <w:rPr>
          <w:bCs/>
          <w:color w:val="000000" w:themeColor="text1"/>
          <w:lang w:val="en-IN"/>
        </w:rPr>
        <w:t xml:space="preserve"> membranous walls. Nat Commun. 2024;15(1):1437.</w:t>
      </w:r>
    </w:p>
    <w:p w14:paraId="5DDEFBDC" w14:textId="77777777" w:rsidR="00250852" w:rsidRPr="00D677F7" w:rsidRDefault="00665C01" w:rsidP="00D677F7">
      <w:pPr>
        <w:numPr>
          <w:ilvl w:val="0"/>
          <w:numId w:val="32"/>
        </w:numPr>
        <w:tabs>
          <w:tab w:val="num" w:pos="720"/>
        </w:tabs>
        <w:spacing w:line="0" w:lineRule="atLeast"/>
        <w:rPr>
          <w:bCs/>
          <w:color w:val="000000" w:themeColor="text1"/>
          <w:lang w:val="en-IN"/>
        </w:rPr>
      </w:pPr>
      <w:r w:rsidRPr="00D677F7">
        <w:rPr>
          <w:bCs/>
          <w:color w:val="000000" w:themeColor="text1"/>
          <w:lang w:val="en-IN"/>
        </w:rPr>
        <w:t xml:space="preserve">Lee H. Engineering in vitro models: bioprinting of organoids with artificial intelligence. Cyborg Bionic Syst. </w:t>
      </w:r>
      <w:proofErr w:type="gramStart"/>
      <w:r w:rsidRPr="00D677F7">
        <w:rPr>
          <w:bCs/>
          <w:color w:val="000000" w:themeColor="text1"/>
          <w:lang w:val="en-IN"/>
        </w:rPr>
        <w:t>2023;4:0018</w:t>
      </w:r>
      <w:proofErr w:type="gramEnd"/>
      <w:r w:rsidRPr="00D677F7">
        <w:rPr>
          <w:bCs/>
          <w:color w:val="000000" w:themeColor="text1"/>
          <w:lang w:val="en-IN"/>
        </w:rPr>
        <w:t>.</w:t>
      </w:r>
    </w:p>
    <w:p w14:paraId="4E7100AF" w14:textId="77777777" w:rsidR="00250852" w:rsidRPr="00D677F7" w:rsidRDefault="00665C01" w:rsidP="00D677F7">
      <w:pPr>
        <w:numPr>
          <w:ilvl w:val="0"/>
          <w:numId w:val="32"/>
        </w:numPr>
        <w:tabs>
          <w:tab w:val="num" w:pos="720"/>
        </w:tabs>
        <w:spacing w:line="0" w:lineRule="atLeast"/>
        <w:rPr>
          <w:bCs/>
          <w:color w:val="000000" w:themeColor="text1"/>
          <w:lang w:val="en-IN"/>
        </w:rPr>
      </w:pPr>
      <w:proofErr w:type="spellStart"/>
      <w:r w:rsidRPr="00D677F7">
        <w:rPr>
          <w:bCs/>
          <w:color w:val="000000" w:themeColor="text1"/>
          <w:lang w:val="en-IN"/>
        </w:rPr>
        <w:t>Breckwoldt</w:t>
      </w:r>
      <w:proofErr w:type="spellEnd"/>
      <w:r w:rsidRPr="00D677F7">
        <w:rPr>
          <w:bCs/>
          <w:color w:val="000000" w:themeColor="text1"/>
          <w:lang w:val="en-IN"/>
        </w:rPr>
        <w:t xml:space="preserve"> K, et al. Differentiation of cardiomyocytes and generation of human engineered heart tissue. Nat </w:t>
      </w:r>
      <w:proofErr w:type="spellStart"/>
      <w:r w:rsidRPr="00D677F7">
        <w:rPr>
          <w:bCs/>
          <w:color w:val="000000" w:themeColor="text1"/>
          <w:lang w:val="en-IN"/>
        </w:rPr>
        <w:t>Protoc</w:t>
      </w:r>
      <w:proofErr w:type="spellEnd"/>
      <w:r w:rsidRPr="00D677F7">
        <w:rPr>
          <w:bCs/>
          <w:color w:val="000000" w:themeColor="text1"/>
          <w:lang w:val="en-IN"/>
        </w:rPr>
        <w:t>. 2017;12(6):1177-1197.</w:t>
      </w:r>
    </w:p>
    <w:p w14:paraId="60342AA4" w14:textId="77777777" w:rsidR="00250852" w:rsidRPr="00D677F7" w:rsidRDefault="00665C01" w:rsidP="00D677F7">
      <w:pPr>
        <w:numPr>
          <w:ilvl w:val="0"/>
          <w:numId w:val="32"/>
        </w:numPr>
        <w:tabs>
          <w:tab w:val="num" w:pos="720"/>
        </w:tabs>
        <w:spacing w:line="0" w:lineRule="atLeast"/>
        <w:rPr>
          <w:bCs/>
          <w:color w:val="000000" w:themeColor="text1"/>
          <w:lang w:val="en-IN"/>
        </w:rPr>
      </w:pPr>
      <w:r w:rsidRPr="00D677F7">
        <w:rPr>
          <w:bCs/>
          <w:color w:val="000000" w:themeColor="text1"/>
          <w:lang w:val="en-IN"/>
        </w:rPr>
        <w:t>Lemme M, et al. Atrial-like engineered heart tissue: an in vitro model of the human atrium. Stem Cell Rep. 2018;11(6):1378-1390.</w:t>
      </w:r>
    </w:p>
    <w:p w14:paraId="4C54B317" w14:textId="49B346CA" w:rsidR="00250852" w:rsidRPr="00D677F7" w:rsidRDefault="00665C01" w:rsidP="00D677F7">
      <w:pPr>
        <w:numPr>
          <w:ilvl w:val="0"/>
          <w:numId w:val="32"/>
        </w:numPr>
        <w:tabs>
          <w:tab w:val="num" w:pos="720"/>
        </w:tabs>
        <w:spacing w:line="0" w:lineRule="atLeast"/>
        <w:rPr>
          <w:bCs/>
          <w:color w:val="000000" w:themeColor="text1"/>
          <w:lang w:val="en-IN"/>
        </w:rPr>
      </w:pPr>
      <w:r w:rsidRPr="00D677F7">
        <w:rPr>
          <w:bCs/>
          <w:color w:val="000000" w:themeColor="text1"/>
          <w:lang w:val="en-IN"/>
        </w:rPr>
        <w:t xml:space="preserve">Saleem U, </w:t>
      </w:r>
      <w:r w:rsidR="002A0B47" w:rsidRPr="00D677F7">
        <w:rPr>
          <w:bCs/>
          <w:color w:val="000000" w:themeColor="text1"/>
          <w:lang w:val="en-IN"/>
        </w:rPr>
        <w:t>et al</w:t>
      </w:r>
      <w:r w:rsidRPr="00D677F7">
        <w:rPr>
          <w:bCs/>
          <w:color w:val="000000" w:themeColor="text1"/>
          <w:lang w:val="en-IN"/>
        </w:rPr>
        <w:t xml:space="preserve">. Force and calcium </w:t>
      </w:r>
      <w:proofErr w:type="gramStart"/>
      <w:r w:rsidRPr="00D677F7">
        <w:rPr>
          <w:bCs/>
          <w:color w:val="000000" w:themeColor="text1"/>
          <w:lang w:val="en-IN"/>
        </w:rPr>
        <w:t>transients</w:t>
      </w:r>
      <w:proofErr w:type="gramEnd"/>
      <w:r w:rsidRPr="00D677F7">
        <w:rPr>
          <w:bCs/>
          <w:color w:val="000000" w:themeColor="text1"/>
          <w:lang w:val="en-IN"/>
        </w:rPr>
        <w:t xml:space="preserve"> analysis in human engineered heart tissues reveals positive force-frequency relation at physiological frequency. Stem Cell Rep. 2020;14(2):312-324.</w:t>
      </w:r>
    </w:p>
    <w:p w14:paraId="68674734" w14:textId="77777777" w:rsidR="00250852" w:rsidRPr="00D677F7" w:rsidRDefault="00665C01" w:rsidP="00D677F7">
      <w:pPr>
        <w:numPr>
          <w:ilvl w:val="0"/>
          <w:numId w:val="32"/>
        </w:numPr>
        <w:tabs>
          <w:tab w:val="num" w:pos="720"/>
        </w:tabs>
        <w:spacing w:line="0" w:lineRule="atLeast"/>
        <w:rPr>
          <w:bCs/>
          <w:color w:val="000000" w:themeColor="text1"/>
          <w:lang w:val="en-IN"/>
        </w:rPr>
      </w:pPr>
      <w:r w:rsidRPr="00D677F7">
        <w:rPr>
          <w:bCs/>
          <w:color w:val="000000" w:themeColor="text1"/>
          <w:lang w:val="en-IN"/>
        </w:rPr>
        <w:t>Ismaili D, et al. Regulation of APD and force by the Na+/Ca2+ exchanger in human-induced pluripotent stem cell-derived engineered heart tissue. Cells. 2022;11(15):2424.</w:t>
      </w:r>
    </w:p>
    <w:p w14:paraId="5D238B87" w14:textId="77777777" w:rsidR="00250852" w:rsidRPr="00D677F7" w:rsidRDefault="00665C01" w:rsidP="00D677F7">
      <w:pPr>
        <w:numPr>
          <w:ilvl w:val="0"/>
          <w:numId w:val="32"/>
        </w:numPr>
        <w:tabs>
          <w:tab w:val="num" w:pos="720"/>
        </w:tabs>
        <w:spacing w:line="0" w:lineRule="atLeast"/>
        <w:rPr>
          <w:bCs/>
          <w:color w:val="000000" w:themeColor="text1"/>
          <w:lang w:val="en-IN"/>
        </w:rPr>
      </w:pPr>
      <w:r w:rsidRPr="00D677F7">
        <w:rPr>
          <w:bCs/>
          <w:color w:val="000000" w:themeColor="text1"/>
          <w:lang w:val="en-IN"/>
        </w:rPr>
        <w:lastRenderedPageBreak/>
        <w:t xml:space="preserve">Reed E, et al. Extracellular matrix profiling and disease modelling in engineered vascular smooth muscle cell tissues. Matrix </w:t>
      </w:r>
      <w:proofErr w:type="spellStart"/>
      <w:r w:rsidRPr="00D677F7">
        <w:rPr>
          <w:bCs/>
          <w:color w:val="000000" w:themeColor="text1"/>
          <w:lang w:val="en-IN"/>
        </w:rPr>
        <w:t>Biol</w:t>
      </w:r>
      <w:proofErr w:type="spellEnd"/>
      <w:r w:rsidRPr="00D677F7">
        <w:rPr>
          <w:bCs/>
          <w:color w:val="000000" w:themeColor="text1"/>
          <w:lang w:val="en-IN"/>
        </w:rPr>
        <w:t xml:space="preserve"> Plus. </w:t>
      </w:r>
      <w:proofErr w:type="gramStart"/>
      <w:r w:rsidRPr="00D677F7">
        <w:rPr>
          <w:bCs/>
          <w:color w:val="000000" w:themeColor="text1"/>
          <w:lang w:val="en-IN"/>
        </w:rPr>
        <w:t>2022;16:100122</w:t>
      </w:r>
      <w:proofErr w:type="gramEnd"/>
      <w:r w:rsidRPr="00D677F7">
        <w:rPr>
          <w:bCs/>
          <w:color w:val="000000" w:themeColor="text1"/>
          <w:lang w:val="en-IN"/>
        </w:rPr>
        <w:t>.</w:t>
      </w:r>
    </w:p>
    <w:p w14:paraId="37AC9AA0" w14:textId="77777777" w:rsidR="00250852" w:rsidRPr="00D677F7" w:rsidRDefault="00665C01" w:rsidP="00D677F7">
      <w:pPr>
        <w:numPr>
          <w:ilvl w:val="0"/>
          <w:numId w:val="32"/>
        </w:numPr>
        <w:tabs>
          <w:tab w:val="num" w:pos="720"/>
        </w:tabs>
        <w:spacing w:line="0" w:lineRule="atLeast"/>
        <w:rPr>
          <w:bCs/>
          <w:color w:val="000000" w:themeColor="text1"/>
          <w:lang w:val="en-IN"/>
        </w:rPr>
      </w:pPr>
      <w:r w:rsidRPr="00D677F7">
        <w:rPr>
          <w:bCs/>
          <w:color w:val="000000" w:themeColor="text1"/>
          <w:lang w:val="en-IN"/>
        </w:rPr>
        <w:t>Fellows AL, et al. Engineered pulmonary artery tissues for measuring contractility, drug testing and disease modelling. Br J Pharmacol. 2025;182(12):2585-2602.</w:t>
      </w:r>
    </w:p>
    <w:p w14:paraId="79E1BD7A" w14:textId="77777777" w:rsidR="00250852" w:rsidRPr="00D677F7" w:rsidRDefault="00665C01" w:rsidP="00D677F7">
      <w:pPr>
        <w:numPr>
          <w:ilvl w:val="0"/>
          <w:numId w:val="32"/>
        </w:numPr>
        <w:tabs>
          <w:tab w:val="num" w:pos="720"/>
        </w:tabs>
        <w:spacing w:line="0" w:lineRule="atLeast"/>
        <w:rPr>
          <w:bCs/>
          <w:color w:val="000000" w:themeColor="text1"/>
          <w:lang w:val="en-IN"/>
        </w:rPr>
      </w:pPr>
      <w:r w:rsidRPr="00D677F7">
        <w:rPr>
          <w:bCs/>
          <w:color w:val="000000" w:themeColor="text1"/>
          <w:lang w:val="en-IN"/>
        </w:rPr>
        <w:t>Augustin HG, Koh GY. A systems view of the vascular endothelium in health and disease. Cell. 2024;187(18):4833-4858.</w:t>
      </w:r>
    </w:p>
    <w:p w14:paraId="0D455884" w14:textId="06093129" w:rsidR="00250852" w:rsidRPr="00D677F7" w:rsidRDefault="00665C01" w:rsidP="00D677F7">
      <w:pPr>
        <w:numPr>
          <w:ilvl w:val="0"/>
          <w:numId w:val="32"/>
        </w:numPr>
        <w:tabs>
          <w:tab w:val="num" w:pos="720"/>
        </w:tabs>
        <w:spacing w:line="0" w:lineRule="atLeast"/>
        <w:rPr>
          <w:bCs/>
          <w:color w:val="000000" w:themeColor="text1"/>
          <w:lang w:val="en-IN"/>
        </w:rPr>
      </w:pPr>
      <w:proofErr w:type="spellStart"/>
      <w:r w:rsidRPr="00D677F7">
        <w:rPr>
          <w:bCs/>
          <w:color w:val="000000" w:themeColor="text1"/>
          <w:lang w:val="en-IN"/>
        </w:rPr>
        <w:t>Rouwkema</w:t>
      </w:r>
      <w:proofErr w:type="spellEnd"/>
      <w:r w:rsidRPr="00D677F7">
        <w:rPr>
          <w:bCs/>
          <w:color w:val="000000" w:themeColor="text1"/>
          <w:lang w:val="en-IN"/>
        </w:rPr>
        <w:t xml:space="preserve"> J, </w:t>
      </w:r>
      <w:r w:rsidR="002A0B47" w:rsidRPr="00D677F7">
        <w:rPr>
          <w:bCs/>
          <w:color w:val="000000" w:themeColor="text1"/>
          <w:lang w:val="en-IN"/>
        </w:rPr>
        <w:t>et al</w:t>
      </w:r>
      <w:r w:rsidRPr="00D677F7">
        <w:rPr>
          <w:bCs/>
          <w:color w:val="000000" w:themeColor="text1"/>
          <w:lang w:val="en-IN"/>
        </w:rPr>
        <w:t xml:space="preserve">. Supply of nutrients to cells in engineered tissues. </w:t>
      </w:r>
      <w:proofErr w:type="spellStart"/>
      <w:r w:rsidRPr="00D677F7">
        <w:rPr>
          <w:bCs/>
          <w:color w:val="000000" w:themeColor="text1"/>
          <w:lang w:val="en-IN"/>
        </w:rPr>
        <w:t>Biotechnol</w:t>
      </w:r>
      <w:proofErr w:type="spellEnd"/>
      <w:r w:rsidRPr="00D677F7">
        <w:rPr>
          <w:bCs/>
          <w:color w:val="000000" w:themeColor="text1"/>
          <w:lang w:val="en-IN"/>
        </w:rPr>
        <w:t xml:space="preserve"> Genet Eng Rev. 2009;26(1):163-178.</w:t>
      </w:r>
    </w:p>
    <w:sectPr w:rsidR="00250852" w:rsidRPr="00D677F7" w:rsidSect="0063029C">
      <w:headerReference w:type="even" r:id="rId11"/>
      <w:headerReference w:type="default" r:id="rId12"/>
      <w:footerReference w:type="even" r:id="rId13"/>
      <w:footerReference w:type="default" r:id="rId14"/>
      <w:footerReference w:type="first" r:id="rId15"/>
      <w:pgSz w:w="12240" w:h="15840" w:code="1"/>
      <w:pgMar w:top="1440" w:right="1440" w:bottom="1440" w:left="1440" w:header="720" w:footer="607"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DD6AB" w14:textId="77777777" w:rsidR="006655BF" w:rsidRDefault="006655BF">
      <w:r>
        <w:separator/>
      </w:r>
    </w:p>
  </w:endnote>
  <w:endnote w:type="continuationSeparator" w:id="0">
    <w:p w14:paraId="5651A0C8" w14:textId="77777777" w:rsidR="006655BF" w:rsidRDefault="00665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3524888"/>
      <w:docPartObj>
        <w:docPartGallery w:val="Page Numbers (Bottom of Page)"/>
        <w:docPartUnique/>
      </w:docPartObj>
    </w:sdtPr>
    <w:sdtEndPr>
      <w:rPr>
        <w:noProof/>
      </w:rPr>
    </w:sdtEndPr>
    <w:sdtContent>
      <w:p w14:paraId="59B7DCBE" w14:textId="3C7C8D11" w:rsidR="0063029C" w:rsidRDefault="00665C01" w:rsidP="0063029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F93C7" w14:textId="240AAB07" w:rsidR="0063029C" w:rsidRDefault="00665C01" w:rsidP="0063029C">
    <w:pPr>
      <w:pStyle w:val="Footer"/>
      <w:tabs>
        <w:tab w:val="clear" w:pos="4680"/>
        <w:tab w:val="clear" w:pos="9360"/>
        <w:tab w:val="left" w:pos="354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FC264" w14:textId="77777777" w:rsidR="006655BF" w:rsidRDefault="006655BF">
      <w:r>
        <w:separator/>
      </w:r>
    </w:p>
  </w:footnote>
  <w:footnote w:type="continuationSeparator" w:id="0">
    <w:p w14:paraId="55CCF1DF" w14:textId="77777777" w:rsidR="006655BF" w:rsidRDefault="006655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D53AD" w14:textId="77777777" w:rsidR="00F7799C" w:rsidRDefault="00F779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362B2"/>
    <w:multiLevelType w:val="hybridMultilevel"/>
    <w:tmpl w:val="F8AECA40"/>
    <w:lvl w:ilvl="0" w:tplc="5A9EC7E6">
      <w:start w:val="1"/>
      <w:numFmt w:val="decimal"/>
      <w:lvlText w:val="%1."/>
      <w:lvlJc w:val="left"/>
      <w:pPr>
        <w:ind w:left="720" w:hanging="360"/>
      </w:pPr>
    </w:lvl>
    <w:lvl w:ilvl="1" w:tplc="78C2509A" w:tentative="1">
      <w:start w:val="1"/>
      <w:numFmt w:val="lowerLetter"/>
      <w:lvlText w:val="%2."/>
      <w:lvlJc w:val="left"/>
      <w:pPr>
        <w:ind w:left="1440" w:hanging="360"/>
      </w:pPr>
    </w:lvl>
    <w:lvl w:ilvl="2" w:tplc="B5EA718A" w:tentative="1">
      <w:start w:val="1"/>
      <w:numFmt w:val="lowerRoman"/>
      <w:lvlText w:val="%3."/>
      <w:lvlJc w:val="right"/>
      <w:pPr>
        <w:ind w:left="2160" w:hanging="180"/>
      </w:pPr>
    </w:lvl>
    <w:lvl w:ilvl="3" w:tplc="52109FAA" w:tentative="1">
      <w:start w:val="1"/>
      <w:numFmt w:val="decimal"/>
      <w:lvlText w:val="%4."/>
      <w:lvlJc w:val="left"/>
      <w:pPr>
        <w:ind w:left="2880" w:hanging="360"/>
      </w:pPr>
    </w:lvl>
    <w:lvl w:ilvl="4" w:tplc="C588A100" w:tentative="1">
      <w:start w:val="1"/>
      <w:numFmt w:val="lowerLetter"/>
      <w:lvlText w:val="%5."/>
      <w:lvlJc w:val="left"/>
      <w:pPr>
        <w:ind w:left="3600" w:hanging="360"/>
      </w:pPr>
    </w:lvl>
    <w:lvl w:ilvl="5" w:tplc="F9AA7B24" w:tentative="1">
      <w:start w:val="1"/>
      <w:numFmt w:val="lowerRoman"/>
      <w:lvlText w:val="%6."/>
      <w:lvlJc w:val="right"/>
      <w:pPr>
        <w:ind w:left="4320" w:hanging="180"/>
      </w:pPr>
    </w:lvl>
    <w:lvl w:ilvl="6" w:tplc="82580644" w:tentative="1">
      <w:start w:val="1"/>
      <w:numFmt w:val="decimal"/>
      <w:lvlText w:val="%7."/>
      <w:lvlJc w:val="left"/>
      <w:pPr>
        <w:ind w:left="5040" w:hanging="360"/>
      </w:pPr>
    </w:lvl>
    <w:lvl w:ilvl="7" w:tplc="9F0C2654" w:tentative="1">
      <w:start w:val="1"/>
      <w:numFmt w:val="lowerLetter"/>
      <w:lvlText w:val="%8."/>
      <w:lvlJc w:val="left"/>
      <w:pPr>
        <w:ind w:left="5760" w:hanging="360"/>
      </w:pPr>
    </w:lvl>
    <w:lvl w:ilvl="8" w:tplc="B99AB9B6" w:tentative="1">
      <w:start w:val="1"/>
      <w:numFmt w:val="lowerRoman"/>
      <w:lvlText w:val="%9."/>
      <w:lvlJc w:val="right"/>
      <w:pPr>
        <w:ind w:left="6480" w:hanging="180"/>
      </w:pPr>
    </w:lvl>
  </w:abstractNum>
  <w:abstractNum w:abstractNumId="1" w15:restartNumberingAfterBreak="0">
    <w:nsid w:val="0AB31E62"/>
    <w:multiLevelType w:val="hybridMultilevel"/>
    <w:tmpl w:val="F8AECA40"/>
    <w:lvl w:ilvl="0" w:tplc="44E0AC38">
      <w:start w:val="1"/>
      <w:numFmt w:val="decimal"/>
      <w:lvlText w:val="%1."/>
      <w:lvlJc w:val="left"/>
      <w:pPr>
        <w:ind w:left="720" w:hanging="360"/>
      </w:pPr>
    </w:lvl>
    <w:lvl w:ilvl="1" w:tplc="6F20854C" w:tentative="1">
      <w:start w:val="1"/>
      <w:numFmt w:val="lowerLetter"/>
      <w:lvlText w:val="%2."/>
      <w:lvlJc w:val="left"/>
      <w:pPr>
        <w:ind w:left="1440" w:hanging="360"/>
      </w:pPr>
    </w:lvl>
    <w:lvl w:ilvl="2" w:tplc="2DA216BE" w:tentative="1">
      <w:start w:val="1"/>
      <w:numFmt w:val="lowerRoman"/>
      <w:lvlText w:val="%3."/>
      <w:lvlJc w:val="right"/>
      <w:pPr>
        <w:ind w:left="2160" w:hanging="180"/>
      </w:pPr>
    </w:lvl>
    <w:lvl w:ilvl="3" w:tplc="B8F8B818" w:tentative="1">
      <w:start w:val="1"/>
      <w:numFmt w:val="decimal"/>
      <w:lvlText w:val="%4."/>
      <w:lvlJc w:val="left"/>
      <w:pPr>
        <w:ind w:left="2880" w:hanging="360"/>
      </w:pPr>
    </w:lvl>
    <w:lvl w:ilvl="4" w:tplc="E07CB4F2" w:tentative="1">
      <w:start w:val="1"/>
      <w:numFmt w:val="lowerLetter"/>
      <w:lvlText w:val="%5."/>
      <w:lvlJc w:val="left"/>
      <w:pPr>
        <w:ind w:left="3600" w:hanging="360"/>
      </w:pPr>
    </w:lvl>
    <w:lvl w:ilvl="5" w:tplc="43045EFE" w:tentative="1">
      <w:start w:val="1"/>
      <w:numFmt w:val="lowerRoman"/>
      <w:lvlText w:val="%6."/>
      <w:lvlJc w:val="right"/>
      <w:pPr>
        <w:ind w:left="4320" w:hanging="180"/>
      </w:pPr>
    </w:lvl>
    <w:lvl w:ilvl="6" w:tplc="A036DF5E" w:tentative="1">
      <w:start w:val="1"/>
      <w:numFmt w:val="decimal"/>
      <w:lvlText w:val="%7."/>
      <w:lvlJc w:val="left"/>
      <w:pPr>
        <w:ind w:left="5040" w:hanging="360"/>
      </w:pPr>
    </w:lvl>
    <w:lvl w:ilvl="7" w:tplc="DB6C7CF0" w:tentative="1">
      <w:start w:val="1"/>
      <w:numFmt w:val="lowerLetter"/>
      <w:lvlText w:val="%8."/>
      <w:lvlJc w:val="left"/>
      <w:pPr>
        <w:ind w:left="5760" w:hanging="360"/>
      </w:pPr>
    </w:lvl>
    <w:lvl w:ilvl="8" w:tplc="97D0AC90" w:tentative="1">
      <w:start w:val="1"/>
      <w:numFmt w:val="lowerRoman"/>
      <w:lvlText w:val="%9."/>
      <w:lvlJc w:val="right"/>
      <w:pPr>
        <w:ind w:left="6480" w:hanging="180"/>
      </w:pPr>
    </w:lvl>
  </w:abstractNum>
  <w:abstractNum w:abstractNumId="2" w15:restartNumberingAfterBreak="0">
    <w:nsid w:val="0FE15FCA"/>
    <w:multiLevelType w:val="hybridMultilevel"/>
    <w:tmpl w:val="4AAABC5E"/>
    <w:lvl w:ilvl="0" w:tplc="FC444CEC">
      <w:start w:val="1"/>
      <w:numFmt w:val="bullet"/>
      <w:lvlText w:val=""/>
      <w:lvlJc w:val="left"/>
      <w:pPr>
        <w:ind w:left="360" w:hanging="360"/>
      </w:pPr>
      <w:rPr>
        <w:rFonts w:ascii="Symbol" w:hAnsi="Symbol" w:hint="default"/>
        <w:sz w:val="28"/>
        <w:szCs w:val="28"/>
      </w:rPr>
    </w:lvl>
    <w:lvl w:ilvl="1" w:tplc="488C985E" w:tentative="1">
      <w:start w:val="1"/>
      <w:numFmt w:val="bullet"/>
      <w:lvlText w:val="o"/>
      <w:lvlJc w:val="left"/>
      <w:pPr>
        <w:ind w:left="1440" w:hanging="360"/>
      </w:pPr>
      <w:rPr>
        <w:rFonts w:ascii="Courier New" w:hAnsi="Courier New" w:cs="Courier New" w:hint="default"/>
      </w:rPr>
    </w:lvl>
    <w:lvl w:ilvl="2" w:tplc="C6789826" w:tentative="1">
      <w:start w:val="1"/>
      <w:numFmt w:val="bullet"/>
      <w:lvlText w:val=""/>
      <w:lvlJc w:val="left"/>
      <w:pPr>
        <w:ind w:left="2160" w:hanging="360"/>
      </w:pPr>
      <w:rPr>
        <w:rFonts w:ascii="Wingdings" w:hAnsi="Wingdings" w:hint="default"/>
      </w:rPr>
    </w:lvl>
    <w:lvl w:ilvl="3" w:tplc="75966494" w:tentative="1">
      <w:start w:val="1"/>
      <w:numFmt w:val="bullet"/>
      <w:lvlText w:val=""/>
      <w:lvlJc w:val="left"/>
      <w:pPr>
        <w:ind w:left="2880" w:hanging="360"/>
      </w:pPr>
      <w:rPr>
        <w:rFonts w:ascii="Symbol" w:hAnsi="Symbol" w:hint="default"/>
      </w:rPr>
    </w:lvl>
    <w:lvl w:ilvl="4" w:tplc="02B06018" w:tentative="1">
      <w:start w:val="1"/>
      <w:numFmt w:val="bullet"/>
      <w:lvlText w:val="o"/>
      <w:lvlJc w:val="left"/>
      <w:pPr>
        <w:ind w:left="3600" w:hanging="360"/>
      </w:pPr>
      <w:rPr>
        <w:rFonts w:ascii="Courier New" w:hAnsi="Courier New" w:cs="Courier New" w:hint="default"/>
      </w:rPr>
    </w:lvl>
    <w:lvl w:ilvl="5" w:tplc="E042E9B8" w:tentative="1">
      <w:start w:val="1"/>
      <w:numFmt w:val="bullet"/>
      <w:lvlText w:val=""/>
      <w:lvlJc w:val="left"/>
      <w:pPr>
        <w:ind w:left="4320" w:hanging="360"/>
      </w:pPr>
      <w:rPr>
        <w:rFonts w:ascii="Wingdings" w:hAnsi="Wingdings" w:hint="default"/>
      </w:rPr>
    </w:lvl>
    <w:lvl w:ilvl="6" w:tplc="BE5680B0" w:tentative="1">
      <w:start w:val="1"/>
      <w:numFmt w:val="bullet"/>
      <w:lvlText w:val=""/>
      <w:lvlJc w:val="left"/>
      <w:pPr>
        <w:ind w:left="5040" w:hanging="360"/>
      </w:pPr>
      <w:rPr>
        <w:rFonts w:ascii="Symbol" w:hAnsi="Symbol" w:hint="default"/>
      </w:rPr>
    </w:lvl>
    <w:lvl w:ilvl="7" w:tplc="70AC19B4" w:tentative="1">
      <w:start w:val="1"/>
      <w:numFmt w:val="bullet"/>
      <w:lvlText w:val="o"/>
      <w:lvlJc w:val="left"/>
      <w:pPr>
        <w:ind w:left="5760" w:hanging="360"/>
      </w:pPr>
      <w:rPr>
        <w:rFonts w:ascii="Courier New" w:hAnsi="Courier New" w:cs="Courier New" w:hint="default"/>
      </w:rPr>
    </w:lvl>
    <w:lvl w:ilvl="8" w:tplc="588EAA3A" w:tentative="1">
      <w:start w:val="1"/>
      <w:numFmt w:val="bullet"/>
      <w:lvlText w:val=""/>
      <w:lvlJc w:val="left"/>
      <w:pPr>
        <w:ind w:left="6480" w:hanging="360"/>
      </w:pPr>
      <w:rPr>
        <w:rFonts w:ascii="Wingdings" w:hAnsi="Wingdings" w:hint="default"/>
      </w:rPr>
    </w:lvl>
  </w:abstractNum>
  <w:abstractNum w:abstractNumId="3" w15:restartNumberingAfterBreak="0">
    <w:nsid w:val="11EC4E03"/>
    <w:multiLevelType w:val="hybridMultilevel"/>
    <w:tmpl w:val="F8AECA40"/>
    <w:lvl w:ilvl="0" w:tplc="138A1660">
      <w:start w:val="1"/>
      <w:numFmt w:val="decimal"/>
      <w:lvlText w:val="%1."/>
      <w:lvlJc w:val="left"/>
      <w:pPr>
        <w:ind w:left="720" w:hanging="360"/>
      </w:pPr>
    </w:lvl>
    <w:lvl w:ilvl="1" w:tplc="C3A052D4" w:tentative="1">
      <w:start w:val="1"/>
      <w:numFmt w:val="lowerLetter"/>
      <w:lvlText w:val="%2."/>
      <w:lvlJc w:val="left"/>
      <w:pPr>
        <w:ind w:left="1440" w:hanging="360"/>
      </w:pPr>
    </w:lvl>
    <w:lvl w:ilvl="2" w:tplc="E9782A30" w:tentative="1">
      <w:start w:val="1"/>
      <w:numFmt w:val="lowerRoman"/>
      <w:lvlText w:val="%3."/>
      <w:lvlJc w:val="right"/>
      <w:pPr>
        <w:ind w:left="2160" w:hanging="180"/>
      </w:pPr>
    </w:lvl>
    <w:lvl w:ilvl="3" w:tplc="FA58B18A" w:tentative="1">
      <w:start w:val="1"/>
      <w:numFmt w:val="decimal"/>
      <w:lvlText w:val="%4."/>
      <w:lvlJc w:val="left"/>
      <w:pPr>
        <w:ind w:left="2880" w:hanging="360"/>
      </w:pPr>
    </w:lvl>
    <w:lvl w:ilvl="4" w:tplc="771A9AF0" w:tentative="1">
      <w:start w:val="1"/>
      <w:numFmt w:val="lowerLetter"/>
      <w:lvlText w:val="%5."/>
      <w:lvlJc w:val="left"/>
      <w:pPr>
        <w:ind w:left="3600" w:hanging="360"/>
      </w:pPr>
    </w:lvl>
    <w:lvl w:ilvl="5" w:tplc="6BDE8BC6" w:tentative="1">
      <w:start w:val="1"/>
      <w:numFmt w:val="lowerRoman"/>
      <w:lvlText w:val="%6."/>
      <w:lvlJc w:val="right"/>
      <w:pPr>
        <w:ind w:left="4320" w:hanging="180"/>
      </w:pPr>
    </w:lvl>
    <w:lvl w:ilvl="6" w:tplc="D682D2D4" w:tentative="1">
      <w:start w:val="1"/>
      <w:numFmt w:val="decimal"/>
      <w:lvlText w:val="%7."/>
      <w:lvlJc w:val="left"/>
      <w:pPr>
        <w:ind w:left="5040" w:hanging="360"/>
      </w:pPr>
    </w:lvl>
    <w:lvl w:ilvl="7" w:tplc="BE8C955A" w:tentative="1">
      <w:start w:val="1"/>
      <w:numFmt w:val="lowerLetter"/>
      <w:lvlText w:val="%8."/>
      <w:lvlJc w:val="left"/>
      <w:pPr>
        <w:ind w:left="5760" w:hanging="360"/>
      </w:pPr>
    </w:lvl>
    <w:lvl w:ilvl="8" w:tplc="14904C34" w:tentative="1">
      <w:start w:val="1"/>
      <w:numFmt w:val="lowerRoman"/>
      <w:lvlText w:val="%9."/>
      <w:lvlJc w:val="right"/>
      <w:pPr>
        <w:ind w:left="6480" w:hanging="180"/>
      </w:pPr>
    </w:lvl>
  </w:abstractNum>
  <w:abstractNum w:abstractNumId="4" w15:restartNumberingAfterBreak="0">
    <w:nsid w:val="131705E6"/>
    <w:multiLevelType w:val="hybridMultilevel"/>
    <w:tmpl w:val="F8AECA40"/>
    <w:lvl w:ilvl="0" w:tplc="D108B8AC">
      <w:start w:val="1"/>
      <w:numFmt w:val="decimal"/>
      <w:lvlText w:val="%1."/>
      <w:lvlJc w:val="left"/>
      <w:pPr>
        <w:ind w:left="720" w:hanging="360"/>
      </w:pPr>
    </w:lvl>
    <w:lvl w:ilvl="1" w:tplc="372AB02C" w:tentative="1">
      <w:start w:val="1"/>
      <w:numFmt w:val="lowerLetter"/>
      <w:lvlText w:val="%2."/>
      <w:lvlJc w:val="left"/>
      <w:pPr>
        <w:ind w:left="1440" w:hanging="360"/>
      </w:pPr>
    </w:lvl>
    <w:lvl w:ilvl="2" w:tplc="FE64111E" w:tentative="1">
      <w:start w:val="1"/>
      <w:numFmt w:val="lowerRoman"/>
      <w:lvlText w:val="%3."/>
      <w:lvlJc w:val="right"/>
      <w:pPr>
        <w:ind w:left="2160" w:hanging="180"/>
      </w:pPr>
    </w:lvl>
    <w:lvl w:ilvl="3" w:tplc="F5FC7BF8" w:tentative="1">
      <w:start w:val="1"/>
      <w:numFmt w:val="decimal"/>
      <w:lvlText w:val="%4."/>
      <w:lvlJc w:val="left"/>
      <w:pPr>
        <w:ind w:left="2880" w:hanging="360"/>
      </w:pPr>
    </w:lvl>
    <w:lvl w:ilvl="4" w:tplc="642C42CA" w:tentative="1">
      <w:start w:val="1"/>
      <w:numFmt w:val="lowerLetter"/>
      <w:lvlText w:val="%5."/>
      <w:lvlJc w:val="left"/>
      <w:pPr>
        <w:ind w:left="3600" w:hanging="360"/>
      </w:pPr>
    </w:lvl>
    <w:lvl w:ilvl="5" w:tplc="D38AE00C" w:tentative="1">
      <w:start w:val="1"/>
      <w:numFmt w:val="lowerRoman"/>
      <w:lvlText w:val="%6."/>
      <w:lvlJc w:val="right"/>
      <w:pPr>
        <w:ind w:left="4320" w:hanging="180"/>
      </w:pPr>
    </w:lvl>
    <w:lvl w:ilvl="6" w:tplc="BE4E60C8" w:tentative="1">
      <w:start w:val="1"/>
      <w:numFmt w:val="decimal"/>
      <w:lvlText w:val="%7."/>
      <w:lvlJc w:val="left"/>
      <w:pPr>
        <w:ind w:left="5040" w:hanging="360"/>
      </w:pPr>
    </w:lvl>
    <w:lvl w:ilvl="7" w:tplc="4412E102" w:tentative="1">
      <w:start w:val="1"/>
      <w:numFmt w:val="lowerLetter"/>
      <w:lvlText w:val="%8."/>
      <w:lvlJc w:val="left"/>
      <w:pPr>
        <w:ind w:left="5760" w:hanging="360"/>
      </w:pPr>
    </w:lvl>
    <w:lvl w:ilvl="8" w:tplc="B37E97C4" w:tentative="1">
      <w:start w:val="1"/>
      <w:numFmt w:val="lowerRoman"/>
      <w:lvlText w:val="%9."/>
      <w:lvlJc w:val="right"/>
      <w:pPr>
        <w:ind w:left="6480" w:hanging="180"/>
      </w:pPr>
    </w:lvl>
  </w:abstractNum>
  <w:abstractNum w:abstractNumId="5" w15:restartNumberingAfterBreak="0">
    <w:nsid w:val="133227B1"/>
    <w:multiLevelType w:val="hybridMultilevel"/>
    <w:tmpl w:val="E69A5FB6"/>
    <w:lvl w:ilvl="0" w:tplc="B3600498">
      <w:start w:val="1"/>
      <w:numFmt w:val="decimal"/>
      <w:lvlText w:val="%1."/>
      <w:lvlJc w:val="left"/>
      <w:pPr>
        <w:ind w:left="720" w:hanging="360"/>
      </w:pPr>
    </w:lvl>
    <w:lvl w:ilvl="1" w:tplc="8552FC8E" w:tentative="1">
      <w:start w:val="1"/>
      <w:numFmt w:val="lowerLetter"/>
      <w:lvlText w:val="%2."/>
      <w:lvlJc w:val="left"/>
      <w:pPr>
        <w:ind w:left="1440" w:hanging="360"/>
      </w:pPr>
    </w:lvl>
    <w:lvl w:ilvl="2" w:tplc="6652F028" w:tentative="1">
      <w:start w:val="1"/>
      <w:numFmt w:val="lowerRoman"/>
      <w:lvlText w:val="%3."/>
      <w:lvlJc w:val="right"/>
      <w:pPr>
        <w:ind w:left="2160" w:hanging="180"/>
      </w:pPr>
    </w:lvl>
    <w:lvl w:ilvl="3" w:tplc="ECE21B4A" w:tentative="1">
      <w:start w:val="1"/>
      <w:numFmt w:val="decimal"/>
      <w:lvlText w:val="%4."/>
      <w:lvlJc w:val="left"/>
      <w:pPr>
        <w:ind w:left="2880" w:hanging="360"/>
      </w:pPr>
    </w:lvl>
    <w:lvl w:ilvl="4" w:tplc="2AA41E48" w:tentative="1">
      <w:start w:val="1"/>
      <w:numFmt w:val="lowerLetter"/>
      <w:lvlText w:val="%5."/>
      <w:lvlJc w:val="left"/>
      <w:pPr>
        <w:ind w:left="3600" w:hanging="360"/>
      </w:pPr>
    </w:lvl>
    <w:lvl w:ilvl="5" w:tplc="F7AE6448" w:tentative="1">
      <w:start w:val="1"/>
      <w:numFmt w:val="lowerRoman"/>
      <w:lvlText w:val="%6."/>
      <w:lvlJc w:val="right"/>
      <w:pPr>
        <w:ind w:left="4320" w:hanging="180"/>
      </w:pPr>
    </w:lvl>
    <w:lvl w:ilvl="6" w:tplc="B2F4A8D4" w:tentative="1">
      <w:start w:val="1"/>
      <w:numFmt w:val="decimal"/>
      <w:lvlText w:val="%7."/>
      <w:lvlJc w:val="left"/>
      <w:pPr>
        <w:ind w:left="5040" w:hanging="360"/>
      </w:pPr>
    </w:lvl>
    <w:lvl w:ilvl="7" w:tplc="5494336E" w:tentative="1">
      <w:start w:val="1"/>
      <w:numFmt w:val="lowerLetter"/>
      <w:lvlText w:val="%8."/>
      <w:lvlJc w:val="left"/>
      <w:pPr>
        <w:ind w:left="5760" w:hanging="360"/>
      </w:pPr>
    </w:lvl>
    <w:lvl w:ilvl="8" w:tplc="492A1D4A" w:tentative="1">
      <w:start w:val="1"/>
      <w:numFmt w:val="lowerRoman"/>
      <w:lvlText w:val="%9."/>
      <w:lvlJc w:val="right"/>
      <w:pPr>
        <w:ind w:left="6480" w:hanging="180"/>
      </w:pPr>
    </w:lvl>
  </w:abstractNum>
  <w:abstractNum w:abstractNumId="6" w15:restartNumberingAfterBreak="0">
    <w:nsid w:val="15EC3F4C"/>
    <w:multiLevelType w:val="hybridMultilevel"/>
    <w:tmpl w:val="F8AECA40"/>
    <w:lvl w:ilvl="0" w:tplc="FE6E6816">
      <w:start w:val="1"/>
      <w:numFmt w:val="decimal"/>
      <w:lvlText w:val="%1."/>
      <w:lvlJc w:val="left"/>
      <w:pPr>
        <w:ind w:left="720" w:hanging="360"/>
      </w:pPr>
    </w:lvl>
    <w:lvl w:ilvl="1" w:tplc="6C80CA32" w:tentative="1">
      <w:start w:val="1"/>
      <w:numFmt w:val="lowerLetter"/>
      <w:lvlText w:val="%2."/>
      <w:lvlJc w:val="left"/>
      <w:pPr>
        <w:ind w:left="1440" w:hanging="360"/>
      </w:pPr>
    </w:lvl>
    <w:lvl w:ilvl="2" w:tplc="945C32EE" w:tentative="1">
      <w:start w:val="1"/>
      <w:numFmt w:val="lowerRoman"/>
      <w:lvlText w:val="%3."/>
      <w:lvlJc w:val="right"/>
      <w:pPr>
        <w:ind w:left="2160" w:hanging="180"/>
      </w:pPr>
    </w:lvl>
    <w:lvl w:ilvl="3" w:tplc="342A940E" w:tentative="1">
      <w:start w:val="1"/>
      <w:numFmt w:val="decimal"/>
      <w:lvlText w:val="%4."/>
      <w:lvlJc w:val="left"/>
      <w:pPr>
        <w:ind w:left="2880" w:hanging="360"/>
      </w:pPr>
    </w:lvl>
    <w:lvl w:ilvl="4" w:tplc="7D9C6504" w:tentative="1">
      <w:start w:val="1"/>
      <w:numFmt w:val="lowerLetter"/>
      <w:lvlText w:val="%5."/>
      <w:lvlJc w:val="left"/>
      <w:pPr>
        <w:ind w:left="3600" w:hanging="360"/>
      </w:pPr>
    </w:lvl>
    <w:lvl w:ilvl="5" w:tplc="E65CEF48" w:tentative="1">
      <w:start w:val="1"/>
      <w:numFmt w:val="lowerRoman"/>
      <w:lvlText w:val="%6."/>
      <w:lvlJc w:val="right"/>
      <w:pPr>
        <w:ind w:left="4320" w:hanging="180"/>
      </w:pPr>
    </w:lvl>
    <w:lvl w:ilvl="6" w:tplc="30C0B8F8" w:tentative="1">
      <w:start w:val="1"/>
      <w:numFmt w:val="decimal"/>
      <w:lvlText w:val="%7."/>
      <w:lvlJc w:val="left"/>
      <w:pPr>
        <w:ind w:left="5040" w:hanging="360"/>
      </w:pPr>
    </w:lvl>
    <w:lvl w:ilvl="7" w:tplc="7CA68412" w:tentative="1">
      <w:start w:val="1"/>
      <w:numFmt w:val="lowerLetter"/>
      <w:lvlText w:val="%8."/>
      <w:lvlJc w:val="left"/>
      <w:pPr>
        <w:ind w:left="5760" w:hanging="360"/>
      </w:pPr>
    </w:lvl>
    <w:lvl w:ilvl="8" w:tplc="45BA6674" w:tentative="1">
      <w:start w:val="1"/>
      <w:numFmt w:val="lowerRoman"/>
      <w:lvlText w:val="%9."/>
      <w:lvlJc w:val="right"/>
      <w:pPr>
        <w:ind w:left="6480" w:hanging="180"/>
      </w:pPr>
    </w:lvl>
  </w:abstractNum>
  <w:abstractNum w:abstractNumId="7" w15:restartNumberingAfterBreak="0">
    <w:nsid w:val="1C966059"/>
    <w:multiLevelType w:val="hybridMultilevel"/>
    <w:tmpl w:val="F8AECA40"/>
    <w:lvl w:ilvl="0" w:tplc="3BBAD5B6">
      <w:start w:val="1"/>
      <w:numFmt w:val="decimal"/>
      <w:lvlText w:val="%1."/>
      <w:lvlJc w:val="left"/>
      <w:pPr>
        <w:ind w:left="720" w:hanging="360"/>
      </w:pPr>
    </w:lvl>
    <w:lvl w:ilvl="1" w:tplc="47B09824" w:tentative="1">
      <w:start w:val="1"/>
      <w:numFmt w:val="lowerLetter"/>
      <w:lvlText w:val="%2."/>
      <w:lvlJc w:val="left"/>
      <w:pPr>
        <w:ind w:left="1440" w:hanging="360"/>
      </w:pPr>
    </w:lvl>
    <w:lvl w:ilvl="2" w:tplc="3D5C644E" w:tentative="1">
      <w:start w:val="1"/>
      <w:numFmt w:val="lowerRoman"/>
      <w:lvlText w:val="%3."/>
      <w:lvlJc w:val="right"/>
      <w:pPr>
        <w:ind w:left="2160" w:hanging="180"/>
      </w:pPr>
    </w:lvl>
    <w:lvl w:ilvl="3" w:tplc="7EC48266" w:tentative="1">
      <w:start w:val="1"/>
      <w:numFmt w:val="decimal"/>
      <w:lvlText w:val="%4."/>
      <w:lvlJc w:val="left"/>
      <w:pPr>
        <w:ind w:left="2880" w:hanging="360"/>
      </w:pPr>
    </w:lvl>
    <w:lvl w:ilvl="4" w:tplc="E39A230C" w:tentative="1">
      <w:start w:val="1"/>
      <w:numFmt w:val="lowerLetter"/>
      <w:lvlText w:val="%5."/>
      <w:lvlJc w:val="left"/>
      <w:pPr>
        <w:ind w:left="3600" w:hanging="360"/>
      </w:pPr>
    </w:lvl>
    <w:lvl w:ilvl="5" w:tplc="C8DA0678" w:tentative="1">
      <w:start w:val="1"/>
      <w:numFmt w:val="lowerRoman"/>
      <w:lvlText w:val="%6."/>
      <w:lvlJc w:val="right"/>
      <w:pPr>
        <w:ind w:left="4320" w:hanging="180"/>
      </w:pPr>
    </w:lvl>
    <w:lvl w:ilvl="6" w:tplc="797E340A" w:tentative="1">
      <w:start w:val="1"/>
      <w:numFmt w:val="decimal"/>
      <w:lvlText w:val="%7."/>
      <w:lvlJc w:val="left"/>
      <w:pPr>
        <w:ind w:left="5040" w:hanging="360"/>
      </w:pPr>
    </w:lvl>
    <w:lvl w:ilvl="7" w:tplc="E6144574" w:tentative="1">
      <w:start w:val="1"/>
      <w:numFmt w:val="lowerLetter"/>
      <w:lvlText w:val="%8."/>
      <w:lvlJc w:val="left"/>
      <w:pPr>
        <w:ind w:left="5760" w:hanging="360"/>
      </w:pPr>
    </w:lvl>
    <w:lvl w:ilvl="8" w:tplc="00562178" w:tentative="1">
      <w:start w:val="1"/>
      <w:numFmt w:val="lowerRoman"/>
      <w:lvlText w:val="%9."/>
      <w:lvlJc w:val="right"/>
      <w:pPr>
        <w:ind w:left="6480" w:hanging="180"/>
      </w:pPr>
    </w:lvl>
  </w:abstractNum>
  <w:abstractNum w:abstractNumId="8" w15:restartNumberingAfterBreak="0">
    <w:nsid w:val="21BA043A"/>
    <w:multiLevelType w:val="hybridMultilevel"/>
    <w:tmpl w:val="97EA5562"/>
    <w:lvl w:ilvl="0" w:tplc="72F0CAE6">
      <w:start w:val="1"/>
      <w:numFmt w:val="decimal"/>
      <w:lvlText w:val="%1."/>
      <w:lvlJc w:val="left"/>
      <w:pPr>
        <w:ind w:left="720" w:hanging="360"/>
      </w:pPr>
    </w:lvl>
    <w:lvl w:ilvl="1" w:tplc="97EA5B76" w:tentative="1">
      <w:start w:val="1"/>
      <w:numFmt w:val="lowerLetter"/>
      <w:lvlText w:val="%2."/>
      <w:lvlJc w:val="left"/>
      <w:pPr>
        <w:ind w:left="1440" w:hanging="360"/>
      </w:pPr>
    </w:lvl>
    <w:lvl w:ilvl="2" w:tplc="19701C7C" w:tentative="1">
      <w:start w:val="1"/>
      <w:numFmt w:val="lowerRoman"/>
      <w:lvlText w:val="%3."/>
      <w:lvlJc w:val="right"/>
      <w:pPr>
        <w:ind w:left="2160" w:hanging="180"/>
      </w:pPr>
    </w:lvl>
    <w:lvl w:ilvl="3" w:tplc="20DCE27A" w:tentative="1">
      <w:start w:val="1"/>
      <w:numFmt w:val="decimal"/>
      <w:lvlText w:val="%4."/>
      <w:lvlJc w:val="left"/>
      <w:pPr>
        <w:ind w:left="2880" w:hanging="360"/>
      </w:pPr>
    </w:lvl>
    <w:lvl w:ilvl="4" w:tplc="239090EA" w:tentative="1">
      <w:start w:val="1"/>
      <w:numFmt w:val="lowerLetter"/>
      <w:lvlText w:val="%5."/>
      <w:lvlJc w:val="left"/>
      <w:pPr>
        <w:ind w:left="3600" w:hanging="360"/>
      </w:pPr>
    </w:lvl>
    <w:lvl w:ilvl="5" w:tplc="D38C1B5C" w:tentative="1">
      <w:start w:val="1"/>
      <w:numFmt w:val="lowerRoman"/>
      <w:lvlText w:val="%6."/>
      <w:lvlJc w:val="right"/>
      <w:pPr>
        <w:ind w:left="4320" w:hanging="180"/>
      </w:pPr>
    </w:lvl>
    <w:lvl w:ilvl="6" w:tplc="EEE2FB38" w:tentative="1">
      <w:start w:val="1"/>
      <w:numFmt w:val="decimal"/>
      <w:lvlText w:val="%7."/>
      <w:lvlJc w:val="left"/>
      <w:pPr>
        <w:ind w:left="5040" w:hanging="360"/>
      </w:pPr>
    </w:lvl>
    <w:lvl w:ilvl="7" w:tplc="32C4E552" w:tentative="1">
      <w:start w:val="1"/>
      <w:numFmt w:val="lowerLetter"/>
      <w:lvlText w:val="%8."/>
      <w:lvlJc w:val="left"/>
      <w:pPr>
        <w:ind w:left="5760" w:hanging="360"/>
      </w:pPr>
    </w:lvl>
    <w:lvl w:ilvl="8" w:tplc="2CCAA800" w:tentative="1">
      <w:start w:val="1"/>
      <w:numFmt w:val="lowerRoman"/>
      <w:lvlText w:val="%9."/>
      <w:lvlJc w:val="right"/>
      <w:pPr>
        <w:ind w:left="6480" w:hanging="180"/>
      </w:pPr>
    </w:lvl>
  </w:abstractNum>
  <w:abstractNum w:abstractNumId="9" w15:restartNumberingAfterBreak="0">
    <w:nsid w:val="240A5F44"/>
    <w:multiLevelType w:val="hybridMultilevel"/>
    <w:tmpl w:val="87FAFC60"/>
    <w:lvl w:ilvl="0" w:tplc="4D9A97C4">
      <w:start w:val="1"/>
      <w:numFmt w:val="decimal"/>
      <w:lvlText w:val="%1."/>
      <w:lvlJc w:val="left"/>
      <w:pPr>
        <w:ind w:left="720" w:hanging="360"/>
      </w:pPr>
    </w:lvl>
    <w:lvl w:ilvl="1" w:tplc="AFF49256" w:tentative="1">
      <w:start w:val="1"/>
      <w:numFmt w:val="lowerLetter"/>
      <w:lvlText w:val="%2."/>
      <w:lvlJc w:val="left"/>
      <w:pPr>
        <w:ind w:left="1440" w:hanging="360"/>
      </w:pPr>
    </w:lvl>
    <w:lvl w:ilvl="2" w:tplc="98C8A8CC" w:tentative="1">
      <w:start w:val="1"/>
      <w:numFmt w:val="lowerRoman"/>
      <w:lvlText w:val="%3."/>
      <w:lvlJc w:val="right"/>
      <w:pPr>
        <w:ind w:left="2160" w:hanging="180"/>
      </w:pPr>
    </w:lvl>
    <w:lvl w:ilvl="3" w:tplc="4A3C51B2" w:tentative="1">
      <w:start w:val="1"/>
      <w:numFmt w:val="decimal"/>
      <w:lvlText w:val="%4."/>
      <w:lvlJc w:val="left"/>
      <w:pPr>
        <w:ind w:left="2880" w:hanging="360"/>
      </w:pPr>
    </w:lvl>
    <w:lvl w:ilvl="4" w:tplc="68749CCA" w:tentative="1">
      <w:start w:val="1"/>
      <w:numFmt w:val="lowerLetter"/>
      <w:lvlText w:val="%5."/>
      <w:lvlJc w:val="left"/>
      <w:pPr>
        <w:ind w:left="3600" w:hanging="360"/>
      </w:pPr>
    </w:lvl>
    <w:lvl w:ilvl="5" w:tplc="85E2C70E" w:tentative="1">
      <w:start w:val="1"/>
      <w:numFmt w:val="lowerRoman"/>
      <w:lvlText w:val="%6."/>
      <w:lvlJc w:val="right"/>
      <w:pPr>
        <w:ind w:left="4320" w:hanging="180"/>
      </w:pPr>
    </w:lvl>
    <w:lvl w:ilvl="6" w:tplc="ED6E498E" w:tentative="1">
      <w:start w:val="1"/>
      <w:numFmt w:val="decimal"/>
      <w:lvlText w:val="%7."/>
      <w:lvlJc w:val="left"/>
      <w:pPr>
        <w:ind w:left="5040" w:hanging="360"/>
      </w:pPr>
    </w:lvl>
    <w:lvl w:ilvl="7" w:tplc="48AA33D2" w:tentative="1">
      <w:start w:val="1"/>
      <w:numFmt w:val="lowerLetter"/>
      <w:lvlText w:val="%8."/>
      <w:lvlJc w:val="left"/>
      <w:pPr>
        <w:ind w:left="5760" w:hanging="360"/>
      </w:pPr>
    </w:lvl>
    <w:lvl w:ilvl="8" w:tplc="8640C660" w:tentative="1">
      <w:start w:val="1"/>
      <w:numFmt w:val="lowerRoman"/>
      <w:lvlText w:val="%9."/>
      <w:lvlJc w:val="right"/>
      <w:pPr>
        <w:ind w:left="6480" w:hanging="180"/>
      </w:pPr>
    </w:lvl>
  </w:abstractNum>
  <w:abstractNum w:abstractNumId="10"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1"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D1373D0"/>
    <w:multiLevelType w:val="hybridMultilevel"/>
    <w:tmpl w:val="64823644"/>
    <w:lvl w:ilvl="0" w:tplc="6082D97A">
      <w:start w:val="1"/>
      <w:numFmt w:val="bullet"/>
      <w:lvlText w:val=""/>
      <w:lvlJc w:val="left"/>
      <w:pPr>
        <w:ind w:left="720" w:hanging="360"/>
      </w:pPr>
      <w:rPr>
        <w:rFonts w:ascii="Symbol" w:hAnsi="Symbol" w:hint="default"/>
      </w:rPr>
    </w:lvl>
    <w:lvl w:ilvl="1" w:tplc="D528F5B8" w:tentative="1">
      <w:start w:val="1"/>
      <w:numFmt w:val="bullet"/>
      <w:lvlText w:val="o"/>
      <w:lvlJc w:val="left"/>
      <w:pPr>
        <w:ind w:left="1440" w:hanging="360"/>
      </w:pPr>
      <w:rPr>
        <w:rFonts w:ascii="Courier New" w:hAnsi="Courier New" w:cs="Courier New" w:hint="default"/>
      </w:rPr>
    </w:lvl>
    <w:lvl w:ilvl="2" w:tplc="55D2EB6E" w:tentative="1">
      <w:start w:val="1"/>
      <w:numFmt w:val="bullet"/>
      <w:lvlText w:val=""/>
      <w:lvlJc w:val="left"/>
      <w:pPr>
        <w:ind w:left="2160" w:hanging="360"/>
      </w:pPr>
      <w:rPr>
        <w:rFonts w:ascii="Wingdings" w:hAnsi="Wingdings" w:hint="default"/>
      </w:rPr>
    </w:lvl>
    <w:lvl w:ilvl="3" w:tplc="9342DFAE" w:tentative="1">
      <w:start w:val="1"/>
      <w:numFmt w:val="bullet"/>
      <w:lvlText w:val=""/>
      <w:lvlJc w:val="left"/>
      <w:pPr>
        <w:ind w:left="2880" w:hanging="360"/>
      </w:pPr>
      <w:rPr>
        <w:rFonts w:ascii="Symbol" w:hAnsi="Symbol" w:hint="default"/>
      </w:rPr>
    </w:lvl>
    <w:lvl w:ilvl="4" w:tplc="913ADFC0" w:tentative="1">
      <w:start w:val="1"/>
      <w:numFmt w:val="bullet"/>
      <w:lvlText w:val="o"/>
      <w:lvlJc w:val="left"/>
      <w:pPr>
        <w:ind w:left="3600" w:hanging="360"/>
      </w:pPr>
      <w:rPr>
        <w:rFonts w:ascii="Courier New" w:hAnsi="Courier New" w:cs="Courier New" w:hint="default"/>
      </w:rPr>
    </w:lvl>
    <w:lvl w:ilvl="5" w:tplc="747E96FE" w:tentative="1">
      <w:start w:val="1"/>
      <w:numFmt w:val="bullet"/>
      <w:lvlText w:val=""/>
      <w:lvlJc w:val="left"/>
      <w:pPr>
        <w:ind w:left="4320" w:hanging="360"/>
      </w:pPr>
      <w:rPr>
        <w:rFonts w:ascii="Wingdings" w:hAnsi="Wingdings" w:hint="default"/>
      </w:rPr>
    </w:lvl>
    <w:lvl w:ilvl="6" w:tplc="F654871C" w:tentative="1">
      <w:start w:val="1"/>
      <w:numFmt w:val="bullet"/>
      <w:lvlText w:val=""/>
      <w:lvlJc w:val="left"/>
      <w:pPr>
        <w:ind w:left="5040" w:hanging="360"/>
      </w:pPr>
      <w:rPr>
        <w:rFonts w:ascii="Symbol" w:hAnsi="Symbol" w:hint="default"/>
      </w:rPr>
    </w:lvl>
    <w:lvl w:ilvl="7" w:tplc="CAF6DBA6" w:tentative="1">
      <w:start w:val="1"/>
      <w:numFmt w:val="bullet"/>
      <w:lvlText w:val="o"/>
      <w:lvlJc w:val="left"/>
      <w:pPr>
        <w:ind w:left="5760" w:hanging="360"/>
      </w:pPr>
      <w:rPr>
        <w:rFonts w:ascii="Courier New" w:hAnsi="Courier New" w:cs="Courier New" w:hint="default"/>
      </w:rPr>
    </w:lvl>
    <w:lvl w:ilvl="8" w:tplc="F190C918" w:tentative="1">
      <w:start w:val="1"/>
      <w:numFmt w:val="bullet"/>
      <w:lvlText w:val=""/>
      <w:lvlJc w:val="left"/>
      <w:pPr>
        <w:ind w:left="6480" w:hanging="360"/>
      </w:pPr>
      <w:rPr>
        <w:rFonts w:ascii="Wingdings" w:hAnsi="Wingdings" w:hint="default"/>
      </w:rPr>
    </w:lvl>
  </w:abstractNum>
  <w:abstractNum w:abstractNumId="13"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2E07ABC"/>
    <w:multiLevelType w:val="hybridMultilevel"/>
    <w:tmpl w:val="DF8229D0"/>
    <w:lvl w:ilvl="0" w:tplc="07E06BD4">
      <w:start w:val="1"/>
      <w:numFmt w:val="decimal"/>
      <w:lvlText w:val="%1."/>
      <w:lvlJc w:val="left"/>
      <w:pPr>
        <w:ind w:left="720" w:hanging="360"/>
      </w:pPr>
    </w:lvl>
    <w:lvl w:ilvl="1" w:tplc="290ABFC2" w:tentative="1">
      <w:start w:val="1"/>
      <w:numFmt w:val="lowerLetter"/>
      <w:lvlText w:val="%2."/>
      <w:lvlJc w:val="left"/>
      <w:pPr>
        <w:ind w:left="1440" w:hanging="360"/>
      </w:pPr>
    </w:lvl>
    <w:lvl w:ilvl="2" w:tplc="F0A23864" w:tentative="1">
      <w:start w:val="1"/>
      <w:numFmt w:val="lowerRoman"/>
      <w:lvlText w:val="%3."/>
      <w:lvlJc w:val="right"/>
      <w:pPr>
        <w:ind w:left="2160" w:hanging="180"/>
      </w:pPr>
    </w:lvl>
    <w:lvl w:ilvl="3" w:tplc="9FCAB6C8" w:tentative="1">
      <w:start w:val="1"/>
      <w:numFmt w:val="decimal"/>
      <w:lvlText w:val="%4."/>
      <w:lvlJc w:val="left"/>
      <w:pPr>
        <w:ind w:left="2880" w:hanging="360"/>
      </w:pPr>
    </w:lvl>
    <w:lvl w:ilvl="4" w:tplc="C28C07F4" w:tentative="1">
      <w:start w:val="1"/>
      <w:numFmt w:val="lowerLetter"/>
      <w:lvlText w:val="%5."/>
      <w:lvlJc w:val="left"/>
      <w:pPr>
        <w:ind w:left="3600" w:hanging="360"/>
      </w:pPr>
    </w:lvl>
    <w:lvl w:ilvl="5" w:tplc="99D05DCA" w:tentative="1">
      <w:start w:val="1"/>
      <w:numFmt w:val="lowerRoman"/>
      <w:lvlText w:val="%6."/>
      <w:lvlJc w:val="right"/>
      <w:pPr>
        <w:ind w:left="4320" w:hanging="180"/>
      </w:pPr>
    </w:lvl>
    <w:lvl w:ilvl="6" w:tplc="902209B2" w:tentative="1">
      <w:start w:val="1"/>
      <w:numFmt w:val="decimal"/>
      <w:lvlText w:val="%7."/>
      <w:lvlJc w:val="left"/>
      <w:pPr>
        <w:ind w:left="5040" w:hanging="360"/>
      </w:pPr>
    </w:lvl>
    <w:lvl w:ilvl="7" w:tplc="3254444A" w:tentative="1">
      <w:start w:val="1"/>
      <w:numFmt w:val="lowerLetter"/>
      <w:lvlText w:val="%8."/>
      <w:lvlJc w:val="left"/>
      <w:pPr>
        <w:ind w:left="5760" w:hanging="360"/>
      </w:pPr>
    </w:lvl>
    <w:lvl w:ilvl="8" w:tplc="3FE21BD4" w:tentative="1">
      <w:start w:val="1"/>
      <w:numFmt w:val="lowerRoman"/>
      <w:lvlText w:val="%9."/>
      <w:lvlJc w:val="right"/>
      <w:pPr>
        <w:ind w:left="6480" w:hanging="180"/>
      </w:pPr>
    </w:lvl>
  </w:abstractNum>
  <w:abstractNum w:abstractNumId="15"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7"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8845D92"/>
    <w:multiLevelType w:val="multilevel"/>
    <w:tmpl w:val="0630BB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08F0293"/>
    <w:multiLevelType w:val="hybridMultilevel"/>
    <w:tmpl w:val="FA6EDFA4"/>
    <w:lvl w:ilvl="0" w:tplc="773E2592">
      <w:start w:val="1"/>
      <w:numFmt w:val="bullet"/>
      <w:lvlText w:val=""/>
      <w:lvlJc w:val="left"/>
      <w:pPr>
        <w:ind w:left="720" w:hanging="360"/>
      </w:pPr>
      <w:rPr>
        <w:rFonts w:ascii="Symbol" w:hAnsi="Symbol" w:hint="default"/>
      </w:rPr>
    </w:lvl>
    <w:lvl w:ilvl="1" w:tplc="D0840210" w:tentative="1">
      <w:start w:val="1"/>
      <w:numFmt w:val="bullet"/>
      <w:lvlText w:val="o"/>
      <w:lvlJc w:val="left"/>
      <w:pPr>
        <w:ind w:left="1440" w:hanging="360"/>
      </w:pPr>
      <w:rPr>
        <w:rFonts w:ascii="Courier New" w:hAnsi="Courier New" w:cs="Courier New" w:hint="default"/>
      </w:rPr>
    </w:lvl>
    <w:lvl w:ilvl="2" w:tplc="9006DF70" w:tentative="1">
      <w:start w:val="1"/>
      <w:numFmt w:val="bullet"/>
      <w:lvlText w:val=""/>
      <w:lvlJc w:val="left"/>
      <w:pPr>
        <w:ind w:left="2160" w:hanging="360"/>
      </w:pPr>
      <w:rPr>
        <w:rFonts w:ascii="Wingdings" w:hAnsi="Wingdings" w:hint="default"/>
      </w:rPr>
    </w:lvl>
    <w:lvl w:ilvl="3" w:tplc="5D667C00" w:tentative="1">
      <w:start w:val="1"/>
      <w:numFmt w:val="bullet"/>
      <w:lvlText w:val=""/>
      <w:lvlJc w:val="left"/>
      <w:pPr>
        <w:ind w:left="2880" w:hanging="360"/>
      </w:pPr>
      <w:rPr>
        <w:rFonts w:ascii="Symbol" w:hAnsi="Symbol" w:hint="default"/>
      </w:rPr>
    </w:lvl>
    <w:lvl w:ilvl="4" w:tplc="9C4C9C50" w:tentative="1">
      <w:start w:val="1"/>
      <w:numFmt w:val="bullet"/>
      <w:lvlText w:val="o"/>
      <w:lvlJc w:val="left"/>
      <w:pPr>
        <w:ind w:left="3600" w:hanging="360"/>
      </w:pPr>
      <w:rPr>
        <w:rFonts w:ascii="Courier New" w:hAnsi="Courier New" w:cs="Courier New" w:hint="default"/>
      </w:rPr>
    </w:lvl>
    <w:lvl w:ilvl="5" w:tplc="260852AA" w:tentative="1">
      <w:start w:val="1"/>
      <w:numFmt w:val="bullet"/>
      <w:lvlText w:val=""/>
      <w:lvlJc w:val="left"/>
      <w:pPr>
        <w:ind w:left="4320" w:hanging="360"/>
      </w:pPr>
      <w:rPr>
        <w:rFonts w:ascii="Wingdings" w:hAnsi="Wingdings" w:hint="default"/>
      </w:rPr>
    </w:lvl>
    <w:lvl w:ilvl="6" w:tplc="CF2C6E0A" w:tentative="1">
      <w:start w:val="1"/>
      <w:numFmt w:val="bullet"/>
      <w:lvlText w:val=""/>
      <w:lvlJc w:val="left"/>
      <w:pPr>
        <w:ind w:left="5040" w:hanging="360"/>
      </w:pPr>
      <w:rPr>
        <w:rFonts w:ascii="Symbol" w:hAnsi="Symbol" w:hint="default"/>
      </w:rPr>
    </w:lvl>
    <w:lvl w:ilvl="7" w:tplc="DEFAB13C" w:tentative="1">
      <w:start w:val="1"/>
      <w:numFmt w:val="bullet"/>
      <w:lvlText w:val="o"/>
      <w:lvlJc w:val="left"/>
      <w:pPr>
        <w:ind w:left="5760" w:hanging="360"/>
      </w:pPr>
      <w:rPr>
        <w:rFonts w:ascii="Courier New" w:hAnsi="Courier New" w:cs="Courier New" w:hint="default"/>
      </w:rPr>
    </w:lvl>
    <w:lvl w:ilvl="8" w:tplc="BF42DC92" w:tentative="1">
      <w:start w:val="1"/>
      <w:numFmt w:val="bullet"/>
      <w:lvlText w:val=""/>
      <w:lvlJc w:val="left"/>
      <w:pPr>
        <w:ind w:left="6480" w:hanging="360"/>
      </w:pPr>
      <w:rPr>
        <w:rFonts w:ascii="Wingdings" w:hAnsi="Wingdings" w:hint="default"/>
      </w:rPr>
    </w:lvl>
  </w:abstractNum>
  <w:abstractNum w:abstractNumId="21"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F6757B9"/>
    <w:multiLevelType w:val="hybridMultilevel"/>
    <w:tmpl w:val="1CC28B72"/>
    <w:lvl w:ilvl="0" w:tplc="0DFE06B6">
      <w:start w:val="1"/>
      <w:numFmt w:val="decimal"/>
      <w:lvlText w:val="%1."/>
      <w:lvlJc w:val="left"/>
      <w:pPr>
        <w:ind w:left="720" w:hanging="360"/>
      </w:pPr>
    </w:lvl>
    <w:lvl w:ilvl="1" w:tplc="BC047BAA" w:tentative="1">
      <w:start w:val="1"/>
      <w:numFmt w:val="lowerLetter"/>
      <w:lvlText w:val="%2."/>
      <w:lvlJc w:val="left"/>
      <w:pPr>
        <w:ind w:left="1440" w:hanging="360"/>
      </w:pPr>
    </w:lvl>
    <w:lvl w:ilvl="2" w:tplc="AC3870D4" w:tentative="1">
      <w:start w:val="1"/>
      <w:numFmt w:val="lowerRoman"/>
      <w:lvlText w:val="%3."/>
      <w:lvlJc w:val="right"/>
      <w:pPr>
        <w:ind w:left="2160" w:hanging="180"/>
      </w:pPr>
    </w:lvl>
    <w:lvl w:ilvl="3" w:tplc="F014C6EC" w:tentative="1">
      <w:start w:val="1"/>
      <w:numFmt w:val="decimal"/>
      <w:lvlText w:val="%4."/>
      <w:lvlJc w:val="left"/>
      <w:pPr>
        <w:ind w:left="2880" w:hanging="360"/>
      </w:pPr>
    </w:lvl>
    <w:lvl w:ilvl="4" w:tplc="C9601112" w:tentative="1">
      <w:start w:val="1"/>
      <w:numFmt w:val="lowerLetter"/>
      <w:lvlText w:val="%5."/>
      <w:lvlJc w:val="left"/>
      <w:pPr>
        <w:ind w:left="3600" w:hanging="360"/>
      </w:pPr>
    </w:lvl>
    <w:lvl w:ilvl="5" w:tplc="427E2DF2" w:tentative="1">
      <w:start w:val="1"/>
      <w:numFmt w:val="lowerRoman"/>
      <w:lvlText w:val="%6."/>
      <w:lvlJc w:val="right"/>
      <w:pPr>
        <w:ind w:left="4320" w:hanging="180"/>
      </w:pPr>
    </w:lvl>
    <w:lvl w:ilvl="6" w:tplc="E96EC8C8" w:tentative="1">
      <w:start w:val="1"/>
      <w:numFmt w:val="decimal"/>
      <w:lvlText w:val="%7."/>
      <w:lvlJc w:val="left"/>
      <w:pPr>
        <w:ind w:left="5040" w:hanging="360"/>
      </w:pPr>
    </w:lvl>
    <w:lvl w:ilvl="7" w:tplc="30D49B04" w:tentative="1">
      <w:start w:val="1"/>
      <w:numFmt w:val="lowerLetter"/>
      <w:lvlText w:val="%8."/>
      <w:lvlJc w:val="left"/>
      <w:pPr>
        <w:ind w:left="5760" w:hanging="360"/>
      </w:pPr>
    </w:lvl>
    <w:lvl w:ilvl="8" w:tplc="6DFA88F6" w:tentative="1">
      <w:start w:val="1"/>
      <w:numFmt w:val="lowerRoman"/>
      <w:lvlText w:val="%9."/>
      <w:lvlJc w:val="right"/>
      <w:pPr>
        <w:ind w:left="6480" w:hanging="180"/>
      </w:pPr>
    </w:lvl>
  </w:abstractNum>
  <w:abstractNum w:abstractNumId="25" w15:restartNumberingAfterBreak="0">
    <w:nsid w:val="50FC11D4"/>
    <w:multiLevelType w:val="hybridMultilevel"/>
    <w:tmpl w:val="84D43CAC"/>
    <w:lvl w:ilvl="0" w:tplc="2FE016A8">
      <w:start w:val="1"/>
      <w:numFmt w:val="bullet"/>
      <w:lvlText w:val=""/>
      <w:lvlJc w:val="left"/>
      <w:pPr>
        <w:ind w:left="360" w:hanging="360"/>
      </w:pPr>
      <w:rPr>
        <w:rFonts w:ascii="Symbol" w:hAnsi="Symbol" w:hint="default"/>
        <w:sz w:val="28"/>
        <w:szCs w:val="28"/>
      </w:rPr>
    </w:lvl>
    <w:lvl w:ilvl="1" w:tplc="9A1A6308" w:tentative="1">
      <w:start w:val="1"/>
      <w:numFmt w:val="bullet"/>
      <w:lvlText w:val="o"/>
      <w:lvlJc w:val="left"/>
      <w:pPr>
        <w:ind w:left="1080" w:hanging="360"/>
      </w:pPr>
      <w:rPr>
        <w:rFonts w:ascii="Courier New" w:hAnsi="Courier New" w:cs="Courier New" w:hint="default"/>
      </w:rPr>
    </w:lvl>
    <w:lvl w:ilvl="2" w:tplc="AB56816A" w:tentative="1">
      <w:start w:val="1"/>
      <w:numFmt w:val="bullet"/>
      <w:lvlText w:val=""/>
      <w:lvlJc w:val="left"/>
      <w:pPr>
        <w:ind w:left="1800" w:hanging="360"/>
      </w:pPr>
      <w:rPr>
        <w:rFonts w:ascii="Wingdings" w:hAnsi="Wingdings" w:hint="default"/>
      </w:rPr>
    </w:lvl>
    <w:lvl w:ilvl="3" w:tplc="3C5CEB22" w:tentative="1">
      <w:start w:val="1"/>
      <w:numFmt w:val="bullet"/>
      <w:lvlText w:val=""/>
      <w:lvlJc w:val="left"/>
      <w:pPr>
        <w:ind w:left="2520" w:hanging="360"/>
      </w:pPr>
      <w:rPr>
        <w:rFonts w:ascii="Symbol" w:hAnsi="Symbol" w:hint="default"/>
      </w:rPr>
    </w:lvl>
    <w:lvl w:ilvl="4" w:tplc="FD16F6A8" w:tentative="1">
      <w:start w:val="1"/>
      <w:numFmt w:val="bullet"/>
      <w:lvlText w:val="o"/>
      <w:lvlJc w:val="left"/>
      <w:pPr>
        <w:ind w:left="3240" w:hanging="360"/>
      </w:pPr>
      <w:rPr>
        <w:rFonts w:ascii="Courier New" w:hAnsi="Courier New" w:cs="Courier New" w:hint="default"/>
      </w:rPr>
    </w:lvl>
    <w:lvl w:ilvl="5" w:tplc="53241A44" w:tentative="1">
      <w:start w:val="1"/>
      <w:numFmt w:val="bullet"/>
      <w:lvlText w:val=""/>
      <w:lvlJc w:val="left"/>
      <w:pPr>
        <w:ind w:left="3960" w:hanging="360"/>
      </w:pPr>
      <w:rPr>
        <w:rFonts w:ascii="Wingdings" w:hAnsi="Wingdings" w:hint="default"/>
      </w:rPr>
    </w:lvl>
    <w:lvl w:ilvl="6" w:tplc="25EACDAA" w:tentative="1">
      <w:start w:val="1"/>
      <w:numFmt w:val="bullet"/>
      <w:lvlText w:val=""/>
      <w:lvlJc w:val="left"/>
      <w:pPr>
        <w:ind w:left="4680" w:hanging="360"/>
      </w:pPr>
      <w:rPr>
        <w:rFonts w:ascii="Symbol" w:hAnsi="Symbol" w:hint="default"/>
      </w:rPr>
    </w:lvl>
    <w:lvl w:ilvl="7" w:tplc="83502E6C" w:tentative="1">
      <w:start w:val="1"/>
      <w:numFmt w:val="bullet"/>
      <w:lvlText w:val="o"/>
      <w:lvlJc w:val="left"/>
      <w:pPr>
        <w:ind w:left="5400" w:hanging="360"/>
      </w:pPr>
      <w:rPr>
        <w:rFonts w:ascii="Courier New" w:hAnsi="Courier New" w:cs="Courier New" w:hint="default"/>
      </w:rPr>
    </w:lvl>
    <w:lvl w:ilvl="8" w:tplc="74382B08" w:tentative="1">
      <w:start w:val="1"/>
      <w:numFmt w:val="bullet"/>
      <w:lvlText w:val=""/>
      <w:lvlJc w:val="left"/>
      <w:pPr>
        <w:ind w:left="6120" w:hanging="360"/>
      </w:pPr>
      <w:rPr>
        <w:rFonts w:ascii="Wingdings" w:hAnsi="Wingdings" w:hint="default"/>
      </w:rPr>
    </w:lvl>
  </w:abstractNum>
  <w:abstractNum w:abstractNumId="26" w15:restartNumberingAfterBreak="0">
    <w:nsid w:val="5BE1220C"/>
    <w:multiLevelType w:val="hybridMultilevel"/>
    <w:tmpl w:val="F8AECA40"/>
    <w:lvl w:ilvl="0" w:tplc="2CD8DDAE">
      <w:start w:val="1"/>
      <w:numFmt w:val="decimal"/>
      <w:lvlText w:val="%1."/>
      <w:lvlJc w:val="left"/>
      <w:pPr>
        <w:ind w:left="720" w:hanging="360"/>
      </w:pPr>
    </w:lvl>
    <w:lvl w:ilvl="1" w:tplc="FD289182" w:tentative="1">
      <w:start w:val="1"/>
      <w:numFmt w:val="lowerLetter"/>
      <w:lvlText w:val="%2."/>
      <w:lvlJc w:val="left"/>
      <w:pPr>
        <w:ind w:left="1440" w:hanging="360"/>
      </w:pPr>
    </w:lvl>
    <w:lvl w:ilvl="2" w:tplc="C1A2E046" w:tentative="1">
      <w:start w:val="1"/>
      <w:numFmt w:val="lowerRoman"/>
      <w:lvlText w:val="%3."/>
      <w:lvlJc w:val="right"/>
      <w:pPr>
        <w:ind w:left="2160" w:hanging="180"/>
      </w:pPr>
    </w:lvl>
    <w:lvl w:ilvl="3" w:tplc="58EA8B4C" w:tentative="1">
      <w:start w:val="1"/>
      <w:numFmt w:val="decimal"/>
      <w:lvlText w:val="%4."/>
      <w:lvlJc w:val="left"/>
      <w:pPr>
        <w:ind w:left="2880" w:hanging="360"/>
      </w:pPr>
    </w:lvl>
    <w:lvl w:ilvl="4" w:tplc="6BEE12C2" w:tentative="1">
      <w:start w:val="1"/>
      <w:numFmt w:val="lowerLetter"/>
      <w:lvlText w:val="%5."/>
      <w:lvlJc w:val="left"/>
      <w:pPr>
        <w:ind w:left="3600" w:hanging="360"/>
      </w:pPr>
    </w:lvl>
    <w:lvl w:ilvl="5" w:tplc="EAAE93EC" w:tentative="1">
      <w:start w:val="1"/>
      <w:numFmt w:val="lowerRoman"/>
      <w:lvlText w:val="%6."/>
      <w:lvlJc w:val="right"/>
      <w:pPr>
        <w:ind w:left="4320" w:hanging="180"/>
      </w:pPr>
    </w:lvl>
    <w:lvl w:ilvl="6" w:tplc="409028A6" w:tentative="1">
      <w:start w:val="1"/>
      <w:numFmt w:val="decimal"/>
      <w:lvlText w:val="%7."/>
      <w:lvlJc w:val="left"/>
      <w:pPr>
        <w:ind w:left="5040" w:hanging="360"/>
      </w:pPr>
    </w:lvl>
    <w:lvl w:ilvl="7" w:tplc="D224694A" w:tentative="1">
      <w:start w:val="1"/>
      <w:numFmt w:val="lowerLetter"/>
      <w:lvlText w:val="%8."/>
      <w:lvlJc w:val="left"/>
      <w:pPr>
        <w:ind w:left="5760" w:hanging="360"/>
      </w:pPr>
    </w:lvl>
    <w:lvl w:ilvl="8" w:tplc="C65C7476" w:tentative="1">
      <w:start w:val="1"/>
      <w:numFmt w:val="lowerRoman"/>
      <w:lvlText w:val="%9."/>
      <w:lvlJc w:val="right"/>
      <w:pPr>
        <w:ind w:left="6480" w:hanging="180"/>
      </w:pPr>
    </w:lvl>
  </w:abstractNum>
  <w:abstractNum w:abstractNumId="27"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F155705"/>
    <w:multiLevelType w:val="hybridMultilevel"/>
    <w:tmpl w:val="F8AECA40"/>
    <w:lvl w:ilvl="0" w:tplc="606A2CB0">
      <w:start w:val="1"/>
      <w:numFmt w:val="decimal"/>
      <w:lvlText w:val="%1."/>
      <w:lvlJc w:val="left"/>
      <w:pPr>
        <w:ind w:left="720" w:hanging="360"/>
      </w:pPr>
    </w:lvl>
    <w:lvl w:ilvl="1" w:tplc="D12644C8" w:tentative="1">
      <w:start w:val="1"/>
      <w:numFmt w:val="lowerLetter"/>
      <w:lvlText w:val="%2."/>
      <w:lvlJc w:val="left"/>
      <w:pPr>
        <w:ind w:left="1440" w:hanging="360"/>
      </w:pPr>
    </w:lvl>
    <w:lvl w:ilvl="2" w:tplc="26584E1E" w:tentative="1">
      <w:start w:val="1"/>
      <w:numFmt w:val="lowerRoman"/>
      <w:lvlText w:val="%3."/>
      <w:lvlJc w:val="right"/>
      <w:pPr>
        <w:ind w:left="2160" w:hanging="180"/>
      </w:pPr>
    </w:lvl>
    <w:lvl w:ilvl="3" w:tplc="3674563A" w:tentative="1">
      <w:start w:val="1"/>
      <w:numFmt w:val="decimal"/>
      <w:lvlText w:val="%4."/>
      <w:lvlJc w:val="left"/>
      <w:pPr>
        <w:ind w:left="2880" w:hanging="360"/>
      </w:pPr>
    </w:lvl>
    <w:lvl w:ilvl="4" w:tplc="6130F428" w:tentative="1">
      <w:start w:val="1"/>
      <w:numFmt w:val="lowerLetter"/>
      <w:lvlText w:val="%5."/>
      <w:lvlJc w:val="left"/>
      <w:pPr>
        <w:ind w:left="3600" w:hanging="360"/>
      </w:pPr>
    </w:lvl>
    <w:lvl w:ilvl="5" w:tplc="404279CC" w:tentative="1">
      <w:start w:val="1"/>
      <w:numFmt w:val="lowerRoman"/>
      <w:lvlText w:val="%6."/>
      <w:lvlJc w:val="right"/>
      <w:pPr>
        <w:ind w:left="4320" w:hanging="180"/>
      </w:pPr>
    </w:lvl>
    <w:lvl w:ilvl="6" w:tplc="F0CA17C6" w:tentative="1">
      <w:start w:val="1"/>
      <w:numFmt w:val="decimal"/>
      <w:lvlText w:val="%7."/>
      <w:lvlJc w:val="left"/>
      <w:pPr>
        <w:ind w:left="5040" w:hanging="360"/>
      </w:pPr>
    </w:lvl>
    <w:lvl w:ilvl="7" w:tplc="5292FC90" w:tentative="1">
      <w:start w:val="1"/>
      <w:numFmt w:val="lowerLetter"/>
      <w:lvlText w:val="%8."/>
      <w:lvlJc w:val="left"/>
      <w:pPr>
        <w:ind w:left="5760" w:hanging="360"/>
      </w:pPr>
    </w:lvl>
    <w:lvl w:ilvl="8" w:tplc="B0B2097E" w:tentative="1">
      <w:start w:val="1"/>
      <w:numFmt w:val="lowerRoman"/>
      <w:lvlText w:val="%9."/>
      <w:lvlJc w:val="right"/>
      <w:pPr>
        <w:ind w:left="6480" w:hanging="180"/>
      </w:pPr>
    </w:lvl>
  </w:abstractNum>
  <w:abstractNum w:abstractNumId="29"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47B6BC2"/>
    <w:multiLevelType w:val="hybridMultilevel"/>
    <w:tmpl w:val="36F6EDBE"/>
    <w:lvl w:ilvl="0" w:tplc="2D50ABF8">
      <w:start w:val="1"/>
      <w:numFmt w:val="bullet"/>
      <w:lvlText w:val=""/>
      <w:lvlJc w:val="left"/>
      <w:pPr>
        <w:ind w:left="720" w:hanging="360"/>
      </w:pPr>
      <w:rPr>
        <w:rFonts w:ascii="Symbol" w:hAnsi="Symbol" w:hint="default"/>
      </w:rPr>
    </w:lvl>
    <w:lvl w:ilvl="1" w:tplc="D0C47216" w:tentative="1">
      <w:start w:val="1"/>
      <w:numFmt w:val="bullet"/>
      <w:lvlText w:val="o"/>
      <w:lvlJc w:val="left"/>
      <w:pPr>
        <w:ind w:left="1440" w:hanging="360"/>
      </w:pPr>
      <w:rPr>
        <w:rFonts w:ascii="Courier New" w:hAnsi="Courier New" w:cs="Courier New" w:hint="default"/>
      </w:rPr>
    </w:lvl>
    <w:lvl w:ilvl="2" w:tplc="43D009CC" w:tentative="1">
      <w:start w:val="1"/>
      <w:numFmt w:val="bullet"/>
      <w:lvlText w:val=""/>
      <w:lvlJc w:val="left"/>
      <w:pPr>
        <w:ind w:left="2160" w:hanging="360"/>
      </w:pPr>
      <w:rPr>
        <w:rFonts w:ascii="Wingdings" w:hAnsi="Wingdings" w:hint="default"/>
      </w:rPr>
    </w:lvl>
    <w:lvl w:ilvl="3" w:tplc="2EC23032" w:tentative="1">
      <w:start w:val="1"/>
      <w:numFmt w:val="bullet"/>
      <w:lvlText w:val=""/>
      <w:lvlJc w:val="left"/>
      <w:pPr>
        <w:ind w:left="2880" w:hanging="360"/>
      </w:pPr>
      <w:rPr>
        <w:rFonts w:ascii="Symbol" w:hAnsi="Symbol" w:hint="default"/>
      </w:rPr>
    </w:lvl>
    <w:lvl w:ilvl="4" w:tplc="6CF8F6CC" w:tentative="1">
      <w:start w:val="1"/>
      <w:numFmt w:val="bullet"/>
      <w:lvlText w:val="o"/>
      <w:lvlJc w:val="left"/>
      <w:pPr>
        <w:ind w:left="3600" w:hanging="360"/>
      </w:pPr>
      <w:rPr>
        <w:rFonts w:ascii="Courier New" w:hAnsi="Courier New" w:cs="Courier New" w:hint="default"/>
      </w:rPr>
    </w:lvl>
    <w:lvl w:ilvl="5" w:tplc="799E2E56" w:tentative="1">
      <w:start w:val="1"/>
      <w:numFmt w:val="bullet"/>
      <w:lvlText w:val=""/>
      <w:lvlJc w:val="left"/>
      <w:pPr>
        <w:ind w:left="4320" w:hanging="360"/>
      </w:pPr>
      <w:rPr>
        <w:rFonts w:ascii="Wingdings" w:hAnsi="Wingdings" w:hint="default"/>
      </w:rPr>
    </w:lvl>
    <w:lvl w:ilvl="6" w:tplc="E8BAACC8" w:tentative="1">
      <w:start w:val="1"/>
      <w:numFmt w:val="bullet"/>
      <w:lvlText w:val=""/>
      <w:lvlJc w:val="left"/>
      <w:pPr>
        <w:ind w:left="5040" w:hanging="360"/>
      </w:pPr>
      <w:rPr>
        <w:rFonts w:ascii="Symbol" w:hAnsi="Symbol" w:hint="default"/>
      </w:rPr>
    </w:lvl>
    <w:lvl w:ilvl="7" w:tplc="06C62C00" w:tentative="1">
      <w:start w:val="1"/>
      <w:numFmt w:val="bullet"/>
      <w:lvlText w:val="o"/>
      <w:lvlJc w:val="left"/>
      <w:pPr>
        <w:ind w:left="5760" w:hanging="360"/>
      </w:pPr>
      <w:rPr>
        <w:rFonts w:ascii="Courier New" w:hAnsi="Courier New" w:cs="Courier New" w:hint="default"/>
      </w:rPr>
    </w:lvl>
    <w:lvl w:ilvl="8" w:tplc="7BCE251A" w:tentative="1">
      <w:start w:val="1"/>
      <w:numFmt w:val="bullet"/>
      <w:lvlText w:val=""/>
      <w:lvlJc w:val="left"/>
      <w:pPr>
        <w:ind w:left="6480" w:hanging="360"/>
      </w:pPr>
      <w:rPr>
        <w:rFonts w:ascii="Wingdings" w:hAnsi="Wingdings" w:hint="default"/>
      </w:rPr>
    </w:lvl>
  </w:abstractNum>
  <w:abstractNum w:abstractNumId="31" w15:restartNumberingAfterBreak="0">
    <w:nsid w:val="794D63DA"/>
    <w:multiLevelType w:val="multilevel"/>
    <w:tmpl w:val="BF2EE7C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2" w15:restartNumberingAfterBreak="0">
    <w:nsid w:val="7980701F"/>
    <w:multiLevelType w:val="hybridMultilevel"/>
    <w:tmpl w:val="EDCE8ABC"/>
    <w:lvl w:ilvl="0" w:tplc="A2FE9710">
      <w:start w:val="1"/>
      <w:numFmt w:val="decimal"/>
      <w:lvlText w:val="%1."/>
      <w:lvlJc w:val="left"/>
      <w:pPr>
        <w:ind w:left="720" w:hanging="360"/>
      </w:pPr>
    </w:lvl>
    <w:lvl w:ilvl="1" w:tplc="BDBC8DB8" w:tentative="1">
      <w:start w:val="1"/>
      <w:numFmt w:val="lowerLetter"/>
      <w:lvlText w:val="%2."/>
      <w:lvlJc w:val="left"/>
      <w:pPr>
        <w:ind w:left="1440" w:hanging="360"/>
      </w:pPr>
    </w:lvl>
    <w:lvl w:ilvl="2" w:tplc="5AD4FC8C" w:tentative="1">
      <w:start w:val="1"/>
      <w:numFmt w:val="lowerRoman"/>
      <w:lvlText w:val="%3."/>
      <w:lvlJc w:val="right"/>
      <w:pPr>
        <w:ind w:left="2160" w:hanging="180"/>
      </w:pPr>
    </w:lvl>
    <w:lvl w:ilvl="3" w:tplc="340CF8D6" w:tentative="1">
      <w:start w:val="1"/>
      <w:numFmt w:val="decimal"/>
      <w:lvlText w:val="%4."/>
      <w:lvlJc w:val="left"/>
      <w:pPr>
        <w:ind w:left="2880" w:hanging="360"/>
      </w:pPr>
    </w:lvl>
    <w:lvl w:ilvl="4" w:tplc="AAE6D9C8" w:tentative="1">
      <w:start w:val="1"/>
      <w:numFmt w:val="lowerLetter"/>
      <w:lvlText w:val="%5."/>
      <w:lvlJc w:val="left"/>
      <w:pPr>
        <w:ind w:left="3600" w:hanging="360"/>
      </w:pPr>
    </w:lvl>
    <w:lvl w:ilvl="5" w:tplc="60E4951C" w:tentative="1">
      <w:start w:val="1"/>
      <w:numFmt w:val="lowerRoman"/>
      <w:lvlText w:val="%6."/>
      <w:lvlJc w:val="right"/>
      <w:pPr>
        <w:ind w:left="4320" w:hanging="180"/>
      </w:pPr>
    </w:lvl>
    <w:lvl w:ilvl="6" w:tplc="E982E420" w:tentative="1">
      <w:start w:val="1"/>
      <w:numFmt w:val="decimal"/>
      <w:lvlText w:val="%7."/>
      <w:lvlJc w:val="left"/>
      <w:pPr>
        <w:ind w:left="5040" w:hanging="360"/>
      </w:pPr>
    </w:lvl>
    <w:lvl w:ilvl="7" w:tplc="34AE4CEE" w:tentative="1">
      <w:start w:val="1"/>
      <w:numFmt w:val="lowerLetter"/>
      <w:lvlText w:val="%8."/>
      <w:lvlJc w:val="left"/>
      <w:pPr>
        <w:ind w:left="5760" w:hanging="360"/>
      </w:pPr>
    </w:lvl>
    <w:lvl w:ilvl="8" w:tplc="9B9C5D8C" w:tentative="1">
      <w:start w:val="1"/>
      <w:numFmt w:val="lowerRoman"/>
      <w:lvlText w:val="%9."/>
      <w:lvlJc w:val="right"/>
      <w:pPr>
        <w:ind w:left="6480" w:hanging="180"/>
      </w:pPr>
    </w:lvl>
  </w:abstractNum>
  <w:num w:numId="1" w16cid:durableId="1752123839">
    <w:abstractNumId w:val="15"/>
  </w:num>
  <w:num w:numId="2" w16cid:durableId="1984042491">
    <w:abstractNumId w:val="21"/>
  </w:num>
  <w:num w:numId="3" w16cid:durableId="118914537">
    <w:abstractNumId w:val="29"/>
  </w:num>
  <w:num w:numId="4" w16cid:durableId="1932934919">
    <w:abstractNumId w:val="10"/>
  </w:num>
  <w:num w:numId="5" w16cid:durableId="584412448">
    <w:abstractNumId w:val="23"/>
  </w:num>
  <w:num w:numId="6" w16cid:durableId="1692337555">
    <w:abstractNumId w:val="27"/>
  </w:num>
  <w:num w:numId="7" w16cid:durableId="1668751632">
    <w:abstractNumId w:val="16"/>
  </w:num>
  <w:num w:numId="8" w16cid:durableId="1699504584">
    <w:abstractNumId w:val="19"/>
  </w:num>
  <w:num w:numId="9" w16cid:durableId="1471939920">
    <w:abstractNumId w:val="11"/>
  </w:num>
  <w:num w:numId="10" w16cid:durableId="1456294289">
    <w:abstractNumId w:val="17"/>
  </w:num>
  <w:num w:numId="11" w16cid:durableId="1090856223">
    <w:abstractNumId w:val="22"/>
  </w:num>
  <w:num w:numId="12" w16cid:durableId="347753210">
    <w:abstractNumId w:val="13"/>
  </w:num>
  <w:num w:numId="13" w16cid:durableId="62803357">
    <w:abstractNumId w:val="32"/>
  </w:num>
  <w:num w:numId="14" w16cid:durableId="571625102">
    <w:abstractNumId w:val="30"/>
  </w:num>
  <w:num w:numId="15" w16cid:durableId="1783526964">
    <w:abstractNumId w:val="14"/>
  </w:num>
  <w:num w:numId="16" w16cid:durableId="985014971">
    <w:abstractNumId w:val="9"/>
  </w:num>
  <w:num w:numId="17" w16cid:durableId="1511211528">
    <w:abstractNumId w:val="8"/>
  </w:num>
  <w:num w:numId="18" w16cid:durableId="1311205117">
    <w:abstractNumId w:val="20"/>
  </w:num>
  <w:num w:numId="19" w16cid:durableId="81266712">
    <w:abstractNumId w:val="12"/>
  </w:num>
  <w:num w:numId="20" w16cid:durableId="1802188761">
    <w:abstractNumId w:val="25"/>
  </w:num>
  <w:num w:numId="21" w16cid:durableId="225191431">
    <w:abstractNumId w:val="2"/>
  </w:num>
  <w:num w:numId="22" w16cid:durableId="475996718">
    <w:abstractNumId w:val="5"/>
  </w:num>
  <w:num w:numId="23" w16cid:durableId="1294093527">
    <w:abstractNumId w:val="4"/>
  </w:num>
  <w:num w:numId="24" w16cid:durableId="1220096845">
    <w:abstractNumId w:val="1"/>
  </w:num>
  <w:num w:numId="25" w16cid:durableId="2020960226">
    <w:abstractNumId w:val="7"/>
  </w:num>
  <w:num w:numId="26" w16cid:durableId="74863506">
    <w:abstractNumId w:val="0"/>
  </w:num>
  <w:num w:numId="27" w16cid:durableId="175463022">
    <w:abstractNumId w:val="6"/>
  </w:num>
  <w:num w:numId="28" w16cid:durableId="738946227">
    <w:abstractNumId w:val="28"/>
  </w:num>
  <w:num w:numId="29" w16cid:durableId="1537424376">
    <w:abstractNumId w:val="24"/>
  </w:num>
  <w:num w:numId="30" w16cid:durableId="291985933">
    <w:abstractNumId w:val="3"/>
  </w:num>
  <w:num w:numId="31" w16cid:durableId="1457139805">
    <w:abstractNumId w:val="26"/>
  </w:num>
  <w:num w:numId="32" w16cid:durableId="1143427352">
    <w:abstractNumId w:val="31"/>
  </w:num>
  <w:num w:numId="33" w16cid:durableId="5118387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removePersonalInformation/>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0625"/>
    <w:rsid w:val="000038D0"/>
    <w:rsid w:val="000040DF"/>
    <w:rsid w:val="0000515B"/>
    <w:rsid w:val="0000597F"/>
    <w:rsid w:val="00005A4F"/>
    <w:rsid w:val="0000693A"/>
    <w:rsid w:val="0001013A"/>
    <w:rsid w:val="000108CA"/>
    <w:rsid w:val="00011457"/>
    <w:rsid w:val="00012A0E"/>
    <w:rsid w:val="00013652"/>
    <w:rsid w:val="00013A74"/>
    <w:rsid w:val="00014C5B"/>
    <w:rsid w:val="000153D1"/>
    <w:rsid w:val="0002011C"/>
    <w:rsid w:val="00020149"/>
    <w:rsid w:val="00020FC3"/>
    <w:rsid w:val="00022469"/>
    <w:rsid w:val="00023787"/>
    <w:rsid w:val="00023B4F"/>
    <w:rsid w:val="00024190"/>
    <w:rsid w:val="000247E7"/>
    <w:rsid w:val="00025264"/>
    <w:rsid w:val="00026132"/>
    <w:rsid w:val="00026251"/>
    <w:rsid w:val="0003000B"/>
    <w:rsid w:val="00031F75"/>
    <w:rsid w:val="0003214E"/>
    <w:rsid w:val="00034C15"/>
    <w:rsid w:val="00034C49"/>
    <w:rsid w:val="00034DD1"/>
    <w:rsid w:val="00034F51"/>
    <w:rsid w:val="00035507"/>
    <w:rsid w:val="00036B51"/>
    <w:rsid w:val="00037E99"/>
    <w:rsid w:val="000403F9"/>
    <w:rsid w:val="00041C55"/>
    <w:rsid w:val="00042135"/>
    <w:rsid w:val="00042D5C"/>
    <w:rsid w:val="0004322B"/>
    <w:rsid w:val="0004355D"/>
    <w:rsid w:val="00045DDD"/>
    <w:rsid w:val="00045ED9"/>
    <w:rsid w:val="00046B7E"/>
    <w:rsid w:val="00047380"/>
    <w:rsid w:val="00047E97"/>
    <w:rsid w:val="0005069D"/>
    <w:rsid w:val="00050D8E"/>
    <w:rsid w:val="00050E02"/>
    <w:rsid w:val="00051780"/>
    <w:rsid w:val="0005282F"/>
    <w:rsid w:val="00053F37"/>
    <w:rsid w:val="00055361"/>
    <w:rsid w:val="00055456"/>
    <w:rsid w:val="0005782A"/>
    <w:rsid w:val="00057B67"/>
    <w:rsid w:val="00061E0E"/>
    <w:rsid w:val="00062097"/>
    <w:rsid w:val="00062AB9"/>
    <w:rsid w:val="00062C3C"/>
    <w:rsid w:val="00063033"/>
    <w:rsid w:val="0006366A"/>
    <w:rsid w:val="00063C29"/>
    <w:rsid w:val="000655B8"/>
    <w:rsid w:val="00066C2A"/>
    <w:rsid w:val="00072BF6"/>
    <w:rsid w:val="00073EF6"/>
    <w:rsid w:val="0007444C"/>
    <w:rsid w:val="00074793"/>
    <w:rsid w:val="0007506F"/>
    <w:rsid w:val="00076815"/>
    <w:rsid w:val="00076E4E"/>
    <w:rsid w:val="00081C74"/>
    <w:rsid w:val="00081DB1"/>
    <w:rsid w:val="00081F44"/>
    <w:rsid w:val="00082A5F"/>
    <w:rsid w:val="00082EA4"/>
    <w:rsid w:val="00083D38"/>
    <w:rsid w:val="00084098"/>
    <w:rsid w:val="00085629"/>
    <w:rsid w:val="00092213"/>
    <w:rsid w:val="00092AAF"/>
    <w:rsid w:val="0009385B"/>
    <w:rsid w:val="0009389C"/>
    <w:rsid w:val="000943FD"/>
    <w:rsid w:val="00095A8F"/>
    <w:rsid w:val="00095CD1"/>
    <w:rsid w:val="0009665C"/>
    <w:rsid w:val="000A0031"/>
    <w:rsid w:val="000A13CF"/>
    <w:rsid w:val="000A3422"/>
    <w:rsid w:val="000A53D5"/>
    <w:rsid w:val="000A6611"/>
    <w:rsid w:val="000A6654"/>
    <w:rsid w:val="000A6C81"/>
    <w:rsid w:val="000A7DB5"/>
    <w:rsid w:val="000B01DF"/>
    <w:rsid w:val="000B0400"/>
    <w:rsid w:val="000B13C9"/>
    <w:rsid w:val="000B310E"/>
    <w:rsid w:val="000B41B6"/>
    <w:rsid w:val="000B6D9B"/>
    <w:rsid w:val="000B7EBE"/>
    <w:rsid w:val="000B7F81"/>
    <w:rsid w:val="000C1723"/>
    <w:rsid w:val="000C208B"/>
    <w:rsid w:val="000C32F4"/>
    <w:rsid w:val="000C3632"/>
    <w:rsid w:val="000C5222"/>
    <w:rsid w:val="000C53DF"/>
    <w:rsid w:val="000C588A"/>
    <w:rsid w:val="000C7745"/>
    <w:rsid w:val="000D0132"/>
    <w:rsid w:val="000D028E"/>
    <w:rsid w:val="000D0729"/>
    <w:rsid w:val="000D08A1"/>
    <w:rsid w:val="000D1F74"/>
    <w:rsid w:val="000D2B8D"/>
    <w:rsid w:val="000D4087"/>
    <w:rsid w:val="000D4D59"/>
    <w:rsid w:val="000D5144"/>
    <w:rsid w:val="000D5768"/>
    <w:rsid w:val="000D6FEE"/>
    <w:rsid w:val="000E0BAD"/>
    <w:rsid w:val="000E1785"/>
    <w:rsid w:val="000E1BBC"/>
    <w:rsid w:val="000E26C8"/>
    <w:rsid w:val="000E2ABF"/>
    <w:rsid w:val="000E37E8"/>
    <w:rsid w:val="000E3F21"/>
    <w:rsid w:val="000E4C51"/>
    <w:rsid w:val="000E4E6C"/>
    <w:rsid w:val="000E54C6"/>
    <w:rsid w:val="000E54D3"/>
    <w:rsid w:val="000E6A8D"/>
    <w:rsid w:val="000E7DAB"/>
    <w:rsid w:val="000F17EE"/>
    <w:rsid w:val="000F2566"/>
    <w:rsid w:val="000F38B5"/>
    <w:rsid w:val="000F5C87"/>
    <w:rsid w:val="000F6193"/>
    <w:rsid w:val="000F6224"/>
    <w:rsid w:val="000F72BA"/>
    <w:rsid w:val="000F73B3"/>
    <w:rsid w:val="000F787B"/>
    <w:rsid w:val="001001AA"/>
    <w:rsid w:val="00100816"/>
    <w:rsid w:val="00101E00"/>
    <w:rsid w:val="00102236"/>
    <w:rsid w:val="00102B75"/>
    <w:rsid w:val="00105D23"/>
    <w:rsid w:val="0010768E"/>
    <w:rsid w:val="00107FBC"/>
    <w:rsid w:val="00110927"/>
    <w:rsid w:val="00110EF2"/>
    <w:rsid w:val="001153C5"/>
    <w:rsid w:val="00115EAF"/>
    <w:rsid w:val="00117779"/>
    <w:rsid w:val="00117EA3"/>
    <w:rsid w:val="001204A3"/>
    <w:rsid w:val="00120E6C"/>
    <w:rsid w:val="00121B57"/>
    <w:rsid w:val="001234C0"/>
    <w:rsid w:val="00125DFD"/>
    <w:rsid w:val="00126B9D"/>
    <w:rsid w:val="00126D48"/>
    <w:rsid w:val="00126FC5"/>
    <w:rsid w:val="00127232"/>
    <w:rsid w:val="001273BF"/>
    <w:rsid w:val="001301FC"/>
    <w:rsid w:val="00130B44"/>
    <w:rsid w:val="00135485"/>
    <w:rsid w:val="00136A2E"/>
    <w:rsid w:val="00136D4E"/>
    <w:rsid w:val="0013770C"/>
    <w:rsid w:val="00137749"/>
    <w:rsid w:val="00137F62"/>
    <w:rsid w:val="00140EF6"/>
    <w:rsid w:val="00141DA1"/>
    <w:rsid w:val="00144405"/>
    <w:rsid w:val="00144583"/>
    <w:rsid w:val="00144A3B"/>
    <w:rsid w:val="00144AFA"/>
    <w:rsid w:val="00144F57"/>
    <w:rsid w:val="00145F32"/>
    <w:rsid w:val="00146414"/>
    <w:rsid w:val="0014714A"/>
    <w:rsid w:val="0014733E"/>
    <w:rsid w:val="00147CBA"/>
    <w:rsid w:val="00150055"/>
    <w:rsid w:val="00151A7B"/>
    <w:rsid w:val="0015315E"/>
    <w:rsid w:val="0015327B"/>
    <w:rsid w:val="00154FCD"/>
    <w:rsid w:val="00155646"/>
    <w:rsid w:val="00156629"/>
    <w:rsid w:val="00157613"/>
    <w:rsid w:val="00157A12"/>
    <w:rsid w:val="00160CAD"/>
    <w:rsid w:val="00161A6B"/>
    <w:rsid w:val="0016248C"/>
    <w:rsid w:val="001624B5"/>
    <w:rsid w:val="001624E4"/>
    <w:rsid w:val="00162A99"/>
    <w:rsid w:val="001635A3"/>
    <w:rsid w:val="00163667"/>
    <w:rsid w:val="00163B8D"/>
    <w:rsid w:val="001641FB"/>
    <w:rsid w:val="001652D2"/>
    <w:rsid w:val="001716B7"/>
    <w:rsid w:val="00171B1D"/>
    <w:rsid w:val="00171B46"/>
    <w:rsid w:val="0017214A"/>
    <w:rsid w:val="0017272D"/>
    <w:rsid w:val="00173F5C"/>
    <w:rsid w:val="0017515D"/>
    <w:rsid w:val="001757B8"/>
    <w:rsid w:val="00175EA6"/>
    <w:rsid w:val="00175FB1"/>
    <w:rsid w:val="00177F85"/>
    <w:rsid w:val="00180BCE"/>
    <w:rsid w:val="001811BD"/>
    <w:rsid w:val="0018129B"/>
    <w:rsid w:val="00181A81"/>
    <w:rsid w:val="0018201A"/>
    <w:rsid w:val="00183E71"/>
    <w:rsid w:val="0018412F"/>
    <w:rsid w:val="00184E4C"/>
    <w:rsid w:val="00186A78"/>
    <w:rsid w:val="00186DC5"/>
    <w:rsid w:val="0018703D"/>
    <w:rsid w:val="00187105"/>
    <w:rsid w:val="0018798B"/>
    <w:rsid w:val="00187FE9"/>
    <w:rsid w:val="00190B95"/>
    <w:rsid w:val="001920A8"/>
    <w:rsid w:val="001941D0"/>
    <w:rsid w:val="00194C04"/>
    <w:rsid w:val="00194CE8"/>
    <w:rsid w:val="00195755"/>
    <w:rsid w:val="001959A2"/>
    <w:rsid w:val="001959F1"/>
    <w:rsid w:val="00196106"/>
    <w:rsid w:val="001972D2"/>
    <w:rsid w:val="0019758D"/>
    <w:rsid w:val="001A143C"/>
    <w:rsid w:val="001A1AB8"/>
    <w:rsid w:val="001A1CA1"/>
    <w:rsid w:val="001A1EC2"/>
    <w:rsid w:val="001A2B37"/>
    <w:rsid w:val="001A3018"/>
    <w:rsid w:val="001A3189"/>
    <w:rsid w:val="001A3D0F"/>
    <w:rsid w:val="001A4A65"/>
    <w:rsid w:val="001A5137"/>
    <w:rsid w:val="001A5478"/>
    <w:rsid w:val="001A5BFF"/>
    <w:rsid w:val="001A7041"/>
    <w:rsid w:val="001A7757"/>
    <w:rsid w:val="001B06EC"/>
    <w:rsid w:val="001B0CC3"/>
    <w:rsid w:val="001B0E3E"/>
    <w:rsid w:val="001B2081"/>
    <w:rsid w:val="001B4177"/>
    <w:rsid w:val="001B4DF4"/>
    <w:rsid w:val="001B6C62"/>
    <w:rsid w:val="001C036F"/>
    <w:rsid w:val="001C14C6"/>
    <w:rsid w:val="001C299D"/>
    <w:rsid w:val="001C38B2"/>
    <w:rsid w:val="001C45B2"/>
    <w:rsid w:val="001C5015"/>
    <w:rsid w:val="001C592D"/>
    <w:rsid w:val="001C7A9E"/>
    <w:rsid w:val="001D05DB"/>
    <w:rsid w:val="001D1578"/>
    <w:rsid w:val="001D3466"/>
    <w:rsid w:val="001D5DCB"/>
    <w:rsid w:val="001D5F34"/>
    <w:rsid w:val="001D639A"/>
    <w:rsid w:val="001D7419"/>
    <w:rsid w:val="001E0740"/>
    <w:rsid w:val="001E2B1A"/>
    <w:rsid w:val="001E49C3"/>
    <w:rsid w:val="001E5C2C"/>
    <w:rsid w:val="001E6651"/>
    <w:rsid w:val="001E6DB8"/>
    <w:rsid w:val="001E6E87"/>
    <w:rsid w:val="001E734D"/>
    <w:rsid w:val="001F0229"/>
    <w:rsid w:val="001F13F8"/>
    <w:rsid w:val="001F3109"/>
    <w:rsid w:val="001F4732"/>
    <w:rsid w:val="001F4E78"/>
    <w:rsid w:val="001F6388"/>
    <w:rsid w:val="001F647C"/>
    <w:rsid w:val="001F6D03"/>
    <w:rsid w:val="001F7128"/>
    <w:rsid w:val="00202CB7"/>
    <w:rsid w:val="00202EB2"/>
    <w:rsid w:val="00202F5B"/>
    <w:rsid w:val="00203870"/>
    <w:rsid w:val="0020409C"/>
    <w:rsid w:val="0020500B"/>
    <w:rsid w:val="00210C7F"/>
    <w:rsid w:val="00210DD6"/>
    <w:rsid w:val="00210E33"/>
    <w:rsid w:val="002116A1"/>
    <w:rsid w:val="00212E35"/>
    <w:rsid w:val="00214319"/>
    <w:rsid w:val="0021448E"/>
    <w:rsid w:val="0021628D"/>
    <w:rsid w:val="00216774"/>
    <w:rsid w:val="00220CDD"/>
    <w:rsid w:val="00220F2B"/>
    <w:rsid w:val="002216C7"/>
    <w:rsid w:val="00222C5F"/>
    <w:rsid w:val="00222EBA"/>
    <w:rsid w:val="0022475D"/>
    <w:rsid w:val="002248C7"/>
    <w:rsid w:val="00224B81"/>
    <w:rsid w:val="0022520B"/>
    <w:rsid w:val="00225686"/>
    <w:rsid w:val="00225E64"/>
    <w:rsid w:val="00226715"/>
    <w:rsid w:val="00226CD1"/>
    <w:rsid w:val="0022777F"/>
    <w:rsid w:val="002304FA"/>
    <w:rsid w:val="0023107C"/>
    <w:rsid w:val="00232075"/>
    <w:rsid w:val="0023256E"/>
    <w:rsid w:val="0023296D"/>
    <w:rsid w:val="00232DDC"/>
    <w:rsid w:val="00236079"/>
    <w:rsid w:val="00237BC9"/>
    <w:rsid w:val="0023D777"/>
    <w:rsid w:val="00241032"/>
    <w:rsid w:val="00245F7B"/>
    <w:rsid w:val="00247149"/>
    <w:rsid w:val="002503F3"/>
    <w:rsid w:val="002505A8"/>
    <w:rsid w:val="00250852"/>
    <w:rsid w:val="00251C17"/>
    <w:rsid w:val="00252077"/>
    <w:rsid w:val="00252E55"/>
    <w:rsid w:val="002538CB"/>
    <w:rsid w:val="00253F17"/>
    <w:rsid w:val="0025421C"/>
    <w:rsid w:val="00254507"/>
    <w:rsid w:val="00254956"/>
    <w:rsid w:val="00255090"/>
    <w:rsid w:val="00255492"/>
    <w:rsid w:val="00256844"/>
    <w:rsid w:val="002572D8"/>
    <w:rsid w:val="00257964"/>
    <w:rsid w:val="00257CBF"/>
    <w:rsid w:val="00262703"/>
    <w:rsid w:val="00264CF6"/>
    <w:rsid w:val="00265075"/>
    <w:rsid w:val="00266E41"/>
    <w:rsid w:val="00266F3A"/>
    <w:rsid w:val="00267207"/>
    <w:rsid w:val="00270FCE"/>
    <w:rsid w:val="00272B83"/>
    <w:rsid w:val="002738A7"/>
    <w:rsid w:val="00273EDD"/>
    <w:rsid w:val="002741EA"/>
    <w:rsid w:val="002748E2"/>
    <w:rsid w:val="00275240"/>
    <w:rsid w:val="00275622"/>
    <w:rsid w:val="00275856"/>
    <w:rsid w:val="00275978"/>
    <w:rsid w:val="00275D9A"/>
    <w:rsid w:val="00276969"/>
    <w:rsid w:val="0027784D"/>
    <w:rsid w:val="00281442"/>
    <w:rsid w:val="002820A9"/>
    <w:rsid w:val="00283D7F"/>
    <w:rsid w:val="00283FEA"/>
    <w:rsid w:val="002846AE"/>
    <w:rsid w:val="0028493A"/>
    <w:rsid w:val="00284BC1"/>
    <w:rsid w:val="00284BCA"/>
    <w:rsid w:val="00284E85"/>
    <w:rsid w:val="00284FF9"/>
    <w:rsid w:val="002879D9"/>
    <w:rsid w:val="00290E92"/>
    <w:rsid w:val="00290F75"/>
    <w:rsid w:val="00290F85"/>
    <w:rsid w:val="002910F8"/>
    <w:rsid w:val="0029168A"/>
    <w:rsid w:val="0029192D"/>
    <w:rsid w:val="00291954"/>
    <w:rsid w:val="00292185"/>
    <w:rsid w:val="0029233A"/>
    <w:rsid w:val="0029247A"/>
    <w:rsid w:val="002934BC"/>
    <w:rsid w:val="00293D1F"/>
    <w:rsid w:val="00293FA7"/>
    <w:rsid w:val="00294600"/>
    <w:rsid w:val="002947C5"/>
    <w:rsid w:val="00295501"/>
    <w:rsid w:val="0029595F"/>
    <w:rsid w:val="00295DDD"/>
    <w:rsid w:val="00296190"/>
    <w:rsid w:val="0029769E"/>
    <w:rsid w:val="002A0869"/>
    <w:rsid w:val="002A0B47"/>
    <w:rsid w:val="002A0EFD"/>
    <w:rsid w:val="002A140C"/>
    <w:rsid w:val="002A1E57"/>
    <w:rsid w:val="002A23B2"/>
    <w:rsid w:val="002A24DD"/>
    <w:rsid w:val="002A3299"/>
    <w:rsid w:val="002A3654"/>
    <w:rsid w:val="002A372F"/>
    <w:rsid w:val="002A402C"/>
    <w:rsid w:val="002A71DB"/>
    <w:rsid w:val="002A7B26"/>
    <w:rsid w:val="002B2884"/>
    <w:rsid w:val="002B2B31"/>
    <w:rsid w:val="002B355E"/>
    <w:rsid w:val="002C0039"/>
    <w:rsid w:val="002C0D9B"/>
    <w:rsid w:val="002C1661"/>
    <w:rsid w:val="002C2BEA"/>
    <w:rsid w:val="002C2C2B"/>
    <w:rsid w:val="002C301E"/>
    <w:rsid w:val="002C554D"/>
    <w:rsid w:val="002C5B2B"/>
    <w:rsid w:val="002C61BC"/>
    <w:rsid w:val="002C631A"/>
    <w:rsid w:val="002C660B"/>
    <w:rsid w:val="002C69CB"/>
    <w:rsid w:val="002C6F73"/>
    <w:rsid w:val="002C79E8"/>
    <w:rsid w:val="002D002A"/>
    <w:rsid w:val="002D0680"/>
    <w:rsid w:val="002D46AB"/>
    <w:rsid w:val="002D5C04"/>
    <w:rsid w:val="002D68D7"/>
    <w:rsid w:val="002D7591"/>
    <w:rsid w:val="002D76FF"/>
    <w:rsid w:val="002D7F42"/>
    <w:rsid w:val="002D7FDE"/>
    <w:rsid w:val="002E03B4"/>
    <w:rsid w:val="002E0DA0"/>
    <w:rsid w:val="002E1063"/>
    <w:rsid w:val="002E1142"/>
    <w:rsid w:val="002E3FC9"/>
    <w:rsid w:val="002E4371"/>
    <w:rsid w:val="002E4FD7"/>
    <w:rsid w:val="002E55B5"/>
    <w:rsid w:val="002E57F0"/>
    <w:rsid w:val="002E6099"/>
    <w:rsid w:val="002E66F9"/>
    <w:rsid w:val="002F083F"/>
    <w:rsid w:val="002F1520"/>
    <w:rsid w:val="002F19CD"/>
    <w:rsid w:val="002F3667"/>
    <w:rsid w:val="002F577F"/>
    <w:rsid w:val="002F5DE8"/>
    <w:rsid w:val="002F6F6F"/>
    <w:rsid w:val="002F725E"/>
    <w:rsid w:val="0030010F"/>
    <w:rsid w:val="00301482"/>
    <w:rsid w:val="00301BF0"/>
    <w:rsid w:val="00301E2B"/>
    <w:rsid w:val="00303A7A"/>
    <w:rsid w:val="00303A84"/>
    <w:rsid w:val="00303C74"/>
    <w:rsid w:val="003042B8"/>
    <w:rsid w:val="00305C6D"/>
    <w:rsid w:val="003068A5"/>
    <w:rsid w:val="0030713D"/>
    <w:rsid w:val="003107EF"/>
    <w:rsid w:val="00311A2C"/>
    <w:rsid w:val="00313162"/>
    <w:rsid w:val="003147F1"/>
    <w:rsid w:val="00314921"/>
    <w:rsid w:val="00314F77"/>
    <w:rsid w:val="003164F1"/>
    <w:rsid w:val="0031658E"/>
    <w:rsid w:val="00317490"/>
    <w:rsid w:val="00320132"/>
    <w:rsid w:val="00320442"/>
    <w:rsid w:val="003205DD"/>
    <w:rsid w:val="003222A4"/>
    <w:rsid w:val="00323BFE"/>
    <w:rsid w:val="00324B02"/>
    <w:rsid w:val="00324BF6"/>
    <w:rsid w:val="00325EDF"/>
    <w:rsid w:val="003265C3"/>
    <w:rsid w:val="003266E2"/>
    <w:rsid w:val="00327194"/>
    <w:rsid w:val="00330768"/>
    <w:rsid w:val="00332F15"/>
    <w:rsid w:val="00334CB5"/>
    <w:rsid w:val="003357D9"/>
    <w:rsid w:val="00335C55"/>
    <w:rsid w:val="0033620C"/>
    <w:rsid w:val="003364CA"/>
    <w:rsid w:val="00336581"/>
    <w:rsid w:val="00336846"/>
    <w:rsid w:val="00337A81"/>
    <w:rsid w:val="0034012F"/>
    <w:rsid w:val="003412EE"/>
    <w:rsid w:val="00341B2B"/>
    <w:rsid w:val="00341CDF"/>
    <w:rsid w:val="00342364"/>
    <w:rsid w:val="0034337C"/>
    <w:rsid w:val="00344A38"/>
    <w:rsid w:val="00345123"/>
    <w:rsid w:val="003454EA"/>
    <w:rsid w:val="00345A90"/>
    <w:rsid w:val="00346C21"/>
    <w:rsid w:val="003475E7"/>
    <w:rsid w:val="00347BAB"/>
    <w:rsid w:val="00350230"/>
    <w:rsid w:val="00351087"/>
    <w:rsid w:val="00352AEE"/>
    <w:rsid w:val="003530C1"/>
    <w:rsid w:val="00354685"/>
    <w:rsid w:val="003548DA"/>
    <w:rsid w:val="00354EA1"/>
    <w:rsid w:val="003560F4"/>
    <w:rsid w:val="00356228"/>
    <w:rsid w:val="00356880"/>
    <w:rsid w:val="00357298"/>
    <w:rsid w:val="00357420"/>
    <w:rsid w:val="003607B0"/>
    <w:rsid w:val="003610A5"/>
    <w:rsid w:val="00361944"/>
    <w:rsid w:val="00361C67"/>
    <w:rsid w:val="0036372E"/>
    <w:rsid w:val="00363FE2"/>
    <w:rsid w:val="0036594B"/>
    <w:rsid w:val="00366468"/>
    <w:rsid w:val="00366F22"/>
    <w:rsid w:val="00370B76"/>
    <w:rsid w:val="00373386"/>
    <w:rsid w:val="003737F6"/>
    <w:rsid w:val="003738E2"/>
    <w:rsid w:val="00375674"/>
    <w:rsid w:val="003777B2"/>
    <w:rsid w:val="00377AC4"/>
    <w:rsid w:val="00382D3A"/>
    <w:rsid w:val="00384741"/>
    <w:rsid w:val="00384789"/>
    <w:rsid w:val="0038523A"/>
    <w:rsid w:val="0038549F"/>
    <w:rsid w:val="00385582"/>
    <w:rsid w:val="00385B2E"/>
    <w:rsid w:val="00385EE1"/>
    <w:rsid w:val="003867D2"/>
    <w:rsid w:val="00387CDA"/>
    <w:rsid w:val="003905FB"/>
    <w:rsid w:val="0039065F"/>
    <w:rsid w:val="003911A0"/>
    <w:rsid w:val="003922B3"/>
    <w:rsid w:val="00392D6B"/>
    <w:rsid w:val="00392DCD"/>
    <w:rsid w:val="003940B3"/>
    <w:rsid w:val="00394C79"/>
    <w:rsid w:val="003953FF"/>
    <w:rsid w:val="0039556B"/>
    <w:rsid w:val="00396C7D"/>
    <w:rsid w:val="003A5193"/>
    <w:rsid w:val="003A5297"/>
    <w:rsid w:val="003A5D28"/>
    <w:rsid w:val="003A6713"/>
    <w:rsid w:val="003A691D"/>
    <w:rsid w:val="003A70D4"/>
    <w:rsid w:val="003A733D"/>
    <w:rsid w:val="003B06CB"/>
    <w:rsid w:val="003B2007"/>
    <w:rsid w:val="003B2795"/>
    <w:rsid w:val="003B40D1"/>
    <w:rsid w:val="003B4B6F"/>
    <w:rsid w:val="003B4C82"/>
    <w:rsid w:val="003B4DA6"/>
    <w:rsid w:val="003B559D"/>
    <w:rsid w:val="003C0705"/>
    <w:rsid w:val="003C153A"/>
    <w:rsid w:val="003C2445"/>
    <w:rsid w:val="003C29B0"/>
    <w:rsid w:val="003C2D6A"/>
    <w:rsid w:val="003C47E5"/>
    <w:rsid w:val="003D014E"/>
    <w:rsid w:val="003D0744"/>
    <w:rsid w:val="003D09F8"/>
    <w:rsid w:val="003D0AEC"/>
    <w:rsid w:val="003D1D6B"/>
    <w:rsid w:val="003D3419"/>
    <w:rsid w:val="003D4563"/>
    <w:rsid w:val="003D4786"/>
    <w:rsid w:val="003D67E2"/>
    <w:rsid w:val="003D74F9"/>
    <w:rsid w:val="003E09B9"/>
    <w:rsid w:val="003E0A53"/>
    <w:rsid w:val="003E0FDB"/>
    <w:rsid w:val="003E1BE8"/>
    <w:rsid w:val="003E6235"/>
    <w:rsid w:val="003F1009"/>
    <w:rsid w:val="003F12B4"/>
    <w:rsid w:val="003F15A4"/>
    <w:rsid w:val="003F2B21"/>
    <w:rsid w:val="003F5294"/>
    <w:rsid w:val="003F6341"/>
    <w:rsid w:val="003F69EB"/>
    <w:rsid w:val="004007B4"/>
    <w:rsid w:val="00400BDF"/>
    <w:rsid w:val="00400D44"/>
    <w:rsid w:val="004023DE"/>
    <w:rsid w:val="004036FB"/>
    <w:rsid w:val="0040438B"/>
    <w:rsid w:val="0040470C"/>
    <w:rsid w:val="00404B3F"/>
    <w:rsid w:val="0040579A"/>
    <w:rsid w:val="00406569"/>
    <w:rsid w:val="0040786C"/>
    <w:rsid w:val="00410263"/>
    <w:rsid w:val="0041085F"/>
    <w:rsid w:val="00414ADE"/>
    <w:rsid w:val="00414D54"/>
    <w:rsid w:val="0041602B"/>
    <w:rsid w:val="00416F3C"/>
    <w:rsid w:val="00420068"/>
    <w:rsid w:val="00420627"/>
    <w:rsid w:val="00420EC3"/>
    <w:rsid w:val="00420F4B"/>
    <w:rsid w:val="00422199"/>
    <w:rsid w:val="00424E22"/>
    <w:rsid w:val="0042584C"/>
    <w:rsid w:val="00427B56"/>
    <w:rsid w:val="00430CBB"/>
    <w:rsid w:val="00432677"/>
    <w:rsid w:val="004339A5"/>
    <w:rsid w:val="00433EC1"/>
    <w:rsid w:val="004348A1"/>
    <w:rsid w:val="004361C8"/>
    <w:rsid w:val="00436543"/>
    <w:rsid w:val="00436F4D"/>
    <w:rsid w:val="00440E1D"/>
    <w:rsid w:val="004438E1"/>
    <w:rsid w:val="00444422"/>
    <w:rsid w:val="00445197"/>
    <w:rsid w:val="00445663"/>
    <w:rsid w:val="00445F25"/>
    <w:rsid w:val="00446AA1"/>
    <w:rsid w:val="00447516"/>
    <w:rsid w:val="004503F1"/>
    <w:rsid w:val="00452972"/>
    <w:rsid w:val="00453CFB"/>
    <w:rsid w:val="00454767"/>
    <w:rsid w:val="00454BC8"/>
    <w:rsid w:val="00454EF1"/>
    <w:rsid w:val="0045589D"/>
    <w:rsid w:val="004567CF"/>
    <w:rsid w:val="00456BAA"/>
    <w:rsid w:val="00457707"/>
    <w:rsid w:val="00461CF2"/>
    <w:rsid w:val="00461EC7"/>
    <w:rsid w:val="004620C9"/>
    <w:rsid w:val="00462380"/>
    <w:rsid w:val="00464298"/>
    <w:rsid w:val="004654E2"/>
    <w:rsid w:val="004665AE"/>
    <w:rsid w:val="004678C9"/>
    <w:rsid w:val="00467DDA"/>
    <w:rsid w:val="00472A95"/>
    <w:rsid w:val="00472F25"/>
    <w:rsid w:val="0047401A"/>
    <w:rsid w:val="00474DF2"/>
    <w:rsid w:val="00477AB5"/>
    <w:rsid w:val="00482A1F"/>
    <w:rsid w:val="0048333D"/>
    <w:rsid w:val="00483DA1"/>
    <w:rsid w:val="00484B4E"/>
    <w:rsid w:val="00486101"/>
    <w:rsid w:val="0049033C"/>
    <w:rsid w:val="0049111A"/>
    <w:rsid w:val="00491743"/>
    <w:rsid w:val="004918B2"/>
    <w:rsid w:val="004922CD"/>
    <w:rsid w:val="00492A5D"/>
    <w:rsid w:val="0049392A"/>
    <w:rsid w:val="004939EE"/>
    <w:rsid w:val="004967C3"/>
    <w:rsid w:val="004969D3"/>
    <w:rsid w:val="00496FC1"/>
    <w:rsid w:val="004A0B8B"/>
    <w:rsid w:val="004A10A5"/>
    <w:rsid w:val="004A327F"/>
    <w:rsid w:val="004A46C4"/>
    <w:rsid w:val="004A51CF"/>
    <w:rsid w:val="004A60EE"/>
    <w:rsid w:val="004A6332"/>
    <w:rsid w:val="004A76BC"/>
    <w:rsid w:val="004A7DBB"/>
    <w:rsid w:val="004B00AA"/>
    <w:rsid w:val="004B05F6"/>
    <w:rsid w:val="004B0C57"/>
    <w:rsid w:val="004B5619"/>
    <w:rsid w:val="004B6525"/>
    <w:rsid w:val="004B7B90"/>
    <w:rsid w:val="004C0010"/>
    <w:rsid w:val="004C0985"/>
    <w:rsid w:val="004C10BC"/>
    <w:rsid w:val="004C155E"/>
    <w:rsid w:val="004C1B6C"/>
    <w:rsid w:val="004C24CB"/>
    <w:rsid w:val="004C56A6"/>
    <w:rsid w:val="004C5A5D"/>
    <w:rsid w:val="004C61B9"/>
    <w:rsid w:val="004C68E7"/>
    <w:rsid w:val="004C6FAA"/>
    <w:rsid w:val="004C71E2"/>
    <w:rsid w:val="004D020D"/>
    <w:rsid w:val="004D1A75"/>
    <w:rsid w:val="004D1A93"/>
    <w:rsid w:val="004D362E"/>
    <w:rsid w:val="004D3AAD"/>
    <w:rsid w:val="004D499F"/>
    <w:rsid w:val="004D6464"/>
    <w:rsid w:val="004E14D3"/>
    <w:rsid w:val="004E2BA7"/>
    <w:rsid w:val="004E2C8C"/>
    <w:rsid w:val="004E3E2E"/>
    <w:rsid w:val="004E4D6B"/>
    <w:rsid w:val="004E538C"/>
    <w:rsid w:val="004E5C0E"/>
    <w:rsid w:val="004E7B17"/>
    <w:rsid w:val="004F0F48"/>
    <w:rsid w:val="004F1331"/>
    <w:rsid w:val="004F15F4"/>
    <w:rsid w:val="004F17DC"/>
    <w:rsid w:val="004F33F2"/>
    <w:rsid w:val="004F684A"/>
    <w:rsid w:val="004F6AD9"/>
    <w:rsid w:val="004F6B10"/>
    <w:rsid w:val="004F7510"/>
    <w:rsid w:val="00500481"/>
    <w:rsid w:val="005009A5"/>
    <w:rsid w:val="005013F2"/>
    <w:rsid w:val="005028EB"/>
    <w:rsid w:val="00504B84"/>
    <w:rsid w:val="00505BBF"/>
    <w:rsid w:val="00505D00"/>
    <w:rsid w:val="00506220"/>
    <w:rsid w:val="00506C2A"/>
    <w:rsid w:val="00506E72"/>
    <w:rsid w:val="00507593"/>
    <w:rsid w:val="00510668"/>
    <w:rsid w:val="00510822"/>
    <w:rsid w:val="00512E71"/>
    <w:rsid w:val="005137BE"/>
    <w:rsid w:val="00513822"/>
    <w:rsid w:val="00513CCF"/>
    <w:rsid w:val="00515F97"/>
    <w:rsid w:val="00516914"/>
    <w:rsid w:val="00517899"/>
    <w:rsid w:val="0052035D"/>
    <w:rsid w:val="005206F7"/>
    <w:rsid w:val="00520C67"/>
    <w:rsid w:val="00521C58"/>
    <w:rsid w:val="00522839"/>
    <w:rsid w:val="00522FE7"/>
    <w:rsid w:val="00524143"/>
    <w:rsid w:val="00524E23"/>
    <w:rsid w:val="00527D30"/>
    <w:rsid w:val="00527FE4"/>
    <w:rsid w:val="00530D5E"/>
    <w:rsid w:val="00530E6B"/>
    <w:rsid w:val="005319D6"/>
    <w:rsid w:val="00531F25"/>
    <w:rsid w:val="00532AD1"/>
    <w:rsid w:val="005336D0"/>
    <w:rsid w:val="00534E8F"/>
    <w:rsid w:val="005379C1"/>
    <w:rsid w:val="00540D06"/>
    <w:rsid w:val="00541991"/>
    <w:rsid w:val="00543452"/>
    <w:rsid w:val="00544C2D"/>
    <w:rsid w:val="005453E6"/>
    <w:rsid w:val="00545E3B"/>
    <w:rsid w:val="005474B1"/>
    <w:rsid w:val="00547CD3"/>
    <w:rsid w:val="005511E1"/>
    <w:rsid w:val="00551D82"/>
    <w:rsid w:val="00552499"/>
    <w:rsid w:val="005531A3"/>
    <w:rsid w:val="00553415"/>
    <w:rsid w:val="0055344F"/>
    <w:rsid w:val="005535CC"/>
    <w:rsid w:val="00554273"/>
    <w:rsid w:val="005544CF"/>
    <w:rsid w:val="005544EF"/>
    <w:rsid w:val="00555B06"/>
    <w:rsid w:val="00555FC7"/>
    <w:rsid w:val="00557BD5"/>
    <w:rsid w:val="00557EE6"/>
    <w:rsid w:val="005618EA"/>
    <w:rsid w:val="0056240E"/>
    <w:rsid w:val="005643CE"/>
    <w:rsid w:val="00564956"/>
    <w:rsid w:val="00564C50"/>
    <w:rsid w:val="005655E1"/>
    <w:rsid w:val="00567218"/>
    <w:rsid w:val="005676F0"/>
    <w:rsid w:val="00567808"/>
    <w:rsid w:val="00567CCF"/>
    <w:rsid w:val="00570D92"/>
    <w:rsid w:val="005734D7"/>
    <w:rsid w:val="00574C11"/>
    <w:rsid w:val="00575065"/>
    <w:rsid w:val="00575345"/>
    <w:rsid w:val="0057576F"/>
    <w:rsid w:val="00575DEA"/>
    <w:rsid w:val="00575E55"/>
    <w:rsid w:val="00576509"/>
    <w:rsid w:val="00578E38"/>
    <w:rsid w:val="00580B12"/>
    <w:rsid w:val="005821C9"/>
    <w:rsid w:val="005828C7"/>
    <w:rsid w:val="00584558"/>
    <w:rsid w:val="00585773"/>
    <w:rsid w:val="00585AA8"/>
    <w:rsid w:val="00585BA0"/>
    <w:rsid w:val="00585BF5"/>
    <w:rsid w:val="00587160"/>
    <w:rsid w:val="00590705"/>
    <w:rsid w:val="005916DF"/>
    <w:rsid w:val="0059226F"/>
    <w:rsid w:val="00594852"/>
    <w:rsid w:val="005948E7"/>
    <w:rsid w:val="00595555"/>
    <w:rsid w:val="00595A52"/>
    <w:rsid w:val="00596F21"/>
    <w:rsid w:val="005A08DC"/>
    <w:rsid w:val="005A1FD5"/>
    <w:rsid w:val="005A200D"/>
    <w:rsid w:val="005A20D7"/>
    <w:rsid w:val="005A24AC"/>
    <w:rsid w:val="005A2671"/>
    <w:rsid w:val="005A3F6E"/>
    <w:rsid w:val="005A400F"/>
    <w:rsid w:val="005A4BCC"/>
    <w:rsid w:val="005A5C9A"/>
    <w:rsid w:val="005A60DF"/>
    <w:rsid w:val="005A637B"/>
    <w:rsid w:val="005A6E4C"/>
    <w:rsid w:val="005B1413"/>
    <w:rsid w:val="005B24DF"/>
    <w:rsid w:val="005B3088"/>
    <w:rsid w:val="005B335E"/>
    <w:rsid w:val="005B3BCB"/>
    <w:rsid w:val="005B4095"/>
    <w:rsid w:val="005B4881"/>
    <w:rsid w:val="005B7D21"/>
    <w:rsid w:val="005BC0F6"/>
    <w:rsid w:val="005C11FD"/>
    <w:rsid w:val="005C25DD"/>
    <w:rsid w:val="005C4346"/>
    <w:rsid w:val="005C4F1B"/>
    <w:rsid w:val="005C5C63"/>
    <w:rsid w:val="005C609D"/>
    <w:rsid w:val="005C6F2E"/>
    <w:rsid w:val="005C733F"/>
    <w:rsid w:val="005D0719"/>
    <w:rsid w:val="005D0803"/>
    <w:rsid w:val="005D176C"/>
    <w:rsid w:val="005D18B5"/>
    <w:rsid w:val="005D193C"/>
    <w:rsid w:val="005D1C4F"/>
    <w:rsid w:val="005D3430"/>
    <w:rsid w:val="005D47DD"/>
    <w:rsid w:val="005D4C54"/>
    <w:rsid w:val="005D6D16"/>
    <w:rsid w:val="005E0384"/>
    <w:rsid w:val="005E06A5"/>
    <w:rsid w:val="005E09E2"/>
    <w:rsid w:val="005E1EE7"/>
    <w:rsid w:val="005E2A27"/>
    <w:rsid w:val="005E2EB4"/>
    <w:rsid w:val="005E3F87"/>
    <w:rsid w:val="005E4087"/>
    <w:rsid w:val="005E46AD"/>
    <w:rsid w:val="005E47A7"/>
    <w:rsid w:val="005E54CE"/>
    <w:rsid w:val="005E5538"/>
    <w:rsid w:val="005E5D5B"/>
    <w:rsid w:val="005E64AD"/>
    <w:rsid w:val="005E652F"/>
    <w:rsid w:val="005E6B97"/>
    <w:rsid w:val="005E78A7"/>
    <w:rsid w:val="005F1C17"/>
    <w:rsid w:val="005F1C90"/>
    <w:rsid w:val="005F2787"/>
    <w:rsid w:val="005F3799"/>
    <w:rsid w:val="005F4057"/>
    <w:rsid w:val="005F42E7"/>
    <w:rsid w:val="005F42EE"/>
    <w:rsid w:val="005F4B69"/>
    <w:rsid w:val="005F4BED"/>
    <w:rsid w:val="005F5CB5"/>
    <w:rsid w:val="005F5D36"/>
    <w:rsid w:val="005F667E"/>
    <w:rsid w:val="005F6C94"/>
    <w:rsid w:val="005F79DE"/>
    <w:rsid w:val="00600F83"/>
    <w:rsid w:val="00601271"/>
    <w:rsid w:val="00601447"/>
    <w:rsid w:val="006016EF"/>
    <w:rsid w:val="0060234A"/>
    <w:rsid w:val="00602B60"/>
    <w:rsid w:val="00603B3A"/>
    <w:rsid w:val="00604100"/>
    <w:rsid w:val="00606749"/>
    <w:rsid w:val="00607AFA"/>
    <w:rsid w:val="00610A9E"/>
    <w:rsid w:val="0061168B"/>
    <w:rsid w:val="00611CB0"/>
    <w:rsid w:val="00611EF8"/>
    <w:rsid w:val="006125C1"/>
    <w:rsid w:val="00612A86"/>
    <w:rsid w:val="00612ED5"/>
    <w:rsid w:val="00615035"/>
    <w:rsid w:val="00615FB8"/>
    <w:rsid w:val="006163B7"/>
    <w:rsid w:val="006165FB"/>
    <w:rsid w:val="0061664C"/>
    <w:rsid w:val="00620842"/>
    <w:rsid w:val="00621AE4"/>
    <w:rsid w:val="00622578"/>
    <w:rsid w:val="00622D9B"/>
    <w:rsid w:val="006239A1"/>
    <w:rsid w:val="006264DC"/>
    <w:rsid w:val="00627269"/>
    <w:rsid w:val="00627987"/>
    <w:rsid w:val="0063029C"/>
    <w:rsid w:val="00630595"/>
    <w:rsid w:val="0063143E"/>
    <w:rsid w:val="00631795"/>
    <w:rsid w:val="0063222F"/>
    <w:rsid w:val="00632B2B"/>
    <w:rsid w:val="0063404F"/>
    <w:rsid w:val="0063438E"/>
    <w:rsid w:val="00634672"/>
    <w:rsid w:val="00634D72"/>
    <w:rsid w:val="00637DA5"/>
    <w:rsid w:val="00637FAD"/>
    <w:rsid w:val="00640E86"/>
    <w:rsid w:val="006412F5"/>
    <w:rsid w:val="00641683"/>
    <w:rsid w:val="00641AEA"/>
    <w:rsid w:val="00644A01"/>
    <w:rsid w:val="00644B49"/>
    <w:rsid w:val="00645759"/>
    <w:rsid w:val="0064653F"/>
    <w:rsid w:val="00646E89"/>
    <w:rsid w:val="00647209"/>
    <w:rsid w:val="00647618"/>
    <w:rsid w:val="00647C5C"/>
    <w:rsid w:val="00647ECE"/>
    <w:rsid w:val="0065208B"/>
    <w:rsid w:val="006523B8"/>
    <w:rsid w:val="0065319F"/>
    <w:rsid w:val="0065380D"/>
    <w:rsid w:val="00653CE3"/>
    <w:rsid w:val="006544A1"/>
    <w:rsid w:val="00655AE4"/>
    <w:rsid w:val="00656258"/>
    <w:rsid w:val="006566CB"/>
    <w:rsid w:val="00656BFB"/>
    <w:rsid w:val="00656D2C"/>
    <w:rsid w:val="0065722F"/>
    <w:rsid w:val="00657241"/>
    <w:rsid w:val="006613C1"/>
    <w:rsid w:val="00661AF6"/>
    <w:rsid w:val="00662833"/>
    <w:rsid w:val="00662A88"/>
    <w:rsid w:val="00662C9A"/>
    <w:rsid w:val="00663CFB"/>
    <w:rsid w:val="006655BF"/>
    <w:rsid w:val="0066598F"/>
    <w:rsid w:val="00665C01"/>
    <w:rsid w:val="0067165E"/>
    <w:rsid w:val="00671BE6"/>
    <w:rsid w:val="00674EC9"/>
    <w:rsid w:val="006753AA"/>
    <w:rsid w:val="006755EE"/>
    <w:rsid w:val="00676017"/>
    <w:rsid w:val="00676081"/>
    <w:rsid w:val="00676F1D"/>
    <w:rsid w:val="006772A6"/>
    <w:rsid w:val="00680AD2"/>
    <w:rsid w:val="0068176C"/>
    <w:rsid w:val="00681B1B"/>
    <w:rsid w:val="006824BF"/>
    <w:rsid w:val="006861C5"/>
    <w:rsid w:val="00690BEE"/>
    <w:rsid w:val="00690E03"/>
    <w:rsid w:val="00691721"/>
    <w:rsid w:val="00693AAC"/>
    <w:rsid w:val="00695551"/>
    <w:rsid w:val="00696794"/>
    <w:rsid w:val="00696C8C"/>
    <w:rsid w:val="00697026"/>
    <w:rsid w:val="00697BCC"/>
    <w:rsid w:val="006A18DA"/>
    <w:rsid w:val="006A2DA4"/>
    <w:rsid w:val="006A42D4"/>
    <w:rsid w:val="006A454D"/>
    <w:rsid w:val="006A57DF"/>
    <w:rsid w:val="006A5E10"/>
    <w:rsid w:val="006A6316"/>
    <w:rsid w:val="006A6821"/>
    <w:rsid w:val="006A7B3A"/>
    <w:rsid w:val="006B0FE0"/>
    <w:rsid w:val="006B1D37"/>
    <w:rsid w:val="006B1F29"/>
    <w:rsid w:val="006B24F5"/>
    <w:rsid w:val="006B25E9"/>
    <w:rsid w:val="006B2BBB"/>
    <w:rsid w:val="006B391D"/>
    <w:rsid w:val="006B57D7"/>
    <w:rsid w:val="006B7AF1"/>
    <w:rsid w:val="006C0542"/>
    <w:rsid w:val="006C1368"/>
    <w:rsid w:val="006C2AA6"/>
    <w:rsid w:val="006C2C72"/>
    <w:rsid w:val="006C396F"/>
    <w:rsid w:val="006C64B5"/>
    <w:rsid w:val="006C6772"/>
    <w:rsid w:val="006C795A"/>
    <w:rsid w:val="006C7ABD"/>
    <w:rsid w:val="006D0D02"/>
    <w:rsid w:val="006D1C46"/>
    <w:rsid w:val="006D3FB8"/>
    <w:rsid w:val="006D4C99"/>
    <w:rsid w:val="006D4CA6"/>
    <w:rsid w:val="006D4F99"/>
    <w:rsid w:val="006D590F"/>
    <w:rsid w:val="006D60CD"/>
    <w:rsid w:val="006E08F8"/>
    <w:rsid w:val="006E16B0"/>
    <w:rsid w:val="006E17DF"/>
    <w:rsid w:val="006E1F0B"/>
    <w:rsid w:val="006E267B"/>
    <w:rsid w:val="006E2DAD"/>
    <w:rsid w:val="006E2FC4"/>
    <w:rsid w:val="006E44BC"/>
    <w:rsid w:val="006E4797"/>
    <w:rsid w:val="006E4FEA"/>
    <w:rsid w:val="006E56C0"/>
    <w:rsid w:val="006E7A8F"/>
    <w:rsid w:val="006E7C64"/>
    <w:rsid w:val="006F00CE"/>
    <w:rsid w:val="006F0C60"/>
    <w:rsid w:val="006F2CD8"/>
    <w:rsid w:val="006F301E"/>
    <w:rsid w:val="006F5FE0"/>
    <w:rsid w:val="006F69A3"/>
    <w:rsid w:val="007013CF"/>
    <w:rsid w:val="007017B8"/>
    <w:rsid w:val="00702ADE"/>
    <w:rsid w:val="007037B7"/>
    <w:rsid w:val="00703C34"/>
    <w:rsid w:val="00703C9B"/>
    <w:rsid w:val="00704063"/>
    <w:rsid w:val="0070422B"/>
    <w:rsid w:val="0070444F"/>
    <w:rsid w:val="00704962"/>
    <w:rsid w:val="007067CC"/>
    <w:rsid w:val="0071055D"/>
    <w:rsid w:val="007120AB"/>
    <w:rsid w:val="00712154"/>
    <w:rsid w:val="0071224A"/>
    <w:rsid w:val="00712832"/>
    <w:rsid w:val="00712A7E"/>
    <w:rsid w:val="0071446F"/>
    <w:rsid w:val="00714BE0"/>
    <w:rsid w:val="0071502B"/>
    <w:rsid w:val="0071544A"/>
    <w:rsid w:val="00716B96"/>
    <w:rsid w:val="00716FFB"/>
    <w:rsid w:val="0071710D"/>
    <w:rsid w:val="00720473"/>
    <w:rsid w:val="00720785"/>
    <w:rsid w:val="007218CC"/>
    <w:rsid w:val="0072197F"/>
    <w:rsid w:val="007232B7"/>
    <w:rsid w:val="00725EEF"/>
    <w:rsid w:val="007260FC"/>
    <w:rsid w:val="00726517"/>
    <w:rsid w:val="007265F8"/>
    <w:rsid w:val="00726627"/>
    <w:rsid w:val="00726D18"/>
    <w:rsid w:val="007271EE"/>
    <w:rsid w:val="00727EDC"/>
    <w:rsid w:val="00730587"/>
    <w:rsid w:val="00730FAE"/>
    <w:rsid w:val="00731F23"/>
    <w:rsid w:val="00733244"/>
    <w:rsid w:val="00733F02"/>
    <w:rsid w:val="00734618"/>
    <w:rsid w:val="00734A39"/>
    <w:rsid w:val="00736371"/>
    <w:rsid w:val="00736975"/>
    <w:rsid w:val="007377AF"/>
    <w:rsid w:val="007406F9"/>
    <w:rsid w:val="00742755"/>
    <w:rsid w:val="00742825"/>
    <w:rsid w:val="007432FB"/>
    <w:rsid w:val="00743565"/>
    <w:rsid w:val="0074401F"/>
    <w:rsid w:val="00744C8E"/>
    <w:rsid w:val="0074540B"/>
    <w:rsid w:val="00745CD4"/>
    <w:rsid w:val="00746806"/>
    <w:rsid w:val="007476E3"/>
    <w:rsid w:val="007477DC"/>
    <w:rsid w:val="00750976"/>
    <w:rsid w:val="0075131F"/>
    <w:rsid w:val="00751D3D"/>
    <w:rsid w:val="00752D90"/>
    <w:rsid w:val="00754353"/>
    <w:rsid w:val="00762063"/>
    <w:rsid w:val="00762CF0"/>
    <w:rsid w:val="0076315C"/>
    <w:rsid w:val="00765AFE"/>
    <w:rsid w:val="0077025C"/>
    <w:rsid w:val="007716AE"/>
    <w:rsid w:val="00771B9D"/>
    <w:rsid w:val="00774777"/>
    <w:rsid w:val="0077578B"/>
    <w:rsid w:val="00776F15"/>
    <w:rsid w:val="007770FA"/>
    <w:rsid w:val="00777EEB"/>
    <w:rsid w:val="00780F61"/>
    <w:rsid w:val="007813FB"/>
    <w:rsid w:val="00781F0E"/>
    <w:rsid w:val="00782223"/>
    <w:rsid w:val="00783C7E"/>
    <w:rsid w:val="00783EA0"/>
    <w:rsid w:val="007859BC"/>
    <w:rsid w:val="00785BDE"/>
    <w:rsid w:val="00786419"/>
    <w:rsid w:val="0078714F"/>
    <w:rsid w:val="007872FB"/>
    <w:rsid w:val="00790EBB"/>
    <w:rsid w:val="007919AB"/>
    <w:rsid w:val="007920CC"/>
    <w:rsid w:val="00792D78"/>
    <w:rsid w:val="00797EAF"/>
    <w:rsid w:val="00797F3F"/>
    <w:rsid w:val="007A1039"/>
    <w:rsid w:val="007A2DAC"/>
    <w:rsid w:val="007A36C8"/>
    <w:rsid w:val="007A4BBA"/>
    <w:rsid w:val="007A4DDB"/>
    <w:rsid w:val="007A4EE0"/>
    <w:rsid w:val="007A549E"/>
    <w:rsid w:val="007A5B2B"/>
    <w:rsid w:val="007A5FA4"/>
    <w:rsid w:val="007A6DEE"/>
    <w:rsid w:val="007A72A5"/>
    <w:rsid w:val="007B03E2"/>
    <w:rsid w:val="007B25FF"/>
    <w:rsid w:val="007B2CC3"/>
    <w:rsid w:val="007B488F"/>
    <w:rsid w:val="007B54BB"/>
    <w:rsid w:val="007B689E"/>
    <w:rsid w:val="007B72A4"/>
    <w:rsid w:val="007B7310"/>
    <w:rsid w:val="007B7B2A"/>
    <w:rsid w:val="007C2DDD"/>
    <w:rsid w:val="007C4322"/>
    <w:rsid w:val="007C45D6"/>
    <w:rsid w:val="007C552A"/>
    <w:rsid w:val="007C6211"/>
    <w:rsid w:val="007C687C"/>
    <w:rsid w:val="007C6EFF"/>
    <w:rsid w:val="007D226C"/>
    <w:rsid w:val="007D2420"/>
    <w:rsid w:val="007D2A45"/>
    <w:rsid w:val="007D3E08"/>
    <w:rsid w:val="007D493E"/>
    <w:rsid w:val="007D6952"/>
    <w:rsid w:val="007D6BE0"/>
    <w:rsid w:val="007D7898"/>
    <w:rsid w:val="007D7F64"/>
    <w:rsid w:val="007E036D"/>
    <w:rsid w:val="007E10FC"/>
    <w:rsid w:val="007E155A"/>
    <w:rsid w:val="007E27B5"/>
    <w:rsid w:val="007E2CCA"/>
    <w:rsid w:val="007E4354"/>
    <w:rsid w:val="007E4A8D"/>
    <w:rsid w:val="007E5657"/>
    <w:rsid w:val="007E710C"/>
    <w:rsid w:val="007E7BF7"/>
    <w:rsid w:val="007E7C81"/>
    <w:rsid w:val="007F07E8"/>
    <w:rsid w:val="007F13E9"/>
    <w:rsid w:val="007F2030"/>
    <w:rsid w:val="007F2112"/>
    <w:rsid w:val="007F2A11"/>
    <w:rsid w:val="007F30A7"/>
    <w:rsid w:val="007F417E"/>
    <w:rsid w:val="007F4CAB"/>
    <w:rsid w:val="007F5C96"/>
    <w:rsid w:val="007F5EB0"/>
    <w:rsid w:val="007F637A"/>
    <w:rsid w:val="007F690C"/>
    <w:rsid w:val="007F6CA3"/>
    <w:rsid w:val="007F775A"/>
    <w:rsid w:val="007F77C5"/>
    <w:rsid w:val="007F79A2"/>
    <w:rsid w:val="0080150B"/>
    <w:rsid w:val="008026C4"/>
    <w:rsid w:val="00803336"/>
    <w:rsid w:val="008067F0"/>
    <w:rsid w:val="00806A84"/>
    <w:rsid w:val="00806D0A"/>
    <w:rsid w:val="00807BA0"/>
    <w:rsid w:val="0081103F"/>
    <w:rsid w:val="0081295D"/>
    <w:rsid w:val="008142B3"/>
    <w:rsid w:val="008150C4"/>
    <w:rsid w:val="0081519A"/>
    <w:rsid w:val="00815B91"/>
    <w:rsid w:val="00816BF9"/>
    <w:rsid w:val="00822F70"/>
    <w:rsid w:val="008250B9"/>
    <w:rsid w:val="00825430"/>
    <w:rsid w:val="00825910"/>
    <w:rsid w:val="0082665F"/>
    <w:rsid w:val="00831557"/>
    <w:rsid w:val="00831BF8"/>
    <w:rsid w:val="00831F35"/>
    <w:rsid w:val="00832A21"/>
    <w:rsid w:val="00832D65"/>
    <w:rsid w:val="008332E6"/>
    <w:rsid w:val="00833B96"/>
    <w:rsid w:val="008355E5"/>
    <w:rsid w:val="00835E9D"/>
    <w:rsid w:val="00836639"/>
    <w:rsid w:val="00836958"/>
    <w:rsid w:val="00836C82"/>
    <w:rsid w:val="00842090"/>
    <w:rsid w:val="008425A4"/>
    <w:rsid w:val="00842AE2"/>
    <w:rsid w:val="00842DED"/>
    <w:rsid w:val="0084462D"/>
    <w:rsid w:val="008461C6"/>
    <w:rsid w:val="00847DDA"/>
    <w:rsid w:val="008502DD"/>
    <w:rsid w:val="00850701"/>
    <w:rsid w:val="00850B0D"/>
    <w:rsid w:val="008520BE"/>
    <w:rsid w:val="00852B13"/>
    <w:rsid w:val="00852DA3"/>
    <w:rsid w:val="008532C9"/>
    <w:rsid w:val="0085421A"/>
    <w:rsid w:val="00854D65"/>
    <w:rsid w:val="0085548D"/>
    <w:rsid w:val="00855FE8"/>
    <w:rsid w:val="0085623B"/>
    <w:rsid w:val="0085681E"/>
    <w:rsid w:val="00856B01"/>
    <w:rsid w:val="00856EE8"/>
    <w:rsid w:val="00861C47"/>
    <w:rsid w:val="00862A89"/>
    <w:rsid w:val="00864CC2"/>
    <w:rsid w:val="0086593E"/>
    <w:rsid w:val="008663C2"/>
    <w:rsid w:val="00866480"/>
    <w:rsid w:val="00867A54"/>
    <w:rsid w:val="00870193"/>
    <w:rsid w:val="00871E7C"/>
    <w:rsid w:val="00872BC8"/>
    <w:rsid w:val="00873261"/>
    <w:rsid w:val="0087589E"/>
    <w:rsid w:val="008768C0"/>
    <w:rsid w:val="00876D4D"/>
    <w:rsid w:val="00877703"/>
    <w:rsid w:val="00877788"/>
    <w:rsid w:val="0088228A"/>
    <w:rsid w:val="008824F4"/>
    <w:rsid w:val="0088259D"/>
    <w:rsid w:val="0088287A"/>
    <w:rsid w:val="0089347C"/>
    <w:rsid w:val="008948F5"/>
    <w:rsid w:val="00894F03"/>
    <w:rsid w:val="0089543A"/>
    <w:rsid w:val="00896371"/>
    <w:rsid w:val="00896654"/>
    <w:rsid w:val="0089672B"/>
    <w:rsid w:val="0089748E"/>
    <w:rsid w:val="00897838"/>
    <w:rsid w:val="008A0274"/>
    <w:rsid w:val="008A1858"/>
    <w:rsid w:val="008A20CC"/>
    <w:rsid w:val="008A34CE"/>
    <w:rsid w:val="008A3AF6"/>
    <w:rsid w:val="008A3BF8"/>
    <w:rsid w:val="008A4859"/>
    <w:rsid w:val="008A5724"/>
    <w:rsid w:val="008A6D4B"/>
    <w:rsid w:val="008A6FC3"/>
    <w:rsid w:val="008A78F5"/>
    <w:rsid w:val="008A7A39"/>
    <w:rsid w:val="008A7F70"/>
    <w:rsid w:val="008B0821"/>
    <w:rsid w:val="008B189B"/>
    <w:rsid w:val="008B2510"/>
    <w:rsid w:val="008B2D50"/>
    <w:rsid w:val="008B35D2"/>
    <w:rsid w:val="008B498D"/>
    <w:rsid w:val="008B5570"/>
    <w:rsid w:val="008B67F9"/>
    <w:rsid w:val="008B739F"/>
    <w:rsid w:val="008B77DA"/>
    <w:rsid w:val="008B7B8A"/>
    <w:rsid w:val="008B7E8C"/>
    <w:rsid w:val="008C0686"/>
    <w:rsid w:val="008C0B8D"/>
    <w:rsid w:val="008C2DDC"/>
    <w:rsid w:val="008C449B"/>
    <w:rsid w:val="008C44E7"/>
    <w:rsid w:val="008C4E09"/>
    <w:rsid w:val="008C4EEE"/>
    <w:rsid w:val="008C576E"/>
    <w:rsid w:val="008C6FD4"/>
    <w:rsid w:val="008C7039"/>
    <w:rsid w:val="008D225A"/>
    <w:rsid w:val="008D2436"/>
    <w:rsid w:val="008D293E"/>
    <w:rsid w:val="008D2DBB"/>
    <w:rsid w:val="008D4548"/>
    <w:rsid w:val="008D6F27"/>
    <w:rsid w:val="008E040D"/>
    <w:rsid w:val="008E0703"/>
    <w:rsid w:val="008E1164"/>
    <w:rsid w:val="008E16A8"/>
    <w:rsid w:val="008E19AC"/>
    <w:rsid w:val="008E2D1C"/>
    <w:rsid w:val="008E35EA"/>
    <w:rsid w:val="008E3760"/>
    <w:rsid w:val="008E4E0A"/>
    <w:rsid w:val="008E580E"/>
    <w:rsid w:val="008E5A81"/>
    <w:rsid w:val="008E5CA7"/>
    <w:rsid w:val="008E736C"/>
    <w:rsid w:val="008F0116"/>
    <w:rsid w:val="008F15AD"/>
    <w:rsid w:val="008F1CF6"/>
    <w:rsid w:val="008F3963"/>
    <w:rsid w:val="008F3BF2"/>
    <w:rsid w:val="008F453F"/>
    <w:rsid w:val="008F5B92"/>
    <w:rsid w:val="008F62D9"/>
    <w:rsid w:val="008F7656"/>
    <w:rsid w:val="008F7C88"/>
    <w:rsid w:val="00900A3E"/>
    <w:rsid w:val="00901C81"/>
    <w:rsid w:val="009021B8"/>
    <w:rsid w:val="00904333"/>
    <w:rsid w:val="0090448F"/>
    <w:rsid w:val="0090514D"/>
    <w:rsid w:val="0090520B"/>
    <w:rsid w:val="0090584C"/>
    <w:rsid w:val="0090596A"/>
    <w:rsid w:val="00906005"/>
    <w:rsid w:val="00906308"/>
    <w:rsid w:val="00907CC1"/>
    <w:rsid w:val="009108BD"/>
    <w:rsid w:val="00910E39"/>
    <w:rsid w:val="00911EF7"/>
    <w:rsid w:val="0091229E"/>
    <w:rsid w:val="00913A40"/>
    <w:rsid w:val="0091429A"/>
    <w:rsid w:val="009155FC"/>
    <w:rsid w:val="0091571E"/>
    <w:rsid w:val="009176F2"/>
    <w:rsid w:val="00917781"/>
    <w:rsid w:val="00917849"/>
    <w:rsid w:val="00917CAD"/>
    <w:rsid w:val="00920990"/>
    <w:rsid w:val="00922461"/>
    <w:rsid w:val="009235AE"/>
    <w:rsid w:val="00923DD5"/>
    <w:rsid w:val="00923F81"/>
    <w:rsid w:val="00925450"/>
    <w:rsid w:val="00925EC2"/>
    <w:rsid w:val="009264A7"/>
    <w:rsid w:val="00927F24"/>
    <w:rsid w:val="009311B8"/>
    <w:rsid w:val="00931215"/>
    <w:rsid w:val="00933044"/>
    <w:rsid w:val="0093386C"/>
    <w:rsid w:val="0093394A"/>
    <w:rsid w:val="00933EFF"/>
    <w:rsid w:val="00934D87"/>
    <w:rsid w:val="00936E08"/>
    <w:rsid w:val="00940220"/>
    <w:rsid w:val="009409EA"/>
    <w:rsid w:val="0094166B"/>
    <w:rsid w:val="00941D08"/>
    <w:rsid w:val="009430C2"/>
    <w:rsid w:val="0094353D"/>
    <w:rsid w:val="00943AC1"/>
    <w:rsid w:val="00944416"/>
    <w:rsid w:val="00944A15"/>
    <w:rsid w:val="009472C2"/>
    <w:rsid w:val="0094770E"/>
    <w:rsid w:val="00947CA8"/>
    <w:rsid w:val="00947E6B"/>
    <w:rsid w:val="00950399"/>
    <w:rsid w:val="00950A21"/>
    <w:rsid w:val="00951BB8"/>
    <w:rsid w:val="009565A9"/>
    <w:rsid w:val="00956927"/>
    <w:rsid w:val="00956C33"/>
    <w:rsid w:val="0096276C"/>
    <w:rsid w:val="0096338B"/>
    <w:rsid w:val="0096623B"/>
    <w:rsid w:val="00966413"/>
    <w:rsid w:val="00966550"/>
    <w:rsid w:val="009665F7"/>
    <w:rsid w:val="00967787"/>
    <w:rsid w:val="00973BDB"/>
    <w:rsid w:val="00974EC9"/>
    <w:rsid w:val="009750EE"/>
    <w:rsid w:val="009751A9"/>
    <w:rsid w:val="00975237"/>
    <w:rsid w:val="00975C34"/>
    <w:rsid w:val="009767C8"/>
    <w:rsid w:val="0098099D"/>
    <w:rsid w:val="009809A3"/>
    <w:rsid w:val="00980D2C"/>
    <w:rsid w:val="00980D8A"/>
    <w:rsid w:val="00981207"/>
    <w:rsid w:val="00984119"/>
    <w:rsid w:val="009853B0"/>
    <w:rsid w:val="00986796"/>
    <w:rsid w:val="00986971"/>
    <w:rsid w:val="009870E4"/>
    <w:rsid w:val="00987290"/>
    <w:rsid w:val="009874E4"/>
    <w:rsid w:val="00990BF3"/>
    <w:rsid w:val="00991D24"/>
    <w:rsid w:val="00992B6D"/>
    <w:rsid w:val="00992D8F"/>
    <w:rsid w:val="00993199"/>
    <w:rsid w:val="00993422"/>
    <w:rsid w:val="009934BE"/>
    <w:rsid w:val="00993784"/>
    <w:rsid w:val="009943E3"/>
    <w:rsid w:val="009946F9"/>
    <w:rsid w:val="00994D03"/>
    <w:rsid w:val="00994F50"/>
    <w:rsid w:val="00995691"/>
    <w:rsid w:val="00995DDF"/>
    <w:rsid w:val="009964EF"/>
    <w:rsid w:val="00997981"/>
    <w:rsid w:val="00998E9F"/>
    <w:rsid w:val="009A05CC"/>
    <w:rsid w:val="009A177F"/>
    <w:rsid w:val="009A1A2A"/>
    <w:rsid w:val="009A21A8"/>
    <w:rsid w:val="009A38A9"/>
    <w:rsid w:val="009A4B16"/>
    <w:rsid w:val="009A5069"/>
    <w:rsid w:val="009A5339"/>
    <w:rsid w:val="009A6810"/>
    <w:rsid w:val="009A7257"/>
    <w:rsid w:val="009A7729"/>
    <w:rsid w:val="009B0535"/>
    <w:rsid w:val="009B10EB"/>
    <w:rsid w:val="009B22E4"/>
    <w:rsid w:val="009B2FB7"/>
    <w:rsid w:val="009B3800"/>
    <w:rsid w:val="009B6A48"/>
    <w:rsid w:val="009B7AE3"/>
    <w:rsid w:val="009C00A7"/>
    <w:rsid w:val="009C430F"/>
    <w:rsid w:val="009C4D73"/>
    <w:rsid w:val="009C6297"/>
    <w:rsid w:val="009C65CF"/>
    <w:rsid w:val="009C6F75"/>
    <w:rsid w:val="009C74D5"/>
    <w:rsid w:val="009C7568"/>
    <w:rsid w:val="009C77E8"/>
    <w:rsid w:val="009C7C83"/>
    <w:rsid w:val="009D04A4"/>
    <w:rsid w:val="009D0BC0"/>
    <w:rsid w:val="009D0F90"/>
    <w:rsid w:val="009D1224"/>
    <w:rsid w:val="009D1979"/>
    <w:rsid w:val="009D209C"/>
    <w:rsid w:val="009D4F74"/>
    <w:rsid w:val="009D5822"/>
    <w:rsid w:val="009D5D30"/>
    <w:rsid w:val="009D7DE4"/>
    <w:rsid w:val="009D7E5E"/>
    <w:rsid w:val="009E0CF5"/>
    <w:rsid w:val="009E0EC0"/>
    <w:rsid w:val="009E136D"/>
    <w:rsid w:val="009E2247"/>
    <w:rsid w:val="009E2289"/>
    <w:rsid w:val="009E348E"/>
    <w:rsid w:val="009E72FF"/>
    <w:rsid w:val="009F0B4F"/>
    <w:rsid w:val="009F0D77"/>
    <w:rsid w:val="009F0D8D"/>
    <w:rsid w:val="009F2C35"/>
    <w:rsid w:val="009F3900"/>
    <w:rsid w:val="009F3F51"/>
    <w:rsid w:val="009F4316"/>
    <w:rsid w:val="00A020B0"/>
    <w:rsid w:val="00A02B9D"/>
    <w:rsid w:val="00A054D1"/>
    <w:rsid w:val="00A055C8"/>
    <w:rsid w:val="00A062AD"/>
    <w:rsid w:val="00A069E7"/>
    <w:rsid w:val="00A07919"/>
    <w:rsid w:val="00A10214"/>
    <w:rsid w:val="00A12651"/>
    <w:rsid w:val="00A1266F"/>
    <w:rsid w:val="00A14A60"/>
    <w:rsid w:val="00A14CB7"/>
    <w:rsid w:val="00A1507C"/>
    <w:rsid w:val="00A1684A"/>
    <w:rsid w:val="00A2051F"/>
    <w:rsid w:val="00A20E82"/>
    <w:rsid w:val="00A227D4"/>
    <w:rsid w:val="00A239BB"/>
    <w:rsid w:val="00A26ED0"/>
    <w:rsid w:val="00A27141"/>
    <w:rsid w:val="00A30E2A"/>
    <w:rsid w:val="00A31468"/>
    <w:rsid w:val="00A31727"/>
    <w:rsid w:val="00A3213A"/>
    <w:rsid w:val="00A32AB8"/>
    <w:rsid w:val="00A33970"/>
    <w:rsid w:val="00A33C64"/>
    <w:rsid w:val="00A34EB9"/>
    <w:rsid w:val="00A35853"/>
    <w:rsid w:val="00A37A16"/>
    <w:rsid w:val="00A4098E"/>
    <w:rsid w:val="00A41F51"/>
    <w:rsid w:val="00A42397"/>
    <w:rsid w:val="00A42399"/>
    <w:rsid w:val="00A4568B"/>
    <w:rsid w:val="00A46F53"/>
    <w:rsid w:val="00A50696"/>
    <w:rsid w:val="00A51C8F"/>
    <w:rsid w:val="00A51CCE"/>
    <w:rsid w:val="00A51E9B"/>
    <w:rsid w:val="00A53476"/>
    <w:rsid w:val="00A53E66"/>
    <w:rsid w:val="00A578BB"/>
    <w:rsid w:val="00A61636"/>
    <w:rsid w:val="00A62109"/>
    <w:rsid w:val="00A624BE"/>
    <w:rsid w:val="00A62729"/>
    <w:rsid w:val="00A62763"/>
    <w:rsid w:val="00A62A0A"/>
    <w:rsid w:val="00A62CD1"/>
    <w:rsid w:val="00A63230"/>
    <w:rsid w:val="00A648D1"/>
    <w:rsid w:val="00A6542C"/>
    <w:rsid w:val="00A669E3"/>
    <w:rsid w:val="00A67E9A"/>
    <w:rsid w:val="00A71FCC"/>
    <w:rsid w:val="00A7241B"/>
    <w:rsid w:val="00A74504"/>
    <w:rsid w:val="00A74CBD"/>
    <w:rsid w:val="00A74FC0"/>
    <w:rsid w:val="00A7557F"/>
    <w:rsid w:val="00A758AA"/>
    <w:rsid w:val="00A7680D"/>
    <w:rsid w:val="00A77495"/>
    <w:rsid w:val="00A77C7D"/>
    <w:rsid w:val="00A77E48"/>
    <w:rsid w:val="00A840BA"/>
    <w:rsid w:val="00A84B40"/>
    <w:rsid w:val="00A8634A"/>
    <w:rsid w:val="00A87ECF"/>
    <w:rsid w:val="00A9116E"/>
    <w:rsid w:val="00A91A80"/>
    <w:rsid w:val="00A92173"/>
    <w:rsid w:val="00A92390"/>
    <w:rsid w:val="00A9257F"/>
    <w:rsid w:val="00A934A4"/>
    <w:rsid w:val="00A93F30"/>
    <w:rsid w:val="00A9499A"/>
    <w:rsid w:val="00A966E3"/>
    <w:rsid w:val="00A96BB0"/>
    <w:rsid w:val="00A971F1"/>
    <w:rsid w:val="00A979CC"/>
    <w:rsid w:val="00AA0767"/>
    <w:rsid w:val="00AA1A4B"/>
    <w:rsid w:val="00AA415B"/>
    <w:rsid w:val="00AA548F"/>
    <w:rsid w:val="00AA54E0"/>
    <w:rsid w:val="00AA58C3"/>
    <w:rsid w:val="00AA71CB"/>
    <w:rsid w:val="00AA779A"/>
    <w:rsid w:val="00AB053C"/>
    <w:rsid w:val="00AB0A8A"/>
    <w:rsid w:val="00AB179A"/>
    <w:rsid w:val="00AB18E9"/>
    <w:rsid w:val="00AB3D65"/>
    <w:rsid w:val="00AB4038"/>
    <w:rsid w:val="00AB423D"/>
    <w:rsid w:val="00AB53E8"/>
    <w:rsid w:val="00AB5AD1"/>
    <w:rsid w:val="00AB5F17"/>
    <w:rsid w:val="00AB684D"/>
    <w:rsid w:val="00AB689D"/>
    <w:rsid w:val="00AB745D"/>
    <w:rsid w:val="00AB7947"/>
    <w:rsid w:val="00AC06E3"/>
    <w:rsid w:val="00AC2461"/>
    <w:rsid w:val="00AC2D90"/>
    <w:rsid w:val="00AC32F6"/>
    <w:rsid w:val="00AC46CD"/>
    <w:rsid w:val="00AC61D1"/>
    <w:rsid w:val="00AC7248"/>
    <w:rsid w:val="00AD1F92"/>
    <w:rsid w:val="00AD23D6"/>
    <w:rsid w:val="00AD2F2B"/>
    <w:rsid w:val="00AD52CF"/>
    <w:rsid w:val="00AD60EE"/>
    <w:rsid w:val="00AD6249"/>
    <w:rsid w:val="00AD6FB7"/>
    <w:rsid w:val="00AE2F35"/>
    <w:rsid w:val="00AE442C"/>
    <w:rsid w:val="00AE4E39"/>
    <w:rsid w:val="00AE6200"/>
    <w:rsid w:val="00AE69DC"/>
    <w:rsid w:val="00AF1F81"/>
    <w:rsid w:val="00AF2BDF"/>
    <w:rsid w:val="00AF4529"/>
    <w:rsid w:val="00AF547D"/>
    <w:rsid w:val="00AF5CA9"/>
    <w:rsid w:val="00AF69F8"/>
    <w:rsid w:val="00AF6D32"/>
    <w:rsid w:val="00AF7677"/>
    <w:rsid w:val="00AF7D22"/>
    <w:rsid w:val="00B00854"/>
    <w:rsid w:val="00B02FBB"/>
    <w:rsid w:val="00B0327B"/>
    <w:rsid w:val="00B04A22"/>
    <w:rsid w:val="00B04E3A"/>
    <w:rsid w:val="00B0571C"/>
    <w:rsid w:val="00B057F8"/>
    <w:rsid w:val="00B05F0A"/>
    <w:rsid w:val="00B112D2"/>
    <w:rsid w:val="00B1316B"/>
    <w:rsid w:val="00B1385C"/>
    <w:rsid w:val="00B13E9B"/>
    <w:rsid w:val="00B13EE2"/>
    <w:rsid w:val="00B150CC"/>
    <w:rsid w:val="00B15181"/>
    <w:rsid w:val="00B15A2F"/>
    <w:rsid w:val="00B15F64"/>
    <w:rsid w:val="00B162FC"/>
    <w:rsid w:val="00B16691"/>
    <w:rsid w:val="00B16BFB"/>
    <w:rsid w:val="00B17E4E"/>
    <w:rsid w:val="00B214E1"/>
    <w:rsid w:val="00B23570"/>
    <w:rsid w:val="00B2428A"/>
    <w:rsid w:val="00B25334"/>
    <w:rsid w:val="00B308CF"/>
    <w:rsid w:val="00B3234A"/>
    <w:rsid w:val="00B3315B"/>
    <w:rsid w:val="00B3431F"/>
    <w:rsid w:val="00B34367"/>
    <w:rsid w:val="00B344F2"/>
    <w:rsid w:val="00B34CB5"/>
    <w:rsid w:val="00B37717"/>
    <w:rsid w:val="00B37B09"/>
    <w:rsid w:val="00B40A6D"/>
    <w:rsid w:val="00B40EE2"/>
    <w:rsid w:val="00B41C39"/>
    <w:rsid w:val="00B4233A"/>
    <w:rsid w:val="00B429E0"/>
    <w:rsid w:val="00B4306E"/>
    <w:rsid w:val="00B432EB"/>
    <w:rsid w:val="00B45661"/>
    <w:rsid w:val="00B4639B"/>
    <w:rsid w:val="00B4671D"/>
    <w:rsid w:val="00B46F80"/>
    <w:rsid w:val="00B4722B"/>
    <w:rsid w:val="00B47B3D"/>
    <w:rsid w:val="00B50A74"/>
    <w:rsid w:val="00B51803"/>
    <w:rsid w:val="00B51E8D"/>
    <w:rsid w:val="00B531AA"/>
    <w:rsid w:val="00B54230"/>
    <w:rsid w:val="00B5587B"/>
    <w:rsid w:val="00B558DA"/>
    <w:rsid w:val="00B56EFB"/>
    <w:rsid w:val="00B604A4"/>
    <w:rsid w:val="00B60FF1"/>
    <w:rsid w:val="00B63608"/>
    <w:rsid w:val="00B63B81"/>
    <w:rsid w:val="00B64572"/>
    <w:rsid w:val="00B66177"/>
    <w:rsid w:val="00B66357"/>
    <w:rsid w:val="00B7093F"/>
    <w:rsid w:val="00B713B1"/>
    <w:rsid w:val="00B75869"/>
    <w:rsid w:val="00B80696"/>
    <w:rsid w:val="00B80C9A"/>
    <w:rsid w:val="00B81064"/>
    <w:rsid w:val="00B826C7"/>
    <w:rsid w:val="00B8270E"/>
    <w:rsid w:val="00B83106"/>
    <w:rsid w:val="00B83A25"/>
    <w:rsid w:val="00B8458A"/>
    <w:rsid w:val="00B84818"/>
    <w:rsid w:val="00B85EED"/>
    <w:rsid w:val="00B8652E"/>
    <w:rsid w:val="00B86608"/>
    <w:rsid w:val="00B875E3"/>
    <w:rsid w:val="00B87681"/>
    <w:rsid w:val="00B90720"/>
    <w:rsid w:val="00B91F5F"/>
    <w:rsid w:val="00B9242D"/>
    <w:rsid w:val="00B92920"/>
    <w:rsid w:val="00B92ACF"/>
    <w:rsid w:val="00B9385A"/>
    <w:rsid w:val="00B93BD5"/>
    <w:rsid w:val="00B945E5"/>
    <w:rsid w:val="00B958BE"/>
    <w:rsid w:val="00B96D89"/>
    <w:rsid w:val="00B97926"/>
    <w:rsid w:val="00B97F23"/>
    <w:rsid w:val="00BA1AA1"/>
    <w:rsid w:val="00BA2D3B"/>
    <w:rsid w:val="00BA3894"/>
    <w:rsid w:val="00BA3A0A"/>
    <w:rsid w:val="00BA5410"/>
    <w:rsid w:val="00BA6362"/>
    <w:rsid w:val="00BA67FC"/>
    <w:rsid w:val="00BA782E"/>
    <w:rsid w:val="00BB0144"/>
    <w:rsid w:val="00BB07B7"/>
    <w:rsid w:val="00BB0DA3"/>
    <w:rsid w:val="00BB155A"/>
    <w:rsid w:val="00BB15F1"/>
    <w:rsid w:val="00BB1CA1"/>
    <w:rsid w:val="00BB217D"/>
    <w:rsid w:val="00BB356B"/>
    <w:rsid w:val="00BB5EBB"/>
    <w:rsid w:val="00BB69C9"/>
    <w:rsid w:val="00BC08F4"/>
    <w:rsid w:val="00BC1766"/>
    <w:rsid w:val="00BC1F36"/>
    <w:rsid w:val="00BC21C8"/>
    <w:rsid w:val="00BC29CD"/>
    <w:rsid w:val="00BC36AE"/>
    <w:rsid w:val="00BC3E48"/>
    <w:rsid w:val="00BC4224"/>
    <w:rsid w:val="00BC49EA"/>
    <w:rsid w:val="00BC4A4D"/>
    <w:rsid w:val="00BC5513"/>
    <w:rsid w:val="00BC6AAB"/>
    <w:rsid w:val="00BD1BB1"/>
    <w:rsid w:val="00BD2AE4"/>
    <w:rsid w:val="00BD3767"/>
    <w:rsid w:val="00BD3F54"/>
    <w:rsid w:val="00BD40ED"/>
    <w:rsid w:val="00BD57EF"/>
    <w:rsid w:val="00BD61B5"/>
    <w:rsid w:val="00BD6A81"/>
    <w:rsid w:val="00BD79C5"/>
    <w:rsid w:val="00BE22A2"/>
    <w:rsid w:val="00BE2769"/>
    <w:rsid w:val="00BE2D83"/>
    <w:rsid w:val="00BE3E4D"/>
    <w:rsid w:val="00BE4770"/>
    <w:rsid w:val="00BE4957"/>
    <w:rsid w:val="00BE652A"/>
    <w:rsid w:val="00BE687A"/>
    <w:rsid w:val="00BE7D03"/>
    <w:rsid w:val="00BF033A"/>
    <w:rsid w:val="00BF0B16"/>
    <w:rsid w:val="00BF10B0"/>
    <w:rsid w:val="00BF1984"/>
    <w:rsid w:val="00BF1EA0"/>
    <w:rsid w:val="00BF1FB9"/>
    <w:rsid w:val="00BF2AD7"/>
    <w:rsid w:val="00BF2EB2"/>
    <w:rsid w:val="00BF498B"/>
    <w:rsid w:val="00C004B1"/>
    <w:rsid w:val="00C0153A"/>
    <w:rsid w:val="00C024BF"/>
    <w:rsid w:val="00C02674"/>
    <w:rsid w:val="00C02B2A"/>
    <w:rsid w:val="00C03A50"/>
    <w:rsid w:val="00C044EE"/>
    <w:rsid w:val="00C04616"/>
    <w:rsid w:val="00C04889"/>
    <w:rsid w:val="00C04BA6"/>
    <w:rsid w:val="00C053BA"/>
    <w:rsid w:val="00C05872"/>
    <w:rsid w:val="00C06C8F"/>
    <w:rsid w:val="00C07EA3"/>
    <w:rsid w:val="00C10279"/>
    <w:rsid w:val="00C118FE"/>
    <w:rsid w:val="00C11D93"/>
    <w:rsid w:val="00C12BD8"/>
    <w:rsid w:val="00C1316A"/>
    <w:rsid w:val="00C13D1A"/>
    <w:rsid w:val="00C149D3"/>
    <w:rsid w:val="00C15620"/>
    <w:rsid w:val="00C2475C"/>
    <w:rsid w:val="00C2590B"/>
    <w:rsid w:val="00C26C38"/>
    <w:rsid w:val="00C27ADC"/>
    <w:rsid w:val="00C27C71"/>
    <w:rsid w:val="00C27E15"/>
    <w:rsid w:val="00C302F4"/>
    <w:rsid w:val="00C30A6D"/>
    <w:rsid w:val="00C30F26"/>
    <w:rsid w:val="00C31BA3"/>
    <w:rsid w:val="00C31DB1"/>
    <w:rsid w:val="00C32D95"/>
    <w:rsid w:val="00C348E4"/>
    <w:rsid w:val="00C34EAA"/>
    <w:rsid w:val="00C35C96"/>
    <w:rsid w:val="00C366E0"/>
    <w:rsid w:val="00C36A27"/>
    <w:rsid w:val="00C37215"/>
    <w:rsid w:val="00C37842"/>
    <w:rsid w:val="00C476BA"/>
    <w:rsid w:val="00C47848"/>
    <w:rsid w:val="00C50B4A"/>
    <w:rsid w:val="00C510B1"/>
    <w:rsid w:val="00C5153F"/>
    <w:rsid w:val="00C519F0"/>
    <w:rsid w:val="00C53024"/>
    <w:rsid w:val="00C550F3"/>
    <w:rsid w:val="00C551F1"/>
    <w:rsid w:val="00C56EA9"/>
    <w:rsid w:val="00C57ABE"/>
    <w:rsid w:val="00C60AD5"/>
    <w:rsid w:val="00C6261B"/>
    <w:rsid w:val="00C63AC4"/>
    <w:rsid w:val="00C652D8"/>
    <w:rsid w:val="00C65437"/>
    <w:rsid w:val="00C65F46"/>
    <w:rsid w:val="00C66135"/>
    <w:rsid w:val="00C679EF"/>
    <w:rsid w:val="00C67F50"/>
    <w:rsid w:val="00C703F6"/>
    <w:rsid w:val="00C72064"/>
    <w:rsid w:val="00C72AAF"/>
    <w:rsid w:val="00C72F33"/>
    <w:rsid w:val="00C739EC"/>
    <w:rsid w:val="00C73A77"/>
    <w:rsid w:val="00C74369"/>
    <w:rsid w:val="00C750EA"/>
    <w:rsid w:val="00C760A4"/>
    <w:rsid w:val="00C76ED7"/>
    <w:rsid w:val="00C806BC"/>
    <w:rsid w:val="00C81D77"/>
    <w:rsid w:val="00C824C7"/>
    <w:rsid w:val="00C8328E"/>
    <w:rsid w:val="00C834F6"/>
    <w:rsid w:val="00C83AD3"/>
    <w:rsid w:val="00C84332"/>
    <w:rsid w:val="00C84643"/>
    <w:rsid w:val="00C84F48"/>
    <w:rsid w:val="00C875D1"/>
    <w:rsid w:val="00C90618"/>
    <w:rsid w:val="00C90F3D"/>
    <w:rsid w:val="00C914D2"/>
    <w:rsid w:val="00C914E3"/>
    <w:rsid w:val="00C92E5B"/>
    <w:rsid w:val="00C93CF9"/>
    <w:rsid w:val="00C93EF1"/>
    <w:rsid w:val="00C9429C"/>
    <w:rsid w:val="00CA0E35"/>
    <w:rsid w:val="00CA1431"/>
    <w:rsid w:val="00CA1CCE"/>
    <w:rsid w:val="00CA1D8E"/>
    <w:rsid w:val="00CA39B0"/>
    <w:rsid w:val="00CA6C1C"/>
    <w:rsid w:val="00CA79C8"/>
    <w:rsid w:val="00CA7B0B"/>
    <w:rsid w:val="00CA7FC4"/>
    <w:rsid w:val="00CB0028"/>
    <w:rsid w:val="00CB1713"/>
    <w:rsid w:val="00CB1783"/>
    <w:rsid w:val="00CB1D81"/>
    <w:rsid w:val="00CB29FB"/>
    <w:rsid w:val="00CB343E"/>
    <w:rsid w:val="00CB3D57"/>
    <w:rsid w:val="00CB4F91"/>
    <w:rsid w:val="00CB5641"/>
    <w:rsid w:val="00CB56C9"/>
    <w:rsid w:val="00CB5EC7"/>
    <w:rsid w:val="00CB6619"/>
    <w:rsid w:val="00CB7D22"/>
    <w:rsid w:val="00CC03E3"/>
    <w:rsid w:val="00CC0D21"/>
    <w:rsid w:val="00CC175E"/>
    <w:rsid w:val="00CC2440"/>
    <w:rsid w:val="00CC331E"/>
    <w:rsid w:val="00CC4166"/>
    <w:rsid w:val="00CC4E11"/>
    <w:rsid w:val="00CD026B"/>
    <w:rsid w:val="00CD0B5A"/>
    <w:rsid w:val="00CD360E"/>
    <w:rsid w:val="00CD3CBD"/>
    <w:rsid w:val="00CD4601"/>
    <w:rsid w:val="00CD4A32"/>
    <w:rsid w:val="00CE0151"/>
    <w:rsid w:val="00CE0336"/>
    <w:rsid w:val="00CE0572"/>
    <w:rsid w:val="00CE13B9"/>
    <w:rsid w:val="00CE148F"/>
    <w:rsid w:val="00CE34C5"/>
    <w:rsid w:val="00CE42DB"/>
    <w:rsid w:val="00CE4916"/>
    <w:rsid w:val="00CE49DB"/>
    <w:rsid w:val="00CE4CAD"/>
    <w:rsid w:val="00CE622A"/>
    <w:rsid w:val="00CE6A18"/>
    <w:rsid w:val="00CE6C72"/>
    <w:rsid w:val="00CE773C"/>
    <w:rsid w:val="00CF0027"/>
    <w:rsid w:val="00CF01D5"/>
    <w:rsid w:val="00CF0726"/>
    <w:rsid w:val="00CF1365"/>
    <w:rsid w:val="00CF5A0A"/>
    <w:rsid w:val="00D00FC7"/>
    <w:rsid w:val="00D010E2"/>
    <w:rsid w:val="00D0184C"/>
    <w:rsid w:val="00D01D4B"/>
    <w:rsid w:val="00D0467C"/>
    <w:rsid w:val="00D059A9"/>
    <w:rsid w:val="00D0657C"/>
    <w:rsid w:val="00D06645"/>
    <w:rsid w:val="00D07A90"/>
    <w:rsid w:val="00D103AB"/>
    <w:rsid w:val="00D10BE6"/>
    <w:rsid w:val="00D10D01"/>
    <w:rsid w:val="00D11535"/>
    <w:rsid w:val="00D12EEA"/>
    <w:rsid w:val="00D149FC"/>
    <w:rsid w:val="00D155F7"/>
    <w:rsid w:val="00D157FD"/>
    <w:rsid w:val="00D20327"/>
    <w:rsid w:val="00D22438"/>
    <w:rsid w:val="00D23348"/>
    <w:rsid w:val="00D24A4E"/>
    <w:rsid w:val="00D24CE6"/>
    <w:rsid w:val="00D24F67"/>
    <w:rsid w:val="00D2510B"/>
    <w:rsid w:val="00D26102"/>
    <w:rsid w:val="00D268F8"/>
    <w:rsid w:val="00D279D1"/>
    <w:rsid w:val="00D27D34"/>
    <w:rsid w:val="00D27D87"/>
    <w:rsid w:val="00D27F94"/>
    <w:rsid w:val="00D3126B"/>
    <w:rsid w:val="00D32F2C"/>
    <w:rsid w:val="00D338B2"/>
    <w:rsid w:val="00D33D69"/>
    <w:rsid w:val="00D33EA8"/>
    <w:rsid w:val="00D340A8"/>
    <w:rsid w:val="00D34902"/>
    <w:rsid w:val="00D34B4F"/>
    <w:rsid w:val="00D35005"/>
    <w:rsid w:val="00D3549D"/>
    <w:rsid w:val="00D354FF"/>
    <w:rsid w:val="00D3572D"/>
    <w:rsid w:val="00D368D4"/>
    <w:rsid w:val="00D36B45"/>
    <w:rsid w:val="00D36BCE"/>
    <w:rsid w:val="00D40311"/>
    <w:rsid w:val="00D4042B"/>
    <w:rsid w:val="00D43488"/>
    <w:rsid w:val="00D44A75"/>
    <w:rsid w:val="00D456CE"/>
    <w:rsid w:val="00D469DD"/>
    <w:rsid w:val="00D50143"/>
    <w:rsid w:val="00D5032A"/>
    <w:rsid w:val="00D50965"/>
    <w:rsid w:val="00D50E04"/>
    <w:rsid w:val="00D51EB4"/>
    <w:rsid w:val="00D52FA1"/>
    <w:rsid w:val="00D53D76"/>
    <w:rsid w:val="00D54EC8"/>
    <w:rsid w:val="00D553B1"/>
    <w:rsid w:val="00D55CF1"/>
    <w:rsid w:val="00D55D32"/>
    <w:rsid w:val="00D561FA"/>
    <w:rsid w:val="00D5773E"/>
    <w:rsid w:val="00D57F1F"/>
    <w:rsid w:val="00D60F53"/>
    <w:rsid w:val="00D61DAE"/>
    <w:rsid w:val="00D61FEC"/>
    <w:rsid w:val="00D6220B"/>
    <w:rsid w:val="00D62B63"/>
    <w:rsid w:val="00D62E73"/>
    <w:rsid w:val="00D63596"/>
    <w:rsid w:val="00D652D3"/>
    <w:rsid w:val="00D653AF"/>
    <w:rsid w:val="00D65736"/>
    <w:rsid w:val="00D661BB"/>
    <w:rsid w:val="00D6633D"/>
    <w:rsid w:val="00D677F7"/>
    <w:rsid w:val="00D67DC5"/>
    <w:rsid w:val="00D70E84"/>
    <w:rsid w:val="00D737F7"/>
    <w:rsid w:val="00D74166"/>
    <w:rsid w:val="00D74903"/>
    <w:rsid w:val="00D75048"/>
    <w:rsid w:val="00D7574A"/>
    <w:rsid w:val="00D7599D"/>
    <w:rsid w:val="00D77D9A"/>
    <w:rsid w:val="00D8253E"/>
    <w:rsid w:val="00D82618"/>
    <w:rsid w:val="00D826D9"/>
    <w:rsid w:val="00D84997"/>
    <w:rsid w:val="00D859A1"/>
    <w:rsid w:val="00D85C2E"/>
    <w:rsid w:val="00D86D57"/>
    <w:rsid w:val="00D87B8B"/>
    <w:rsid w:val="00D92D34"/>
    <w:rsid w:val="00D93CA6"/>
    <w:rsid w:val="00D944AB"/>
    <w:rsid w:val="00D956BD"/>
    <w:rsid w:val="00D958DF"/>
    <w:rsid w:val="00D959E7"/>
    <w:rsid w:val="00D97732"/>
    <w:rsid w:val="00DA154A"/>
    <w:rsid w:val="00DA2C4C"/>
    <w:rsid w:val="00DA2C96"/>
    <w:rsid w:val="00DA2D4A"/>
    <w:rsid w:val="00DA3C5C"/>
    <w:rsid w:val="00DA4B4C"/>
    <w:rsid w:val="00DA4E88"/>
    <w:rsid w:val="00DA58E8"/>
    <w:rsid w:val="00DA63F9"/>
    <w:rsid w:val="00DA76C4"/>
    <w:rsid w:val="00DB2112"/>
    <w:rsid w:val="00DB24C5"/>
    <w:rsid w:val="00DB29F0"/>
    <w:rsid w:val="00DB3E1B"/>
    <w:rsid w:val="00DB4EAB"/>
    <w:rsid w:val="00DB600B"/>
    <w:rsid w:val="00DB6429"/>
    <w:rsid w:val="00DB6477"/>
    <w:rsid w:val="00DB669C"/>
    <w:rsid w:val="00DB7904"/>
    <w:rsid w:val="00DB7AE3"/>
    <w:rsid w:val="00DC0E61"/>
    <w:rsid w:val="00DC18A7"/>
    <w:rsid w:val="00DC21ED"/>
    <w:rsid w:val="00DC4A0A"/>
    <w:rsid w:val="00DC4D08"/>
    <w:rsid w:val="00DC5731"/>
    <w:rsid w:val="00DC575F"/>
    <w:rsid w:val="00DC6E77"/>
    <w:rsid w:val="00DD08D6"/>
    <w:rsid w:val="00DD0D2A"/>
    <w:rsid w:val="00DD0F17"/>
    <w:rsid w:val="00DD13FD"/>
    <w:rsid w:val="00DD1C98"/>
    <w:rsid w:val="00DD353F"/>
    <w:rsid w:val="00DD3B7E"/>
    <w:rsid w:val="00DD4ECE"/>
    <w:rsid w:val="00DD6026"/>
    <w:rsid w:val="00DD6410"/>
    <w:rsid w:val="00DE2018"/>
    <w:rsid w:val="00DE359B"/>
    <w:rsid w:val="00DE52A9"/>
    <w:rsid w:val="00DE56AA"/>
    <w:rsid w:val="00DE67FE"/>
    <w:rsid w:val="00DE7B3E"/>
    <w:rsid w:val="00DF1709"/>
    <w:rsid w:val="00DF3052"/>
    <w:rsid w:val="00DF6921"/>
    <w:rsid w:val="00E01A9B"/>
    <w:rsid w:val="00E026A7"/>
    <w:rsid w:val="00E02BA7"/>
    <w:rsid w:val="00E03054"/>
    <w:rsid w:val="00E0351F"/>
    <w:rsid w:val="00E039CB"/>
    <w:rsid w:val="00E04C29"/>
    <w:rsid w:val="00E04CFB"/>
    <w:rsid w:val="00E057B8"/>
    <w:rsid w:val="00E05D40"/>
    <w:rsid w:val="00E06B77"/>
    <w:rsid w:val="00E06D8C"/>
    <w:rsid w:val="00E06F7B"/>
    <w:rsid w:val="00E0705C"/>
    <w:rsid w:val="00E0758B"/>
    <w:rsid w:val="00E07644"/>
    <w:rsid w:val="00E07A5B"/>
    <w:rsid w:val="00E07BD7"/>
    <w:rsid w:val="00E10197"/>
    <w:rsid w:val="00E103BA"/>
    <w:rsid w:val="00E12523"/>
    <w:rsid w:val="00E13EC2"/>
    <w:rsid w:val="00E1404F"/>
    <w:rsid w:val="00E1589C"/>
    <w:rsid w:val="00E15DDC"/>
    <w:rsid w:val="00E16030"/>
    <w:rsid w:val="00E16633"/>
    <w:rsid w:val="00E1696D"/>
    <w:rsid w:val="00E16C3B"/>
    <w:rsid w:val="00E21B3A"/>
    <w:rsid w:val="00E22E4A"/>
    <w:rsid w:val="00E2393F"/>
    <w:rsid w:val="00E2487A"/>
    <w:rsid w:val="00E24EE9"/>
    <w:rsid w:val="00E26741"/>
    <w:rsid w:val="00E27336"/>
    <w:rsid w:val="00E30089"/>
    <w:rsid w:val="00E3092A"/>
    <w:rsid w:val="00E309E5"/>
    <w:rsid w:val="00E31F92"/>
    <w:rsid w:val="00E32991"/>
    <w:rsid w:val="00E32A54"/>
    <w:rsid w:val="00E32A97"/>
    <w:rsid w:val="00E32AC2"/>
    <w:rsid w:val="00E32C68"/>
    <w:rsid w:val="00E33622"/>
    <w:rsid w:val="00E33EF4"/>
    <w:rsid w:val="00E34A34"/>
    <w:rsid w:val="00E34B57"/>
    <w:rsid w:val="00E35BAF"/>
    <w:rsid w:val="00E368E0"/>
    <w:rsid w:val="00E401D5"/>
    <w:rsid w:val="00E41308"/>
    <w:rsid w:val="00E41889"/>
    <w:rsid w:val="00E44905"/>
    <w:rsid w:val="00E46537"/>
    <w:rsid w:val="00E46971"/>
    <w:rsid w:val="00E46CD2"/>
    <w:rsid w:val="00E4767D"/>
    <w:rsid w:val="00E50A8E"/>
    <w:rsid w:val="00E51E97"/>
    <w:rsid w:val="00E521FB"/>
    <w:rsid w:val="00E52789"/>
    <w:rsid w:val="00E52F76"/>
    <w:rsid w:val="00E5419A"/>
    <w:rsid w:val="00E54AC4"/>
    <w:rsid w:val="00E55B63"/>
    <w:rsid w:val="00E56ED9"/>
    <w:rsid w:val="00E5759A"/>
    <w:rsid w:val="00E578C4"/>
    <w:rsid w:val="00E6191F"/>
    <w:rsid w:val="00E61FF3"/>
    <w:rsid w:val="00E62FB7"/>
    <w:rsid w:val="00E636AF"/>
    <w:rsid w:val="00E63A40"/>
    <w:rsid w:val="00E63BF2"/>
    <w:rsid w:val="00E664D0"/>
    <w:rsid w:val="00E666BD"/>
    <w:rsid w:val="00E66D18"/>
    <w:rsid w:val="00E670FB"/>
    <w:rsid w:val="00E676D4"/>
    <w:rsid w:val="00E7052F"/>
    <w:rsid w:val="00E7199B"/>
    <w:rsid w:val="00E74807"/>
    <w:rsid w:val="00E760FC"/>
    <w:rsid w:val="00E76B7F"/>
    <w:rsid w:val="00E77B97"/>
    <w:rsid w:val="00E80131"/>
    <w:rsid w:val="00E8112D"/>
    <w:rsid w:val="00E81A5C"/>
    <w:rsid w:val="00E81C2A"/>
    <w:rsid w:val="00E829DA"/>
    <w:rsid w:val="00E83E6D"/>
    <w:rsid w:val="00E85865"/>
    <w:rsid w:val="00E8692F"/>
    <w:rsid w:val="00E8699A"/>
    <w:rsid w:val="00E9174E"/>
    <w:rsid w:val="00E91951"/>
    <w:rsid w:val="00E9292E"/>
    <w:rsid w:val="00E934D3"/>
    <w:rsid w:val="00EA16B2"/>
    <w:rsid w:val="00EA25E6"/>
    <w:rsid w:val="00EA2D99"/>
    <w:rsid w:val="00EA3D8E"/>
    <w:rsid w:val="00EA5C9B"/>
    <w:rsid w:val="00EA63ED"/>
    <w:rsid w:val="00EB1E68"/>
    <w:rsid w:val="00EB423D"/>
    <w:rsid w:val="00EB563F"/>
    <w:rsid w:val="00EB7BC9"/>
    <w:rsid w:val="00EC0649"/>
    <w:rsid w:val="00EC0C39"/>
    <w:rsid w:val="00EC2B56"/>
    <w:rsid w:val="00EC3BAF"/>
    <w:rsid w:val="00EC3BCA"/>
    <w:rsid w:val="00EC57F0"/>
    <w:rsid w:val="00EC65B3"/>
    <w:rsid w:val="00EC6E47"/>
    <w:rsid w:val="00EC730F"/>
    <w:rsid w:val="00EC738F"/>
    <w:rsid w:val="00ED3512"/>
    <w:rsid w:val="00ED441C"/>
    <w:rsid w:val="00ED4AA1"/>
    <w:rsid w:val="00ED636F"/>
    <w:rsid w:val="00ED67EB"/>
    <w:rsid w:val="00ED7B1F"/>
    <w:rsid w:val="00EE25F8"/>
    <w:rsid w:val="00EE37A0"/>
    <w:rsid w:val="00EE3C06"/>
    <w:rsid w:val="00EE3C84"/>
    <w:rsid w:val="00EE7312"/>
    <w:rsid w:val="00EE7E7B"/>
    <w:rsid w:val="00EF0464"/>
    <w:rsid w:val="00EF1516"/>
    <w:rsid w:val="00EF18A1"/>
    <w:rsid w:val="00EF3E20"/>
    <w:rsid w:val="00EF5040"/>
    <w:rsid w:val="00EF673A"/>
    <w:rsid w:val="00EF708E"/>
    <w:rsid w:val="00F00BA0"/>
    <w:rsid w:val="00F01DC8"/>
    <w:rsid w:val="00F02B3B"/>
    <w:rsid w:val="00F02D70"/>
    <w:rsid w:val="00F02DBD"/>
    <w:rsid w:val="00F03211"/>
    <w:rsid w:val="00F06951"/>
    <w:rsid w:val="00F06ED4"/>
    <w:rsid w:val="00F0707B"/>
    <w:rsid w:val="00F10147"/>
    <w:rsid w:val="00F10564"/>
    <w:rsid w:val="00F1193B"/>
    <w:rsid w:val="00F13F5C"/>
    <w:rsid w:val="00F14DE5"/>
    <w:rsid w:val="00F158CE"/>
    <w:rsid w:val="00F16869"/>
    <w:rsid w:val="00F16FE7"/>
    <w:rsid w:val="00F202ED"/>
    <w:rsid w:val="00F2267F"/>
    <w:rsid w:val="00F22FB1"/>
    <w:rsid w:val="00F23215"/>
    <w:rsid w:val="00F25725"/>
    <w:rsid w:val="00F2680D"/>
    <w:rsid w:val="00F305E8"/>
    <w:rsid w:val="00F30ADE"/>
    <w:rsid w:val="00F30B3D"/>
    <w:rsid w:val="00F311D3"/>
    <w:rsid w:val="00F31205"/>
    <w:rsid w:val="00F31ED4"/>
    <w:rsid w:val="00F32658"/>
    <w:rsid w:val="00F32E4B"/>
    <w:rsid w:val="00F34241"/>
    <w:rsid w:val="00F3520E"/>
    <w:rsid w:val="00F35E82"/>
    <w:rsid w:val="00F36869"/>
    <w:rsid w:val="00F36B58"/>
    <w:rsid w:val="00F37805"/>
    <w:rsid w:val="00F37E83"/>
    <w:rsid w:val="00F414E1"/>
    <w:rsid w:val="00F41DE1"/>
    <w:rsid w:val="00F43A3D"/>
    <w:rsid w:val="00F43D7E"/>
    <w:rsid w:val="00F43F7F"/>
    <w:rsid w:val="00F44B8D"/>
    <w:rsid w:val="00F44D07"/>
    <w:rsid w:val="00F44FFE"/>
    <w:rsid w:val="00F45332"/>
    <w:rsid w:val="00F45681"/>
    <w:rsid w:val="00F5076E"/>
    <w:rsid w:val="00F511BF"/>
    <w:rsid w:val="00F51624"/>
    <w:rsid w:val="00F51660"/>
    <w:rsid w:val="00F52114"/>
    <w:rsid w:val="00F53403"/>
    <w:rsid w:val="00F54AA5"/>
    <w:rsid w:val="00F54E5A"/>
    <w:rsid w:val="00F5555B"/>
    <w:rsid w:val="00F55900"/>
    <w:rsid w:val="00F568C7"/>
    <w:rsid w:val="00F56EB8"/>
    <w:rsid w:val="00F57110"/>
    <w:rsid w:val="00F57A41"/>
    <w:rsid w:val="00F60FED"/>
    <w:rsid w:val="00F616E4"/>
    <w:rsid w:val="00F61735"/>
    <w:rsid w:val="00F62366"/>
    <w:rsid w:val="00F63B5C"/>
    <w:rsid w:val="00F6416A"/>
    <w:rsid w:val="00F64698"/>
    <w:rsid w:val="00F64DD0"/>
    <w:rsid w:val="00F654E9"/>
    <w:rsid w:val="00F65BD0"/>
    <w:rsid w:val="00F70385"/>
    <w:rsid w:val="00F72213"/>
    <w:rsid w:val="00F732C3"/>
    <w:rsid w:val="00F73FDC"/>
    <w:rsid w:val="00F74645"/>
    <w:rsid w:val="00F746F2"/>
    <w:rsid w:val="00F74761"/>
    <w:rsid w:val="00F74888"/>
    <w:rsid w:val="00F75474"/>
    <w:rsid w:val="00F75647"/>
    <w:rsid w:val="00F764AE"/>
    <w:rsid w:val="00F76D26"/>
    <w:rsid w:val="00F7747E"/>
    <w:rsid w:val="00F7795C"/>
    <w:rsid w:val="00F7799C"/>
    <w:rsid w:val="00F77E80"/>
    <w:rsid w:val="00F8090E"/>
    <w:rsid w:val="00F8211F"/>
    <w:rsid w:val="00F82752"/>
    <w:rsid w:val="00F845C4"/>
    <w:rsid w:val="00F84FA6"/>
    <w:rsid w:val="00F8534E"/>
    <w:rsid w:val="00F86403"/>
    <w:rsid w:val="00F87A0F"/>
    <w:rsid w:val="00F87D5B"/>
    <w:rsid w:val="00F9097F"/>
    <w:rsid w:val="00F90B8E"/>
    <w:rsid w:val="00F90EF6"/>
    <w:rsid w:val="00F911F2"/>
    <w:rsid w:val="00F91EBB"/>
    <w:rsid w:val="00F92FA6"/>
    <w:rsid w:val="00F93555"/>
    <w:rsid w:val="00F94A98"/>
    <w:rsid w:val="00F9543B"/>
    <w:rsid w:val="00FA0173"/>
    <w:rsid w:val="00FA02F0"/>
    <w:rsid w:val="00FA177E"/>
    <w:rsid w:val="00FA1E4D"/>
    <w:rsid w:val="00FA2C4F"/>
    <w:rsid w:val="00FA3B53"/>
    <w:rsid w:val="00FA4962"/>
    <w:rsid w:val="00FA5F0B"/>
    <w:rsid w:val="00FA6C9C"/>
    <w:rsid w:val="00FA6E6E"/>
    <w:rsid w:val="00FA6F40"/>
    <w:rsid w:val="00FA792C"/>
    <w:rsid w:val="00FA7CB2"/>
    <w:rsid w:val="00FAD050"/>
    <w:rsid w:val="00FB059E"/>
    <w:rsid w:val="00FB1E2E"/>
    <w:rsid w:val="00FB283D"/>
    <w:rsid w:val="00FB4DB7"/>
    <w:rsid w:val="00FB5F1D"/>
    <w:rsid w:val="00FB7765"/>
    <w:rsid w:val="00FB77C3"/>
    <w:rsid w:val="00FB79AB"/>
    <w:rsid w:val="00FC1280"/>
    <w:rsid w:val="00FC19E9"/>
    <w:rsid w:val="00FC2379"/>
    <w:rsid w:val="00FC2E64"/>
    <w:rsid w:val="00FC355E"/>
    <w:rsid w:val="00FC3AA7"/>
    <w:rsid w:val="00FC420F"/>
    <w:rsid w:val="00FC4298"/>
    <w:rsid w:val="00FC67B9"/>
    <w:rsid w:val="00FC797F"/>
    <w:rsid w:val="00FD0B2B"/>
    <w:rsid w:val="00FD31C6"/>
    <w:rsid w:val="00FD3D39"/>
    <w:rsid w:val="00FD4433"/>
    <w:rsid w:val="00FD4828"/>
    <w:rsid w:val="00FD5BF9"/>
    <w:rsid w:val="00FD62DE"/>
    <w:rsid w:val="00FD67D6"/>
    <w:rsid w:val="00FD69B4"/>
    <w:rsid w:val="00FD6DD5"/>
    <w:rsid w:val="00FD6EA2"/>
    <w:rsid w:val="00FE022A"/>
    <w:rsid w:val="00FE13E5"/>
    <w:rsid w:val="00FE155B"/>
    <w:rsid w:val="00FE1D2D"/>
    <w:rsid w:val="00FE2DCE"/>
    <w:rsid w:val="00FE4250"/>
    <w:rsid w:val="00FE5BFE"/>
    <w:rsid w:val="00FE5C92"/>
    <w:rsid w:val="00FE70D1"/>
    <w:rsid w:val="00FE7B46"/>
    <w:rsid w:val="00FF08C6"/>
    <w:rsid w:val="00FF283F"/>
    <w:rsid w:val="00FF290D"/>
    <w:rsid w:val="00FF2AD2"/>
    <w:rsid w:val="00FF3127"/>
    <w:rsid w:val="00FF451D"/>
    <w:rsid w:val="00FF4595"/>
    <w:rsid w:val="00FF60BE"/>
    <w:rsid w:val="00FF6159"/>
    <w:rsid w:val="00FF6257"/>
    <w:rsid w:val="01D173F6"/>
    <w:rsid w:val="01D4EBBB"/>
    <w:rsid w:val="0232CFA6"/>
    <w:rsid w:val="02669602"/>
    <w:rsid w:val="0294D6CF"/>
    <w:rsid w:val="02A3B96E"/>
    <w:rsid w:val="02DC3CF6"/>
    <w:rsid w:val="039F9B46"/>
    <w:rsid w:val="03B71555"/>
    <w:rsid w:val="03DD87BF"/>
    <w:rsid w:val="03FDD177"/>
    <w:rsid w:val="0403F49A"/>
    <w:rsid w:val="041746F3"/>
    <w:rsid w:val="0437D2DB"/>
    <w:rsid w:val="04649D19"/>
    <w:rsid w:val="04765104"/>
    <w:rsid w:val="0487F1DE"/>
    <w:rsid w:val="04935CF8"/>
    <w:rsid w:val="04F2EAB6"/>
    <w:rsid w:val="05021766"/>
    <w:rsid w:val="05583AF7"/>
    <w:rsid w:val="0583495A"/>
    <w:rsid w:val="05941C80"/>
    <w:rsid w:val="05D5467C"/>
    <w:rsid w:val="05D84B8A"/>
    <w:rsid w:val="05DA50E7"/>
    <w:rsid w:val="060B9D94"/>
    <w:rsid w:val="0694F974"/>
    <w:rsid w:val="06EDB911"/>
    <w:rsid w:val="0712D1AB"/>
    <w:rsid w:val="073570F9"/>
    <w:rsid w:val="074C2110"/>
    <w:rsid w:val="074C6113"/>
    <w:rsid w:val="0763C7E7"/>
    <w:rsid w:val="07998C67"/>
    <w:rsid w:val="07CF2CAD"/>
    <w:rsid w:val="0805B91E"/>
    <w:rsid w:val="081783FD"/>
    <w:rsid w:val="08886089"/>
    <w:rsid w:val="08C00672"/>
    <w:rsid w:val="08D2BDD6"/>
    <w:rsid w:val="0908AC2B"/>
    <w:rsid w:val="0909BE26"/>
    <w:rsid w:val="092F0C2B"/>
    <w:rsid w:val="09AC0EEF"/>
    <w:rsid w:val="09EF5101"/>
    <w:rsid w:val="0A05FE9D"/>
    <w:rsid w:val="0A15D2C0"/>
    <w:rsid w:val="0A23D1C6"/>
    <w:rsid w:val="0A6C9DA3"/>
    <w:rsid w:val="0ACED45F"/>
    <w:rsid w:val="0B34DB5B"/>
    <w:rsid w:val="0B77914B"/>
    <w:rsid w:val="0BAD347C"/>
    <w:rsid w:val="0BE7DE41"/>
    <w:rsid w:val="0C5FD82A"/>
    <w:rsid w:val="0C61AE28"/>
    <w:rsid w:val="0C75CE62"/>
    <w:rsid w:val="0CABA673"/>
    <w:rsid w:val="0CB0549F"/>
    <w:rsid w:val="0CF8FE1B"/>
    <w:rsid w:val="0D03155E"/>
    <w:rsid w:val="0D389EC9"/>
    <w:rsid w:val="0D635B81"/>
    <w:rsid w:val="0D6A8272"/>
    <w:rsid w:val="0DFCE7A6"/>
    <w:rsid w:val="0E2FECC7"/>
    <w:rsid w:val="0E4B39E2"/>
    <w:rsid w:val="0E8BF4DE"/>
    <w:rsid w:val="0F3F4323"/>
    <w:rsid w:val="0F78E4CB"/>
    <w:rsid w:val="0FC2D5DB"/>
    <w:rsid w:val="102BB377"/>
    <w:rsid w:val="10396928"/>
    <w:rsid w:val="1049743F"/>
    <w:rsid w:val="1071F62D"/>
    <w:rsid w:val="109F69C4"/>
    <w:rsid w:val="10BFC0E9"/>
    <w:rsid w:val="1164B8FA"/>
    <w:rsid w:val="11659724"/>
    <w:rsid w:val="11847E4F"/>
    <w:rsid w:val="11D4652F"/>
    <w:rsid w:val="11FC8266"/>
    <w:rsid w:val="123A33C7"/>
    <w:rsid w:val="125406A0"/>
    <w:rsid w:val="1276A988"/>
    <w:rsid w:val="12C2F13F"/>
    <w:rsid w:val="1334F361"/>
    <w:rsid w:val="135F2415"/>
    <w:rsid w:val="136E7B93"/>
    <w:rsid w:val="138A2321"/>
    <w:rsid w:val="13B26D02"/>
    <w:rsid w:val="13E24849"/>
    <w:rsid w:val="142922DC"/>
    <w:rsid w:val="1471D19F"/>
    <w:rsid w:val="148C32F5"/>
    <w:rsid w:val="14E57E63"/>
    <w:rsid w:val="14FADB12"/>
    <w:rsid w:val="151F19CA"/>
    <w:rsid w:val="15423784"/>
    <w:rsid w:val="1553D200"/>
    <w:rsid w:val="158647CE"/>
    <w:rsid w:val="158D5BFE"/>
    <w:rsid w:val="158F23C0"/>
    <w:rsid w:val="15BFA46D"/>
    <w:rsid w:val="15CEE21D"/>
    <w:rsid w:val="15E16BB3"/>
    <w:rsid w:val="167FF535"/>
    <w:rsid w:val="1699A93D"/>
    <w:rsid w:val="16CB4A6E"/>
    <w:rsid w:val="1712D61F"/>
    <w:rsid w:val="172A96D9"/>
    <w:rsid w:val="174B7CFB"/>
    <w:rsid w:val="17830A00"/>
    <w:rsid w:val="1787B288"/>
    <w:rsid w:val="17C7C961"/>
    <w:rsid w:val="17EEB867"/>
    <w:rsid w:val="1803BE58"/>
    <w:rsid w:val="1848D73E"/>
    <w:rsid w:val="18490F23"/>
    <w:rsid w:val="1855AF5E"/>
    <w:rsid w:val="185B7294"/>
    <w:rsid w:val="1876E7C9"/>
    <w:rsid w:val="1888FD60"/>
    <w:rsid w:val="189B6FCD"/>
    <w:rsid w:val="18DAE0FF"/>
    <w:rsid w:val="18DE71B8"/>
    <w:rsid w:val="199EED27"/>
    <w:rsid w:val="19A156AD"/>
    <w:rsid w:val="19D46A3B"/>
    <w:rsid w:val="19EBF18B"/>
    <w:rsid w:val="1A2A5BDD"/>
    <w:rsid w:val="1AA8874D"/>
    <w:rsid w:val="1B18E3E7"/>
    <w:rsid w:val="1B39CF8E"/>
    <w:rsid w:val="1B538308"/>
    <w:rsid w:val="1B7F13F7"/>
    <w:rsid w:val="1B832A76"/>
    <w:rsid w:val="1BD02D5C"/>
    <w:rsid w:val="1BD365AA"/>
    <w:rsid w:val="1C610145"/>
    <w:rsid w:val="1C6DD052"/>
    <w:rsid w:val="1C71E722"/>
    <w:rsid w:val="1C726C15"/>
    <w:rsid w:val="1C75BBD5"/>
    <w:rsid w:val="1C7C74B7"/>
    <w:rsid w:val="1CC3C9EC"/>
    <w:rsid w:val="1CD16782"/>
    <w:rsid w:val="1CE87E12"/>
    <w:rsid w:val="1CEDD053"/>
    <w:rsid w:val="1D83B657"/>
    <w:rsid w:val="1DB89020"/>
    <w:rsid w:val="1DE15A55"/>
    <w:rsid w:val="1E363F02"/>
    <w:rsid w:val="1E3ADDCC"/>
    <w:rsid w:val="1E44E18F"/>
    <w:rsid w:val="1E547947"/>
    <w:rsid w:val="1ECA80F5"/>
    <w:rsid w:val="1ED86AEF"/>
    <w:rsid w:val="1EDD3C5E"/>
    <w:rsid w:val="1EDE87D3"/>
    <w:rsid w:val="1F7328E0"/>
    <w:rsid w:val="1F949B8C"/>
    <w:rsid w:val="1FE3A486"/>
    <w:rsid w:val="1FEB2061"/>
    <w:rsid w:val="2016CC5C"/>
    <w:rsid w:val="203DF0DF"/>
    <w:rsid w:val="2044357B"/>
    <w:rsid w:val="20F37745"/>
    <w:rsid w:val="20F8EDB2"/>
    <w:rsid w:val="2123F93F"/>
    <w:rsid w:val="2129C6DB"/>
    <w:rsid w:val="2151EE9A"/>
    <w:rsid w:val="218AA164"/>
    <w:rsid w:val="21A8D713"/>
    <w:rsid w:val="2248D6AE"/>
    <w:rsid w:val="23902EF5"/>
    <w:rsid w:val="23A467E3"/>
    <w:rsid w:val="23C3CCAA"/>
    <w:rsid w:val="23CA17D3"/>
    <w:rsid w:val="23F2E407"/>
    <w:rsid w:val="23FFF8CE"/>
    <w:rsid w:val="24407DE2"/>
    <w:rsid w:val="245B850F"/>
    <w:rsid w:val="247CE01B"/>
    <w:rsid w:val="24817AE5"/>
    <w:rsid w:val="24904518"/>
    <w:rsid w:val="24B874F5"/>
    <w:rsid w:val="24D53613"/>
    <w:rsid w:val="2577A486"/>
    <w:rsid w:val="25BD36B4"/>
    <w:rsid w:val="25FD1046"/>
    <w:rsid w:val="26242991"/>
    <w:rsid w:val="263B81B6"/>
    <w:rsid w:val="2655FA41"/>
    <w:rsid w:val="26644A97"/>
    <w:rsid w:val="26A71BAF"/>
    <w:rsid w:val="26F5AB2B"/>
    <w:rsid w:val="26FBFAAA"/>
    <w:rsid w:val="2720C9A6"/>
    <w:rsid w:val="2726AD7D"/>
    <w:rsid w:val="2730A607"/>
    <w:rsid w:val="2765C9A6"/>
    <w:rsid w:val="279C2893"/>
    <w:rsid w:val="27D1CA10"/>
    <w:rsid w:val="287FE8F0"/>
    <w:rsid w:val="28C7723A"/>
    <w:rsid w:val="28F06B6B"/>
    <w:rsid w:val="291584F7"/>
    <w:rsid w:val="292A13CD"/>
    <w:rsid w:val="294BC500"/>
    <w:rsid w:val="2972C724"/>
    <w:rsid w:val="29AE5035"/>
    <w:rsid w:val="29B64949"/>
    <w:rsid w:val="29DCBC01"/>
    <w:rsid w:val="29DF0388"/>
    <w:rsid w:val="2A53BEFD"/>
    <w:rsid w:val="2A5C3E67"/>
    <w:rsid w:val="2AC1CE9D"/>
    <w:rsid w:val="2AC9A7A2"/>
    <w:rsid w:val="2B578A2C"/>
    <w:rsid w:val="2B671DDC"/>
    <w:rsid w:val="2B6739DE"/>
    <w:rsid w:val="2BB5F30A"/>
    <w:rsid w:val="2C33A91D"/>
    <w:rsid w:val="2C4917AD"/>
    <w:rsid w:val="2C886E51"/>
    <w:rsid w:val="2CA7BBB2"/>
    <w:rsid w:val="2CE0361E"/>
    <w:rsid w:val="2CE547BE"/>
    <w:rsid w:val="2D599191"/>
    <w:rsid w:val="2D954DA3"/>
    <w:rsid w:val="2DCCF99C"/>
    <w:rsid w:val="2E156E2A"/>
    <w:rsid w:val="2E180AEA"/>
    <w:rsid w:val="2E2C8BFE"/>
    <w:rsid w:val="2E6E22F7"/>
    <w:rsid w:val="2EDBEFCB"/>
    <w:rsid w:val="2EEC409A"/>
    <w:rsid w:val="2F4BA303"/>
    <w:rsid w:val="2F6101FB"/>
    <w:rsid w:val="2F86B9B8"/>
    <w:rsid w:val="302CA946"/>
    <w:rsid w:val="3051CD48"/>
    <w:rsid w:val="3077FED6"/>
    <w:rsid w:val="309EBD4E"/>
    <w:rsid w:val="30C5F76E"/>
    <w:rsid w:val="30CEC1C9"/>
    <w:rsid w:val="30F6FA9A"/>
    <w:rsid w:val="3110D4E0"/>
    <w:rsid w:val="315785C3"/>
    <w:rsid w:val="3163FB20"/>
    <w:rsid w:val="3188CDCD"/>
    <w:rsid w:val="31C18BBC"/>
    <w:rsid w:val="3212AFAA"/>
    <w:rsid w:val="3224D6D7"/>
    <w:rsid w:val="3237F82F"/>
    <w:rsid w:val="325DCD45"/>
    <w:rsid w:val="32DAB166"/>
    <w:rsid w:val="33077611"/>
    <w:rsid w:val="334719E3"/>
    <w:rsid w:val="337C3B28"/>
    <w:rsid w:val="3388BAF3"/>
    <w:rsid w:val="33D6249C"/>
    <w:rsid w:val="3408652A"/>
    <w:rsid w:val="346E045E"/>
    <w:rsid w:val="348D8C49"/>
    <w:rsid w:val="34D40132"/>
    <w:rsid w:val="351121C5"/>
    <w:rsid w:val="3528A939"/>
    <w:rsid w:val="353FB956"/>
    <w:rsid w:val="35569742"/>
    <w:rsid w:val="3620885F"/>
    <w:rsid w:val="362E8CC3"/>
    <w:rsid w:val="36365200"/>
    <w:rsid w:val="36EE46E6"/>
    <w:rsid w:val="3701D3BA"/>
    <w:rsid w:val="37074384"/>
    <w:rsid w:val="37338FF0"/>
    <w:rsid w:val="3734388C"/>
    <w:rsid w:val="37B95D7C"/>
    <w:rsid w:val="37D7CED5"/>
    <w:rsid w:val="37FCC9B5"/>
    <w:rsid w:val="3843EDA0"/>
    <w:rsid w:val="384B5053"/>
    <w:rsid w:val="3891B90A"/>
    <w:rsid w:val="38D3B845"/>
    <w:rsid w:val="38FD2192"/>
    <w:rsid w:val="39E99583"/>
    <w:rsid w:val="3AC1E921"/>
    <w:rsid w:val="3B38687D"/>
    <w:rsid w:val="3B6C5BCA"/>
    <w:rsid w:val="3BAD77ED"/>
    <w:rsid w:val="3BE79821"/>
    <w:rsid w:val="3BF28994"/>
    <w:rsid w:val="3C1B1CC5"/>
    <w:rsid w:val="3CF63353"/>
    <w:rsid w:val="3D66B2C8"/>
    <w:rsid w:val="3DE966B5"/>
    <w:rsid w:val="3DF0771E"/>
    <w:rsid w:val="3E4903F0"/>
    <w:rsid w:val="3E51DF97"/>
    <w:rsid w:val="3E5DBFCD"/>
    <w:rsid w:val="3E637968"/>
    <w:rsid w:val="3F3A1FAA"/>
    <w:rsid w:val="3F8DE611"/>
    <w:rsid w:val="3F9D708D"/>
    <w:rsid w:val="3FA0CFD2"/>
    <w:rsid w:val="4000254E"/>
    <w:rsid w:val="40040C8D"/>
    <w:rsid w:val="400A128C"/>
    <w:rsid w:val="40155024"/>
    <w:rsid w:val="40553E62"/>
    <w:rsid w:val="4097F918"/>
    <w:rsid w:val="410F7A2C"/>
    <w:rsid w:val="414510C1"/>
    <w:rsid w:val="41847413"/>
    <w:rsid w:val="42142D92"/>
    <w:rsid w:val="4225151B"/>
    <w:rsid w:val="42A86175"/>
    <w:rsid w:val="42AF53C4"/>
    <w:rsid w:val="42D91841"/>
    <w:rsid w:val="42DB2A3A"/>
    <w:rsid w:val="430C80E2"/>
    <w:rsid w:val="43566676"/>
    <w:rsid w:val="436C8E37"/>
    <w:rsid w:val="43805050"/>
    <w:rsid w:val="43CAB104"/>
    <w:rsid w:val="4510C6E4"/>
    <w:rsid w:val="4549AFA9"/>
    <w:rsid w:val="4558CA42"/>
    <w:rsid w:val="45F3B471"/>
    <w:rsid w:val="462E9D1E"/>
    <w:rsid w:val="4637CD0A"/>
    <w:rsid w:val="465AACF4"/>
    <w:rsid w:val="4676A0E7"/>
    <w:rsid w:val="469193AA"/>
    <w:rsid w:val="46AAF98D"/>
    <w:rsid w:val="47038FF1"/>
    <w:rsid w:val="4725E32D"/>
    <w:rsid w:val="476614EB"/>
    <w:rsid w:val="476B1B2E"/>
    <w:rsid w:val="47716B38"/>
    <w:rsid w:val="47874969"/>
    <w:rsid w:val="478B3425"/>
    <w:rsid w:val="47E3E467"/>
    <w:rsid w:val="47FA0C24"/>
    <w:rsid w:val="4805E7CC"/>
    <w:rsid w:val="487C7FEF"/>
    <w:rsid w:val="48DC199D"/>
    <w:rsid w:val="48EC9EE3"/>
    <w:rsid w:val="493520B7"/>
    <w:rsid w:val="495A5782"/>
    <w:rsid w:val="4972DA49"/>
    <w:rsid w:val="498CEC34"/>
    <w:rsid w:val="49960F8A"/>
    <w:rsid w:val="49C271E5"/>
    <w:rsid w:val="49D9B412"/>
    <w:rsid w:val="4A2179D8"/>
    <w:rsid w:val="4A4871BC"/>
    <w:rsid w:val="4A58F91C"/>
    <w:rsid w:val="4A7B8AD3"/>
    <w:rsid w:val="4AF59286"/>
    <w:rsid w:val="4B5350AC"/>
    <w:rsid w:val="4B55DCD9"/>
    <w:rsid w:val="4B96863D"/>
    <w:rsid w:val="4BB3A793"/>
    <w:rsid w:val="4BDDE82D"/>
    <w:rsid w:val="4BF14E85"/>
    <w:rsid w:val="4C52021F"/>
    <w:rsid w:val="4CA73890"/>
    <w:rsid w:val="4D317F9F"/>
    <w:rsid w:val="4D4839A1"/>
    <w:rsid w:val="4D742379"/>
    <w:rsid w:val="4D74D449"/>
    <w:rsid w:val="4D99A9DE"/>
    <w:rsid w:val="4DA42B16"/>
    <w:rsid w:val="4DB16BAD"/>
    <w:rsid w:val="4DD009B9"/>
    <w:rsid w:val="4E1C6F97"/>
    <w:rsid w:val="4E68A7AB"/>
    <w:rsid w:val="4EB3C812"/>
    <w:rsid w:val="4EEC08ED"/>
    <w:rsid w:val="4F0C7A30"/>
    <w:rsid w:val="4F0D9395"/>
    <w:rsid w:val="4F478115"/>
    <w:rsid w:val="4F756088"/>
    <w:rsid w:val="4F7DE917"/>
    <w:rsid w:val="4F967236"/>
    <w:rsid w:val="4FE4044A"/>
    <w:rsid w:val="5051F657"/>
    <w:rsid w:val="5085A1A4"/>
    <w:rsid w:val="50A49F2F"/>
    <w:rsid w:val="50BB3C0F"/>
    <w:rsid w:val="50D295AF"/>
    <w:rsid w:val="513D3314"/>
    <w:rsid w:val="5170FA61"/>
    <w:rsid w:val="51979E7E"/>
    <w:rsid w:val="5206F3DB"/>
    <w:rsid w:val="520C35E1"/>
    <w:rsid w:val="5272ED59"/>
    <w:rsid w:val="52C3D158"/>
    <w:rsid w:val="530FD520"/>
    <w:rsid w:val="533B14F7"/>
    <w:rsid w:val="53BC2B2A"/>
    <w:rsid w:val="545C4435"/>
    <w:rsid w:val="546D1FA7"/>
    <w:rsid w:val="54B61F94"/>
    <w:rsid w:val="54C0631E"/>
    <w:rsid w:val="54CE2CCB"/>
    <w:rsid w:val="54D09F46"/>
    <w:rsid w:val="55158CBB"/>
    <w:rsid w:val="5517B26F"/>
    <w:rsid w:val="55216AB4"/>
    <w:rsid w:val="55598E8E"/>
    <w:rsid w:val="5567B483"/>
    <w:rsid w:val="55774B0B"/>
    <w:rsid w:val="557D7117"/>
    <w:rsid w:val="55D37D45"/>
    <w:rsid w:val="55D52823"/>
    <w:rsid w:val="560C4776"/>
    <w:rsid w:val="56504D98"/>
    <w:rsid w:val="5657C150"/>
    <w:rsid w:val="56B7AD6E"/>
    <w:rsid w:val="56C59D76"/>
    <w:rsid w:val="5700A1B4"/>
    <w:rsid w:val="57A7F5C0"/>
    <w:rsid w:val="580FBABC"/>
    <w:rsid w:val="583D6DFC"/>
    <w:rsid w:val="58415189"/>
    <w:rsid w:val="585B89E3"/>
    <w:rsid w:val="5881E9D2"/>
    <w:rsid w:val="5882556A"/>
    <w:rsid w:val="58FB9BEF"/>
    <w:rsid w:val="5901E20D"/>
    <w:rsid w:val="59191625"/>
    <w:rsid w:val="5A2CFEE2"/>
    <w:rsid w:val="5A5ABCB6"/>
    <w:rsid w:val="5AAD9CE9"/>
    <w:rsid w:val="5AC4D36D"/>
    <w:rsid w:val="5AD0F2CE"/>
    <w:rsid w:val="5AD7EFEF"/>
    <w:rsid w:val="5AD94043"/>
    <w:rsid w:val="5AE820A9"/>
    <w:rsid w:val="5AF07661"/>
    <w:rsid w:val="5B1FF74E"/>
    <w:rsid w:val="5B5E4F2E"/>
    <w:rsid w:val="5BA2142C"/>
    <w:rsid w:val="5BAC15A1"/>
    <w:rsid w:val="5BDA699D"/>
    <w:rsid w:val="5BE27C41"/>
    <w:rsid w:val="5BFCE6FA"/>
    <w:rsid w:val="5C060129"/>
    <w:rsid w:val="5C543904"/>
    <w:rsid w:val="5C8A0042"/>
    <w:rsid w:val="5C90FA51"/>
    <w:rsid w:val="5CA2B3BA"/>
    <w:rsid w:val="5CD556F8"/>
    <w:rsid w:val="5CE4D35A"/>
    <w:rsid w:val="5CE9ED6C"/>
    <w:rsid w:val="5D291342"/>
    <w:rsid w:val="5D9097B7"/>
    <w:rsid w:val="5DB7017C"/>
    <w:rsid w:val="5DF63ADA"/>
    <w:rsid w:val="5EB2C64B"/>
    <w:rsid w:val="5F25FCF4"/>
    <w:rsid w:val="5F429991"/>
    <w:rsid w:val="5FC7EE41"/>
    <w:rsid w:val="5FE1C4B8"/>
    <w:rsid w:val="606A418E"/>
    <w:rsid w:val="607E3E51"/>
    <w:rsid w:val="6087A6AE"/>
    <w:rsid w:val="60E19F47"/>
    <w:rsid w:val="60FD2E54"/>
    <w:rsid w:val="611495F7"/>
    <w:rsid w:val="6133D50C"/>
    <w:rsid w:val="618158FA"/>
    <w:rsid w:val="61B92F5F"/>
    <w:rsid w:val="61DED5CF"/>
    <w:rsid w:val="61EDF6B9"/>
    <w:rsid w:val="61F363A8"/>
    <w:rsid w:val="6250A656"/>
    <w:rsid w:val="625EB213"/>
    <w:rsid w:val="62BD6DF4"/>
    <w:rsid w:val="62D75A1D"/>
    <w:rsid w:val="62DDE505"/>
    <w:rsid w:val="62E67F12"/>
    <w:rsid w:val="6335D94F"/>
    <w:rsid w:val="635CE4C5"/>
    <w:rsid w:val="63AB1CAB"/>
    <w:rsid w:val="64028BCF"/>
    <w:rsid w:val="644BE99D"/>
    <w:rsid w:val="6454E4EE"/>
    <w:rsid w:val="6475EECC"/>
    <w:rsid w:val="648723B4"/>
    <w:rsid w:val="64A3DD96"/>
    <w:rsid w:val="64AE3244"/>
    <w:rsid w:val="64C418D0"/>
    <w:rsid w:val="64CBFF6C"/>
    <w:rsid w:val="64E26A2E"/>
    <w:rsid w:val="651C7103"/>
    <w:rsid w:val="6529E881"/>
    <w:rsid w:val="65A809ED"/>
    <w:rsid w:val="664F2F2A"/>
    <w:rsid w:val="667C6503"/>
    <w:rsid w:val="66D4B269"/>
    <w:rsid w:val="6788FF3D"/>
    <w:rsid w:val="67C361CC"/>
    <w:rsid w:val="67D78FBF"/>
    <w:rsid w:val="67E08546"/>
    <w:rsid w:val="67FD98ED"/>
    <w:rsid w:val="68295B7C"/>
    <w:rsid w:val="68585EEF"/>
    <w:rsid w:val="68614FC6"/>
    <w:rsid w:val="68D5F12C"/>
    <w:rsid w:val="691F66EF"/>
    <w:rsid w:val="6973F327"/>
    <w:rsid w:val="69743A8B"/>
    <w:rsid w:val="69CBFE28"/>
    <w:rsid w:val="69D35189"/>
    <w:rsid w:val="69FD890F"/>
    <w:rsid w:val="6A3EAFD8"/>
    <w:rsid w:val="6A48A45F"/>
    <w:rsid w:val="6A525085"/>
    <w:rsid w:val="6A610D3F"/>
    <w:rsid w:val="6ABE9E84"/>
    <w:rsid w:val="6AC2EC23"/>
    <w:rsid w:val="6B1ACF51"/>
    <w:rsid w:val="6B2C9863"/>
    <w:rsid w:val="6B444D55"/>
    <w:rsid w:val="6B9FBBD5"/>
    <w:rsid w:val="6C14A858"/>
    <w:rsid w:val="6C32E2BC"/>
    <w:rsid w:val="6C4320E9"/>
    <w:rsid w:val="6C563C17"/>
    <w:rsid w:val="6C56EE99"/>
    <w:rsid w:val="6C7F0ACF"/>
    <w:rsid w:val="6CC144B3"/>
    <w:rsid w:val="6CCC068D"/>
    <w:rsid w:val="6CCCA57B"/>
    <w:rsid w:val="6D137B15"/>
    <w:rsid w:val="6D9B9421"/>
    <w:rsid w:val="6DCE91FC"/>
    <w:rsid w:val="6F0BA346"/>
    <w:rsid w:val="6F375A4B"/>
    <w:rsid w:val="6F48F590"/>
    <w:rsid w:val="6F4EC4DB"/>
    <w:rsid w:val="6F634B33"/>
    <w:rsid w:val="6FD2E154"/>
    <w:rsid w:val="6FEE4D0D"/>
    <w:rsid w:val="706A7F1F"/>
    <w:rsid w:val="70C0E9D3"/>
    <w:rsid w:val="70D532DD"/>
    <w:rsid w:val="7125F7A9"/>
    <w:rsid w:val="7136A937"/>
    <w:rsid w:val="71700FAB"/>
    <w:rsid w:val="718C8338"/>
    <w:rsid w:val="71F50A64"/>
    <w:rsid w:val="7202D6C0"/>
    <w:rsid w:val="720F9AA3"/>
    <w:rsid w:val="7217F874"/>
    <w:rsid w:val="72375F21"/>
    <w:rsid w:val="7244F4FF"/>
    <w:rsid w:val="72775F4E"/>
    <w:rsid w:val="72FE9279"/>
    <w:rsid w:val="7306DD1A"/>
    <w:rsid w:val="7322C900"/>
    <w:rsid w:val="73350265"/>
    <w:rsid w:val="737FBC2A"/>
    <w:rsid w:val="73874C2F"/>
    <w:rsid w:val="738A8BF6"/>
    <w:rsid w:val="73B90D77"/>
    <w:rsid w:val="73E251A6"/>
    <w:rsid w:val="73F50B57"/>
    <w:rsid w:val="740AFED9"/>
    <w:rsid w:val="7422694A"/>
    <w:rsid w:val="742D5381"/>
    <w:rsid w:val="7481D0E5"/>
    <w:rsid w:val="74822BD9"/>
    <w:rsid w:val="749F9944"/>
    <w:rsid w:val="7565A8BE"/>
    <w:rsid w:val="75E9A87C"/>
    <w:rsid w:val="75E9C7F1"/>
    <w:rsid w:val="75EB6CD9"/>
    <w:rsid w:val="75ED2492"/>
    <w:rsid w:val="76951BBF"/>
    <w:rsid w:val="76F43DBF"/>
    <w:rsid w:val="7709EF5A"/>
    <w:rsid w:val="778B11EF"/>
    <w:rsid w:val="7792E13D"/>
    <w:rsid w:val="77A8536D"/>
    <w:rsid w:val="77BFF44B"/>
    <w:rsid w:val="77C95EC9"/>
    <w:rsid w:val="77CA6C38"/>
    <w:rsid w:val="77D99957"/>
    <w:rsid w:val="77E5C2A6"/>
    <w:rsid w:val="77F666BE"/>
    <w:rsid w:val="78201B64"/>
    <w:rsid w:val="783031CA"/>
    <w:rsid w:val="7856DDD9"/>
    <w:rsid w:val="78986A03"/>
    <w:rsid w:val="78C3F4F3"/>
    <w:rsid w:val="78E54DC2"/>
    <w:rsid w:val="790EA8EA"/>
    <w:rsid w:val="796500BA"/>
    <w:rsid w:val="79718CE3"/>
    <w:rsid w:val="797551AC"/>
    <w:rsid w:val="798A147B"/>
    <w:rsid w:val="79A562ED"/>
    <w:rsid w:val="79DF742C"/>
    <w:rsid w:val="79F3C91F"/>
    <w:rsid w:val="79F84266"/>
    <w:rsid w:val="7A208C35"/>
    <w:rsid w:val="7A71034E"/>
    <w:rsid w:val="7B03D42B"/>
    <w:rsid w:val="7B2EA084"/>
    <w:rsid w:val="7B4F71E6"/>
    <w:rsid w:val="7B7EA491"/>
    <w:rsid w:val="7BAC6DDB"/>
    <w:rsid w:val="7BD494B7"/>
    <w:rsid w:val="7C3B406F"/>
    <w:rsid w:val="7C4EC674"/>
    <w:rsid w:val="7C7AE8EC"/>
    <w:rsid w:val="7C7FB48F"/>
    <w:rsid w:val="7CADDF9D"/>
    <w:rsid w:val="7CF2C907"/>
    <w:rsid w:val="7D2FA12E"/>
    <w:rsid w:val="7D62B617"/>
    <w:rsid w:val="7D7CFED3"/>
    <w:rsid w:val="7E0BEFED"/>
    <w:rsid w:val="7E2905DF"/>
    <w:rsid w:val="7ED317B6"/>
    <w:rsid w:val="7F164985"/>
    <w:rsid w:val="7F265558"/>
    <w:rsid w:val="7F41B848"/>
    <w:rsid w:val="7F5381E0"/>
    <w:rsid w:val="7F6F1B48"/>
    <w:rsid w:val="7F7C9118"/>
    <w:rsid w:val="7F8FD818"/>
    <w:rsid w:val="7FBBDEB0"/>
    <w:rsid w:val="7FD0ED1A"/>
    <w:rsid w:val="7FE004A6"/>
    <w:rsid w:val="7FFBF6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8DC"/>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8">
    <w:name w:val="heading 8"/>
    <w:basedOn w:val="Normal"/>
    <w:next w:val="Normal"/>
    <w:link w:val="Heading8Char"/>
    <w:uiPriority w:val="9"/>
    <w:semiHidden/>
    <w:unhideWhenUsed/>
    <w:qFormat/>
    <w:rsid w:val="00DC6E77"/>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styleId="PlaceholderText">
    <w:name w:val="Placeholder Text"/>
    <w:basedOn w:val="DefaultParagraphFont"/>
    <w:uiPriority w:val="99"/>
    <w:semiHidden/>
    <w:rsid w:val="00284FF9"/>
    <w:rPr>
      <w:color w:val="666666"/>
    </w:rPr>
  </w:style>
  <w:style w:type="paragraph" w:styleId="NormalWeb">
    <w:name w:val="Normal (Web)"/>
    <w:basedOn w:val="Normal"/>
    <w:uiPriority w:val="99"/>
    <w:unhideWhenUsed/>
    <w:rsid w:val="00AD2F2B"/>
    <w:pPr>
      <w:widowControl/>
      <w:spacing w:before="100" w:beforeAutospacing="1" w:after="100" w:afterAutospacing="1"/>
      <w:jc w:val="left"/>
    </w:pPr>
    <w:rPr>
      <w:rFonts w:ascii="Times New Roman" w:eastAsiaTheme="minorEastAsia" w:hAnsi="Times New Roman" w:cs="Times New Roman"/>
      <w:lang w:val="en-GB" w:eastAsia="en-GB"/>
    </w:rPr>
  </w:style>
  <w:style w:type="character" w:customStyle="1" w:styleId="Heading8Char">
    <w:name w:val="Heading 8 Char"/>
    <w:basedOn w:val="DefaultParagraphFont"/>
    <w:link w:val="Heading8"/>
    <w:uiPriority w:val="9"/>
    <w:semiHidden/>
    <w:rsid w:val="00DC6E77"/>
    <w:rPr>
      <w:rFonts w:asciiTheme="majorHAnsi" w:eastAsiaTheme="majorEastAsia" w:hAnsiTheme="majorHAnsi" w:cstheme="majorBidi"/>
      <w:color w:val="272727" w:themeColor="text1" w:themeTint="D8"/>
      <w:sz w:val="21"/>
      <w:szCs w:val="21"/>
    </w:rPr>
  </w:style>
  <w:style w:type="paragraph" w:styleId="Header">
    <w:name w:val="header"/>
    <w:basedOn w:val="Normal"/>
    <w:link w:val="HeaderChar"/>
    <w:uiPriority w:val="99"/>
    <w:unhideWhenUsed/>
    <w:rsid w:val="00A27141"/>
    <w:pPr>
      <w:tabs>
        <w:tab w:val="center" w:pos="4513"/>
        <w:tab w:val="right" w:pos="9026"/>
      </w:tabs>
    </w:pPr>
  </w:style>
  <w:style w:type="character" w:customStyle="1" w:styleId="HeaderChar">
    <w:name w:val="Header Char"/>
    <w:basedOn w:val="DefaultParagraphFont"/>
    <w:link w:val="Header"/>
    <w:uiPriority w:val="99"/>
    <w:rsid w:val="00A27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uregotti@imperial.ac.uk"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enedict.moss19@imperial.ac.uk" TargetMode="Externa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mailto:m.mayr@imperial.ac.uk" TargetMode="External"/><Relationship Id="rId4" Type="http://schemas.openxmlformats.org/officeDocument/2006/relationships/webSettings" Target="webSettings.xml"/><Relationship Id="rId9" Type="http://schemas.openxmlformats.org/officeDocument/2006/relationships/hyperlink" Target="mailto:xiaoke.yin@imperial.ac.uk"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EA1EBB2-5B6B-4325-8BFB-B114AF13C976}">
  <we:reference id="WA200007520" version="3.0.0.0" store="Omex" storeType="omex"/>
  <we:alternateReferences>
    <we:reference id="WA200007520" version="3.0.0.0" store="WA200007520" storeType="omex"/>
  </we:alternateReferences>
  <we:properties>
    <we:property name="bibliographyEnabled" value="&quot;bibliographyEnabled&quot;"/>
    <we:property name="citations" value="{&quot;8344319&quot;:{&quot;referencesIds&quot;:[&quot;doc:69ceabdb1628d1357f514c06&quot;,&quot;doc:69ceac564c9c1b0ff62b2188&quot;,&quot;doc:69ceae2b66676e590ae3a7c0&quot;,&quot;doc:69ceaed5faa84f44f943fd9a&quot;],&quot;referencesOptions&quot;:{&quot;doc:69ceabdb1628d1357f514c06&quot;:{&quot;author&quot;:true,&quot;year&quot;:true,&quot;formatAuthorYear&quot;:false,&quot;pageReplace&quot;:&quot;&quot;,&quot;additionalField&quot;:&quot;&quot;,&quot;additionalValue&quot;:&quot;&quot;,&quot;prefix&quot;:&quot;&quot;,&quot;suffix&quot;:&quot;&quot;},&quot;doc:69ceac564c9c1b0ff62b2188&quot;:{&quot;author&quot;:true,&quot;year&quot;:true,&quot;formatAuthorYear&quot;:false,&quot;pageReplace&quot;:&quot;&quot;,&quot;additionalField&quot;:&quot;&quot;,&quot;additionalValue&quot;:&quot;&quot;,&quot;prefix&quot;:&quot;&quot;,&quot;suffix&quot;:&quot;&quot;},&quot;doc:69ceae2b66676e590ae3a7c0&quot;:{&quot;author&quot;:true,&quot;year&quot;:true,&quot;formatAuthorYear&quot;:false,&quot;pageReplace&quot;:&quot;&quot;,&quot;additionalField&quot;:&quot;&quot;,&quot;additionalValue&quot;:&quot;&quot;,&quot;prefix&quot;:&quot;&quot;,&quot;suffix&quot;:&quot;&quot;},&quot;doc:69ceaed5faa84f44f943fd9a&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8344319,&quot;citationText&quot;:&quot;&lt;span style=\&quot;font-family:Calibri;font-size:16px;color:#808080\&quot;&gt;&lt;sup&gt;9-12&lt;/sup&gt;&lt;/span&gt;&quot;},&quot;10044303&quot;:{&quot;referencesIds&quot;:[&quot;doc:69cfc0fb310b1b0e226de1a1&quot;],&quot;referencesOptions&quot;:{&quot;doc:69cfc0fb310b1b0e226de1a1&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0044303,&quot;citationText&quot;:&quot;&lt;span style=\&quot;font-family:Calibri;font-size:16px;color:#808080\&quot;&gt;&lt;sup&gt;26&lt;/sup&gt;&lt;/span&gt;&quot;},&quot;53204599&quot;:{&quot;referencesIds&quot;:[&quot;doc:652277c6e5092914ff15315d&quot;],&quot;referencesOptions&quot;:{&quot;doc:652277c6e5092914ff15315d&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53204599,&quot;citationText&quot;:&quot;&lt;span style=\&quot;font-family:Calibri;font-size:16px;color:#808080\&quot;&gt;&lt;sup&gt;21&lt;/sup&gt;&lt;/span&gt;&quot;},&quot;133385124&quot;:{&quot;referencesIds&quot;:[&quot;doc:652277c6e5092914ff15315d&quot;],&quot;referencesOptions&quot;:{&quot;doc:652277c6e5092914ff15315d&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33385124,&quot;citationText&quot;:&quot;&lt;span style=\&quot;font-family:Calibri;font-size:16px;color:#808080\&quot;&gt;&lt;sup&gt;21&lt;/sup&gt;&lt;/span&gt;&quot;},&quot;237986115&quot;:{&quot;referencesIds&quot;:[&quot;doc:652277c6e5092914ff15315d&quot;],&quot;referencesOptions&quot;:{&quot;doc:652277c6e5092914ff15315d&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237986115,&quot;citationText&quot;:&quot;&lt;span style=\&quot;font-family:Calibri;font-size:16px;color:#808080\&quot;&gt;&lt;sup&gt;21&lt;/sup&gt;&lt;/span&gt;&quot;},&quot;312762853&quot;:{&quot;referencesIds&quot;:[&quot;doc:69cf79254d7fb36c6572cab9&quot;],&quot;referencesOptions&quot;:{&quot;doc:69cf79254d7fb36c6572cab9&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312762853,&quot;citationText&quot;:&quot;&lt;span style=\&quot;font-family:Calibri;font-size:16px;color:#808080\&quot;&gt;&lt;sup&gt;17&lt;/sup&gt;&lt;/span&gt;&quot;},&quot;620879925&quot;:{&quot;referencesIds&quot;:[&quot;doc:664485ff8237a9026ea9f74b&quot;],&quot;referencesOptions&quot;:{&quot;doc:664485ff8237a9026ea9f74b&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620879925,&quot;citationText&quot;:&quot;&lt;span style=\&quot;font-family:Calibri;font-size:16px;color:#808080\&quot;&gt;&lt;sup&gt;6&lt;/sup&gt;&lt;/span&gt;&quot;},&quot;730967061&quot;:{&quot;referencesIds&quot;:[&quot;doc:69cf79254d7fb36c6572cab9&quot;,&quot;doc:69cf7624faa84f44f9440f29&quot;,&quot;doc:69cf75ff4c9c1b0ff62b2a8f&quot;,&quot;doc:69cf7833310b1b0e226dd60a&quot;],&quot;referencesOptions&quot;:{&quot;doc:69cf79254d7fb36c6572cab9&quot;:{&quot;author&quot;:true,&quot;year&quot;:true,&quot;formatAuthorYear&quot;:false,&quot;pageReplace&quot;:&quot;&quot;,&quot;additionalField&quot;:&quot;&quot;,&quot;additionalValue&quot;:&quot;&quot;,&quot;prefix&quot;:&quot;&quot;,&quot;suffix&quot;:&quot;&quot;},&quot;doc:69cf7624faa84f44f9440f29&quot;:{&quot;author&quot;:true,&quot;year&quot;:true,&quot;formatAuthorYear&quot;:false,&quot;pageReplace&quot;:&quot;&quot;,&quot;additionalField&quot;:&quot;&quot;,&quot;additionalValue&quot;:&quot;&quot;,&quot;prefix&quot;:&quot;&quot;,&quot;suffix&quot;:&quot;&quot;},&quot;doc:69cf75ff4c9c1b0ff62b2a8f&quot;:{&quot;author&quot;:true,&quot;year&quot;:true,&quot;formatAuthorYear&quot;:false,&quot;pageReplace&quot;:&quot;&quot;,&quot;additionalField&quot;:&quot;&quot;,&quot;additionalValue&quot;:&quot;&quot;,&quot;prefix&quot;:&quot;&quot;,&quot;suffix&quot;:&quot;&quot;},&quot;doc:69cf7833310b1b0e226dd60a&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730967061,&quot;citationText&quot;:&quot;&lt;span style=\&quot;font-family:Calibri;font-size:16px;color:#808080\&quot;&gt;&lt;sup&gt;17-20&lt;/sup&gt;&lt;/span&gt;&quot;},&quot;938646939&quot;:{&quot;referencesIds&quot;:[&quot;doc:69cea1b812dde156b65b3916&quot;],&quot;referencesOptions&quot;:{&quot;doc:69cea1b812dde156b65b3916&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938646939,&quot;citationText&quot;:&quot;&lt;span style=\&quot;font-family:Calibri;font-size:16px;color:#808080\&quot;&gt;&lt;sup&gt;4&lt;/sup&gt;&lt;/span&gt;&quot;},&quot;1346909456&quot;:{&quot;referencesIds&quot;:[&quot;doc:69ce9773310b1b0e226dc757&quot;],&quot;referencesOptions&quot;:{&quot;doc:69ce9773310b1b0e226dc757&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346909456,&quot;citationText&quot;:&quot;&lt;span style=\&quot;font-family:Calibri;font-size:16px;color:#808080\&quot;&gt;&lt;sup&gt;3&lt;/sup&gt;&lt;/span&gt;&quot;},&quot;2060522097&quot;:{&quot;referencesIds&quot;:[&quot;doc:69cea4731628d1357f514b8a&quot;],&quot;referencesOptions&quot;:{&quot;doc:69cea4731628d1357f514b8a&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2060522097,&quot;citationText&quot;:&quot;&lt;span style=\&quot;font-family:Calibri;font-size:16px;color:#808080\&quot;&gt;&lt;sup&gt;7&lt;/sup&gt;&lt;/span&gt;&quot;},&quot;-2129458094&quot;:{&quot;referencesIds&quot;:[&quot;doc:69ce95aefe5a5e181dc409b4&quot;,&quot;doc:69ce95dc9dceeb49293339d3&quot;],&quot;referencesOptions&quot;:{&quot;doc:69ce95aefe5a5e181dc409b4&quot;:{&quot;author&quot;:true,&quot;year&quot;:true,&quot;formatAuthorYear&quot;:false,&quot;pageReplace&quot;:&quot;&quot;,&quot;additionalField&quot;:&quot;&quot;,&quot;additionalValue&quot;:&quot;&quot;,&quot;prefix&quot;:&quot;&quot;,&quot;suffix&quot;:&quot;&quot;},&quot;doc:69ce95dc9dceeb49293339d3&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2129458094,&quot;citationText&quot;:&quot;&lt;span style=\&quot;font-family:Calibri;font-size:16px;color:#808080\&quot;&gt;&lt;sup&gt;1, 2&lt;/sup&gt;&lt;/span&gt;&quot;},&quot;-725137248&quot;:{&quot;referencesIds&quot;:[&quot;doc:69cea3a712dde156b65b393f&quot;],&quot;referencesOptions&quot;:{&quot;doc:69cea3a712dde156b65b393f&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725137248,&quot;citationText&quot;:&quot;&lt;span style=\&quot;font-family:Calibri;font-size:16px;color:#808080\&quot;&gt;&lt;sup&gt;5&lt;/sup&gt;&lt;/span&gt;&quot;},&quot;-1481225565&quot;:{&quot;referencesIds&quot;:[&quot;doc:69cea5ef66676e590ae3a701&quot;],&quot;referencesOptions&quot;:{&quot;doc:69cea5ef66676e590ae3a701&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481225565,&quot;citationText&quot;:&quot;&lt;span style=\&quot;font-family:Calibri;font-size:16px;color:#808080\&quot;&gt;&lt;sup&gt;8&lt;/sup&gt;&lt;/span&gt;&quot;},&quot;-1425801919&quot;:{&quot;referencesIds&quot;:[&quot;doc:69ceaffe4c9c1b0ff62b21c4&quot;,&quot;doc:69ceb05b4c9c1b0ff62b21c8&quot;,&quot;doc:69ceb190b17761083f8dfd55&quot;],&quot;referencesOptions&quot;:{&quot;doc:69ceaffe4c9c1b0ff62b21c4&quot;:{&quot;author&quot;:true,&quot;year&quot;:true,&quot;formatAuthorYear&quot;:false,&quot;pageReplace&quot;:&quot;&quot;,&quot;additionalField&quot;:&quot;&quot;,&quot;additionalValue&quot;:&quot;&quot;,&quot;prefix&quot;:&quot;&quot;,&quot;suffix&quot;:&quot;&quot;},&quot;doc:69ceb05b4c9c1b0ff62b21c8&quot;:{&quot;author&quot;:true,&quot;year&quot;:true,&quot;formatAuthorYear&quot;:false,&quot;pageReplace&quot;:&quot;&quot;,&quot;additionalField&quot;:&quot;&quot;,&quot;additionalValue&quot;:&quot;&quot;,&quot;prefix&quot;:&quot;&quot;,&quot;suffix&quot;:&quot;&quot;},&quot;doc:69ceb190b17761083f8dfd55&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425801919,&quot;citationText&quot;:&quot;&lt;span style=\&quot;font-family:Calibri;font-size:16px;color:#808080\&quot;&gt;&lt;sup&gt;13-15&lt;/sup&gt;&lt;/span&gt;&quot;},&quot;-314177819&quot;:{&quot;referencesIds&quot;:[&quot;doc:69ceb6bd1628d1357f514cb2&quot;],&quot;referencesOptions&quot;:{&quot;doc:69ceb6bd1628d1357f514cb2&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314177819,&quot;citationText&quot;:&quot;&lt;span style=\&quot;font-family:Calibri;font-size:16px;color:#808080\&quot;&gt;&lt;sup&gt;16&lt;/sup&gt;&lt;/span&gt;&quot;},&quot;-85002243&quot;:{&quot;referencesIds&quot;:[&quot;doc:652277c6e5092914ff15315d&quot;],&quot;referencesOptions&quot;:{&quot;doc:652277c6e5092914ff15315d&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85002243,&quot;citationText&quot;:&quot;&lt;span style=\&quot;font-family:Calibri;font-size:16px;color:#808080\&quot;&gt;&lt;sup&gt;21&lt;/sup&gt;&lt;/span&gt;&quot;},&quot;-1574804593&quot;:{&quot;referencesIds&quot;:[&quot;doc:69cf7cd31628d1357f515c18&quot;],&quot;referencesOptions&quot;:{&quot;doc:69cf7cd31628d1357f515c18&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574804593,&quot;citationText&quot;:&quot;&lt;span style=\&quot;font-family:Calibri;font-size:16px;color:#808080\&quot;&gt;&lt;sup&gt;22&lt;/sup&gt;&lt;/span&gt;&quot;},&quot;-1601637422&quot;:{&quot;referencesIds&quot;:[&quot;doc:69cfd95fa4dd3f36236c5914&quot;],&quot;referencesOptions&quot;:{&quot;doc:69cfd95fa4dd3f36236c5914&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601637422,&quot;citationText&quot;:&quot;&lt;span style=\&quot;font-family:Calibri;font-size:16px;color:#808080\&quot;&gt;&lt;sup&gt;23&lt;/sup&gt;&lt;/span&gt;&quot;},&quot;-1483620349&quot;:{&quot;referencesIds&quot;:[&quot;doc:678d61b70a9a254297686a34&quot;],&quot;referencesOptions&quot;:{&quot;doc:678d61b70a9a254297686a34&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483620349,&quot;citationText&quot;:&quot;&lt;span style=\&quot;font-family:Calibri;font-size:16px;color:#808080\&quot;&gt;&lt;sup&gt;24&lt;/sup&gt;&lt;/span&gt;&quot;},&quot;-1437126605&quot;:{&quot;referencesIds&quot;:[&quot;doc:678d37c5a6c380060dac7047&quot;],&quot;referencesOptions&quot;:{&quot;doc:678d37c5a6c380060dac7047&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437126605,&quot;citationText&quot;:&quot;&lt;span style=\&quot;font-family:Calibri;font-size:16px;color:#808080\&quot;&gt;&lt;sup&gt;25&lt;/sup&gt;&lt;/span&gt;&quot;},&quot;-2065160516&quot;:{&quot;referencesIds&quot;:[&quot;doc:652277c6e5092914ff15315d&quot;],&quot;referencesOptions&quot;:{&quot;doc:652277c6e5092914ff15315d&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2065160516,&quot;citationText&quot;:&quot;&lt;span style=\&quot;font-family:Calibri;font-size:16px;color:#808080\&quot;&gt;&lt;sup&gt;21&lt;/sup&gt;&lt;/span&gt;&quot;},&quot;-1751641098&quot;:{&quot;referencesIds&quot;:[&quot;doc:652277c6e5092914ff15315d&quot;],&quot;referencesOptions&quot;:{&quot;doc:652277c6e5092914ff15315d&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751641098,&quot;citationText&quot;:&quot;&lt;span style=\&quot;font-family:Calibri;font-size:16px;color:#808080\&quot;&gt;&lt;sup&gt;21&lt;/sup&gt;&lt;/span&gt;&quot;},&quot;-1215432630&quot;:{&quot;referencesIds&quot;:[&quot;doc:69cf79254d7fb36c6572cab9&quot;],&quot;referencesOptions&quot;:{&quot;doc:69cf79254d7fb36c6572cab9&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215432630,&quot;citationText&quot;:&quot;&lt;span style=\&quot;font-family:Calibri;font-size:16px;color:#808080\&quot;&gt;&lt;sup&gt;17&lt;/sup&gt;&lt;/span&gt;&quot;}}"/>
    <we:property name="currentFolder" value="{&quot;depth&quot;:0,&quot;id&quot;:&quot;all&quot;,&quot;name&quot;:&quot;All references&quot;,&quot;parentId&quot;:null,&quot;position&quot;:-2,&quot;isShared&quot;:false}"/>
    <we:property name="currentStyle" value="{&quot;id&quot;:&quot;rwoutputstyle:69bb04bb8249c90031920b51&quot;,&quot;styleType&quot;:&quot;global&quot;,&quot;name&quot;:&quot;Journal of Visualized Experiments: JoVE&quot;,&quot;userId&quot;:&quot;user:5c65ce0be4b09a36bed143f1&quot;,&quot;isInstitutional&quot;:false,&quot;citeStyle&quot;:&quot;INTEXT_ONLY&quot;,&quot;isSorted&quot;:false,&quot;usesNumbers&quot;:false,&quot;lrwStyleId&quot;:3799,&quot;authorDisambiguation&quot;:&quot;surname_firstname&quot;}"/>
    <we:property name="formatForFootnotesEnabled" value="&quot;formatForFootnotesDisabled&quot;"/>
    <we:property name="rcm.version" value="2"/>
    <we:property name="rw.officeVersion" value="&quot;1.3&quot;"/>
    <we:property name="rw.subscriberId" value="&quot;0&quot;"/>
    <we:property name="rw.userId" value="&quot;user:626bc4598f0854ba77c68dae&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23</Pages>
  <Words>8435</Words>
  <Characters>48080</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2026-07-01T08:20:00Z</dcterms:created>
  <dcterms:modified xsi:type="dcterms:W3CDTF">2026-07-25T10:50:00Z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