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7DA1576" w:rsidR="006E4797" w:rsidRPr="00862D84" w:rsidRDefault="00EC36AF" w:rsidP="00862D84">
      <w:pPr>
        <w:pBdr>
          <w:top w:val="nil"/>
          <w:left w:val="nil"/>
          <w:bottom w:val="nil"/>
          <w:right w:val="nil"/>
          <w:between w:val="nil"/>
        </w:pBdr>
        <w:rPr>
          <w:color w:val="000000" w:themeColor="text1"/>
        </w:rPr>
      </w:pPr>
      <w:r w:rsidRPr="00862D84">
        <w:rPr>
          <w:b/>
          <w:color w:val="000000" w:themeColor="text1"/>
        </w:rPr>
        <w:t>TITLE</w:t>
      </w:r>
      <w:r w:rsidR="00031688">
        <w:rPr>
          <w:b/>
          <w:color w:val="000000" w:themeColor="text1"/>
        </w:rPr>
        <w:t>:</w:t>
      </w:r>
    </w:p>
    <w:p w14:paraId="1A9989D8" w14:textId="1DEB8715" w:rsidR="00CC3B95" w:rsidRPr="00C44EE4" w:rsidRDefault="00EC36AF" w:rsidP="00862D84">
      <w:pPr>
        <w:rPr>
          <w:color w:val="000000" w:themeColor="text1"/>
        </w:rPr>
      </w:pPr>
      <w:r w:rsidRPr="00C44EE4">
        <w:rPr>
          <w:color w:val="000000" w:themeColor="text1"/>
        </w:rPr>
        <w:t>Establishment of</w:t>
      </w:r>
      <w:r w:rsidR="00DD7E06" w:rsidRPr="00C44EE4">
        <w:rPr>
          <w:color w:val="000000" w:themeColor="text1"/>
        </w:rPr>
        <w:t xml:space="preserve"> a</w:t>
      </w:r>
      <w:r w:rsidRPr="00C44EE4">
        <w:rPr>
          <w:color w:val="000000" w:themeColor="text1"/>
        </w:rPr>
        <w:t xml:space="preserve"> STAT6 Reporter Assay for Screening Environmental Toxicants Affecting Allergic Airway Inflammation</w:t>
      </w:r>
    </w:p>
    <w:p w14:paraId="53C02CC6" w14:textId="77777777" w:rsidR="0019412D" w:rsidRPr="00862D84" w:rsidRDefault="0019412D" w:rsidP="00862D84">
      <w:pPr>
        <w:rPr>
          <w:b/>
          <w:color w:val="000000" w:themeColor="text1"/>
        </w:rPr>
      </w:pPr>
    </w:p>
    <w:p w14:paraId="2CD8481E" w14:textId="0FAB6172" w:rsidR="006E4797" w:rsidRPr="00862D84" w:rsidRDefault="00EC36AF" w:rsidP="00862D84">
      <w:pPr>
        <w:rPr>
          <w:color w:val="000000" w:themeColor="text1"/>
        </w:rPr>
      </w:pPr>
      <w:r w:rsidRPr="00862D84">
        <w:rPr>
          <w:b/>
          <w:color w:val="000000" w:themeColor="text1"/>
        </w:rPr>
        <w:t>AUTHORS AND AFFILIATIONS</w:t>
      </w:r>
      <w:r w:rsidR="00031688">
        <w:rPr>
          <w:b/>
          <w:color w:val="000000" w:themeColor="text1"/>
        </w:rPr>
        <w:t>:</w:t>
      </w:r>
    </w:p>
    <w:p w14:paraId="31346875" w14:textId="22DBB370" w:rsidR="00AB4B4D" w:rsidRPr="00862D84" w:rsidRDefault="00EC36AF" w:rsidP="00862D84">
      <w:pPr>
        <w:pBdr>
          <w:top w:val="nil"/>
          <w:left w:val="nil"/>
          <w:bottom w:val="nil"/>
          <w:right w:val="nil"/>
          <w:between w:val="nil"/>
        </w:pBdr>
        <w:rPr>
          <w:color w:val="000000" w:themeColor="text1"/>
        </w:rPr>
      </w:pPr>
      <w:r w:rsidRPr="00862D84">
        <w:rPr>
          <w:color w:val="000000" w:themeColor="text1"/>
        </w:rPr>
        <w:t>Aekkacha Moonwiriyakit</w:t>
      </w:r>
      <w:r w:rsidRPr="00862D84">
        <w:rPr>
          <w:color w:val="000000" w:themeColor="text1"/>
          <w:vertAlign w:val="superscript"/>
        </w:rPr>
        <w:t>1*</w:t>
      </w:r>
      <w:r w:rsidRPr="00862D84">
        <w:rPr>
          <w:color w:val="000000" w:themeColor="text1"/>
        </w:rPr>
        <w:t>, Phattarin Pothipan</w:t>
      </w:r>
      <w:r w:rsidRPr="00862D84">
        <w:rPr>
          <w:color w:val="000000" w:themeColor="text1"/>
          <w:vertAlign w:val="superscript"/>
        </w:rPr>
        <w:t>1*</w:t>
      </w:r>
      <w:r w:rsidRPr="00862D84">
        <w:rPr>
          <w:color w:val="000000" w:themeColor="text1"/>
        </w:rPr>
        <w:t>, Dhanpisit Toyingsirikul</w:t>
      </w:r>
      <w:r w:rsidRPr="00862D84">
        <w:rPr>
          <w:color w:val="000000" w:themeColor="text1"/>
          <w:vertAlign w:val="superscript"/>
        </w:rPr>
        <w:t>1</w:t>
      </w:r>
      <w:r w:rsidRPr="00862D84">
        <w:rPr>
          <w:color w:val="000000" w:themeColor="text1"/>
        </w:rPr>
        <w:t>, Pawit Santiwong</w:t>
      </w:r>
      <w:r w:rsidRPr="00862D84">
        <w:rPr>
          <w:color w:val="000000" w:themeColor="text1"/>
          <w:vertAlign w:val="superscript"/>
        </w:rPr>
        <w:t>1</w:t>
      </w:r>
      <w:r w:rsidRPr="00862D84">
        <w:rPr>
          <w:color w:val="000000" w:themeColor="text1"/>
        </w:rPr>
        <w:t>, Sirapop Lusawat</w:t>
      </w:r>
      <w:r w:rsidRPr="00862D84">
        <w:rPr>
          <w:color w:val="000000" w:themeColor="text1"/>
          <w:vertAlign w:val="superscript"/>
        </w:rPr>
        <w:t>1</w:t>
      </w:r>
      <w:r w:rsidRPr="00862D84">
        <w:rPr>
          <w:color w:val="000000" w:themeColor="text1"/>
        </w:rPr>
        <w:t xml:space="preserve"> </w:t>
      </w:r>
    </w:p>
    <w:p w14:paraId="377C66FE" w14:textId="77777777" w:rsidR="00F013E4" w:rsidRPr="00862D84" w:rsidRDefault="00F013E4" w:rsidP="00862D84">
      <w:pPr>
        <w:pBdr>
          <w:top w:val="nil"/>
          <w:left w:val="nil"/>
          <w:bottom w:val="nil"/>
          <w:right w:val="nil"/>
          <w:between w:val="nil"/>
        </w:pBdr>
        <w:rPr>
          <w:color w:val="000000" w:themeColor="text1"/>
        </w:rPr>
      </w:pPr>
    </w:p>
    <w:p w14:paraId="20669151" w14:textId="53EC9BA8" w:rsidR="00BB4DFA" w:rsidRPr="00862D84" w:rsidRDefault="00EC36AF" w:rsidP="00862D84">
      <w:pPr>
        <w:pBdr>
          <w:top w:val="nil"/>
          <w:left w:val="nil"/>
          <w:bottom w:val="nil"/>
          <w:right w:val="nil"/>
          <w:between w:val="nil"/>
        </w:pBdr>
        <w:rPr>
          <w:color w:val="000000" w:themeColor="text1"/>
        </w:rPr>
      </w:pPr>
      <w:r w:rsidRPr="00862D84">
        <w:rPr>
          <w:color w:val="000000" w:themeColor="text1"/>
          <w:vertAlign w:val="superscript"/>
        </w:rPr>
        <w:t>1</w:t>
      </w:r>
      <w:r w:rsidRPr="00862D84">
        <w:rPr>
          <w:color w:val="000000" w:themeColor="text1"/>
        </w:rPr>
        <w:t>Chakri Naruebodindra Medical Institute, Faculty of Medicine Ramathibodi Hospital, Mahidol University, Samut Prakan, Thailand</w:t>
      </w:r>
    </w:p>
    <w:p w14:paraId="3379D9D3" w14:textId="01A448CD" w:rsidR="00F853F8" w:rsidRPr="00F853F8" w:rsidRDefault="00EC36AF" w:rsidP="00F853F8">
      <w:pPr>
        <w:pBdr>
          <w:top w:val="nil"/>
          <w:left w:val="nil"/>
          <w:bottom w:val="nil"/>
          <w:right w:val="nil"/>
          <w:between w:val="nil"/>
        </w:pBdr>
        <w:jc w:val="left"/>
        <w:rPr>
          <w:color w:val="000000" w:themeColor="text1"/>
        </w:rPr>
      </w:pPr>
      <w:r w:rsidRPr="00862D84">
        <w:rPr>
          <w:color w:val="000000" w:themeColor="text1"/>
        </w:rPr>
        <w:br/>
      </w:r>
      <w:r w:rsidRPr="00F853F8">
        <w:rPr>
          <w:color w:val="000000" w:themeColor="text1"/>
        </w:rPr>
        <w:t>Email addresses of the coauthors:</w:t>
      </w:r>
      <w:r w:rsidRPr="00862D84">
        <w:rPr>
          <w:b/>
          <w:bCs/>
          <w:color w:val="000000" w:themeColor="text1"/>
        </w:rPr>
        <w:br/>
      </w:r>
      <w:r w:rsidRPr="00862D84">
        <w:rPr>
          <w:color w:val="000000" w:themeColor="text1"/>
        </w:rPr>
        <w:t>Dhanpisit Toyingsirikul</w:t>
      </w:r>
      <w:r>
        <w:rPr>
          <w:color w:val="000000" w:themeColor="text1"/>
          <w:vertAlign w:val="superscript"/>
        </w:rPr>
        <w:t xml:space="preserve"> </w:t>
      </w:r>
      <w:r>
        <w:rPr>
          <w:color w:val="000000" w:themeColor="text1"/>
        </w:rPr>
        <w:t xml:space="preserve">        </w:t>
      </w:r>
      <w:proofErr w:type="gramStart"/>
      <w:r>
        <w:rPr>
          <w:color w:val="000000" w:themeColor="text1"/>
        </w:rPr>
        <w:t xml:space="preserve">   (</w:t>
      </w:r>
      <w:proofErr w:type="gramEnd"/>
      <w:r w:rsidRPr="00862D84">
        <w:rPr>
          <w:color w:val="000000" w:themeColor="text1"/>
        </w:rPr>
        <w:t>dhanpisit.toy@student.mahidol.edu</w:t>
      </w:r>
      <w:r>
        <w:rPr>
          <w:color w:val="000000" w:themeColor="text1"/>
        </w:rPr>
        <w:t>)</w:t>
      </w:r>
    </w:p>
    <w:p w14:paraId="33759701" w14:textId="67DCA74A" w:rsidR="00F853F8" w:rsidRPr="00F853F8" w:rsidRDefault="00EC36AF" w:rsidP="00F853F8">
      <w:pPr>
        <w:pBdr>
          <w:top w:val="nil"/>
          <w:left w:val="nil"/>
          <w:bottom w:val="nil"/>
          <w:right w:val="nil"/>
          <w:between w:val="nil"/>
        </w:pBdr>
        <w:rPr>
          <w:color w:val="000000" w:themeColor="text1"/>
        </w:rPr>
      </w:pPr>
      <w:r w:rsidRPr="00862D84">
        <w:rPr>
          <w:color w:val="000000" w:themeColor="text1"/>
        </w:rPr>
        <w:t xml:space="preserve">Pawit </w:t>
      </w:r>
      <w:r w:rsidRPr="00862D84">
        <w:rPr>
          <w:color w:val="000000" w:themeColor="text1"/>
        </w:rPr>
        <w:t>Santiwong</w:t>
      </w:r>
      <w:r>
        <w:rPr>
          <w:color w:val="000000" w:themeColor="text1"/>
          <w:vertAlign w:val="superscript"/>
        </w:rPr>
        <w:t xml:space="preserve">  </w:t>
      </w:r>
      <w:r>
        <w:rPr>
          <w:color w:val="000000" w:themeColor="text1"/>
        </w:rPr>
        <w:t xml:space="preserve">                  </w:t>
      </w:r>
      <w:proofErr w:type="gramStart"/>
      <w:r>
        <w:rPr>
          <w:color w:val="000000" w:themeColor="text1"/>
        </w:rPr>
        <w:t xml:space="preserve">   (</w:t>
      </w:r>
      <w:proofErr w:type="gramEnd"/>
      <w:r w:rsidRPr="00862D84">
        <w:rPr>
          <w:color w:val="000000" w:themeColor="text1"/>
        </w:rPr>
        <w:t>pawit.san@student.mahidol.edu</w:t>
      </w:r>
      <w:r>
        <w:rPr>
          <w:color w:val="000000" w:themeColor="text1"/>
        </w:rPr>
        <w:t>)</w:t>
      </w:r>
    </w:p>
    <w:p w14:paraId="2B31ABFF" w14:textId="5B9BB535" w:rsidR="00F853F8" w:rsidRPr="00862D84" w:rsidRDefault="00EC36AF" w:rsidP="00F853F8">
      <w:pPr>
        <w:pBdr>
          <w:top w:val="nil"/>
          <w:left w:val="nil"/>
          <w:bottom w:val="nil"/>
          <w:right w:val="nil"/>
          <w:between w:val="nil"/>
        </w:pBdr>
        <w:rPr>
          <w:color w:val="000000" w:themeColor="text1"/>
        </w:rPr>
      </w:pPr>
      <w:r w:rsidRPr="00862D84">
        <w:rPr>
          <w:color w:val="000000" w:themeColor="text1"/>
        </w:rPr>
        <w:t>Sirapop Lusawat</w:t>
      </w:r>
      <w:r>
        <w:rPr>
          <w:color w:val="000000" w:themeColor="text1"/>
        </w:rPr>
        <w:t xml:space="preserve">                    </w:t>
      </w:r>
      <w:proofErr w:type="gramStart"/>
      <w:r>
        <w:rPr>
          <w:color w:val="000000" w:themeColor="text1"/>
        </w:rPr>
        <w:t xml:space="preserve">   (</w:t>
      </w:r>
      <w:proofErr w:type="gramEnd"/>
      <w:r w:rsidRPr="00862D84">
        <w:rPr>
          <w:color w:val="000000" w:themeColor="text1"/>
        </w:rPr>
        <w:t>sirapop.lus@student.mahidol.edu</w:t>
      </w:r>
      <w:r>
        <w:rPr>
          <w:color w:val="000000" w:themeColor="text1"/>
        </w:rPr>
        <w:t>)</w:t>
      </w:r>
    </w:p>
    <w:p w14:paraId="3F0E191D" w14:textId="0513E510" w:rsidR="00DC25FF" w:rsidRPr="00862D84" w:rsidRDefault="00DC25FF" w:rsidP="00862D84">
      <w:pPr>
        <w:pBdr>
          <w:top w:val="nil"/>
          <w:left w:val="nil"/>
          <w:bottom w:val="nil"/>
          <w:right w:val="nil"/>
          <w:between w:val="nil"/>
        </w:pBdr>
        <w:rPr>
          <w:color w:val="000000" w:themeColor="text1"/>
        </w:rPr>
      </w:pPr>
    </w:p>
    <w:p w14:paraId="4EE0FD50" w14:textId="2D78C1E8" w:rsidR="00C44EE4" w:rsidRPr="00862D84" w:rsidRDefault="00EC36AF" w:rsidP="00862D84">
      <w:pPr>
        <w:pBdr>
          <w:top w:val="nil"/>
          <w:left w:val="nil"/>
          <w:bottom w:val="nil"/>
          <w:right w:val="nil"/>
          <w:between w:val="nil"/>
        </w:pBdr>
        <w:rPr>
          <w:color w:val="000000" w:themeColor="text1"/>
        </w:rPr>
      </w:pPr>
      <w:r w:rsidRPr="00F853F8">
        <w:rPr>
          <w:color w:val="000000" w:themeColor="text1"/>
          <w:vertAlign w:val="superscript"/>
        </w:rPr>
        <w:t>*</w:t>
      </w:r>
      <w:r w:rsidRPr="00F853F8">
        <w:rPr>
          <w:color w:val="000000" w:themeColor="text1"/>
        </w:rPr>
        <w:t xml:space="preserve">Corresponding authors: </w:t>
      </w:r>
    </w:p>
    <w:p w14:paraId="30652540" w14:textId="44DCE7BF" w:rsidR="00F853F8" w:rsidRDefault="00EC36AF" w:rsidP="00862D84">
      <w:pPr>
        <w:pBdr>
          <w:top w:val="nil"/>
          <w:left w:val="nil"/>
          <w:bottom w:val="nil"/>
          <w:right w:val="nil"/>
          <w:between w:val="nil"/>
        </w:pBdr>
        <w:rPr>
          <w:color w:val="000000" w:themeColor="text1"/>
        </w:rPr>
      </w:pPr>
      <w:r w:rsidRPr="00862D84">
        <w:rPr>
          <w:color w:val="000000" w:themeColor="text1"/>
        </w:rPr>
        <w:t>Aekkacha Moonwiriyakit</w:t>
      </w:r>
      <w:r>
        <w:rPr>
          <w:color w:val="000000" w:themeColor="text1"/>
        </w:rPr>
        <w:t xml:space="preserve">     </w:t>
      </w:r>
      <w:proofErr w:type="gramStart"/>
      <w:r>
        <w:rPr>
          <w:color w:val="000000" w:themeColor="text1"/>
        </w:rPr>
        <w:t xml:space="preserve">   </w:t>
      </w:r>
      <w:r w:rsidR="00DC25FF" w:rsidRPr="00862D84">
        <w:rPr>
          <w:color w:val="000000" w:themeColor="text1"/>
        </w:rPr>
        <w:t>(</w:t>
      </w:r>
      <w:proofErr w:type="gramEnd"/>
      <w:r w:rsidRPr="00F853F8">
        <w:rPr>
          <w:color w:val="000000" w:themeColor="text1"/>
        </w:rPr>
        <w:t>aekkacha.moo@mahidol.ac.th</w:t>
      </w:r>
      <w:r w:rsidR="00DC25FF" w:rsidRPr="00862D84">
        <w:rPr>
          <w:color w:val="000000" w:themeColor="text1"/>
        </w:rPr>
        <w:t>)</w:t>
      </w:r>
      <w:r>
        <w:rPr>
          <w:color w:val="000000" w:themeColor="text1"/>
        </w:rPr>
        <w:t xml:space="preserve"> </w:t>
      </w:r>
    </w:p>
    <w:p w14:paraId="4341EF8B" w14:textId="509BF56F" w:rsidR="00BB4DFA" w:rsidRPr="00862D84" w:rsidRDefault="00EC36AF" w:rsidP="00F853F8">
      <w:pPr>
        <w:pBdr>
          <w:top w:val="nil"/>
          <w:left w:val="nil"/>
          <w:bottom w:val="nil"/>
          <w:right w:val="nil"/>
          <w:between w:val="nil"/>
        </w:pBdr>
        <w:jc w:val="left"/>
        <w:rPr>
          <w:color w:val="000000" w:themeColor="text1"/>
        </w:rPr>
      </w:pPr>
      <w:r w:rsidRPr="00862D84">
        <w:rPr>
          <w:color w:val="000000" w:themeColor="text1"/>
        </w:rPr>
        <w:t>Phattarin</w:t>
      </w:r>
      <w:r>
        <w:rPr>
          <w:color w:val="000000" w:themeColor="text1"/>
        </w:rPr>
        <w:t xml:space="preserve"> </w:t>
      </w:r>
      <w:r w:rsidRPr="00862D84">
        <w:rPr>
          <w:color w:val="000000" w:themeColor="text1"/>
        </w:rPr>
        <w:t>Pothipan</w:t>
      </w:r>
      <w:r>
        <w:rPr>
          <w:color w:val="000000" w:themeColor="text1"/>
        </w:rPr>
        <w:t xml:space="preserve">               </w:t>
      </w:r>
      <w:proofErr w:type="gramStart"/>
      <w:r>
        <w:rPr>
          <w:color w:val="000000" w:themeColor="text1"/>
        </w:rPr>
        <w:t xml:space="preserve">   (</w:t>
      </w:r>
      <w:proofErr w:type="gramEnd"/>
      <w:r w:rsidR="00DC25FF" w:rsidRPr="00862D84">
        <w:rPr>
          <w:color w:val="000000" w:themeColor="text1"/>
        </w:rPr>
        <w:t>phattarin.pot@mahidol.ac.th</w:t>
      </w:r>
      <w:r>
        <w:rPr>
          <w:color w:val="000000" w:themeColor="text1"/>
        </w:rPr>
        <w:t>)</w:t>
      </w:r>
      <w:r w:rsidR="00DC25FF" w:rsidRPr="00862D84">
        <w:rPr>
          <w:color w:val="000000" w:themeColor="text1"/>
        </w:rPr>
        <w:br/>
      </w:r>
    </w:p>
    <w:p w14:paraId="60F3B8D4" w14:textId="6A15E22E" w:rsidR="006E4797" w:rsidRPr="00862D84" w:rsidRDefault="00EC36AF" w:rsidP="00862D84">
      <w:pPr>
        <w:rPr>
          <w:color w:val="000000" w:themeColor="text1"/>
        </w:rPr>
      </w:pPr>
      <w:r w:rsidRPr="00862D84">
        <w:rPr>
          <w:b/>
          <w:color w:val="000000" w:themeColor="text1"/>
        </w:rPr>
        <w:t>SUMMARY</w:t>
      </w:r>
      <w:r w:rsidR="00F853F8">
        <w:rPr>
          <w:b/>
          <w:color w:val="000000" w:themeColor="text1"/>
        </w:rPr>
        <w:t>:</w:t>
      </w:r>
    </w:p>
    <w:p w14:paraId="13B4BD29" w14:textId="3EADBCCD" w:rsidR="006F34AD" w:rsidRPr="00862D84" w:rsidRDefault="00EC36AF" w:rsidP="00862D84">
      <w:pPr>
        <w:rPr>
          <w:color w:val="000000" w:themeColor="text1"/>
        </w:rPr>
      </w:pPr>
      <w:r w:rsidRPr="00862D84">
        <w:rPr>
          <w:color w:val="000000" w:themeColor="text1"/>
        </w:rPr>
        <w:t xml:space="preserve">This protocol describes the generation and validation of a stable STAT6 luciferase reporter assay in human airway epithelial cells. The method enables efficient screening of environmental toxicants and air pollution components that modulate STAT6 activity under controlled </w:t>
      </w:r>
      <w:r w:rsidRPr="00753F63">
        <w:rPr>
          <w:i/>
          <w:iCs/>
          <w:color w:val="000000" w:themeColor="text1"/>
        </w:rPr>
        <w:t>in vitro</w:t>
      </w:r>
      <w:r w:rsidRPr="00862D84">
        <w:rPr>
          <w:color w:val="000000" w:themeColor="text1"/>
        </w:rPr>
        <w:t xml:space="preserve"> conditions.</w:t>
      </w:r>
    </w:p>
    <w:p w14:paraId="56352C3B" w14:textId="77777777" w:rsidR="00CD77C8" w:rsidRPr="00862D84" w:rsidRDefault="00CD77C8" w:rsidP="00862D84">
      <w:pPr>
        <w:ind w:firstLine="720"/>
        <w:rPr>
          <w:b/>
          <w:color w:val="000000" w:themeColor="text1"/>
        </w:rPr>
      </w:pPr>
    </w:p>
    <w:p w14:paraId="2DF8E628" w14:textId="50B7893D" w:rsidR="006E4797" w:rsidRPr="00862D84" w:rsidRDefault="00EC36AF" w:rsidP="00862D84">
      <w:pPr>
        <w:rPr>
          <w:color w:val="000000" w:themeColor="text1"/>
        </w:rPr>
      </w:pPr>
      <w:r w:rsidRPr="00862D84">
        <w:rPr>
          <w:b/>
          <w:color w:val="000000" w:themeColor="text1"/>
        </w:rPr>
        <w:t>ABSTRACT</w:t>
      </w:r>
      <w:r w:rsidR="00F853F8">
        <w:rPr>
          <w:b/>
          <w:color w:val="000000" w:themeColor="text1"/>
        </w:rPr>
        <w:t>:</w:t>
      </w:r>
    </w:p>
    <w:p w14:paraId="2CF9CD54" w14:textId="30470414" w:rsidR="006E4797" w:rsidRPr="00862D84" w:rsidRDefault="00EC36AF" w:rsidP="00862D84">
      <w:pPr>
        <w:rPr>
          <w:color w:val="000000" w:themeColor="text1"/>
        </w:rPr>
      </w:pPr>
      <w:r w:rsidRPr="00862D84">
        <w:rPr>
          <w:color w:val="000000" w:themeColor="text1"/>
        </w:rPr>
        <w:t>Air pollution–associated allergic airway inflammation is an increasing public health concern. Interleukin</w:t>
      </w:r>
      <w:r w:rsidRPr="00862D84">
        <w:rPr>
          <w:rFonts w:ascii="Cambria Math" w:hAnsi="Cambria Math" w:cs="Cambria Math"/>
          <w:color w:val="000000" w:themeColor="text1"/>
        </w:rPr>
        <w:t>‑</w:t>
      </w:r>
      <w:r w:rsidRPr="00862D84">
        <w:rPr>
          <w:color w:val="000000" w:themeColor="text1"/>
        </w:rPr>
        <w:t>4 (IL</w:t>
      </w:r>
      <w:r w:rsidRPr="00862D84">
        <w:rPr>
          <w:rFonts w:ascii="Cambria Math" w:hAnsi="Cambria Math" w:cs="Cambria Math"/>
          <w:color w:val="000000" w:themeColor="text1"/>
        </w:rPr>
        <w:t>‑</w:t>
      </w:r>
      <w:r w:rsidRPr="00862D84">
        <w:rPr>
          <w:color w:val="000000" w:themeColor="text1"/>
        </w:rPr>
        <w:t>4) and interleukin</w:t>
      </w:r>
      <w:r w:rsidRPr="00862D84">
        <w:rPr>
          <w:rFonts w:ascii="Cambria Math" w:hAnsi="Cambria Math" w:cs="Cambria Math"/>
          <w:color w:val="000000" w:themeColor="text1"/>
        </w:rPr>
        <w:t>‑</w:t>
      </w:r>
      <w:r w:rsidRPr="00862D84">
        <w:rPr>
          <w:color w:val="000000" w:themeColor="text1"/>
        </w:rPr>
        <w:t>13 (IL</w:t>
      </w:r>
      <w:r w:rsidRPr="00862D84">
        <w:rPr>
          <w:rFonts w:ascii="Cambria Math" w:hAnsi="Cambria Math" w:cs="Cambria Math"/>
          <w:color w:val="000000" w:themeColor="text1"/>
        </w:rPr>
        <w:t>‑</w:t>
      </w:r>
      <w:r w:rsidRPr="00862D84">
        <w:rPr>
          <w:color w:val="000000" w:themeColor="text1"/>
        </w:rPr>
        <w:t>13)</w:t>
      </w:r>
      <w:r w:rsidR="00F853F8">
        <w:rPr>
          <w:color w:val="000000" w:themeColor="text1"/>
        </w:rPr>
        <w:t>,</w:t>
      </w:r>
      <w:r w:rsidRPr="00862D84">
        <w:rPr>
          <w:color w:val="000000" w:themeColor="text1"/>
        </w:rPr>
        <w:t xml:space="preserve"> </w:t>
      </w:r>
      <w:r w:rsidR="00F853F8">
        <w:rPr>
          <w:color w:val="000000" w:themeColor="text1"/>
        </w:rPr>
        <w:t>which activate the Signal Transducer and Activator of Transcription 6 (STAT6) pathway, a central mediator of</w:t>
      </w:r>
      <w:r w:rsidRPr="00862D84">
        <w:rPr>
          <w:color w:val="000000" w:themeColor="text1"/>
        </w:rPr>
        <w:t xml:space="preserve"> allergic airway inflammation, may modulate the respiratory toxicities of pollutants. T</w:t>
      </w:r>
      <w:r w:rsidR="00643DD7" w:rsidRPr="00862D84">
        <w:rPr>
          <w:color w:val="000000" w:themeColor="text1"/>
          <w:lang w:bidi="th-TH"/>
        </w:rPr>
        <w:t>he present study</w:t>
      </w:r>
      <w:r w:rsidRPr="00862D84">
        <w:rPr>
          <w:color w:val="000000" w:themeColor="text1"/>
        </w:rPr>
        <w:t xml:space="preserve"> describes</w:t>
      </w:r>
      <w:r w:rsidR="00E9336E" w:rsidRPr="00862D84">
        <w:rPr>
          <w:color w:val="000000" w:themeColor="text1"/>
        </w:rPr>
        <w:t xml:space="preserve"> the generation and validation of a stable STAT6 luciferase reporter assay in human airway epithelial cells for evaluating environmental toxicants that modulate STAT6 signaling</w:t>
      </w:r>
      <w:r w:rsidRPr="00F853F8">
        <w:rPr>
          <w:color w:val="000000" w:themeColor="text1"/>
        </w:rPr>
        <w:t>.</w:t>
      </w:r>
      <w:r w:rsidRPr="00862D84">
        <w:rPr>
          <w:color w:val="000000" w:themeColor="text1"/>
        </w:rPr>
        <w:t xml:space="preserve"> </w:t>
      </w:r>
      <w:r w:rsidR="0042424A" w:rsidRPr="00862D84">
        <w:rPr>
          <w:color w:val="000000" w:themeColor="text1"/>
        </w:rPr>
        <w:t xml:space="preserve">Human bronchial epithelial </w:t>
      </w:r>
      <w:r w:rsidR="002527C7" w:rsidRPr="002527C7">
        <w:rPr>
          <w:color w:val="000000" w:themeColor="text1"/>
        </w:rPr>
        <w:t>16HBE14o</w:t>
      </w:r>
      <w:r w:rsidR="002527C7" w:rsidRPr="002527C7">
        <w:rPr>
          <w:color w:val="000000" w:themeColor="text1"/>
          <w:vertAlign w:val="superscript"/>
        </w:rPr>
        <w:t>−</w:t>
      </w:r>
      <w:r w:rsidR="002527C7">
        <w:rPr>
          <w:color w:val="000000" w:themeColor="text1"/>
        </w:rPr>
        <w:t xml:space="preserve"> </w:t>
      </w:r>
      <w:r w:rsidR="0042424A" w:rsidRPr="00862D84">
        <w:rPr>
          <w:color w:val="000000" w:themeColor="text1"/>
        </w:rPr>
        <w:t>cells were transduced with a STAT6-responsive luciferase reporter using a lentiviral vector, followed by optimization of puromycin selection and multiplicity of infection, and monoclonal isolation by limiting dilution. A stable clone with strong and reproducible induction across serial passages was selected</w:t>
      </w:r>
      <w:r w:rsidRPr="00862D84">
        <w:rPr>
          <w:color w:val="000000" w:themeColor="text1"/>
        </w:rPr>
        <w:t xml:space="preserve">. Reporter </w:t>
      </w:r>
      <w:r w:rsidR="0042424A" w:rsidRPr="00862D84">
        <w:rPr>
          <w:color w:val="000000" w:themeColor="text1"/>
        </w:rPr>
        <w:t xml:space="preserve">responsiveness </w:t>
      </w:r>
      <w:r w:rsidRPr="00862D84">
        <w:rPr>
          <w:color w:val="000000" w:themeColor="text1"/>
        </w:rPr>
        <w:t xml:space="preserve">was </w:t>
      </w:r>
      <w:r w:rsidR="0042424A" w:rsidRPr="00862D84">
        <w:rPr>
          <w:color w:val="000000" w:themeColor="text1"/>
        </w:rPr>
        <w:t xml:space="preserve">validated by IL-4/IL-13 stimulation, and STAT6 dependence was confirmed using selective STAT6, STAT5, and STAT3 </w:t>
      </w:r>
      <w:r w:rsidRPr="00862D84">
        <w:rPr>
          <w:color w:val="000000" w:themeColor="text1"/>
        </w:rPr>
        <w:t xml:space="preserve">inhibitors. </w:t>
      </w:r>
      <w:r w:rsidR="0042424A" w:rsidRPr="00862D84">
        <w:t xml:space="preserve">Assay performance was quantified by </w:t>
      </w:r>
      <w:proofErr w:type="gramStart"/>
      <w:r w:rsidR="0042424A" w:rsidRPr="00862D84">
        <w:t>Z′-</w:t>
      </w:r>
      <w:proofErr w:type="gramEnd"/>
      <w:r w:rsidR="0042424A" w:rsidRPr="00862D84">
        <w:t xml:space="preserve">factor analysis, which indicated reproducible signal separation.  </w:t>
      </w:r>
      <w:r w:rsidR="007B1487" w:rsidRPr="00862D84">
        <w:t>Furthermore</w:t>
      </w:r>
      <w:r w:rsidR="0042424A" w:rsidRPr="00862D84">
        <w:t>, the assay was applied to individual air-pollution constituents, and benzo[</w:t>
      </w:r>
      <w:r w:rsidR="0042424A" w:rsidRPr="00E90DB7">
        <w:rPr>
          <w:i/>
          <w:iCs/>
        </w:rPr>
        <w:t>b</w:t>
      </w:r>
      <w:r w:rsidR="0042424A" w:rsidRPr="00862D84">
        <w:t>]fluoranthene and particulate matter significantly increased STAT6 reporter activity</w:t>
      </w:r>
      <w:r w:rsidRPr="00862D84">
        <w:rPr>
          <w:color w:val="000000" w:themeColor="text1"/>
        </w:rPr>
        <w:t>. This method provides a scalable approach for measuring STAT6 activity in airway epithelial cells</w:t>
      </w:r>
      <w:r w:rsidR="0042424A" w:rsidRPr="00862D84">
        <w:rPr>
          <w:color w:val="000000" w:themeColor="text1"/>
        </w:rPr>
        <w:t xml:space="preserve"> and for prioritizing environmental toxicants that modulate allergic airway signaling.</w:t>
      </w:r>
    </w:p>
    <w:p w14:paraId="658901FA" w14:textId="77777777" w:rsidR="00D9273C" w:rsidRPr="00862D84" w:rsidRDefault="00D9273C" w:rsidP="00862D84">
      <w:pPr>
        <w:ind w:firstLine="720"/>
        <w:rPr>
          <w:color w:val="000000" w:themeColor="text1"/>
        </w:rPr>
      </w:pPr>
    </w:p>
    <w:p w14:paraId="0646E204" w14:textId="016278B0" w:rsidR="006E4797" w:rsidRPr="00862D84" w:rsidRDefault="00EC36AF" w:rsidP="00862D84">
      <w:pPr>
        <w:rPr>
          <w:color w:val="000000" w:themeColor="text1"/>
        </w:rPr>
      </w:pPr>
      <w:r w:rsidRPr="00862D84">
        <w:rPr>
          <w:b/>
          <w:color w:val="000000" w:themeColor="text1"/>
        </w:rPr>
        <w:lastRenderedPageBreak/>
        <w:t>INTRODUCTION</w:t>
      </w:r>
      <w:r w:rsidR="00F853F8">
        <w:rPr>
          <w:b/>
          <w:color w:val="000000" w:themeColor="text1"/>
        </w:rPr>
        <w:t>:</w:t>
      </w:r>
    </w:p>
    <w:p w14:paraId="066386E9" w14:textId="1177338D" w:rsidR="00283990" w:rsidRDefault="00EC36AF" w:rsidP="00862D84">
      <w:pPr>
        <w:widowControl/>
        <w:rPr>
          <w:rFonts w:eastAsia="Aptos"/>
          <w:kern w:val="2"/>
          <w:shd w:val="clear" w:color="auto" w:fill="FFFFFF"/>
          <w:lang w:bidi="th-TH"/>
          <w14:ligatures w14:val="standardContextual"/>
        </w:rPr>
      </w:pPr>
      <w:r w:rsidRPr="00862D84">
        <w:rPr>
          <w:rFonts w:eastAsiaTheme="minorEastAsia"/>
          <w:lang w:val="en" w:eastAsia="ja-JP" w:bidi="th-TH"/>
        </w:rPr>
        <w:t>Air pollution represents one of the most pressing global public health challenges, with profound health effects and socioeconomic impacts. It is currently ranked as the second leading risk factor for mortality, accounting for 8.1 million deaths annually</w:t>
      </w:r>
      <w:r w:rsidR="008040EF">
        <w:rPr>
          <w:rFonts w:eastAsiaTheme="minorEastAsia"/>
          <w:vertAlign w:val="superscript"/>
          <w:lang w:val="en" w:eastAsia="ja-JP" w:bidi="th-TH"/>
        </w:rPr>
        <w:t>1–3</w:t>
      </w:r>
      <w:r w:rsidRPr="00862D84">
        <w:rPr>
          <w:rFonts w:eastAsia="Aptos"/>
          <w:kern w:val="2"/>
          <w:shd w:val="clear" w:color="auto" w:fill="FFFFFF"/>
          <w:lang w:bidi="th-TH"/>
          <w14:ligatures w14:val="standardContextual"/>
        </w:rPr>
        <w:t xml:space="preserve">. Among airborne pollutants, fine particulate matter with </w:t>
      </w:r>
      <w:r w:rsidR="008040EF">
        <w:rPr>
          <w:rFonts w:eastAsia="Aptos"/>
          <w:kern w:val="2"/>
          <w:shd w:val="clear" w:color="auto" w:fill="FFFFFF"/>
          <w:lang w:bidi="th-TH"/>
          <w14:ligatures w14:val="standardContextual"/>
        </w:rPr>
        <w:t>diameters of less than 2.5 micrometers (PM2.5) poses the greatest health risk due to its ability to penetrate deep into the respiratory tract</w:t>
      </w:r>
      <w:r w:rsidR="008040EF" w:rsidRPr="008040EF">
        <w:rPr>
          <w:rFonts w:eastAsia="Aptos"/>
          <w:kern w:val="2"/>
          <w:shd w:val="clear" w:color="auto" w:fill="FFFFFF"/>
          <w:vertAlign w:val="superscript"/>
          <w:lang w:bidi="th-TH"/>
          <w14:ligatures w14:val="standardContextual"/>
        </w:rPr>
        <w:t>4,5</w:t>
      </w:r>
      <w:r w:rsidRPr="00862D84">
        <w:rPr>
          <w:rFonts w:eastAsiaTheme="minorEastAsia"/>
          <w:lang w:val="en" w:eastAsia="ja-JP" w:bidi="th-TH"/>
        </w:rPr>
        <w:t>. Elevated PM2.5 exposure has been consistently linked to impaired lung function and increased rates of hospitalization for respiratory diseases</w:t>
      </w:r>
      <w:r w:rsidR="008040EF">
        <w:rPr>
          <w:rFonts w:eastAsiaTheme="minorEastAsia"/>
          <w:vertAlign w:val="superscript"/>
          <w:lang w:val="en" w:eastAsia="ja-JP" w:bidi="th-TH"/>
        </w:rPr>
        <w:t>6</w:t>
      </w:r>
      <w:r w:rsidRPr="00862D84">
        <w:rPr>
          <w:rFonts w:eastAsiaTheme="minorEastAsia"/>
          <w:lang w:val="en" w:eastAsia="ja-JP" w:bidi="th-TH"/>
        </w:rPr>
        <w:t>. The prevalence of allergic inflammatory diseases, including asthma, allergic rhinitis, and atopic dermatitis, has been increasing worldwide and is disproportionately elevated in the highly polluted megacities</w:t>
      </w:r>
      <w:r w:rsidR="008040EF">
        <w:rPr>
          <w:rFonts w:eastAsiaTheme="minorEastAsia"/>
          <w:vertAlign w:val="superscript"/>
          <w:lang w:val="en" w:eastAsia="ja-JP" w:bidi="th-TH"/>
        </w:rPr>
        <w:t>4</w:t>
      </w:r>
      <w:r w:rsidRPr="00862D84">
        <w:rPr>
          <w:rFonts w:eastAsia="Aptos"/>
          <w:kern w:val="2"/>
          <w:shd w:val="clear" w:color="auto" w:fill="FFFFFF"/>
          <w:lang w:bidi="th-TH"/>
          <w14:ligatures w14:val="standardContextual"/>
        </w:rPr>
        <w:t xml:space="preserve">. </w:t>
      </w:r>
    </w:p>
    <w:p w14:paraId="31E9E58E" w14:textId="00743D62" w:rsidR="00E15F51" w:rsidRPr="00862D84" w:rsidRDefault="00EC36AF" w:rsidP="00862D84">
      <w:pPr>
        <w:widowControl/>
        <w:rPr>
          <w:rFonts w:eastAsiaTheme="minorEastAsia"/>
          <w:lang w:val="en" w:eastAsia="ja-JP" w:bidi="th-TH"/>
        </w:rPr>
      </w:pPr>
      <w:r w:rsidRPr="00862D84">
        <w:rPr>
          <w:rFonts w:eastAsiaTheme="minorEastAsia"/>
          <w:lang w:val="en" w:eastAsia="ja-JP" w:bidi="th-TH"/>
        </w:rPr>
        <w:tab/>
      </w:r>
    </w:p>
    <w:p w14:paraId="11811E68" w14:textId="0D1CD235" w:rsidR="00067F87" w:rsidRDefault="00EC36AF" w:rsidP="00862D84">
      <w:pPr>
        <w:widowControl/>
        <w:rPr>
          <w:rFonts w:eastAsiaTheme="minorEastAsia"/>
          <w:color w:val="1F1F1F"/>
          <w:lang w:val="en" w:eastAsia="ja-JP" w:bidi="th-TH"/>
        </w:rPr>
      </w:pPr>
      <w:r w:rsidRPr="00862D84">
        <w:rPr>
          <w:rFonts w:eastAsiaTheme="minorEastAsia"/>
          <w:color w:val="1F1F1F"/>
          <w:lang w:val="en" w:eastAsia="ja-JP" w:bidi="th-TH"/>
        </w:rPr>
        <w:t xml:space="preserve">Allergic airway diseases such as atopic asthma are primarily mediated by a type 2 inflammatory response characterized by elevated </w:t>
      </w:r>
      <w:r w:rsidR="00C1570C">
        <w:rPr>
          <w:rFonts w:eastAsiaTheme="minorEastAsia"/>
          <w:color w:val="1F1F1F"/>
          <w:lang w:val="en" w:eastAsia="ja-JP" w:bidi="th-TH"/>
        </w:rPr>
        <w:t xml:space="preserve">levels of the </w:t>
      </w:r>
      <w:proofErr w:type="gramStart"/>
      <w:r w:rsidRPr="00862D84">
        <w:rPr>
          <w:rFonts w:eastAsiaTheme="minorEastAsia"/>
          <w:color w:val="1F1F1F"/>
          <w:lang w:val="en" w:eastAsia="ja-JP" w:bidi="th-TH"/>
        </w:rPr>
        <w:t>cytokines</w:t>
      </w:r>
      <w:proofErr w:type="gramEnd"/>
      <w:r w:rsidRPr="00862D84">
        <w:rPr>
          <w:rFonts w:eastAsiaTheme="minorEastAsia"/>
          <w:color w:val="1F1F1F"/>
          <w:lang w:val="en" w:eastAsia="ja-JP" w:bidi="th-TH"/>
        </w:rPr>
        <w:t xml:space="preserve"> </w:t>
      </w:r>
      <w:r w:rsidR="00C1570C">
        <w:rPr>
          <w:color w:val="000000" w:themeColor="text1"/>
        </w:rPr>
        <w:t>i</w:t>
      </w:r>
      <w:r w:rsidR="00C1570C" w:rsidRPr="00862D84">
        <w:rPr>
          <w:color w:val="000000" w:themeColor="text1"/>
        </w:rPr>
        <w:t>nterleukin</w:t>
      </w:r>
      <w:r w:rsidR="00C1570C" w:rsidRPr="00862D84">
        <w:rPr>
          <w:rFonts w:ascii="Cambria Math" w:hAnsi="Cambria Math" w:cs="Cambria Math"/>
          <w:color w:val="000000" w:themeColor="text1"/>
        </w:rPr>
        <w:t>‑</w:t>
      </w:r>
      <w:r w:rsidR="00C1570C" w:rsidRPr="00862D84">
        <w:rPr>
          <w:color w:val="000000" w:themeColor="text1"/>
        </w:rPr>
        <w:t>4 (IL</w:t>
      </w:r>
      <w:r w:rsidR="00C1570C" w:rsidRPr="00862D84">
        <w:rPr>
          <w:rFonts w:ascii="Cambria Math" w:hAnsi="Cambria Math" w:cs="Cambria Math"/>
          <w:color w:val="000000" w:themeColor="text1"/>
        </w:rPr>
        <w:t>‑</w:t>
      </w:r>
      <w:r w:rsidR="00C1570C" w:rsidRPr="00862D84">
        <w:rPr>
          <w:color w:val="000000" w:themeColor="text1"/>
        </w:rPr>
        <w:t>4) and interleukin</w:t>
      </w:r>
      <w:r w:rsidR="00C1570C" w:rsidRPr="00862D84">
        <w:rPr>
          <w:rFonts w:ascii="Cambria Math" w:hAnsi="Cambria Math" w:cs="Cambria Math"/>
          <w:color w:val="000000" w:themeColor="text1"/>
        </w:rPr>
        <w:t>‑</w:t>
      </w:r>
      <w:r w:rsidR="00C1570C" w:rsidRPr="00862D84">
        <w:rPr>
          <w:color w:val="000000" w:themeColor="text1"/>
        </w:rPr>
        <w:t>13 (IL</w:t>
      </w:r>
      <w:r w:rsidR="00C1570C" w:rsidRPr="00862D84">
        <w:rPr>
          <w:rFonts w:ascii="Cambria Math" w:hAnsi="Cambria Math" w:cs="Cambria Math"/>
          <w:color w:val="000000" w:themeColor="text1"/>
        </w:rPr>
        <w:t>‑</w:t>
      </w:r>
      <w:r w:rsidR="00C1570C" w:rsidRPr="00862D84">
        <w:rPr>
          <w:color w:val="000000" w:themeColor="text1"/>
        </w:rPr>
        <w:t>13)</w:t>
      </w:r>
      <w:r w:rsidR="00C1570C">
        <w:rPr>
          <w:color w:val="000000" w:themeColor="text1"/>
        </w:rPr>
        <w:t xml:space="preserve"> </w:t>
      </w:r>
      <w:r w:rsidRPr="00862D84">
        <w:rPr>
          <w:rFonts w:eastAsiaTheme="minorEastAsia"/>
          <w:color w:val="1F1F1F"/>
          <w:lang w:val="en" w:eastAsia="ja-JP" w:bidi="th-TH"/>
        </w:rPr>
        <w:t>and activation of the Signal Transducer and Activator of Transcription 6 (STAT6) signaling pathwa</w:t>
      </w:r>
      <w:r w:rsidR="001B50C4">
        <w:rPr>
          <w:rFonts w:eastAsiaTheme="minorEastAsia"/>
          <w:color w:val="1F1F1F"/>
          <w:lang w:val="en" w:eastAsia="ja-JP" w:bidi="th-TH"/>
        </w:rPr>
        <w:t>y</w:t>
      </w:r>
      <w:r w:rsidR="001B50C4">
        <w:rPr>
          <w:rFonts w:eastAsiaTheme="minorEastAsia"/>
          <w:vertAlign w:val="superscript"/>
          <w:lang w:val="en" w:eastAsia="ja-JP" w:bidi="th-TH"/>
        </w:rPr>
        <w:t>7</w:t>
      </w:r>
      <w:r w:rsidR="001B50C4">
        <w:rPr>
          <w:rFonts w:eastAsiaTheme="minorEastAsia"/>
          <w:color w:val="1F1F1F"/>
          <w:lang w:val="en" w:eastAsia="ja-JP" w:bidi="th-TH"/>
        </w:rPr>
        <w:t>.</w:t>
      </w:r>
      <w:r w:rsidRPr="00862D84">
        <w:rPr>
          <w:rFonts w:eastAsia="Times New Roman"/>
          <w:lang w:val="en" w:bidi="th-TH"/>
        </w:rPr>
        <w:t xml:space="preserve"> In airway epithelial cells, IL-4- and IL-13-driven phosphorylation of STAT6 promotes mucus hypersecretion and epithelial barrier disruption, identifying STAT6 as a central mediator of allergic airway pathology and a relevant therapeutic target</w:t>
      </w:r>
      <w:r w:rsidR="00FE3EDD">
        <w:rPr>
          <w:rFonts w:eastAsia="Times New Roman"/>
          <w:vertAlign w:val="superscript"/>
          <w:lang w:val="en" w:bidi="th-TH"/>
        </w:rPr>
        <w:t>8,9</w:t>
      </w:r>
      <w:r w:rsidRPr="00862D84">
        <w:rPr>
          <w:rFonts w:eastAsiaTheme="minorEastAsia"/>
          <w:color w:val="1F1F1F"/>
          <w:lang w:val="en" w:eastAsia="ja-JP" w:bidi="th-TH"/>
        </w:rPr>
        <w:t>. Experimental evidence from murine models indicates that exposure to PM2.5 and sulfur dioxide augments STAT6 signaling and exacerbates allergic airway inflammation</w:t>
      </w:r>
      <w:r w:rsidR="00FE3EDD">
        <w:rPr>
          <w:rFonts w:eastAsiaTheme="minorEastAsia"/>
          <w:color w:val="1F1F1F"/>
          <w:vertAlign w:val="superscript"/>
          <w:lang w:val="en" w:eastAsia="ja-JP" w:bidi="th-TH"/>
        </w:rPr>
        <w:t>10,11</w:t>
      </w:r>
      <w:r w:rsidRPr="00862D84">
        <w:rPr>
          <w:rFonts w:eastAsiaTheme="minorEastAsia"/>
          <w:color w:val="1F1F1F"/>
          <w:lang w:val="en" w:eastAsia="ja-JP" w:bidi="th-TH"/>
        </w:rPr>
        <w:t>. However, whether individual air pollution constituents directly modulate STAT6 transcriptional activity in human airway epithelial cells has not been systematically evaluated.</w:t>
      </w:r>
    </w:p>
    <w:p w14:paraId="0868990F" w14:textId="77777777" w:rsidR="00283990" w:rsidRPr="00862D84" w:rsidRDefault="00283990" w:rsidP="00862D84">
      <w:pPr>
        <w:widowControl/>
        <w:rPr>
          <w:rFonts w:eastAsiaTheme="minorEastAsia"/>
          <w:lang w:val="en" w:eastAsia="ja-JP" w:bidi="th-TH"/>
        </w:rPr>
      </w:pPr>
    </w:p>
    <w:p w14:paraId="0B12FAB1" w14:textId="1339BA7F" w:rsidR="00D36A04" w:rsidRPr="00862D84" w:rsidRDefault="00EC36AF" w:rsidP="00862D84">
      <w:pPr>
        <w:widowControl/>
        <w:rPr>
          <w:rFonts w:eastAsiaTheme="minorEastAsia"/>
          <w:color w:val="172B4D"/>
          <w:lang w:val="en" w:eastAsia="ja-JP" w:bidi="th-TH"/>
        </w:rPr>
      </w:pPr>
      <w:r w:rsidRPr="00862D84">
        <w:rPr>
          <w:rFonts w:eastAsiaTheme="minorEastAsia"/>
          <w:color w:val="1F1F1F"/>
          <w:lang w:val="en" w:eastAsia="ja-JP" w:bidi="th-TH"/>
        </w:rPr>
        <w:t>Air pollution comprises a chemically complex mixture of constituents, including particulate matter, polycyclic aromatic hydrocarbons (PAHs), heavy metals, and inorganic salts, whose individual contributions to airway STAT6 activation remain poorly defined</w:t>
      </w:r>
      <w:r w:rsidR="00FE3EDD">
        <w:rPr>
          <w:rFonts w:eastAsiaTheme="minorEastAsia"/>
          <w:color w:val="1F1F1F"/>
          <w:vertAlign w:val="superscript"/>
          <w:lang w:val="en" w:eastAsia="ja-JP" w:bidi="th-TH"/>
        </w:rPr>
        <w:t>12,13</w:t>
      </w:r>
      <w:r w:rsidRPr="00862D84">
        <w:rPr>
          <w:rFonts w:eastAsiaTheme="minorEastAsia"/>
          <w:color w:val="1F1F1F"/>
          <w:lang w:val="en" w:eastAsia="ja-JP" w:bidi="th-TH"/>
        </w:rPr>
        <w:t>.</w:t>
      </w:r>
      <w:r w:rsidRPr="00862D84">
        <w:rPr>
          <w:rFonts w:eastAsiaTheme="minorEastAsia"/>
          <w:lang w:val="en" w:eastAsia="ja-JP" w:bidi="th-TH"/>
        </w:rPr>
        <w:t xml:space="preserve"> Current methodologies for measuring STAT6 activity in airway epithelial cells, such as endpoint phosphorylation assays or transient transfection-based reporter systems, are not amenable to large-scale chemical screening. A stable, cell-based STAT6 reporter platform in human airway epithelial cells would therefore provide a scalable tool to identify pollution-derived compounds that modulate allergic airway signaling. This protocol describes the development and validation of a stable STAT6 luciferase reporte</w:t>
      </w:r>
      <w:r w:rsidRPr="00862D84">
        <w:rPr>
          <w:rFonts w:eastAsiaTheme="minorEastAsia"/>
          <w:lang w:val="en" w:eastAsia="ja-JP" w:bidi="th-TH"/>
        </w:rPr>
        <w:t xml:space="preserve">r assay in </w:t>
      </w:r>
      <w:r w:rsidR="002527C7" w:rsidRPr="002527C7">
        <w:rPr>
          <w:color w:val="000000" w:themeColor="text1"/>
        </w:rPr>
        <w:t>16HBE14o</w:t>
      </w:r>
      <w:r w:rsidR="002527C7" w:rsidRPr="002527C7">
        <w:rPr>
          <w:color w:val="000000" w:themeColor="text1"/>
          <w:vertAlign w:val="superscript"/>
        </w:rPr>
        <w:t>−</w:t>
      </w:r>
      <w:r w:rsidR="002527C7">
        <w:rPr>
          <w:color w:val="000000" w:themeColor="text1"/>
        </w:rPr>
        <w:t xml:space="preserve"> </w:t>
      </w:r>
      <w:r w:rsidRPr="00862D84">
        <w:rPr>
          <w:rFonts w:eastAsiaTheme="minorEastAsia"/>
          <w:lang w:val="en" w:eastAsia="ja-JP" w:bidi="th-TH"/>
        </w:rPr>
        <w:t>airway epithelial cells, enabling quantitative evaluation of STAT6 activation for systematic screening of environmental samples and individual chemical toxicants</w:t>
      </w:r>
      <w:r w:rsidR="00E96A3B">
        <w:rPr>
          <w:rFonts w:eastAsiaTheme="minorEastAsia"/>
          <w:lang w:val="en" w:eastAsia="ja-JP" w:bidi="th-TH"/>
        </w:rPr>
        <w:t>.</w:t>
      </w:r>
    </w:p>
    <w:p w14:paraId="35658299" w14:textId="77777777" w:rsidR="008528E3" w:rsidRPr="00862D84" w:rsidRDefault="008528E3" w:rsidP="00862D84">
      <w:pPr>
        <w:widowControl/>
        <w:ind w:firstLine="720"/>
        <w:rPr>
          <w:rFonts w:eastAsiaTheme="minorEastAsia"/>
          <w:color w:val="172B4D"/>
          <w:lang w:val="en" w:eastAsia="ja-JP" w:bidi="th-TH"/>
        </w:rPr>
      </w:pPr>
    </w:p>
    <w:p w14:paraId="49291F51" w14:textId="7F1E3AB7" w:rsidR="007E1B8E" w:rsidRDefault="00EC36AF" w:rsidP="00862D84">
      <w:pPr>
        <w:rPr>
          <w:b/>
          <w:bCs/>
          <w:color w:val="000000" w:themeColor="text1"/>
        </w:rPr>
      </w:pPr>
      <w:r w:rsidRPr="00862D84">
        <w:rPr>
          <w:b/>
          <w:color w:val="000000" w:themeColor="text1"/>
        </w:rPr>
        <w:t>PROTOCOL</w:t>
      </w:r>
      <w:r w:rsidR="00283990" w:rsidRPr="00283990">
        <w:rPr>
          <w:b/>
          <w:bCs/>
          <w:color w:val="000000" w:themeColor="text1"/>
        </w:rPr>
        <w:t>:</w:t>
      </w:r>
    </w:p>
    <w:p w14:paraId="5D9F101C" w14:textId="153B8CB5" w:rsidR="00123674" w:rsidRDefault="00EC36AF" w:rsidP="00862D84">
      <w:pPr>
        <w:rPr>
          <w:color w:val="000000" w:themeColor="text1"/>
        </w:rPr>
      </w:pPr>
      <w:r w:rsidRPr="00123674">
        <w:rPr>
          <w:color w:val="000000" w:themeColor="text1"/>
        </w:rPr>
        <w:t>Human-subject ethics approval is not applicable because this study used the established 16HBE14o</w:t>
      </w:r>
      <w:r w:rsidRPr="00123674">
        <w:rPr>
          <w:color w:val="000000" w:themeColor="text1"/>
          <w:vertAlign w:val="superscript"/>
        </w:rPr>
        <w:t>−</w:t>
      </w:r>
      <w:r w:rsidRPr="00123674">
        <w:rPr>
          <w:color w:val="000000" w:themeColor="text1"/>
        </w:rPr>
        <w:t xml:space="preserve"> human bronchial epithelial cell line.</w:t>
      </w:r>
    </w:p>
    <w:p w14:paraId="0B8EC912" w14:textId="77777777" w:rsidR="00123674" w:rsidRPr="00862D84" w:rsidRDefault="00123674" w:rsidP="00862D84">
      <w:pPr>
        <w:rPr>
          <w:color w:val="000000" w:themeColor="text1"/>
        </w:rPr>
      </w:pPr>
    </w:p>
    <w:p w14:paraId="3C4DB2A5" w14:textId="77777777" w:rsidR="00025BD8" w:rsidRDefault="00EC36AF" w:rsidP="00025BD8">
      <w:pPr>
        <w:pBdr>
          <w:top w:val="nil"/>
          <w:left w:val="nil"/>
          <w:bottom w:val="nil"/>
          <w:right w:val="nil"/>
          <w:between w:val="nil"/>
        </w:pBdr>
        <w:rPr>
          <w:b/>
          <w:bCs/>
          <w:color w:val="000000" w:themeColor="text1"/>
          <w:lang w:val="en-IN"/>
        </w:rPr>
      </w:pPr>
      <w:r w:rsidRPr="00123674">
        <w:rPr>
          <w:b/>
          <w:bCs/>
          <w:color w:val="000000" w:themeColor="text1"/>
          <w:lang w:val="en-IN"/>
        </w:rPr>
        <w:t xml:space="preserve">1. </w:t>
      </w:r>
      <w:r w:rsidRPr="00711E2F">
        <w:rPr>
          <w:b/>
          <w:bCs/>
          <w:color w:val="000000" w:themeColor="text1"/>
          <w:highlight w:val="yellow"/>
          <w:lang w:val="en-IN"/>
        </w:rPr>
        <w:t>Generation of 16HBE14o</w:t>
      </w:r>
      <w:r w:rsidRPr="00711E2F">
        <w:rPr>
          <w:b/>
          <w:bCs/>
          <w:color w:val="000000" w:themeColor="text1"/>
          <w:highlight w:val="yellow"/>
          <w:vertAlign w:val="superscript"/>
          <w:lang w:val="en-IN"/>
        </w:rPr>
        <w:t>−</w:t>
      </w:r>
      <w:r w:rsidRPr="00711E2F">
        <w:rPr>
          <w:b/>
          <w:bCs/>
          <w:color w:val="000000" w:themeColor="text1"/>
          <w:highlight w:val="yellow"/>
          <w:vertAlign w:val="superscript"/>
          <w:lang w:val="en-IN"/>
        </w:rPr>
        <w:t xml:space="preserve"> </w:t>
      </w:r>
      <w:r w:rsidRPr="00711E2F">
        <w:rPr>
          <w:b/>
          <w:bCs/>
          <w:color w:val="000000" w:themeColor="text1"/>
          <w:highlight w:val="yellow"/>
          <w:lang w:val="en-IN"/>
        </w:rPr>
        <w:t>cells stably expressing a STAT6 activity reporter</w:t>
      </w:r>
    </w:p>
    <w:p w14:paraId="13723423" w14:textId="77777777" w:rsidR="00123674" w:rsidRPr="00123674" w:rsidRDefault="00123674" w:rsidP="00025BD8">
      <w:pPr>
        <w:pBdr>
          <w:top w:val="nil"/>
          <w:left w:val="nil"/>
          <w:bottom w:val="nil"/>
          <w:right w:val="nil"/>
          <w:between w:val="nil"/>
        </w:pBdr>
        <w:rPr>
          <w:b/>
          <w:bCs/>
          <w:color w:val="000000" w:themeColor="text1"/>
          <w:lang w:val="en-IN"/>
        </w:rPr>
      </w:pPr>
    </w:p>
    <w:p w14:paraId="0BCB3E4F"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NOTE: </w:t>
      </w:r>
      <w:r w:rsidRPr="00123674">
        <w:rPr>
          <w:b/>
          <w:bCs/>
          <w:color w:val="000000" w:themeColor="text1"/>
          <w:lang w:val="en-IN"/>
        </w:rPr>
        <w:t>Figure 1</w:t>
      </w:r>
      <w:r w:rsidRPr="005E7D8B">
        <w:rPr>
          <w:color w:val="000000" w:themeColor="text1"/>
          <w:lang w:val="en-IN"/>
        </w:rPr>
        <w:t xml:space="preserve"> provides an overview of the workflow.</w:t>
      </w:r>
    </w:p>
    <w:p w14:paraId="1A06D798" w14:textId="77777777" w:rsidR="00123674" w:rsidRPr="005E7D8B" w:rsidRDefault="00123674" w:rsidP="00025BD8">
      <w:pPr>
        <w:pBdr>
          <w:top w:val="nil"/>
          <w:left w:val="nil"/>
          <w:bottom w:val="nil"/>
          <w:right w:val="nil"/>
          <w:between w:val="nil"/>
        </w:pBdr>
        <w:rPr>
          <w:color w:val="000000" w:themeColor="text1"/>
          <w:lang w:val="en-IN"/>
        </w:rPr>
      </w:pPr>
    </w:p>
    <w:p w14:paraId="0F22126D" w14:textId="77777777" w:rsidR="00025BD8" w:rsidRDefault="00EC36AF" w:rsidP="00025BD8">
      <w:pPr>
        <w:pBdr>
          <w:top w:val="nil"/>
          <w:left w:val="nil"/>
          <w:bottom w:val="nil"/>
          <w:right w:val="nil"/>
          <w:between w:val="nil"/>
        </w:pBdr>
        <w:rPr>
          <w:color w:val="000000" w:themeColor="text1"/>
          <w:lang w:val="en-IN"/>
        </w:rPr>
      </w:pPr>
      <w:r w:rsidRPr="00B83A5E">
        <w:rPr>
          <w:color w:val="000000" w:themeColor="text1"/>
          <w:highlight w:val="yellow"/>
          <w:lang w:val="en-IN"/>
        </w:rPr>
        <w:t>1.1. Cell culture</w:t>
      </w:r>
    </w:p>
    <w:p w14:paraId="5FCE633C" w14:textId="77777777" w:rsidR="00123674" w:rsidRPr="005E7D8B" w:rsidRDefault="00123674" w:rsidP="00025BD8">
      <w:pPr>
        <w:pBdr>
          <w:top w:val="nil"/>
          <w:left w:val="nil"/>
          <w:bottom w:val="nil"/>
          <w:right w:val="nil"/>
          <w:between w:val="nil"/>
        </w:pBdr>
        <w:rPr>
          <w:color w:val="000000" w:themeColor="text1"/>
          <w:lang w:val="en-IN"/>
        </w:rPr>
      </w:pPr>
    </w:p>
    <w:p w14:paraId="29299C24"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lastRenderedPageBreak/>
        <w:t>NOTE: Perform all procedures using aseptic technique in a Class II biosafety cabinet. Confirm that the cells are free of mycoplasma contamination before use.</w:t>
      </w:r>
    </w:p>
    <w:p w14:paraId="4BB25377" w14:textId="77777777" w:rsidR="00123674" w:rsidRPr="005E7D8B" w:rsidRDefault="00123674" w:rsidP="00025BD8">
      <w:pPr>
        <w:pBdr>
          <w:top w:val="nil"/>
          <w:left w:val="nil"/>
          <w:bottom w:val="nil"/>
          <w:right w:val="nil"/>
          <w:between w:val="nil"/>
        </w:pBdr>
        <w:rPr>
          <w:color w:val="000000" w:themeColor="text1"/>
          <w:lang w:val="en-IN"/>
        </w:rPr>
      </w:pPr>
    </w:p>
    <w:p w14:paraId="3C57E1ED" w14:textId="2988F7A3" w:rsidR="00025BD8" w:rsidRDefault="00EC36AF" w:rsidP="00025BD8">
      <w:pPr>
        <w:pBdr>
          <w:top w:val="nil"/>
          <w:left w:val="nil"/>
          <w:bottom w:val="nil"/>
          <w:right w:val="nil"/>
          <w:between w:val="nil"/>
        </w:pBdr>
        <w:rPr>
          <w:color w:val="000000" w:themeColor="text1"/>
          <w:lang w:val="en-IN"/>
        </w:rPr>
      </w:pPr>
      <w:r w:rsidRPr="00B83A5E">
        <w:rPr>
          <w:color w:val="000000" w:themeColor="text1"/>
          <w:highlight w:val="yellow"/>
          <w:lang w:val="en-IN"/>
        </w:rPr>
        <w:t>1.1.1. Maintain the 16HBE14o</w:t>
      </w:r>
      <w:r w:rsidRPr="00B83A5E">
        <w:rPr>
          <w:color w:val="000000" w:themeColor="text1"/>
          <w:highlight w:val="yellow"/>
          <w:vertAlign w:val="superscript"/>
          <w:lang w:val="en-IN"/>
        </w:rPr>
        <w:t>−</w:t>
      </w:r>
      <w:r w:rsidRPr="00B83A5E">
        <w:rPr>
          <w:color w:val="000000" w:themeColor="text1"/>
          <w:highlight w:val="yellow"/>
          <w:lang w:val="en-IN"/>
        </w:rPr>
        <w:t xml:space="preserve"> cells in minimum essential medium supplemented with 10% fetal bovine serum and 1% penicillin–streptomycin. Incubate the cells at 37 °C in a humidified atmosphere containing 5% </w:t>
      </w:r>
      <w:proofErr w:type="gramStart"/>
      <w:r w:rsidRPr="00B83A5E">
        <w:rPr>
          <w:color w:val="000000" w:themeColor="text1"/>
          <w:highlight w:val="yellow"/>
          <w:lang w:val="en-IN"/>
        </w:rPr>
        <w:t>CO</w:t>
      </w:r>
      <w:r w:rsidR="00E02B5C" w:rsidRPr="00B83A5E">
        <w:rPr>
          <w:color w:val="000000" w:themeColor="text1"/>
          <w:highlight w:val="yellow"/>
          <w:vertAlign w:val="subscript"/>
          <w:lang w:val="en-IN"/>
        </w:rPr>
        <w:t>2</w:t>
      </w:r>
      <w:r w:rsidRPr="00B83A5E">
        <w:rPr>
          <w:color w:val="000000" w:themeColor="text1"/>
          <w:highlight w:val="yellow"/>
          <w:lang w:val="en-IN"/>
        </w:rPr>
        <w:t>, and</w:t>
      </w:r>
      <w:proofErr w:type="gramEnd"/>
      <w:r w:rsidRPr="00B83A5E">
        <w:rPr>
          <w:color w:val="000000" w:themeColor="text1"/>
          <w:highlight w:val="yellow"/>
          <w:lang w:val="en-IN"/>
        </w:rPr>
        <w:t xml:space="preserve"> replace the culture medium every other day.</w:t>
      </w:r>
    </w:p>
    <w:p w14:paraId="0A784190" w14:textId="77777777" w:rsidR="00123674" w:rsidRPr="005E7D8B" w:rsidRDefault="00123674" w:rsidP="00025BD8">
      <w:pPr>
        <w:pBdr>
          <w:top w:val="nil"/>
          <w:left w:val="nil"/>
          <w:bottom w:val="nil"/>
          <w:right w:val="nil"/>
          <w:between w:val="nil"/>
        </w:pBdr>
        <w:rPr>
          <w:color w:val="000000" w:themeColor="text1"/>
          <w:lang w:val="en-IN"/>
        </w:rPr>
      </w:pPr>
    </w:p>
    <w:p w14:paraId="12831A91"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1.1.2. Allow the cells to reach approximately 80% confluence. Aspirate the culture medium and rinse the cell monolayer once with phosphate-buffered saline.</w:t>
      </w:r>
    </w:p>
    <w:p w14:paraId="002D4761" w14:textId="77777777" w:rsidR="00123674" w:rsidRPr="005E7D8B" w:rsidRDefault="00123674" w:rsidP="00025BD8">
      <w:pPr>
        <w:pBdr>
          <w:top w:val="nil"/>
          <w:left w:val="nil"/>
          <w:bottom w:val="nil"/>
          <w:right w:val="nil"/>
          <w:between w:val="nil"/>
        </w:pBdr>
        <w:rPr>
          <w:color w:val="000000" w:themeColor="text1"/>
          <w:lang w:val="en-IN"/>
        </w:rPr>
      </w:pPr>
    </w:p>
    <w:p w14:paraId="4A9EDB81"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1.1.3. Add sufficient phosphate-buffered saline to cover the cell monolayer and incubate the cells for 20 min at 37 °C. Aspirate the phosphate-buffered saline completely.</w:t>
      </w:r>
    </w:p>
    <w:p w14:paraId="7F932D52" w14:textId="77777777" w:rsidR="00123674" w:rsidRPr="005E7D8B" w:rsidRDefault="00123674" w:rsidP="00025BD8">
      <w:pPr>
        <w:pBdr>
          <w:top w:val="nil"/>
          <w:left w:val="nil"/>
          <w:bottom w:val="nil"/>
          <w:right w:val="nil"/>
          <w:between w:val="nil"/>
        </w:pBdr>
        <w:rPr>
          <w:color w:val="000000" w:themeColor="text1"/>
          <w:lang w:val="en-IN"/>
        </w:rPr>
      </w:pPr>
    </w:p>
    <w:p w14:paraId="4B57D1DC"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NOTE: Use the 20 min phosphate-buffered saline incubation to facilitate disruption of the tight intercellular junctions formed by this cell line. This duration represents an in-house optimized modification.</w:t>
      </w:r>
    </w:p>
    <w:p w14:paraId="59A145B4" w14:textId="77777777" w:rsidR="00123674" w:rsidRPr="005E7D8B" w:rsidRDefault="00123674" w:rsidP="00025BD8">
      <w:pPr>
        <w:pBdr>
          <w:top w:val="nil"/>
          <w:left w:val="nil"/>
          <w:bottom w:val="nil"/>
          <w:right w:val="nil"/>
          <w:between w:val="nil"/>
        </w:pBdr>
        <w:rPr>
          <w:color w:val="000000" w:themeColor="text1"/>
          <w:lang w:val="en-IN"/>
        </w:rPr>
      </w:pPr>
    </w:p>
    <w:p w14:paraId="031AB147"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1.1.4. Add sufficient 0.25% trypsin–ethylenediaminetetraacetic acid solution to cover the cell monolayer. Incubate the cells for 10 min at 37 °C.</w:t>
      </w:r>
    </w:p>
    <w:p w14:paraId="64683ACE" w14:textId="77777777" w:rsidR="00123674" w:rsidRPr="005E7D8B" w:rsidRDefault="00123674" w:rsidP="00025BD8">
      <w:pPr>
        <w:pBdr>
          <w:top w:val="nil"/>
          <w:left w:val="nil"/>
          <w:bottom w:val="nil"/>
          <w:right w:val="nil"/>
          <w:between w:val="nil"/>
        </w:pBdr>
        <w:rPr>
          <w:color w:val="000000" w:themeColor="text1"/>
          <w:lang w:val="en-IN"/>
        </w:rPr>
      </w:pPr>
    </w:p>
    <w:p w14:paraId="320FA7CB"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NOTE: Monitor cell detachment using an inverted light microscope. Gently tap the culture vessel when necessary to facilitate detachment.</w:t>
      </w:r>
    </w:p>
    <w:p w14:paraId="29DA5A9E" w14:textId="77777777" w:rsidR="00123674" w:rsidRPr="005E7D8B" w:rsidRDefault="00123674" w:rsidP="00025BD8">
      <w:pPr>
        <w:pBdr>
          <w:top w:val="nil"/>
          <w:left w:val="nil"/>
          <w:bottom w:val="nil"/>
          <w:right w:val="nil"/>
          <w:between w:val="nil"/>
        </w:pBdr>
        <w:rPr>
          <w:color w:val="000000" w:themeColor="text1"/>
          <w:lang w:val="en-IN"/>
        </w:rPr>
      </w:pPr>
    </w:p>
    <w:p w14:paraId="1DA4D6AA"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1.1.5. Add approximately five volumes of complete culture medium relative to the volume of trypsin–ethylenediaminetetraacetic acid solution to terminate enzymatic activity. Pipette the suspension gently to obtain a single-cell suspension.</w:t>
      </w:r>
    </w:p>
    <w:p w14:paraId="689693C7" w14:textId="77777777" w:rsidR="00123674" w:rsidRPr="005E7D8B" w:rsidRDefault="00123674" w:rsidP="00025BD8">
      <w:pPr>
        <w:pBdr>
          <w:top w:val="nil"/>
          <w:left w:val="nil"/>
          <w:bottom w:val="nil"/>
          <w:right w:val="nil"/>
          <w:between w:val="nil"/>
        </w:pBdr>
        <w:rPr>
          <w:color w:val="000000" w:themeColor="text1"/>
          <w:lang w:val="en-IN"/>
        </w:rPr>
      </w:pPr>
    </w:p>
    <w:p w14:paraId="57CBFFEA" w14:textId="5A2DABD5"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1.1.6. Transfer the cell suspension to a 15 mL centrifuge tube. Centrifuge the suspension at 300 × </w:t>
      </w:r>
      <w:r w:rsidRPr="005E7D8B">
        <w:rPr>
          <w:i/>
          <w:iCs/>
          <w:color w:val="000000" w:themeColor="text1"/>
          <w:lang w:val="en-IN"/>
        </w:rPr>
        <w:t>g</w:t>
      </w:r>
      <w:r w:rsidRPr="005E7D8B">
        <w:rPr>
          <w:color w:val="000000" w:themeColor="text1"/>
          <w:lang w:val="en-IN"/>
        </w:rPr>
        <w:t xml:space="preserve"> for 5 min</w:t>
      </w:r>
      <w:r w:rsidR="009F0B4F">
        <w:rPr>
          <w:color w:val="000000" w:themeColor="text1"/>
          <w:lang w:val="en-IN"/>
        </w:rPr>
        <w:t xml:space="preserve"> at 25</w:t>
      </w:r>
      <w:r w:rsidR="002B7882">
        <w:rPr>
          <w:color w:val="000000" w:themeColor="text1"/>
          <w:lang w:val="en-IN"/>
        </w:rPr>
        <w:t xml:space="preserve"> </w:t>
      </w:r>
      <w:r w:rsidR="002B7882" w:rsidRPr="005E7D8B">
        <w:rPr>
          <w:color w:val="000000" w:themeColor="text1"/>
          <w:lang w:val="en-IN"/>
        </w:rPr>
        <w:t>°C</w:t>
      </w:r>
      <w:r w:rsidRPr="005E7D8B">
        <w:rPr>
          <w:color w:val="000000" w:themeColor="text1"/>
          <w:lang w:val="en-IN"/>
        </w:rPr>
        <w:t>.</w:t>
      </w:r>
    </w:p>
    <w:p w14:paraId="47FE2823" w14:textId="77777777" w:rsidR="00123674" w:rsidRPr="005E7D8B" w:rsidRDefault="00123674" w:rsidP="00025BD8">
      <w:pPr>
        <w:pBdr>
          <w:top w:val="nil"/>
          <w:left w:val="nil"/>
          <w:bottom w:val="nil"/>
          <w:right w:val="nil"/>
          <w:between w:val="nil"/>
        </w:pBdr>
        <w:rPr>
          <w:color w:val="000000" w:themeColor="text1"/>
          <w:lang w:val="en-IN"/>
        </w:rPr>
      </w:pPr>
    </w:p>
    <w:p w14:paraId="48258AC6" w14:textId="300D1922"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1.1.7. Aspirate the supernatant carefully and resuspend the cell pellet in fresh culture medium. </w:t>
      </w:r>
      <w:r w:rsidR="00744F88">
        <w:rPr>
          <w:color w:val="000000" w:themeColor="text1"/>
          <w:lang w:val="en-IN"/>
        </w:rPr>
        <w:t>Gently triturate the suspension and confirm the presence of a single-cell suspension under</w:t>
      </w:r>
      <w:r w:rsidRPr="005E7D8B">
        <w:rPr>
          <w:color w:val="000000" w:themeColor="text1"/>
          <w:lang w:val="en-IN"/>
        </w:rPr>
        <w:t xml:space="preserve"> an inverted light microscope.</w:t>
      </w:r>
    </w:p>
    <w:p w14:paraId="53284383" w14:textId="77777777" w:rsidR="006921B3" w:rsidRPr="005E7D8B" w:rsidRDefault="006921B3" w:rsidP="00025BD8">
      <w:pPr>
        <w:pBdr>
          <w:top w:val="nil"/>
          <w:left w:val="nil"/>
          <w:bottom w:val="nil"/>
          <w:right w:val="nil"/>
          <w:between w:val="nil"/>
        </w:pBdr>
        <w:rPr>
          <w:color w:val="000000" w:themeColor="text1"/>
          <w:lang w:val="en-IN"/>
        </w:rPr>
      </w:pPr>
    </w:p>
    <w:p w14:paraId="6349B4CE"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1.1.8. Count the cells using a hemocytometer and adjust the cell concentration to the density required for the subsequent experiment. Use a routine split ratio of 1:8.</w:t>
      </w:r>
    </w:p>
    <w:p w14:paraId="7B7ABF0A" w14:textId="77777777" w:rsidR="00744F88" w:rsidRPr="005E7D8B" w:rsidRDefault="00744F88" w:rsidP="00025BD8">
      <w:pPr>
        <w:pBdr>
          <w:top w:val="nil"/>
          <w:left w:val="nil"/>
          <w:bottom w:val="nil"/>
          <w:right w:val="nil"/>
          <w:between w:val="nil"/>
        </w:pBdr>
        <w:rPr>
          <w:color w:val="000000" w:themeColor="text1"/>
          <w:lang w:val="en-IN"/>
        </w:rPr>
      </w:pPr>
    </w:p>
    <w:p w14:paraId="1DAA2BBD" w14:textId="5E6361E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NOTE: Refer to </w:t>
      </w:r>
      <w:r w:rsidRPr="005351FE">
        <w:rPr>
          <w:b/>
          <w:bCs/>
          <w:color w:val="000000" w:themeColor="text1"/>
          <w:lang w:val="en-IN"/>
        </w:rPr>
        <w:t xml:space="preserve">Supplementary </w:t>
      </w:r>
      <w:r w:rsidR="00A37082">
        <w:rPr>
          <w:b/>
          <w:bCs/>
          <w:color w:val="000000" w:themeColor="text1"/>
          <w:lang w:val="en-IN"/>
        </w:rPr>
        <w:t>Table</w:t>
      </w:r>
      <w:r w:rsidR="00A22ED3" w:rsidRPr="005351FE">
        <w:rPr>
          <w:b/>
          <w:bCs/>
          <w:color w:val="000000" w:themeColor="text1"/>
          <w:lang w:val="en-IN"/>
        </w:rPr>
        <w:t xml:space="preserve"> </w:t>
      </w:r>
      <w:r w:rsidRPr="005351FE">
        <w:rPr>
          <w:b/>
          <w:bCs/>
          <w:color w:val="000000" w:themeColor="text1"/>
          <w:lang w:val="en-IN"/>
        </w:rPr>
        <w:t>1</w:t>
      </w:r>
      <w:r w:rsidRPr="005E7D8B">
        <w:rPr>
          <w:color w:val="000000" w:themeColor="text1"/>
          <w:lang w:val="en-IN"/>
        </w:rPr>
        <w:t xml:space="preserve"> </w:t>
      </w:r>
      <w:r w:rsidR="00A37082">
        <w:rPr>
          <w:color w:val="000000" w:themeColor="text1"/>
          <w:lang w:val="en-IN"/>
        </w:rPr>
        <w:t xml:space="preserve">and </w:t>
      </w:r>
      <w:r w:rsidR="00A37082" w:rsidRPr="005351FE">
        <w:rPr>
          <w:b/>
          <w:bCs/>
          <w:color w:val="000000" w:themeColor="text1"/>
          <w:lang w:val="en-IN"/>
        </w:rPr>
        <w:t xml:space="preserve">Supplementary </w:t>
      </w:r>
      <w:r w:rsidR="00A37082">
        <w:rPr>
          <w:b/>
          <w:bCs/>
          <w:color w:val="000000" w:themeColor="text1"/>
          <w:lang w:val="en-IN"/>
        </w:rPr>
        <w:t>Table</w:t>
      </w:r>
      <w:r w:rsidR="00A37082" w:rsidRPr="005351FE">
        <w:rPr>
          <w:b/>
          <w:bCs/>
          <w:color w:val="000000" w:themeColor="text1"/>
          <w:lang w:val="en-IN"/>
        </w:rPr>
        <w:t xml:space="preserve"> </w:t>
      </w:r>
      <w:r w:rsidR="00A37082">
        <w:rPr>
          <w:b/>
          <w:bCs/>
          <w:color w:val="000000" w:themeColor="text1"/>
          <w:lang w:val="en-IN"/>
        </w:rPr>
        <w:t xml:space="preserve">2 </w:t>
      </w:r>
      <w:r w:rsidRPr="005E7D8B">
        <w:rPr>
          <w:color w:val="000000" w:themeColor="text1"/>
          <w:lang w:val="en-IN"/>
        </w:rPr>
        <w:t>for the growth areas of the culture vessels and the corresponding volumes of phosphate-buffered saline and trypsin–ethylenediaminetetraacetic acid solution.</w:t>
      </w:r>
    </w:p>
    <w:p w14:paraId="1671FFA5" w14:textId="77777777" w:rsidR="005351FE" w:rsidRPr="005E7D8B" w:rsidRDefault="005351FE" w:rsidP="00025BD8">
      <w:pPr>
        <w:pBdr>
          <w:top w:val="nil"/>
          <w:left w:val="nil"/>
          <w:bottom w:val="nil"/>
          <w:right w:val="nil"/>
          <w:between w:val="nil"/>
        </w:pBdr>
        <w:rPr>
          <w:color w:val="000000" w:themeColor="text1"/>
          <w:lang w:val="en-IN"/>
        </w:rPr>
      </w:pPr>
    </w:p>
    <w:p w14:paraId="245CB087" w14:textId="77777777" w:rsidR="00025BD8" w:rsidRDefault="00EC36AF" w:rsidP="00025BD8">
      <w:pPr>
        <w:pBdr>
          <w:top w:val="nil"/>
          <w:left w:val="nil"/>
          <w:bottom w:val="nil"/>
          <w:right w:val="nil"/>
          <w:between w:val="nil"/>
        </w:pBdr>
        <w:rPr>
          <w:color w:val="000000" w:themeColor="text1"/>
          <w:lang w:val="en-IN"/>
        </w:rPr>
      </w:pPr>
      <w:r w:rsidRPr="00076355">
        <w:rPr>
          <w:color w:val="000000" w:themeColor="text1"/>
          <w:highlight w:val="yellow"/>
          <w:lang w:val="en-IN"/>
        </w:rPr>
        <w:t>1.2. Determination of puromycin-induced cytotoxicity</w:t>
      </w:r>
    </w:p>
    <w:p w14:paraId="7433138B" w14:textId="77777777" w:rsidR="005351FE" w:rsidRPr="005E7D8B" w:rsidRDefault="005351FE" w:rsidP="00025BD8">
      <w:pPr>
        <w:pBdr>
          <w:top w:val="nil"/>
          <w:left w:val="nil"/>
          <w:bottom w:val="nil"/>
          <w:right w:val="nil"/>
          <w:between w:val="nil"/>
        </w:pBdr>
        <w:rPr>
          <w:color w:val="000000" w:themeColor="text1"/>
          <w:lang w:val="en-IN"/>
        </w:rPr>
      </w:pPr>
    </w:p>
    <w:p w14:paraId="12ECEDBB" w14:textId="77777777" w:rsidR="00025BD8" w:rsidRDefault="00EC36AF" w:rsidP="00025BD8">
      <w:pPr>
        <w:pBdr>
          <w:top w:val="nil"/>
          <w:left w:val="nil"/>
          <w:bottom w:val="nil"/>
          <w:right w:val="nil"/>
          <w:between w:val="nil"/>
        </w:pBdr>
        <w:rPr>
          <w:color w:val="000000" w:themeColor="text1"/>
          <w:lang w:val="en-IN"/>
        </w:rPr>
      </w:pPr>
      <w:r w:rsidRPr="00E32CE9">
        <w:rPr>
          <w:color w:val="000000" w:themeColor="text1"/>
          <w:highlight w:val="yellow"/>
          <w:lang w:val="en-IN"/>
        </w:rPr>
        <w:t>NOTE: Select the antibiotic according to the resistance gene encoded by the lentiviral construct.</w:t>
      </w:r>
    </w:p>
    <w:p w14:paraId="091986DD" w14:textId="77777777" w:rsidR="005351FE" w:rsidRPr="005E7D8B" w:rsidRDefault="005351FE" w:rsidP="00025BD8">
      <w:pPr>
        <w:pBdr>
          <w:top w:val="nil"/>
          <w:left w:val="nil"/>
          <w:bottom w:val="nil"/>
          <w:right w:val="nil"/>
          <w:between w:val="nil"/>
        </w:pBdr>
        <w:rPr>
          <w:color w:val="000000" w:themeColor="text1"/>
          <w:lang w:val="en-IN"/>
        </w:rPr>
      </w:pPr>
    </w:p>
    <w:p w14:paraId="2668EBBD" w14:textId="33C16B7D" w:rsidR="00025BD8" w:rsidRDefault="00EC36AF" w:rsidP="00025BD8">
      <w:pPr>
        <w:pBdr>
          <w:top w:val="nil"/>
          <w:left w:val="nil"/>
          <w:bottom w:val="nil"/>
          <w:right w:val="nil"/>
          <w:between w:val="nil"/>
        </w:pBdr>
        <w:rPr>
          <w:color w:val="000000" w:themeColor="text1"/>
          <w:lang w:val="en-IN"/>
        </w:rPr>
      </w:pPr>
      <w:r w:rsidRPr="00E32CE9">
        <w:rPr>
          <w:color w:val="000000" w:themeColor="text1"/>
          <w:highlight w:val="yellow"/>
          <w:lang w:val="en-IN"/>
        </w:rPr>
        <w:t>1.2.1. Seed the 16HBE14o</w:t>
      </w:r>
      <w:r w:rsidRPr="00E32CE9">
        <w:rPr>
          <w:color w:val="000000" w:themeColor="text1"/>
          <w:highlight w:val="yellow"/>
          <w:vertAlign w:val="superscript"/>
          <w:lang w:val="en-IN"/>
        </w:rPr>
        <w:t>−</w:t>
      </w:r>
      <w:r w:rsidRPr="00E32CE9">
        <w:rPr>
          <w:color w:val="000000" w:themeColor="text1"/>
          <w:highlight w:val="yellow"/>
          <w:lang w:val="en-IN"/>
        </w:rPr>
        <w:t xml:space="preserve"> cells at 2 × 10</w:t>
      </w:r>
      <w:r w:rsidR="00290C15" w:rsidRPr="00E32CE9">
        <w:rPr>
          <w:color w:val="000000" w:themeColor="text1"/>
          <w:highlight w:val="yellow"/>
          <w:vertAlign w:val="superscript"/>
          <w:lang w:val="en-IN"/>
        </w:rPr>
        <w:t>4</w:t>
      </w:r>
      <w:r w:rsidRPr="00E32CE9">
        <w:rPr>
          <w:color w:val="000000" w:themeColor="text1"/>
          <w:highlight w:val="yellow"/>
          <w:lang w:val="en-IN"/>
        </w:rPr>
        <w:t xml:space="preserve"> cells per well in a 96-well culture plate</w:t>
      </w:r>
      <w:r w:rsidRPr="005E7D8B">
        <w:rPr>
          <w:color w:val="000000" w:themeColor="text1"/>
          <w:lang w:val="en-IN"/>
        </w:rPr>
        <w:t xml:space="preserve"> containing 100 µL of complete culture medium per well. </w:t>
      </w:r>
      <w:r w:rsidRPr="00E32CE9">
        <w:rPr>
          <w:color w:val="000000" w:themeColor="text1"/>
          <w:highlight w:val="yellow"/>
          <w:lang w:val="en-IN"/>
        </w:rPr>
        <w:t>Incubate the cells overnight.</w:t>
      </w:r>
    </w:p>
    <w:p w14:paraId="2B25D73F" w14:textId="77777777" w:rsidR="005351FE" w:rsidRPr="005E7D8B" w:rsidRDefault="005351FE" w:rsidP="00025BD8">
      <w:pPr>
        <w:pBdr>
          <w:top w:val="nil"/>
          <w:left w:val="nil"/>
          <w:bottom w:val="nil"/>
          <w:right w:val="nil"/>
          <w:between w:val="nil"/>
        </w:pBdr>
        <w:rPr>
          <w:color w:val="000000" w:themeColor="text1"/>
          <w:lang w:val="en-IN"/>
        </w:rPr>
      </w:pPr>
    </w:p>
    <w:p w14:paraId="22286C1B" w14:textId="74137CE6"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1.2.2. </w:t>
      </w:r>
      <w:r w:rsidRPr="00E32CE9">
        <w:rPr>
          <w:color w:val="000000" w:themeColor="text1"/>
          <w:highlight w:val="yellow"/>
          <w:lang w:val="en-IN"/>
        </w:rPr>
        <w:t>Replace the culture medium with fresh medium containing puromycin at final concentrations of 0.5, 1, 2, or 4 µg/mL. Prepare separate plates for the 24</w:t>
      </w:r>
      <w:r w:rsidR="00290C15" w:rsidRPr="00E32CE9">
        <w:rPr>
          <w:color w:val="000000" w:themeColor="text1"/>
          <w:highlight w:val="yellow"/>
          <w:lang w:val="en-IN"/>
        </w:rPr>
        <w:t>-, 48-, and 72-h</w:t>
      </w:r>
      <w:r w:rsidRPr="00E32CE9">
        <w:rPr>
          <w:color w:val="000000" w:themeColor="text1"/>
          <w:highlight w:val="yellow"/>
          <w:lang w:val="en-IN"/>
        </w:rPr>
        <w:t xml:space="preserve"> time points.</w:t>
      </w:r>
    </w:p>
    <w:p w14:paraId="36658866" w14:textId="77777777" w:rsidR="005351FE" w:rsidRPr="005E7D8B" w:rsidRDefault="005351FE" w:rsidP="00025BD8">
      <w:pPr>
        <w:pBdr>
          <w:top w:val="nil"/>
          <w:left w:val="nil"/>
          <w:bottom w:val="nil"/>
          <w:right w:val="nil"/>
          <w:between w:val="nil"/>
        </w:pBdr>
        <w:rPr>
          <w:color w:val="000000" w:themeColor="text1"/>
          <w:lang w:val="en-IN"/>
        </w:rPr>
      </w:pPr>
    </w:p>
    <w:p w14:paraId="03C8155D"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1.2.3. </w:t>
      </w:r>
      <w:r w:rsidRPr="005B1CC6">
        <w:rPr>
          <w:color w:val="000000" w:themeColor="text1"/>
          <w:highlight w:val="yellow"/>
          <w:lang w:val="en-IN"/>
        </w:rPr>
        <w:t>Add 5 µL of cell-counting reagent to each well. Incubate the plate for 1 h at 37 °C.</w:t>
      </w:r>
    </w:p>
    <w:p w14:paraId="43E206E6" w14:textId="77777777" w:rsidR="00BF6404" w:rsidRPr="005E7D8B" w:rsidRDefault="00BF6404" w:rsidP="00025BD8">
      <w:pPr>
        <w:pBdr>
          <w:top w:val="nil"/>
          <w:left w:val="nil"/>
          <w:bottom w:val="nil"/>
          <w:right w:val="nil"/>
          <w:between w:val="nil"/>
        </w:pBdr>
        <w:rPr>
          <w:color w:val="000000" w:themeColor="text1"/>
          <w:lang w:val="en-IN"/>
        </w:rPr>
      </w:pPr>
    </w:p>
    <w:p w14:paraId="2DE84430" w14:textId="64A9BE9E" w:rsidR="00025BD8" w:rsidRDefault="00EC36AF" w:rsidP="00025BD8">
      <w:pPr>
        <w:pBdr>
          <w:top w:val="nil"/>
          <w:left w:val="nil"/>
          <w:bottom w:val="nil"/>
          <w:right w:val="nil"/>
          <w:between w:val="nil"/>
        </w:pBdr>
        <w:rPr>
          <w:color w:val="000000" w:themeColor="text1"/>
          <w:lang w:val="en-IN"/>
        </w:rPr>
      </w:pPr>
      <w:r w:rsidRPr="00175F1E">
        <w:rPr>
          <w:color w:val="000000" w:themeColor="text1"/>
          <w:highlight w:val="yellow"/>
          <w:lang w:val="en-IN"/>
        </w:rPr>
        <w:t>NOTE: Avoid introducing air bubbles into the wells</w:t>
      </w:r>
      <w:r w:rsidR="005351FE" w:rsidRPr="00175F1E">
        <w:rPr>
          <w:color w:val="000000" w:themeColor="text1"/>
          <w:highlight w:val="yellow"/>
          <w:lang w:val="en-IN"/>
        </w:rPr>
        <w:t>, as they</w:t>
      </w:r>
      <w:r w:rsidRPr="00175F1E">
        <w:rPr>
          <w:color w:val="000000" w:themeColor="text1"/>
          <w:highlight w:val="yellow"/>
          <w:lang w:val="en-IN"/>
        </w:rPr>
        <w:t xml:space="preserve"> may interfere with absorbance measurements.</w:t>
      </w:r>
    </w:p>
    <w:p w14:paraId="5A4EF2BF" w14:textId="77777777" w:rsidR="00853957" w:rsidRPr="005E7D8B" w:rsidRDefault="00853957" w:rsidP="00025BD8">
      <w:pPr>
        <w:pBdr>
          <w:top w:val="nil"/>
          <w:left w:val="nil"/>
          <w:bottom w:val="nil"/>
          <w:right w:val="nil"/>
          <w:between w:val="nil"/>
        </w:pBdr>
        <w:rPr>
          <w:color w:val="000000" w:themeColor="text1"/>
          <w:lang w:val="en-IN"/>
        </w:rPr>
      </w:pPr>
    </w:p>
    <w:p w14:paraId="428CB024"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1.2.4. </w:t>
      </w:r>
      <w:r w:rsidRPr="005B1CC6">
        <w:rPr>
          <w:color w:val="000000" w:themeColor="text1"/>
          <w:highlight w:val="yellow"/>
          <w:lang w:val="en-IN"/>
        </w:rPr>
        <w:t>Measure the absorbance at 450 nm using 650 nm as the reference wavelength. Shake the plate for 15 s immediately before recording the absorbance</w:t>
      </w:r>
      <w:r w:rsidRPr="005E7D8B">
        <w:rPr>
          <w:color w:val="000000" w:themeColor="text1"/>
          <w:lang w:val="en-IN"/>
        </w:rPr>
        <w:t xml:space="preserve"> in endpoint mode.</w:t>
      </w:r>
    </w:p>
    <w:p w14:paraId="41717F92" w14:textId="77777777" w:rsidR="00853957" w:rsidRPr="005E7D8B" w:rsidRDefault="00853957" w:rsidP="00025BD8">
      <w:pPr>
        <w:pBdr>
          <w:top w:val="nil"/>
          <w:left w:val="nil"/>
          <w:bottom w:val="nil"/>
          <w:right w:val="nil"/>
          <w:between w:val="nil"/>
        </w:pBdr>
        <w:rPr>
          <w:color w:val="000000" w:themeColor="text1"/>
          <w:lang w:val="en-IN"/>
        </w:rPr>
      </w:pPr>
    </w:p>
    <w:p w14:paraId="2A4E3297" w14:textId="000211F4"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1.2.5. </w:t>
      </w:r>
      <w:r w:rsidRPr="005B1CC6">
        <w:rPr>
          <w:color w:val="000000" w:themeColor="text1"/>
          <w:highlight w:val="yellow"/>
          <w:lang w:val="en-IN"/>
        </w:rPr>
        <w:t>Calculate cell viability</w:t>
      </w:r>
      <w:r w:rsidR="00B21345" w:rsidRPr="005B1CC6">
        <w:rPr>
          <w:color w:val="000000" w:themeColor="text1"/>
          <w:highlight w:val="yellow"/>
          <w:vertAlign w:val="superscript"/>
          <w:lang w:val="en-IN"/>
        </w:rPr>
        <w:t>14</w:t>
      </w:r>
      <w:r w:rsidRPr="005E7D8B">
        <w:rPr>
          <w:color w:val="000000" w:themeColor="text1"/>
          <w:lang w:val="en-IN"/>
        </w:rPr>
        <w:t xml:space="preserve"> using Equation 1.</w:t>
      </w:r>
    </w:p>
    <w:p w14:paraId="06A5C528" w14:textId="77777777" w:rsidR="00853957" w:rsidRPr="005E7D8B" w:rsidRDefault="00853957" w:rsidP="00025BD8">
      <w:pPr>
        <w:pBdr>
          <w:top w:val="nil"/>
          <w:left w:val="nil"/>
          <w:bottom w:val="nil"/>
          <w:right w:val="nil"/>
          <w:between w:val="nil"/>
        </w:pBdr>
        <w:rPr>
          <w:color w:val="000000" w:themeColor="text1"/>
          <w:lang w:val="en-IN"/>
        </w:rPr>
      </w:pPr>
    </w:p>
    <w:p w14:paraId="14F798B5" w14:textId="4788EEEF" w:rsidR="00025BD8" w:rsidRPr="005E7D8B" w:rsidRDefault="00EC36AF" w:rsidP="00025BD8">
      <w:pPr>
        <w:pBdr>
          <w:top w:val="nil"/>
          <w:left w:val="nil"/>
          <w:bottom w:val="nil"/>
          <w:right w:val="nil"/>
          <w:between w:val="nil"/>
        </w:pBdr>
        <w:rPr>
          <w:color w:val="000000" w:themeColor="text1"/>
          <w:lang w:val="en-IN"/>
        </w:rPr>
      </w:pPr>
      <m:oMathPara>
        <m:oMath>
          <m:m>
            <m:mPr>
              <m:plcHide m:val="1"/>
              <m:mcs>
                <m:mc>
                  <m:mcPr>
                    <m:count m:val="4"/>
                    <m:mcJc m:val="center"/>
                  </m:mcPr>
                </m:mc>
              </m:mcs>
              <m:ctrlPr>
                <w:rPr>
                  <w:rFonts w:ascii="Cambria Math" w:hAnsi="Cambria Math" w:cstheme="majorHAnsi"/>
                  <w:color w:val="000000" w:themeColor="text1"/>
                  <w:lang w:val="en-IN"/>
                </w:rPr>
              </m:ctrlPr>
            </m:mPr>
            <m:mr>
              <m:e/>
              <m:e>
                <m:r>
                  <m:rPr>
                    <m:sty m:val="p"/>
                  </m:rPr>
                  <w:rPr>
                    <w:rFonts w:ascii="Cambria Math" w:hAnsi="Cambria Math" w:cstheme="majorHAnsi"/>
                    <w:color w:val="000000" w:themeColor="text1"/>
                    <w:lang w:val="en-IN"/>
                  </w:rPr>
                  <m:t>Cell</m:t>
                </m:r>
                <m:r>
                  <m:rPr>
                    <m:nor/>
                  </m:rPr>
                  <w:rPr>
                    <w:rFonts w:asciiTheme="majorHAnsi" w:hAnsiTheme="majorHAnsi" w:cstheme="majorHAnsi"/>
                    <w:color w:val="000000" w:themeColor="text1"/>
                    <w:lang w:val="en-IN"/>
                  </w:rPr>
                  <m:t> </m:t>
                </m:r>
                <m:r>
                  <m:rPr>
                    <m:sty m:val="p"/>
                  </m:rPr>
                  <w:rPr>
                    <w:rFonts w:ascii="Cambria Math" w:hAnsi="Cambria Math" w:cstheme="majorHAnsi"/>
                    <w:color w:val="000000" w:themeColor="text1"/>
                    <w:lang w:val="en-IN"/>
                  </w:rPr>
                  <m:t>viability</m:t>
                </m:r>
                <m:r>
                  <m:rPr>
                    <m:nor/>
                  </m:rPr>
                  <w:rPr>
                    <w:rFonts w:asciiTheme="majorHAnsi" w:hAnsiTheme="majorHAnsi" w:cstheme="majorHAnsi"/>
                    <w:color w:val="000000" w:themeColor="text1"/>
                    <w:lang w:val="en-IN"/>
                  </w:rPr>
                  <m:t> </m:t>
                </m:r>
                <m:d>
                  <m:dPr>
                    <m:ctrlPr>
                      <w:rPr>
                        <w:rFonts w:ascii="Cambria Math" w:hAnsi="Cambria Math" w:cstheme="majorHAnsi"/>
                        <w:color w:val="000000" w:themeColor="text1"/>
                        <w:lang w:val="en-IN"/>
                      </w:rPr>
                    </m:ctrlPr>
                  </m:dPr>
                  <m:e>
                    <m:r>
                      <w:rPr>
                        <w:rFonts w:ascii="Cambria Math" w:hAnsi="Cambria Math" w:cstheme="majorHAnsi"/>
                        <w:color w:val="000000" w:themeColor="text1"/>
                        <w:lang w:val="en-IN"/>
                      </w:rPr>
                      <m:t>%</m:t>
                    </m:r>
                  </m:e>
                </m:d>
                <m:r>
                  <w:rPr>
                    <w:rFonts w:ascii="Cambria Math" w:hAnsi="Cambria Math" w:cstheme="majorHAnsi"/>
                    <w:color w:val="000000" w:themeColor="text1"/>
                    <w:lang w:val="en-IN"/>
                  </w:rPr>
                  <m:t>=</m:t>
                </m:r>
                <m:f>
                  <m:fPr>
                    <m:ctrlPr>
                      <w:rPr>
                        <w:rFonts w:ascii="Cambria Math" w:hAnsi="Cambria Math" w:cstheme="majorHAnsi"/>
                        <w:color w:val="000000" w:themeColor="text1"/>
                        <w:lang w:val="en-IN"/>
                      </w:rPr>
                    </m:ctrlPr>
                  </m:fPr>
                  <m:num>
                    <m:sSub>
                      <m:sSubPr>
                        <m:ctrlPr>
                          <w:rPr>
                            <w:rFonts w:ascii="Cambria Math" w:hAnsi="Cambria Math" w:cstheme="majorHAnsi"/>
                            <w:color w:val="000000" w:themeColor="text1"/>
                            <w:lang w:val="en-IN"/>
                          </w:rPr>
                        </m:ctrlPr>
                      </m:sSubPr>
                      <m:e>
                        <m:r>
                          <m:rPr>
                            <m:sty m:val="p"/>
                          </m:rPr>
                          <w:rPr>
                            <w:rFonts w:ascii="Cambria Math" w:hAnsi="Cambria Math" w:cstheme="majorHAnsi"/>
                            <w:color w:val="000000" w:themeColor="text1"/>
                            <w:lang w:val="en-IN"/>
                          </w:rPr>
                          <m:t>OD</m:t>
                        </m:r>
                      </m:e>
                      <m:sub>
                        <m:r>
                          <w:rPr>
                            <w:rFonts w:ascii="Cambria Math" w:hAnsi="Cambria Math" w:cstheme="majorHAnsi"/>
                            <w:color w:val="000000" w:themeColor="text1"/>
                            <w:lang w:val="en-IN"/>
                          </w:rPr>
                          <m:t>450-650,</m:t>
                        </m:r>
                        <m:r>
                          <m:rPr>
                            <m:sty m:val="p"/>
                          </m:rPr>
                          <w:rPr>
                            <w:rFonts w:ascii="Cambria Math" w:hAnsi="Cambria Math" w:cstheme="majorHAnsi"/>
                            <w:color w:val="000000" w:themeColor="text1"/>
                            <w:lang w:val="en-IN"/>
                          </w:rPr>
                          <m:t>sample</m:t>
                        </m:r>
                      </m:sub>
                    </m:sSub>
                    <m:r>
                      <w:rPr>
                        <w:rFonts w:ascii="Cambria Math" w:hAnsi="Cambria Math" w:cstheme="majorHAnsi"/>
                        <w:color w:val="000000" w:themeColor="text1"/>
                        <w:lang w:val="en-IN"/>
                      </w:rPr>
                      <m:t>-</m:t>
                    </m:r>
                    <m:sSub>
                      <m:sSubPr>
                        <m:ctrlPr>
                          <w:rPr>
                            <w:rFonts w:ascii="Cambria Math" w:hAnsi="Cambria Math" w:cstheme="majorHAnsi"/>
                            <w:color w:val="000000" w:themeColor="text1"/>
                            <w:lang w:val="en-IN"/>
                          </w:rPr>
                        </m:ctrlPr>
                      </m:sSubPr>
                      <m:e>
                        <m:r>
                          <m:rPr>
                            <m:sty m:val="p"/>
                          </m:rPr>
                          <w:rPr>
                            <w:rFonts w:ascii="Cambria Math" w:hAnsi="Cambria Math" w:cstheme="majorHAnsi"/>
                            <w:color w:val="000000" w:themeColor="text1"/>
                            <w:lang w:val="en-IN"/>
                          </w:rPr>
                          <m:t>OD</m:t>
                        </m:r>
                      </m:e>
                      <m:sub>
                        <m:r>
                          <w:rPr>
                            <w:rFonts w:ascii="Cambria Math" w:hAnsi="Cambria Math" w:cstheme="majorHAnsi"/>
                            <w:color w:val="000000" w:themeColor="text1"/>
                            <w:lang w:val="en-IN"/>
                          </w:rPr>
                          <m:t>450-650,</m:t>
                        </m:r>
                        <m:r>
                          <m:rPr>
                            <m:sty m:val="p"/>
                          </m:rPr>
                          <w:rPr>
                            <w:rFonts w:ascii="Cambria Math" w:hAnsi="Cambria Math" w:cstheme="majorHAnsi"/>
                            <w:color w:val="000000" w:themeColor="text1"/>
                            <w:lang w:val="en-IN"/>
                          </w:rPr>
                          <m:t>blank</m:t>
                        </m:r>
                      </m:sub>
                    </m:sSub>
                  </m:num>
                  <m:den>
                    <m:sSub>
                      <m:sSubPr>
                        <m:ctrlPr>
                          <w:rPr>
                            <w:rFonts w:ascii="Cambria Math" w:hAnsi="Cambria Math" w:cstheme="majorHAnsi"/>
                            <w:color w:val="000000" w:themeColor="text1"/>
                            <w:lang w:val="en-IN"/>
                          </w:rPr>
                        </m:ctrlPr>
                      </m:sSubPr>
                      <m:e>
                        <m:r>
                          <m:rPr>
                            <m:sty m:val="p"/>
                          </m:rPr>
                          <w:rPr>
                            <w:rFonts w:ascii="Cambria Math" w:hAnsi="Cambria Math" w:cstheme="majorHAnsi"/>
                            <w:color w:val="000000" w:themeColor="text1"/>
                            <w:lang w:val="en-IN"/>
                          </w:rPr>
                          <m:t>OD</m:t>
                        </m:r>
                      </m:e>
                      <m:sub>
                        <m:r>
                          <w:rPr>
                            <w:rFonts w:ascii="Cambria Math" w:hAnsi="Cambria Math" w:cstheme="majorHAnsi"/>
                            <w:color w:val="000000" w:themeColor="text1"/>
                            <w:lang w:val="en-IN"/>
                          </w:rPr>
                          <m:t>450-650,</m:t>
                        </m:r>
                        <m:r>
                          <m:rPr>
                            <m:sty m:val="p"/>
                          </m:rPr>
                          <w:rPr>
                            <w:rFonts w:ascii="Cambria Math" w:hAnsi="Cambria Math" w:cstheme="majorHAnsi"/>
                            <w:color w:val="000000" w:themeColor="text1"/>
                            <w:lang w:val="en-IN"/>
                          </w:rPr>
                          <m:t>control</m:t>
                        </m:r>
                      </m:sub>
                    </m:sSub>
                    <m:r>
                      <w:rPr>
                        <w:rFonts w:ascii="Cambria Math" w:hAnsi="Cambria Math" w:cstheme="majorHAnsi"/>
                        <w:color w:val="000000" w:themeColor="text1"/>
                        <w:lang w:val="en-IN"/>
                      </w:rPr>
                      <m:t>-</m:t>
                    </m:r>
                    <m:sSub>
                      <m:sSubPr>
                        <m:ctrlPr>
                          <w:rPr>
                            <w:rFonts w:ascii="Cambria Math" w:hAnsi="Cambria Math" w:cstheme="majorHAnsi"/>
                            <w:color w:val="000000" w:themeColor="text1"/>
                            <w:lang w:val="en-IN"/>
                          </w:rPr>
                        </m:ctrlPr>
                      </m:sSubPr>
                      <m:e>
                        <m:r>
                          <m:rPr>
                            <m:sty m:val="p"/>
                          </m:rPr>
                          <w:rPr>
                            <w:rFonts w:ascii="Cambria Math" w:hAnsi="Cambria Math" w:cstheme="majorHAnsi"/>
                            <w:color w:val="000000" w:themeColor="text1"/>
                            <w:lang w:val="en-IN"/>
                          </w:rPr>
                          <m:t>OD</m:t>
                        </m:r>
                      </m:e>
                      <m:sub>
                        <m:r>
                          <w:rPr>
                            <w:rFonts w:ascii="Cambria Math" w:hAnsi="Cambria Math" w:cstheme="majorHAnsi"/>
                            <w:color w:val="000000" w:themeColor="text1"/>
                            <w:lang w:val="en-IN"/>
                          </w:rPr>
                          <m:t>450-650,</m:t>
                        </m:r>
                        <m:r>
                          <m:rPr>
                            <m:sty m:val="p"/>
                          </m:rPr>
                          <w:rPr>
                            <w:rFonts w:ascii="Cambria Math" w:hAnsi="Cambria Math" w:cstheme="majorHAnsi"/>
                            <w:color w:val="000000" w:themeColor="text1"/>
                            <w:lang w:val="en-IN"/>
                          </w:rPr>
                          <m:t>blank</m:t>
                        </m:r>
                      </m:sub>
                    </m:sSub>
                  </m:den>
                </m:f>
                <m:r>
                  <w:rPr>
                    <w:rFonts w:ascii="Cambria Math" w:hAnsi="Cambria Math" w:cstheme="majorHAnsi"/>
                    <w:color w:val="000000" w:themeColor="text1"/>
                    <w:lang w:val="en-IN"/>
                  </w:rPr>
                  <m:t>×100</m:t>
                </m:r>
              </m:e>
              <m:e/>
              <m:e>
                <m:r>
                  <m:rPr>
                    <m:sty m:val="p"/>
                  </m:rPr>
                  <w:rPr>
                    <w:rFonts w:ascii="Cambria Math" w:hAnsi="Cambria Math"/>
                    <w:color w:val="000000" w:themeColor="text1"/>
                    <w:lang w:val="en-IN"/>
                  </w:rPr>
                  <m:t>(1)</m:t>
                </m:r>
              </m:e>
            </m:mr>
          </m:m>
          <m:r>
            <m:rPr>
              <m:sty m:val="p"/>
            </m:rPr>
            <w:rPr>
              <w:rFonts w:ascii="Cambria Math" w:hAnsi="Cambria Math" w:cstheme="majorHAnsi"/>
              <w:color w:val="000000" w:themeColor="text1"/>
              <w:lang w:val="en-IN"/>
            </w:rPr>
            <w:br/>
          </m:r>
        </m:oMath>
      </m:oMathPara>
    </w:p>
    <w:p w14:paraId="79AA2706" w14:textId="77777777" w:rsidR="00025BD8" w:rsidRPr="005E7D8B" w:rsidRDefault="00EC36AF" w:rsidP="00025BD8">
      <w:pPr>
        <w:pBdr>
          <w:top w:val="nil"/>
          <w:left w:val="nil"/>
          <w:bottom w:val="nil"/>
          <w:right w:val="nil"/>
          <w:between w:val="nil"/>
        </w:pBdr>
        <w:rPr>
          <w:color w:val="000000" w:themeColor="text1"/>
          <w:lang w:val="en-IN"/>
        </w:rPr>
      </w:pPr>
      <w:r w:rsidRPr="005E7D8B">
        <w:rPr>
          <w:color w:val="000000" w:themeColor="text1"/>
          <w:lang w:val="en-IN"/>
        </w:rPr>
        <w:t>where:</w:t>
      </w:r>
    </w:p>
    <w:p w14:paraId="0FA81821" w14:textId="4B0DF8B4" w:rsidR="00025BD8" w:rsidRPr="005E7D8B" w:rsidRDefault="00EC36AF" w:rsidP="00025BD8">
      <w:pPr>
        <w:pBdr>
          <w:top w:val="nil"/>
          <w:left w:val="nil"/>
          <w:bottom w:val="nil"/>
          <w:right w:val="nil"/>
          <w:between w:val="nil"/>
        </w:pBdr>
        <w:rPr>
          <w:color w:val="000000" w:themeColor="text1"/>
          <w:lang w:val="en-IN"/>
        </w:rPr>
      </w:pPr>
      <m:oMathPara>
        <m:oMath>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450-650,</m:t>
              </m:r>
              <m:r>
                <m:rPr>
                  <m:sty m:val="p"/>
                </m:rPr>
                <w:rPr>
                  <w:rFonts w:ascii="Cambria Math" w:hAnsi="Cambria Math"/>
                  <w:color w:val="000000" w:themeColor="text1"/>
                  <w:lang w:val="en-IN"/>
                </w:rPr>
                <m:t>sample</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450,</m:t>
              </m:r>
              <m:r>
                <m:rPr>
                  <m:sty m:val="p"/>
                </m:rPr>
                <w:rPr>
                  <w:rFonts w:ascii="Cambria Math" w:hAnsi="Cambria Math"/>
                  <w:color w:val="000000" w:themeColor="text1"/>
                  <w:lang w:val="en-IN"/>
                </w:rPr>
                <m:t>sample</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650,</m:t>
              </m:r>
              <m:r>
                <m:rPr>
                  <m:sty m:val="p"/>
                </m:rPr>
                <w:rPr>
                  <w:rFonts w:ascii="Cambria Math" w:hAnsi="Cambria Math"/>
                  <w:color w:val="000000" w:themeColor="text1"/>
                  <w:lang w:val="en-IN"/>
                </w:rPr>
                <m:t>sample</m:t>
              </m:r>
            </m:sub>
          </m:sSub>
          <m:r>
            <m:rPr>
              <m:sty m:val="p"/>
            </m:rPr>
            <w:rPr>
              <w:color w:val="000000" w:themeColor="text1"/>
              <w:lang w:val="en-IN"/>
            </w:rPr>
            <w:br/>
          </m:r>
        </m:oMath>
        <m:oMath>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450-650,</m:t>
              </m:r>
              <m:r>
                <m:rPr>
                  <m:sty m:val="p"/>
                </m:rPr>
                <w:rPr>
                  <w:rFonts w:ascii="Cambria Math" w:hAnsi="Cambria Math"/>
                  <w:color w:val="000000" w:themeColor="text1"/>
                  <w:lang w:val="en-IN"/>
                </w:rPr>
                <m:t>control</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450,</m:t>
              </m:r>
              <m:r>
                <m:rPr>
                  <m:sty m:val="p"/>
                </m:rPr>
                <w:rPr>
                  <w:rFonts w:ascii="Cambria Math" w:hAnsi="Cambria Math"/>
                  <w:color w:val="000000" w:themeColor="text1"/>
                  <w:lang w:val="en-IN"/>
                </w:rPr>
                <m:t>control</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650,</m:t>
              </m:r>
              <m:r>
                <m:rPr>
                  <m:sty m:val="p"/>
                </m:rPr>
                <w:rPr>
                  <w:rFonts w:ascii="Cambria Math" w:hAnsi="Cambria Math"/>
                  <w:color w:val="000000" w:themeColor="text1"/>
                  <w:lang w:val="en-IN"/>
                </w:rPr>
                <m:t>control</m:t>
              </m:r>
            </m:sub>
          </m:sSub>
          <m:r>
            <m:rPr>
              <m:sty m:val="p"/>
            </m:rPr>
            <w:rPr>
              <w:color w:val="000000" w:themeColor="text1"/>
              <w:lang w:val="en-IN"/>
            </w:rPr>
            <w:br/>
          </m:r>
        </m:oMath>
        <m:oMath>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450-650,</m:t>
              </m:r>
              <m:r>
                <m:rPr>
                  <m:sty m:val="p"/>
                </m:rPr>
                <w:rPr>
                  <w:rFonts w:ascii="Cambria Math" w:hAnsi="Cambria Math"/>
                  <w:color w:val="000000" w:themeColor="text1"/>
                  <w:lang w:val="en-IN"/>
                </w:rPr>
                <m:t>blank</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450,</m:t>
              </m:r>
              <m:r>
                <m:rPr>
                  <m:sty m:val="p"/>
                </m:rPr>
                <w:rPr>
                  <w:rFonts w:ascii="Cambria Math" w:hAnsi="Cambria Math"/>
                  <w:color w:val="000000" w:themeColor="text1"/>
                  <w:lang w:val="en-IN"/>
                </w:rPr>
                <m:t>blank</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m:rPr>
                  <m:sty m:val="p"/>
                </m:rPr>
                <w:rPr>
                  <w:rFonts w:ascii="Cambria Math" w:hAnsi="Cambria Math"/>
                  <w:color w:val="000000" w:themeColor="text1"/>
                  <w:lang w:val="en-IN"/>
                </w:rPr>
                <m:t>OD</m:t>
              </m:r>
            </m:e>
            <m:sub>
              <m:r>
                <w:rPr>
                  <w:rFonts w:ascii="Cambria Math" w:hAnsi="Cambria Math"/>
                  <w:color w:val="000000" w:themeColor="text1"/>
                  <w:lang w:val="en-IN"/>
                </w:rPr>
                <m:t>650,</m:t>
              </m:r>
              <m:r>
                <m:rPr>
                  <m:sty m:val="p"/>
                </m:rPr>
                <w:rPr>
                  <w:rFonts w:ascii="Cambria Math" w:hAnsi="Cambria Math"/>
                  <w:color w:val="000000" w:themeColor="text1"/>
                  <w:lang w:val="en-IN"/>
                </w:rPr>
                <m:t>blank</m:t>
              </m:r>
            </m:sub>
          </m:sSub>
          <m:r>
            <m:rPr>
              <m:sty m:val="p"/>
            </m:rPr>
            <w:rPr>
              <w:color w:val="000000" w:themeColor="text1"/>
              <w:lang w:val="en-IN"/>
            </w:rPr>
            <w:br/>
          </m:r>
        </m:oMath>
      </m:oMathPara>
    </w:p>
    <w:p w14:paraId="3EB262B6" w14:textId="45FE5072"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NOTE: Define the control as untreated cells and the blank as cell-free medium containing the assay reagent. Select the lowest puromycin concentration that </w:t>
      </w:r>
      <w:proofErr w:type="gramStart"/>
      <w:r w:rsidRPr="005E7D8B">
        <w:rPr>
          <w:color w:val="000000" w:themeColor="text1"/>
          <w:lang w:val="en-IN"/>
        </w:rPr>
        <w:t>completely eliminates</w:t>
      </w:r>
      <w:proofErr w:type="gramEnd"/>
      <w:r w:rsidRPr="005E7D8B">
        <w:rPr>
          <w:color w:val="000000" w:themeColor="text1"/>
          <w:lang w:val="en-IN"/>
        </w:rPr>
        <w:t xml:space="preserve"> the non-transduced cells within 48–72 h.</w:t>
      </w:r>
      <w:r w:rsidR="00AE14E5">
        <w:rPr>
          <w:color w:val="000000" w:themeColor="text1"/>
          <w:lang w:val="en-IN"/>
        </w:rPr>
        <w:t xml:space="preserve"> </w:t>
      </w:r>
    </w:p>
    <w:p w14:paraId="1CE39CBC" w14:textId="77777777" w:rsidR="00853957" w:rsidRPr="005E7D8B" w:rsidRDefault="00853957" w:rsidP="00025BD8">
      <w:pPr>
        <w:pBdr>
          <w:top w:val="nil"/>
          <w:left w:val="nil"/>
          <w:bottom w:val="nil"/>
          <w:right w:val="nil"/>
          <w:between w:val="nil"/>
        </w:pBdr>
        <w:rPr>
          <w:color w:val="000000" w:themeColor="text1"/>
          <w:lang w:val="en-IN"/>
        </w:rPr>
      </w:pPr>
    </w:p>
    <w:p w14:paraId="5C81A6D9" w14:textId="77777777" w:rsidR="00025BD8" w:rsidRDefault="00EC36AF" w:rsidP="00025BD8">
      <w:pPr>
        <w:pBdr>
          <w:top w:val="nil"/>
          <w:left w:val="nil"/>
          <w:bottom w:val="nil"/>
          <w:right w:val="nil"/>
          <w:between w:val="nil"/>
        </w:pBdr>
        <w:rPr>
          <w:color w:val="000000" w:themeColor="text1"/>
          <w:lang w:val="en-IN"/>
        </w:rPr>
      </w:pPr>
      <w:r w:rsidRPr="00091BC7">
        <w:rPr>
          <w:color w:val="000000" w:themeColor="text1"/>
          <w:highlight w:val="yellow"/>
          <w:lang w:val="en-IN"/>
        </w:rPr>
        <w:t>1.3. Determination of the optimal multiplicity of infection</w:t>
      </w:r>
    </w:p>
    <w:p w14:paraId="6ED0A5C8" w14:textId="77777777" w:rsidR="00853957" w:rsidRPr="005E7D8B" w:rsidRDefault="00853957" w:rsidP="00025BD8">
      <w:pPr>
        <w:pBdr>
          <w:top w:val="nil"/>
          <w:left w:val="nil"/>
          <w:bottom w:val="nil"/>
          <w:right w:val="nil"/>
          <w:between w:val="nil"/>
        </w:pBdr>
        <w:rPr>
          <w:color w:val="000000" w:themeColor="text1"/>
          <w:lang w:val="en-IN"/>
        </w:rPr>
      </w:pPr>
    </w:p>
    <w:p w14:paraId="74EABEA7"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CAUTION: </w:t>
      </w:r>
      <w:r w:rsidRPr="00175F1E">
        <w:rPr>
          <w:color w:val="000000" w:themeColor="text1"/>
          <w:highlight w:val="yellow"/>
          <w:lang w:val="en-IN"/>
        </w:rPr>
        <w:t>Handle lentiviral particles under Biosafety Level 2 conditions</w:t>
      </w:r>
      <w:r w:rsidRPr="005E7D8B">
        <w:rPr>
          <w:color w:val="000000" w:themeColor="text1"/>
          <w:lang w:val="en-IN"/>
        </w:rPr>
        <w:t xml:space="preserve"> in a registered Biosafety Level 2 facility and in accordance with institutional biosafety regulations. Perform all virus manipulations in a Class II biosafety cabinet. Cover virus-contaminated consumables and spills with 10% bleach for at least 1 h before disposal as biohazardous waste.</w:t>
      </w:r>
    </w:p>
    <w:p w14:paraId="00197FAA" w14:textId="77777777" w:rsidR="00853957" w:rsidRPr="005E7D8B" w:rsidRDefault="00853957" w:rsidP="00025BD8">
      <w:pPr>
        <w:pBdr>
          <w:top w:val="nil"/>
          <w:left w:val="nil"/>
          <w:bottom w:val="nil"/>
          <w:right w:val="nil"/>
          <w:between w:val="nil"/>
        </w:pBdr>
        <w:rPr>
          <w:color w:val="000000" w:themeColor="text1"/>
          <w:lang w:val="en-IN"/>
        </w:rPr>
      </w:pPr>
    </w:p>
    <w:p w14:paraId="6CA0F51E"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NOTE: </w:t>
      </w:r>
      <w:r w:rsidRPr="00D64EEC">
        <w:rPr>
          <w:color w:val="000000" w:themeColor="text1"/>
          <w:highlight w:val="yellow"/>
          <w:lang w:val="en-IN"/>
        </w:rPr>
        <w:t>Optimize the multiplicity of infection because it directly affects transduction efficiency</w:t>
      </w:r>
      <w:r w:rsidRPr="005E7D8B">
        <w:rPr>
          <w:color w:val="000000" w:themeColor="text1"/>
          <w:lang w:val="en-IN"/>
        </w:rPr>
        <w:t>.</w:t>
      </w:r>
    </w:p>
    <w:p w14:paraId="5D50C210" w14:textId="77777777" w:rsidR="00853957" w:rsidRPr="005E7D8B" w:rsidRDefault="00853957" w:rsidP="00025BD8">
      <w:pPr>
        <w:pBdr>
          <w:top w:val="nil"/>
          <w:left w:val="nil"/>
          <w:bottom w:val="nil"/>
          <w:right w:val="nil"/>
          <w:between w:val="nil"/>
        </w:pBdr>
        <w:rPr>
          <w:color w:val="000000" w:themeColor="text1"/>
          <w:lang w:val="en-IN"/>
        </w:rPr>
      </w:pPr>
    </w:p>
    <w:p w14:paraId="75E861D4" w14:textId="23403248"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1.3.1. Calculate the required volume of lentiviral stock</w:t>
      </w:r>
      <w:r w:rsidR="00602021">
        <w:rPr>
          <w:color w:val="000000" w:themeColor="text1"/>
          <w:vertAlign w:val="superscript"/>
          <w:lang w:val="en-IN"/>
        </w:rPr>
        <w:t>15</w:t>
      </w:r>
      <w:r w:rsidRPr="005E7D8B">
        <w:rPr>
          <w:color w:val="000000" w:themeColor="text1"/>
          <w:lang w:val="en-IN"/>
        </w:rPr>
        <w:t xml:space="preserve"> using Equation 2.</w:t>
      </w:r>
    </w:p>
    <w:p w14:paraId="3738363D" w14:textId="77777777" w:rsidR="00853957" w:rsidRPr="005E7D8B" w:rsidRDefault="00853957" w:rsidP="00025BD8">
      <w:pPr>
        <w:pBdr>
          <w:top w:val="nil"/>
          <w:left w:val="nil"/>
          <w:bottom w:val="nil"/>
          <w:right w:val="nil"/>
          <w:between w:val="nil"/>
        </w:pBdr>
        <w:rPr>
          <w:color w:val="000000" w:themeColor="text1"/>
          <w:lang w:val="en-IN"/>
        </w:rPr>
      </w:pPr>
    </w:p>
    <w:p w14:paraId="6EFDEB70" w14:textId="6C973971" w:rsidR="00025BD8" w:rsidRPr="005E7D8B" w:rsidRDefault="00EC36AF" w:rsidP="00025BD8">
      <w:pPr>
        <w:pBdr>
          <w:top w:val="nil"/>
          <w:left w:val="nil"/>
          <w:bottom w:val="nil"/>
          <w:right w:val="nil"/>
          <w:between w:val="nil"/>
        </w:pBdr>
        <w:rPr>
          <w:color w:val="000000" w:themeColor="text1"/>
          <w:lang w:val="en-IN"/>
        </w:rPr>
      </w:pPr>
      <m:oMathPara>
        <m:oMath>
          <m:m>
            <m:mPr>
              <m:plcHide m:val="1"/>
              <m:mcs>
                <m:mc>
                  <m:mcPr>
                    <m:count m:val="4"/>
                    <m:mcJc m:val="center"/>
                  </m:mcPr>
                </m:mc>
              </m:mcs>
              <m:ctrlPr>
                <w:rPr>
                  <w:rFonts w:ascii="Cambria Math" w:hAnsi="Cambria Math"/>
                  <w:color w:val="000000" w:themeColor="text1"/>
                  <w:lang w:val="en-IN"/>
                </w:rPr>
              </m:ctrlPr>
            </m:mPr>
            <m:mr>
              <m:e/>
              <m:e>
                <m:r>
                  <m:rPr>
                    <m:sty m:val="p"/>
                  </m:rPr>
                  <w:rPr>
                    <w:rFonts w:ascii="Cambria Math" w:hAnsi="Cambria Math"/>
                    <w:color w:val="000000" w:themeColor="text1"/>
                    <w:lang w:val="en-IN"/>
                  </w:rPr>
                  <m:t>MOI</m:t>
                </m:r>
                <m:r>
                  <w:rPr>
                    <w:rFonts w:ascii="Cambria Math" w:hAnsi="Cambria Math"/>
                    <w:color w:val="000000" w:themeColor="text1"/>
                    <w:lang w:val="en-IN"/>
                  </w:rPr>
                  <m:t>=</m:t>
                </m:r>
                <m:f>
                  <m:fPr>
                    <m:ctrlPr>
                      <w:rPr>
                        <w:rFonts w:ascii="Cambria Math" w:hAnsi="Cambria Math"/>
                        <w:color w:val="000000" w:themeColor="text1"/>
                        <w:lang w:val="en-IN"/>
                      </w:rPr>
                    </m:ctrlPr>
                  </m:fPr>
                  <m:num>
                    <m:sSub>
                      <m:sSubPr>
                        <m:ctrlPr>
                          <w:rPr>
                            <w:rFonts w:ascii="Cambria Math" w:hAnsi="Cambria Math"/>
                            <w:color w:val="000000" w:themeColor="text1"/>
                            <w:lang w:val="en-IN"/>
                          </w:rPr>
                        </m:ctrlPr>
                      </m:sSubPr>
                      <m:e>
                        <m:r>
                          <w:rPr>
                            <w:rFonts w:ascii="Cambria Math" w:hAnsi="Cambria Math"/>
                            <w:color w:val="000000" w:themeColor="text1"/>
                            <w:lang w:val="en-IN"/>
                          </w:rPr>
                          <m:t>T</m:t>
                        </m:r>
                      </m:e>
                      <m:sub>
                        <m:r>
                          <m:rPr>
                            <m:sty m:val="p"/>
                          </m:rPr>
                          <w:rPr>
                            <w:rFonts w:ascii="Cambria Math" w:hAnsi="Cambria Math"/>
                            <w:color w:val="000000" w:themeColor="text1"/>
                            <w:lang w:val="en-IN"/>
                          </w:rPr>
                          <m:t>virus</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w:rPr>
                            <w:rFonts w:ascii="Cambria Math" w:hAnsi="Cambria Math"/>
                            <w:color w:val="000000" w:themeColor="text1"/>
                            <w:lang w:val="en-IN"/>
                          </w:rPr>
                          <m:t>V</m:t>
                        </m:r>
                      </m:e>
                      <m:sub>
                        <m:r>
                          <m:rPr>
                            <m:sty m:val="p"/>
                          </m:rPr>
                          <w:rPr>
                            <w:rFonts w:ascii="Cambria Math" w:hAnsi="Cambria Math"/>
                            <w:color w:val="000000" w:themeColor="text1"/>
                            <w:lang w:val="en-IN"/>
                          </w:rPr>
                          <m:t>virus</m:t>
                        </m:r>
                      </m:sub>
                    </m:sSub>
                  </m:num>
                  <m:den>
                    <m:sSub>
                      <m:sSubPr>
                        <m:ctrlPr>
                          <w:rPr>
                            <w:rFonts w:ascii="Cambria Math" w:hAnsi="Cambria Math"/>
                            <w:color w:val="000000" w:themeColor="text1"/>
                            <w:lang w:val="en-IN"/>
                          </w:rPr>
                        </m:ctrlPr>
                      </m:sSubPr>
                      <m:e>
                        <m:r>
                          <w:rPr>
                            <w:rFonts w:ascii="Cambria Math" w:hAnsi="Cambria Math"/>
                            <w:color w:val="000000" w:themeColor="text1"/>
                            <w:lang w:val="en-IN"/>
                          </w:rPr>
                          <m:t>N</m:t>
                        </m:r>
                      </m:e>
                      <m:sub>
                        <m:r>
                          <m:rPr>
                            <m:sty m:val="p"/>
                          </m:rPr>
                          <w:rPr>
                            <w:rFonts w:ascii="Cambria Math" w:hAnsi="Cambria Math"/>
                            <w:color w:val="000000" w:themeColor="text1"/>
                            <w:lang w:val="en-IN"/>
                          </w:rPr>
                          <m:t>cells</m:t>
                        </m:r>
                      </m:sub>
                    </m:sSub>
                  </m:den>
                </m:f>
              </m:e>
              <m:e/>
              <m:e>
                <m:r>
                  <m:rPr>
                    <m:nor/>
                  </m:rPr>
                  <w:rPr>
                    <w:color w:val="000000" w:themeColor="text1"/>
                    <w:lang w:val="en-IN"/>
                  </w:rPr>
                  <m:t>(</m:t>
                </m:r>
                <m:r>
                  <m:rPr>
                    <m:nor/>
                  </m:rPr>
                  <w:rPr>
                    <w:rFonts w:ascii="Cambria Math"/>
                    <w:color w:val="000000" w:themeColor="text1"/>
                    <w:lang w:val="en-IN"/>
                  </w:rPr>
                  <m:t>2</m:t>
                </m:r>
                <m:r>
                  <m:rPr>
                    <m:nor/>
                  </m:rPr>
                  <w:rPr>
                    <w:color w:val="000000" w:themeColor="text1"/>
                    <w:lang w:val="en-IN"/>
                  </w:rPr>
                  <m:t>)</m:t>
                </m:r>
              </m:e>
            </m:mr>
          </m:m>
          <m:r>
            <m:rPr>
              <m:sty m:val="p"/>
            </m:rPr>
            <w:rPr>
              <w:color w:val="000000" w:themeColor="text1"/>
              <w:lang w:val="en-IN"/>
            </w:rPr>
            <w:br/>
          </m:r>
        </m:oMath>
      </m:oMathPara>
    </w:p>
    <w:p w14:paraId="1E3E1768" w14:textId="77777777" w:rsidR="00025BD8" w:rsidRPr="005E7D8B" w:rsidRDefault="00EC36AF" w:rsidP="00025BD8">
      <w:pPr>
        <w:pBdr>
          <w:top w:val="nil"/>
          <w:left w:val="nil"/>
          <w:bottom w:val="nil"/>
          <w:right w:val="nil"/>
          <w:between w:val="nil"/>
        </w:pBdr>
        <w:rPr>
          <w:color w:val="000000" w:themeColor="text1"/>
          <w:lang w:val="en-IN"/>
        </w:rPr>
      </w:pPr>
      <w:r w:rsidRPr="005E7D8B">
        <w:rPr>
          <w:color w:val="000000" w:themeColor="text1"/>
          <w:lang w:val="en-IN"/>
        </w:rPr>
        <w:t>where:</w:t>
      </w:r>
    </w:p>
    <w:p w14:paraId="4F14C407" w14:textId="61884834" w:rsidR="00025BD8" w:rsidRPr="002E2629" w:rsidRDefault="00EC36AF" w:rsidP="00025BD8">
      <w:pPr>
        <w:pBdr>
          <w:top w:val="nil"/>
          <w:left w:val="nil"/>
          <w:bottom w:val="nil"/>
          <w:right w:val="nil"/>
          <w:between w:val="nil"/>
        </w:pBdr>
        <w:rPr>
          <w:color w:val="000000" w:themeColor="text1"/>
          <w:lang w:val="en-IN"/>
        </w:rPr>
      </w:pPr>
      <m:oMathPara>
        <m:oMath>
          <m:sSub>
            <m:sSubPr>
              <m:ctrlPr>
                <w:rPr>
                  <w:rFonts w:ascii="Cambria Math" w:hAnsi="Cambria Math"/>
                  <w:color w:val="000000" w:themeColor="text1"/>
                  <w:lang w:val="en-IN"/>
                </w:rPr>
              </m:ctrlPr>
            </m:sSubPr>
            <m:e>
              <m:r>
                <w:rPr>
                  <w:rFonts w:ascii="Cambria Math" w:hAnsi="Cambria Math"/>
                  <w:color w:val="000000" w:themeColor="text1"/>
                  <w:lang w:val="en-IN"/>
                </w:rPr>
                <m:t>T</m:t>
              </m:r>
            </m:e>
            <m:sub>
              <m:r>
                <m:rPr>
                  <m:sty m:val="p"/>
                </m:rPr>
                <w:rPr>
                  <w:rFonts w:ascii="Cambria Math" w:hAnsi="Cambria Math"/>
                  <w:color w:val="000000" w:themeColor="text1"/>
                  <w:lang w:val="en-IN"/>
                </w:rPr>
                <m:t>virus</m:t>
              </m:r>
            </m:sub>
          </m:sSub>
          <m:r>
            <w:rPr>
              <w:rFonts w:ascii="Cambria Math" w:hAnsi="Cambria Math"/>
              <w:color w:val="000000" w:themeColor="text1"/>
              <w:lang w:val="en-IN"/>
            </w:rPr>
            <m:t>=</m:t>
          </m:r>
          <m:r>
            <m:rPr>
              <m:sty m:val="p"/>
            </m:rPr>
            <w:rPr>
              <w:rFonts w:ascii="Cambria Math" w:hAnsi="Cambria Math"/>
              <w:color w:val="000000" w:themeColor="text1"/>
              <w:lang w:val="en-IN"/>
            </w:rPr>
            <m:t>functional</m:t>
          </m:r>
          <m:r>
            <m:rPr>
              <m:nor/>
            </m:rPr>
            <w:rPr>
              <w:color w:val="000000" w:themeColor="text1"/>
              <w:lang w:val="en-IN"/>
            </w:rPr>
            <m:t> </m:t>
          </m:r>
          <m:r>
            <m:rPr>
              <m:sty m:val="p"/>
            </m:rPr>
            <w:rPr>
              <w:rFonts w:ascii="Cambria Math" w:hAnsi="Cambria Math"/>
              <w:color w:val="000000" w:themeColor="text1"/>
              <w:lang w:val="en-IN"/>
            </w:rPr>
            <m:t>virus</m:t>
          </m:r>
          <m:r>
            <m:rPr>
              <m:nor/>
            </m:rPr>
            <w:rPr>
              <w:color w:val="000000" w:themeColor="text1"/>
              <w:lang w:val="en-IN"/>
            </w:rPr>
            <m:t> </m:t>
          </m:r>
          <m:r>
            <m:rPr>
              <m:sty m:val="p"/>
            </m:rPr>
            <w:rPr>
              <w:rFonts w:ascii="Cambria Math" w:hAnsi="Cambria Math"/>
              <w:color w:val="000000" w:themeColor="text1"/>
              <w:lang w:val="en-IN"/>
            </w:rPr>
            <m:t>titer</m:t>
          </m:r>
          <m:r>
            <m:rPr>
              <m:nor/>
            </m:rPr>
            <w:rPr>
              <w:color w:val="000000" w:themeColor="text1"/>
              <w:lang w:val="en-IN"/>
            </w:rPr>
            <m:t> </m:t>
          </m:r>
          <m:r>
            <m:rPr>
              <m:sty m:val="p"/>
            </m:rPr>
            <w:rPr>
              <w:rFonts w:ascii="Cambria Math" w:hAnsi="Cambria Math"/>
              <w:color w:val="000000" w:themeColor="text1"/>
              <w:lang w:val="en-IN"/>
            </w:rPr>
            <m:t>in</m:t>
          </m:r>
          <m:r>
            <m:rPr>
              <m:nor/>
            </m:rPr>
            <w:rPr>
              <w:color w:val="000000" w:themeColor="text1"/>
              <w:lang w:val="en-IN"/>
            </w:rPr>
            <m:t> </m:t>
          </m:r>
          <m:r>
            <m:rPr>
              <m:sty m:val="p"/>
            </m:rPr>
            <w:rPr>
              <w:rFonts w:ascii="Cambria Math" w:hAnsi="Cambria Math"/>
              <w:color w:val="000000" w:themeColor="text1"/>
              <w:lang w:val="en-IN"/>
            </w:rPr>
            <m:t>TU</m:t>
          </m:r>
          <m:r>
            <w:rPr>
              <w:rFonts w:ascii="Cambria Math" w:hAnsi="Cambria Math"/>
              <w:color w:val="000000" w:themeColor="text1"/>
              <w:lang w:val="en-IN"/>
            </w:rPr>
            <m:t>/</m:t>
          </m:r>
          <m:r>
            <m:rPr>
              <m:sty m:val="p"/>
            </m:rPr>
            <w:rPr>
              <w:rFonts w:ascii="Cambria Math" w:hAnsi="Cambria Math"/>
              <w:color w:val="000000" w:themeColor="text1"/>
              <w:lang w:val="en-IN"/>
            </w:rPr>
            <m:t>mL</m:t>
          </m:r>
          <m:r>
            <m:rPr>
              <m:sty m:val="p"/>
            </m:rPr>
            <w:rPr>
              <w:color w:val="000000" w:themeColor="text1"/>
              <w:lang w:val="en-IN"/>
            </w:rPr>
            <w:br/>
          </m:r>
        </m:oMath>
        <m:oMath>
          <m:sSub>
            <m:sSubPr>
              <m:ctrlPr>
                <w:rPr>
                  <w:rFonts w:ascii="Cambria Math" w:hAnsi="Cambria Math"/>
                  <w:color w:val="000000" w:themeColor="text1"/>
                  <w:lang w:val="en-IN"/>
                </w:rPr>
              </m:ctrlPr>
            </m:sSubPr>
            <m:e>
              <m:r>
                <w:rPr>
                  <w:rFonts w:ascii="Cambria Math" w:hAnsi="Cambria Math"/>
                  <w:color w:val="000000" w:themeColor="text1"/>
                  <w:lang w:val="en-IN"/>
                </w:rPr>
                <m:t>V</m:t>
              </m:r>
            </m:e>
            <m:sub>
              <m:r>
                <m:rPr>
                  <m:sty m:val="p"/>
                </m:rPr>
                <w:rPr>
                  <w:rFonts w:ascii="Cambria Math" w:hAnsi="Cambria Math"/>
                  <w:color w:val="000000" w:themeColor="text1"/>
                  <w:lang w:val="en-IN"/>
                </w:rPr>
                <m:t>virus</m:t>
              </m:r>
            </m:sub>
          </m:sSub>
          <m:r>
            <w:rPr>
              <w:rFonts w:ascii="Cambria Math" w:hAnsi="Cambria Math"/>
              <w:color w:val="000000" w:themeColor="text1"/>
              <w:lang w:val="en-IN"/>
            </w:rPr>
            <m:t>=</m:t>
          </m:r>
          <m:r>
            <m:rPr>
              <m:sty m:val="p"/>
            </m:rPr>
            <w:rPr>
              <w:rFonts w:ascii="Cambria Math" w:hAnsi="Cambria Math"/>
              <w:color w:val="000000" w:themeColor="text1"/>
              <w:lang w:val="en-IN"/>
            </w:rPr>
            <m:t>virus</m:t>
          </m:r>
          <m:r>
            <m:rPr>
              <m:nor/>
            </m:rPr>
            <w:rPr>
              <w:color w:val="000000" w:themeColor="text1"/>
              <w:lang w:val="en-IN"/>
            </w:rPr>
            <m:t> </m:t>
          </m:r>
          <m:r>
            <m:rPr>
              <m:sty m:val="p"/>
            </m:rPr>
            <w:rPr>
              <w:rFonts w:ascii="Cambria Math" w:hAnsi="Cambria Math"/>
              <w:color w:val="000000" w:themeColor="text1"/>
              <w:lang w:val="en-IN"/>
            </w:rPr>
            <m:t>volume</m:t>
          </m:r>
          <m:r>
            <m:rPr>
              <m:nor/>
            </m:rPr>
            <w:rPr>
              <w:color w:val="000000" w:themeColor="text1"/>
              <w:lang w:val="en-IN"/>
            </w:rPr>
            <m:t> </m:t>
          </m:r>
          <m:r>
            <m:rPr>
              <m:sty m:val="p"/>
            </m:rPr>
            <w:rPr>
              <w:rFonts w:ascii="Cambria Math" w:hAnsi="Cambria Math"/>
              <w:color w:val="000000" w:themeColor="text1"/>
              <w:lang w:val="en-IN"/>
            </w:rPr>
            <m:t>in</m:t>
          </m:r>
          <m:r>
            <m:rPr>
              <m:nor/>
            </m:rPr>
            <w:rPr>
              <w:color w:val="000000" w:themeColor="text1"/>
              <w:lang w:val="en-IN"/>
            </w:rPr>
            <m:t> </m:t>
          </m:r>
          <m:r>
            <m:rPr>
              <m:sty m:val="p"/>
            </m:rPr>
            <w:rPr>
              <w:rFonts w:ascii="Cambria Math" w:hAnsi="Cambria Math"/>
              <w:color w:val="000000" w:themeColor="text1"/>
              <w:lang w:val="en-IN"/>
            </w:rPr>
            <m:t>mL</m:t>
          </m:r>
          <m:r>
            <m:rPr>
              <m:sty m:val="p"/>
            </m:rPr>
            <w:rPr>
              <w:color w:val="000000" w:themeColor="text1"/>
              <w:lang w:val="en-IN"/>
            </w:rPr>
            <w:br/>
          </m:r>
        </m:oMath>
        <m:oMath>
          <m:sSub>
            <m:sSubPr>
              <m:ctrlPr>
                <w:rPr>
                  <w:rFonts w:ascii="Cambria Math" w:hAnsi="Cambria Math"/>
                  <w:color w:val="000000" w:themeColor="text1"/>
                  <w:lang w:val="en-IN"/>
                </w:rPr>
              </m:ctrlPr>
            </m:sSubPr>
            <m:e>
              <m:r>
                <w:rPr>
                  <w:rFonts w:ascii="Cambria Math" w:hAnsi="Cambria Math"/>
                  <w:color w:val="000000" w:themeColor="text1"/>
                  <w:lang w:val="en-IN"/>
                </w:rPr>
                <m:t>N</m:t>
              </m:r>
            </m:e>
            <m:sub>
              <m:r>
                <m:rPr>
                  <m:sty m:val="p"/>
                </m:rPr>
                <w:rPr>
                  <w:rFonts w:ascii="Cambria Math" w:hAnsi="Cambria Math"/>
                  <w:color w:val="000000" w:themeColor="text1"/>
                  <w:lang w:val="en-IN"/>
                </w:rPr>
                <m:t>cells</m:t>
              </m:r>
            </m:sub>
          </m:sSub>
          <m:r>
            <w:rPr>
              <w:rFonts w:ascii="Cambria Math" w:hAnsi="Cambria Math"/>
              <w:color w:val="000000" w:themeColor="text1"/>
              <w:lang w:val="en-IN"/>
            </w:rPr>
            <m:t>=</m:t>
          </m:r>
          <m:r>
            <m:rPr>
              <m:sty m:val="p"/>
            </m:rPr>
            <w:rPr>
              <w:rFonts w:ascii="Cambria Math" w:hAnsi="Cambria Math"/>
              <w:color w:val="000000" w:themeColor="text1"/>
              <w:lang w:val="en-IN"/>
            </w:rPr>
            <m:t>number</m:t>
          </m:r>
          <m:r>
            <m:rPr>
              <m:nor/>
            </m:rPr>
            <w:rPr>
              <w:color w:val="000000" w:themeColor="text1"/>
              <w:lang w:val="en-IN"/>
            </w:rPr>
            <m:t> </m:t>
          </m:r>
          <m:r>
            <m:rPr>
              <m:sty m:val="p"/>
            </m:rPr>
            <w:rPr>
              <w:rFonts w:ascii="Cambria Math" w:hAnsi="Cambria Math"/>
              <w:color w:val="000000" w:themeColor="text1"/>
              <w:lang w:val="en-IN"/>
            </w:rPr>
            <m:t>of</m:t>
          </m:r>
          <m:r>
            <m:rPr>
              <m:nor/>
            </m:rPr>
            <w:rPr>
              <w:color w:val="000000" w:themeColor="text1"/>
              <w:lang w:val="en-IN"/>
            </w:rPr>
            <m:t> </m:t>
          </m:r>
          <m:r>
            <m:rPr>
              <m:sty m:val="p"/>
            </m:rPr>
            <w:rPr>
              <w:rFonts w:ascii="Cambria Math" w:hAnsi="Cambria Math"/>
              <w:color w:val="000000" w:themeColor="text1"/>
              <w:lang w:val="en-IN"/>
            </w:rPr>
            <m:t>target</m:t>
          </m:r>
          <m:r>
            <m:rPr>
              <m:nor/>
            </m:rPr>
            <w:rPr>
              <w:color w:val="000000" w:themeColor="text1"/>
              <w:lang w:val="en-IN"/>
            </w:rPr>
            <m:t> </m:t>
          </m:r>
          <m:r>
            <m:rPr>
              <m:sty m:val="p"/>
            </m:rPr>
            <w:rPr>
              <w:rFonts w:ascii="Cambria Math" w:hAnsi="Cambria Math"/>
              <w:color w:val="000000" w:themeColor="text1"/>
              <w:lang w:val="en-IN"/>
            </w:rPr>
            <m:t>cells</m:t>
          </m:r>
          <m:r>
            <m:rPr>
              <m:sty m:val="p"/>
            </m:rPr>
            <w:rPr>
              <w:color w:val="000000" w:themeColor="text1"/>
              <w:lang w:val="en-IN"/>
            </w:rPr>
            <w:br/>
          </m:r>
        </m:oMath>
      </m:oMathPara>
    </w:p>
    <w:p w14:paraId="6AB112D0" w14:textId="23988C4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NOTE: The functional titer of the STAT6 luciferase reporter lentiviral stock used in this protocol was 5 × 10</w:t>
      </w:r>
      <w:r w:rsidR="003C407B">
        <w:rPr>
          <w:color w:val="000000" w:themeColor="text1"/>
          <w:vertAlign w:val="superscript"/>
          <w:lang w:val="en-IN"/>
        </w:rPr>
        <w:t>7</w:t>
      </w:r>
      <w:r w:rsidRPr="005E7D8B">
        <w:rPr>
          <w:color w:val="000000" w:themeColor="text1"/>
          <w:lang w:val="en-IN"/>
        </w:rPr>
        <w:t xml:space="preserve"> transducing units/mL. For 2 × 10</w:t>
      </w:r>
      <w:r w:rsidR="003C407B">
        <w:rPr>
          <w:color w:val="000000" w:themeColor="text1"/>
          <w:vertAlign w:val="superscript"/>
          <w:lang w:val="en-IN"/>
        </w:rPr>
        <w:t>4</w:t>
      </w:r>
      <w:r w:rsidRPr="005E7D8B">
        <w:rPr>
          <w:color w:val="000000" w:themeColor="text1"/>
          <w:lang w:val="en-IN"/>
        </w:rPr>
        <w:t xml:space="preserve"> target cells, an MOI of 20 corresponds to 8 µL of lentiviral stock per well</w:t>
      </w:r>
      <w:r w:rsidR="00651E8E">
        <w:rPr>
          <w:color w:val="000000" w:themeColor="text1"/>
          <w:lang w:val="en-IN"/>
        </w:rPr>
        <w:t xml:space="preserve">. </w:t>
      </w:r>
      <w:r w:rsidR="00651E8E" w:rsidRPr="003C407B">
        <w:rPr>
          <w:color w:val="000000" w:themeColor="text1"/>
          <w:lang w:val="en-IN"/>
        </w:rPr>
        <w:t>The virus volume should be recalculated for virus preparations with different titers</w:t>
      </w:r>
      <w:r w:rsidRPr="003C407B">
        <w:rPr>
          <w:color w:val="000000" w:themeColor="text1"/>
          <w:lang w:val="en-IN"/>
        </w:rPr>
        <w:t>.</w:t>
      </w:r>
    </w:p>
    <w:p w14:paraId="5178FC66" w14:textId="77777777" w:rsidR="00853957" w:rsidRPr="005E7D8B" w:rsidRDefault="00853957" w:rsidP="00025BD8">
      <w:pPr>
        <w:pBdr>
          <w:top w:val="nil"/>
          <w:left w:val="nil"/>
          <w:bottom w:val="nil"/>
          <w:right w:val="nil"/>
          <w:between w:val="nil"/>
        </w:pBdr>
        <w:rPr>
          <w:color w:val="000000" w:themeColor="text1"/>
          <w:lang w:val="en-IN"/>
        </w:rPr>
      </w:pPr>
    </w:p>
    <w:p w14:paraId="262BA056" w14:textId="0CE5E4EC"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1.3.2. </w:t>
      </w:r>
      <w:r w:rsidRPr="00D64EEC">
        <w:rPr>
          <w:color w:val="000000" w:themeColor="text1"/>
          <w:highlight w:val="yellow"/>
          <w:lang w:val="en-IN"/>
        </w:rPr>
        <w:t>Seed the 16HBE14o</w:t>
      </w:r>
      <w:r w:rsidRPr="00D64EEC">
        <w:rPr>
          <w:color w:val="000000" w:themeColor="text1"/>
          <w:highlight w:val="yellow"/>
          <w:vertAlign w:val="superscript"/>
          <w:lang w:val="en-IN"/>
        </w:rPr>
        <w:t>−</w:t>
      </w:r>
      <w:r w:rsidRPr="00D64EEC">
        <w:rPr>
          <w:color w:val="000000" w:themeColor="text1"/>
          <w:highlight w:val="yellow"/>
          <w:lang w:val="en-IN"/>
        </w:rPr>
        <w:t xml:space="preserve"> cells at 2 × 10</w:t>
      </w:r>
      <w:r w:rsidR="003C407B" w:rsidRPr="00D64EEC">
        <w:rPr>
          <w:color w:val="000000" w:themeColor="text1"/>
          <w:highlight w:val="yellow"/>
          <w:vertAlign w:val="superscript"/>
          <w:lang w:val="en-IN"/>
        </w:rPr>
        <w:t>4</w:t>
      </w:r>
      <w:r w:rsidRPr="00D64EEC">
        <w:rPr>
          <w:color w:val="000000" w:themeColor="text1"/>
          <w:highlight w:val="yellow"/>
          <w:lang w:val="en-IN"/>
        </w:rPr>
        <w:t xml:space="preserve"> cells per well in a 96-well white clear-bottom plate containing 100 µL of complete culture medium per well. Incubate the cells overnight until they reach approximately 80% confluence.</w:t>
      </w:r>
    </w:p>
    <w:p w14:paraId="2401A90A" w14:textId="77777777" w:rsidR="00853957" w:rsidRPr="005E7D8B" w:rsidRDefault="00853957" w:rsidP="00025BD8">
      <w:pPr>
        <w:pBdr>
          <w:top w:val="nil"/>
          <w:left w:val="nil"/>
          <w:bottom w:val="nil"/>
          <w:right w:val="nil"/>
          <w:between w:val="nil"/>
        </w:pBdr>
        <w:rPr>
          <w:color w:val="000000" w:themeColor="text1"/>
          <w:lang w:val="en-IN"/>
        </w:rPr>
      </w:pPr>
    </w:p>
    <w:p w14:paraId="72B2D6DC"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1.3.3. </w:t>
      </w:r>
      <w:r w:rsidRPr="00D64EEC">
        <w:rPr>
          <w:color w:val="000000" w:themeColor="text1"/>
          <w:highlight w:val="yellow"/>
          <w:lang w:val="en-IN"/>
        </w:rPr>
        <w:t>Replace the culture medium with fresh medium containing 5 µg/mL polybrene and STAT6 luciferase reporter lentivirus at MOIs</w:t>
      </w:r>
      <w:r w:rsidRPr="005E7D8B">
        <w:rPr>
          <w:color w:val="000000" w:themeColor="text1"/>
          <w:lang w:val="en-IN"/>
        </w:rPr>
        <w:t xml:space="preserve"> </w:t>
      </w:r>
      <w:r w:rsidRPr="00D64EEC">
        <w:rPr>
          <w:color w:val="000000" w:themeColor="text1"/>
          <w:highlight w:val="yellow"/>
          <w:lang w:val="en-IN"/>
        </w:rPr>
        <w:t>of 1, 5, 10, and 20.</w:t>
      </w:r>
      <w:r w:rsidRPr="005E7D8B">
        <w:rPr>
          <w:color w:val="000000" w:themeColor="text1"/>
          <w:lang w:val="en-IN"/>
        </w:rPr>
        <w:t xml:space="preserve"> </w:t>
      </w:r>
      <w:r w:rsidRPr="00D64EEC">
        <w:rPr>
          <w:color w:val="000000" w:themeColor="text1"/>
          <w:highlight w:val="yellow"/>
          <w:lang w:val="en-IN"/>
        </w:rPr>
        <w:t>Include a non-transduced mock-control well containing no lentivirus.</w:t>
      </w:r>
    </w:p>
    <w:p w14:paraId="3A0593D8" w14:textId="77777777" w:rsidR="00853957" w:rsidRPr="005E7D8B" w:rsidRDefault="00853957" w:rsidP="00025BD8">
      <w:pPr>
        <w:pBdr>
          <w:top w:val="nil"/>
          <w:left w:val="nil"/>
          <w:bottom w:val="nil"/>
          <w:right w:val="nil"/>
          <w:between w:val="nil"/>
        </w:pBdr>
        <w:rPr>
          <w:color w:val="000000" w:themeColor="text1"/>
          <w:lang w:val="en-IN"/>
        </w:rPr>
      </w:pPr>
    </w:p>
    <w:p w14:paraId="51E9AB09"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NOTE: Calculate the lentiviral volume required for each MOI from the functional titer of the stock.</w:t>
      </w:r>
    </w:p>
    <w:p w14:paraId="35960E5D" w14:textId="77777777" w:rsidR="00853957" w:rsidRPr="005E7D8B" w:rsidRDefault="00853957" w:rsidP="00025BD8">
      <w:pPr>
        <w:pBdr>
          <w:top w:val="nil"/>
          <w:left w:val="nil"/>
          <w:bottom w:val="nil"/>
          <w:right w:val="nil"/>
          <w:between w:val="nil"/>
        </w:pBdr>
        <w:rPr>
          <w:color w:val="000000" w:themeColor="text1"/>
          <w:lang w:val="en-IN"/>
        </w:rPr>
      </w:pPr>
    </w:p>
    <w:p w14:paraId="0C534E84"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1.3.4. </w:t>
      </w:r>
      <w:r w:rsidRPr="00C715C0">
        <w:rPr>
          <w:color w:val="000000" w:themeColor="text1"/>
          <w:highlight w:val="yellow"/>
          <w:lang w:val="en-IN"/>
        </w:rPr>
        <w:t>Incubate the cells with the lentiviral particles for 48 h. Replace the transduction medium with fresh culture medium and incubate the cells for an additional 24 h.</w:t>
      </w:r>
    </w:p>
    <w:p w14:paraId="29DA7568" w14:textId="77777777" w:rsidR="00853957" w:rsidRPr="005E7D8B" w:rsidRDefault="00853957" w:rsidP="00025BD8">
      <w:pPr>
        <w:pBdr>
          <w:top w:val="nil"/>
          <w:left w:val="nil"/>
          <w:bottom w:val="nil"/>
          <w:right w:val="nil"/>
          <w:between w:val="nil"/>
        </w:pBdr>
        <w:rPr>
          <w:color w:val="000000" w:themeColor="text1"/>
          <w:lang w:val="en-IN"/>
        </w:rPr>
      </w:pPr>
    </w:p>
    <w:p w14:paraId="72F7D40C"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1.3.5. </w:t>
      </w:r>
      <w:r w:rsidRPr="00C715C0">
        <w:rPr>
          <w:color w:val="000000" w:themeColor="text1"/>
          <w:highlight w:val="yellow"/>
          <w:lang w:val="en-IN"/>
        </w:rPr>
        <w:t>Replace the culture medium with fresh medium containing interleukin-4 and interleukin-13 at 10 ng/mL each. Incubate the cells for 24 h.</w:t>
      </w:r>
    </w:p>
    <w:p w14:paraId="651D9490" w14:textId="77777777" w:rsidR="00853957" w:rsidRPr="005E7D8B" w:rsidRDefault="00853957" w:rsidP="00025BD8">
      <w:pPr>
        <w:pBdr>
          <w:top w:val="nil"/>
          <w:left w:val="nil"/>
          <w:bottom w:val="nil"/>
          <w:right w:val="nil"/>
          <w:between w:val="nil"/>
        </w:pBdr>
        <w:rPr>
          <w:color w:val="000000" w:themeColor="text1"/>
          <w:lang w:val="en-IN"/>
        </w:rPr>
      </w:pPr>
    </w:p>
    <w:p w14:paraId="288ED61C" w14:textId="728F5161"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1.3.6. </w:t>
      </w:r>
      <w:r w:rsidRPr="00C715C0">
        <w:rPr>
          <w:color w:val="000000" w:themeColor="text1"/>
          <w:highlight w:val="yellow"/>
          <w:lang w:val="en-IN"/>
        </w:rPr>
        <w:t>Add 25 µL of luciferase assay reagent to each well</w:t>
      </w:r>
      <w:r w:rsidR="009B3948" w:rsidRPr="00C715C0">
        <w:rPr>
          <w:color w:val="000000" w:themeColor="text1"/>
          <w:highlight w:val="yellow"/>
          <w:vertAlign w:val="superscript"/>
          <w:lang w:val="en-IN"/>
        </w:rPr>
        <w:t>16</w:t>
      </w:r>
      <w:r w:rsidRPr="00C715C0">
        <w:rPr>
          <w:color w:val="000000" w:themeColor="text1"/>
          <w:highlight w:val="yellow"/>
          <w:lang w:val="en-IN"/>
        </w:rPr>
        <w:t>. Protect the plate from light and incubate it for 20 min at room temperature.</w:t>
      </w:r>
    </w:p>
    <w:p w14:paraId="5F320246" w14:textId="77777777" w:rsidR="00853957" w:rsidRPr="005E7D8B" w:rsidRDefault="00853957" w:rsidP="00025BD8">
      <w:pPr>
        <w:pBdr>
          <w:top w:val="nil"/>
          <w:left w:val="nil"/>
          <w:bottom w:val="nil"/>
          <w:right w:val="nil"/>
          <w:between w:val="nil"/>
        </w:pBdr>
        <w:rPr>
          <w:color w:val="000000" w:themeColor="text1"/>
          <w:lang w:val="en-IN"/>
        </w:rPr>
      </w:pPr>
    </w:p>
    <w:p w14:paraId="0AB8AC7E"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1.3.7. </w:t>
      </w:r>
      <w:r w:rsidRPr="00C715C0">
        <w:rPr>
          <w:color w:val="000000" w:themeColor="text1"/>
          <w:highlight w:val="yellow"/>
          <w:lang w:val="en-IN"/>
        </w:rPr>
        <w:t>Shake the plate linearly for 20 s. Measure luminescence in endpoint mode using a full-plate read and a gain setting of 120.</w:t>
      </w:r>
    </w:p>
    <w:p w14:paraId="74BEFE40" w14:textId="77777777" w:rsidR="00853957" w:rsidRPr="005E7D8B" w:rsidRDefault="00853957" w:rsidP="00025BD8">
      <w:pPr>
        <w:pBdr>
          <w:top w:val="nil"/>
          <w:left w:val="nil"/>
          <w:bottom w:val="nil"/>
          <w:right w:val="nil"/>
          <w:between w:val="nil"/>
        </w:pBdr>
        <w:rPr>
          <w:color w:val="000000" w:themeColor="text1"/>
          <w:lang w:val="en-IN"/>
        </w:rPr>
      </w:pPr>
    </w:p>
    <w:p w14:paraId="69BE19B7"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CAUTION: </w:t>
      </w:r>
      <w:r w:rsidRPr="00C715C0">
        <w:rPr>
          <w:color w:val="000000" w:themeColor="text1"/>
          <w:highlight w:val="yellow"/>
          <w:lang w:val="en-IN"/>
        </w:rPr>
        <w:t>Record luminescence within 1 h after adding the luciferase assay reagent to capture the maximal signal.</w:t>
      </w:r>
      <w:r w:rsidRPr="005E7D8B">
        <w:rPr>
          <w:color w:val="000000" w:themeColor="text1"/>
          <w:lang w:val="en-IN"/>
        </w:rPr>
        <w:t xml:space="preserve"> Follow the reagent manufacturer’s safety and handling instructions.</w:t>
      </w:r>
    </w:p>
    <w:p w14:paraId="6612D798" w14:textId="77777777" w:rsidR="00853957" w:rsidRPr="005E7D8B" w:rsidRDefault="00853957" w:rsidP="00025BD8">
      <w:pPr>
        <w:pBdr>
          <w:top w:val="nil"/>
          <w:left w:val="nil"/>
          <w:bottom w:val="nil"/>
          <w:right w:val="nil"/>
          <w:between w:val="nil"/>
        </w:pBdr>
        <w:rPr>
          <w:color w:val="000000" w:themeColor="text1"/>
          <w:lang w:val="en-IN"/>
        </w:rPr>
      </w:pPr>
    </w:p>
    <w:p w14:paraId="3CED674F"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NOTE: Use the same multimode microplate reader and acquisition settings for all absorbance and luminescence measurements.</w:t>
      </w:r>
    </w:p>
    <w:p w14:paraId="703B045A" w14:textId="77777777" w:rsidR="00D74CAE" w:rsidRPr="005E7D8B" w:rsidRDefault="00D74CAE" w:rsidP="00025BD8">
      <w:pPr>
        <w:pBdr>
          <w:top w:val="nil"/>
          <w:left w:val="nil"/>
          <w:bottom w:val="nil"/>
          <w:right w:val="nil"/>
          <w:between w:val="nil"/>
        </w:pBdr>
        <w:rPr>
          <w:color w:val="000000" w:themeColor="text1"/>
          <w:lang w:val="en-IN"/>
        </w:rPr>
      </w:pPr>
    </w:p>
    <w:p w14:paraId="7AA115C4" w14:textId="77777777" w:rsidR="00025BD8" w:rsidRDefault="00EC36AF" w:rsidP="00025BD8">
      <w:pPr>
        <w:pBdr>
          <w:top w:val="nil"/>
          <w:left w:val="nil"/>
          <w:bottom w:val="nil"/>
          <w:right w:val="nil"/>
          <w:between w:val="nil"/>
        </w:pBdr>
        <w:rPr>
          <w:color w:val="000000" w:themeColor="text1"/>
          <w:lang w:val="en-IN"/>
        </w:rPr>
      </w:pPr>
      <w:r w:rsidRPr="00C715C0">
        <w:rPr>
          <w:color w:val="000000" w:themeColor="text1"/>
          <w:highlight w:val="yellow"/>
          <w:lang w:val="en-IN"/>
        </w:rPr>
        <w:t xml:space="preserve">1.4. </w:t>
      </w:r>
      <w:r w:rsidRPr="00C715C0">
        <w:rPr>
          <w:color w:val="000000" w:themeColor="text1"/>
          <w:highlight w:val="yellow"/>
          <w:lang w:val="en-IN"/>
        </w:rPr>
        <w:t>Selection of transduced cells</w:t>
      </w:r>
    </w:p>
    <w:p w14:paraId="27B6244B" w14:textId="77777777" w:rsidR="00D74CAE" w:rsidRPr="005E7D8B" w:rsidRDefault="00D74CAE" w:rsidP="00025BD8">
      <w:pPr>
        <w:pBdr>
          <w:top w:val="nil"/>
          <w:left w:val="nil"/>
          <w:bottom w:val="nil"/>
          <w:right w:val="nil"/>
          <w:between w:val="nil"/>
        </w:pBdr>
        <w:rPr>
          <w:color w:val="000000" w:themeColor="text1"/>
          <w:lang w:val="en-IN"/>
        </w:rPr>
      </w:pPr>
    </w:p>
    <w:p w14:paraId="10CCF8C4" w14:textId="4D3E3D5F" w:rsidR="00025BD8" w:rsidRDefault="00EC36AF" w:rsidP="00025BD8">
      <w:pPr>
        <w:pBdr>
          <w:top w:val="nil"/>
          <w:left w:val="nil"/>
          <w:bottom w:val="nil"/>
          <w:right w:val="nil"/>
          <w:between w:val="nil"/>
        </w:pBdr>
        <w:rPr>
          <w:color w:val="000000" w:themeColor="text1"/>
          <w:lang w:val="en-IN"/>
        </w:rPr>
      </w:pPr>
      <w:r w:rsidRPr="00F54F3D">
        <w:rPr>
          <w:color w:val="000000" w:themeColor="text1"/>
          <w:highlight w:val="yellow"/>
          <w:lang w:val="en-IN"/>
        </w:rPr>
        <w:t>1.4.1. Seed the 16HBE14o</w:t>
      </w:r>
      <w:r w:rsidRPr="00F54F3D">
        <w:rPr>
          <w:color w:val="000000" w:themeColor="text1"/>
          <w:highlight w:val="yellow"/>
          <w:vertAlign w:val="superscript"/>
          <w:lang w:val="en-IN"/>
        </w:rPr>
        <w:t>−</w:t>
      </w:r>
      <w:r w:rsidRPr="00F54F3D">
        <w:rPr>
          <w:color w:val="000000" w:themeColor="text1"/>
          <w:highlight w:val="yellow"/>
          <w:lang w:val="en-IN"/>
        </w:rPr>
        <w:t xml:space="preserve"> cells at 2 × 10</w:t>
      </w:r>
      <w:r w:rsidR="00557A28" w:rsidRPr="00F54F3D">
        <w:rPr>
          <w:color w:val="000000" w:themeColor="text1"/>
          <w:highlight w:val="yellow"/>
          <w:vertAlign w:val="superscript"/>
          <w:lang w:val="en-IN"/>
        </w:rPr>
        <w:t>5</w:t>
      </w:r>
      <w:r w:rsidRPr="00F54F3D">
        <w:rPr>
          <w:color w:val="000000" w:themeColor="text1"/>
          <w:highlight w:val="yellow"/>
          <w:lang w:val="en-IN"/>
        </w:rPr>
        <w:t xml:space="preserve"> cells/mL in a 24-well culture plate. Incubate the cells overnight.</w:t>
      </w:r>
    </w:p>
    <w:p w14:paraId="1B17D403" w14:textId="77777777" w:rsidR="00D74CAE" w:rsidRPr="005E7D8B" w:rsidRDefault="00D74CAE" w:rsidP="00025BD8">
      <w:pPr>
        <w:pBdr>
          <w:top w:val="nil"/>
          <w:left w:val="nil"/>
          <w:bottom w:val="nil"/>
          <w:right w:val="nil"/>
          <w:between w:val="nil"/>
        </w:pBdr>
        <w:rPr>
          <w:color w:val="000000" w:themeColor="text1"/>
          <w:lang w:val="en-IN"/>
        </w:rPr>
      </w:pPr>
    </w:p>
    <w:p w14:paraId="227034B9" w14:textId="77777777" w:rsidR="00025BD8" w:rsidRDefault="00EC36AF" w:rsidP="00025BD8">
      <w:pPr>
        <w:pBdr>
          <w:top w:val="nil"/>
          <w:left w:val="nil"/>
          <w:bottom w:val="nil"/>
          <w:right w:val="nil"/>
          <w:between w:val="nil"/>
        </w:pBdr>
        <w:rPr>
          <w:color w:val="000000" w:themeColor="text1"/>
          <w:lang w:val="en-IN"/>
        </w:rPr>
      </w:pPr>
      <w:r w:rsidRPr="00F54F3D">
        <w:rPr>
          <w:color w:val="000000" w:themeColor="text1"/>
          <w:highlight w:val="yellow"/>
          <w:lang w:val="en-IN"/>
        </w:rPr>
        <w:lastRenderedPageBreak/>
        <w:t>1.4.2. Replace the culture medium with fresh medium containing the STAT6 luciferase reporter lentivirus at an MOI of 20 and 5 µg/mL polybrene. Incubate the cells for 48 h.</w:t>
      </w:r>
    </w:p>
    <w:p w14:paraId="432FB321" w14:textId="77777777" w:rsidR="00D74CAE" w:rsidRPr="005E7D8B" w:rsidRDefault="00D74CAE" w:rsidP="00025BD8">
      <w:pPr>
        <w:pBdr>
          <w:top w:val="nil"/>
          <w:left w:val="nil"/>
          <w:bottom w:val="nil"/>
          <w:right w:val="nil"/>
          <w:between w:val="nil"/>
        </w:pBdr>
        <w:rPr>
          <w:color w:val="000000" w:themeColor="text1"/>
          <w:lang w:val="en-IN"/>
        </w:rPr>
      </w:pPr>
    </w:p>
    <w:p w14:paraId="45A3558E" w14:textId="77777777" w:rsidR="00025BD8" w:rsidRDefault="00EC36AF" w:rsidP="00025BD8">
      <w:pPr>
        <w:pBdr>
          <w:top w:val="nil"/>
          <w:left w:val="nil"/>
          <w:bottom w:val="nil"/>
          <w:right w:val="nil"/>
          <w:between w:val="nil"/>
        </w:pBdr>
        <w:rPr>
          <w:color w:val="000000" w:themeColor="text1"/>
          <w:lang w:val="en-IN"/>
        </w:rPr>
      </w:pPr>
      <w:r w:rsidRPr="00F54F3D">
        <w:rPr>
          <w:color w:val="000000" w:themeColor="text1"/>
          <w:highlight w:val="yellow"/>
          <w:lang w:val="en-IN"/>
        </w:rPr>
        <w:t>1.4.3. Replace the transduction medium with fresh culture medium. Incubate the cells for an additional 24 h</w:t>
      </w:r>
      <w:r w:rsidRPr="005E7D8B">
        <w:rPr>
          <w:color w:val="000000" w:themeColor="text1"/>
          <w:lang w:val="en-IN"/>
        </w:rPr>
        <w:t>.</w:t>
      </w:r>
    </w:p>
    <w:p w14:paraId="2700955F" w14:textId="77777777" w:rsidR="00D74CAE" w:rsidRPr="005E7D8B" w:rsidRDefault="00D74CAE" w:rsidP="00025BD8">
      <w:pPr>
        <w:pBdr>
          <w:top w:val="nil"/>
          <w:left w:val="nil"/>
          <w:bottom w:val="nil"/>
          <w:right w:val="nil"/>
          <w:between w:val="nil"/>
        </w:pBdr>
        <w:rPr>
          <w:color w:val="000000" w:themeColor="text1"/>
          <w:lang w:val="en-IN"/>
        </w:rPr>
      </w:pPr>
    </w:p>
    <w:p w14:paraId="2615F2D7" w14:textId="092C3FD9" w:rsidR="00025BD8" w:rsidRDefault="00EC36AF" w:rsidP="00025BD8">
      <w:pPr>
        <w:pBdr>
          <w:top w:val="nil"/>
          <w:left w:val="nil"/>
          <w:bottom w:val="nil"/>
          <w:right w:val="nil"/>
          <w:between w:val="nil"/>
        </w:pBdr>
        <w:rPr>
          <w:color w:val="000000" w:themeColor="text1"/>
          <w:lang w:val="en-IN"/>
        </w:rPr>
      </w:pPr>
      <w:r w:rsidRPr="00F54F3D">
        <w:rPr>
          <w:color w:val="000000" w:themeColor="text1"/>
          <w:highlight w:val="yellow"/>
          <w:lang w:val="en-IN"/>
        </w:rPr>
        <w:t>1.4.4. Aspirate the culture medium and add fresh medium containing 1 µg/mL puromycin. Incubate the cells for 5 days</w:t>
      </w:r>
      <w:r w:rsidR="006F3D0C" w:rsidRPr="00F54F3D">
        <w:rPr>
          <w:color w:val="000000" w:themeColor="text1"/>
          <w:highlight w:val="yellow"/>
          <w:lang w:val="en-IN"/>
        </w:rPr>
        <w:t>, replacing</w:t>
      </w:r>
      <w:r w:rsidRPr="00F54F3D">
        <w:rPr>
          <w:color w:val="000000" w:themeColor="text1"/>
          <w:highlight w:val="yellow"/>
          <w:lang w:val="en-IN"/>
        </w:rPr>
        <w:t xml:space="preserve"> the selection medium every 2 days.</w:t>
      </w:r>
    </w:p>
    <w:p w14:paraId="7605687B" w14:textId="77777777" w:rsidR="00D74CAE" w:rsidRPr="005E7D8B" w:rsidRDefault="00D74CAE" w:rsidP="00025BD8">
      <w:pPr>
        <w:pBdr>
          <w:top w:val="nil"/>
          <w:left w:val="nil"/>
          <w:bottom w:val="nil"/>
          <w:right w:val="nil"/>
          <w:between w:val="nil"/>
        </w:pBdr>
        <w:rPr>
          <w:color w:val="000000" w:themeColor="text1"/>
          <w:lang w:val="en-IN"/>
        </w:rPr>
      </w:pPr>
    </w:p>
    <w:p w14:paraId="3311FC2C" w14:textId="77777777" w:rsidR="00025BD8" w:rsidRDefault="00EC36AF" w:rsidP="00025BD8">
      <w:pPr>
        <w:pBdr>
          <w:top w:val="nil"/>
          <w:left w:val="nil"/>
          <w:bottom w:val="nil"/>
          <w:right w:val="nil"/>
          <w:between w:val="nil"/>
        </w:pBdr>
        <w:rPr>
          <w:color w:val="000000" w:themeColor="text1"/>
          <w:lang w:val="en-IN"/>
        </w:rPr>
      </w:pPr>
      <w:r w:rsidRPr="005F0029">
        <w:rPr>
          <w:color w:val="000000" w:themeColor="text1"/>
          <w:highlight w:val="yellow"/>
          <w:lang w:val="en-IN"/>
        </w:rPr>
        <w:t>1.4.5. Continue puromycin selection until all cells in the non-transduced mock-control well are eliminated.</w:t>
      </w:r>
    </w:p>
    <w:p w14:paraId="60857A8F" w14:textId="77777777" w:rsidR="00D74CAE" w:rsidRPr="005E7D8B" w:rsidRDefault="00D74CAE" w:rsidP="00025BD8">
      <w:pPr>
        <w:pBdr>
          <w:top w:val="nil"/>
          <w:left w:val="nil"/>
          <w:bottom w:val="nil"/>
          <w:right w:val="nil"/>
          <w:between w:val="nil"/>
        </w:pBdr>
        <w:rPr>
          <w:color w:val="000000" w:themeColor="text1"/>
          <w:lang w:val="en-IN"/>
        </w:rPr>
      </w:pPr>
    </w:p>
    <w:p w14:paraId="5403E432"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NOTE: Allow at least 24 h after transduction before applying antibiotic selection to permit expression of the resistance gene.</w:t>
      </w:r>
    </w:p>
    <w:p w14:paraId="695E8487" w14:textId="77777777" w:rsidR="00D74CAE" w:rsidRPr="005E7D8B" w:rsidRDefault="00D74CAE" w:rsidP="00025BD8">
      <w:pPr>
        <w:pBdr>
          <w:top w:val="nil"/>
          <w:left w:val="nil"/>
          <w:bottom w:val="nil"/>
          <w:right w:val="nil"/>
          <w:between w:val="nil"/>
        </w:pBdr>
        <w:rPr>
          <w:color w:val="000000" w:themeColor="text1"/>
          <w:lang w:val="en-IN"/>
        </w:rPr>
      </w:pPr>
    </w:p>
    <w:p w14:paraId="3456458E" w14:textId="77777777" w:rsidR="00025BD8" w:rsidRDefault="00EC36AF" w:rsidP="00025BD8">
      <w:pPr>
        <w:pBdr>
          <w:top w:val="nil"/>
          <w:left w:val="nil"/>
          <w:bottom w:val="nil"/>
          <w:right w:val="nil"/>
          <w:between w:val="nil"/>
        </w:pBdr>
        <w:rPr>
          <w:color w:val="000000" w:themeColor="text1"/>
          <w:lang w:val="en-IN"/>
        </w:rPr>
      </w:pPr>
      <w:r w:rsidRPr="005F0029">
        <w:rPr>
          <w:color w:val="000000" w:themeColor="text1"/>
          <w:highlight w:val="yellow"/>
          <w:lang w:val="en-IN"/>
        </w:rPr>
        <w:t>1.5. Isolation of single-cell clones by limiting dilution</w:t>
      </w:r>
    </w:p>
    <w:p w14:paraId="2EA4EA88" w14:textId="77777777" w:rsidR="00D74CAE" w:rsidRPr="005E7D8B" w:rsidRDefault="00D74CAE" w:rsidP="00025BD8">
      <w:pPr>
        <w:pBdr>
          <w:top w:val="nil"/>
          <w:left w:val="nil"/>
          <w:bottom w:val="nil"/>
          <w:right w:val="nil"/>
          <w:between w:val="nil"/>
        </w:pBdr>
        <w:rPr>
          <w:color w:val="000000" w:themeColor="text1"/>
          <w:lang w:val="en-IN"/>
        </w:rPr>
      </w:pPr>
    </w:p>
    <w:p w14:paraId="6CB727EF"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w:t>
      </w:r>
      <w:r w:rsidRPr="005F0029">
        <w:rPr>
          <w:color w:val="000000" w:themeColor="text1"/>
          <w:highlight w:val="yellow"/>
          <w:lang w:val="en-IN"/>
        </w:rPr>
        <w:t>.5.1. Detach and count the puromycin-selected STAT6 reporter cells. Prepare a single-cell suspension at 5 cells/mL by serial dilution.</w:t>
      </w:r>
    </w:p>
    <w:p w14:paraId="51FA08EA" w14:textId="77777777" w:rsidR="00D74CAE" w:rsidRPr="005E7D8B" w:rsidRDefault="00D74CAE" w:rsidP="00025BD8">
      <w:pPr>
        <w:pBdr>
          <w:top w:val="nil"/>
          <w:left w:val="nil"/>
          <w:bottom w:val="nil"/>
          <w:right w:val="nil"/>
          <w:between w:val="nil"/>
        </w:pBdr>
        <w:rPr>
          <w:color w:val="000000" w:themeColor="text1"/>
          <w:lang w:val="en-IN"/>
        </w:rPr>
      </w:pPr>
    </w:p>
    <w:p w14:paraId="4983E360"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NOTE: </w:t>
      </w:r>
      <w:r w:rsidRPr="00A05EF3">
        <w:rPr>
          <w:color w:val="000000" w:themeColor="text1"/>
          <w:highlight w:val="yellow"/>
          <w:lang w:val="en-IN"/>
        </w:rPr>
        <w:t>Prevent cell clumping during dilution.</w:t>
      </w:r>
      <w:r w:rsidRPr="005E7D8B">
        <w:rPr>
          <w:color w:val="000000" w:themeColor="text1"/>
          <w:lang w:val="en-IN"/>
        </w:rPr>
        <w:t xml:space="preserve"> Pass the suspension through a cell strainer when necessary.</w:t>
      </w:r>
    </w:p>
    <w:p w14:paraId="4817F544" w14:textId="77777777" w:rsidR="00D74CAE" w:rsidRPr="005E7D8B" w:rsidRDefault="00D74CAE" w:rsidP="00025BD8">
      <w:pPr>
        <w:pBdr>
          <w:top w:val="nil"/>
          <w:left w:val="nil"/>
          <w:bottom w:val="nil"/>
          <w:right w:val="nil"/>
          <w:between w:val="nil"/>
        </w:pBdr>
        <w:rPr>
          <w:color w:val="000000" w:themeColor="text1"/>
          <w:lang w:val="en-IN"/>
        </w:rPr>
      </w:pPr>
    </w:p>
    <w:p w14:paraId="63B6B4E9" w14:textId="77777777" w:rsidR="00025BD8" w:rsidRDefault="00EC36AF" w:rsidP="00025BD8">
      <w:pPr>
        <w:pBdr>
          <w:top w:val="nil"/>
          <w:left w:val="nil"/>
          <w:bottom w:val="nil"/>
          <w:right w:val="nil"/>
          <w:between w:val="nil"/>
        </w:pBdr>
        <w:rPr>
          <w:color w:val="000000" w:themeColor="text1"/>
          <w:lang w:val="en-IN"/>
        </w:rPr>
      </w:pPr>
      <w:r w:rsidRPr="005F0029">
        <w:rPr>
          <w:color w:val="000000" w:themeColor="text1"/>
          <w:highlight w:val="yellow"/>
          <w:lang w:val="en-IN"/>
        </w:rPr>
        <w:t>1.5.2. Dispense 200 µL of the cell suspension into each well of a 96-well culture plate to obtain an average density of approximately one cell per well.</w:t>
      </w:r>
    </w:p>
    <w:p w14:paraId="6E50B7C6" w14:textId="77777777" w:rsidR="00D74CAE" w:rsidRPr="005E7D8B" w:rsidRDefault="00D74CAE" w:rsidP="00025BD8">
      <w:pPr>
        <w:pBdr>
          <w:top w:val="nil"/>
          <w:left w:val="nil"/>
          <w:bottom w:val="nil"/>
          <w:right w:val="nil"/>
          <w:between w:val="nil"/>
        </w:pBdr>
        <w:rPr>
          <w:color w:val="000000" w:themeColor="text1"/>
          <w:lang w:val="en-IN"/>
        </w:rPr>
      </w:pPr>
    </w:p>
    <w:p w14:paraId="73474315"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1.5.3. </w:t>
      </w:r>
      <w:r w:rsidRPr="00A05EF3">
        <w:rPr>
          <w:color w:val="000000" w:themeColor="text1"/>
          <w:highlight w:val="yellow"/>
          <w:lang w:val="en-IN"/>
        </w:rPr>
        <w:t>Examine each well using an inverted microscope within 24 h and identify wells containing a single cell. Exclude wells containing more than one cell or multiple spatially separated cell foci.</w:t>
      </w:r>
    </w:p>
    <w:p w14:paraId="6999FBC3" w14:textId="77777777" w:rsidR="00D74CAE" w:rsidRPr="005E7D8B" w:rsidRDefault="00D74CAE" w:rsidP="00025BD8">
      <w:pPr>
        <w:pBdr>
          <w:top w:val="nil"/>
          <w:left w:val="nil"/>
          <w:bottom w:val="nil"/>
          <w:right w:val="nil"/>
          <w:between w:val="nil"/>
        </w:pBdr>
        <w:rPr>
          <w:color w:val="000000" w:themeColor="text1"/>
          <w:lang w:val="en-IN"/>
        </w:rPr>
      </w:pPr>
    </w:p>
    <w:p w14:paraId="0FE560D0"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1.5.4. Monitor the selected wells during the first week to confirm clonal growth</w:t>
      </w:r>
      <w:r w:rsidRPr="00A05EF3">
        <w:rPr>
          <w:color w:val="000000" w:themeColor="text1"/>
          <w:highlight w:val="yellow"/>
          <w:lang w:val="en-IN"/>
        </w:rPr>
        <w:t>. Replace the culture medium every 3 days.</w:t>
      </w:r>
    </w:p>
    <w:p w14:paraId="69C08D4E" w14:textId="77777777" w:rsidR="00D74CAE" w:rsidRPr="005E7D8B" w:rsidRDefault="00D74CAE" w:rsidP="00025BD8">
      <w:pPr>
        <w:pBdr>
          <w:top w:val="nil"/>
          <w:left w:val="nil"/>
          <w:bottom w:val="nil"/>
          <w:right w:val="nil"/>
          <w:between w:val="nil"/>
        </w:pBdr>
        <w:rPr>
          <w:color w:val="000000" w:themeColor="text1"/>
          <w:lang w:val="en-IN"/>
        </w:rPr>
      </w:pPr>
    </w:p>
    <w:p w14:paraId="6DBFB97E"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1.5.5. </w:t>
      </w:r>
      <w:r w:rsidRPr="00A05EF3">
        <w:rPr>
          <w:color w:val="000000" w:themeColor="text1"/>
          <w:highlight w:val="yellow"/>
          <w:lang w:val="en-IN"/>
        </w:rPr>
        <w:t>Expand each clone in the original 96-well plate for approximately 20 days or until the cells reach confluence. Transfer each clone sequentially to a 6-well plate and then to a T-25 culture flask.</w:t>
      </w:r>
    </w:p>
    <w:p w14:paraId="2042D1E1" w14:textId="77777777" w:rsidR="00D74CAE" w:rsidRPr="005E7D8B" w:rsidRDefault="00D74CAE" w:rsidP="00025BD8">
      <w:pPr>
        <w:pBdr>
          <w:top w:val="nil"/>
          <w:left w:val="nil"/>
          <w:bottom w:val="nil"/>
          <w:right w:val="nil"/>
          <w:between w:val="nil"/>
        </w:pBdr>
        <w:rPr>
          <w:color w:val="000000" w:themeColor="text1"/>
          <w:lang w:val="en-IN"/>
        </w:rPr>
      </w:pPr>
    </w:p>
    <w:p w14:paraId="6F3BFDDF" w14:textId="77777777"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NOTE: Culture the cells in the 6-well plate for approximately 6 days before transferring them to the T-25 </w:t>
      </w:r>
      <w:proofErr w:type="gramStart"/>
      <w:r w:rsidRPr="005E7D8B">
        <w:rPr>
          <w:color w:val="000000" w:themeColor="text1"/>
          <w:lang w:val="en-IN"/>
        </w:rPr>
        <w:t>flask, or</w:t>
      </w:r>
      <w:proofErr w:type="gramEnd"/>
      <w:r w:rsidRPr="005E7D8B">
        <w:rPr>
          <w:color w:val="000000" w:themeColor="text1"/>
          <w:lang w:val="en-IN"/>
        </w:rPr>
        <w:t xml:space="preserve"> transfer them </w:t>
      </w:r>
      <w:r w:rsidRPr="007E25EB">
        <w:rPr>
          <w:color w:val="000000" w:themeColor="text1"/>
          <w:highlight w:val="yellow"/>
          <w:lang w:val="en-IN"/>
        </w:rPr>
        <w:t>when they reach the appropriate confluence</w:t>
      </w:r>
      <w:r w:rsidRPr="005E7D8B">
        <w:rPr>
          <w:color w:val="000000" w:themeColor="text1"/>
          <w:lang w:val="en-IN"/>
        </w:rPr>
        <w:t>.</w:t>
      </w:r>
    </w:p>
    <w:p w14:paraId="1BD141BB" w14:textId="77777777" w:rsidR="00D74CAE" w:rsidRPr="005E7D8B" w:rsidRDefault="00D74CAE" w:rsidP="00025BD8">
      <w:pPr>
        <w:pBdr>
          <w:top w:val="nil"/>
          <w:left w:val="nil"/>
          <w:bottom w:val="nil"/>
          <w:right w:val="nil"/>
          <w:between w:val="nil"/>
        </w:pBdr>
        <w:rPr>
          <w:color w:val="000000" w:themeColor="text1"/>
          <w:lang w:val="en-IN"/>
        </w:rPr>
      </w:pPr>
    </w:p>
    <w:p w14:paraId="6B8751D0" w14:textId="563C106D"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PAUSE POINT: Continue expanding the clones or cryopreserve them at 1 × 10</w:t>
      </w:r>
      <w:r w:rsidR="008F249E">
        <w:rPr>
          <w:color w:val="000000" w:themeColor="text1"/>
          <w:vertAlign w:val="superscript"/>
          <w:lang w:val="en-IN"/>
        </w:rPr>
        <w:t>6</w:t>
      </w:r>
      <w:r w:rsidRPr="005E7D8B">
        <w:rPr>
          <w:color w:val="000000" w:themeColor="text1"/>
          <w:lang w:val="en-IN"/>
        </w:rPr>
        <w:t xml:space="preserve"> cells per vial in 1 mL of cryopreservation medium containing 90% fetal bovine serum and 10% dimethyl sulfoxide.</w:t>
      </w:r>
    </w:p>
    <w:p w14:paraId="55E9445E" w14:textId="77777777" w:rsidR="00D74CAE" w:rsidRPr="005E7D8B" w:rsidRDefault="00D74CAE" w:rsidP="00025BD8">
      <w:pPr>
        <w:pBdr>
          <w:top w:val="nil"/>
          <w:left w:val="nil"/>
          <w:bottom w:val="nil"/>
          <w:right w:val="nil"/>
          <w:between w:val="nil"/>
        </w:pBdr>
        <w:rPr>
          <w:color w:val="000000" w:themeColor="text1"/>
          <w:lang w:val="en-IN"/>
        </w:rPr>
      </w:pPr>
    </w:p>
    <w:p w14:paraId="415A97DE" w14:textId="03CE14AC"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1.5.6. </w:t>
      </w:r>
      <w:r w:rsidRPr="00577E6F">
        <w:rPr>
          <w:color w:val="000000" w:themeColor="text1"/>
          <w:highlight w:val="yellow"/>
          <w:lang w:val="en-IN"/>
        </w:rPr>
        <w:t>Seed each expanded clone at 2 × 10</w:t>
      </w:r>
      <w:r w:rsidR="005D013B" w:rsidRPr="00577E6F">
        <w:rPr>
          <w:color w:val="000000" w:themeColor="text1"/>
          <w:highlight w:val="yellow"/>
          <w:vertAlign w:val="superscript"/>
          <w:lang w:val="en-IN"/>
        </w:rPr>
        <w:t>5</w:t>
      </w:r>
      <w:r w:rsidRPr="00577E6F">
        <w:rPr>
          <w:color w:val="000000" w:themeColor="text1"/>
          <w:highlight w:val="yellow"/>
          <w:lang w:val="en-IN"/>
        </w:rPr>
        <w:t xml:space="preserve"> cells/mL in a 96-well white clear-bottom plate. Incubate the cells overnight.</w:t>
      </w:r>
    </w:p>
    <w:p w14:paraId="6C28DF1A" w14:textId="77777777" w:rsidR="00D74CAE" w:rsidRPr="005E7D8B" w:rsidRDefault="00D74CAE" w:rsidP="00025BD8">
      <w:pPr>
        <w:pBdr>
          <w:top w:val="nil"/>
          <w:left w:val="nil"/>
          <w:bottom w:val="nil"/>
          <w:right w:val="nil"/>
          <w:between w:val="nil"/>
        </w:pBdr>
        <w:rPr>
          <w:color w:val="000000" w:themeColor="text1"/>
          <w:lang w:val="en-IN"/>
        </w:rPr>
      </w:pPr>
    </w:p>
    <w:p w14:paraId="4B80EA80" w14:textId="4B5A7CDE"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1.5.7. </w:t>
      </w:r>
      <w:r w:rsidRPr="00577E6F">
        <w:rPr>
          <w:color w:val="000000" w:themeColor="text1"/>
          <w:highlight w:val="yellow"/>
          <w:lang w:val="en-IN"/>
        </w:rPr>
        <w:t xml:space="preserve">Replace the culture medium with fresh medium containing </w:t>
      </w:r>
      <w:r w:rsidR="0099002E" w:rsidRPr="00577E6F">
        <w:rPr>
          <w:color w:val="000000" w:themeColor="text1"/>
          <w:highlight w:val="yellow"/>
          <w:lang w:val="en-IN"/>
        </w:rPr>
        <w:t xml:space="preserve">IL-4 and IL-13 </w:t>
      </w:r>
      <w:r w:rsidRPr="00577E6F">
        <w:rPr>
          <w:color w:val="000000" w:themeColor="text1"/>
          <w:highlight w:val="yellow"/>
          <w:lang w:val="en-IN"/>
        </w:rPr>
        <w:t>at 10 ng/mL each. Incubate the cells for 24 h.</w:t>
      </w:r>
    </w:p>
    <w:p w14:paraId="6B7EDCB4" w14:textId="77777777" w:rsidR="00D74CAE" w:rsidRPr="005E7D8B" w:rsidRDefault="00D74CAE" w:rsidP="00025BD8">
      <w:pPr>
        <w:pBdr>
          <w:top w:val="nil"/>
          <w:left w:val="nil"/>
          <w:bottom w:val="nil"/>
          <w:right w:val="nil"/>
          <w:between w:val="nil"/>
        </w:pBdr>
        <w:rPr>
          <w:color w:val="000000" w:themeColor="text1"/>
          <w:lang w:val="en-IN"/>
        </w:rPr>
      </w:pPr>
    </w:p>
    <w:p w14:paraId="2BB11BF3" w14:textId="2755DE83" w:rsidR="00025BD8"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1.5.8. </w:t>
      </w:r>
      <w:r w:rsidRPr="007E25EB">
        <w:rPr>
          <w:color w:val="000000" w:themeColor="text1"/>
          <w:highlight w:val="yellow"/>
          <w:lang w:val="en-IN"/>
        </w:rPr>
        <w:t>Measure luciferase activity</w:t>
      </w:r>
      <w:r w:rsidRPr="005E7D8B">
        <w:rPr>
          <w:color w:val="000000" w:themeColor="text1"/>
          <w:lang w:val="en-IN"/>
        </w:rPr>
        <w:t xml:space="preserve"> as described in steps 1.3.6–1.3.7. </w:t>
      </w:r>
      <w:r w:rsidRPr="007E25EB">
        <w:rPr>
          <w:color w:val="000000" w:themeColor="text1"/>
          <w:highlight w:val="yellow"/>
          <w:lang w:val="en-IN"/>
        </w:rPr>
        <w:t>Compare the induced reporter activity among the individual clones.</w:t>
      </w:r>
    </w:p>
    <w:p w14:paraId="322A48E1" w14:textId="77777777" w:rsidR="00D74CAE" w:rsidRPr="005E7D8B" w:rsidRDefault="00D74CAE" w:rsidP="00025BD8">
      <w:pPr>
        <w:pBdr>
          <w:top w:val="nil"/>
          <w:left w:val="nil"/>
          <w:bottom w:val="nil"/>
          <w:right w:val="nil"/>
          <w:between w:val="nil"/>
        </w:pBdr>
        <w:rPr>
          <w:color w:val="000000" w:themeColor="text1"/>
          <w:lang w:val="en-IN"/>
        </w:rPr>
      </w:pPr>
    </w:p>
    <w:p w14:paraId="7676F4B4" w14:textId="77777777" w:rsidR="001E50D7" w:rsidRDefault="00EC36AF" w:rsidP="00025BD8">
      <w:pPr>
        <w:pBdr>
          <w:top w:val="nil"/>
          <w:left w:val="nil"/>
          <w:bottom w:val="nil"/>
          <w:right w:val="nil"/>
          <w:between w:val="nil"/>
        </w:pBdr>
        <w:rPr>
          <w:color w:val="000000" w:themeColor="text1"/>
          <w:lang w:val="en-IN"/>
        </w:rPr>
      </w:pPr>
      <w:r w:rsidRPr="005E7D8B">
        <w:rPr>
          <w:color w:val="000000" w:themeColor="text1"/>
          <w:lang w:val="en-IN"/>
        </w:rPr>
        <w:t xml:space="preserve">1.5.9. </w:t>
      </w:r>
      <w:r w:rsidRPr="007E25EB">
        <w:rPr>
          <w:color w:val="000000" w:themeColor="text1"/>
          <w:highlight w:val="yellow"/>
          <w:lang w:val="en-IN"/>
        </w:rPr>
        <w:t>Repeat the luciferase assay over increasing cell-passage numbers. Select clones that maintain consistent cytokine-induced reporter activity across passages</w:t>
      </w:r>
      <w:r w:rsidRPr="005E7D8B">
        <w:rPr>
          <w:color w:val="000000" w:themeColor="text1"/>
          <w:lang w:val="en-IN"/>
        </w:rPr>
        <w:t>.</w:t>
      </w:r>
      <w:r w:rsidR="00C735BB">
        <w:rPr>
          <w:color w:val="000000" w:themeColor="text1"/>
          <w:lang w:val="en-IN"/>
        </w:rPr>
        <w:t xml:space="preserve"> </w:t>
      </w:r>
    </w:p>
    <w:p w14:paraId="43199A03" w14:textId="77777777" w:rsidR="001E50D7" w:rsidRDefault="001E50D7" w:rsidP="00025BD8">
      <w:pPr>
        <w:pBdr>
          <w:top w:val="nil"/>
          <w:left w:val="nil"/>
          <w:bottom w:val="nil"/>
          <w:right w:val="nil"/>
          <w:between w:val="nil"/>
        </w:pBdr>
        <w:rPr>
          <w:color w:val="000000" w:themeColor="text1"/>
          <w:lang w:val="en-IN"/>
        </w:rPr>
      </w:pPr>
    </w:p>
    <w:p w14:paraId="4489FEE3" w14:textId="75844031" w:rsidR="00025BD8" w:rsidRDefault="00EC36AF" w:rsidP="00025BD8">
      <w:pPr>
        <w:pBdr>
          <w:top w:val="nil"/>
          <w:left w:val="nil"/>
          <w:bottom w:val="nil"/>
          <w:right w:val="nil"/>
          <w:between w:val="nil"/>
        </w:pBdr>
        <w:rPr>
          <w:color w:val="000000" w:themeColor="text1"/>
          <w:lang w:val="en-IN"/>
        </w:rPr>
      </w:pPr>
      <w:r>
        <w:rPr>
          <w:color w:val="000000" w:themeColor="text1"/>
          <w:lang w:val="en-IN"/>
        </w:rPr>
        <w:t xml:space="preserve">NOTE: </w:t>
      </w:r>
      <w:r w:rsidR="003C733D">
        <w:rPr>
          <w:color w:val="000000" w:themeColor="text1"/>
          <w:lang w:val="en-IN"/>
        </w:rPr>
        <w:t>C</w:t>
      </w:r>
      <w:r w:rsidR="00C735BB">
        <w:rPr>
          <w:color w:val="000000" w:themeColor="text1"/>
          <w:lang w:val="en-IN"/>
        </w:rPr>
        <w:t xml:space="preserve">lone 3 was selected </w:t>
      </w:r>
      <w:r w:rsidR="005D013B">
        <w:rPr>
          <w:color w:val="000000" w:themeColor="text1"/>
          <w:lang w:val="en-IN"/>
        </w:rPr>
        <w:t xml:space="preserve">for its low basal luminescence and </w:t>
      </w:r>
      <w:r w:rsidR="00C735BB">
        <w:rPr>
          <w:color w:val="000000" w:themeColor="text1"/>
          <w:lang w:val="en-IN"/>
        </w:rPr>
        <w:t>ability to maintain a consistent cytokine-induced activation signal across serial passages.</w:t>
      </w:r>
    </w:p>
    <w:p w14:paraId="411F2DDE" w14:textId="77777777" w:rsidR="00202A91" w:rsidRDefault="00202A91" w:rsidP="00025BD8">
      <w:pPr>
        <w:pBdr>
          <w:top w:val="nil"/>
          <w:left w:val="nil"/>
          <w:bottom w:val="nil"/>
          <w:right w:val="nil"/>
          <w:between w:val="nil"/>
        </w:pBdr>
        <w:rPr>
          <w:color w:val="000000" w:themeColor="text1"/>
          <w:lang w:val="en-IN"/>
        </w:rPr>
      </w:pPr>
    </w:p>
    <w:p w14:paraId="79E5A2FA" w14:textId="77777777" w:rsidR="00956275" w:rsidRDefault="00EC36AF" w:rsidP="00956275">
      <w:pPr>
        <w:pBdr>
          <w:top w:val="nil"/>
          <w:left w:val="nil"/>
          <w:bottom w:val="nil"/>
          <w:right w:val="nil"/>
          <w:between w:val="nil"/>
        </w:pBdr>
        <w:rPr>
          <w:b/>
          <w:bCs/>
          <w:color w:val="000000" w:themeColor="text1"/>
          <w:lang w:val="en-IN"/>
        </w:rPr>
      </w:pPr>
      <w:r w:rsidRPr="00956275">
        <w:rPr>
          <w:b/>
          <w:bCs/>
          <w:color w:val="000000" w:themeColor="text1"/>
          <w:lang w:val="en-IN"/>
        </w:rPr>
        <w:t>2. Establishment and validation of the STAT6 activity reporter assay</w:t>
      </w:r>
    </w:p>
    <w:p w14:paraId="2F06EDE3" w14:textId="77777777" w:rsidR="00956275" w:rsidRPr="00956275" w:rsidRDefault="00956275" w:rsidP="00956275">
      <w:pPr>
        <w:pBdr>
          <w:top w:val="nil"/>
          <w:left w:val="nil"/>
          <w:bottom w:val="nil"/>
          <w:right w:val="nil"/>
          <w:between w:val="nil"/>
        </w:pBdr>
        <w:rPr>
          <w:b/>
          <w:bCs/>
          <w:color w:val="000000" w:themeColor="text1"/>
          <w:lang w:val="en-IN"/>
        </w:rPr>
      </w:pPr>
    </w:p>
    <w:p w14:paraId="79AA507F" w14:textId="77777777" w:rsidR="00956275" w:rsidRP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 xml:space="preserve">NOTE: </w:t>
      </w:r>
      <w:r w:rsidRPr="00910AD0">
        <w:rPr>
          <w:b/>
          <w:bCs/>
          <w:color w:val="000000" w:themeColor="text1"/>
          <w:lang w:val="en-IN"/>
        </w:rPr>
        <w:t>Figure 2</w:t>
      </w:r>
      <w:r w:rsidRPr="00956275">
        <w:rPr>
          <w:color w:val="000000" w:themeColor="text1"/>
          <w:lang w:val="en-IN"/>
        </w:rPr>
        <w:t xml:space="preserve"> provides an overview of the workflow.</w:t>
      </w:r>
    </w:p>
    <w:p w14:paraId="050BDB81" w14:textId="77777777" w:rsidR="00956275" w:rsidRPr="00956275" w:rsidRDefault="00956275" w:rsidP="00956275">
      <w:pPr>
        <w:pBdr>
          <w:top w:val="nil"/>
          <w:left w:val="nil"/>
          <w:bottom w:val="nil"/>
          <w:right w:val="nil"/>
          <w:between w:val="nil"/>
        </w:pBdr>
        <w:rPr>
          <w:color w:val="000000" w:themeColor="text1"/>
          <w:lang w:val="en-IN"/>
        </w:rPr>
      </w:pPr>
    </w:p>
    <w:p w14:paraId="15DF05C2" w14:textId="77777777" w:rsidR="00956275" w:rsidRDefault="00EC36AF" w:rsidP="00956275">
      <w:pPr>
        <w:pBdr>
          <w:top w:val="nil"/>
          <w:left w:val="nil"/>
          <w:bottom w:val="nil"/>
          <w:right w:val="nil"/>
          <w:between w:val="nil"/>
        </w:pBdr>
        <w:rPr>
          <w:color w:val="000000" w:themeColor="text1"/>
          <w:lang w:val="en-IN"/>
        </w:rPr>
      </w:pPr>
      <w:r w:rsidRPr="007E25EB">
        <w:rPr>
          <w:color w:val="000000" w:themeColor="text1"/>
          <w:lang w:val="en-IN"/>
        </w:rPr>
        <w:t>2.1. Validation of the STAT6 activity reporter assay</w:t>
      </w:r>
    </w:p>
    <w:p w14:paraId="47CD265D" w14:textId="77777777" w:rsidR="00956275" w:rsidRPr="00956275" w:rsidRDefault="00956275" w:rsidP="00956275">
      <w:pPr>
        <w:pBdr>
          <w:top w:val="nil"/>
          <w:left w:val="nil"/>
          <w:bottom w:val="nil"/>
          <w:right w:val="nil"/>
          <w:between w:val="nil"/>
        </w:pBdr>
        <w:rPr>
          <w:color w:val="000000" w:themeColor="text1"/>
          <w:lang w:val="en-IN"/>
        </w:rPr>
      </w:pPr>
    </w:p>
    <w:p w14:paraId="27ECB36D" w14:textId="6A9BFA60"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2.1.1. Seed the STAT6 reporter cells at 2 × 10</w:t>
      </w:r>
      <w:r w:rsidR="009B3948">
        <w:rPr>
          <w:color w:val="000000" w:themeColor="text1"/>
          <w:vertAlign w:val="superscript"/>
          <w:lang w:val="en-IN"/>
        </w:rPr>
        <w:t>5</w:t>
      </w:r>
      <w:r w:rsidRPr="00956275">
        <w:rPr>
          <w:color w:val="000000" w:themeColor="text1"/>
          <w:lang w:val="en-IN"/>
        </w:rPr>
        <w:t xml:space="preserve"> cells/mL into a 96-well white clear-bottom plate using 100 µL of complete culture medium per well. Incubate the cells overnight.</w:t>
      </w:r>
    </w:p>
    <w:p w14:paraId="02E15262" w14:textId="77777777" w:rsidR="00956275" w:rsidRPr="00956275" w:rsidRDefault="00956275" w:rsidP="00956275">
      <w:pPr>
        <w:pBdr>
          <w:top w:val="nil"/>
          <w:left w:val="nil"/>
          <w:bottom w:val="nil"/>
          <w:right w:val="nil"/>
          <w:between w:val="nil"/>
        </w:pBdr>
        <w:rPr>
          <w:color w:val="000000" w:themeColor="text1"/>
          <w:lang w:val="en-IN"/>
        </w:rPr>
      </w:pPr>
    </w:p>
    <w:p w14:paraId="3EAC2F2B" w14:textId="6773DB3E"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 xml:space="preserve">2.1.2. </w:t>
      </w:r>
      <w:r w:rsidRPr="00F85491">
        <w:rPr>
          <w:color w:val="000000" w:themeColor="text1"/>
          <w:lang w:val="en-IN"/>
        </w:rPr>
        <w:t>Replace the culture medium with fresh medium containing</w:t>
      </w:r>
      <w:r w:rsidR="0099002E">
        <w:rPr>
          <w:color w:val="000000" w:themeColor="text1"/>
          <w:lang w:val="en-IN"/>
        </w:rPr>
        <w:t xml:space="preserve"> </w:t>
      </w:r>
      <w:r w:rsidRPr="00F85491">
        <w:rPr>
          <w:color w:val="000000" w:themeColor="text1"/>
          <w:lang w:val="en-IN"/>
        </w:rPr>
        <w:t>IL-4 and IL-13</w:t>
      </w:r>
      <w:r w:rsidRPr="00956275">
        <w:rPr>
          <w:color w:val="000000" w:themeColor="text1"/>
          <w:lang w:val="en-IN"/>
        </w:rPr>
        <w:t xml:space="preserve"> at final concentrations of 10 ng/mL each. Add the selective inhibitors simultaneously as follows: 100 nM AS1517499 (STAT6 inhibitor), 2.5 µM AC-4-130 (STAT5 inhibitor), or 2.5 µM Stattic (STAT3 inhibitor).</w:t>
      </w:r>
      <w:r w:rsidR="00C936B9" w:rsidRPr="00C936B9">
        <w:rPr>
          <w:color w:val="000000" w:themeColor="text1"/>
          <w:lang w:val="en-IN"/>
        </w:rPr>
        <w:t xml:space="preserve"> </w:t>
      </w:r>
    </w:p>
    <w:p w14:paraId="2A1EDF08" w14:textId="77777777" w:rsidR="00956275" w:rsidRPr="00956275" w:rsidRDefault="00956275" w:rsidP="00956275">
      <w:pPr>
        <w:pBdr>
          <w:top w:val="nil"/>
          <w:left w:val="nil"/>
          <w:bottom w:val="nil"/>
          <w:right w:val="nil"/>
          <w:between w:val="nil"/>
        </w:pBdr>
        <w:rPr>
          <w:color w:val="000000" w:themeColor="text1"/>
          <w:lang w:val="en-IN"/>
        </w:rPr>
      </w:pPr>
    </w:p>
    <w:p w14:paraId="6E9A64E7" w14:textId="77777777"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2.1.3. Include a vehicle control containing 0.1% dimethyl sulfoxide (DMSO). Incubate the cells for 24 h.</w:t>
      </w:r>
    </w:p>
    <w:p w14:paraId="091CF252" w14:textId="77777777" w:rsidR="00956275" w:rsidRPr="00956275" w:rsidRDefault="00956275" w:rsidP="00956275">
      <w:pPr>
        <w:pBdr>
          <w:top w:val="nil"/>
          <w:left w:val="nil"/>
          <w:bottom w:val="nil"/>
          <w:right w:val="nil"/>
          <w:between w:val="nil"/>
        </w:pBdr>
        <w:rPr>
          <w:color w:val="000000" w:themeColor="text1"/>
          <w:lang w:val="en-IN"/>
        </w:rPr>
      </w:pPr>
    </w:p>
    <w:p w14:paraId="341DDB6B" w14:textId="52F61C21"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2.1.4. Determine cell viability using the cell-counting assay as described in steps 1.2.3–1.2.5.</w:t>
      </w:r>
    </w:p>
    <w:p w14:paraId="10C45C5E" w14:textId="77777777" w:rsidR="00956275" w:rsidRPr="00956275" w:rsidRDefault="00956275" w:rsidP="00956275">
      <w:pPr>
        <w:pBdr>
          <w:top w:val="nil"/>
          <w:left w:val="nil"/>
          <w:bottom w:val="nil"/>
          <w:right w:val="nil"/>
          <w:between w:val="nil"/>
        </w:pBdr>
        <w:rPr>
          <w:color w:val="000000" w:themeColor="text1"/>
          <w:lang w:val="en-IN"/>
        </w:rPr>
      </w:pPr>
    </w:p>
    <w:p w14:paraId="7877681E" w14:textId="56DEF40E"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2.1.5. Measure luciferase activity as described in steps 1.3.6–1.3.7.</w:t>
      </w:r>
    </w:p>
    <w:p w14:paraId="543FA6ED" w14:textId="77777777" w:rsidR="00C23F3A" w:rsidRPr="00956275" w:rsidRDefault="00C23F3A" w:rsidP="00956275">
      <w:pPr>
        <w:pBdr>
          <w:top w:val="nil"/>
          <w:left w:val="nil"/>
          <w:bottom w:val="nil"/>
          <w:right w:val="nil"/>
          <w:between w:val="nil"/>
        </w:pBdr>
        <w:rPr>
          <w:color w:val="000000" w:themeColor="text1"/>
          <w:lang w:val="en-IN"/>
        </w:rPr>
      </w:pPr>
    </w:p>
    <w:p w14:paraId="17E23558" w14:textId="77777777"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2.1.6. Normalize the luminescence signal of each well to its corresponding cell viability. Express the normalized values relative to the cytokine-treated control group.</w:t>
      </w:r>
    </w:p>
    <w:p w14:paraId="356A817E" w14:textId="77777777" w:rsidR="00C23F3A" w:rsidRPr="00956275" w:rsidRDefault="00C23F3A" w:rsidP="00956275">
      <w:pPr>
        <w:pBdr>
          <w:top w:val="nil"/>
          <w:left w:val="nil"/>
          <w:bottom w:val="nil"/>
          <w:right w:val="nil"/>
          <w:between w:val="nil"/>
        </w:pBdr>
        <w:rPr>
          <w:color w:val="000000" w:themeColor="text1"/>
          <w:lang w:val="en-IN"/>
        </w:rPr>
      </w:pPr>
    </w:p>
    <w:p w14:paraId="5C2540EA" w14:textId="77777777"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NOTE: Reduced cell viability may decrease the luciferase signal independently of STAT6 activity. Interpret reporter activity only after confirming acceptable cell viability.</w:t>
      </w:r>
    </w:p>
    <w:p w14:paraId="2FD80F44" w14:textId="77777777" w:rsidR="00C23F3A" w:rsidRPr="00956275" w:rsidRDefault="00C23F3A" w:rsidP="00956275">
      <w:pPr>
        <w:pBdr>
          <w:top w:val="nil"/>
          <w:left w:val="nil"/>
          <w:bottom w:val="nil"/>
          <w:right w:val="nil"/>
          <w:between w:val="nil"/>
        </w:pBdr>
        <w:rPr>
          <w:color w:val="000000" w:themeColor="text1"/>
          <w:lang w:val="en-IN"/>
        </w:rPr>
      </w:pPr>
    </w:p>
    <w:p w14:paraId="1C3849F2" w14:textId="77777777"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2.2. Evaluation of assay robustness</w:t>
      </w:r>
    </w:p>
    <w:p w14:paraId="4C298131" w14:textId="77777777" w:rsidR="00C23F3A" w:rsidRPr="00956275" w:rsidRDefault="00C23F3A" w:rsidP="00956275">
      <w:pPr>
        <w:pBdr>
          <w:top w:val="nil"/>
          <w:left w:val="nil"/>
          <w:bottom w:val="nil"/>
          <w:right w:val="nil"/>
          <w:between w:val="nil"/>
        </w:pBdr>
        <w:rPr>
          <w:color w:val="000000" w:themeColor="text1"/>
          <w:lang w:val="en-IN"/>
        </w:rPr>
      </w:pPr>
    </w:p>
    <w:p w14:paraId="367982D6" w14:textId="4ADF05E8"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 xml:space="preserve">2.2.1. </w:t>
      </w:r>
      <w:r w:rsidR="006C45A3" w:rsidRPr="006C45A3">
        <w:rPr>
          <w:color w:val="000000" w:themeColor="text1"/>
          <w:lang w:val="en-IN"/>
        </w:rPr>
        <w:t>Evaluate assay robustness by calculating the Z′-factor using 21 replicate wells for both the positive- and negative-control groups.</w:t>
      </w:r>
    </w:p>
    <w:p w14:paraId="457A92DA" w14:textId="77777777" w:rsidR="00C23F3A" w:rsidRPr="00956275" w:rsidRDefault="00C23F3A" w:rsidP="00956275">
      <w:pPr>
        <w:pBdr>
          <w:top w:val="nil"/>
          <w:left w:val="nil"/>
          <w:bottom w:val="nil"/>
          <w:right w:val="nil"/>
          <w:between w:val="nil"/>
        </w:pBdr>
        <w:rPr>
          <w:color w:val="000000" w:themeColor="text1"/>
          <w:lang w:val="en-IN"/>
        </w:rPr>
      </w:pPr>
    </w:p>
    <w:p w14:paraId="6E9D0EE0" w14:textId="77777777" w:rsidR="00956275" w:rsidRP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2.2.2. Calculate the Z′-factor using Equation 3.</w:t>
      </w:r>
    </w:p>
    <w:p w14:paraId="1A509DFD" w14:textId="7F9D4101" w:rsidR="00956275" w:rsidRPr="00956275" w:rsidRDefault="00EC36AF" w:rsidP="00956275">
      <w:pPr>
        <w:pBdr>
          <w:top w:val="nil"/>
          <w:left w:val="nil"/>
          <w:bottom w:val="nil"/>
          <w:right w:val="nil"/>
          <w:between w:val="nil"/>
        </w:pBdr>
        <w:rPr>
          <w:color w:val="000000" w:themeColor="text1"/>
          <w:lang w:val="en-IN"/>
        </w:rPr>
      </w:pPr>
      <m:oMathPara>
        <m:oMath>
          <m:m>
            <m:mPr>
              <m:plcHide m:val="1"/>
              <m:mcs>
                <m:mc>
                  <m:mcPr>
                    <m:count m:val="4"/>
                    <m:mcJc m:val="center"/>
                  </m:mcPr>
                </m:mc>
              </m:mcs>
              <m:ctrlPr>
                <w:rPr>
                  <w:rFonts w:ascii="Cambria Math" w:hAnsi="Cambria Math"/>
                  <w:color w:val="000000" w:themeColor="text1"/>
                  <w:lang w:val="en-IN"/>
                </w:rPr>
              </m:ctrlPr>
            </m:mPr>
            <m:mr>
              <m:e/>
              <m:e>
                <m:sSup>
                  <m:sSupPr>
                    <m:ctrlPr>
                      <w:rPr>
                        <w:rFonts w:ascii="Cambria Math" w:hAnsi="Cambria Math"/>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r>
                  <w:rPr>
                    <w:rFonts w:ascii="Cambria Math" w:hAnsi="Cambria Math"/>
                    <w:color w:val="000000" w:themeColor="text1"/>
                    <w:lang w:val="en-IN"/>
                  </w:rPr>
                  <m:t>=1-</m:t>
                </m:r>
                <m:f>
                  <m:fPr>
                    <m:ctrlPr>
                      <w:rPr>
                        <w:rFonts w:ascii="Cambria Math" w:hAnsi="Cambria Math"/>
                        <w:color w:val="000000" w:themeColor="text1"/>
                        <w:lang w:val="en-IN"/>
                      </w:rPr>
                    </m:ctrlPr>
                  </m:fPr>
                  <m:num>
                    <m:r>
                      <w:rPr>
                        <w:rFonts w:ascii="Cambria Math" w:hAnsi="Cambria Math"/>
                        <w:color w:val="000000" w:themeColor="text1"/>
                        <w:lang w:val="en-IN"/>
                      </w:rPr>
                      <m:t>3</m:t>
                    </m:r>
                    <m:d>
                      <m:dPr>
                        <m:ctrlPr>
                          <w:rPr>
                            <w:rFonts w:ascii="Cambria Math" w:hAnsi="Cambria Math"/>
                            <w:color w:val="000000" w:themeColor="text1"/>
                            <w:lang w:val="en-IN"/>
                          </w:rPr>
                        </m:ctrlPr>
                      </m:dPr>
                      <m:e>
                        <m:sSub>
                          <m:sSubPr>
                            <m:ctrlPr>
                              <w:rPr>
                                <w:rFonts w:ascii="Cambria Math" w:hAnsi="Cambria Math"/>
                                <w:color w:val="000000" w:themeColor="text1"/>
                                <w:lang w:val="en-IN"/>
                              </w:rPr>
                            </m:ctrlPr>
                          </m:sSubPr>
                          <m:e>
                            <m:r>
                              <w:rPr>
                                <w:rFonts w:ascii="Cambria Math" w:hAnsi="Cambria Math"/>
                                <w:color w:val="000000" w:themeColor="text1"/>
                                <w:lang w:val="en-IN"/>
                              </w:rPr>
                              <m:t>σ</m:t>
                            </m:r>
                          </m:e>
                          <m:sub>
                            <m:r>
                              <w:rPr>
                                <w:rFonts w:ascii="Cambria Math" w:hAnsi="Cambria Math"/>
                                <w:color w:val="000000" w:themeColor="text1"/>
                                <w:lang w:val="en-IN"/>
                              </w:rPr>
                              <m:t>p</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w:rPr>
                                <w:rFonts w:ascii="Cambria Math" w:hAnsi="Cambria Math"/>
                                <w:color w:val="000000" w:themeColor="text1"/>
                                <w:lang w:val="en-IN"/>
                              </w:rPr>
                              <m:t>σ</m:t>
                            </m:r>
                          </m:e>
                          <m:sub>
                            <m:r>
                              <w:rPr>
                                <w:rFonts w:ascii="Cambria Math" w:hAnsi="Cambria Math"/>
                                <w:color w:val="000000" w:themeColor="text1"/>
                                <w:lang w:val="en-IN"/>
                              </w:rPr>
                              <m:t>n</m:t>
                            </m:r>
                          </m:sub>
                        </m:sSub>
                      </m:e>
                    </m:d>
                  </m:num>
                  <m:den>
                    <m:d>
                      <m:dPr>
                        <m:begChr m:val="∣"/>
                        <m:endChr m:val="∣"/>
                        <m:ctrlPr>
                          <w:rPr>
                            <w:rFonts w:ascii="Cambria Math" w:hAnsi="Cambria Math"/>
                            <w:color w:val="000000" w:themeColor="text1"/>
                            <w:lang w:val="en-IN"/>
                          </w:rPr>
                        </m:ctrlPr>
                      </m:dPr>
                      <m:e>
                        <m:sSub>
                          <m:sSubPr>
                            <m:ctrlPr>
                              <w:rPr>
                                <w:rFonts w:ascii="Cambria Math" w:hAnsi="Cambria Math"/>
                                <w:color w:val="000000" w:themeColor="text1"/>
                                <w:lang w:val="en-IN"/>
                              </w:rPr>
                            </m:ctrlPr>
                          </m:sSubPr>
                          <m:e>
                            <m:r>
                              <w:rPr>
                                <w:rFonts w:ascii="Cambria Math" w:hAnsi="Cambria Math"/>
                                <w:color w:val="000000" w:themeColor="text1"/>
                                <w:lang w:val="en-IN"/>
                              </w:rPr>
                              <m:t>μ</m:t>
                            </m:r>
                          </m:e>
                          <m:sub>
                            <m:r>
                              <w:rPr>
                                <w:rFonts w:ascii="Cambria Math" w:hAnsi="Cambria Math"/>
                                <w:color w:val="000000" w:themeColor="text1"/>
                                <w:lang w:val="en-IN"/>
                              </w:rPr>
                              <m:t>p</m:t>
                            </m:r>
                          </m:sub>
                        </m:sSub>
                        <m:r>
                          <w:rPr>
                            <w:rFonts w:ascii="Cambria Math" w:hAnsi="Cambria Math"/>
                            <w:color w:val="000000" w:themeColor="text1"/>
                            <w:lang w:val="en-IN"/>
                          </w:rPr>
                          <m:t>-</m:t>
                        </m:r>
                        <m:sSub>
                          <m:sSubPr>
                            <m:ctrlPr>
                              <w:rPr>
                                <w:rFonts w:ascii="Cambria Math" w:hAnsi="Cambria Math"/>
                                <w:color w:val="000000" w:themeColor="text1"/>
                                <w:lang w:val="en-IN"/>
                              </w:rPr>
                            </m:ctrlPr>
                          </m:sSubPr>
                          <m:e>
                            <m:r>
                              <w:rPr>
                                <w:rFonts w:ascii="Cambria Math" w:hAnsi="Cambria Math"/>
                                <w:color w:val="000000" w:themeColor="text1"/>
                                <w:lang w:val="en-IN"/>
                              </w:rPr>
                              <m:t>μ</m:t>
                            </m:r>
                          </m:e>
                          <m:sub>
                            <m:r>
                              <w:rPr>
                                <w:rFonts w:ascii="Cambria Math" w:hAnsi="Cambria Math"/>
                                <w:color w:val="000000" w:themeColor="text1"/>
                                <w:lang w:val="en-IN"/>
                              </w:rPr>
                              <m:t>n</m:t>
                            </m:r>
                          </m:sub>
                        </m:sSub>
                      </m:e>
                    </m:d>
                  </m:den>
                </m:f>
              </m:e>
              <m:e/>
              <m:e>
                <m:r>
                  <m:rPr>
                    <m:nor/>
                  </m:rPr>
                  <w:rPr>
                    <w:color w:val="000000" w:themeColor="text1"/>
                    <w:lang w:val="en-IN"/>
                  </w:rPr>
                  <m:t>(</m:t>
                </m:r>
                <m:r>
                  <m:rPr>
                    <m:nor/>
                  </m:rPr>
                  <w:rPr>
                    <w:rFonts w:ascii="Cambria Math"/>
                    <w:color w:val="000000" w:themeColor="text1"/>
                    <w:lang w:val="en-IN"/>
                  </w:rPr>
                  <m:t>3</m:t>
                </m:r>
                <m:r>
                  <m:rPr>
                    <m:nor/>
                  </m:rPr>
                  <w:rPr>
                    <w:color w:val="000000" w:themeColor="text1"/>
                    <w:lang w:val="en-IN"/>
                  </w:rPr>
                  <m:t>)</m:t>
                </m:r>
              </m:e>
            </m:mr>
          </m:m>
          <m:r>
            <m:rPr>
              <m:sty m:val="p"/>
            </m:rPr>
            <w:rPr>
              <w:color w:val="000000" w:themeColor="text1"/>
              <w:lang w:val="en-IN"/>
            </w:rPr>
            <w:br/>
          </m:r>
        </m:oMath>
      </m:oMathPara>
    </w:p>
    <w:p w14:paraId="21C9BB11" w14:textId="3B77AB02" w:rsidR="00956275" w:rsidRPr="00956275" w:rsidRDefault="00EC36AF" w:rsidP="00956275">
      <w:pPr>
        <w:pBdr>
          <w:top w:val="nil"/>
          <w:left w:val="nil"/>
          <w:bottom w:val="nil"/>
          <w:right w:val="nil"/>
          <w:between w:val="nil"/>
        </w:pBdr>
        <w:rPr>
          <w:color w:val="000000" w:themeColor="text1"/>
          <w:lang w:val="en-IN"/>
        </w:rPr>
      </w:pPr>
      <w:r>
        <w:rPr>
          <w:color w:val="000000" w:themeColor="text1"/>
          <w:lang w:val="en-IN"/>
        </w:rPr>
        <w:t>w</w:t>
      </w:r>
      <w:r w:rsidR="0007776B" w:rsidRPr="00956275">
        <w:rPr>
          <w:color w:val="000000" w:themeColor="text1"/>
          <w:lang w:val="en-IN"/>
        </w:rPr>
        <w:t>here</w:t>
      </w:r>
      <w:r>
        <w:rPr>
          <w:color w:val="000000" w:themeColor="text1"/>
          <w:lang w:val="en-IN"/>
        </w:rPr>
        <w:t>:</w:t>
      </w:r>
    </w:p>
    <w:p w14:paraId="531A51F1" w14:textId="38280A78" w:rsidR="00956275" w:rsidRPr="00956275" w:rsidRDefault="00EC36AF" w:rsidP="00956275">
      <w:pPr>
        <w:pBdr>
          <w:top w:val="nil"/>
          <w:left w:val="nil"/>
          <w:bottom w:val="nil"/>
          <w:right w:val="nil"/>
          <w:between w:val="nil"/>
        </w:pBdr>
        <w:rPr>
          <w:color w:val="000000" w:themeColor="text1"/>
          <w:lang w:val="en-IN"/>
        </w:rPr>
      </w:pPr>
      <m:oMathPara>
        <m:oMath>
          <m:sSub>
            <m:sSubPr>
              <m:ctrlPr>
                <w:rPr>
                  <w:rFonts w:ascii="Cambria Math" w:hAnsi="Cambria Math"/>
                  <w:color w:val="000000" w:themeColor="text1"/>
                  <w:lang w:val="en-IN"/>
                </w:rPr>
              </m:ctrlPr>
            </m:sSubPr>
            <m:e>
              <m:r>
                <w:rPr>
                  <w:rFonts w:ascii="Cambria Math" w:hAnsi="Cambria Math"/>
                  <w:color w:val="000000" w:themeColor="text1"/>
                  <w:lang w:val="en-IN"/>
                </w:rPr>
                <m:t>σ</m:t>
              </m:r>
            </m:e>
            <m:sub>
              <m:r>
                <w:rPr>
                  <w:rFonts w:ascii="Cambria Math" w:hAnsi="Cambria Math"/>
                  <w:color w:val="000000" w:themeColor="text1"/>
                  <w:lang w:val="en-IN"/>
                </w:rPr>
                <m:t>p</m:t>
              </m:r>
            </m:sub>
          </m:sSub>
          <m:r>
            <w:rPr>
              <w:rFonts w:ascii="Cambria Math" w:hAnsi="Cambria Math"/>
              <w:color w:val="000000" w:themeColor="text1"/>
              <w:lang w:val="en-IN"/>
            </w:rPr>
            <m:t>=</m:t>
          </m:r>
          <m:r>
            <m:rPr>
              <m:nor/>
            </m:rPr>
            <w:rPr>
              <w:color w:val="000000" w:themeColor="text1"/>
              <w:lang w:val="en-IN"/>
            </w:rPr>
            <m:t>standard deviation of the positive control</m:t>
          </m:r>
          <m:r>
            <m:rPr>
              <m:sty m:val="p"/>
            </m:rPr>
            <w:rPr>
              <w:color w:val="000000" w:themeColor="text1"/>
              <w:lang w:val="en-IN"/>
            </w:rPr>
            <w:br/>
          </m:r>
        </m:oMath>
        <m:oMath>
          <m:sSub>
            <m:sSubPr>
              <m:ctrlPr>
                <w:rPr>
                  <w:rFonts w:ascii="Cambria Math" w:hAnsi="Cambria Math"/>
                  <w:color w:val="000000" w:themeColor="text1"/>
                  <w:lang w:val="en-IN"/>
                </w:rPr>
              </m:ctrlPr>
            </m:sSubPr>
            <m:e>
              <m:r>
                <w:rPr>
                  <w:rFonts w:ascii="Cambria Math" w:hAnsi="Cambria Math"/>
                  <w:color w:val="000000" w:themeColor="text1"/>
                  <w:lang w:val="en-IN"/>
                </w:rPr>
                <m:t>σ</m:t>
              </m:r>
            </m:e>
            <m:sub>
              <m:r>
                <w:rPr>
                  <w:rFonts w:ascii="Cambria Math" w:hAnsi="Cambria Math"/>
                  <w:color w:val="000000" w:themeColor="text1"/>
                  <w:lang w:val="en-IN"/>
                </w:rPr>
                <m:t>n</m:t>
              </m:r>
            </m:sub>
          </m:sSub>
          <m:r>
            <w:rPr>
              <w:rFonts w:ascii="Cambria Math" w:hAnsi="Cambria Math"/>
              <w:color w:val="000000" w:themeColor="text1"/>
              <w:lang w:val="en-IN"/>
            </w:rPr>
            <m:t>=</m:t>
          </m:r>
          <m:r>
            <m:rPr>
              <m:nor/>
            </m:rPr>
            <w:rPr>
              <w:color w:val="000000" w:themeColor="text1"/>
              <w:lang w:val="en-IN"/>
            </w:rPr>
            <m:t>standard deviation of the negative control</m:t>
          </m:r>
          <m:r>
            <m:rPr>
              <m:sty m:val="p"/>
            </m:rPr>
            <w:rPr>
              <w:color w:val="000000" w:themeColor="text1"/>
              <w:lang w:val="en-IN"/>
            </w:rPr>
            <w:br/>
          </m:r>
        </m:oMath>
        <m:oMath>
          <m:sSub>
            <m:sSubPr>
              <m:ctrlPr>
                <w:rPr>
                  <w:rFonts w:ascii="Cambria Math" w:hAnsi="Cambria Math"/>
                  <w:color w:val="000000" w:themeColor="text1"/>
                  <w:lang w:val="en-IN"/>
                </w:rPr>
              </m:ctrlPr>
            </m:sSubPr>
            <m:e>
              <m:r>
                <w:rPr>
                  <w:rFonts w:ascii="Cambria Math" w:hAnsi="Cambria Math"/>
                  <w:color w:val="000000" w:themeColor="text1"/>
                  <w:lang w:val="en-IN"/>
                </w:rPr>
                <m:t>μ</m:t>
              </m:r>
            </m:e>
            <m:sub>
              <m:r>
                <w:rPr>
                  <w:rFonts w:ascii="Cambria Math" w:hAnsi="Cambria Math"/>
                  <w:color w:val="000000" w:themeColor="text1"/>
                  <w:lang w:val="en-IN"/>
                </w:rPr>
                <m:t>p</m:t>
              </m:r>
            </m:sub>
          </m:sSub>
          <m:r>
            <w:rPr>
              <w:rFonts w:ascii="Cambria Math" w:hAnsi="Cambria Math"/>
              <w:color w:val="000000" w:themeColor="text1"/>
              <w:lang w:val="en-IN"/>
            </w:rPr>
            <m:t>=</m:t>
          </m:r>
          <m:r>
            <m:rPr>
              <m:nor/>
            </m:rPr>
            <w:rPr>
              <w:color w:val="000000" w:themeColor="text1"/>
              <w:lang w:val="en-IN"/>
            </w:rPr>
            <m:t>mean signal of the positive control</m:t>
          </m:r>
          <m:r>
            <m:rPr>
              <m:sty m:val="p"/>
            </m:rPr>
            <w:rPr>
              <w:color w:val="000000" w:themeColor="text1"/>
              <w:lang w:val="en-IN"/>
            </w:rPr>
            <w:br/>
          </m:r>
        </m:oMath>
        <m:oMath>
          <m:sSub>
            <m:sSubPr>
              <m:ctrlPr>
                <w:rPr>
                  <w:rFonts w:ascii="Cambria Math" w:hAnsi="Cambria Math"/>
                  <w:color w:val="000000" w:themeColor="text1"/>
                  <w:lang w:val="en-IN"/>
                </w:rPr>
              </m:ctrlPr>
            </m:sSubPr>
            <m:e>
              <m:r>
                <w:rPr>
                  <w:rFonts w:ascii="Cambria Math" w:hAnsi="Cambria Math"/>
                  <w:color w:val="000000" w:themeColor="text1"/>
                  <w:lang w:val="en-IN"/>
                </w:rPr>
                <m:t>μ</m:t>
              </m:r>
            </m:e>
            <m:sub>
              <m:r>
                <w:rPr>
                  <w:rFonts w:ascii="Cambria Math" w:hAnsi="Cambria Math"/>
                  <w:color w:val="000000" w:themeColor="text1"/>
                  <w:lang w:val="en-IN"/>
                </w:rPr>
                <m:t>n</m:t>
              </m:r>
            </m:sub>
          </m:sSub>
          <m:r>
            <w:rPr>
              <w:rFonts w:ascii="Cambria Math" w:hAnsi="Cambria Math"/>
              <w:color w:val="000000" w:themeColor="text1"/>
              <w:lang w:val="en-IN"/>
            </w:rPr>
            <m:t>=</m:t>
          </m:r>
          <m:r>
            <m:rPr>
              <m:nor/>
            </m:rPr>
            <w:rPr>
              <w:color w:val="000000" w:themeColor="text1"/>
              <w:lang w:val="en-IN"/>
            </w:rPr>
            <m:t>mean signal of the negative control</m:t>
          </m:r>
          <m:r>
            <m:rPr>
              <m:sty m:val="p"/>
            </m:rPr>
            <w:rPr>
              <w:color w:val="000000" w:themeColor="text1"/>
              <w:lang w:val="en-IN"/>
            </w:rPr>
            <w:br/>
          </m:r>
        </m:oMath>
      </m:oMathPara>
    </w:p>
    <w:p w14:paraId="5EFA4B7F" w14:textId="69C9D5A9" w:rsidR="00956275" w:rsidRDefault="00EC36AF" w:rsidP="00956275">
      <w:pPr>
        <w:pBdr>
          <w:top w:val="nil"/>
          <w:left w:val="nil"/>
          <w:bottom w:val="nil"/>
          <w:right w:val="nil"/>
          <w:between w:val="nil"/>
        </w:pBdr>
        <w:rPr>
          <w:color w:val="000000" w:themeColor="text1"/>
          <w:lang w:val="en-IN"/>
        </w:rPr>
      </w:pPr>
      <w:r w:rsidRPr="00956275">
        <w:rPr>
          <w:color w:val="000000" w:themeColor="text1"/>
          <w:lang w:val="en-IN"/>
        </w:rPr>
        <w:t>NOTE: A Z′-factor between 0.5 and 1.0 indicates that the assay is suitable for high-throughput screening.</w:t>
      </w:r>
    </w:p>
    <w:p w14:paraId="4CA532F1" w14:textId="77777777" w:rsidR="00106379" w:rsidRPr="00956275" w:rsidRDefault="00106379" w:rsidP="00956275">
      <w:pPr>
        <w:pBdr>
          <w:top w:val="nil"/>
          <w:left w:val="nil"/>
          <w:bottom w:val="nil"/>
          <w:right w:val="nil"/>
          <w:between w:val="nil"/>
        </w:pBdr>
        <w:rPr>
          <w:color w:val="000000" w:themeColor="text1"/>
          <w:lang w:val="en-IN"/>
        </w:rPr>
      </w:pPr>
    </w:p>
    <w:p w14:paraId="2EB10E06" w14:textId="77777777" w:rsidR="00106379" w:rsidRDefault="00EC36AF" w:rsidP="00106379">
      <w:pPr>
        <w:pBdr>
          <w:top w:val="nil"/>
          <w:left w:val="nil"/>
          <w:bottom w:val="nil"/>
          <w:right w:val="nil"/>
          <w:between w:val="nil"/>
        </w:pBdr>
        <w:rPr>
          <w:b/>
          <w:bCs/>
          <w:color w:val="000000" w:themeColor="text1"/>
          <w:lang w:val="en-IN"/>
        </w:rPr>
      </w:pPr>
      <w:r w:rsidRPr="007E25EB">
        <w:rPr>
          <w:b/>
          <w:bCs/>
          <w:color w:val="000000" w:themeColor="text1"/>
          <w:highlight w:val="yellow"/>
          <w:lang w:val="en-IN"/>
        </w:rPr>
        <w:t>3. Application of the STAT6 reporter assay for screening environmental toxicants</w:t>
      </w:r>
    </w:p>
    <w:p w14:paraId="31E8B9BC" w14:textId="77777777" w:rsidR="00106379" w:rsidRPr="00106379" w:rsidRDefault="00106379" w:rsidP="00106379">
      <w:pPr>
        <w:pBdr>
          <w:top w:val="nil"/>
          <w:left w:val="nil"/>
          <w:bottom w:val="nil"/>
          <w:right w:val="nil"/>
          <w:between w:val="nil"/>
        </w:pBdr>
        <w:rPr>
          <w:b/>
          <w:bCs/>
          <w:color w:val="000000" w:themeColor="text1"/>
          <w:lang w:val="en-IN"/>
        </w:rPr>
      </w:pPr>
    </w:p>
    <w:p w14:paraId="5973C0D0" w14:textId="21FC4F95" w:rsidR="00106379" w:rsidRPr="00106379" w:rsidRDefault="00EC36AF" w:rsidP="00106379">
      <w:pPr>
        <w:pBdr>
          <w:top w:val="nil"/>
          <w:left w:val="nil"/>
          <w:bottom w:val="nil"/>
          <w:right w:val="nil"/>
          <w:between w:val="nil"/>
        </w:pBdr>
        <w:rPr>
          <w:color w:val="000000" w:themeColor="text1"/>
          <w:lang w:val="en-IN"/>
        </w:rPr>
      </w:pPr>
      <w:r w:rsidRPr="00106379">
        <w:rPr>
          <w:color w:val="000000" w:themeColor="text1"/>
          <w:lang w:val="en-IN"/>
        </w:rPr>
        <w:t>CAUTION: Handle polycyclic aromatic hydrocarbons and heavy-metal salts as toxic and potentially carcinogenic materials. Use appropriate personal protective equipment, perform all manipulations in a certified chemical fume hood, and dispose of contaminated materials in accordance with institutional hazardous waste procedures.</w:t>
      </w:r>
    </w:p>
    <w:p w14:paraId="415D1B2B" w14:textId="77777777" w:rsidR="00106379" w:rsidRPr="00106379" w:rsidRDefault="00106379" w:rsidP="00106379">
      <w:pPr>
        <w:pBdr>
          <w:top w:val="nil"/>
          <w:left w:val="nil"/>
          <w:bottom w:val="nil"/>
          <w:right w:val="nil"/>
          <w:between w:val="nil"/>
        </w:pBdr>
        <w:rPr>
          <w:color w:val="000000" w:themeColor="text1"/>
          <w:lang w:val="en-IN"/>
        </w:rPr>
      </w:pPr>
    </w:p>
    <w:p w14:paraId="48B8D416" w14:textId="77777777" w:rsidR="00106379" w:rsidRDefault="00EC36AF" w:rsidP="00106379">
      <w:pPr>
        <w:pBdr>
          <w:top w:val="nil"/>
          <w:left w:val="nil"/>
          <w:bottom w:val="nil"/>
          <w:right w:val="nil"/>
          <w:between w:val="nil"/>
        </w:pBdr>
        <w:rPr>
          <w:color w:val="000000" w:themeColor="text1"/>
          <w:lang w:val="en-IN"/>
        </w:rPr>
      </w:pPr>
      <w:r w:rsidRPr="007E25EB">
        <w:rPr>
          <w:color w:val="000000" w:themeColor="text1"/>
          <w:highlight w:val="yellow"/>
          <w:lang w:val="en-IN"/>
        </w:rPr>
        <w:t>3.1. Environmental toxicant screening</w:t>
      </w:r>
    </w:p>
    <w:p w14:paraId="026B857B" w14:textId="77777777" w:rsidR="00106379" w:rsidRPr="00106379" w:rsidRDefault="00106379" w:rsidP="00106379">
      <w:pPr>
        <w:pBdr>
          <w:top w:val="nil"/>
          <w:left w:val="nil"/>
          <w:bottom w:val="nil"/>
          <w:right w:val="nil"/>
          <w:between w:val="nil"/>
        </w:pBdr>
        <w:rPr>
          <w:color w:val="000000" w:themeColor="text1"/>
          <w:lang w:val="en-IN"/>
        </w:rPr>
      </w:pPr>
    </w:p>
    <w:p w14:paraId="75AD38BD" w14:textId="6FCD7E40" w:rsidR="00106379" w:rsidRDefault="00EC36AF" w:rsidP="00106379">
      <w:pPr>
        <w:pBdr>
          <w:top w:val="nil"/>
          <w:left w:val="nil"/>
          <w:bottom w:val="nil"/>
          <w:right w:val="nil"/>
          <w:between w:val="nil"/>
        </w:pBdr>
        <w:rPr>
          <w:color w:val="000000" w:themeColor="text1"/>
          <w:lang w:val="en-IN"/>
        </w:rPr>
      </w:pPr>
      <w:r w:rsidRPr="007E25EB">
        <w:rPr>
          <w:color w:val="000000" w:themeColor="text1"/>
          <w:highlight w:val="yellow"/>
          <w:lang w:val="en-IN"/>
        </w:rPr>
        <w:t>3.1.1. Seed the STAT6 reporter cells at 2 × 10</w:t>
      </w:r>
      <w:r w:rsidR="001C425E" w:rsidRPr="007E25EB">
        <w:rPr>
          <w:color w:val="000000" w:themeColor="text1"/>
          <w:highlight w:val="yellow"/>
          <w:vertAlign w:val="superscript"/>
          <w:lang w:val="en-IN"/>
        </w:rPr>
        <w:t>5</w:t>
      </w:r>
      <w:r w:rsidRPr="007E25EB">
        <w:rPr>
          <w:color w:val="000000" w:themeColor="text1"/>
          <w:highlight w:val="yellow"/>
          <w:lang w:val="en-IN"/>
        </w:rPr>
        <w:t xml:space="preserve"> cells/mL into a 96-well white clear-bottom plate using 100 µL of complete culture medium per well. Incubate the cells overnight.</w:t>
      </w:r>
    </w:p>
    <w:p w14:paraId="5438BB4C" w14:textId="77777777" w:rsidR="00106379" w:rsidRPr="00106379" w:rsidRDefault="00106379" w:rsidP="00106379">
      <w:pPr>
        <w:pBdr>
          <w:top w:val="nil"/>
          <w:left w:val="nil"/>
          <w:bottom w:val="nil"/>
          <w:right w:val="nil"/>
          <w:between w:val="nil"/>
        </w:pBdr>
        <w:rPr>
          <w:color w:val="000000" w:themeColor="text1"/>
          <w:lang w:val="en-IN"/>
        </w:rPr>
      </w:pPr>
    </w:p>
    <w:p w14:paraId="1166A851" w14:textId="14718874" w:rsidR="00106379" w:rsidRDefault="00EC36AF" w:rsidP="00106379">
      <w:pPr>
        <w:pBdr>
          <w:top w:val="nil"/>
          <w:left w:val="nil"/>
          <w:bottom w:val="nil"/>
          <w:right w:val="nil"/>
          <w:between w:val="nil"/>
        </w:pBdr>
        <w:rPr>
          <w:color w:val="000000" w:themeColor="text1"/>
          <w:lang w:val="en-IN"/>
        </w:rPr>
      </w:pPr>
      <w:r w:rsidRPr="007E25EB">
        <w:rPr>
          <w:color w:val="000000" w:themeColor="text1"/>
          <w:highlight w:val="yellow"/>
          <w:lang w:val="en-IN"/>
        </w:rPr>
        <w:t>3.1.2. Replace the culture medium with fresh medium containing each test compound at the desired final concentration</w:t>
      </w:r>
      <w:r w:rsidR="00DB4CAA" w:rsidRPr="007E25EB">
        <w:rPr>
          <w:color w:val="000000" w:themeColor="text1"/>
          <w:highlight w:val="yellow"/>
          <w:lang w:val="en-IN"/>
        </w:rPr>
        <w:t>, which is 10 µM</w:t>
      </w:r>
      <w:r w:rsidR="00EE0564" w:rsidRPr="007E25EB">
        <w:rPr>
          <w:color w:val="000000" w:themeColor="text1"/>
          <w:highlight w:val="yellow"/>
          <w:lang w:val="en-IN"/>
        </w:rPr>
        <w:t xml:space="preserve"> for this protocol, </w:t>
      </w:r>
      <w:r w:rsidR="00EE0564" w:rsidRPr="007E25EB">
        <w:rPr>
          <w:color w:val="000000" w:themeColor="text1"/>
          <w:lang w:val="en-IN"/>
        </w:rPr>
        <w:t xml:space="preserve">and </w:t>
      </w:r>
      <w:r w:rsidR="00444872" w:rsidRPr="007E25EB">
        <w:rPr>
          <w:color w:val="000000" w:themeColor="text1"/>
          <w:lang w:val="en-IN"/>
        </w:rPr>
        <w:t>treat the cells</w:t>
      </w:r>
      <w:r w:rsidR="00EE0564" w:rsidRPr="007E25EB">
        <w:rPr>
          <w:color w:val="000000" w:themeColor="text1"/>
          <w:lang w:val="en-IN"/>
        </w:rPr>
        <w:t xml:space="preserve"> in the absence of </w:t>
      </w:r>
      <w:r w:rsidR="00E848AB" w:rsidRPr="007E25EB">
        <w:rPr>
          <w:color w:val="000000" w:themeColor="text1"/>
          <w:lang w:val="en-IN"/>
        </w:rPr>
        <w:t>IL</w:t>
      </w:r>
      <w:r w:rsidR="0025761B" w:rsidRPr="007E25EB">
        <w:rPr>
          <w:color w:val="000000" w:themeColor="text1"/>
          <w:lang w:val="en-IN"/>
        </w:rPr>
        <w:t xml:space="preserve">-4 and </w:t>
      </w:r>
      <w:r w:rsidR="00E848AB" w:rsidRPr="007E25EB">
        <w:rPr>
          <w:color w:val="000000" w:themeColor="text1"/>
          <w:lang w:val="en-IN"/>
        </w:rPr>
        <w:t>IL</w:t>
      </w:r>
      <w:r w:rsidR="0025761B" w:rsidRPr="007E25EB">
        <w:rPr>
          <w:color w:val="000000" w:themeColor="text1"/>
          <w:lang w:val="en-IN"/>
        </w:rPr>
        <w:t>-13</w:t>
      </w:r>
      <w:r w:rsidR="00EE0564" w:rsidRPr="007E25EB">
        <w:rPr>
          <w:color w:val="000000" w:themeColor="text1"/>
          <w:lang w:val="en-IN"/>
        </w:rPr>
        <w:t>.</w:t>
      </w:r>
      <w:r w:rsidR="00EE0564">
        <w:rPr>
          <w:color w:val="000000" w:themeColor="text1"/>
          <w:lang w:val="en-IN"/>
        </w:rPr>
        <w:t xml:space="preserve"> </w:t>
      </w:r>
    </w:p>
    <w:p w14:paraId="68E1E5E9" w14:textId="77777777" w:rsidR="00106379" w:rsidRPr="00106379" w:rsidRDefault="00106379" w:rsidP="00106379">
      <w:pPr>
        <w:pBdr>
          <w:top w:val="nil"/>
          <w:left w:val="nil"/>
          <w:bottom w:val="nil"/>
          <w:right w:val="nil"/>
          <w:between w:val="nil"/>
        </w:pBdr>
        <w:rPr>
          <w:color w:val="000000" w:themeColor="text1"/>
          <w:lang w:val="en-IN"/>
        </w:rPr>
      </w:pPr>
    </w:p>
    <w:p w14:paraId="2A53F66E" w14:textId="5C1199E7" w:rsidR="00106379" w:rsidRDefault="00EC36AF" w:rsidP="00106379">
      <w:pPr>
        <w:pBdr>
          <w:top w:val="nil"/>
          <w:left w:val="nil"/>
          <w:bottom w:val="nil"/>
          <w:right w:val="nil"/>
          <w:between w:val="nil"/>
        </w:pBdr>
        <w:rPr>
          <w:color w:val="000000" w:themeColor="text1"/>
          <w:lang w:val="en-IN"/>
        </w:rPr>
      </w:pPr>
      <w:r w:rsidRPr="00106379">
        <w:rPr>
          <w:color w:val="000000" w:themeColor="text1"/>
          <w:lang w:val="en-IN"/>
        </w:rPr>
        <w:t xml:space="preserve">3.1.3. </w:t>
      </w:r>
      <w:r w:rsidRPr="007E25EB">
        <w:rPr>
          <w:color w:val="000000" w:themeColor="text1"/>
          <w:highlight w:val="yellow"/>
          <w:lang w:val="en-IN"/>
        </w:rPr>
        <w:t xml:space="preserve">Include a negative-control group containing 0.1% dimethyl sulfoxide and a positive-control group containing </w:t>
      </w:r>
      <w:r w:rsidR="00E848AB" w:rsidRPr="007E25EB">
        <w:rPr>
          <w:color w:val="000000" w:themeColor="text1"/>
          <w:highlight w:val="yellow"/>
          <w:lang w:val="en-IN"/>
        </w:rPr>
        <w:t xml:space="preserve">IL-4 and IL-13 </w:t>
      </w:r>
      <w:r w:rsidRPr="007E25EB">
        <w:rPr>
          <w:color w:val="000000" w:themeColor="text1"/>
          <w:highlight w:val="yellow"/>
          <w:lang w:val="en-IN"/>
        </w:rPr>
        <w:t>at 10 ng/mL each. Incubate the cells for 24 h</w:t>
      </w:r>
      <w:r w:rsidRPr="00106379">
        <w:rPr>
          <w:color w:val="000000" w:themeColor="text1"/>
          <w:lang w:val="en-IN"/>
        </w:rPr>
        <w:t>.</w:t>
      </w:r>
    </w:p>
    <w:p w14:paraId="1B4ECB64" w14:textId="77777777" w:rsidR="00106379" w:rsidRPr="00106379" w:rsidRDefault="00106379" w:rsidP="00106379">
      <w:pPr>
        <w:pBdr>
          <w:top w:val="nil"/>
          <w:left w:val="nil"/>
          <w:bottom w:val="nil"/>
          <w:right w:val="nil"/>
          <w:between w:val="nil"/>
        </w:pBdr>
        <w:rPr>
          <w:color w:val="000000" w:themeColor="text1"/>
          <w:lang w:val="en-IN"/>
        </w:rPr>
      </w:pPr>
    </w:p>
    <w:p w14:paraId="7221ACFB" w14:textId="35EA13D0" w:rsidR="00106379" w:rsidRPr="007E25EB" w:rsidRDefault="00EC36AF" w:rsidP="00106379">
      <w:pPr>
        <w:pBdr>
          <w:top w:val="nil"/>
          <w:left w:val="nil"/>
          <w:bottom w:val="nil"/>
          <w:right w:val="nil"/>
          <w:between w:val="nil"/>
        </w:pBdr>
        <w:rPr>
          <w:color w:val="000000" w:themeColor="text1"/>
          <w:lang w:val="en-IN"/>
        </w:rPr>
      </w:pPr>
      <w:r w:rsidRPr="00106379">
        <w:rPr>
          <w:color w:val="000000" w:themeColor="text1"/>
          <w:lang w:val="en-IN"/>
        </w:rPr>
        <w:t xml:space="preserve">3.1.4. </w:t>
      </w:r>
      <w:r w:rsidRPr="007E25EB">
        <w:rPr>
          <w:color w:val="000000" w:themeColor="text1"/>
          <w:lang w:val="en-IN"/>
        </w:rPr>
        <w:t>Determine cell viability using the cell-counting assay</w:t>
      </w:r>
      <w:r w:rsidRPr="007E25EB">
        <w:rPr>
          <w:color w:val="000000" w:themeColor="text1"/>
          <w:lang w:val="en-IN"/>
        </w:rPr>
        <w:t xml:space="preserve"> as described in steps 1.2.3–1.2.5.</w:t>
      </w:r>
    </w:p>
    <w:p w14:paraId="1A9701DD" w14:textId="77777777" w:rsidR="00106379" w:rsidRPr="007E25EB" w:rsidRDefault="00106379" w:rsidP="00106379">
      <w:pPr>
        <w:pBdr>
          <w:top w:val="nil"/>
          <w:left w:val="nil"/>
          <w:bottom w:val="nil"/>
          <w:right w:val="nil"/>
          <w:between w:val="nil"/>
        </w:pBdr>
        <w:rPr>
          <w:color w:val="000000" w:themeColor="text1"/>
          <w:lang w:val="en-IN"/>
        </w:rPr>
      </w:pPr>
    </w:p>
    <w:p w14:paraId="10F5FCEB" w14:textId="00735895" w:rsidR="00106379" w:rsidRDefault="00EC36AF" w:rsidP="00106379">
      <w:pPr>
        <w:pBdr>
          <w:top w:val="nil"/>
          <w:left w:val="nil"/>
          <w:bottom w:val="nil"/>
          <w:right w:val="nil"/>
          <w:between w:val="nil"/>
        </w:pBdr>
        <w:rPr>
          <w:color w:val="000000" w:themeColor="text1"/>
          <w:lang w:val="en-IN"/>
        </w:rPr>
      </w:pPr>
      <w:r w:rsidRPr="007E25EB">
        <w:rPr>
          <w:color w:val="000000" w:themeColor="text1"/>
          <w:lang w:val="en-IN"/>
        </w:rPr>
        <w:t xml:space="preserve">3.1.5. </w:t>
      </w:r>
      <w:r w:rsidRPr="007E25EB">
        <w:rPr>
          <w:color w:val="000000" w:themeColor="text1"/>
          <w:lang w:val="en-IN"/>
        </w:rPr>
        <w:t>Measure luciferase activity</w:t>
      </w:r>
      <w:r w:rsidRPr="007E25EB">
        <w:rPr>
          <w:color w:val="000000" w:themeColor="text1"/>
          <w:lang w:val="en-IN"/>
        </w:rPr>
        <w:t xml:space="preserve"> as</w:t>
      </w:r>
      <w:r w:rsidRPr="00106379">
        <w:rPr>
          <w:color w:val="000000" w:themeColor="text1"/>
          <w:lang w:val="en-IN"/>
        </w:rPr>
        <w:t xml:space="preserve"> described in steps 1.3.6–1.3.7.</w:t>
      </w:r>
    </w:p>
    <w:p w14:paraId="02583212" w14:textId="77777777" w:rsidR="00106379" w:rsidRPr="00106379" w:rsidRDefault="00106379" w:rsidP="00106379">
      <w:pPr>
        <w:pBdr>
          <w:top w:val="nil"/>
          <w:left w:val="nil"/>
          <w:bottom w:val="nil"/>
          <w:right w:val="nil"/>
          <w:between w:val="nil"/>
        </w:pBdr>
        <w:rPr>
          <w:color w:val="000000" w:themeColor="text1"/>
          <w:lang w:val="en-IN"/>
        </w:rPr>
      </w:pPr>
    </w:p>
    <w:p w14:paraId="47F46DDB" w14:textId="77777777" w:rsidR="00106379" w:rsidRDefault="00EC36AF" w:rsidP="00106379">
      <w:pPr>
        <w:pBdr>
          <w:top w:val="nil"/>
          <w:left w:val="nil"/>
          <w:bottom w:val="nil"/>
          <w:right w:val="nil"/>
          <w:between w:val="nil"/>
        </w:pBdr>
        <w:rPr>
          <w:color w:val="000000" w:themeColor="text1"/>
          <w:lang w:val="en-IN"/>
        </w:rPr>
      </w:pPr>
      <w:r w:rsidRPr="00106379">
        <w:rPr>
          <w:color w:val="000000" w:themeColor="text1"/>
          <w:lang w:val="en-IN"/>
        </w:rPr>
        <w:t xml:space="preserve">3.1.6. </w:t>
      </w:r>
      <w:r w:rsidRPr="007E25EB">
        <w:rPr>
          <w:color w:val="000000" w:themeColor="text1"/>
          <w:highlight w:val="yellow"/>
          <w:lang w:val="en-IN"/>
        </w:rPr>
        <w:t>Normalize the luminescence signal from each well to the corresponding cell-viability value. Express the normalized result relative to the negative-control group</w:t>
      </w:r>
      <w:r w:rsidRPr="00106379">
        <w:rPr>
          <w:color w:val="000000" w:themeColor="text1"/>
          <w:lang w:val="en-IN"/>
        </w:rPr>
        <w:t>.</w:t>
      </w:r>
    </w:p>
    <w:p w14:paraId="63778EFA" w14:textId="77777777" w:rsidR="00106379" w:rsidRPr="00106379" w:rsidRDefault="00106379" w:rsidP="00106379">
      <w:pPr>
        <w:pBdr>
          <w:top w:val="nil"/>
          <w:left w:val="nil"/>
          <w:bottom w:val="nil"/>
          <w:right w:val="nil"/>
          <w:between w:val="nil"/>
        </w:pBdr>
        <w:rPr>
          <w:color w:val="000000" w:themeColor="text1"/>
          <w:lang w:val="en-IN"/>
        </w:rPr>
      </w:pPr>
    </w:p>
    <w:p w14:paraId="07274407" w14:textId="77777777" w:rsidR="00106379" w:rsidRDefault="00EC36AF" w:rsidP="00106379">
      <w:pPr>
        <w:pBdr>
          <w:top w:val="nil"/>
          <w:left w:val="nil"/>
          <w:bottom w:val="nil"/>
          <w:right w:val="nil"/>
          <w:between w:val="nil"/>
        </w:pBdr>
        <w:rPr>
          <w:color w:val="000000" w:themeColor="text1"/>
          <w:lang w:val="en-IN"/>
        </w:rPr>
      </w:pPr>
      <w:r w:rsidRPr="00106379">
        <w:rPr>
          <w:color w:val="000000" w:themeColor="text1"/>
          <w:lang w:val="en-IN"/>
        </w:rPr>
        <w:t xml:space="preserve">3.1.7. </w:t>
      </w:r>
      <w:r w:rsidRPr="007E25EB">
        <w:rPr>
          <w:color w:val="000000" w:themeColor="text1"/>
          <w:highlight w:val="yellow"/>
          <w:lang w:val="en-IN"/>
        </w:rPr>
        <w:t>Exclude compounds that reduce cell viability below 80%</w:t>
      </w:r>
      <w:r w:rsidRPr="00106379">
        <w:rPr>
          <w:color w:val="000000" w:themeColor="text1"/>
          <w:lang w:val="en-IN"/>
        </w:rPr>
        <w:t xml:space="preserve"> </w:t>
      </w:r>
      <w:r w:rsidRPr="007E25EB">
        <w:rPr>
          <w:color w:val="000000" w:themeColor="text1"/>
          <w:highlight w:val="yellow"/>
          <w:lang w:val="en-IN"/>
        </w:rPr>
        <w:t>from the interpretation of STAT6 reporter activity.</w:t>
      </w:r>
    </w:p>
    <w:p w14:paraId="09658C8C" w14:textId="77777777" w:rsidR="00106379" w:rsidRPr="00106379" w:rsidRDefault="00106379" w:rsidP="00106379">
      <w:pPr>
        <w:pBdr>
          <w:top w:val="nil"/>
          <w:left w:val="nil"/>
          <w:bottom w:val="nil"/>
          <w:right w:val="nil"/>
          <w:between w:val="nil"/>
        </w:pBdr>
        <w:rPr>
          <w:color w:val="000000" w:themeColor="text1"/>
          <w:lang w:val="en-IN"/>
        </w:rPr>
      </w:pPr>
    </w:p>
    <w:p w14:paraId="6993D4BA" w14:textId="7BCA7CA9" w:rsidR="00202A91" w:rsidRPr="00106379" w:rsidRDefault="00EC36AF" w:rsidP="00025BD8">
      <w:pPr>
        <w:pBdr>
          <w:top w:val="nil"/>
          <w:left w:val="nil"/>
          <w:bottom w:val="nil"/>
          <w:right w:val="nil"/>
          <w:between w:val="nil"/>
        </w:pBdr>
        <w:rPr>
          <w:color w:val="000000" w:themeColor="text1"/>
          <w:lang w:val="en-IN"/>
        </w:rPr>
      </w:pPr>
      <w:r w:rsidRPr="00106379">
        <w:rPr>
          <w:color w:val="000000" w:themeColor="text1"/>
          <w:lang w:val="en-IN"/>
        </w:rPr>
        <w:lastRenderedPageBreak/>
        <w:t>NOTE: Treat reporter signals obtained under cytotoxic conditions as unreliable because reduced cell viability may alter luminescence independently of STAT6 pathway activity.</w:t>
      </w:r>
    </w:p>
    <w:p w14:paraId="4015356B" w14:textId="77777777" w:rsidR="006E4797" w:rsidRPr="00862D84" w:rsidRDefault="006E4797" w:rsidP="00862D84">
      <w:pPr>
        <w:pBdr>
          <w:top w:val="nil"/>
          <w:left w:val="nil"/>
          <w:bottom w:val="nil"/>
          <w:right w:val="nil"/>
          <w:between w:val="nil"/>
        </w:pBdr>
        <w:rPr>
          <w:b/>
          <w:color w:val="000000" w:themeColor="text1"/>
        </w:rPr>
      </w:pPr>
    </w:p>
    <w:p w14:paraId="08AF3300" w14:textId="0E1893EC" w:rsidR="006E4797" w:rsidRPr="00862D84" w:rsidRDefault="00EC36AF" w:rsidP="00862D84">
      <w:pPr>
        <w:pBdr>
          <w:top w:val="nil"/>
          <w:left w:val="nil"/>
          <w:bottom w:val="nil"/>
          <w:right w:val="nil"/>
          <w:between w:val="nil"/>
        </w:pBdr>
        <w:rPr>
          <w:color w:val="000000" w:themeColor="text1"/>
          <w:lang w:bidi="th-TH"/>
        </w:rPr>
      </w:pPr>
      <w:r w:rsidRPr="00862D84">
        <w:rPr>
          <w:b/>
          <w:color w:val="000000" w:themeColor="text1"/>
        </w:rPr>
        <w:t xml:space="preserve">REPRESENTATIVE RESULTS: </w:t>
      </w:r>
    </w:p>
    <w:p w14:paraId="02535162" w14:textId="5E4F15A5" w:rsidR="00203B3E" w:rsidRDefault="00EC36AF" w:rsidP="00203B3E">
      <w:pPr>
        <w:rPr>
          <w:color w:val="000000" w:themeColor="text1"/>
          <w:lang w:val="en-IN"/>
        </w:rPr>
      </w:pPr>
      <w:r w:rsidRPr="00203B3E">
        <w:rPr>
          <w:color w:val="000000" w:themeColor="text1"/>
          <w:lang w:val="en-IN"/>
        </w:rPr>
        <w:t xml:space="preserve">To determine the optimal puromycin concentration for stable selection, parental </w:t>
      </w:r>
      <w:r w:rsidR="00EA6741" w:rsidRPr="00123674">
        <w:rPr>
          <w:color w:val="000000" w:themeColor="text1"/>
        </w:rPr>
        <w:t>16HBE14o</w:t>
      </w:r>
      <w:r w:rsidR="00EA6741" w:rsidRPr="00123674">
        <w:rPr>
          <w:color w:val="000000" w:themeColor="text1"/>
          <w:vertAlign w:val="superscript"/>
        </w:rPr>
        <w:t>−</w:t>
      </w:r>
      <w:r w:rsidR="00EA6741" w:rsidRPr="00123674">
        <w:rPr>
          <w:color w:val="000000" w:themeColor="text1"/>
        </w:rPr>
        <w:t xml:space="preserve"> </w:t>
      </w:r>
      <w:r w:rsidRPr="00203B3E">
        <w:rPr>
          <w:color w:val="000000" w:themeColor="text1"/>
          <w:lang w:val="en-IN"/>
        </w:rPr>
        <w:t xml:space="preserve">cells were treated with increasing concentrations of puromycin (0.5–4 µg/mL), and cell viability was assessed after 24, 48, and 72 h using a </w:t>
      </w:r>
      <w:r w:rsidR="00D97E85" w:rsidRPr="00D97E85">
        <w:rPr>
          <w:color w:val="000000" w:themeColor="text1"/>
        </w:rPr>
        <w:t xml:space="preserve">cell viability </w:t>
      </w:r>
      <w:r w:rsidRPr="00203B3E">
        <w:rPr>
          <w:color w:val="000000" w:themeColor="text1"/>
          <w:lang w:val="en-IN"/>
        </w:rPr>
        <w:t>assay. Puromycin reduced cell viability in a dose- and time-dependent manner, with all concentrations decreasing viability to below 20% after 48–72 h (</w:t>
      </w:r>
      <w:r w:rsidRPr="000F7A4B">
        <w:rPr>
          <w:b/>
          <w:bCs/>
          <w:color w:val="000000" w:themeColor="text1"/>
          <w:lang w:val="en-IN"/>
        </w:rPr>
        <w:t>Figure 3</w:t>
      </w:r>
      <w:r w:rsidRPr="00203B3E">
        <w:rPr>
          <w:color w:val="000000" w:themeColor="text1"/>
          <w:lang w:val="en-IN"/>
        </w:rPr>
        <w:t xml:space="preserve">). A concentration of 1 µg/mL was the lowest concentration that </w:t>
      </w:r>
      <w:proofErr w:type="gramStart"/>
      <w:r w:rsidRPr="00203B3E">
        <w:rPr>
          <w:color w:val="000000" w:themeColor="text1"/>
          <w:lang w:val="en-IN"/>
        </w:rPr>
        <w:t>completely eliminated</w:t>
      </w:r>
      <w:proofErr w:type="gramEnd"/>
      <w:r w:rsidRPr="00203B3E">
        <w:rPr>
          <w:color w:val="000000" w:themeColor="text1"/>
          <w:lang w:val="en-IN"/>
        </w:rPr>
        <w:t xml:space="preserve"> non-transduced cells, reducing the residual viability signal to approximately 4.5% within 48 h (</w:t>
      </w:r>
      <w:r w:rsidRPr="00203B3E">
        <w:rPr>
          <w:i/>
          <w:iCs/>
          <w:color w:val="000000" w:themeColor="text1"/>
          <w:lang w:val="en-IN"/>
        </w:rPr>
        <w:t>p</w:t>
      </w:r>
      <w:r w:rsidRPr="00203B3E">
        <w:rPr>
          <w:color w:val="000000" w:themeColor="text1"/>
          <w:lang w:val="en-IN"/>
        </w:rPr>
        <w:t xml:space="preserve"> &lt; 0.0001). Increasing the puromycin concentration did not produce any additional reduction in cell viability. Therefore, 1 µg/mL puromycin was selected for the subsequent selection of transduced cells.</w:t>
      </w:r>
    </w:p>
    <w:p w14:paraId="403726BE" w14:textId="77777777" w:rsidR="000F7A4B" w:rsidRPr="00203B3E" w:rsidRDefault="000F7A4B" w:rsidP="00203B3E">
      <w:pPr>
        <w:rPr>
          <w:color w:val="000000" w:themeColor="text1"/>
          <w:lang w:val="en-IN"/>
        </w:rPr>
      </w:pPr>
    </w:p>
    <w:p w14:paraId="5165DD44" w14:textId="73A722FF" w:rsidR="00203B3E" w:rsidRDefault="00EC36AF" w:rsidP="00203B3E">
      <w:pPr>
        <w:rPr>
          <w:color w:val="000000" w:themeColor="text1"/>
          <w:lang w:val="en-IN"/>
        </w:rPr>
      </w:pPr>
      <w:r w:rsidRPr="00203B3E">
        <w:rPr>
          <w:color w:val="000000" w:themeColor="text1"/>
          <w:lang w:val="en-IN"/>
        </w:rPr>
        <w:t xml:space="preserve">To optimize lentiviral transduction efficiency, </w:t>
      </w:r>
      <w:r w:rsidR="00EA6741" w:rsidRPr="00123674">
        <w:rPr>
          <w:color w:val="000000" w:themeColor="text1"/>
        </w:rPr>
        <w:t>16HBE14o</w:t>
      </w:r>
      <w:r w:rsidR="00EA6741" w:rsidRPr="00123674">
        <w:rPr>
          <w:color w:val="000000" w:themeColor="text1"/>
          <w:vertAlign w:val="superscript"/>
        </w:rPr>
        <w:t>−</w:t>
      </w:r>
      <w:r w:rsidRPr="00203B3E">
        <w:rPr>
          <w:color w:val="000000" w:themeColor="text1"/>
          <w:lang w:val="en-IN"/>
        </w:rPr>
        <w:t xml:space="preserve"> cells were transduced with the STAT6 luciferase reporter lentivirus at multiplicities of infection (MOIs) of 1, 5, 10, and 20 for 48 h, followed by stimulation with IL-4 and IL-13 (10 ng/mL each) for 24 h to activate STAT6 signaling. As shown in </w:t>
      </w:r>
      <w:r w:rsidRPr="0014039F">
        <w:rPr>
          <w:b/>
          <w:bCs/>
          <w:color w:val="000000" w:themeColor="text1"/>
          <w:lang w:val="en-IN"/>
        </w:rPr>
        <w:t>Figure 4</w:t>
      </w:r>
      <w:r w:rsidRPr="00203B3E">
        <w:rPr>
          <w:color w:val="000000" w:themeColor="text1"/>
          <w:lang w:val="en-IN"/>
        </w:rPr>
        <w:t>, relative luminescence units (RLUs) increased in an MOI-dependent manner. An MOI of 20 produced the greatest reporter induction, resulting in an approximately 50-fold increase in luminescence compared with the unstimulated control (</w:t>
      </w:r>
      <w:r w:rsidRPr="00203B3E">
        <w:rPr>
          <w:i/>
          <w:iCs/>
          <w:color w:val="000000" w:themeColor="text1"/>
          <w:lang w:val="en-IN"/>
        </w:rPr>
        <w:t>p</w:t>
      </w:r>
      <w:r w:rsidRPr="00203B3E">
        <w:rPr>
          <w:color w:val="000000" w:themeColor="text1"/>
          <w:lang w:val="en-IN"/>
        </w:rPr>
        <w:t xml:space="preserve"> &lt; 0.0001). Based on these results, an MOI of 20 was selected for subsequent experiments.</w:t>
      </w:r>
    </w:p>
    <w:p w14:paraId="5A366A68" w14:textId="77777777" w:rsidR="000F7A4B" w:rsidRPr="00203B3E" w:rsidRDefault="000F7A4B" w:rsidP="00203B3E">
      <w:pPr>
        <w:rPr>
          <w:color w:val="000000" w:themeColor="text1"/>
          <w:lang w:val="en-IN"/>
        </w:rPr>
      </w:pPr>
    </w:p>
    <w:p w14:paraId="4BE64A2E" w14:textId="77777777" w:rsidR="00203B3E" w:rsidRDefault="00EC36AF" w:rsidP="00203B3E">
      <w:pPr>
        <w:rPr>
          <w:color w:val="000000" w:themeColor="text1"/>
          <w:lang w:val="en-IN"/>
        </w:rPr>
      </w:pPr>
      <w:r w:rsidRPr="00203B3E">
        <w:rPr>
          <w:color w:val="000000" w:themeColor="text1"/>
          <w:lang w:val="en-IN"/>
        </w:rPr>
        <w:t>Following transduction and puromycin selection under the optimized conditions, non-transduced cells underwent extensive cell death, whereas transduced cells retained normal morphology and viability (</w:t>
      </w:r>
      <w:r w:rsidRPr="0014039F">
        <w:rPr>
          <w:b/>
          <w:bCs/>
          <w:color w:val="000000" w:themeColor="text1"/>
          <w:lang w:val="en-IN"/>
        </w:rPr>
        <w:t>Figure 5</w:t>
      </w:r>
      <w:r w:rsidRPr="00203B3E">
        <w:rPr>
          <w:color w:val="000000" w:themeColor="text1"/>
          <w:lang w:val="en-IN"/>
        </w:rPr>
        <w:t>). The surviving cells were subsequently subjected to limiting dilution to establish monoclonal STAT6 reporter cell lines.</w:t>
      </w:r>
    </w:p>
    <w:p w14:paraId="08BBE77C" w14:textId="77777777" w:rsidR="000F7A4B" w:rsidRPr="00203B3E" w:rsidRDefault="000F7A4B" w:rsidP="00203B3E">
      <w:pPr>
        <w:rPr>
          <w:color w:val="000000" w:themeColor="text1"/>
          <w:lang w:val="en-IN"/>
        </w:rPr>
      </w:pPr>
    </w:p>
    <w:p w14:paraId="5CB89456" w14:textId="77777777" w:rsidR="00203B3E" w:rsidRDefault="00EC36AF" w:rsidP="00203B3E">
      <w:pPr>
        <w:rPr>
          <w:color w:val="000000" w:themeColor="text1"/>
          <w:lang w:val="en-IN"/>
        </w:rPr>
      </w:pPr>
      <w:r w:rsidRPr="00203B3E">
        <w:rPr>
          <w:color w:val="000000" w:themeColor="text1"/>
          <w:lang w:val="en-IN"/>
        </w:rPr>
        <w:t>Three monoclonal reporter cell lines derived from individual cells were evaluated for STAT6 reporter activity. All clones exhibited low basal luminescence (&lt;1,000 RLU). Stimulation with IL-4 and IL-13 induced robust reporter activity in clones 2 and 3, with luminescence exceeding 20,000 RLU and corresponding to greater than 20-fold induction (</w:t>
      </w:r>
      <w:r w:rsidRPr="0014039F">
        <w:rPr>
          <w:b/>
          <w:bCs/>
          <w:color w:val="000000" w:themeColor="text1"/>
          <w:lang w:val="en-IN"/>
        </w:rPr>
        <w:t>Figure 6A</w:t>
      </w:r>
      <w:r w:rsidRPr="00203B3E">
        <w:rPr>
          <w:color w:val="000000" w:themeColor="text1"/>
          <w:lang w:val="en-IN"/>
        </w:rPr>
        <w:t xml:space="preserve">). Clone 3 exhibited the lowest basal luminescence and was therefore selected for further characterization. Reporter activity in clone 3 was evaluated across serial passages (P9–P21) to assess long-term stability. As shown in </w:t>
      </w:r>
      <w:r w:rsidRPr="0014039F">
        <w:rPr>
          <w:b/>
          <w:bCs/>
          <w:color w:val="000000" w:themeColor="text1"/>
          <w:lang w:val="en-IN"/>
        </w:rPr>
        <w:t>Figure 6B</w:t>
      </w:r>
      <w:r w:rsidRPr="00203B3E">
        <w:rPr>
          <w:color w:val="000000" w:themeColor="text1"/>
          <w:lang w:val="en-IN"/>
        </w:rPr>
        <w:t>, STAT6-dependent reporter induction remained stable throughout the evaluated passage range. A clone was considered suitable for subsequent experiments when it exhibited a normal growth rate, basal luminescence below approximately 1,000 RLU, and greater than 20-fold induction following cytokine stimulation.</w:t>
      </w:r>
    </w:p>
    <w:p w14:paraId="0AA1C596" w14:textId="77777777" w:rsidR="000F7A4B" w:rsidRPr="00203B3E" w:rsidRDefault="000F7A4B" w:rsidP="00203B3E">
      <w:pPr>
        <w:rPr>
          <w:color w:val="000000" w:themeColor="text1"/>
          <w:lang w:val="en-IN"/>
        </w:rPr>
      </w:pPr>
    </w:p>
    <w:p w14:paraId="301F87FA" w14:textId="65E5973A" w:rsidR="00203B3E" w:rsidRDefault="00EC36AF" w:rsidP="00203B3E">
      <w:pPr>
        <w:rPr>
          <w:color w:val="000000" w:themeColor="text1"/>
          <w:lang w:val="en-IN"/>
        </w:rPr>
      </w:pPr>
      <w:r w:rsidRPr="00203B3E">
        <w:rPr>
          <w:color w:val="000000" w:themeColor="text1"/>
          <w:lang w:val="en-IN"/>
        </w:rPr>
        <w:t>Because IL-4 and IL-13 can activate additional STAT family members, including STAT3 and STAT5, the specificity of the reporter assay was further evaluated</w:t>
      </w:r>
      <w:r w:rsidR="00C27DFC">
        <w:rPr>
          <w:color w:val="000000" w:themeColor="text1"/>
          <w:vertAlign w:val="superscript"/>
          <w:lang w:val="en-IN"/>
        </w:rPr>
        <w:t>1</w:t>
      </w:r>
      <w:r w:rsidR="005219C7">
        <w:rPr>
          <w:color w:val="000000" w:themeColor="text1"/>
          <w:vertAlign w:val="superscript"/>
          <w:lang w:val="en-IN"/>
        </w:rPr>
        <w:t>7</w:t>
      </w:r>
      <w:r w:rsidR="00C27DFC">
        <w:rPr>
          <w:color w:val="000000" w:themeColor="text1"/>
          <w:vertAlign w:val="superscript"/>
          <w:lang w:val="en-IN"/>
        </w:rPr>
        <w:t>,1</w:t>
      </w:r>
      <w:r w:rsidR="005219C7">
        <w:rPr>
          <w:color w:val="000000" w:themeColor="text1"/>
          <w:vertAlign w:val="superscript"/>
          <w:lang w:val="en-IN"/>
        </w:rPr>
        <w:t>8</w:t>
      </w:r>
      <w:r w:rsidRPr="00203B3E">
        <w:rPr>
          <w:color w:val="000000" w:themeColor="text1"/>
          <w:lang w:val="en-IN"/>
        </w:rPr>
        <w:t>. STAT6 reporter cells were stimulated with IL-4 and IL-13 in the presence or absence of selective inhibitors targeting STAT6, STAT5, or STAT3 for 24 h</w:t>
      </w:r>
      <w:r w:rsidR="00C27DFC">
        <w:rPr>
          <w:color w:val="000000" w:themeColor="text1"/>
          <w:vertAlign w:val="superscript"/>
          <w:lang w:val="en-IN"/>
        </w:rPr>
        <w:t>1</w:t>
      </w:r>
      <w:r w:rsidR="003E4CEF">
        <w:rPr>
          <w:color w:val="000000" w:themeColor="text1"/>
          <w:vertAlign w:val="superscript"/>
          <w:lang w:val="en-IN"/>
        </w:rPr>
        <w:t>9</w:t>
      </w:r>
      <w:r w:rsidR="00C27DFC">
        <w:rPr>
          <w:color w:val="000000" w:themeColor="text1"/>
          <w:vertAlign w:val="superscript"/>
          <w:lang w:val="en-IN"/>
        </w:rPr>
        <w:t>–2</w:t>
      </w:r>
      <w:r w:rsidR="003E4CEF">
        <w:rPr>
          <w:color w:val="000000" w:themeColor="text1"/>
          <w:vertAlign w:val="superscript"/>
          <w:lang w:val="en-IN"/>
        </w:rPr>
        <w:t>1</w:t>
      </w:r>
      <w:r w:rsidRPr="00203B3E">
        <w:rPr>
          <w:color w:val="000000" w:themeColor="text1"/>
          <w:lang w:val="en-IN"/>
        </w:rPr>
        <w:t>. Cell viability remained above 90% under all treatment conditions (STAT6 inhibitor AS1517499, 100 nM: 98.4%; STAT5 inhibitor AC-4-130, 2.5 µM: 97.4%; STAT3 inhibitor Stattic, 2.5 µM: 96.2%</w:t>
      </w:r>
      <w:r w:rsidR="00C27DFC">
        <w:rPr>
          <w:color w:val="000000" w:themeColor="text1"/>
          <w:lang w:val="en-IN"/>
        </w:rPr>
        <w:t xml:space="preserve">; </w:t>
      </w:r>
      <w:r w:rsidR="00C27DFC" w:rsidRPr="00C27DFC">
        <w:rPr>
          <w:b/>
          <w:bCs/>
          <w:color w:val="000000" w:themeColor="text1"/>
          <w:lang w:val="en-IN"/>
        </w:rPr>
        <w:t>Figure 7A</w:t>
      </w:r>
      <w:r w:rsidR="00C27DFC">
        <w:rPr>
          <w:color w:val="000000" w:themeColor="text1"/>
          <w:lang w:val="en-IN"/>
        </w:rPr>
        <w:t>)</w:t>
      </w:r>
      <w:r w:rsidRPr="00203B3E">
        <w:rPr>
          <w:color w:val="000000" w:themeColor="text1"/>
          <w:lang w:val="en-IN"/>
        </w:rPr>
        <w:t xml:space="preserve">. Inhibition of STAT6 markedly reduced luciferase </w:t>
      </w:r>
      <w:r w:rsidRPr="00203B3E">
        <w:rPr>
          <w:color w:val="000000" w:themeColor="text1"/>
          <w:lang w:val="en-IN"/>
        </w:rPr>
        <w:lastRenderedPageBreak/>
        <w:t>activity (</w:t>
      </w:r>
      <w:r w:rsidRPr="00203B3E">
        <w:rPr>
          <w:i/>
          <w:iCs/>
          <w:color w:val="000000" w:themeColor="text1"/>
          <w:lang w:val="en-IN"/>
        </w:rPr>
        <w:t>p</w:t>
      </w:r>
      <w:r w:rsidRPr="00203B3E">
        <w:rPr>
          <w:color w:val="000000" w:themeColor="text1"/>
          <w:lang w:val="en-IN"/>
        </w:rPr>
        <w:t xml:space="preserve"> &lt; 0.0001), whereas inhibition of STAT5 or STAT3 produced no significant effect on reporter activity (</w:t>
      </w:r>
      <w:r w:rsidRPr="00203B3E">
        <w:rPr>
          <w:i/>
          <w:iCs/>
          <w:color w:val="000000" w:themeColor="text1"/>
          <w:lang w:val="en-IN"/>
        </w:rPr>
        <w:t>p</w:t>
      </w:r>
      <w:r w:rsidRPr="00203B3E">
        <w:rPr>
          <w:color w:val="000000" w:themeColor="text1"/>
          <w:lang w:val="en-IN"/>
        </w:rPr>
        <w:t xml:space="preserve"> = 0.2593 and </w:t>
      </w:r>
      <w:r w:rsidRPr="00203B3E">
        <w:rPr>
          <w:i/>
          <w:iCs/>
          <w:color w:val="000000" w:themeColor="text1"/>
          <w:lang w:val="en-IN"/>
        </w:rPr>
        <w:t>p</w:t>
      </w:r>
      <w:r w:rsidRPr="00203B3E">
        <w:rPr>
          <w:color w:val="000000" w:themeColor="text1"/>
          <w:lang w:val="en-IN"/>
        </w:rPr>
        <w:t xml:space="preserve"> = 0.8857, respectively; </w:t>
      </w:r>
      <w:r w:rsidRPr="00C27DFC">
        <w:rPr>
          <w:b/>
          <w:bCs/>
          <w:color w:val="000000" w:themeColor="text1"/>
          <w:lang w:val="en-IN"/>
        </w:rPr>
        <w:t>Figure 7B</w:t>
      </w:r>
      <w:r w:rsidRPr="00203B3E">
        <w:rPr>
          <w:color w:val="000000" w:themeColor="text1"/>
          <w:lang w:val="en-IN"/>
        </w:rPr>
        <w:t>). These findings confirmed that reporter activation was predominantly STAT6 dependent.</w:t>
      </w:r>
    </w:p>
    <w:p w14:paraId="2D927521" w14:textId="77777777" w:rsidR="000F7A4B" w:rsidRPr="00203B3E" w:rsidRDefault="000F7A4B" w:rsidP="00203B3E">
      <w:pPr>
        <w:rPr>
          <w:color w:val="000000" w:themeColor="text1"/>
          <w:lang w:val="en-IN"/>
        </w:rPr>
      </w:pPr>
    </w:p>
    <w:p w14:paraId="44B04867" w14:textId="77777777" w:rsidR="00203B3E" w:rsidRDefault="00EC36AF" w:rsidP="00203B3E">
      <w:pPr>
        <w:rPr>
          <w:color w:val="000000" w:themeColor="text1"/>
          <w:lang w:val="en-IN"/>
        </w:rPr>
      </w:pPr>
      <w:r w:rsidRPr="00203B3E">
        <w:rPr>
          <w:color w:val="000000" w:themeColor="text1"/>
          <w:lang w:val="en-IN"/>
        </w:rPr>
        <w:t xml:space="preserve">The robustness of the assay was evaluated by calculating the Z′-factor using IL-4- and IL-13-stimulated cells as the high-signal control and STAT6 inhibitor-treated cells as the low-signal control. The assay yielded a Z′-factor </w:t>
      </w:r>
      <w:r w:rsidRPr="00C27DFC">
        <w:rPr>
          <w:color w:val="000000" w:themeColor="text1"/>
          <w:lang w:val="en-IN"/>
        </w:rPr>
        <w:t>of 0.703 ± 0.097,</w:t>
      </w:r>
      <w:r w:rsidRPr="00203B3E">
        <w:rPr>
          <w:color w:val="000000" w:themeColor="text1"/>
          <w:lang w:val="en-IN"/>
        </w:rPr>
        <w:t xml:space="preserve"> indicating excellent assay performance, a wide signal window, and suitability for high-throughput screening.</w:t>
      </w:r>
    </w:p>
    <w:p w14:paraId="58F05DDF" w14:textId="77777777" w:rsidR="000F7A4B" w:rsidRPr="00203B3E" w:rsidRDefault="000F7A4B" w:rsidP="00203B3E">
      <w:pPr>
        <w:rPr>
          <w:color w:val="000000" w:themeColor="text1"/>
          <w:lang w:val="en-IN"/>
        </w:rPr>
      </w:pPr>
    </w:p>
    <w:p w14:paraId="39D6754E" w14:textId="0CCD74DC" w:rsidR="00203B3E" w:rsidRPr="00203B3E" w:rsidRDefault="00EC36AF" w:rsidP="00203B3E">
      <w:pPr>
        <w:rPr>
          <w:color w:val="000000" w:themeColor="text1"/>
          <w:lang w:val="en-IN"/>
        </w:rPr>
      </w:pPr>
      <w:r w:rsidRPr="00203B3E">
        <w:rPr>
          <w:color w:val="000000" w:themeColor="text1"/>
          <w:lang w:val="en-IN"/>
        </w:rPr>
        <w:t>Finally, the STAT6 reporter assay was applied to screen selected environmental constituents of particulate matter for their ability to modulate STAT6 signaling. After 24 h of treatment, benzo[</w:t>
      </w:r>
      <w:r w:rsidRPr="00203B3E">
        <w:rPr>
          <w:i/>
          <w:iCs/>
          <w:color w:val="000000" w:themeColor="text1"/>
          <w:lang w:val="en-IN"/>
        </w:rPr>
        <w:t>b</w:t>
      </w:r>
      <w:r w:rsidRPr="00203B3E">
        <w:rPr>
          <w:color w:val="000000" w:themeColor="text1"/>
          <w:lang w:val="en-IN"/>
        </w:rPr>
        <w:t>]fluoranthene (10 µM) significantly increased STAT6 reporter activity by approximately 1.75-fold (</w:t>
      </w:r>
      <w:r w:rsidRPr="00203B3E">
        <w:rPr>
          <w:i/>
          <w:iCs/>
          <w:color w:val="000000" w:themeColor="text1"/>
          <w:lang w:val="en-IN"/>
        </w:rPr>
        <w:t>p</w:t>
      </w:r>
      <w:r w:rsidRPr="00203B3E">
        <w:rPr>
          <w:color w:val="000000" w:themeColor="text1"/>
          <w:lang w:val="en-IN"/>
        </w:rPr>
        <w:t xml:space="preserve"> = 0.0006), whereas particulate matter (100 µg/mL) increased reporter activity by approximately 1.5-fold (</w:t>
      </w:r>
      <w:r w:rsidRPr="00203B3E">
        <w:rPr>
          <w:i/>
          <w:iCs/>
          <w:color w:val="000000" w:themeColor="text1"/>
          <w:lang w:val="en-IN"/>
        </w:rPr>
        <w:t>p</w:t>
      </w:r>
      <w:r w:rsidRPr="00203B3E">
        <w:rPr>
          <w:color w:val="000000" w:themeColor="text1"/>
          <w:lang w:val="en-IN"/>
        </w:rPr>
        <w:t xml:space="preserve"> = 0.0398</w:t>
      </w:r>
      <w:r w:rsidR="00C27DFC">
        <w:rPr>
          <w:color w:val="000000" w:themeColor="text1"/>
          <w:lang w:val="en-IN"/>
        </w:rPr>
        <w:t xml:space="preserve">; </w:t>
      </w:r>
      <w:r w:rsidRPr="00C27DFC">
        <w:rPr>
          <w:b/>
          <w:bCs/>
          <w:color w:val="000000" w:themeColor="text1"/>
          <w:lang w:val="en-IN"/>
        </w:rPr>
        <w:t>Figure 8</w:t>
      </w:r>
      <w:r w:rsidRPr="00203B3E">
        <w:rPr>
          <w:color w:val="000000" w:themeColor="text1"/>
          <w:lang w:val="en-IN"/>
        </w:rPr>
        <w:t>). In contrast, the remaining polycyclic aromatic hydrocarbons and heavy-metal compounds, including CdCl</w:t>
      </w:r>
      <w:r w:rsidR="00214187">
        <w:rPr>
          <w:color w:val="000000" w:themeColor="text1"/>
          <w:vertAlign w:val="subscript"/>
          <w:lang w:val="en-IN"/>
        </w:rPr>
        <w:t>2</w:t>
      </w:r>
      <w:r w:rsidRPr="00203B3E">
        <w:rPr>
          <w:color w:val="000000" w:themeColor="text1"/>
          <w:lang w:val="en-IN"/>
        </w:rPr>
        <w:t>, HgCl</w:t>
      </w:r>
      <w:r w:rsidR="00214187">
        <w:rPr>
          <w:color w:val="000000" w:themeColor="text1"/>
          <w:vertAlign w:val="subscript"/>
          <w:lang w:val="en-IN"/>
        </w:rPr>
        <w:t>2</w:t>
      </w:r>
      <w:r w:rsidRPr="00203B3E">
        <w:rPr>
          <w:color w:val="000000" w:themeColor="text1"/>
          <w:lang w:val="en-IN"/>
        </w:rPr>
        <w:t>, and NiSO</w:t>
      </w:r>
      <w:r w:rsidR="00214187">
        <w:rPr>
          <w:color w:val="000000" w:themeColor="text1"/>
          <w:vertAlign w:val="subscript"/>
          <w:lang w:val="en-IN"/>
        </w:rPr>
        <w:t>4</w:t>
      </w:r>
      <w:r w:rsidRPr="00203B3E">
        <w:rPr>
          <w:color w:val="000000" w:themeColor="text1"/>
          <w:lang w:val="en-IN"/>
        </w:rPr>
        <w:t xml:space="preserve"> (10 µM each), did not significantly alter reporter activity. Collectively, these results demonstrate that the STAT6 reporter assay is stable, specific, robust, and suitable for high-throughput screening of environmental compounds that modulate STAT6 signaling.</w:t>
      </w:r>
    </w:p>
    <w:p w14:paraId="2408046F" w14:textId="77777777" w:rsidR="00A7179B" w:rsidRPr="00862D84" w:rsidRDefault="00A7179B" w:rsidP="00862D84">
      <w:pPr>
        <w:rPr>
          <w:b/>
          <w:color w:val="000000" w:themeColor="text1"/>
        </w:rPr>
      </w:pPr>
    </w:p>
    <w:p w14:paraId="6D510784" w14:textId="3E0F68BE" w:rsidR="006E4797" w:rsidRPr="00862D84" w:rsidRDefault="00EC36AF" w:rsidP="00862D84">
      <w:pPr>
        <w:rPr>
          <w:color w:val="000000" w:themeColor="text1"/>
          <w:lang w:bidi="th-TH"/>
        </w:rPr>
      </w:pPr>
      <w:r w:rsidRPr="00862D84">
        <w:rPr>
          <w:b/>
          <w:color w:val="000000" w:themeColor="text1"/>
        </w:rPr>
        <w:t>FIGURE AND TABLE LEGENDS</w:t>
      </w:r>
      <w:r w:rsidR="00E6241E">
        <w:rPr>
          <w:b/>
          <w:color w:val="000000" w:themeColor="text1"/>
        </w:rPr>
        <w:t>:</w:t>
      </w:r>
    </w:p>
    <w:p w14:paraId="5F0B974F" w14:textId="038D4DC4" w:rsidR="00E91901" w:rsidRPr="001970A1" w:rsidRDefault="00EC36AF" w:rsidP="003003D2">
      <w:pPr>
        <w:rPr>
          <w:b/>
          <w:bCs/>
          <w:color w:val="000000" w:themeColor="text1"/>
          <w:lang w:val="en-IN" w:bidi="th-TH"/>
        </w:rPr>
      </w:pPr>
      <w:r w:rsidRPr="003003D2">
        <w:rPr>
          <w:b/>
          <w:bCs/>
          <w:color w:val="000000" w:themeColor="text1"/>
          <w:lang w:val="en-IN" w:bidi="th-TH"/>
        </w:rPr>
        <w:t>Figure 1</w:t>
      </w:r>
      <w:r w:rsidR="001970A1">
        <w:rPr>
          <w:b/>
          <w:bCs/>
          <w:color w:val="000000" w:themeColor="text1"/>
          <w:lang w:val="en-IN" w:bidi="th-TH"/>
        </w:rPr>
        <w:t>:</w:t>
      </w:r>
      <w:r w:rsidRPr="003003D2">
        <w:rPr>
          <w:b/>
          <w:bCs/>
          <w:color w:val="000000" w:themeColor="text1"/>
          <w:lang w:val="en-IN" w:bidi="th-TH"/>
        </w:rPr>
        <w:t xml:space="preserve"> Workflow for the generation of </w:t>
      </w:r>
      <w:r w:rsidR="006A03DD" w:rsidRPr="006A03DD">
        <w:rPr>
          <w:b/>
          <w:bCs/>
          <w:color w:val="000000" w:themeColor="text1"/>
        </w:rPr>
        <w:t>16HBE14o</w:t>
      </w:r>
      <w:r w:rsidR="006A03DD" w:rsidRPr="006A03DD">
        <w:rPr>
          <w:b/>
          <w:bCs/>
          <w:color w:val="000000" w:themeColor="text1"/>
          <w:vertAlign w:val="superscript"/>
        </w:rPr>
        <w:t>−</w:t>
      </w:r>
      <w:r w:rsidR="006A03DD">
        <w:rPr>
          <w:color w:val="000000" w:themeColor="text1"/>
        </w:rPr>
        <w:t xml:space="preserve"> </w:t>
      </w:r>
      <w:r w:rsidRPr="003003D2">
        <w:rPr>
          <w:b/>
          <w:bCs/>
          <w:color w:val="000000" w:themeColor="text1"/>
          <w:lang w:val="en-IN" w:bidi="th-TH"/>
        </w:rPr>
        <w:t>STAT6 reporter cells.</w:t>
      </w:r>
      <w:r w:rsidR="001970A1">
        <w:rPr>
          <w:b/>
          <w:bCs/>
          <w:color w:val="000000" w:themeColor="text1"/>
          <w:lang w:val="en-IN" w:bidi="th-TH"/>
        </w:rPr>
        <w:t xml:space="preserve"> </w:t>
      </w:r>
      <w:r w:rsidRPr="003003D2">
        <w:rPr>
          <w:color w:val="000000" w:themeColor="text1"/>
          <w:lang w:val="en-IN" w:bidi="th-TH"/>
        </w:rPr>
        <w:t xml:space="preserve">Schematic overview of the protocol for generating </w:t>
      </w:r>
      <w:r w:rsidR="006A03DD" w:rsidRPr="00123674">
        <w:rPr>
          <w:color w:val="000000" w:themeColor="text1"/>
        </w:rPr>
        <w:t>16HBE14o</w:t>
      </w:r>
      <w:r w:rsidR="006A03DD" w:rsidRPr="00123674">
        <w:rPr>
          <w:color w:val="000000" w:themeColor="text1"/>
          <w:vertAlign w:val="superscript"/>
        </w:rPr>
        <w:t>−</w:t>
      </w:r>
      <w:r w:rsidR="006A03DD" w:rsidRPr="00123674">
        <w:rPr>
          <w:color w:val="000000" w:themeColor="text1"/>
        </w:rPr>
        <w:t xml:space="preserve"> </w:t>
      </w:r>
      <w:r w:rsidRPr="003003D2">
        <w:rPr>
          <w:color w:val="000000" w:themeColor="text1"/>
          <w:lang w:val="en-IN" w:bidi="th-TH"/>
        </w:rPr>
        <w:t xml:space="preserve">cells stably expressing a STAT6 luciferase reporter. </w:t>
      </w:r>
    </w:p>
    <w:p w14:paraId="0A4C6F92" w14:textId="77777777" w:rsidR="00E91901" w:rsidRDefault="00E91901" w:rsidP="003003D2">
      <w:pPr>
        <w:rPr>
          <w:color w:val="000000" w:themeColor="text1"/>
          <w:lang w:val="en-IN" w:bidi="th-TH"/>
        </w:rPr>
      </w:pPr>
    </w:p>
    <w:p w14:paraId="22AD65E7" w14:textId="6278363F" w:rsidR="00E91901" w:rsidRDefault="00EC36AF" w:rsidP="003003D2">
      <w:pPr>
        <w:rPr>
          <w:color w:val="000000" w:themeColor="text1"/>
          <w:lang w:val="en-IN" w:bidi="th-TH"/>
        </w:rPr>
      </w:pPr>
      <w:r w:rsidRPr="003003D2">
        <w:rPr>
          <w:b/>
          <w:bCs/>
          <w:color w:val="000000" w:themeColor="text1"/>
          <w:lang w:val="en-IN" w:bidi="th-TH"/>
        </w:rPr>
        <w:t>Figure 2</w:t>
      </w:r>
      <w:r w:rsidR="001970A1">
        <w:rPr>
          <w:b/>
          <w:bCs/>
          <w:color w:val="000000" w:themeColor="text1"/>
          <w:lang w:val="en-IN" w:bidi="th-TH"/>
        </w:rPr>
        <w:t>:</w:t>
      </w:r>
      <w:r w:rsidRPr="003003D2">
        <w:rPr>
          <w:b/>
          <w:bCs/>
          <w:color w:val="000000" w:themeColor="text1"/>
          <w:lang w:val="en-IN" w:bidi="th-TH"/>
        </w:rPr>
        <w:t xml:space="preserve"> Workflow for establishment and application of the STAT6 reporter assay.</w:t>
      </w:r>
      <w:r w:rsidR="001970A1">
        <w:rPr>
          <w:b/>
          <w:bCs/>
          <w:color w:val="000000" w:themeColor="text1"/>
          <w:lang w:val="en-IN" w:bidi="th-TH"/>
        </w:rPr>
        <w:t xml:space="preserve"> </w:t>
      </w:r>
      <w:r w:rsidRPr="003003D2">
        <w:rPr>
          <w:color w:val="000000" w:themeColor="text1"/>
          <w:lang w:val="en-IN" w:bidi="th-TH"/>
        </w:rPr>
        <w:t xml:space="preserve">Schematic overview of the STAT6 reporter assay for assay validation and screening of environmental toxicants. </w:t>
      </w:r>
    </w:p>
    <w:p w14:paraId="56781438" w14:textId="77777777" w:rsidR="001970A1" w:rsidRPr="003003D2" w:rsidRDefault="001970A1" w:rsidP="003003D2">
      <w:pPr>
        <w:rPr>
          <w:color w:val="000000" w:themeColor="text1"/>
          <w:lang w:val="en-IN" w:bidi="th-TH"/>
        </w:rPr>
      </w:pPr>
    </w:p>
    <w:p w14:paraId="69B6DFC3" w14:textId="66A7E4B0" w:rsidR="003003D2" w:rsidRPr="001970A1" w:rsidRDefault="00EC36AF" w:rsidP="003003D2">
      <w:pPr>
        <w:rPr>
          <w:b/>
          <w:bCs/>
          <w:color w:val="000000" w:themeColor="text1"/>
          <w:lang w:val="en-IN" w:bidi="th-TH"/>
        </w:rPr>
      </w:pPr>
      <w:r w:rsidRPr="003003D2">
        <w:rPr>
          <w:b/>
          <w:bCs/>
          <w:color w:val="000000" w:themeColor="text1"/>
          <w:lang w:val="en-IN" w:bidi="th-TH"/>
        </w:rPr>
        <w:t>Figure 3</w:t>
      </w:r>
      <w:r w:rsidR="001970A1">
        <w:rPr>
          <w:b/>
          <w:bCs/>
          <w:color w:val="000000" w:themeColor="text1"/>
          <w:lang w:val="en-IN" w:bidi="th-TH"/>
        </w:rPr>
        <w:t>:</w:t>
      </w:r>
      <w:r w:rsidRPr="003003D2">
        <w:rPr>
          <w:b/>
          <w:bCs/>
          <w:color w:val="000000" w:themeColor="text1"/>
          <w:lang w:val="en-IN" w:bidi="th-TH"/>
        </w:rPr>
        <w:t xml:space="preserve"> Determination of the optimal puromycin concentration for stable cell selection.</w:t>
      </w:r>
      <w:r w:rsidR="001970A1">
        <w:rPr>
          <w:b/>
          <w:bCs/>
          <w:color w:val="000000" w:themeColor="text1"/>
          <w:lang w:val="en-IN" w:bidi="th-TH"/>
        </w:rPr>
        <w:t xml:space="preserve"> </w:t>
      </w:r>
      <w:r w:rsidRPr="003003D2">
        <w:rPr>
          <w:color w:val="000000" w:themeColor="text1"/>
          <w:lang w:val="en-IN" w:bidi="th-TH"/>
        </w:rPr>
        <w:t xml:space="preserve">Parental </w:t>
      </w:r>
      <w:r w:rsidR="000937B2" w:rsidRPr="00123674">
        <w:rPr>
          <w:color w:val="000000" w:themeColor="text1"/>
        </w:rPr>
        <w:t>16HBE14o</w:t>
      </w:r>
      <w:r w:rsidR="000937B2" w:rsidRPr="00123674">
        <w:rPr>
          <w:color w:val="000000" w:themeColor="text1"/>
          <w:vertAlign w:val="superscript"/>
        </w:rPr>
        <w:t>−</w:t>
      </w:r>
      <w:r w:rsidRPr="003003D2">
        <w:rPr>
          <w:color w:val="000000" w:themeColor="text1"/>
          <w:lang w:val="en-IN" w:bidi="th-TH"/>
        </w:rPr>
        <w:t xml:space="preserve"> cells were treated with puromycin (0.5, 1, 2, or 4 µg/mL) for 24, 48, or 72 h. Vehicle-control cells received 0.1% dimethyl sulfoxide (DMSO). Cell viability was determined using a </w:t>
      </w:r>
      <w:r w:rsidR="00D97E85" w:rsidRPr="00D97E85">
        <w:rPr>
          <w:color w:val="000000" w:themeColor="text1"/>
          <w:lang w:bidi="th-TH"/>
        </w:rPr>
        <w:t>cell viability assay</w:t>
      </w:r>
      <w:r w:rsidRPr="003003D2">
        <w:rPr>
          <w:color w:val="000000" w:themeColor="text1"/>
          <w:lang w:val="en-IN" w:bidi="th-TH"/>
        </w:rPr>
        <w:t xml:space="preserve">. Cell viability was calculated from the absorbance difference between 450 and 650 nm after blank subtraction and normalization to the vehicle control. Data are presented as the mean ± SD from three independent biological replicates with technical duplicates (n = 3). Statistical significance was determined using one-way ANOVA followed by Dunnett's multiple-comparisons test. </w:t>
      </w:r>
      <w:r w:rsidRPr="003003D2">
        <w:rPr>
          <w:i/>
          <w:iCs/>
          <w:color w:val="000000" w:themeColor="text1"/>
          <w:lang w:val="en-IN" w:bidi="th-TH"/>
        </w:rPr>
        <w:t>p</w:t>
      </w:r>
      <w:r w:rsidRPr="003003D2">
        <w:rPr>
          <w:color w:val="000000" w:themeColor="text1"/>
          <w:lang w:val="en-IN" w:bidi="th-TH"/>
        </w:rPr>
        <w:t>-values for comparisons with the vehicle control are indicated.</w:t>
      </w:r>
    </w:p>
    <w:p w14:paraId="27B31861" w14:textId="3A999BE1" w:rsidR="003003D2" w:rsidRPr="003003D2" w:rsidRDefault="003003D2" w:rsidP="003003D2">
      <w:pPr>
        <w:rPr>
          <w:color w:val="000000" w:themeColor="text1"/>
          <w:lang w:val="en-IN" w:bidi="th-TH"/>
        </w:rPr>
      </w:pPr>
    </w:p>
    <w:p w14:paraId="4D2AEC8E" w14:textId="17ABB2EF" w:rsidR="003003D2" w:rsidRPr="001970A1" w:rsidRDefault="00EC36AF" w:rsidP="003003D2">
      <w:pPr>
        <w:rPr>
          <w:b/>
          <w:bCs/>
          <w:color w:val="000000" w:themeColor="text1"/>
          <w:lang w:val="en-IN" w:bidi="th-TH"/>
        </w:rPr>
      </w:pPr>
      <w:r w:rsidRPr="003003D2">
        <w:rPr>
          <w:b/>
          <w:bCs/>
          <w:color w:val="000000" w:themeColor="text1"/>
          <w:lang w:val="en-IN" w:bidi="th-TH"/>
        </w:rPr>
        <w:t>Figure 4</w:t>
      </w:r>
      <w:r w:rsidR="001970A1">
        <w:rPr>
          <w:b/>
          <w:bCs/>
          <w:color w:val="000000" w:themeColor="text1"/>
          <w:lang w:val="en-IN" w:bidi="th-TH"/>
        </w:rPr>
        <w:t>:</w:t>
      </w:r>
      <w:r w:rsidRPr="003003D2">
        <w:rPr>
          <w:b/>
          <w:bCs/>
          <w:color w:val="000000" w:themeColor="text1"/>
          <w:lang w:val="en-IN" w:bidi="th-TH"/>
        </w:rPr>
        <w:t xml:space="preserve"> Optimization of lentiviral transduction efficiency.</w:t>
      </w:r>
      <w:r w:rsidR="001970A1">
        <w:rPr>
          <w:b/>
          <w:bCs/>
          <w:color w:val="000000" w:themeColor="text1"/>
          <w:lang w:val="en-IN" w:bidi="th-TH"/>
        </w:rPr>
        <w:t xml:space="preserve"> </w:t>
      </w:r>
      <w:r w:rsidR="000937B2" w:rsidRPr="00123674">
        <w:rPr>
          <w:color w:val="000000" w:themeColor="text1"/>
        </w:rPr>
        <w:t>16HBE14o</w:t>
      </w:r>
      <w:r w:rsidR="000937B2" w:rsidRPr="00123674">
        <w:rPr>
          <w:color w:val="000000" w:themeColor="text1"/>
          <w:vertAlign w:val="superscript"/>
        </w:rPr>
        <w:t>−</w:t>
      </w:r>
      <w:r w:rsidR="000937B2">
        <w:rPr>
          <w:color w:val="000000" w:themeColor="text1"/>
          <w:lang w:val="en-IN" w:bidi="th-TH"/>
        </w:rPr>
        <w:t xml:space="preserve"> </w:t>
      </w:r>
      <w:r w:rsidRPr="003003D2">
        <w:rPr>
          <w:color w:val="000000" w:themeColor="text1"/>
          <w:lang w:val="en-IN" w:bidi="th-TH"/>
        </w:rPr>
        <w:t xml:space="preserve">cells were transduced with a STAT6 luciferase reporter lentivirus at multiplicities of infection (MOIs) of 1, 5, 10, or 20 for 48 h. Following a 24 h recovery period, cells were stimulated with IL-4 and IL-13 (10 ng/mL each) for 24 h. </w:t>
      </w:r>
      <w:r w:rsidRPr="008B6D15">
        <w:rPr>
          <w:color w:val="000000" w:themeColor="text1"/>
          <w:lang w:val="en-IN" w:bidi="th-TH"/>
        </w:rPr>
        <w:t>(</w:t>
      </w:r>
      <w:r w:rsidRPr="003003D2">
        <w:rPr>
          <w:b/>
          <w:bCs/>
          <w:color w:val="000000" w:themeColor="text1"/>
          <w:lang w:val="en-IN" w:bidi="th-TH"/>
        </w:rPr>
        <w:t>A</w:t>
      </w:r>
      <w:r w:rsidRPr="008B6D15">
        <w:rPr>
          <w:color w:val="000000" w:themeColor="text1"/>
          <w:lang w:val="en-IN" w:bidi="th-TH"/>
        </w:rPr>
        <w:t>)</w:t>
      </w:r>
      <w:r w:rsidRPr="003003D2">
        <w:rPr>
          <w:color w:val="000000" w:themeColor="text1"/>
          <w:lang w:val="en-IN" w:bidi="th-TH"/>
        </w:rPr>
        <w:t xml:space="preserve"> Relative luminescence units (RLUs) in mock-transduced cells and reporter-transduced cells at the indicated MOIs. Statistical analysis was performed using one-way ANOVA</w:t>
      </w:r>
      <w:r w:rsidR="001970A1">
        <w:rPr>
          <w:color w:val="000000" w:themeColor="text1"/>
          <w:lang w:val="en-IN" w:bidi="th-TH"/>
        </w:rPr>
        <w:t>, followed by Dunnett's multiple comparisons</w:t>
      </w:r>
      <w:r w:rsidRPr="003003D2">
        <w:rPr>
          <w:color w:val="000000" w:themeColor="text1"/>
          <w:lang w:val="en-IN" w:bidi="th-TH"/>
        </w:rPr>
        <w:t xml:space="preserve"> test. </w:t>
      </w:r>
      <w:r w:rsidRPr="008B6D15">
        <w:rPr>
          <w:color w:val="000000" w:themeColor="text1"/>
          <w:lang w:val="en-IN" w:bidi="th-TH"/>
        </w:rPr>
        <w:t>(</w:t>
      </w:r>
      <w:r w:rsidRPr="003003D2">
        <w:rPr>
          <w:b/>
          <w:bCs/>
          <w:color w:val="000000" w:themeColor="text1"/>
          <w:lang w:val="en-IN" w:bidi="th-TH"/>
        </w:rPr>
        <w:t>B</w:t>
      </w:r>
      <w:r w:rsidRPr="008B6D15">
        <w:rPr>
          <w:color w:val="000000" w:themeColor="text1"/>
          <w:lang w:val="en-IN" w:bidi="th-TH"/>
        </w:rPr>
        <w:t>)</w:t>
      </w:r>
      <w:r w:rsidRPr="003003D2">
        <w:rPr>
          <w:color w:val="000000" w:themeColor="text1"/>
          <w:lang w:val="en-IN" w:bidi="th-TH"/>
        </w:rPr>
        <w:t xml:space="preserve"> Fold induction following cytokine stimulation relative to the unstimulated MOI 20 control. Statistical analysis was performed using </w:t>
      </w:r>
      <w:r w:rsidRPr="003003D2">
        <w:rPr>
          <w:color w:val="000000" w:themeColor="text1"/>
          <w:lang w:val="en-IN" w:bidi="th-TH"/>
        </w:rPr>
        <w:lastRenderedPageBreak/>
        <w:t xml:space="preserve">an unpaired Student's </w:t>
      </w:r>
      <w:r w:rsidRPr="003003D2">
        <w:rPr>
          <w:i/>
          <w:iCs/>
          <w:color w:val="000000" w:themeColor="text1"/>
          <w:lang w:val="en-IN" w:bidi="th-TH"/>
        </w:rPr>
        <w:t>t</w:t>
      </w:r>
      <w:r w:rsidRPr="003003D2">
        <w:rPr>
          <w:color w:val="000000" w:themeColor="text1"/>
          <w:lang w:val="en-IN" w:bidi="th-TH"/>
        </w:rPr>
        <w:t xml:space="preserve">-test. Data are presented as the mean ± SD from three independent biological replicates (n = 3). </w:t>
      </w:r>
      <w:r w:rsidRPr="003003D2">
        <w:rPr>
          <w:i/>
          <w:iCs/>
          <w:color w:val="000000" w:themeColor="text1"/>
          <w:lang w:val="en-IN" w:bidi="th-TH"/>
        </w:rPr>
        <w:t>p</w:t>
      </w:r>
      <w:r w:rsidRPr="003003D2">
        <w:rPr>
          <w:color w:val="000000" w:themeColor="text1"/>
          <w:lang w:val="en-IN" w:bidi="th-TH"/>
        </w:rPr>
        <w:t>-values are indicated.</w:t>
      </w:r>
    </w:p>
    <w:p w14:paraId="02C1DF4D" w14:textId="07138F9E" w:rsidR="003003D2" w:rsidRPr="003003D2" w:rsidRDefault="003003D2" w:rsidP="003003D2">
      <w:pPr>
        <w:rPr>
          <w:color w:val="000000" w:themeColor="text1"/>
          <w:lang w:val="en-IN" w:bidi="th-TH"/>
        </w:rPr>
      </w:pPr>
    </w:p>
    <w:p w14:paraId="3AB837BA" w14:textId="166E8594" w:rsidR="003003D2" w:rsidRPr="008B6D15" w:rsidRDefault="00EC36AF" w:rsidP="003003D2">
      <w:pPr>
        <w:rPr>
          <w:b/>
          <w:bCs/>
          <w:color w:val="000000" w:themeColor="text1"/>
          <w:lang w:val="en-IN" w:bidi="th-TH"/>
        </w:rPr>
      </w:pPr>
      <w:r w:rsidRPr="003003D2">
        <w:rPr>
          <w:b/>
          <w:bCs/>
          <w:color w:val="000000" w:themeColor="text1"/>
          <w:lang w:val="en-IN" w:bidi="th-TH"/>
        </w:rPr>
        <w:t>Figure 5</w:t>
      </w:r>
      <w:r w:rsidR="008B6D15">
        <w:rPr>
          <w:b/>
          <w:bCs/>
          <w:color w:val="000000" w:themeColor="text1"/>
          <w:lang w:val="en-IN" w:bidi="th-TH"/>
        </w:rPr>
        <w:t>:</w:t>
      </w:r>
      <w:r w:rsidRPr="003003D2">
        <w:rPr>
          <w:b/>
          <w:bCs/>
          <w:color w:val="000000" w:themeColor="text1"/>
          <w:lang w:val="en-IN" w:bidi="th-TH"/>
        </w:rPr>
        <w:t xml:space="preserve"> Representative images of cells following puromycin selection.</w:t>
      </w:r>
      <w:r w:rsidR="008B6D15">
        <w:rPr>
          <w:b/>
          <w:bCs/>
          <w:color w:val="000000" w:themeColor="text1"/>
          <w:lang w:val="en-IN" w:bidi="th-TH"/>
        </w:rPr>
        <w:t xml:space="preserve"> </w:t>
      </w:r>
      <w:r w:rsidR="003221F4" w:rsidRPr="00123674">
        <w:rPr>
          <w:color w:val="000000" w:themeColor="text1"/>
        </w:rPr>
        <w:t>16HBE14o</w:t>
      </w:r>
      <w:r w:rsidR="003221F4" w:rsidRPr="00123674">
        <w:rPr>
          <w:color w:val="000000" w:themeColor="text1"/>
          <w:vertAlign w:val="superscript"/>
        </w:rPr>
        <w:t>−</w:t>
      </w:r>
      <w:r w:rsidR="003221F4">
        <w:rPr>
          <w:color w:val="000000" w:themeColor="text1"/>
        </w:rPr>
        <w:t xml:space="preserve"> </w:t>
      </w:r>
      <w:r w:rsidRPr="003003D2">
        <w:rPr>
          <w:color w:val="000000" w:themeColor="text1"/>
          <w:lang w:val="en-IN" w:bidi="th-TH"/>
        </w:rPr>
        <w:t>cells were transduced with or without the STAT6 luciferase reporter lentivirus (MOI = 20) and subsequently treated with 1 µg/mL puromycin for 5 days. Images were acquired using a phase-contrast inverted microscope at 100× magnification under identical imaging conditions. Untreated parental cells formed a normal epithelial monolayer (left). Puromycin-treated non-transduced cells exhibited extensive cell death and detachment (middle), whereas puromycin-selected transduced cells remained viable and retained no</w:t>
      </w:r>
      <w:r w:rsidRPr="003003D2">
        <w:rPr>
          <w:color w:val="000000" w:themeColor="text1"/>
          <w:lang w:val="en-IN" w:bidi="th-TH"/>
        </w:rPr>
        <w:t>rmal morphology (right). Scale bar = 50 µm.</w:t>
      </w:r>
    </w:p>
    <w:p w14:paraId="483EA2CD" w14:textId="4C350C66" w:rsidR="003003D2" w:rsidRPr="003003D2" w:rsidRDefault="003003D2" w:rsidP="003003D2">
      <w:pPr>
        <w:rPr>
          <w:color w:val="000000" w:themeColor="text1"/>
          <w:lang w:val="en-IN" w:bidi="th-TH"/>
        </w:rPr>
      </w:pPr>
    </w:p>
    <w:p w14:paraId="46F58402" w14:textId="2EEEC428" w:rsidR="003003D2" w:rsidRPr="008B6D15" w:rsidRDefault="00EC36AF" w:rsidP="003003D2">
      <w:pPr>
        <w:rPr>
          <w:b/>
          <w:bCs/>
          <w:color w:val="000000" w:themeColor="text1"/>
          <w:lang w:val="en-IN" w:bidi="th-TH"/>
        </w:rPr>
      </w:pPr>
      <w:r w:rsidRPr="003003D2">
        <w:rPr>
          <w:b/>
          <w:bCs/>
          <w:color w:val="000000" w:themeColor="text1"/>
          <w:lang w:val="en-IN" w:bidi="th-TH"/>
        </w:rPr>
        <w:t>Figure 6</w:t>
      </w:r>
      <w:r w:rsidR="008B6D15">
        <w:rPr>
          <w:b/>
          <w:bCs/>
          <w:color w:val="000000" w:themeColor="text1"/>
          <w:lang w:val="en-IN" w:bidi="th-TH"/>
        </w:rPr>
        <w:t>:</w:t>
      </w:r>
      <w:r w:rsidRPr="003003D2">
        <w:rPr>
          <w:b/>
          <w:bCs/>
          <w:color w:val="000000" w:themeColor="text1"/>
          <w:lang w:val="en-IN" w:bidi="th-TH"/>
        </w:rPr>
        <w:t xml:space="preserve"> Identification of STAT6 reporter clones and evaluation of reporter stability.</w:t>
      </w:r>
      <w:r w:rsidR="008B6D15">
        <w:rPr>
          <w:b/>
          <w:bCs/>
          <w:color w:val="000000" w:themeColor="text1"/>
          <w:lang w:val="en-IN" w:bidi="th-TH"/>
        </w:rPr>
        <w:t xml:space="preserve"> </w:t>
      </w:r>
      <w:r w:rsidRPr="003003D2">
        <w:rPr>
          <w:color w:val="000000" w:themeColor="text1"/>
          <w:lang w:val="en-IN" w:bidi="th-TH"/>
        </w:rPr>
        <w:t xml:space="preserve">Following limiting dilution, three monoclonal STAT6 reporter cell lines were expanded and stimulated with IL-4 and IL-13 (10 ng/mL each) for 24 h. </w:t>
      </w:r>
      <w:r w:rsidRPr="008B6D15">
        <w:rPr>
          <w:color w:val="000000" w:themeColor="text1"/>
          <w:lang w:val="en-IN" w:bidi="th-TH"/>
        </w:rPr>
        <w:t>(</w:t>
      </w:r>
      <w:r w:rsidRPr="003003D2">
        <w:rPr>
          <w:b/>
          <w:bCs/>
          <w:color w:val="000000" w:themeColor="text1"/>
          <w:lang w:val="en-IN" w:bidi="th-TH"/>
        </w:rPr>
        <w:t>A</w:t>
      </w:r>
      <w:r w:rsidRPr="008B6D15">
        <w:rPr>
          <w:color w:val="000000" w:themeColor="text1"/>
          <w:lang w:val="en-IN" w:bidi="th-TH"/>
        </w:rPr>
        <w:t>)</w:t>
      </w:r>
      <w:r w:rsidRPr="003003D2">
        <w:rPr>
          <w:color w:val="000000" w:themeColor="text1"/>
          <w:lang w:val="en-IN" w:bidi="th-TH"/>
        </w:rPr>
        <w:t xml:space="preserve"> Luciferase activity of individual reporter clones following cytokine stimulation compared with unstimulated controls. </w:t>
      </w:r>
      <w:r w:rsidRPr="008B6D15">
        <w:rPr>
          <w:color w:val="000000" w:themeColor="text1"/>
          <w:lang w:val="en-IN" w:bidi="th-TH"/>
        </w:rPr>
        <w:t>(</w:t>
      </w:r>
      <w:r w:rsidRPr="003003D2">
        <w:rPr>
          <w:b/>
          <w:bCs/>
          <w:color w:val="000000" w:themeColor="text1"/>
          <w:lang w:val="en-IN" w:bidi="th-TH"/>
        </w:rPr>
        <w:t>B</w:t>
      </w:r>
      <w:r w:rsidRPr="008B6D15">
        <w:rPr>
          <w:color w:val="000000" w:themeColor="text1"/>
          <w:lang w:val="en-IN" w:bidi="th-TH"/>
        </w:rPr>
        <w:t>)</w:t>
      </w:r>
      <w:r w:rsidRPr="003003D2">
        <w:rPr>
          <w:color w:val="000000" w:themeColor="text1"/>
          <w:lang w:val="en-IN" w:bidi="th-TH"/>
        </w:rPr>
        <w:t xml:space="preserve"> Stability of STAT6 reporter activity in clone 3 across serial passages (P9–P21). Data are presented as the mean ± SD from technical duplicates.</w:t>
      </w:r>
    </w:p>
    <w:p w14:paraId="53D62A00" w14:textId="66DCF46C" w:rsidR="003003D2" w:rsidRPr="003003D2" w:rsidRDefault="003003D2" w:rsidP="003003D2">
      <w:pPr>
        <w:rPr>
          <w:color w:val="000000" w:themeColor="text1"/>
          <w:lang w:val="en-IN" w:bidi="th-TH"/>
        </w:rPr>
      </w:pPr>
    </w:p>
    <w:p w14:paraId="1E64AB33" w14:textId="24616246" w:rsidR="003003D2" w:rsidRPr="008B6D15" w:rsidRDefault="00EC36AF" w:rsidP="003003D2">
      <w:pPr>
        <w:rPr>
          <w:b/>
          <w:bCs/>
          <w:color w:val="000000" w:themeColor="text1"/>
          <w:lang w:val="en-IN" w:bidi="th-TH"/>
        </w:rPr>
      </w:pPr>
      <w:r w:rsidRPr="003003D2">
        <w:rPr>
          <w:b/>
          <w:bCs/>
          <w:color w:val="000000" w:themeColor="text1"/>
          <w:lang w:val="en-IN" w:bidi="th-TH"/>
        </w:rPr>
        <w:t>Figure 7</w:t>
      </w:r>
      <w:r w:rsidR="008B6D15">
        <w:rPr>
          <w:b/>
          <w:bCs/>
          <w:color w:val="000000" w:themeColor="text1"/>
          <w:lang w:val="en-IN" w:bidi="th-TH"/>
        </w:rPr>
        <w:t>:</w:t>
      </w:r>
      <w:r w:rsidRPr="003003D2">
        <w:rPr>
          <w:b/>
          <w:bCs/>
          <w:color w:val="000000" w:themeColor="text1"/>
          <w:lang w:val="en-IN" w:bidi="th-TH"/>
        </w:rPr>
        <w:t xml:space="preserve"> Selective inhibition of STAT6 reporter activity without affecting cell viability.</w:t>
      </w:r>
      <w:r w:rsidR="008B6D15">
        <w:rPr>
          <w:b/>
          <w:bCs/>
          <w:color w:val="000000" w:themeColor="text1"/>
          <w:lang w:val="en-IN" w:bidi="th-TH"/>
        </w:rPr>
        <w:t xml:space="preserve"> </w:t>
      </w:r>
      <w:r w:rsidRPr="003003D2">
        <w:rPr>
          <w:color w:val="000000" w:themeColor="text1"/>
          <w:lang w:val="en-IN" w:bidi="th-TH"/>
        </w:rPr>
        <w:t xml:space="preserve">STAT6 reporter cells were stimulated with IL-4 and IL-13 (10 ng/mL each) for 24 h in the presence of the STAT6 inhibitor AS1517499 (100 nM), the STAT5 inhibitor AC-4-130 (2.5 µM), or the STAT3 inhibitor Stattic (2.5 µM). The cytokine-stimulated vehicle-control group received 0.1% DMSO. </w:t>
      </w:r>
      <w:r w:rsidRPr="008B6D15">
        <w:rPr>
          <w:color w:val="000000" w:themeColor="text1"/>
          <w:lang w:val="en-IN" w:bidi="th-TH"/>
        </w:rPr>
        <w:t>(</w:t>
      </w:r>
      <w:r w:rsidRPr="003003D2">
        <w:rPr>
          <w:b/>
          <w:bCs/>
          <w:color w:val="000000" w:themeColor="text1"/>
          <w:lang w:val="en-IN" w:bidi="th-TH"/>
        </w:rPr>
        <w:t>A</w:t>
      </w:r>
      <w:r w:rsidRPr="008B6D15">
        <w:rPr>
          <w:color w:val="000000" w:themeColor="text1"/>
          <w:lang w:val="en-IN" w:bidi="th-TH"/>
        </w:rPr>
        <w:t>)</w:t>
      </w:r>
      <w:r w:rsidRPr="003003D2">
        <w:rPr>
          <w:color w:val="000000" w:themeColor="text1"/>
          <w:lang w:val="en-IN" w:bidi="th-TH"/>
        </w:rPr>
        <w:t xml:space="preserve"> Cell viability </w:t>
      </w:r>
      <w:r w:rsidR="008B6D15">
        <w:rPr>
          <w:color w:val="000000" w:themeColor="text1"/>
          <w:lang w:val="en-IN" w:bidi="th-TH"/>
        </w:rPr>
        <w:t xml:space="preserve">was </w:t>
      </w:r>
      <w:r w:rsidRPr="003003D2">
        <w:rPr>
          <w:color w:val="000000" w:themeColor="text1"/>
          <w:lang w:val="en-IN" w:bidi="th-TH"/>
        </w:rPr>
        <w:t xml:space="preserve">determined using </w:t>
      </w:r>
      <w:r w:rsidR="00457A9A">
        <w:rPr>
          <w:color w:val="000000" w:themeColor="text1"/>
          <w:lang w:val="en-IN" w:bidi="th-TH"/>
        </w:rPr>
        <w:t>a cell viability</w:t>
      </w:r>
      <w:r w:rsidRPr="003003D2">
        <w:rPr>
          <w:color w:val="000000" w:themeColor="text1"/>
          <w:lang w:val="en-IN" w:bidi="th-TH"/>
        </w:rPr>
        <w:t xml:space="preserve"> assay. </w:t>
      </w:r>
      <w:r w:rsidRPr="008B6D15">
        <w:rPr>
          <w:color w:val="000000" w:themeColor="text1"/>
          <w:lang w:val="en-IN" w:bidi="th-TH"/>
        </w:rPr>
        <w:t>(</w:t>
      </w:r>
      <w:r w:rsidRPr="003003D2">
        <w:rPr>
          <w:b/>
          <w:bCs/>
          <w:color w:val="000000" w:themeColor="text1"/>
          <w:lang w:val="en-IN" w:bidi="th-TH"/>
        </w:rPr>
        <w:t>B</w:t>
      </w:r>
      <w:r w:rsidRPr="008B6D15">
        <w:rPr>
          <w:color w:val="000000" w:themeColor="text1"/>
          <w:lang w:val="en-IN" w:bidi="th-TH"/>
        </w:rPr>
        <w:t>)</w:t>
      </w:r>
      <w:r w:rsidRPr="003003D2">
        <w:rPr>
          <w:color w:val="000000" w:themeColor="text1"/>
          <w:lang w:val="en-IN" w:bidi="th-TH"/>
        </w:rPr>
        <w:t xml:space="preserve"> STAT6-dependent luciferase activity normalized to the cytokine-stimulated control. Data are presented as the mean ± SD from three independent biological replicates (n = 3). </w:t>
      </w:r>
      <w:r w:rsidRPr="003003D2">
        <w:rPr>
          <w:i/>
          <w:iCs/>
          <w:color w:val="000000" w:themeColor="text1"/>
          <w:lang w:val="en-IN" w:bidi="th-TH"/>
        </w:rPr>
        <w:t>p</w:t>
      </w:r>
      <w:r w:rsidRPr="003003D2">
        <w:rPr>
          <w:color w:val="000000" w:themeColor="text1"/>
          <w:lang w:val="en-IN" w:bidi="th-TH"/>
        </w:rPr>
        <w:t>-values are indicated.</w:t>
      </w:r>
    </w:p>
    <w:p w14:paraId="17089234" w14:textId="338E0BC8" w:rsidR="003003D2" w:rsidRPr="003003D2" w:rsidRDefault="003003D2" w:rsidP="003003D2">
      <w:pPr>
        <w:rPr>
          <w:color w:val="000000" w:themeColor="text1"/>
          <w:lang w:val="en-IN" w:bidi="th-TH"/>
        </w:rPr>
      </w:pPr>
    </w:p>
    <w:p w14:paraId="57ECDFF8" w14:textId="170BCDA2" w:rsidR="003003D2" w:rsidRPr="008B6D15" w:rsidRDefault="00EC36AF" w:rsidP="003003D2">
      <w:pPr>
        <w:rPr>
          <w:b/>
          <w:bCs/>
          <w:color w:val="000000" w:themeColor="text1"/>
          <w:lang w:val="en-IN" w:bidi="th-TH"/>
        </w:rPr>
      </w:pPr>
      <w:r w:rsidRPr="003003D2">
        <w:rPr>
          <w:b/>
          <w:bCs/>
          <w:color w:val="000000" w:themeColor="text1"/>
          <w:lang w:val="en-IN" w:bidi="th-TH"/>
        </w:rPr>
        <w:t>Figure 8</w:t>
      </w:r>
      <w:r w:rsidR="008B6D15">
        <w:rPr>
          <w:b/>
          <w:bCs/>
          <w:color w:val="000000" w:themeColor="text1"/>
          <w:lang w:val="en-IN" w:bidi="th-TH"/>
        </w:rPr>
        <w:t>:</w:t>
      </w:r>
      <w:r w:rsidRPr="003003D2">
        <w:rPr>
          <w:b/>
          <w:bCs/>
          <w:color w:val="000000" w:themeColor="text1"/>
          <w:lang w:val="en-IN" w:bidi="th-TH"/>
        </w:rPr>
        <w:t xml:space="preserve"> Evaluation of the STAT6-modulatory effects of environmental toxicants.</w:t>
      </w:r>
      <w:r w:rsidR="008B6D15">
        <w:rPr>
          <w:b/>
          <w:bCs/>
          <w:color w:val="000000" w:themeColor="text1"/>
          <w:lang w:val="en-IN" w:bidi="th-TH"/>
        </w:rPr>
        <w:t xml:space="preserve"> </w:t>
      </w:r>
      <w:r w:rsidRPr="003003D2">
        <w:rPr>
          <w:color w:val="000000" w:themeColor="text1"/>
          <w:lang w:val="en-IN" w:bidi="th-TH"/>
        </w:rPr>
        <w:t xml:space="preserve">STAT6 reporter cells were treated for 24 h with particulate matter (100 µg/mL) or the indicated environmental toxicants, including polycyclic aromatic hydrocarbons (PAHs) and heavy metals (10 µM each). STAT6-dependent luciferase activity was normalized to the vehicle control (0.1% DMSO). Data are presented as the mean ± SD from three independent biological replicates (n = 3). Statistical significance was determined by comparison with the vehicle control, and </w:t>
      </w:r>
      <w:r w:rsidRPr="003003D2">
        <w:rPr>
          <w:i/>
          <w:iCs/>
          <w:color w:val="000000" w:themeColor="text1"/>
          <w:lang w:val="en-IN" w:bidi="th-TH"/>
        </w:rPr>
        <w:t>p</w:t>
      </w:r>
      <w:r w:rsidRPr="003003D2">
        <w:rPr>
          <w:color w:val="000000" w:themeColor="text1"/>
          <w:lang w:val="en-IN" w:bidi="th-TH"/>
        </w:rPr>
        <w:t>-values are indicated.</w:t>
      </w:r>
    </w:p>
    <w:p w14:paraId="3559103A" w14:textId="202FBB03" w:rsidR="003003D2" w:rsidRPr="003003D2" w:rsidRDefault="003003D2" w:rsidP="003003D2">
      <w:pPr>
        <w:rPr>
          <w:color w:val="000000" w:themeColor="text1"/>
          <w:lang w:val="en-IN" w:bidi="th-TH"/>
        </w:rPr>
      </w:pPr>
    </w:p>
    <w:p w14:paraId="3445BBF8" w14:textId="594DD90B" w:rsidR="003003D2" w:rsidRDefault="00EC36AF" w:rsidP="003003D2">
      <w:pPr>
        <w:rPr>
          <w:b/>
          <w:bCs/>
          <w:color w:val="000000" w:themeColor="text1"/>
          <w:lang w:val="en-IN" w:bidi="th-TH"/>
        </w:rPr>
      </w:pPr>
      <w:r w:rsidRPr="003003D2">
        <w:rPr>
          <w:b/>
          <w:bCs/>
          <w:color w:val="000000" w:themeColor="text1"/>
          <w:lang w:val="en-IN" w:bidi="th-TH"/>
        </w:rPr>
        <w:t xml:space="preserve">Supplementary </w:t>
      </w:r>
      <w:r w:rsidR="00EB62B9">
        <w:rPr>
          <w:b/>
          <w:bCs/>
          <w:color w:val="000000" w:themeColor="text1"/>
          <w:lang w:val="en-IN" w:bidi="th-TH"/>
        </w:rPr>
        <w:t>Table</w:t>
      </w:r>
      <w:r w:rsidRPr="003003D2">
        <w:rPr>
          <w:b/>
          <w:bCs/>
          <w:color w:val="000000" w:themeColor="text1"/>
          <w:lang w:val="en-IN" w:bidi="th-TH"/>
        </w:rPr>
        <w:t xml:space="preserve"> 1</w:t>
      </w:r>
      <w:r w:rsidR="008B6D15">
        <w:rPr>
          <w:b/>
          <w:bCs/>
          <w:color w:val="000000" w:themeColor="text1"/>
          <w:lang w:val="en-IN" w:bidi="th-TH"/>
        </w:rPr>
        <w:t>:</w:t>
      </w:r>
      <w:r w:rsidRPr="003003D2">
        <w:rPr>
          <w:color w:val="000000" w:themeColor="text1"/>
          <w:lang w:val="en-IN" w:bidi="th-TH"/>
        </w:rPr>
        <w:t xml:space="preserve"> </w:t>
      </w:r>
      <w:r w:rsidR="00EB62B9" w:rsidRPr="00EB62B9">
        <w:rPr>
          <w:b/>
          <w:bCs/>
          <w:color w:val="000000" w:themeColor="text1"/>
          <w:lang w:val="en-IN" w:bidi="th-TH"/>
        </w:rPr>
        <w:t xml:space="preserve">Culture-vessel specifications and passaging parameters for </w:t>
      </w:r>
      <w:r w:rsidR="003221F4" w:rsidRPr="003221F4">
        <w:rPr>
          <w:b/>
          <w:bCs/>
          <w:color w:val="000000" w:themeColor="text1"/>
        </w:rPr>
        <w:t>16HBE14o</w:t>
      </w:r>
      <w:r w:rsidR="003221F4" w:rsidRPr="003221F4">
        <w:rPr>
          <w:b/>
          <w:bCs/>
          <w:color w:val="000000" w:themeColor="text1"/>
          <w:vertAlign w:val="superscript"/>
        </w:rPr>
        <w:t>−</w:t>
      </w:r>
      <w:r w:rsidR="003221F4">
        <w:rPr>
          <w:color w:val="000000" w:themeColor="text1"/>
        </w:rPr>
        <w:t xml:space="preserve"> </w:t>
      </w:r>
      <w:r w:rsidR="00EB62B9" w:rsidRPr="00EB62B9">
        <w:rPr>
          <w:b/>
          <w:bCs/>
          <w:color w:val="000000" w:themeColor="text1"/>
          <w:lang w:val="en-IN" w:bidi="th-TH"/>
        </w:rPr>
        <w:t>cell culture.</w:t>
      </w:r>
    </w:p>
    <w:p w14:paraId="0525222D" w14:textId="77777777" w:rsidR="00EB62B9" w:rsidRDefault="00EB62B9" w:rsidP="003003D2">
      <w:pPr>
        <w:rPr>
          <w:color w:val="000000" w:themeColor="text1"/>
          <w:lang w:val="en-IN" w:bidi="th-TH"/>
        </w:rPr>
      </w:pPr>
    </w:p>
    <w:p w14:paraId="2C5BBFC6" w14:textId="11C76DDA" w:rsidR="00EB62B9" w:rsidRPr="003003D2" w:rsidRDefault="00EC36AF" w:rsidP="003003D2">
      <w:pPr>
        <w:rPr>
          <w:color w:val="000000" w:themeColor="text1"/>
          <w:lang w:val="en-IN" w:bidi="th-TH"/>
        </w:rPr>
      </w:pPr>
      <w:r w:rsidRPr="003003D2">
        <w:rPr>
          <w:b/>
          <w:bCs/>
          <w:color w:val="000000" w:themeColor="text1"/>
          <w:lang w:val="en-IN" w:bidi="th-TH"/>
        </w:rPr>
        <w:t xml:space="preserve">Supplementary </w:t>
      </w:r>
      <w:r>
        <w:rPr>
          <w:b/>
          <w:bCs/>
          <w:color w:val="000000" w:themeColor="text1"/>
          <w:lang w:val="en-IN" w:bidi="th-TH"/>
        </w:rPr>
        <w:t>Table</w:t>
      </w:r>
      <w:r w:rsidRPr="003003D2">
        <w:rPr>
          <w:b/>
          <w:bCs/>
          <w:color w:val="000000" w:themeColor="text1"/>
          <w:lang w:val="en-IN" w:bidi="th-TH"/>
        </w:rPr>
        <w:t xml:space="preserve"> </w:t>
      </w:r>
      <w:r>
        <w:rPr>
          <w:b/>
          <w:bCs/>
          <w:color w:val="000000" w:themeColor="text1"/>
          <w:lang w:val="en-IN" w:bidi="th-TH"/>
        </w:rPr>
        <w:t>2:</w:t>
      </w:r>
      <w:r w:rsidRPr="003003D2">
        <w:rPr>
          <w:color w:val="000000" w:themeColor="text1"/>
          <w:lang w:val="en-IN" w:bidi="th-TH"/>
        </w:rPr>
        <w:t xml:space="preserve"> </w:t>
      </w:r>
      <w:r w:rsidR="00A53F42" w:rsidRPr="00A53F42">
        <w:rPr>
          <w:b/>
          <w:bCs/>
          <w:color w:val="000000" w:themeColor="text1"/>
          <w:lang w:val="en-IN" w:bidi="th-TH"/>
        </w:rPr>
        <w:t>Comparison of methods for measuring STAT6 activity.</w:t>
      </w:r>
    </w:p>
    <w:p w14:paraId="4AE6A853" w14:textId="44BBB234" w:rsidR="0004421A" w:rsidRPr="00862D84" w:rsidRDefault="0004421A" w:rsidP="00862D84">
      <w:pPr>
        <w:rPr>
          <w:color w:val="000000" w:themeColor="text1"/>
          <w:lang w:bidi="th-TH"/>
        </w:rPr>
      </w:pPr>
    </w:p>
    <w:p w14:paraId="045A550A" w14:textId="5E99C857" w:rsidR="002D0167" w:rsidRPr="00862D84" w:rsidRDefault="00EC36AF" w:rsidP="00862D84">
      <w:pPr>
        <w:rPr>
          <w:b/>
          <w:color w:val="000000" w:themeColor="text1"/>
          <w:lang w:bidi="th-TH"/>
        </w:rPr>
      </w:pPr>
      <w:r w:rsidRPr="00862D84">
        <w:rPr>
          <w:b/>
          <w:color w:val="000000" w:themeColor="text1"/>
          <w:lang w:bidi="th-TH"/>
        </w:rPr>
        <w:t>DISCUSSION</w:t>
      </w:r>
      <w:r w:rsidR="00175E53">
        <w:rPr>
          <w:b/>
          <w:color w:val="000000" w:themeColor="text1"/>
          <w:lang w:bidi="th-TH"/>
        </w:rPr>
        <w:t>:</w:t>
      </w:r>
    </w:p>
    <w:p w14:paraId="046A7773" w14:textId="705233AB" w:rsidR="005563A1" w:rsidRDefault="00EC36AF" w:rsidP="005563A1">
      <w:pPr>
        <w:rPr>
          <w:bCs/>
          <w:color w:val="000000" w:themeColor="text1"/>
          <w:lang w:val="en-IN" w:bidi="th-TH"/>
        </w:rPr>
      </w:pPr>
      <w:r w:rsidRPr="005563A1">
        <w:rPr>
          <w:bCs/>
          <w:color w:val="000000" w:themeColor="text1"/>
          <w:lang w:val="en-IN" w:bidi="th-TH"/>
        </w:rPr>
        <w:t>IL-4/IL-13–JAK–STAT6 signaling is not only an important therapeutic target but also a key driver of the pathogenesis of allergic diseases, including asthma and allergic rhinitis</w:t>
      </w:r>
      <w:r w:rsidRPr="005563A1">
        <w:rPr>
          <w:bCs/>
          <w:color w:val="000000" w:themeColor="text1"/>
          <w:vertAlign w:val="superscript"/>
          <w:lang w:val="en-IN" w:bidi="th-TH"/>
        </w:rPr>
        <w:t>2</w:t>
      </w:r>
      <w:r w:rsidR="003E4CEF">
        <w:rPr>
          <w:bCs/>
          <w:color w:val="000000" w:themeColor="text1"/>
          <w:vertAlign w:val="superscript"/>
          <w:lang w:val="en-IN" w:bidi="th-TH"/>
        </w:rPr>
        <w:t>2</w:t>
      </w:r>
      <w:r w:rsidRPr="005563A1">
        <w:rPr>
          <w:bCs/>
          <w:color w:val="000000" w:themeColor="text1"/>
          <w:lang w:val="en-IN" w:bidi="th-TH"/>
        </w:rPr>
        <w:t xml:space="preserve">. This protocol describes a simple, stable cell line-based reporter assay for identifying modulators of STAT6 activity. The assay can be applied to evaluate the STAT6-modulatory effects of a broad range of </w:t>
      </w:r>
      <w:r w:rsidRPr="005563A1">
        <w:rPr>
          <w:bCs/>
          <w:color w:val="000000" w:themeColor="text1"/>
          <w:lang w:val="en-IN" w:bidi="th-TH"/>
        </w:rPr>
        <w:lastRenderedPageBreak/>
        <w:t>environmental compounds and is readily adaptable to high-throughput screening, as demonstrated in the proof-of-concept screening study (</w:t>
      </w:r>
      <w:r w:rsidRPr="005563A1">
        <w:rPr>
          <w:b/>
          <w:color w:val="000000" w:themeColor="text1"/>
          <w:lang w:val="en-IN" w:bidi="th-TH"/>
        </w:rPr>
        <w:t>Figure 8</w:t>
      </w:r>
      <w:r w:rsidRPr="005563A1">
        <w:rPr>
          <w:bCs/>
          <w:color w:val="000000" w:themeColor="text1"/>
          <w:lang w:val="en-IN" w:bidi="th-TH"/>
        </w:rPr>
        <w:t>). By combining a luciferase reporter with a parallel cell viability assay, the method enables quantitative assessment of STAT6 pathway modulation while minimizing confounding effects arising from compound-induced cytotoxicity.</w:t>
      </w:r>
    </w:p>
    <w:p w14:paraId="32C75C92" w14:textId="77777777" w:rsidR="005563A1" w:rsidRPr="005563A1" w:rsidRDefault="005563A1" w:rsidP="005563A1">
      <w:pPr>
        <w:rPr>
          <w:bCs/>
          <w:color w:val="000000" w:themeColor="text1"/>
          <w:lang w:val="en-IN" w:bidi="th-TH"/>
        </w:rPr>
      </w:pPr>
    </w:p>
    <w:p w14:paraId="03752B75" w14:textId="3F1DB705" w:rsidR="005563A1" w:rsidRDefault="00EC36AF" w:rsidP="005563A1">
      <w:pPr>
        <w:rPr>
          <w:bCs/>
          <w:color w:val="000000" w:themeColor="text1"/>
          <w:lang w:val="en-IN" w:bidi="th-TH"/>
        </w:rPr>
      </w:pPr>
      <w:r w:rsidRPr="005563A1">
        <w:rPr>
          <w:bCs/>
          <w:color w:val="000000" w:themeColor="text1"/>
          <w:lang w:val="en-IN" w:bidi="th-TH"/>
        </w:rPr>
        <w:t xml:space="preserve">A distinguishing feature of this method is the use of stably transduced human bronchial epithelial </w:t>
      </w:r>
      <w:r w:rsidR="000028BA" w:rsidRPr="00123674">
        <w:rPr>
          <w:color w:val="000000" w:themeColor="text1"/>
        </w:rPr>
        <w:t>16HBE14o</w:t>
      </w:r>
      <w:r w:rsidR="000028BA" w:rsidRPr="00123674">
        <w:rPr>
          <w:color w:val="000000" w:themeColor="text1"/>
          <w:vertAlign w:val="superscript"/>
        </w:rPr>
        <w:t>−</w:t>
      </w:r>
      <w:r w:rsidR="000028BA">
        <w:rPr>
          <w:color w:val="000000" w:themeColor="text1"/>
        </w:rPr>
        <w:t xml:space="preserve"> </w:t>
      </w:r>
      <w:r w:rsidRPr="005563A1">
        <w:rPr>
          <w:bCs/>
          <w:color w:val="000000" w:themeColor="text1"/>
          <w:lang w:val="en-IN" w:bidi="th-TH"/>
        </w:rPr>
        <w:t>cells, a physiologically relevant cell type in which pollutant-induced IL-4/IL-13 signaling</w:t>
      </w:r>
      <w:r w:rsidRPr="005563A1">
        <w:rPr>
          <w:bCs/>
          <w:color w:val="000000" w:themeColor="text1"/>
          <w:lang w:val="en-IN" w:bidi="th-TH"/>
        </w:rPr>
        <w:t xml:space="preserve"> contributes to allergic airway inflammation. Existing approaches for measuring STAT6 activity have important practical limitations. Detection of STAT6 phosphorylation or downstream target proteins by Western blotting or enzyme-linked immunosorbent assay (ELISA) is </w:t>
      </w:r>
      <w:r>
        <w:rPr>
          <w:bCs/>
          <w:color w:val="000000" w:themeColor="text1"/>
          <w:lang w:val="en-IN" w:bidi="th-TH"/>
        </w:rPr>
        <w:t>labor-intensive and relatively low-throughput</w:t>
      </w:r>
      <w:r w:rsidRPr="005563A1">
        <w:rPr>
          <w:bCs/>
          <w:color w:val="000000" w:themeColor="text1"/>
          <w:lang w:val="en-IN" w:bidi="th-TH"/>
        </w:rPr>
        <w:t>. Transient-transfection luciferase reporter assays directly measure STAT6 transcriptional activity but are affected by variable transfection efficiency, batch-to-batch variability, and the need to repeat transfection for each experiment, thereby reducing reproducibility and throughput.</w:t>
      </w:r>
    </w:p>
    <w:p w14:paraId="6A4E1DD0" w14:textId="77777777" w:rsidR="005563A1" w:rsidRPr="005563A1" w:rsidRDefault="005563A1" w:rsidP="005563A1">
      <w:pPr>
        <w:rPr>
          <w:bCs/>
          <w:color w:val="000000" w:themeColor="text1"/>
          <w:lang w:val="en-IN" w:bidi="th-TH"/>
        </w:rPr>
      </w:pPr>
    </w:p>
    <w:p w14:paraId="4110CF37" w14:textId="4E4F8C74" w:rsidR="005563A1" w:rsidRDefault="00EC36AF" w:rsidP="005563A1">
      <w:pPr>
        <w:rPr>
          <w:bCs/>
          <w:color w:val="000000" w:themeColor="text1"/>
          <w:lang w:val="en-IN" w:bidi="th-TH"/>
        </w:rPr>
      </w:pPr>
      <w:r w:rsidRPr="005563A1">
        <w:rPr>
          <w:bCs/>
          <w:color w:val="000000" w:themeColor="text1"/>
          <w:lang w:val="en-IN" w:bidi="th-TH"/>
        </w:rPr>
        <w:t xml:space="preserve">The stable reporter cell line described </w:t>
      </w:r>
      <w:r w:rsidR="003C733D">
        <w:rPr>
          <w:bCs/>
          <w:color w:val="000000" w:themeColor="text1"/>
          <w:lang w:val="en-IN" w:bidi="th-TH"/>
        </w:rPr>
        <w:t xml:space="preserve">in the study </w:t>
      </w:r>
      <w:r w:rsidRPr="005563A1">
        <w:rPr>
          <w:bCs/>
          <w:color w:val="000000" w:themeColor="text1"/>
          <w:lang w:val="en-IN" w:bidi="th-TH"/>
        </w:rPr>
        <w:t>overcomes many of these limitations. Because the reporter construct is genomically integrated and clonally selected, reporter expression remains uniform across the cell population and reproducible across passages, eliminating the variability associated with transient transfection. The luminescence signal is measured in living cells and can be normalized to a parallel cell viability measurement to exclude cytotoxic artifacts. In addition, the assay is readily compatible with a 96-well format for medium- to h</w:t>
      </w:r>
      <w:r w:rsidRPr="005563A1">
        <w:rPr>
          <w:bCs/>
          <w:color w:val="000000" w:themeColor="text1"/>
          <w:lang w:val="en-IN" w:bidi="th-TH"/>
        </w:rPr>
        <w:t xml:space="preserve">igh-throughput applications. The assay yielded a Z′-factor of 0.703, indicating excellent separation between high- and low-signal controls and confirming its suitability for high-throughput screening. A comparison of commonly used approaches for measuring STAT6 activity is provided in </w:t>
      </w:r>
      <w:r w:rsidRPr="005563A1">
        <w:rPr>
          <w:b/>
          <w:color w:val="000000" w:themeColor="text1"/>
          <w:lang w:val="en-IN" w:bidi="th-TH"/>
        </w:rPr>
        <w:t>Supplementary Table 2</w:t>
      </w:r>
      <w:r w:rsidRPr="005563A1">
        <w:rPr>
          <w:bCs/>
          <w:color w:val="000000" w:themeColor="text1"/>
          <w:lang w:val="en-IN" w:bidi="th-TH"/>
        </w:rPr>
        <w:t>. Nevertheless, because the assay reports activation of a STAT6-responsive promoter rather than endogenous target gene expression, orthogonal validation using downstream STAT6 targets, such as MUC5AC and CCL26, remains important.</w:t>
      </w:r>
    </w:p>
    <w:p w14:paraId="777AD4EE" w14:textId="77777777" w:rsidR="005563A1" w:rsidRPr="005563A1" w:rsidRDefault="005563A1" w:rsidP="005563A1">
      <w:pPr>
        <w:rPr>
          <w:bCs/>
          <w:color w:val="000000" w:themeColor="text1"/>
          <w:lang w:val="en-IN" w:bidi="th-TH"/>
        </w:rPr>
      </w:pPr>
    </w:p>
    <w:p w14:paraId="3CEA5529" w14:textId="1AC0A635" w:rsidR="005563A1" w:rsidRDefault="00EC36AF" w:rsidP="005563A1">
      <w:pPr>
        <w:rPr>
          <w:bCs/>
          <w:color w:val="000000" w:themeColor="text1"/>
          <w:lang w:val="en-IN" w:bidi="th-TH"/>
        </w:rPr>
      </w:pPr>
      <w:r w:rsidRPr="005563A1">
        <w:rPr>
          <w:bCs/>
          <w:color w:val="000000" w:themeColor="text1"/>
          <w:lang w:val="en-IN" w:bidi="th-TH"/>
        </w:rPr>
        <w:t>Several steps are critical for the successful establishment and application of the STAT6 reporter assay. Optimization of the lentiviral multiplicity of infection (MOI) is essential because insufficient viral input reduces transduction efficiency, whereas excessive viral exposure may induce cellular stress and compromise cell viability. Likewise, optimization of the puromycin selection concentration is required to eliminate non-transduced cells while preserving the viability of resistant reporter cells. Beca</w:t>
      </w:r>
      <w:r w:rsidRPr="005563A1">
        <w:rPr>
          <w:bCs/>
          <w:color w:val="000000" w:themeColor="text1"/>
          <w:lang w:val="en-IN" w:bidi="th-TH"/>
        </w:rPr>
        <w:t xml:space="preserve">use susceptibility to lentiviral transduction and antibiotic selection </w:t>
      </w:r>
      <w:r w:rsidR="0044554A">
        <w:rPr>
          <w:bCs/>
          <w:color w:val="000000" w:themeColor="text1"/>
          <w:lang w:val="en-IN" w:bidi="th-TH"/>
        </w:rPr>
        <w:t>vary</w:t>
      </w:r>
      <w:r w:rsidRPr="005563A1">
        <w:rPr>
          <w:bCs/>
          <w:color w:val="000000" w:themeColor="text1"/>
          <w:lang w:val="en-IN" w:bidi="th-TH"/>
        </w:rPr>
        <w:t xml:space="preserve"> among cell types, both parameters should be empirically optimized before establishing stable reporter cell lines. The </w:t>
      </w:r>
      <w:r w:rsidR="0076332A" w:rsidRPr="002527C7">
        <w:rPr>
          <w:color w:val="000000" w:themeColor="text1"/>
        </w:rPr>
        <w:t>16HBE14o</w:t>
      </w:r>
      <w:r w:rsidR="0076332A" w:rsidRPr="002527C7">
        <w:rPr>
          <w:color w:val="000000" w:themeColor="text1"/>
          <w:vertAlign w:val="superscript"/>
        </w:rPr>
        <w:t>−</w:t>
      </w:r>
      <w:r w:rsidR="0076332A">
        <w:rPr>
          <w:color w:val="000000" w:themeColor="text1"/>
        </w:rPr>
        <w:t xml:space="preserve"> </w:t>
      </w:r>
      <w:r w:rsidRPr="005563A1">
        <w:rPr>
          <w:bCs/>
          <w:color w:val="000000" w:themeColor="text1"/>
          <w:lang w:val="en-IN" w:bidi="th-TH"/>
        </w:rPr>
        <w:t>cell line is an immortalized human bronchial epithelial cell line widely used to investigate airway inflammation because it forms functional tight junctions and produces mucus</w:t>
      </w:r>
      <w:r w:rsidR="0044554A">
        <w:rPr>
          <w:bCs/>
          <w:color w:val="000000" w:themeColor="text1"/>
          <w:vertAlign w:val="superscript"/>
          <w:lang w:val="en-IN" w:bidi="th-TH"/>
        </w:rPr>
        <w:t>8,2</w:t>
      </w:r>
      <w:r w:rsidR="003E4CEF">
        <w:rPr>
          <w:bCs/>
          <w:color w:val="000000" w:themeColor="text1"/>
          <w:vertAlign w:val="superscript"/>
          <w:lang w:val="en-IN" w:bidi="th-TH"/>
        </w:rPr>
        <w:t>3</w:t>
      </w:r>
      <w:r w:rsidRPr="005563A1">
        <w:rPr>
          <w:bCs/>
          <w:color w:val="000000" w:themeColor="text1"/>
          <w:lang w:val="en-IN" w:bidi="th-TH"/>
        </w:rPr>
        <w:t>. Cells selected for reporter generation should express functional IL-4 and IL-13 receptors and retain intact downstream JAK–STAT signaling</w:t>
      </w:r>
      <w:r w:rsidR="0044554A">
        <w:rPr>
          <w:bCs/>
          <w:color w:val="000000" w:themeColor="text1"/>
          <w:vertAlign w:val="superscript"/>
          <w:lang w:val="en-IN" w:bidi="th-TH"/>
        </w:rPr>
        <w:t>2</w:t>
      </w:r>
      <w:r w:rsidR="008275B6">
        <w:rPr>
          <w:bCs/>
          <w:color w:val="000000" w:themeColor="text1"/>
          <w:vertAlign w:val="superscript"/>
          <w:lang w:val="en-IN" w:bidi="th-TH"/>
        </w:rPr>
        <w:t>4</w:t>
      </w:r>
      <w:r w:rsidRPr="005563A1">
        <w:rPr>
          <w:bCs/>
          <w:color w:val="000000" w:themeColor="text1"/>
          <w:lang w:val="en-IN" w:bidi="th-TH"/>
        </w:rPr>
        <w:t xml:space="preserve">. Before establishing stable reporter lines, the reporter construct should be validated by confirming responsiveness to cytokine stimulation, suppression by pathway-specific inhibitors, and the absence of cytotoxic effects under the selected assay conditions. These validation steps help ensure that changes in reporter activity accurately reflect STAT6-dependent signaling rather than </w:t>
      </w:r>
      <w:r w:rsidRPr="005563A1">
        <w:rPr>
          <w:bCs/>
          <w:color w:val="000000" w:themeColor="text1"/>
          <w:lang w:val="en-IN" w:bidi="th-TH"/>
        </w:rPr>
        <w:lastRenderedPageBreak/>
        <w:t>nonspecific cellular stress.</w:t>
      </w:r>
    </w:p>
    <w:p w14:paraId="5DB46B50" w14:textId="77777777" w:rsidR="005563A1" w:rsidRPr="005563A1" w:rsidRDefault="005563A1" w:rsidP="005563A1">
      <w:pPr>
        <w:rPr>
          <w:bCs/>
          <w:color w:val="000000" w:themeColor="text1"/>
          <w:lang w:val="en-IN" w:bidi="th-TH"/>
        </w:rPr>
      </w:pPr>
    </w:p>
    <w:p w14:paraId="04D1DA1E" w14:textId="77777777" w:rsidR="005563A1" w:rsidRDefault="00EC36AF" w:rsidP="005563A1">
      <w:pPr>
        <w:rPr>
          <w:bCs/>
          <w:color w:val="000000" w:themeColor="text1"/>
          <w:lang w:val="en-IN" w:bidi="th-TH"/>
        </w:rPr>
      </w:pPr>
      <w:r w:rsidRPr="005563A1">
        <w:rPr>
          <w:bCs/>
          <w:color w:val="000000" w:themeColor="text1"/>
          <w:lang w:val="en-IN" w:bidi="th-TH"/>
        </w:rPr>
        <w:t>Several limitations of this method should also be considered. Lentiviral vectors integrate randomly into the host genome, which may result in clone-to-clone variation in basal reporter activity, inducibility, and long-term expression stability. In addition, because the assay measures activation of a STAT6-responsive promoter, it does not directly assess upstream receptor activation or downstream endogenous signaling</w:t>
      </w:r>
      <w:r w:rsidRPr="005563A1">
        <w:rPr>
          <w:bCs/>
          <w:color w:val="000000" w:themeColor="text1"/>
          <w:lang w:val="en-IN" w:bidi="th-TH"/>
        </w:rPr>
        <w:t xml:space="preserve"> events. Prolonged culture of stable reporter cells may also lead to epigenetic silencing or reduced transgene expression. To minimize these effects, early-passage master cell banks should be established, and reporter responsiveness should be periodically verified within a defined passage range. Furthermore, the assay has not yet been validated in primary human airway epithelial cells or in a fully automated high-throughput screening platform. Finally, the environmental toxicants evaluated in this study rep</w:t>
      </w:r>
      <w:r w:rsidRPr="005563A1">
        <w:rPr>
          <w:bCs/>
          <w:color w:val="000000" w:themeColor="text1"/>
          <w:lang w:val="en-IN" w:bidi="th-TH"/>
        </w:rPr>
        <w:t>resent a proof-of-concept panel rather than a comprehensive chemical library.</w:t>
      </w:r>
    </w:p>
    <w:p w14:paraId="254D9819" w14:textId="77777777" w:rsidR="005563A1" w:rsidRPr="005563A1" w:rsidRDefault="005563A1" w:rsidP="005563A1">
      <w:pPr>
        <w:rPr>
          <w:bCs/>
          <w:color w:val="000000" w:themeColor="text1"/>
          <w:lang w:val="en-IN" w:bidi="th-TH"/>
        </w:rPr>
      </w:pPr>
    </w:p>
    <w:p w14:paraId="01A96AAC" w14:textId="728B8333" w:rsidR="005563A1" w:rsidRPr="005563A1" w:rsidRDefault="00EC36AF" w:rsidP="005563A1">
      <w:pPr>
        <w:rPr>
          <w:bCs/>
          <w:color w:val="000000" w:themeColor="text1"/>
          <w:lang w:val="en-IN" w:bidi="th-TH"/>
        </w:rPr>
      </w:pPr>
      <w:r w:rsidRPr="005563A1">
        <w:rPr>
          <w:bCs/>
          <w:color w:val="000000" w:themeColor="text1"/>
          <w:lang w:val="en-IN" w:bidi="th-TH"/>
        </w:rPr>
        <w:t>Air pollution, particularly fine particulate matter (PM</w:t>
      </w:r>
      <w:r w:rsidR="009A1D62">
        <w:rPr>
          <w:bCs/>
          <w:color w:val="000000" w:themeColor="text1"/>
          <w:vertAlign w:val="subscript"/>
          <w:lang w:val="en-IN" w:bidi="th-TH"/>
        </w:rPr>
        <w:t>2.5</w:t>
      </w:r>
      <w:r w:rsidRPr="005563A1">
        <w:rPr>
          <w:bCs/>
          <w:color w:val="000000" w:themeColor="text1"/>
          <w:lang w:val="en-IN" w:bidi="th-TH"/>
        </w:rPr>
        <w:t>), comprises a complex mixture of chemically and physically diverse constituents, including black carbon, inorganic salts, polycyclic aromatic hydrocarbons, and heavy metals</w:t>
      </w:r>
      <w:r w:rsidR="009A1D62">
        <w:rPr>
          <w:bCs/>
          <w:color w:val="000000" w:themeColor="text1"/>
          <w:vertAlign w:val="superscript"/>
          <w:lang w:val="en-IN" w:bidi="th-TH"/>
        </w:rPr>
        <w:t>12,13</w:t>
      </w:r>
      <w:r w:rsidRPr="005563A1">
        <w:rPr>
          <w:bCs/>
          <w:color w:val="000000" w:themeColor="text1"/>
          <w:lang w:val="en-IN" w:bidi="th-TH"/>
        </w:rPr>
        <w:t xml:space="preserve">. Variations in emission sources and atmospheric processing produce substantial differences in particulate composition, which may contribute to distinct adverse health outcomes. Consequently, identifying the specific components responsible for allergic responses remains challenging in epidemiological and </w:t>
      </w:r>
      <w:r w:rsidRPr="009A1D62">
        <w:rPr>
          <w:bCs/>
          <w:i/>
          <w:iCs/>
          <w:color w:val="000000" w:themeColor="text1"/>
          <w:lang w:val="en-IN" w:bidi="th-TH"/>
        </w:rPr>
        <w:t>in vivo</w:t>
      </w:r>
      <w:r w:rsidRPr="005563A1">
        <w:rPr>
          <w:bCs/>
          <w:color w:val="000000" w:themeColor="text1"/>
          <w:lang w:val="en-IN" w:bidi="th-TH"/>
        </w:rPr>
        <w:t xml:space="preserve"> studies. The STAT6 reporter assay described</w:t>
      </w:r>
      <w:r w:rsidR="003C733D">
        <w:rPr>
          <w:bCs/>
          <w:color w:val="000000" w:themeColor="text1"/>
          <w:lang w:val="en-IN" w:bidi="th-TH"/>
        </w:rPr>
        <w:t xml:space="preserve"> in the study</w:t>
      </w:r>
      <w:r w:rsidRPr="005563A1">
        <w:rPr>
          <w:bCs/>
          <w:color w:val="000000" w:themeColor="text1"/>
          <w:lang w:val="en-IN" w:bidi="th-TH"/>
        </w:rPr>
        <w:t xml:space="preserve"> provides a practical </w:t>
      </w:r>
      <w:r w:rsidRPr="003C733D">
        <w:rPr>
          <w:bCs/>
          <w:i/>
          <w:iCs/>
          <w:color w:val="000000" w:themeColor="text1"/>
          <w:lang w:val="en-IN" w:bidi="th-TH"/>
        </w:rPr>
        <w:t>in vitro</w:t>
      </w:r>
      <w:r w:rsidRPr="005563A1">
        <w:rPr>
          <w:bCs/>
          <w:color w:val="000000" w:themeColor="text1"/>
          <w:lang w:val="en-IN" w:bidi="th-TH"/>
        </w:rPr>
        <w:t xml:space="preserve"> platform for screening the STAT6-modulatory activity of individual airborne toxicants, source-resolved particulate matter extracts, or chemically defined particulate fractions. This protocol may facilitate the prioritization of candidate toxicants for mechanistic studies and support risk-oriented evaluation of complex air pollution mixtures.</w:t>
      </w:r>
    </w:p>
    <w:p w14:paraId="21AC44A5" w14:textId="77777777" w:rsidR="00B454A9" w:rsidRPr="00862D84" w:rsidRDefault="00B454A9" w:rsidP="00862D84">
      <w:pPr>
        <w:rPr>
          <w:color w:val="000000" w:themeColor="text1"/>
        </w:rPr>
      </w:pPr>
    </w:p>
    <w:p w14:paraId="59F37CC4" w14:textId="639CAE7C" w:rsidR="006E4797" w:rsidRPr="00862D84" w:rsidRDefault="00EC36AF" w:rsidP="00862D84">
      <w:pPr>
        <w:pBdr>
          <w:top w:val="nil"/>
          <w:left w:val="nil"/>
          <w:bottom w:val="nil"/>
          <w:right w:val="nil"/>
          <w:between w:val="nil"/>
        </w:pBdr>
        <w:rPr>
          <w:color w:val="000000" w:themeColor="text1"/>
        </w:rPr>
      </w:pPr>
      <w:r w:rsidRPr="00862D84">
        <w:rPr>
          <w:b/>
          <w:color w:val="000000" w:themeColor="text1"/>
        </w:rPr>
        <w:t>ACKNOWLEDGMENTS</w:t>
      </w:r>
      <w:r w:rsidR="00F77247">
        <w:rPr>
          <w:b/>
          <w:color w:val="000000" w:themeColor="text1"/>
        </w:rPr>
        <w:t>:</w:t>
      </w:r>
    </w:p>
    <w:p w14:paraId="712F5F4F" w14:textId="66DF9211" w:rsidR="002A3F87" w:rsidRDefault="00EC36AF" w:rsidP="002A3F87">
      <w:pPr>
        <w:rPr>
          <w:color w:val="000000" w:themeColor="text1"/>
        </w:rPr>
      </w:pPr>
      <w:r w:rsidRPr="004D474E">
        <w:rPr>
          <w:color w:val="000000" w:themeColor="text1"/>
        </w:rPr>
        <w:t xml:space="preserve">This work was supported by the National Research Council of Thailand (NRCT) (Grant No. N42A680388) and the Mahidol University Strategic Research Fund 2025 (Grant No. 35). The authors thank the Chakri Naruebodindra Medical Institute, Faculty of Medicine Ramathibodi Hospital, Mahidol University, for providing research facilities and technical support. Figures 1 and 2 were created using BioRender.com (Pothipan, P. (2026). </w:t>
      </w:r>
      <w:hyperlink r:id="rId8" w:history="1">
        <w:r w:rsidR="002A3F87" w:rsidRPr="006A5CE8">
          <w:rPr>
            <w:rStyle w:val="Hyperlink"/>
          </w:rPr>
          <w:t>https://BioRender.com/h44gy3h</w:t>
        </w:r>
      </w:hyperlink>
      <w:r w:rsidRPr="004D474E">
        <w:rPr>
          <w:color w:val="000000" w:themeColor="text1"/>
        </w:rPr>
        <w:t>).</w:t>
      </w:r>
    </w:p>
    <w:p w14:paraId="6E041B04" w14:textId="77777777" w:rsidR="004D474E" w:rsidRPr="000C395A" w:rsidRDefault="004D474E" w:rsidP="002A3F87">
      <w:pPr>
        <w:rPr>
          <w:color w:val="000000" w:themeColor="text1"/>
        </w:rPr>
      </w:pPr>
    </w:p>
    <w:p w14:paraId="74D046B3" w14:textId="008449EF" w:rsidR="002D0167" w:rsidRPr="00862D84" w:rsidRDefault="00EC36AF" w:rsidP="00862D84">
      <w:pPr>
        <w:pBdr>
          <w:top w:val="nil"/>
          <w:left w:val="nil"/>
          <w:bottom w:val="nil"/>
          <w:right w:val="nil"/>
          <w:between w:val="nil"/>
        </w:pBdr>
        <w:rPr>
          <w:color w:val="000000" w:themeColor="text1"/>
        </w:rPr>
      </w:pPr>
      <w:r w:rsidRPr="00862D84">
        <w:rPr>
          <w:b/>
          <w:color w:val="000000" w:themeColor="text1"/>
        </w:rPr>
        <w:t>DISCLOSURES</w:t>
      </w:r>
      <w:r w:rsidR="00F77247">
        <w:rPr>
          <w:b/>
          <w:color w:val="000000" w:themeColor="text1"/>
        </w:rPr>
        <w:t>:</w:t>
      </w:r>
    </w:p>
    <w:p w14:paraId="4A7B0E5C" w14:textId="1558688E" w:rsidR="006E4797" w:rsidRPr="00862D84" w:rsidRDefault="00EC36AF" w:rsidP="00862D84">
      <w:pPr>
        <w:pBdr>
          <w:top w:val="nil"/>
          <w:left w:val="nil"/>
          <w:bottom w:val="nil"/>
          <w:right w:val="nil"/>
          <w:between w:val="nil"/>
        </w:pBdr>
        <w:rPr>
          <w:color w:val="000000" w:themeColor="text1"/>
          <w:lang w:bidi="th-TH"/>
        </w:rPr>
      </w:pPr>
      <w:r w:rsidRPr="00862D84">
        <w:rPr>
          <w:color w:val="000000" w:themeColor="text1"/>
        </w:rPr>
        <w:t xml:space="preserve">The authors declare </w:t>
      </w:r>
      <w:r w:rsidR="007E046F">
        <w:rPr>
          <w:color w:val="000000" w:themeColor="text1"/>
        </w:rPr>
        <w:t>no conflicts</w:t>
      </w:r>
      <w:r w:rsidRPr="00862D84">
        <w:rPr>
          <w:color w:val="000000" w:themeColor="text1"/>
          <w:lang w:bidi="th-TH"/>
        </w:rPr>
        <w:t xml:space="preserve"> of interest</w:t>
      </w:r>
      <w:r w:rsidR="00AF7356">
        <w:rPr>
          <w:color w:val="000000" w:themeColor="text1"/>
          <w:lang w:bidi="th-TH"/>
        </w:rPr>
        <w:t>.</w:t>
      </w:r>
    </w:p>
    <w:p w14:paraId="34147645" w14:textId="77777777" w:rsidR="000C7DD7" w:rsidRPr="00862D84" w:rsidRDefault="000C7DD7" w:rsidP="00862D84">
      <w:pPr>
        <w:rPr>
          <w:b/>
          <w:color w:val="000000" w:themeColor="text1"/>
        </w:rPr>
      </w:pPr>
    </w:p>
    <w:p w14:paraId="5BF07899" w14:textId="368FCE0F" w:rsidR="00FC2AF7" w:rsidRDefault="00EC36AF" w:rsidP="00862D84">
      <w:pPr>
        <w:rPr>
          <w:b/>
          <w:color w:val="000000" w:themeColor="text1"/>
        </w:rPr>
      </w:pPr>
      <w:proofErr w:type="gramStart"/>
      <w:r w:rsidRPr="00862D84">
        <w:rPr>
          <w:b/>
          <w:color w:val="000000" w:themeColor="text1"/>
        </w:rPr>
        <w:t>REFERENCES</w:t>
      </w:r>
      <w:proofErr w:type="gramEnd"/>
      <w:r w:rsidR="00F77247">
        <w:rPr>
          <w:b/>
          <w:color w:val="000000" w:themeColor="text1"/>
        </w:rPr>
        <w:t>:</w:t>
      </w:r>
    </w:p>
    <w:p w14:paraId="337981E7"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Organisation for Economic Co-operation and Development. The Economic Consequences of Outdoor Air Pollution. OECD Publishing; Paris; 2016.</w:t>
      </w:r>
    </w:p>
    <w:p w14:paraId="577946F8"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Thailand Pollution Control Department. Air Quality Assessments for Health and Environment Policies in Thailand. Thailand Pollution Control Department; Bangkok; 2018.</w:t>
      </w:r>
    </w:p>
    <w:p w14:paraId="62A47FF1"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Health Effects Institute. State of Global Air Report 2024. Available at: https://www.stateofglobalair.org/resources/report/state-global-air-report-2024</w:t>
      </w:r>
    </w:p>
    <w:p w14:paraId="5BCD3750"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lastRenderedPageBreak/>
        <w:t>State of Global Air. Trends in Air Quality and Health Impacts: Insights from Central, South, and Southeast Asia. 2025. Available at: https://www.stateofglobalair.org/</w:t>
      </w:r>
    </w:p>
    <w:p w14:paraId="6ACFCE14"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Shi X. Acute effects of air pollution on human health in China: Evidence and prospects. China CDC Wkly. 2021;3(45):941-942.</w:t>
      </w:r>
    </w:p>
    <w:p w14:paraId="4121C330"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Tsai YG, et al. Long-term PM2.5 exposure impairs lung growth and increases airway inflammation in Taiwanese school children. ERJ Open Res. 2025;11(4).</w:t>
      </w:r>
    </w:p>
    <w:p w14:paraId="4749CDE5"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Walford HH, Doherty TA. STAT6 and lung inflammation. JAKSTAT. 2013;2(4</w:t>
      </w:r>
      <w:proofErr w:type="gramStart"/>
      <w:r w:rsidRPr="00090BD0">
        <w:rPr>
          <w:rFonts w:ascii="Calibri" w:hAnsi="Calibri" w:cs="Calibri"/>
          <w:bCs/>
          <w:color w:val="000000" w:themeColor="text1"/>
          <w:sz w:val="24"/>
          <w:szCs w:val="24"/>
          <w:lang w:bidi="th-TH"/>
        </w:rPr>
        <w:t>):e</w:t>
      </w:r>
      <w:proofErr w:type="gramEnd"/>
      <w:r w:rsidRPr="00090BD0">
        <w:rPr>
          <w:rFonts w:ascii="Calibri" w:hAnsi="Calibri" w:cs="Calibri"/>
          <w:bCs/>
          <w:color w:val="000000" w:themeColor="text1"/>
          <w:sz w:val="24"/>
          <w:szCs w:val="24"/>
          <w:lang w:bidi="th-TH"/>
        </w:rPr>
        <w:t>25301.</w:t>
      </w:r>
    </w:p>
    <w:p w14:paraId="756CB2A3"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 xml:space="preserve">Moonwiriyakit A, et al. GPR120/FFAR4 stimulation attenuates airway remodeling and suppresses IL-4- and IL-13-induced airway epithelial injury via inhibition of STAT6 and Akt. Biomed Pharmacother. </w:t>
      </w:r>
      <w:proofErr w:type="gramStart"/>
      <w:r w:rsidRPr="00090BD0">
        <w:rPr>
          <w:rFonts w:ascii="Calibri" w:hAnsi="Calibri" w:cs="Calibri"/>
          <w:bCs/>
          <w:color w:val="000000" w:themeColor="text1"/>
          <w:sz w:val="24"/>
          <w:szCs w:val="24"/>
          <w:lang w:bidi="th-TH"/>
        </w:rPr>
        <w:t>2023;168:115774</w:t>
      </w:r>
      <w:proofErr w:type="gramEnd"/>
      <w:r w:rsidRPr="00090BD0">
        <w:rPr>
          <w:rFonts w:ascii="Calibri" w:hAnsi="Calibri" w:cs="Calibri"/>
          <w:bCs/>
          <w:color w:val="000000" w:themeColor="text1"/>
          <w:sz w:val="24"/>
          <w:szCs w:val="24"/>
          <w:lang w:bidi="th-TH"/>
        </w:rPr>
        <w:t>.</w:t>
      </w:r>
    </w:p>
    <w:p w14:paraId="660E1F5C"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 xml:space="preserve">Pelaia C, et al. </w:t>
      </w:r>
      <w:proofErr w:type="gramStart"/>
      <w:r w:rsidRPr="00090BD0">
        <w:rPr>
          <w:rFonts w:ascii="Calibri" w:hAnsi="Calibri" w:cs="Calibri"/>
          <w:bCs/>
          <w:color w:val="000000" w:themeColor="text1"/>
          <w:sz w:val="24"/>
          <w:szCs w:val="24"/>
          <w:lang w:bidi="th-TH"/>
        </w:rPr>
        <w:t>Biological</w:t>
      </w:r>
      <w:proofErr w:type="gramEnd"/>
      <w:r w:rsidRPr="00090BD0">
        <w:rPr>
          <w:rFonts w:ascii="Calibri" w:hAnsi="Calibri" w:cs="Calibri"/>
          <w:bCs/>
          <w:color w:val="000000" w:themeColor="text1"/>
          <w:sz w:val="24"/>
          <w:szCs w:val="24"/>
          <w:lang w:bidi="th-TH"/>
        </w:rPr>
        <w:t xml:space="preserve"> therapy of severe asthma with dupilumab, a dual receptor antagonist of interleukins 4 and 13. Vaccines (Basel). 2022;10(6).</w:t>
      </w:r>
    </w:p>
    <w:p w14:paraId="46D5E7E9"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Yang Y, et al. Continuous exposure to PM2.5 exacerbates ovalbumin-induced asthma in mouse lung via the JAK-STAT6 signaling pathway. Adv Clin Exp Med. 2020;29(7):825-832.</w:t>
      </w:r>
    </w:p>
    <w:p w14:paraId="172EA72B"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 xml:space="preserve">Li X, Huang L, Wang N, Yi H, Wang H. Sulfur dioxide exposure enhances Th2 inflammatory responses via activation of the STAT6 pathway in asthmatic mice. Toxicol Lett. </w:t>
      </w:r>
      <w:proofErr w:type="gramStart"/>
      <w:r w:rsidRPr="00090BD0">
        <w:rPr>
          <w:rFonts w:ascii="Calibri" w:hAnsi="Calibri" w:cs="Calibri"/>
          <w:bCs/>
          <w:color w:val="000000" w:themeColor="text1"/>
          <w:sz w:val="24"/>
          <w:szCs w:val="24"/>
          <w:lang w:bidi="th-TH"/>
        </w:rPr>
        <w:t>2018;285:43</w:t>
      </w:r>
      <w:proofErr w:type="gramEnd"/>
      <w:r w:rsidRPr="00090BD0">
        <w:rPr>
          <w:rFonts w:ascii="Calibri" w:hAnsi="Calibri" w:cs="Calibri"/>
          <w:bCs/>
          <w:color w:val="000000" w:themeColor="text1"/>
          <w:sz w:val="24"/>
          <w:szCs w:val="24"/>
          <w:lang w:bidi="th-TH"/>
        </w:rPr>
        <w:t>-50.</w:t>
      </w:r>
    </w:p>
    <w:p w14:paraId="73CFE812"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Reiss R, et al. Evidence of health impacts of sulfate- and nitrate-containing particles in ambient air. Inhal Toxicol. 2007;19(5):419-449.</w:t>
      </w:r>
    </w:p>
    <w:p w14:paraId="0A06F760"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 xml:space="preserve">Li R, et al. Key toxic components and sources affecting oxidative potential of atmospheric particulate matter using interpretable machine learning: Insights from fog episodes. J Hazard Mater. </w:t>
      </w:r>
      <w:proofErr w:type="gramStart"/>
      <w:r w:rsidRPr="00090BD0">
        <w:rPr>
          <w:rFonts w:ascii="Calibri" w:hAnsi="Calibri" w:cs="Calibri"/>
          <w:bCs/>
          <w:color w:val="000000" w:themeColor="text1"/>
          <w:sz w:val="24"/>
          <w:szCs w:val="24"/>
          <w:lang w:bidi="th-TH"/>
        </w:rPr>
        <w:t>2024;465:133175</w:t>
      </w:r>
      <w:proofErr w:type="gramEnd"/>
      <w:r w:rsidRPr="00090BD0">
        <w:rPr>
          <w:rFonts w:ascii="Calibri" w:hAnsi="Calibri" w:cs="Calibri"/>
          <w:bCs/>
          <w:color w:val="000000" w:themeColor="text1"/>
          <w:sz w:val="24"/>
          <w:szCs w:val="24"/>
          <w:lang w:bidi="th-TH"/>
        </w:rPr>
        <w:t>.</w:t>
      </w:r>
    </w:p>
    <w:p w14:paraId="484CC2AA"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Posimo JM, et al. Viability assays for cells in culture. J Vis Exp. 2014;(83</w:t>
      </w:r>
      <w:proofErr w:type="gramStart"/>
      <w:r w:rsidRPr="00090BD0">
        <w:rPr>
          <w:rFonts w:ascii="Calibri" w:hAnsi="Calibri" w:cs="Calibri"/>
          <w:bCs/>
          <w:color w:val="000000" w:themeColor="text1"/>
          <w:sz w:val="24"/>
          <w:szCs w:val="24"/>
          <w:lang w:bidi="th-TH"/>
        </w:rPr>
        <w:t>):e</w:t>
      </w:r>
      <w:proofErr w:type="gramEnd"/>
      <w:r w:rsidRPr="00090BD0">
        <w:rPr>
          <w:rFonts w:ascii="Calibri" w:hAnsi="Calibri" w:cs="Calibri"/>
          <w:bCs/>
          <w:color w:val="000000" w:themeColor="text1"/>
          <w:sz w:val="24"/>
          <w:szCs w:val="24"/>
          <w:lang w:bidi="th-TH"/>
        </w:rPr>
        <w:t>50645.</w:t>
      </w:r>
    </w:p>
    <w:p w14:paraId="43D4D4B7"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Baumlin-Schmid N, Salathe M, Fregien</w:t>
      </w:r>
      <w:r w:rsidRPr="00090BD0">
        <w:rPr>
          <w:rFonts w:ascii="Calibri" w:hAnsi="Calibri" w:cs="Calibri"/>
          <w:bCs/>
          <w:color w:val="000000" w:themeColor="text1"/>
          <w:sz w:val="24"/>
          <w:szCs w:val="24"/>
          <w:lang w:bidi="th-TH"/>
        </w:rPr>
        <w:t xml:space="preserve"> NL. Optimal lentivirus production and cell culture conditions necessary to successfully transduce primary human bronchial epithelial cells. J Vis Exp. 2016;(113).</w:t>
      </w:r>
    </w:p>
    <w:p w14:paraId="56F14BF8"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Nozeret K, Pernin A, Buddelmeijer N. Click-chemistry based fluorometric assay for apolipoprotein N-acyltransferase from enzyme characterization to high-throughput screening. J Vis Exp. 2020;(159).</w:t>
      </w:r>
    </w:p>
    <w:p w14:paraId="01FC3A9F"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Rolling C, Treton D, Pellegrini S, Galanaud P, Richard Y. IL-4 and IL-13 receptors share the γc</w:t>
      </w:r>
      <w:r w:rsidRPr="00090BD0">
        <w:rPr>
          <w:rFonts w:ascii="Calibri" w:hAnsi="Calibri" w:cs="Calibri"/>
          <w:bCs/>
          <w:color w:val="000000" w:themeColor="text1"/>
          <w:sz w:val="24"/>
          <w:szCs w:val="24"/>
          <w:lang w:bidi="th-TH"/>
        </w:rPr>
        <w:t xml:space="preserve"> chain and activate STAT6, STAT3, and STAT5 proteins in normal human B cells. FEBS Lett. 1996;393(1):53-56.</w:t>
      </w:r>
    </w:p>
    <w:p w14:paraId="44618ADA"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Deimel LP, Li Z, Roy S, Ranasinghe C. STAT3 determines IL-4 signalling outcomes in naïve T cells. Sci Rep. 2021;11(1):10495.</w:t>
      </w:r>
    </w:p>
    <w:p w14:paraId="6D18A3AA"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Wingelhofer B, et al. Pharmacologic inhibition of STAT5 in acute myeloid leukemia. Leukemia. 2018;32(5):1135-1146.</w:t>
      </w:r>
    </w:p>
    <w:p w14:paraId="654B92C3"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McMurray JS. A new small-molecule STAT3 inhibitor. Chem Biol. 2006;13(11):1123-1124.</w:t>
      </w:r>
    </w:p>
    <w:p w14:paraId="1F4A3329"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Chiba Y, Todoroki M, Nishida Y, Tanabe M, Misawa M. A novel STAT6 inhibitor, AS1517499, ameliorates antigen-induced bronchial hypercontractility in mice. Am J Respir Cell Mol Biol. 2009;41(5):516-524.</w:t>
      </w:r>
    </w:p>
    <w:p w14:paraId="7C996A15"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Zhang X, et al. The immunogenetic landscape of allergic rhinitis: From cellular effectors to gene regulation and targeted therapies. Int J Biol Sci. 2026;22(3):1322-1345.</w:t>
      </w:r>
    </w:p>
    <w:p w14:paraId="24879EB1" w14:textId="77777777" w:rsidR="00090BD0" w:rsidRPr="00090BD0"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t>Yu H, Li Q, Kolosov VP, Perelman JM, Zhou X. Interleukin-13 induces mucin 5AC production involving STAT6/SPDEF in human airway epithelial cells. Cell Commun Adhes. 2010;17(4-6):83-92.</w:t>
      </w:r>
    </w:p>
    <w:p w14:paraId="3ECD8211" w14:textId="01DFB7E8" w:rsidR="00F77247" w:rsidRPr="008275B6" w:rsidRDefault="00EC36AF" w:rsidP="00090BD0">
      <w:pPr>
        <w:pStyle w:val="ListParagraph"/>
        <w:numPr>
          <w:ilvl w:val="0"/>
          <w:numId w:val="27"/>
        </w:numPr>
        <w:spacing w:line="240" w:lineRule="auto"/>
        <w:ind w:left="0" w:firstLine="0"/>
        <w:jc w:val="both"/>
        <w:rPr>
          <w:rFonts w:ascii="Calibri" w:hAnsi="Calibri" w:cs="Calibri"/>
          <w:bCs/>
          <w:color w:val="000000" w:themeColor="text1"/>
          <w:sz w:val="24"/>
          <w:szCs w:val="24"/>
          <w:lang w:bidi="th-TH"/>
        </w:rPr>
      </w:pPr>
      <w:r w:rsidRPr="00090BD0">
        <w:rPr>
          <w:rFonts w:ascii="Calibri" w:hAnsi="Calibri" w:cs="Calibri"/>
          <w:bCs/>
          <w:color w:val="000000" w:themeColor="text1"/>
          <w:sz w:val="24"/>
          <w:szCs w:val="24"/>
          <w:lang w:bidi="th-TH"/>
        </w:rPr>
        <w:lastRenderedPageBreak/>
        <w:t>White SR, Martin LD, Stern R, Laxman B</w:t>
      </w:r>
      <w:proofErr w:type="gramStart"/>
      <w:r w:rsidRPr="00090BD0">
        <w:rPr>
          <w:rFonts w:ascii="Calibri" w:hAnsi="Calibri" w:cs="Calibri"/>
          <w:bCs/>
          <w:color w:val="000000" w:themeColor="text1"/>
          <w:sz w:val="24"/>
          <w:szCs w:val="24"/>
          <w:lang w:bidi="th-TH"/>
        </w:rPr>
        <w:t>, Marroquin</w:t>
      </w:r>
      <w:proofErr w:type="gramEnd"/>
      <w:r w:rsidRPr="00090BD0">
        <w:rPr>
          <w:rFonts w:ascii="Calibri" w:hAnsi="Calibri" w:cs="Calibri"/>
          <w:bCs/>
          <w:color w:val="000000" w:themeColor="text1"/>
          <w:sz w:val="24"/>
          <w:szCs w:val="24"/>
          <w:lang w:bidi="th-TH"/>
        </w:rPr>
        <w:t xml:space="preserve"> BA. Expression of IL-4/IL-13 receptors in differentiating human airway epithelial cells. Am J Physiol Lung Cell Mol Physiol. 2010;299(5</w:t>
      </w:r>
      <w:proofErr w:type="gramStart"/>
      <w:r w:rsidRPr="00090BD0">
        <w:rPr>
          <w:rFonts w:ascii="Calibri" w:hAnsi="Calibri" w:cs="Calibri"/>
          <w:bCs/>
          <w:color w:val="000000" w:themeColor="text1"/>
          <w:sz w:val="24"/>
          <w:szCs w:val="24"/>
          <w:lang w:bidi="th-TH"/>
        </w:rPr>
        <w:t>):L</w:t>
      </w:r>
      <w:proofErr w:type="gramEnd"/>
      <w:r w:rsidRPr="00090BD0">
        <w:rPr>
          <w:rFonts w:ascii="Calibri" w:hAnsi="Calibri" w:cs="Calibri"/>
          <w:bCs/>
          <w:color w:val="000000" w:themeColor="text1"/>
          <w:sz w:val="24"/>
          <w:szCs w:val="24"/>
          <w:lang w:bidi="th-TH"/>
        </w:rPr>
        <w:t>681-L693.</w:t>
      </w:r>
    </w:p>
    <w:sectPr w:rsidR="00F77247" w:rsidRPr="008275B6" w:rsidSect="00862D8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A306" w14:textId="77777777" w:rsidR="00EC36AF" w:rsidRDefault="00EC36AF">
      <w:r>
        <w:separator/>
      </w:r>
    </w:p>
  </w:endnote>
  <w:endnote w:type="continuationSeparator" w:id="0">
    <w:p w14:paraId="2DE6ABC9" w14:textId="77777777" w:rsidR="00EC36AF" w:rsidRDefault="00EC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9EF3" w14:textId="77777777" w:rsidR="00C735BB" w:rsidRDefault="00C73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ACF5" w14:textId="77777777" w:rsidR="00C735BB" w:rsidRDefault="00C73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885A" w14:textId="77777777" w:rsidR="00EC36AF" w:rsidRDefault="00EC36AF">
      <w:r>
        <w:separator/>
      </w:r>
    </w:p>
  </w:footnote>
  <w:footnote w:type="continuationSeparator" w:id="0">
    <w:p w14:paraId="1A936CC8" w14:textId="77777777" w:rsidR="00EC36AF" w:rsidRDefault="00EC3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EC36AF">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20B80F4"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C22"/>
    <w:multiLevelType w:val="hybridMultilevel"/>
    <w:tmpl w:val="F3E677DE"/>
    <w:lvl w:ilvl="0" w:tplc="AB9E4C94">
      <w:start w:val="3"/>
      <w:numFmt w:val="bullet"/>
      <w:lvlText w:val=""/>
      <w:lvlJc w:val="left"/>
      <w:pPr>
        <w:ind w:left="1080" w:hanging="360"/>
      </w:pPr>
      <w:rPr>
        <w:rFonts w:ascii="Symbol" w:eastAsiaTheme="minorHAnsi" w:hAnsi="Symbol" w:cstheme="minorBidi" w:hint="default"/>
      </w:rPr>
    </w:lvl>
    <w:lvl w:ilvl="1" w:tplc="1E7A8400" w:tentative="1">
      <w:start w:val="1"/>
      <w:numFmt w:val="bullet"/>
      <w:lvlText w:val="o"/>
      <w:lvlJc w:val="left"/>
      <w:pPr>
        <w:ind w:left="1800" w:hanging="360"/>
      </w:pPr>
      <w:rPr>
        <w:rFonts w:ascii="Courier New" w:hAnsi="Courier New" w:cs="Courier New" w:hint="default"/>
      </w:rPr>
    </w:lvl>
    <w:lvl w:ilvl="2" w:tplc="7332AADC" w:tentative="1">
      <w:start w:val="1"/>
      <w:numFmt w:val="bullet"/>
      <w:lvlText w:val=""/>
      <w:lvlJc w:val="left"/>
      <w:pPr>
        <w:ind w:left="2520" w:hanging="360"/>
      </w:pPr>
      <w:rPr>
        <w:rFonts w:ascii="Wingdings" w:hAnsi="Wingdings" w:hint="default"/>
      </w:rPr>
    </w:lvl>
    <w:lvl w:ilvl="3" w:tplc="59E2D03A" w:tentative="1">
      <w:start w:val="1"/>
      <w:numFmt w:val="bullet"/>
      <w:lvlText w:val=""/>
      <w:lvlJc w:val="left"/>
      <w:pPr>
        <w:ind w:left="3240" w:hanging="360"/>
      </w:pPr>
      <w:rPr>
        <w:rFonts w:ascii="Symbol" w:hAnsi="Symbol" w:hint="default"/>
      </w:rPr>
    </w:lvl>
    <w:lvl w:ilvl="4" w:tplc="C86210F0" w:tentative="1">
      <w:start w:val="1"/>
      <w:numFmt w:val="bullet"/>
      <w:lvlText w:val="o"/>
      <w:lvlJc w:val="left"/>
      <w:pPr>
        <w:ind w:left="3960" w:hanging="360"/>
      </w:pPr>
      <w:rPr>
        <w:rFonts w:ascii="Courier New" w:hAnsi="Courier New" w:cs="Courier New" w:hint="default"/>
      </w:rPr>
    </w:lvl>
    <w:lvl w:ilvl="5" w:tplc="322C20A8" w:tentative="1">
      <w:start w:val="1"/>
      <w:numFmt w:val="bullet"/>
      <w:lvlText w:val=""/>
      <w:lvlJc w:val="left"/>
      <w:pPr>
        <w:ind w:left="4680" w:hanging="360"/>
      </w:pPr>
      <w:rPr>
        <w:rFonts w:ascii="Wingdings" w:hAnsi="Wingdings" w:hint="default"/>
      </w:rPr>
    </w:lvl>
    <w:lvl w:ilvl="6" w:tplc="4B14C30C" w:tentative="1">
      <w:start w:val="1"/>
      <w:numFmt w:val="bullet"/>
      <w:lvlText w:val=""/>
      <w:lvlJc w:val="left"/>
      <w:pPr>
        <w:ind w:left="5400" w:hanging="360"/>
      </w:pPr>
      <w:rPr>
        <w:rFonts w:ascii="Symbol" w:hAnsi="Symbol" w:hint="default"/>
      </w:rPr>
    </w:lvl>
    <w:lvl w:ilvl="7" w:tplc="45040C3E" w:tentative="1">
      <w:start w:val="1"/>
      <w:numFmt w:val="bullet"/>
      <w:lvlText w:val="o"/>
      <w:lvlJc w:val="left"/>
      <w:pPr>
        <w:ind w:left="6120" w:hanging="360"/>
      </w:pPr>
      <w:rPr>
        <w:rFonts w:ascii="Courier New" w:hAnsi="Courier New" w:cs="Courier New" w:hint="default"/>
      </w:rPr>
    </w:lvl>
    <w:lvl w:ilvl="8" w:tplc="1E064F10" w:tentative="1">
      <w:start w:val="1"/>
      <w:numFmt w:val="bullet"/>
      <w:lvlText w:val=""/>
      <w:lvlJc w:val="left"/>
      <w:pPr>
        <w:ind w:left="6840" w:hanging="360"/>
      </w:pPr>
      <w:rPr>
        <w:rFonts w:ascii="Wingdings" w:hAnsi="Wingdings" w:hint="default"/>
      </w:rPr>
    </w:lvl>
  </w:abstractNum>
  <w:abstractNum w:abstractNumId="1" w15:restartNumberingAfterBreak="0">
    <w:nsid w:val="087E0904"/>
    <w:multiLevelType w:val="hybridMultilevel"/>
    <w:tmpl w:val="34B8FCA0"/>
    <w:lvl w:ilvl="0" w:tplc="79089E0C">
      <w:start w:val="1"/>
      <w:numFmt w:val="decimal"/>
      <w:lvlText w:val="%1."/>
      <w:lvlJc w:val="left"/>
      <w:pPr>
        <w:ind w:left="1080" w:hanging="360"/>
      </w:pPr>
      <w:rPr>
        <w:rFonts w:hint="default"/>
      </w:rPr>
    </w:lvl>
    <w:lvl w:ilvl="1" w:tplc="C14E63C2" w:tentative="1">
      <w:start w:val="1"/>
      <w:numFmt w:val="lowerLetter"/>
      <w:lvlText w:val="%2."/>
      <w:lvlJc w:val="left"/>
      <w:pPr>
        <w:ind w:left="1800" w:hanging="360"/>
      </w:pPr>
    </w:lvl>
    <w:lvl w:ilvl="2" w:tplc="99E44EEA" w:tentative="1">
      <w:start w:val="1"/>
      <w:numFmt w:val="lowerRoman"/>
      <w:lvlText w:val="%3."/>
      <w:lvlJc w:val="right"/>
      <w:pPr>
        <w:ind w:left="2520" w:hanging="180"/>
      </w:pPr>
    </w:lvl>
    <w:lvl w:ilvl="3" w:tplc="CB88D1C6" w:tentative="1">
      <w:start w:val="1"/>
      <w:numFmt w:val="decimal"/>
      <w:lvlText w:val="%4."/>
      <w:lvlJc w:val="left"/>
      <w:pPr>
        <w:ind w:left="3240" w:hanging="360"/>
      </w:pPr>
    </w:lvl>
    <w:lvl w:ilvl="4" w:tplc="2D10245C" w:tentative="1">
      <w:start w:val="1"/>
      <w:numFmt w:val="lowerLetter"/>
      <w:lvlText w:val="%5."/>
      <w:lvlJc w:val="left"/>
      <w:pPr>
        <w:ind w:left="3960" w:hanging="360"/>
      </w:pPr>
    </w:lvl>
    <w:lvl w:ilvl="5" w:tplc="3744856A" w:tentative="1">
      <w:start w:val="1"/>
      <w:numFmt w:val="lowerRoman"/>
      <w:lvlText w:val="%6."/>
      <w:lvlJc w:val="right"/>
      <w:pPr>
        <w:ind w:left="4680" w:hanging="180"/>
      </w:pPr>
    </w:lvl>
    <w:lvl w:ilvl="6" w:tplc="C08AECC6" w:tentative="1">
      <w:start w:val="1"/>
      <w:numFmt w:val="decimal"/>
      <w:lvlText w:val="%7."/>
      <w:lvlJc w:val="left"/>
      <w:pPr>
        <w:ind w:left="5400" w:hanging="360"/>
      </w:pPr>
    </w:lvl>
    <w:lvl w:ilvl="7" w:tplc="042687F2" w:tentative="1">
      <w:start w:val="1"/>
      <w:numFmt w:val="lowerLetter"/>
      <w:lvlText w:val="%8."/>
      <w:lvlJc w:val="left"/>
      <w:pPr>
        <w:ind w:left="6120" w:hanging="360"/>
      </w:pPr>
    </w:lvl>
    <w:lvl w:ilvl="8" w:tplc="EF762D8C" w:tentative="1">
      <w:start w:val="1"/>
      <w:numFmt w:val="lowerRoman"/>
      <w:lvlText w:val="%9."/>
      <w:lvlJc w:val="right"/>
      <w:pPr>
        <w:ind w:left="6840" w:hanging="180"/>
      </w:pPr>
    </w:lvl>
  </w:abstractNum>
  <w:abstractNum w:abstractNumId="2" w15:restartNumberingAfterBreak="0">
    <w:nsid w:val="08C50E9A"/>
    <w:multiLevelType w:val="hybridMultilevel"/>
    <w:tmpl w:val="CCF2099C"/>
    <w:lvl w:ilvl="0" w:tplc="C3A2D592">
      <w:start w:val="1"/>
      <w:numFmt w:val="bullet"/>
      <w:lvlText w:val=""/>
      <w:lvlJc w:val="left"/>
      <w:pPr>
        <w:ind w:left="1440" w:hanging="360"/>
      </w:pPr>
      <w:rPr>
        <w:rFonts w:ascii="Symbol" w:hAnsi="Symbol" w:hint="default"/>
      </w:rPr>
    </w:lvl>
    <w:lvl w:ilvl="1" w:tplc="F8129038" w:tentative="1">
      <w:start w:val="1"/>
      <w:numFmt w:val="bullet"/>
      <w:lvlText w:val="o"/>
      <w:lvlJc w:val="left"/>
      <w:pPr>
        <w:ind w:left="2160" w:hanging="360"/>
      </w:pPr>
      <w:rPr>
        <w:rFonts w:ascii="Courier New" w:hAnsi="Courier New" w:cs="Courier New" w:hint="default"/>
      </w:rPr>
    </w:lvl>
    <w:lvl w:ilvl="2" w:tplc="5A722400" w:tentative="1">
      <w:start w:val="1"/>
      <w:numFmt w:val="bullet"/>
      <w:lvlText w:val=""/>
      <w:lvlJc w:val="left"/>
      <w:pPr>
        <w:ind w:left="2880" w:hanging="360"/>
      </w:pPr>
      <w:rPr>
        <w:rFonts w:ascii="Wingdings" w:hAnsi="Wingdings" w:hint="default"/>
      </w:rPr>
    </w:lvl>
    <w:lvl w:ilvl="3" w:tplc="A0A69936" w:tentative="1">
      <w:start w:val="1"/>
      <w:numFmt w:val="bullet"/>
      <w:lvlText w:val=""/>
      <w:lvlJc w:val="left"/>
      <w:pPr>
        <w:ind w:left="3600" w:hanging="360"/>
      </w:pPr>
      <w:rPr>
        <w:rFonts w:ascii="Symbol" w:hAnsi="Symbol" w:hint="default"/>
      </w:rPr>
    </w:lvl>
    <w:lvl w:ilvl="4" w:tplc="212CD822" w:tentative="1">
      <w:start w:val="1"/>
      <w:numFmt w:val="bullet"/>
      <w:lvlText w:val="o"/>
      <w:lvlJc w:val="left"/>
      <w:pPr>
        <w:ind w:left="4320" w:hanging="360"/>
      </w:pPr>
      <w:rPr>
        <w:rFonts w:ascii="Courier New" w:hAnsi="Courier New" w:cs="Courier New" w:hint="default"/>
      </w:rPr>
    </w:lvl>
    <w:lvl w:ilvl="5" w:tplc="36AA9E84" w:tentative="1">
      <w:start w:val="1"/>
      <w:numFmt w:val="bullet"/>
      <w:lvlText w:val=""/>
      <w:lvlJc w:val="left"/>
      <w:pPr>
        <w:ind w:left="5040" w:hanging="360"/>
      </w:pPr>
      <w:rPr>
        <w:rFonts w:ascii="Wingdings" w:hAnsi="Wingdings" w:hint="default"/>
      </w:rPr>
    </w:lvl>
    <w:lvl w:ilvl="6" w:tplc="A3929B7E" w:tentative="1">
      <w:start w:val="1"/>
      <w:numFmt w:val="bullet"/>
      <w:lvlText w:val=""/>
      <w:lvlJc w:val="left"/>
      <w:pPr>
        <w:ind w:left="5760" w:hanging="360"/>
      </w:pPr>
      <w:rPr>
        <w:rFonts w:ascii="Symbol" w:hAnsi="Symbol" w:hint="default"/>
      </w:rPr>
    </w:lvl>
    <w:lvl w:ilvl="7" w:tplc="BF8AAA16" w:tentative="1">
      <w:start w:val="1"/>
      <w:numFmt w:val="bullet"/>
      <w:lvlText w:val="o"/>
      <w:lvlJc w:val="left"/>
      <w:pPr>
        <w:ind w:left="6480" w:hanging="360"/>
      </w:pPr>
      <w:rPr>
        <w:rFonts w:ascii="Courier New" w:hAnsi="Courier New" w:cs="Courier New" w:hint="default"/>
      </w:rPr>
    </w:lvl>
    <w:lvl w:ilvl="8" w:tplc="B2CE39F4" w:tentative="1">
      <w:start w:val="1"/>
      <w:numFmt w:val="bullet"/>
      <w:lvlText w:val=""/>
      <w:lvlJc w:val="left"/>
      <w:pPr>
        <w:ind w:left="7200" w:hanging="360"/>
      </w:pPr>
      <w:rPr>
        <w:rFonts w:ascii="Wingdings" w:hAnsi="Wingdings" w:hint="default"/>
      </w:rPr>
    </w:lvl>
  </w:abstractNum>
  <w:abstractNum w:abstractNumId="3" w15:restartNumberingAfterBreak="0">
    <w:nsid w:val="09176D19"/>
    <w:multiLevelType w:val="hybridMultilevel"/>
    <w:tmpl w:val="59686796"/>
    <w:lvl w:ilvl="0" w:tplc="420AF7F6">
      <w:start w:val="1"/>
      <w:numFmt w:val="bullet"/>
      <w:lvlText w:val=""/>
      <w:lvlJc w:val="left"/>
      <w:pPr>
        <w:ind w:left="2160" w:hanging="360"/>
      </w:pPr>
      <w:rPr>
        <w:rFonts w:ascii="Symbol" w:hAnsi="Symbol" w:hint="default"/>
      </w:rPr>
    </w:lvl>
    <w:lvl w:ilvl="1" w:tplc="3BE2C278" w:tentative="1">
      <w:start w:val="1"/>
      <w:numFmt w:val="bullet"/>
      <w:lvlText w:val="o"/>
      <w:lvlJc w:val="left"/>
      <w:pPr>
        <w:ind w:left="2880" w:hanging="360"/>
      </w:pPr>
      <w:rPr>
        <w:rFonts w:ascii="Courier New" w:hAnsi="Courier New" w:cs="Courier New" w:hint="default"/>
      </w:rPr>
    </w:lvl>
    <w:lvl w:ilvl="2" w:tplc="3202D1C0" w:tentative="1">
      <w:start w:val="1"/>
      <w:numFmt w:val="bullet"/>
      <w:lvlText w:val=""/>
      <w:lvlJc w:val="left"/>
      <w:pPr>
        <w:ind w:left="3600" w:hanging="360"/>
      </w:pPr>
      <w:rPr>
        <w:rFonts w:ascii="Wingdings" w:hAnsi="Wingdings" w:hint="default"/>
      </w:rPr>
    </w:lvl>
    <w:lvl w:ilvl="3" w:tplc="3CEA332C" w:tentative="1">
      <w:start w:val="1"/>
      <w:numFmt w:val="bullet"/>
      <w:lvlText w:val=""/>
      <w:lvlJc w:val="left"/>
      <w:pPr>
        <w:ind w:left="4320" w:hanging="360"/>
      </w:pPr>
      <w:rPr>
        <w:rFonts w:ascii="Symbol" w:hAnsi="Symbol" w:hint="default"/>
      </w:rPr>
    </w:lvl>
    <w:lvl w:ilvl="4" w:tplc="7FD0B7D2" w:tentative="1">
      <w:start w:val="1"/>
      <w:numFmt w:val="bullet"/>
      <w:lvlText w:val="o"/>
      <w:lvlJc w:val="left"/>
      <w:pPr>
        <w:ind w:left="5040" w:hanging="360"/>
      </w:pPr>
      <w:rPr>
        <w:rFonts w:ascii="Courier New" w:hAnsi="Courier New" w:cs="Courier New" w:hint="default"/>
      </w:rPr>
    </w:lvl>
    <w:lvl w:ilvl="5" w:tplc="7F347988" w:tentative="1">
      <w:start w:val="1"/>
      <w:numFmt w:val="bullet"/>
      <w:lvlText w:val=""/>
      <w:lvlJc w:val="left"/>
      <w:pPr>
        <w:ind w:left="5760" w:hanging="360"/>
      </w:pPr>
      <w:rPr>
        <w:rFonts w:ascii="Wingdings" w:hAnsi="Wingdings" w:hint="default"/>
      </w:rPr>
    </w:lvl>
    <w:lvl w:ilvl="6" w:tplc="EAF0A768" w:tentative="1">
      <w:start w:val="1"/>
      <w:numFmt w:val="bullet"/>
      <w:lvlText w:val=""/>
      <w:lvlJc w:val="left"/>
      <w:pPr>
        <w:ind w:left="6480" w:hanging="360"/>
      </w:pPr>
      <w:rPr>
        <w:rFonts w:ascii="Symbol" w:hAnsi="Symbol" w:hint="default"/>
      </w:rPr>
    </w:lvl>
    <w:lvl w:ilvl="7" w:tplc="E49AA1C2" w:tentative="1">
      <w:start w:val="1"/>
      <w:numFmt w:val="bullet"/>
      <w:lvlText w:val="o"/>
      <w:lvlJc w:val="left"/>
      <w:pPr>
        <w:ind w:left="7200" w:hanging="360"/>
      </w:pPr>
      <w:rPr>
        <w:rFonts w:ascii="Courier New" w:hAnsi="Courier New" w:cs="Courier New" w:hint="default"/>
      </w:rPr>
    </w:lvl>
    <w:lvl w:ilvl="8" w:tplc="13F6077A" w:tentative="1">
      <w:start w:val="1"/>
      <w:numFmt w:val="bullet"/>
      <w:lvlText w:val=""/>
      <w:lvlJc w:val="left"/>
      <w:pPr>
        <w:ind w:left="7920" w:hanging="360"/>
      </w:pPr>
      <w:rPr>
        <w:rFonts w:ascii="Wingdings" w:hAnsi="Wingdings" w:hint="default"/>
      </w:rPr>
    </w:lvl>
  </w:abstractNum>
  <w:abstractNum w:abstractNumId="4" w15:restartNumberingAfterBreak="0">
    <w:nsid w:val="0E046F66"/>
    <w:multiLevelType w:val="hybridMultilevel"/>
    <w:tmpl w:val="36DC0A20"/>
    <w:lvl w:ilvl="0" w:tplc="637AA88E">
      <w:start w:val="1"/>
      <w:numFmt w:val="decimal"/>
      <w:lvlText w:val="%1."/>
      <w:lvlJc w:val="left"/>
      <w:pPr>
        <w:ind w:left="720" w:hanging="360"/>
      </w:pPr>
      <w:rPr>
        <w:rFonts w:hint="default"/>
      </w:rPr>
    </w:lvl>
    <w:lvl w:ilvl="1" w:tplc="02421AC0" w:tentative="1">
      <w:start w:val="1"/>
      <w:numFmt w:val="lowerLetter"/>
      <w:lvlText w:val="%2."/>
      <w:lvlJc w:val="left"/>
      <w:pPr>
        <w:ind w:left="1440" w:hanging="360"/>
      </w:pPr>
    </w:lvl>
    <w:lvl w:ilvl="2" w:tplc="8CBEDCC4" w:tentative="1">
      <w:start w:val="1"/>
      <w:numFmt w:val="lowerRoman"/>
      <w:lvlText w:val="%3."/>
      <w:lvlJc w:val="right"/>
      <w:pPr>
        <w:ind w:left="2160" w:hanging="180"/>
      </w:pPr>
    </w:lvl>
    <w:lvl w:ilvl="3" w:tplc="E9B09546" w:tentative="1">
      <w:start w:val="1"/>
      <w:numFmt w:val="decimal"/>
      <w:lvlText w:val="%4."/>
      <w:lvlJc w:val="left"/>
      <w:pPr>
        <w:ind w:left="2880" w:hanging="360"/>
      </w:pPr>
    </w:lvl>
    <w:lvl w:ilvl="4" w:tplc="1C3A26B0" w:tentative="1">
      <w:start w:val="1"/>
      <w:numFmt w:val="lowerLetter"/>
      <w:lvlText w:val="%5."/>
      <w:lvlJc w:val="left"/>
      <w:pPr>
        <w:ind w:left="3600" w:hanging="360"/>
      </w:pPr>
    </w:lvl>
    <w:lvl w:ilvl="5" w:tplc="9ADEDD5E" w:tentative="1">
      <w:start w:val="1"/>
      <w:numFmt w:val="lowerRoman"/>
      <w:lvlText w:val="%6."/>
      <w:lvlJc w:val="right"/>
      <w:pPr>
        <w:ind w:left="4320" w:hanging="180"/>
      </w:pPr>
    </w:lvl>
    <w:lvl w:ilvl="6" w:tplc="1EE6C6F6" w:tentative="1">
      <w:start w:val="1"/>
      <w:numFmt w:val="decimal"/>
      <w:lvlText w:val="%7."/>
      <w:lvlJc w:val="left"/>
      <w:pPr>
        <w:ind w:left="5040" w:hanging="360"/>
      </w:pPr>
    </w:lvl>
    <w:lvl w:ilvl="7" w:tplc="7FDA5D2C" w:tentative="1">
      <w:start w:val="1"/>
      <w:numFmt w:val="lowerLetter"/>
      <w:lvlText w:val="%8."/>
      <w:lvlJc w:val="left"/>
      <w:pPr>
        <w:ind w:left="5760" w:hanging="360"/>
      </w:pPr>
    </w:lvl>
    <w:lvl w:ilvl="8" w:tplc="D5662FD0" w:tentative="1">
      <w:start w:val="1"/>
      <w:numFmt w:val="lowerRoman"/>
      <w:lvlText w:val="%9."/>
      <w:lvlJc w:val="right"/>
      <w:pPr>
        <w:ind w:left="6480" w:hanging="180"/>
      </w:pPr>
    </w:lvl>
  </w:abstractNum>
  <w:abstractNum w:abstractNumId="5" w15:restartNumberingAfterBreak="0">
    <w:nsid w:val="235D69FF"/>
    <w:multiLevelType w:val="hybridMultilevel"/>
    <w:tmpl w:val="6B8A2842"/>
    <w:lvl w:ilvl="0" w:tplc="171ABC50">
      <w:start w:val="1"/>
      <w:numFmt w:val="decimal"/>
      <w:lvlText w:val="%1."/>
      <w:lvlJc w:val="left"/>
      <w:pPr>
        <w:ind w:left="720" w:hanging="360"/>
      </w:pPr>
    </w:lvl>
    <w:lvl w:ilvl="1" w:tplc="000E6822" w:tentative="1">
      <w:start w:val="1"/>
      <w:numFmt w:val="lowerLetter"/>
      <w:lvlText w:val="%2."/>
      <w:lvlJc w:val="left"/>
      <w:pPr>
        <w:ind w:left="1440" w:hanging="360"/>
      </w:pPr>
    </w:lvl>
    <w:lvl w:ilvl="2" w:tplc="5FC81A1C" w:tentative="1">
      <w:start w:val="1"/>
      <w:numFmt w:val="lowerRoman"/>
      <w:lvlText w:val="%3."/>
      <w:lvlJc w:val="right"/>
      <w:pPr>
        <w:ind w:left="2160" w:hanging="180"/>
      </w:pPr>
    </w:lvl>
    <w:lvl w:ilvl="3" w:tplc="ED92A7C2" w:tentative="1">
      <w:start w:val="1"/>
      <w:numFmt w:val="decimal"/>
      <w:lvlText w:val="%4."/>
      <w:lvlJc w:val="left"/>
      <w:pPr>
        <w:ind w:left="2880" w:hanging="360"/>
      </w:pPr>
    </w:lvl>
    <w:lvl w:ilvl="4" w:tplc="33E8B736" w:tentative="1">
      <w:start w:val="1"/>
      <w:numFmt w:val="lowerLetter"/>
      <w:lvlText w:val="%5."/>
      <w:lvlJc w:val="left"/>
      <w:pPr>
        <w:ind w:left="3600" w:hanging="360"/>
      </w:pPr>
    </w:lvl>
    <w:lvl w:ilvl="5" w:tplc="2CF2A5FE" w:tentative="1">
      <w:start w:val="1"/>
      <w:numFmt w:val="lowerRoman"/>
      <w:lvlText w:val="%6."/>
      <w:lvlJc w:val="right"/>
      <w:pPr>
        <w:ind w:left="4320" w:hanging="180"/>
      </w:pPr>
    </w:lvl>
    <w:lvl w:ilvl="6" w:tplc="96781076" w:tentative="1">
      <w:start w:val="1"/>
      <w:numFmt w:val="decimal"/>
      <w:lvlText w:val="%7."/>
      <w:lvlJc w:val="left"/>
      <w:pPr>
        <w:ind w:left="5040" w:hanging="360"/>
      </w:pPr>
    </w:lvl>
    <w:lvl w:ilvl="7" w:tplc="F7C8745E" w:tentative="1">
      <w:start w:val="1"/>
      <w:numFmt w:val="lowerLetter"/>
      <w:lvlText w:val="%8."/>
      <w:lvlJc w:val="left"/>
      <w:pPr>
        <w:ind w:left="5760" w:hanging="360"/>
      </w:pPr>
    </w:lvl>
    <w:lvl w:ilvl="8" w:tplc="AC4C77CE"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F36E7"/>
    <w:multiLevelType w:val="hybridMultilevel"/>
    <w:tmpl w:val="A6F817C6"/>
    <w:lvl w:ilvl="0" w:tplc="CD5CC0B2">
      <w:start w:val="1"/>
      <w:numFmt w:val="decimal"/>
      <w:lvlText w:val="%1."/>
      <w:lvlJc w:val="left"/>
      <w:pPr>
        <w:ind w:left="720" w:hanging="360"/>
      </w:pPr>
      <w:rPr>
        <w:rFonts w:hint="default"/>
      </w:rPr>
    </w:lvl>
    <w:lvl w:ilvl="1" w:tplc="0C1A8A9C">
      <w:start w:val="1"/>
      <w:numFmt w:val="lowerLetter"/>
      <w:lvlText w:val="%2."/>
      <w:lvlJc w:val="left"/>
      <w:pPr>
        <w:ind w:left="1440" w:hanging="360"/>
      </w:pPr>
    </w:lvl>
    <w:lvl w:ilvl="2" w:tplc="02BE6AAE" w:tentative="1">
      <w:start w:val="1"/>
      <w:numFmt w:val="lowerRoman"/>
      <w:lvlText w:val="%3."/>
      <w:lvlJc w:val="right"/>
      <w:pPr>
        <w:ind w:left="2160" w:hanging="180"/>
      </w:pPr>
    </w:lvl>
    <w:lvl w:ilvl="3" w:tplc="166EE5C0" w:tentative="1">
      <w:start w:val="1"/>
      <w:numFmt w:val="decimal"/>
      <w:lvlText w:val="%4."/>
      <w:lvlJc w:val="left"/>
      <w:pPr>
        <w:ind w:left="2880" w:hanging="360"/>
      </w:pPr>
    </w:lvl>
    <w:lvl w:ilvl="4" w:tplc="BD120F8C" w:tentative="1">
      <w:start w:val="1"/>
      <w:numFmt w:val="lowerLetter"/>
      <w:lvlText w:val="%5."/>
      <w:lvlJc w:val="left"/>
      <w:pPr>
        <w:ind w:left="3600" w:hanging="360"/>
      </w:pPr>
    </w:lvl>
    <w:lvl w:ilvl="5" w:tplc="D1927316" w:tentative="1">
      <w:start w:val="1"/>
      <w:numFmt w:val="lowerRoman"/>
      <w:lvlText w:val="%6."/>
      <w:lvlJc w:val="right"/>
      <w:pPr>
        <w:ind w:left="4320" w:hanging="180"/>
      </w:pPr>
    </w:lvl>
    <w:lvl w:ilvl="6" w:tplc="B310F8CA" w:tentative="1">
      <w:start w:val="1"/>
      <w:numFmt w:val="decimal"/>
      <w:lvlText w:val="%7."/>
      <w:lvlJc w:val="left"/>
      <w:pPr>
        <w:ind w:left="5040" w:hanging="360"/>
      </w:pPr>
    </w:lvl>
    <w:lvl w:ilvl="7" w:tplc="127EAAB6" w:tentative="1">
      <w:start w:val="1"/>
      <w:numFmt w:val="lowerLetter"/>
      <w:lvlText w:val="%8."/>
      <w:lvlJc w:val="left"/>
      <w:pPr>
        <w:ind w:left="5760" w:hanging="360"/>
      </w:pPr>
    </w:lvl>
    <w:lvl w:ilvl="8" w:tplc="8D86BBA2" w:tentative="1">
      <w:start w:val="1"/>
      <w:numFmt w:val="lowerRoman"/>
      <w:lvlText w:val="%9."/>
      <w:lvlJc w:val="right"/>
      <w:pPr>
        <w:ind w:left="6480" w:hanging="180"/>
      </w:p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486A00"/>
    <w:multiLevelType w:val="hybridMultilevel"/>
    <w:tmpl w:val="3D240D5C"/>
    <w:lvl w:ilvl="0" w:tplc="5FB289F4">
      <w:start w:val="5"/>
      <w:numFmt w:val="bullet"/>
      <w:lvlText w:val=""/>
      <w:lvlJc w:val="left"/>
      <w:pPr>
        <w:ind w:left="1440" w:hanging="360"/>
      </w:pPr>
      <w:rPr>
        <w:rFonts w:ascii="Symbol" w:eastAsia="Calibri" w:hAnsi="Symbol" w:cs="Calibri" w:hint="default"/>
      </w:rPr>
    </w:lvl>
    <w:lvl w:ilvl="1" w:tplc="CA84DDE4" w:tentative="1">
      <w:start w:val="1"/>
      <w:numFmt w:val="bullet"/>
      <w:lvlText w:val="o"/>
      <w:lvlJc w:val="left"/>
      <w:pPr>
        <w:ind w:left="2160" w:hanging="360"/>
      </w:pPr>
      <w:rPr>
        <w:rFonts w:ascii="Courier New" w:hAnsi="Courier New" w:cs="Courier New" w:hint="default"/>
      </w:rPr>
    </w:lvl>
    <w:lvl w:ilvl="2" w:tplc="0C7C63B2" w:tentative="1">
      <w:start w:val="1"/>
      <w:numFmt w:val="bullet"/>
      <w:lvlText w:val=""/>
      <w:lvlJc w:val="left"/>
      <w:pPr>
        <w:ind w:left="2880" w:hanging="360"/>
      </w:pPr>
      <w:rPr>
        <w:rFonts w:ascii="Wingdings" w:hAnsi="Wingdings" w:hint="default"/>
      </w:rPr>
    </w:lvl>
    <w:lvl w:ilvl="3" w:tplc="FBEE9FD4" w:tentative="1">
      <w:start w:val="1"/>
      <w:numFmt w:val="bullet"/>
      <w:lvlText w:val=""/>
      <w:lvlJc w:val="left"/>
      <w:pPr>
        <w:ind w:left="3600" w:hanging="360"/>
      </w:pPr>
      <w:rPr>
        <w:rFonts w:ascii="Symbol" w:hAnsi="Symbol" w:hint="default"/>
      </w:rPr>
    </w:lvl>
    <w:lvl w:ilvl="4" w:tplc="F4F622DC" w:tentative="1">
      <w:start w:val="1"/>
      <w:numFmt w:val="bullet"/>
      <w:lvlText w:val="o"/>
      <w:lvlJc w:val="left"/>
      <w:pPr>
        <w:ind w:left="4320" w:hanging="360"/>
      </w:pPr>
      <w:rPr>
        <w:rFonts w:ascii="Courier New" w:hAnsi="Courier New" w:cs="Courier New" w:hint="default"/>
      </w:rPr>
    </w:lvl>
    <w:lvl w:ilvl="5" w:tplc="AB4C3844" w:tentative="1">
      <w:start w:val="1"/>
      <w:numFmt w:val="bullet"/>
      <w:lvlText w:val=""/>
      <w:lvlJc w:val="left"/>
      <w:pPr>
        <w:ind w:left="5040" w:hanging="360"/>
      </w:pPr>
      <w:rPr>
        <w:rFonts w:ascii="Wingdings" w:hAnsi="Wingdings" w:hint="default"/>
      </w:rPr>
    </w:lvl>
    <w:lvl w:ilvl="6" w:tplc="DB88ADFC" w:tentative="1">
      <w:start w:val="1"/>
      <w:numFmt w:val="bullet"/>
      <w:lvlText w:val=""/>
      <w:lvlJc w:val="left"/>
      <w:pPr>
        <w:ind w:left="5760" w:hanging="360"/>
      </w:pPr>
      <w:rPr>
        <w:rFonts w:ascii="Symbol" w:hAnsi="Symbol" w:hint="default"/>
      </w:rPr>
    </w:lvl>
    <w:lvl w:ilvl="7" w:tplc="38B60A76" w:tentative="1">
      <w:start w:val="1"/>
      <w:numFmt w:val="bullet"/>
      <w:lvlText w:val="o"/>
      <w:lvlJc w:val="left"/>
      <w:pPr>
        <w:ind w:left="6480" w:hanging="360"/>
      </w:pPr>
      <w:rPr>
        <w:rFonts w:ascii="Courier New" w:hAnsi="Courier New" w:cs="Courier New" w:hint="default"/>
      </w:rPr>
    </w:lvl>
    <w:lvl w:ilvl="8" w:tplc="D2E64018" w:tentative="1">
      <w:start w:val="1"/>
      <w:numFmt w:val="bullet"/>
      <w:lvlText w:val=""/>
      <w:lvlJc w:val="left"/>
      <w:pPr>
        <w:ind w:left="7200" w:hanging="360"/>
      </w:pPr>
      <w:rPr>
        <w:rFonts w:ascii="Wingdings" w:hAnsi="Wingdings" w:hint="default"/>
      </w:rPr>
    </w:lvl>
  </w:abstractNum>
  <w:abstractNum w:abstractNumId="14" w15:restartNumberingAfterBreak="0">
    <w:nsid w:val="38F256A8"/>
    <w:multiLevelType w:val="hybridMultilevel"/>
    <w:tmpl w:val="66FAE6A4"/>
    <w:lvl w:ilvl="0" w:tplc="31420C36">
      <w:start w:val="1"/>
      <w:numFmt w:val="decimal"/>
      <w:lvlText w:val="%1."/>
      <w:lvlJc w:val="left"/>
      <w:pPr>
        <w:ind w:left="720" w:hanging="360"/>
      </w:pPr>
    </w:lvl>
    <w:lvl w:ilvl="1" w:tplc="F35E26F2" w:tentative="1">
      <w:start w:val="1"/>
      <w:numFmt w:val="lowerLetter"/>
      <w:lvlText w:val="%2."/>
      <w:lvlJc w:val="left"/>
      <w:pPr>
        <w:ind w:left="1440" w:hanging="360"/>
      </w:pPr>
    </w:lvl>
    <w:lvl w:ilvl="2" w:tplc="9B0EF894" w:tentative="1">
      <w:start w:val="1"/>
      <w:numFmt w:val="lowerRoman"/>
      <w:lvlText w:val="%3."/>
      <w:lvlJc w:val="right"/>
      <w:pPr>
        <w:ind w:left="2160" w:hanging="180"/>
      </w:pPr>
    </w:lvl>
    <w:lvl w:ilvl="3" w:tplc="ED08EF6C" w:tentative="1">
      <w:start w:val="1"/>
      <w:numFmt w:val="decimal"/>
      <w:lvlText w:val="%4."/>
      <w:lvlJc w:val="left"/>
      <w:pPr>
        <w:ind w:left="2880" w:hanging="360"/>
      </w:pPr>
    </w:lvl>
    <w:lvl w:ilvl="4" w:tplc="A0A20C62" w:tentative="1">
      <w:start w:val="1"/>
      <w:numFmt w:val="lowerLetter"/>
      <w:lvlText w:val="%5."/>
      <w:lvlJc w:val="left"/>
      <w:pPr>
        <w:ind w:left="3600" w:hanging="360"/>
      </w:pPr>
    </w:lvl>
    <w:lvl w:ilvl="5" w:tplc="5A2CC848" w:tentative="1">
      <w:start w:val="1"/>
      <w:numFmt w:val="lowerRoman"/>
      <w:lvlText w:val="%6."/>
      <w:lvlJc w:val="right"/>
      <w:pPr>
        <w:ind w:left="4320" w:hanging="180"/>
      </w:pPr>
    </w:lvl>
    <w:lvl w:ilvl="6" w:tplc="1EE46EEE" w:tentative="1">
      <w:start w:val="1"/>
      <w:numFmt w:val="decimal"/>
      <w:lvlText w:val="%7."/>
      <w:lvlJc w:val="left"/>
      <w:pPr>
        <w:ind w:left="5040" w:hanging="360"/>
      </w:pPr>
    </w:lvl>
    <w:lvl w:ilvl="7" w:tplc="0486F700" w:tentative="1">
      <w:start w:val="1"/>
      <w:numFmt w:val="lowerLetter"/>
      <w:lvlText w:val="%8."/>
      <w:lvlJc w:val="left"/>
      <w:pPr>
        <w:ind w:left="5760" w:hanging="360"/>
      </w:pPr>
    </w:lvl>
    <w:lvl w:ilvl="8" w:tplc="4C98FC74" w:tentative="1">
      <w:start w:val="1"/>
      <w:numFmt w:val="lowerRoman"/>
      <w:lvlText w:val="%9."/>
      <w:lvlJc w:val="right"/>
      <w:pPr>
        <w:ind w:left="6480" w:hanging="180"/>
      </w:pPr>
    </w:lvl>
  </w:abstractNum>
  <w:abstractNum w:abstractNumId="15" w15:restartNumberingAfterBreak="0">
    <w:nsid w:val="404604FC"/>
    <w:multiLevelType w:val="multilevel"/>
    <w:tmpl w:val="5BF65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BF210E2"/>
    <w:multiLevelType w:val="hybridMultilevel"/>
    <w:tmpl w:val="B734F6E6"/>
    <w:lvl w:ilvl="0" w:tplc="F3302094">
      <w:start w:val="1"/>
      <w:numFmt w:val="decimal"/>
      <w:lvlText w:val="%1."/>
      <w:lvlJc w:val="left"/>
      <w:pPr>
        <w:ind w:left="720" w:hanging="360"/>
      </w:pPr>
      <w:rPr>
        <w:rFonts w:hint="default"/>
      </w:rPr>
    </w:lvl>
    <w:lvl w:ilvl="1" w:tplc="49326EF4" w:tentative="1">
      <w:start w:val="1"/>
      <w:numFmt w:val="lowerLetter"/>
      <w:lvlText w:val="%2."/>
      <w:lvlJc w:val="left"/>
      <w:pPr>
        <w:ind w:left="1440" w:hanging="360"/>
      </w:pPr>
    </w:lvl>
    <w:lvl w:ilvl="2" w:tplc="29E20BD6" w:tentative="1">
      <w:start w:val="1"/>
      <w:numFmt w:val="lowerRoman"/>
      <w:lvlText w:val="%3."/>
      <w:lvlJc w:val="right"/>
      <w:pPr>
        <w:ind w:left="2160" w:hanging="180"/>
      </w:pPr>
    </w:lvl>
    <w:lvl w:ilvl="3" w:tplc="5D060AE0" w:tentative="1">
      <w:start w:val="1"/>
      <w:numFmt w:val="decimal"/>
      <w:lvlText w:val="%4."/>
      <w:lvlJc w:val="left"/>
      <w:pPr>
        <w:ind w:left="2880" w:hanging="360"/>
      </w:pPr>
    </w:lvl>
    <w:lvl w:ilvl="4" w:tplc="9C9823F2" w:tentative="1">
      <w:start w:val="1"/>
      <w:numFmt w:val="lowerLetter"/>
      <w:lvlText w:val="%5."/>
      <w:lvlJc w:val="left"/>
      <w:pPr>
        <w:ind w:left="3600" w:hanging="360"/>
      </w:pPr>
    </w:lvl>
    <w:lvl w:ilvl="5" w:tplc="5100F354" w:tentative="1">
      <w:start w:val="1"/>
      <w:numFmt w:val="lowerRoman"/>
      <w:lvlText w:val="%6."/>
      <w:lvlJc w:val="right"/>
      <w:pPr>
        <w:ind w:left="4320" w:hanging="180"/>
      </w:pPr>
    </w:lvl>
    <w:lvl w:ilvl="6" w:tplc="66B806B4" w:tentative="1">
      <w:start w:val="1"/>
      <w:numFmt w:val="decimal"/>
      <w:lvlText w:val="%7."/>
      <w:lvlJc w:val="left"/>
      <w:pPr>
        <w:ind w:left="5040" w:hanging="360"/>
      </w:pPr>
    </w:lvl>
    <w:lvl w:ilvl="7" w:tplc="7A626DAC" w:tentative="1">
      <w:start w:val="1"/>
      <w:numFmt w:val="lowerLetter"/>
      <w:lvlText w:val="%8."/>
      <w:lvlJc w:val="left"/>
      <w:pPr>
        <w:ind w:left="5760" w:hanging="360"/>
      </w:pPr>
    </w:lvl>
    <w:lvl w:ilvl="8" w:tplc="E59AD248" w:tentative="1">
      <w:start w:val="1"/>
      <w:numFmt w:val="lowerRoman"/>
      <w:lvlText w:val="%9."/>
      <w:lvlJc w:val="right"/>
      <w:pPr>
        <w:ind w:left="6480" w:hanging="180"/>
      </w:pPr>
    </w:lvl>
  </w:abstractNum>
  <w:abstractNum w:abstractNumId="20" w15:restartNumberingAfterBreak="0">
    <w:nsid w:val="5FEC1CC8"/>
    <w:multiLevelType w:val="hybridMultilevel"/>
    <w:tmpl w:val="BF4A026E"/>
    <w:lvl w:ilvl="0" w:tplc="338CDB34">
      <w:start w:val="1"/>
      <w:numFmt w:val="decimal"/>
      <w:lvlText w:val="%1."/>
      <w:lvlJc w:val="left"/>
      <w:pPr>
        <w:ind w:left="1080" w:hanging="360"/>
      </w:pPr>
      <w:rPr>
        <w:rFonts w:hint="default"/>
      </w:rPr>
    </w:lvl>
    <w:lvl w:ilvl="1" w:tplc="F0F0D76C" w:tentative="1">
      <w:start w:val="1"/>
      <w:numFmt w:val="lowerLetter"/>
      <w:lvlText w:val="%2."/>
      <w:lvlJc w:val="left"/>
      <w:pPr>
        <w:ind w:left="1800" w:hanging="360"/>
      </w:pPr>
    </w:lvl>
    <w:lvl w:ilvl="2" w:tplc="DF708730" w:tentative="1">
      <w:start w:val="1"/>
      <w:numFmt w:val="lowerRoman"/>
      <w:lvlText w:val="%3."/>
      <w:lvlJc w:val="right"/>
      <w:pPr>
        <w:ind w:left="2520" w:hanging="180"/>
      </w:pPr>
    </w:lvl>
    <w:lvl w:ilvl="3" w:tplc="D7E4FF58" w:tentative="1">
      <w:start w:val="1"/>
      <w:numFmt w:val="decimal"/>
      <w:lvlText w:val="%4."/>
      <w:lvlJc w:val="left"/>
      <w:pPr>
        <w:ind w:left="3240" w:hanging="360"/>
      </w:pPr>
    </w:lvl>
    <w:lvl w:ilvl="4" w:tplc="8176004A" w:tentative="1">
      <w:start w:val="1"/>
      <w:numFmt w:val="lowerLetter"/>
      <w:lvlText w:val="%5."/>
      <w:lvlJc w:val="left"/>
      <w:pPr>
        <w:ind w:left="3960" w:hanging="360"/>
      </w:pPr>
    </w:lvl>
    <w:lvl w:ilvl="5" w:tplc="7CCE5C32" w:tentative="1">
      <w:start w:val="1"/>
      <w:numFmt w:val="lowerRoman"/>
      <w:lvlText w:val="%6."/>
      <w:lvlJc w:val="right"/>
      <w:pPr>
        <w:ind w:left="4680" w:hanging="180"/>
      </w:pPr>
    </w:lvl>
    <w:lvl w:ilvl="6" w:tplc="4D54240A" w:tentative="1">
      <w:start w:val="1"/>
      <w:numFmt w:val="decimal"/>
      <w:lvlText w:val="%7."/>
      <w:lvlJc w:val="left"/>
      <w:pPr>
        <w:ind w:left="5400" w:hanging="360"/>
      </w:pPr>
    </w:lvl>
    <w:lvl w:ilvl="7" w:tplc="08DA07B6" w:tentative="1">
      <w:start w:val="1"/>
      <w:numFmt w:val="lowerLetter"/>
      <w:lvlText w:val="%8."/>
      <w:lvlJc w:val="left"/>
      <w:pPr>
        <w:ind w:left="6120" w:hanging="360"/>
      </w:pPr>
    </w:lvl>
    <w:lvl w:ilvl="8" w:tplc="2EEEBC60" w:tentative="1">
      <w:start w:val="1"/>
      <w:numFmt w:val="lowerRoman"/>
      <w:lvlText w:val="%9."/>
      <w:lvlJc w:val="right"/>
      <w:pPr>
        <w:ind w:left="6840" w:hanging="180"/>
      </w:pPr>
    </w:lvl>
  </w:abstractNum>
  <w:abstractNum w:abstractNumId="21" w15:restartNumberingAfterBreak="0">
    <w:nsid w:val="64253EBF"/>
    <w:multiLevelType w:val="multilevel"/>
    <w:tmpl w:val="DD1C3EF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98B4CE3"/>
    <w:multiLevelType w:val="hybridMultilevel"/>
    <w:tmpl w:val="D9005816"/>
    <w:lvl w:ilvl="0" w:tplc="DBAC014A">
      <w:start w:val="1"/>
      <w:numFmt w:val="decimal"/>
      <w:lvlText w:val="%1."/>
      <w:lvlJc w:val="left"/>
      <w:pPr>
        <w:ind w:left="720" w:hanging="360"/>
      </w:pPr>
    </w:lvl>
    <w:lvl w:ilvl="1" w:tplc="C860BA7E" w:tentative="1">
      <w:start w:val="1"/>
      <w:numFmt w:val="lowerLetter"/>
      <w:lvlText w:val="%2."/>
      <w:lvlJc w:val="left"/>
      <w:pPr>
        <w:ind w:left="1440" w:hanging="360"/>
      </w:pPr>
    </w:lvl>
    <w:lvl w:ilvl="2" w:tplc="E3FAB16A" w:tentative="1">
      <w:start w:val="1"/>
      <w:numFmt w:val="lowerRoman"/>
      <w:lvlText w:val="%3."/>
      <w:lvlJc w:val="right"/>
      <w:pPr>
        <w:ind w:left="2160" w:hanging="180"/>
      </w:pPr>
    </w:lvl>
    <w:lvl w:ilvl="3" w:tplc="A51A7A86" w:tentative="1">
      <w:start w:val="1"/>
      <w:numFmt w:val="decimal"/>
      <w:lvlText w:val="%4."/>
      <w:lvlJc w:val="left"/>
      <w:pPr>
        <w:ind w:left="2880" w:hanging="360"/>
      </w:pPr>
    </w:lvl>
    <w:lvl w:ilvl="4" w:tplc="FABEF71C" w:tentative="1">
      <w:start w:val="1"/>
      <w:numFmt w:val="lowerLetter"/>
      <w:lvlText w:val="%5."/>
      <w:lvlJc w:val="left"/>
      <w:pPr>
        <w:ind w:left="3600" w:hanging="360"/>
      </w:pPr>
    </w:lvl>
    <w:lvl w:ilvl="5" w:tplc="8FAC2E64" w:tentative="1">
      <w:start w:val="1"/>
      <w:numFmt w:val="lowerRoman"/>
      <w:lvlText w:val="%6."/>
      <w:lvlJc w:val="right"/>
      <w:pPr>
        <w:ind w:left="4320" w:hanging="180"/>
      </w:pPr>
    </w:lvl>
    <w:lvl w:ilvl="6" w:tplc="0FF6A8C6" w:tentative="1">
      <w:start w:val="1"/>
      <w:numFmt w:val="decimal"/>
      <w:lvlText w:val="%7."/>
      <w:lvlJc w:val="left"/>
      <w:pPr>
        <w:ind w:left="5040" w:hanging="360"/>
      </w:pPr>
    </w:lvl>
    <w:lvl w:ilvl="7" w:tplc="315C128E" w:tentative="1">
      <w:start w:val="1"/>
      <w:numFmt w:val="lowerLetter"/>
      <w:lvlText w:val="%8."/>
      <w:lvlJc w:val="left"/>
      <w:pPr>
        <w:ind w:left="5760" w:hanging="360"/>
      </w:pPr>
    </w:lvl>
    <w:lvl w:ilvl="8" w:tplc="0D76AA50" w:tentative="1">
      <w:start w:val="1"/>
      <w:numFmt w:val="lowerRoman"/>
      <w:lvlText w:val="%9."/>
      <w:lvlJc w:val="right"/>
      <w:pPr>
        <w:ind w:left="6480" w:hanging="180"/>
      </w:p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081F10"/>
    <w:multiLevelType w:val="hybridMultilevel"/>
    <w:tmpl w:val="22A44B32"/>
    <w:lvl w:ilvl="0" w:tplc="4058C32E">
      <w:start w:val="1"/>
      <w:numFmt w:val="bullet"/>
      <w:lvlText w:val=""/>
      <w:lvlJc w:val="left"/>
      <w:pPr>
        <w:ind w:left="1440" w:hanging="360"/>
      </w:pPr>
      <w:rPr>
        <w:rFonts w:ascii="Symbol" w:hAnsi="Symbol" w:hint="default"/>
      </w:rPr>
    </w:lvl>
    <w:lvl w:ilvl="1" w:tplc="3AECD870" w:tentative="1">
      <w:start w:val="1"/>
      <w:numFmt w:val="bullet"/>
      <w:lvlText w:val="o"/>
      <w:lvlJc w:val="left"/>
      <w:pPr>
        <w:ind w:left="2160" w:hanging="360"/>
      </w:pPr>
      <w:rPr>
        <w:rFonts w:ascii="Courier New" w:hAnsi="Courier New" w:cs="Courier New" w:hint="default"/>
      </w:rPr>
    </w:lvl>
    <w:lvl w:ilvl="2" w:tplc="C2606A7E" w:tentative="1">
      <w:start w:val="1"/>
      <w:numFmt w:val="bullet"/>
      <w:lvlText w:val=""/>
      <w:lvlJc w:val="left"/>
      <w:pPr>
        <w:ind w:left="2880" w:hanging="360"/>
      </w:pPr>
      <w:rPr>
        <w:rFonts w:ascii="Wingdings" w:hAnsi="Wingdings" w:hint="default"/>
      </w:rPr>
    </w:lvl>
    <w:lvl w:ilvl="3" w:tplc="D48E0396" w:tentative="1">
      <w:start w:val="1"/>
      <w:numFmt w:val="bullet"/>
      <w:lvlText w:val=""/>
      <w:lvlJc w:val="left"/>
      <w:pPr>
        <w:ind w:left="3600" w:hanging="360"/>
      </w:pPr>
      <w:rPr>
        <w:rFonts w:ascii="Symbol" w:hAnsi="Symbol" w:hint="default"/>
      </w:rPr>
    </w:lvl>
    <w:lvl w:ilvl="4" w:tplc="E3945650" w:tentative="1">
      <w:start w:val="1"/>
      <w:numFmt w:val="bullet"/>
      <w:lvlText w:val="o"/>
      <w:lvlJc w:val="left"/>
      <w:pPr>
        <w:ind w:left="4320" w:hanging="360"/>
      </w:pPr>
      <w:rPr>
        <w:rFonts w:ascii="Courier New" w:hAnsi="Courier New" w:cs="Courier New" w:hint="default"/>
      </w:rPr>
    </w:lvl>
    <w:lvl w:ilvl="5" w:tplc="A6860FB8" w:tentative="1">
      <w:start w:val="1"/>
      <w:numFmt w:val="bullet"/>
      <w:lvlText w:val=""/>
      <w:lvlJc w:val="left"/>
      <w:pPr>
        <w:ind w:left="5040" w:hanging="360"/>
      </w:pPr>
      <w:rPr>
        <w:rFonts w:ascii="Wingdings" w:hAnsi="Wingdings" w:hint="default"/>
      </w:rPr>
    </w:lvl>
    <w:lvl w:ilvl="6" w:tplc="46A0F9E2" w:tentative="1">
      <w:start w:val="1"/>
      <w:numFmt w:val="bullet"/>
      <w:lvlText w:val=""/>
      <w:lvlJc w:val="left"/>
      <w:pPr>
        <w:ind w:left="5760" w:hanging="360"/>
      </w:pPr>
      <w:rPr>
        <w:rFonts w:ascii="Symbol" w:hAnsi="Symbol" w:hint="default"/>
      </w:rPr>
    </w:lvl>
    <w:lvl w:ilvl="7" w:tplc="0520FEB0" w:tentative="1">
      <w:start w:val="1"/>
      <w:numFmt w:val="bullet"/>
      <w:lvlText w:val="o"/>
      <w:lvlJc w:val="left"/>
      <w:pPr>
        <w:ind w:left="6480" w:hanging="360"/>
      </w:pPr>
      <w:rPr>
        <w:rFonts w:ascii="Courier New" w:hAnsi="Courier New" w:cs="Courier New" w:hint="default"/>
      </w:rPr>
    </w:lvl>
    <w:lvl w:ilvl="8" w:tplc="333A7F80" w:tentative="1">
      <w:start w:val="1"/>
      <w:numFmt w:val="bullet"/>
      <w:lvlText w:val=""/>
      <w:lvlJc w:val="left"/>
      <w:pPr>
        <w:ind w:left="7200" w:hanging="360"/>
      </w:pPr>
      <w:rPr>
        <w:rFonts w:ascii="Wingdings" w:hAnsi="Wingdings" w:hint="default"/>
      </w:rPr>
    </w:lvl>
  </w:abstractNum>
  <w:abstractNum w:abstractNumId="26" w15:restartNumberingAfterBreak="0">
    <w:nsid w:val="7980701F"/>
    <w:multiLevelType w:val="hybridMultilevel"/>
    <w:tmpl w:val="EDCE8ABC"/>
    <w:lvl w:ilvl="0" w:tplc="25F44918">
      <w:start w:val="1"/>
      <w:numFmt w:val="decimal"/>
      <w:lvlText w:val="%1."/>
      <w:lvlJc w:val="left"/>
      <w:pPr>
        <w:ind w:left="720" w:hanging="360"/>
      </w:pPr>
    </w:lvl>
    <w:lvl w:ilvl="1" w:tplc="87FC64D4" w:tentative="1">
      <w:start w:val="1"/>
      <w:numFmt w:val="lowerLetter"/>
      <w:lvlText w:val="%2."/>
      <w:lvlJc w:val="left"/>
      <w:pPr>
        <w:ind w:left="1440" w:hanging="360"/>
      </w:pPr>
    </w:lvl>
    <w:lvl w:ilvl="2" w:tplc="90966CE4" w:tentative="1">
      <w:start w:val="1"/>
      <w:numFmt w:val="lowerRoman"/>
      <w:lvlText w:val="%3."/>
      <w:lvlJc w:val="right"/>
      <w:pPr>
        <w:ind w:left="2160" w:hanging="180"/>
      </w:pPr>
    </w:lvl>
    <w:lvl w:ilvl="3" w:tplc="E6A4A122" w:tentative="1">
      <w:start w:val="1"/>
      <w:numFmt w:val="decimal"/>
      <w:lvlText w:val="%4."/>
      <w:lvlJc w:val="left"/>
      <w:pPr>
        <w:ind w:left="2880" w:hanging="360"/>
      </w:pPr>
    </w:lvl>
    <w:lvl w:ilvl="4" w:tplc="43DEFF7E" w:tentative="1">
      <w:start w:val="1"/>
      <w:numFmt w:val="lowerLetter"/>
      <w:lvlText w:val="%5."/>
      <w:lvlJc w:val="left"/>
      <w:pPr>
        <w:ind w:left="3600" w:hanging="360"/>
      </w:pPr>
    </w:lvl>
    <w:lvl w:ilvl="5" w:tplc="4658F296" w:tentative="1">
      <w:start w:val="1"/>
      <w:numFmt w:val="lowerRoman"/>
      <w:lvlText w:val="%6."/>
      <w:lvlJc w:val="right"/>
      <w:pPr>
        <w:ind w:left="4320" w:hanging="180"/>
      </w:pPr>
    </w:lvl>
    <w:lvl w:ilvl="6" w:tplc="F7480B0C" w:tentative="1">
      <w:start w:val="1"/>
      <w:numFmt w:val="decimal"/>
      <w:lvlText w:val="%7."/>
      <w:lvlJc w:val="left"/>
      <w:pPr>
        <w:ind w:left="5040" w:hanging="360"/>
      </w:pPr>
    </w:lvl>
    <w:lvl w:ilvl="7" w:tplc="26A25948" w:tentative="1">
      <w:start w:val="1"/>
      <w:numFmt w:val="lowerLetter"/>
      <w:lvlText w:val="%8."/>
      <w:lvlJc w:val="left"/>
      <w:pPr>
        <w:ind w:left="5760" w:hanging="360"/>
      </w:pPr>
    </w:lvl>
    <w:lvl w:ilvl="8" w:tplc="7BFAC6A8" w:tentative="1">
      <w:start w:val="1"/>
      <w:numFmt w:val="lowerRoman"/>
      <w:lvlText w:val="%9."/>
      <w:lvlJc w:val="right"/>
      <w:pPr>
        <w:ind w:left="6480" w:hanging="180"/>
      </w:pPr>
    </w:lvl>
  </w:abstractNum>
  <w:num w:numId="1" w16cid:durableId="1752123839">
    <w:abstractNumId w:val="9"/>
  </w:num>
  <w:num w:numId="2" w16cid:durableId="1984042491">
    <w:abstractNumId w:val="16"/>
  </w:num>
  <w:num w:numId="3" w16cid:durableId="118914537">
    <w:abstractNumId w:val="24"/>
  </w:num>
  <w:num w:numId="4" w16cid:durableId="1932934919">
    <w:abstractNumId w:val="6"/>
  </w:num>
  <w:num w:numId="5" w16cid:durableId="584412448">
    <w:abstractNumId w:val="18"/>
  </w:num>
  <w:num w:numId="6" w16cid:durableId="1692337555">
    <w:abstractNumId w:val="22"/>
  </w:num>
  <w:num w:numId="7" w16cid:durableId="1668751632">
    <w:abstractNumId w:val="11"/>
  </w:num>
  <w:num w:numId="8" w16cid:durableId="1699504584">
    <w:abstractNumId w:val="15"/>
  </w:num>
  <w:num w:numId="9" w16cid:durableId="1471939920">
    <w:abstractNumId w:val="7"/>
  </w:num>
  <w:num w:numId="10" w16cid:durableId="1456294289">
    <w:abstractNumId w:val="12"/>
  </w:num>
  <w:num w:numId="11" w16cid:durableId="1090856223">
    <w:abstractNumId w:val="17"/>
  </w:num>
  <w:num w:numId="12" w16cid:durableId="347753210">
    <w:abstractNumId w:val="8"/>
  </w:num>
  <w:num w:numId="13" w16cid:durableId="62803357">
    <w:abstractNumId w:val="26"/>
  </w:num>
  <w:num w:numId="14" w16cid:durableId="1506281107">
    <w:abstractNumId w:val="10"/>
  </w:num>
  <w:num w:numId="15" w16cid:durableId="284387732">
    <w:abstractNumId w:val="0"/>
  </w:num>
  <w:num w:numId="16" w16cid:durableId="1976720369">
    <w:abstractNumId w:val="13"/>
  </w:num>
  <w:num w:numId="17" w16cid:durableId="363672521">
    <w:abstractNumId w:val="1"/>
  </w:num>
  <w:num w:numId="18" w16cid:durableId="202330947">
    <w:abstractNumId w:val="20"/>
  </w:num>
  <w:num w:numId="19" w16cid:durableId="830026848">
    <w:abstractNumId w:val="14"/>
  </w:num>
  <w:num w:numId="20" w16cid:durableId="1342049712">
    <w:abstractNumId w:val="19"/>
  </w:num>
  <w:num w:numId="21" w16cid:durableId="1882201904">
    <w:abstractNumId w:val="4"/>
  </w:num>
  <w:num w:numId="22" w16cid:durableId="691999934">
    <w:abstractNumId w:val="21"/>
  </w:num>
  <w:num w:numId="23" w16cid:durableId="2060400349">
    <w:abstractNumId w:val="2"/>
  </w:num>
  <w:num w:numId="24" w16cid:durableId="1667828843">
    <w:abstractNumId w:val="3"/>
  </w:num>
  <w:num w:numId="25" w16cid:durableId="1763062963">
    <w:abstractNumId w:val="25"/>
  </w:num>
  <w:num w:numId="26" w16cid:durableId="1298291887">
    <w:abstractNumId w:val="23"/>
  </w:num>
  <w:num w:numId="27" w16cid:durableId="11778433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xxpp9zx2wef7exvxxpdxf6szrtftre25ws&quot;&gt;JOVE&lt;record-ids&gt;&lt;item&gt;24&lt;/item&gt;&lt;item&gt;25&lt;/item&gt;&lt;item&gt;26&lt;/item&gt;&lt;/record-ids&gt;&lt;/item&gt;&lt;/Libraries&gt;"/>
  </w:docVars>
  <w:rsids>
    <w:rsidRoot w:val="006E4797"/>
    <w:rsid w:val="00000188"/>
    <w:rsid w:val="00000BD8"/>
    <w:rsid w:val="000028BA"/>
    <w:rsid w:val="000050A3"/>
    <w:rsid w:val="00005F3C"/>
    <w:rsid w:val="00007DDB"/>
    <w:rsid w:val="00007F63"/>
    <w:rsid w:val="000116FE"/>
    <w:rsid w:val="0001281D"/>
    <w:rsid w:val="00012C18"/>
    <w:rsid w:val="000139AD"/>
    <w:rsid w:val="00013E3C"/>
    <w:rsid w:val="00013E7B"/>
    <w:rsid w:val="000147D6"/>
    <w:rsid w:val="0001560B"/>
    <w:rsid w:val="000165FD"/>
    <w:rsid w:val="00016695"/>
    <w:rsid w:val="00020B1F"/>
    <w:rsid w:val="000217AC"/>
    <w:rsid w:val="000221A1"/>
    <w:rsid w:val="000225DF"/>
    <w:rsid w:val="0002286D"/>
    <w:rsid w:val="00023701"/>
    <w:rsid w:val="00025BD8"/>
    <w:rsid w:val="00025C2A"/>
    <w:rsid w:val="00025E80"/>
    <w:rsid w:val="00027A94"/>
    <w:rsid w:val="000304C2"/>
    <w:rsid w:val="00030725"/>
    <w:rsid w:val="00031688"/>
    <w:rsid w:val="00032579"/>
    <w:rsid w:val="0003470F"/>
    <w:rsid w:val="00036BBB"/>
    <w:rsid w:val="00042CAD"/>
    <w:rsid w:val="0004355D"/>
    <w:rsid w:val="000438AB"/>
    <w:rsid w:val="0004421A"/>
    <w:rsid w:val="00044811"/>
    <w:rsid w:val="00045354"/>
    <w:rsid w:val="000458A3"/>
    <w:rsid w:val="0004609D"/>
    <w:rsid w:val="00046AC9"/>
    <w:rsid w:val="00047D11"/>
    <w:rsid w:val="000510FF"/>
    <w:rsid w:val="00054DC2"/>
    <w:rsid w:val="0005793F"/>
    <w:rsid w:val="00060CA4"/>
    <w:rsid w:val="0006186D"/>
    <w:rsid w:val="00061E0E"/>
    <w:rsid w:val="00062CC2"/>
    <w:rsid w:val="0006323E"/>
    <w:rsid w:val="0006393C"/>
    <w:rsid w:val="00065514"/>
    <w:rsid w:val="0006717B"/>
    <w:rsid w:val="00067595"/>
    <w:rsid w:val="000675D2"/>
    <w:rsid w:val="00067F87"/>
    <w:rsid w:val="00070E55"/>
    <w:rsid w:val="00073953"/>
    <w:rsid w:val="00074267"/>
    <w:rsid w:val="00074329"/>
    <w:rsid w:val="0007506F"/>
    <w:rsid w:val="00075C8F"/>
    <w:rsid w:val="00076355"/>
    <w:rsid w:val="00076815"/>
    <w:rsid w:val="000771D5"/>
    <w:rsid w:val="0007776B"/>
    <w:rsid w:val="00080406"/>
    <w:rsid w:val="00082A5F"/>
    <w:rsid w:val="00084994"/>
    <w:rsid w:val="00085444"/>
    <w:rsid w:val="000859BD"/>
    <w:rsid w:val="000859C2"/>
    <w:rsid w:val="00090409"/>
    <w:rsid w:val="00090BD0"/>
    <w:rsid w:val="00091853"/>
    <w:rsid w:val="00091BC7"/>
    <w:rsid w:val="00092365"/>
    <w:rsid w:val="00092D8B"/>
    <w:rsid w:val="00093683"/>
    <w:rsid w:val="000937B2"/>
    <w:rsid w:val="00093908"/>
    <w:rsid w:val="00093F2F"/>
    <w:rsid w:val="000A1ACD"/>
    <w:rsid w:val="000A1DB6"/>
    <w:rsid w:val="000A24F3"/>
    <w:rsid w:val="000A4135"/>
    <w:rsid w:val="000A4B32"/>
    <w:rsid w:val="000A5AC7"/>
    <w:rsid w:val="000A5DDF"/>
    <w:rsid w:val="000A632E"/>
    <w:rsid w:val="000A63C1"/>
    <w:rsid w:val="000B015D"/>
    <w:rsid w:val="000B1774"/>
    <w:rsid w:val="000B41B6"/>
    <w:rsid w:val="000B4A09"/>
    <w:rsid w:val="000B599F"/>
    <w:rsid w:val="000B7073"/>
    <w:rsid w:val="000B7285"/>
    <w:rsid w:val="000B7FCE"/>
    <w:rsid w:val="000C02B5"/>
    <w:rsid w:val="000C03B0"/>
    <w:rsid w:val="000C060E"/>
    <w:rsid w:val="000C08F9"/>
    <w:rsid w:val="000C0DEF"/>
    <w:rsid w:val="000C16B7"/>
    <w:rsid w:val="000C2636"/>
    <w:rsid w:val="000C2C1D"/>
    <w:rsid w:val="000C2D52"/>
    <w:rsid w:val="000C2F74"/>
    <w:rsid w:val="000C395A"/>
    <w:rsid w:val="000C403B"/>
    <w:rsid w:val="000C5336"/>
    <w:rsid w:val="000C7DD7"/>
    <w:rsid w:val="000D13C9"/>
    <w:rsid w:val="000D235A"/>
    <w:rsid w:val="000D2EF2"/>
    <w:rsid w:val="000D305B"/>
    <w:rsid w:val="000D5953"/>
    <w:rsid w:val="000D5D86"/>
    <w:rsid w:val="000D604E"/>
    <w:rsid w:val="000D7C69"/>
    <w:rsid w:val="000D7D05"/>
    <w:rsid w:val="000D7FFC"/>
    <w:rsid w:val="000E109A"/>
    <w:rsid w:val="000E2ABF"/>
    <w:rsid w:val="000E483D"/>
    <w:rsid w:val="000E4BCA"/>
    <w:rsid w:val="000E4C51"/>
    <w:rsid w:val="000E557B"/>
    <w:rsid w:val="000E7407"/>
    <w:rsid w:val="000F0E3E"/>
    <w:rsid w:val="000F1257"/>
    <w:rsid w:val="000F15BE"/>
    <w:rsid w:val="000F1944"/>
    <w:rsid w:val="000F1A40"/>
    <w:rsid w:val="000F1C2A"/>
    <w:rsid w:val="000F3895"/>
    <w:rsid w:val="000F633E"/>
    <w:rsid w:val="000F6A58"/>
    <w:rsid w:val="000F7A4B"/>
    <w:rsid w:val="000F7DD3"/>
    <w:rsid w:val="00102EAD"/>
    <w:rsid w:val="00104348"/>
    <w:rsid w:val="00104BC7"/>
    <w:rsid w:val="00106379"/>
    <w:rsid w:val="0011059F"/>
    <w:rsid w:val="001115A0"/>
    <w:rsid w:val="00111D08"/>
    <w:rsid w:val="00111EC7"/>
    <w:rsid w:val="00112CB8"/>
    <w:rsid w:val="001132B8"/>
    <w:rsid w:val="00114CDD"/>
    <w:rsid w:val="001208AD"/>
    <w:rsid w:val="00121E6C"/>
    <w:rsid w:val="00122275"/>
    <w:rsid w:val="00122E21"/>
    <w:rsid w:val="00123674"/>
    <w:rsid w:val="00124738"/>
    <w:rsid w:val="00124C86"/>
    <w:rsid w:val="00125EEE"/>
    <w:rsid w:val="00131455"/>
    <w:rsid w:val="00131D3A"/>
    <w:rsid w:val="00131F26"/>
    <w:rsid w:val="00132273"/>
    <w:rsid w:val="00132BFF"/>
    <w:rsid w:val="0013324E"/>
    <w:rsid w:val="0013385C"/>
    <w:rsid w:val="00134840"/>
    <w:rsid w:val="001348AE"/>
    <w:rsid w:val="00134F60"/>
    <w:rsid w:val="00136152"/>
    <w:rsid w:val="001363E3"/>
    <w:rsid w:val="00137BA1"/>
    <w:rsid w:val="0014039F"/>
    <w:rsid w:val="00141DA3"/>
    <w:rsid w:val="00142F42"/>
    <w:rsid w:val="001432F3"/>
    <w:rsid w:val="0014337C"/>
    <w:rsid w:val="00144BC1"/>
    <w:rsid w:val="0015287D"/>
    <w:rsid w:val="00154384"/>
    <w:rsid w:val="001570B3"/>
    <w:rsid w:val="00166259"/>
    <w:rsid w:val="001722EE"/>
    <w:rsid w:val="001729F9"/>
    <w:rsid w:val="00172B25"/>
    <w:rsid w:val="001732FB"/>
    <w:rsid w:val="00174B78"/>
    <w:rsid w:val="00175241"/>
    <w:rsid w:val="00175693"/>
    <w:rsid w:val="00175E53"/>
    <w:rsid w:val="00175F1E"/>
    <w:rsid w:val="0017648F"/>
    <w:rsid w:val="001772D6"/>
    <w:rsid w:val="00182842"/>
    <w:rsid w:val="00182C8F"/>
    <w:rsid w:val="0018378C"/>
    <w:rsid w:val="0018494D"/>
    <w:rsid w:val="00184F3D"/>
    <w:rsid w:val="001878DA"/>
    <w:rsid w:val="00190842"/>
    <w:rsid w:val="001913C2"/>
    <w:rsid w:val="0019194B"/>
    <w:rsid w:val="001925B9"/>
    <w:rsid w:val="00192677"/>
    <w:rsid w:val="0019407E"/>
    <w:rsid w:val="0019412D"/>
    <w:rsid w:val="0019425C"/>
    <w:rsid w:val="00194C04"/>
    <w:rsid w:val="00195812"/>
    <w:rsid w:val="00196D07"/>
    <w:rsid w:val="001970A1"/>
    <w:rsid w:val="001A02BF"/>
    <w:rsid w:val="001A0360"/>
    <w:rsid w:val="001A0E36"/>
    <w:rsid w:val="001A1D16"/>
    <w:rsid w:val="001A24FC"/>
    <w:rsid w:val="001A2D68"/>
    <w:rsid w:val="001A39B8"/>
    <w:rsid w:val="001A4920"/>
    <w:rsid w:val="001A5498"/>
    <w:rsid w:val="001A62DA"/>
    <w:rsid w:val="001A7801"/>
    <w:rsid w:val="001A7A43"/>
    <w:rsid w:val="001A7E7A"/>
    <w:rsid w:val="001B0123"/>
    <w:rsid w:val="001B0160"/>
    <w:rsid w:val="001B09B1"/>
    <w:rsid w:val="001B4D45"/>
    <w:rsid w:val="001B50C4"/>
    <w:rsid w:val="001B5767"/>
    <w:rsid w:val="001C1C33"/>
    <w:rsid w:val="001C425E"/>
    <w:rsid w:val="001C43C8"/>
    <w:rsid w:val="001C54E8"/>
    <w:rsid w:val="001C6588"/>
    <w:rsid w:val="001C6CF0"/>
    <w:rsid w:val="001C7146"/>
    <w:rsid w:val="001D0C67"/>
    <w:rsid w:val="001D3A8A"/>
    <w:rsid w:val="001D68C0"/>
    <w:rsid w:val="001D753F"/>
    <w:rsid w:val="001E03CC"/>
    <w:rsid w:val="001E397F"/>
    <w:rsid w:val="001E50D7"/>
    <w:rsid w:val="001E64DC"/>
    <w:rsid w:val="001E66A0"/>
    <w:rsid w:val="001E6C15"/>
    <w:rsid w:val="001F0A72"/>
    <w:rsid w:val="001F0CE8"/>
    <w:rsid w:val="001F106C"/>
    <w:rsid w:val="001F168F"/>
    <w:rsid w:val="001F182B"/>
    <w:rsid w:val="001F32EB"/>
    <w:rsid w:val="001F357F"/>
    <w:rsid w:val="001F45BF"/>
    <w:rsid w:val="001F6759"/>
    <w:rsid w:val="001F6800"/>
    <w:rsid w:val="001F7D01"/>
    <w:rsid w:val="00200F5F"/>
    <w:rsid w:val="00202A91"/>
    <w:rsid w:val="002036DC"/>
    <w:rsid w:val="00203B3E"/>
    <w:rsid w:val="00203F93"/>
    <w:rsid w:val="00204017"/>
    <w:rsid w:val="00205068"/>
    <w:rsid w:val="002061CC"/>
    <w:rsid w:val="00206D71"/>
    <w:rsid w:val="00207A1B"/>
    <w:rsid w:val="002103F4"/>
    <w:rsid w:val="00210DD6"/>
    <w:rsid w:val="00213B17"/>
    <w:rsid w:val="00214187"/>
    <w:rsid w:val="0021451C"/>
    <w:rsid w:val="002152FF"/>
    <w:rsid w:val="00216A78"/>
    <w:rsid w:val="00217662"/>
    <w:rsid w:val="00220CE7"/>
    <w:rsid w:val="00221543"/>
    <w:rsid w:val="002231C5"/>
    <w:rsid w:val="00224C3D"/>
    <w:rsid w:val="0022569A"/>
    <w:rsid w:val="00232E9C"/>
    <w:rsid w:val="00235798"/>
    <w:rsid w:val="00235A2E"/>
    <w:rsid w:val="00235BAD"/>
    <w:rsid w:val="00235CB6"/>
    <w:rsid w:val="00236243"/>
    <w:rsid w:val="002374CC"/>
    <w:rsid w:val="0024493F"/>
    <w:rsid w:val="00245B39"/>
    <w:rsid w:val="00246B91"/>
    <w:rsid w:val="00247380"/>
    <w:rsid w:val="00250A97"/>
    <w:rsid w:val="00252077"/>
    <w:rsid w:val="002527C7"/>
    <w:rsid w:val="00253F9A"/>
    <w:rsid w:val="00255F12"/>
    <w:rsid w:val="0025761B"/>
    <w:rsid w:val="0025799C"/>
    <w:rsid w:val="00257E25"/>
    <w:rsid w:val="00260159"/>
    <w:rsid w:val="0026066F"/>
    <w:rsid w:val="00260A25"/>
    <w:rsid w:val="00260A98"/>
    <w:rsid w:val="00261057"/>
    <w:rsid w:val="00261F9C"/>
    <w:rsid w:val="00264C1F"/>
    <w:rsid w:val="002666F4"/>
    <w:rsid w:val="00267150"/>
    <w:rsid w:val="00267665"/>
    <w:rsid w:val="0027009A"/>
    <w:rsid w:val="002702F1"/>
    <w:rsid w:val="00271453"/>
    <w:rsid w:val="00271492"/>
    <w:rsid w:val="00272E77"/>
    <w:rsid w:val="00273883"/>
    <w:rsid w:val="00280B7D"/>
    <w:rsid w:val="00280D26"/>
    <w:rsid w:val="00283990"/>
    <w:rsid w:val="00283DB4"/>
    <w:rsid w:val="0028486E"/>
    <w:rsid w:val="0028688B"/>
    <w:rsid w:val="00287A3F"/>
    <w:rsid w:val="00287F83"/>
    <w:rsid w:val="00290C15"/>
    <w:rsid w:val="002913C5"/>
    <w:rsid w:val="00292723"/>
    <w:rsid w:val="002927A1"/>
    <w:rsid w:val="0029297C"/>
    <w:rsid w:val="00292FFA"/>
    <w:rsid w:val="002933B2"/>
    <w:rsid w:val="00294FB2"/>
    <w:rsid w:val="002968F1"/>
    <w:rsid w:val="002A0623"/>
    <w:rsid w:val="002A06B1"/>
    <w:rsid w:val="002A1E20"/>
    <w:rsid w:val="002A28D2"/>
    <w:rsid w:val="002A3F87"/>
    <w:rsid w:val="002A458F"/>
    <w:rsid w:val="002A5CC2"/>
    <w:rsid w:val="002A603B"/>
    <w:rsid w:val="002A6327"/>
    <w:rsid w:val="002A7EE2"/>
    <w:rsid w:val="002B2344"/>
    <w:rsid w:val="002B5414"/>
    <w:rsid w:val="002B5B1D"/>
    <w:rsid w:val="002B62FA"/>
    <w:rsid w:val="002B69D9"/>
    <w:rsid w:val="002B76D2"/>
    <w:rsid w:val="002B7882"/>
    <w:rsid w:val="002C16EC"/>
    <w:rsid w:val="002C2AC6"/>
    <w:rsid w:val="002C4002"/>
    <w:rsid w:val="002C5DBA"/>
    <w:rsid w:val="002C5EBA"/>
    <w:rsid w:val="002C65CF"/>
    <w:rsid w:val="002C65F9"/>
    <w:rsid w:val="002C6CBA"/>
    <w:rsid w:val="002C7CF9"/>
    <w:rsid w:val="002D0167"/>
    <w:rsid w:val="002D1AFD"/>
    <w:rsid w:val="002D1BA9"/>
    <w:rsid w:val="002D38F2"/>
    <w:rsid w:val="002D3C28"/>
    <w:rsid w:val="002D3C88"/>
    <w:rsid w:val="002D4911"/>
    <w:rsid w:val="002D4985"/>
    <w:rsid w:val="002D4B9B"/>
    <w:rsid w:val="002D67A1"/>
    <w:rsid w:val="002D6E90"/>
    <w:rsid w:val="002D72F4"/>
    <w:rsid w:val="002E0108"/>
    <w:rsid w:val="002E06A0"/>
    <w:rsid w:val="002E0AD2"/>
    <w:rsid w:val="002E0BD9"/>
    <w:rsid w:val="002E1141"/>
    <w:rsid w:val="002E2629"/>
    <w:rsid w:val="002E3A62"/>
    <w:rsid w:val="002E486D"/>
    <w:rsid w:val="002E56E5"/>
    <w:rsid w:val="002F12F4"/>
    <w:rsid w:val="002F257A"/>
    <w:rsid w:val="002F2932"/>
    <w:rsid w:val="002F4B1B"/>
    <w:rsid w:val="002F4F5A"/>
    <w:rsid w:val="002F5910"/>
    <w:rsid w:val="002F6C11"/>
    <w:rsid w:val="002F6FDE"/>
    <w:rsid w:val="002F710F"/>
    <w:rsid w:val="003003D2"/>
    <w:rsid w:val="00301F2F"/>
    <w:rsid w:val="00302F65"/>
    <w:rsid w:val="00304540"/>
    <w:rsid w:val="00307774"/>
    <w:rsid w:val="00307CE3"/>
    <w:rsid w:val="00310ED8"/>
    <w:rsid w:val="00311009"/>
    <w:rsid w:val="00311414"/>
    <w:rsid w:val="00311B22"/>
    <w:rsid w:val="00311BD5"/>
    <w:rsid w:val="00312DBB"/>
    <w:rsid w:val="00313D91"/>
    <w:rsid w:val="003141A6"/>
    <w:rsid w:val="00314467"/>
    <w:rsid w:val="00315DB7"/>
    <w:rsid w:val="0031658E"/>
    <w:rsid w:val="00317A49"/>
    <w:rsid w:val="003221F4"/>
    <w:rsid w:val="00323079"/>
    <w:rsid w:val="00324FBF"/>
    <w:rsid w:val="00326F5B"/>
    <w:rsid w:val="003277ED"/>
    <w:rsid w:val="003302C8"/>
    <w:rsid w:val="00332FE8"/>
    <w:rsid w:val="0033371E"/>
    <w:rsid w:val="00333BEC"/>
    <w:rsid w:val="00334892"/>
    <w:rsid w:val="003359A0"/>
    <w:rsid w:val="00340197"/>
    <w:rsid w:val="00341E7B"/>
    <w:rsid w:val="00347FD1"/>
    <w:rsid w:val="00351087"/>
    <w:rsid w:val="00351B39"/>
    <w:rsid w:val="003525A1"/>
    <w:rsid w:val="00353C80"/>
    <w:rsid w:val="003549DA"/>
    <w:rsid w:val="00355582"/>
    <w:rsid w:val="00357911"/>
    <w:rsid w:val="003579E4"/>
    <w:rsid w:val="00357D5F"/>
    <w:rsid w:val="00360799"/>
    <w:rsid w:val="003607E5"/>
    <w:rsid w:val="00361977"/>
    <w:rsid w:val="00364848"/>
    <w:rsid w:val="003660A8"/>
    <w:rsid w:val="00366AA2"/>
    <w:rsid w:val="00366F50"/>
    <w:rsid w:val="00370686"/>
    <w:rsid w:val="00372F15"/>
    <w:rsid w:val="0037478E"/>
    <w:rsid w:val="00376013"/>
    <w:rsid w:val="00380738"/>
    <w:rsid w:val="00380B63"/>
    <w:rsid w:val="00380CA5"/>
    <w:rsid w:val="00382023"/>
    <w:rsid w:val="00383622"/>
    <w:rsid w:val="00383CCF"/>
    <w:rsid w:val="003850E8"/>
    <w:rsid w:val="00387265"/>
    <w:rsid w:val="00387B10"/>
    <w:rsid w:val="00387DEB"/>
    <w:rsid w:val="00387E07"/>
    <w:rsid w:val="00392197"/>
    <w:rsid w:val="003922C6"/>
    <w:rsid w:val="003936C1"/>
    <w:rsid w:val="0039385C"/>
    <w:rsid w:val="00393E61"/>
    <w:rsid w:val="003942EA"/>
    <w:rsid w:val="00396D81"/>
    <w:rsid w:val="00396E7E"/>
    <w:rsid w:val="003976DF"/>
    <w:rsid w:val="003A0F1C"/>
    <w:rsid w:val="003A1CB3"/>
    <w:rsid w:val="003A4143"/>
    <w:rsid w:val="003A5D18"/>
    <w:rsid w:val="003A60C8"/>
    <w:rsid w:val="003A619A"/>
    <w:rsid w:val="003A6C9C"/>
    <w:rsid w:val="003A7C59"/>
    <w:rsid w:val="003B0E84"/>
    <w:rsid w:val="003B2468"/>
    <w:rsid w:val="003B42B9"/>
    <w:rsid w:val="003B4379"/>
    <w:rsid w:val="003B48CB"/>
    <w:rsid w:val="003B70C8"/>
    <w:rsid w:val="003C17E8"/>
    <w:rsid w:val="003C1BBB"/>
    <w:rsid w:val="003C1E95"/>
    <w:rsid w:val="003C407B"/>
    <w:rsid w:val="003C6B10"/>
    <w:rsid w:val="003C733D"/>
    <w:rsid w:val="003C7624"/>
    <w:rsid w:val="003D17E7"/>
    <w:rsid w:val="003D4CC8"/>
    <w:rsid w:val="003D50EF"/>
    <w:rsid w:val="003D5F9B"/>
    <w:rsid w:val="003D63CC"/>
    <w:rsid w:val="003E1B15"/>
    <w:rsid w:val="003E1E59"/>
    <w:rsid w:val="003E27EC"/>
    <w:rsid w:val="003E37A7"/>
    <w:rsid w:val="003E3A4D"/>
    <w:rsid w:val="003E439E"/>
    <w:rsid w:val="003E48E0"/>
    <w:rsid w:val="003E4CEF"/>
    <w:rsid w:val="003E4F04"/>
    <w:rsid w:val="003E635B"/>
    <w:rsid w:val="003E7761"/>
    <w:rsid w:val="003F07FC"/>
    <w:rsid w:val="003F0AB5"/>
    <w:rsid w:val="003F3B69"/>
    <w:rsid w:val="003F3FDD"/>
    <w:rsid w:val="003F5160"/>
    <w:rsid w:val="003F69AC"/>
    <w:rsid w:val="003F7CAF"/>
    <w:rsid w:val="00400DDE"/>
    <w:rsid w:val="0040131F"/>
    <w:rsid w:val="00401C33"/>
    <w:rsid w:val="0040282B"/>
    <w:rsid w:val="004028DA"/>
    <w:rsid w:val="00402FFA"/>
    <w:rsid w:val="00403E40"/>
    <w:rsid w:val="00404FB3"/>
    <w:rsid w:val="0040579A"/>
    <w:rsid w:val="00405F78"/>
    <w:rsid w:val="00406142"/>
    <w:rsid w:val="00411ED9"/>
    <w:rsid w:val="004124F7"/>
    <w:rsid w:val="004149B1"/>
    <w:rsid w:val="004161DE"/>
    <w:rsid w:val="004164CE"/>
    <w:rsid w:val="00421AC5"/>
    <w:rsid w:val="0042202E"/>
    <w:rsid w:val="0042424A"/>
    <w:rsid w:val="004252B6"/>
    <w:rsid w:val="00425DC8"/>
    <w:rsid w:val="00427149"/>
    <w:rsid w:val="004276F4"/>
    <w:rsid w:val="00430A14"/>
    <w:rsid w:val="004324F1"/>
    <w:rsid w:val="00432EFA"/>
    <w:rsid w:val="00435441"/>
    <w:rsid w:val="004374BE"/>
    <w:rsid w:val="0044098D"/>
    <w:rsid w:val="00440F9F"/>
    <w:rsid w:val="004419E6"/>
    <w:rsid w:val="00441A8A"/>
    <w:rsid w:val="00441FF2"/>
    <w:rsid w:val="00443810"/>
    <w:rsid w:val="00444872"/>
    <w:rsid w:val="0044554A"/>
    <w:rsid w:val="004460E2"/>
    <w:rsid w:val="00447345"/>
    <w:rsid w:val="00450B7D"/>
    <w:rsid w:val="0045337C"/>
    <w:rsid w:val="00453393"/>
    <w:rsid w:val="00455743"/>
    <w:rsid w:val="00455E60"/>
    <w:rsid w:val="004570A9"/>
    <w:rsid w:val="0045755B"/>
    <w:rsid w:val="00457A9A"/>
    <w:rsid w:val="00457EBE"/>
    <w:rsid w:val="00461791"/>
    <w:rsid w:val="0046426A"/>
    <w:rsid w:val="00464E6B"/>
    <w:rsid w:val="004652D2"/>
    <w:rsid w:val="00465682"/>
    <w:rsid w:val="004668C9"/>
    <w:rsid w:val="004740C9"/>
    <w:rsid w:val="00476480"/>
    <w:rsid w:val="0047661E"/>
    <w:rsid w:val="004779DF"/>
    <w:rsid w:val="00480D1C"/>
    <w:rsid w:val="004815AA"/>
    <w:rsid w:val="00481DF1"/>
    <w:rsid w:val="00482B7F"/>
    <w:rsid w:val="00486AF9"/>
    <w:rsid w:val="00487C2B"/>
    <w:rsid w:val="00492246"/>
    <w:rsid w:val="00492560"/>
    <w:rsid w:val="00494789"/>
    <w:rsid w:val="004962D8"/>
    <w:rsid w:val="004974E4"/>
    <w:rsid w:val="00497887"/>
    <w:rsid w:val="004A0000"/>
    <w:rsid w:val="004A005F"/>
    <w:rsid w:val="004A16CB"/>
    <w:rsid w:val="004A223C"/>
    <w:rsid w:val="004A32FC"/>
    <w:rsid w:val="004A4166"/>
    <w:rsid w:val="004A45BD"/>
    <w:rsid w:val="004A4A2D"/>
    <w:rsid w:val="004A4D64"/>
    <w:rsid w:val="004A4D99"/>
    <w:rsid w:val="004A50F5"/>
    <w:rsid w:val="004B0F9B"/>
    <w:rsid w:val="004B35A3"/>
    <w:rsid w:val="004B50E6"/>
    <w:rsid w:val="004B5D19"/>
    <w:rsid w:val="004B5FCD"/>
    <w:rsid w:val="004B6DFF"/>
    <w:rsid w:val="004B7592"/>
    <w:rsid w:val="004C0985"/>
    <w:rsid w:val="004C2957"/>
    <w:rsid w:val="004C3D6F"/>
    <w:rsid w:val="004C5079"/>
    <w:rsid w:val="004C5A83"/>
    <w:rsid w:val="004C6A41"/>
    <w:rsid w:val="004C70B9"/>
    <w:rsid w:val="004C7198"/>
    <w:rsid w:val="004C76AA"/>
    <w:rsid w:val="004D01E7"/>
    <w:rsid w:val="004D1E28"/>
    <w:rsid w:val="004D1F1D"/>
    <w:rsid w:val="004D271D"/>
    <w:rsid w:val="004D3040"/>
    <w:rsid w:val="004D362E"/>
    <w:rsid w:val="004D3D13"/>
    <w:rsid w:val="004D474E"/>
    <w:rsid w:val="004D5AFF"/>
    <w:rsid w:val="004D5C69"/>
    <w:rsid w:val="004D72B5"/>
    <w:rsid w:val="004D7F49"/>
    <w:rsid w:val="004E1039"/>
    <w:rsid w:val="004E3EA6"/>
    <w:rsid w:val="004E3EFD"/>
    <w:rsid w:val="004E4D6E"/>
    <w:rsid w:val="004E5042"/>
    <w:rsid w:val="004E5B36"/>
    <w:rsid w:val="004E74E5"/>
    <w:rsid w:val="004F0B00"/>
    <w:rsid w:val="004F2613"/>
    <w:rsid w:val="004F675A"/>
    <w:rsid w:val="0050012A"/>
    <w:rsid w:val="00501462"/>
    <w:rsid w:val="005051AD"/>
    <w:rsid w:val="0050695F"/>
    <w:rsid w:val="0051029A"/>
    <w:rsid w:val="005114EF"/>
    <w:rsid w:val="0051295A"/>
    <w:rsid w:val="00512C89"/>
    <w:rsid w:val="00513CCF"/>
    <w:rsid w:val="00513FB4"/>
    <w:rsid w:val="00514E07"/>
    <w:rsid w:val="0051625F"/>
    <w:rsid w:val="00520A2D"/>
    <w:rsid w:val="005213F3"/>
    <w:rsid w:val="005219C7"/>
    <w:rsid w:val="00521ECA"/>
    <w:rsid w:val="0052296B"/>
    <w:rsid w:val="00522A20"/>
    <w:rsid w:val="00522B84"/>
    <w:rsid w:val="00525639"/>
    <w:rsid w:val="005271F1"/>
    <w:rsid w:val="00527387"/>
    <w:rsid w:val="00530588"/>
    <w:rsid w:val="0053076E"/>
    <w:rsid w:val="00530C9B"/>
    <w:rsid w:val="00531DD9"/>
    <w:rsid w:val="0053209C"/>
    <w:rsid w:val="005328C5"/>
    <w:rsid w:val="00533532"/>
    <w:rsid w:val="0053451C"/>
    <w:rsid w:val="005348FD"/>
    <w:rsid w:val="005351FE"/>
    <w:rsid w:val="00536391"/>
    <w:rsid w:val="00536735"/>
    <w:rsid w:val="00536AFD"/>
    <w:rsid w:val="00536E90"/>
    <w:rsid w:val="00536FEA"/>
    <w:rsid w:val="00542837"/>
    <w:rsid w:val="00543CF0"/>
    <w:rsid w:val="00544C5B"/>
    <w:rsid w:val="00545141"/>
    <w:rsid w:val="005452DF"/>
    <w:rsid w:val="005460C1"/>
    <w:rsid w:val="00546123"/>
    <w:rsid w:val="005475C2"/>
    <w:rsid w:val="00547705"/>
    <w:rsid w:val="00551D82"/>
    <w:rsid w:val="0055228A"/>
    <w:rsid w:val="005523C6"/>
    <w:rsid w:val="005525C6"/>
    <w:rsid w:val="005528F2"/>
    <w:rsid w:val="00555070"/>
    <w:rsid w:val="00555ECB"/>
    <w:rsid w:val="005563A1"/>
    <w:rsid w:val="00557A28"/>
    <w:rsid w:val="00564564"/>
    <w:rsid w:val="00567D20"/>
    <w:rsid w:val="00567F01"/>
    <w:rsid w:val="00570150"/>
    <w:rsid w:val="00570694"/>
    <w:rsid w:val="00570792"/>
    <w:rsid w:val="00570EA3"/>
    <w:rsid w:val="00572130"/>
    <w:rsid w:val="0057434B"/>
    <w:rsid w:val="00574CBD"/>
    <w:rsid w:val="00575B69"/>
    <w:rsid w:val="00575E55"/>
    <w:rsid w:val="00577E6F"/>
    <w:rsid w:val="005802B7"/>
    <w:rsid w:val="00580703"/>
    <w:rsid w:val="00580A3B"/>
    <w:rsid w:val="005810BA"/>
    <w:rsid w:val="00581EFC"/>
    <w:rsid w:val="00582809"/>
    <w:rsid w:val="0058303B"/>
    <w:rsid w:val="0058550F"/>
    <w:rsid w:val="0058687A"/>
    <w:rsid w:val="00590807"/>
    <w:rsid w:val="005919CC"/>
    <w:rsid w:val="0059203C"/>
    <w:rsid w:val="00593F92"/>
    <w:rsid w:val="00594FD3"/>
    <w:rsid w:val="005A02B2"/>
    <w:rsid w:val="005A36C5"/>
    <w:rsid w:val="005A388C"/>
    <w:rsid w:val="005A3A6F"/>
    <w:rsid w:val="005A58FE"/>
    <w:rsid w:val="005A7165"/>
    <w:rsid w:val="005A739F"/>
    <w:rsid w:val="005B1216"/>
    <w:rsid w:val="005B1BD8"/>
    <w:rsid w:val="005B1CC6"/>
    <w:rsid w:val="005B1CEB"/>
    <w:rsid w:val="005B1EFA"/>
    <w:rsid w:val="005B3B62"/>
    <w:rsid w:val="005B3BEF"/>
    <w:rsid w:val="005B4BB7"/>
    <w:rsid w:val="005B5AAB"/>
    <w:rsid w:val="005C05C9"/>
    <w:rsid w:val="005C1D75"/>
    <w:rsid w:val="005C3620"/>
    <w:rsid w:val="005C5B60"/>
    <w:rsid w:val="005C5B7D"/>
    <w:rsid w:val="005C6AB8"/>
    <w:rsid w:val="005D013B"/>
    <w:rsid w:val="005D1B9D"/>
    <w:rsid w:val="005D2280"/>
    <w:rsid w:val="005D2F86"/>
    <w:rsid w:val="005D3989"/>
    <w:rsid w:val="005D3EF0"/>
    <w:rsid w:val="005D525F"/>
    <w:rsid w:val="005D5C9D"/>
    <w:rsid w:val="005E04A3"/>
    <w:rsid w:val="005E1DBD"/>
    <w:rsid w:val="005E3CC1"/>
    <w:rsid w:val="005E5841"/>
    <w:rsid w:val="005E5BA4"/>
    <w:rsid w:val="005E5F3C"/>
    <w:rsid w:val="005E6B25"/>
    <w:rsid w:val="005E7D8B"/>
    <w:rsid w:val="005F0029"/>
    <w:rsid w:val="005F2727"/>
    <w:rsid w:val="005F2B6E"/>
    <w:rsid w:val="005F4FBE"/>
    <w:rsid w:val="005F6FF3"/>
    <w:rsid w:val="005F70CE"/>
    <w:rsid w:val="005F788A"/>
    <w:rsid w:val="00601E9B"/>
    <w:rsid w:val="00601F4D"/>
    <w:rsid w:val="00602021"/>
    <w:rsid w:val="00602843"/>
    <w:rsid w:val="00603214"/>
    <w:rsid w:val="00603DDE"/>
    <w:rsid w:val="00604D6F"/>
    <w:rsid w:val="006055E6"/>
    <w:rsid w:val="00607AAD"/>
    <w:rsid w:val="00607CBF"/>
    <w:rsid w:val="00607D29"/>
    <w:rsid w:val="00612CF4"/>
    <w:rsid w:val="00614CE2"/>
    <w:rsid w:val="00615035"/>
    <w:rsid w:val="006153B4"/>
    <w:rsid w:val="006157A0"/>
    <w:rsid w:val="00615F95"/>
    <w:rsid w:val="00616B71"/>
    <w:rsid w:val="00616FC6"/>
    <w:rsid w:val="006174F2"/>
    <w:rsid w:val="00621CCB"/>
    <w:rsid w:val="00622578"/>
    <w:rsid w:val="0062293D"/>
    <w:rsid w:val="006230BC"/>
    <w:rsid w:val="0062446B"/>
    <w:rsid w:val="006246FA"/>
    <w:rsid w:val="00626709"/>
    <w:rsid w:val="0062779E"/>
    <w:rsid w:val="0063064A"/>
    <w:rsid w:val="006306F7"/>
    <w:rsid w:val="00630C18"/>
    <w:rsid w:val="00633900"/>
    <w:rsid w:val="00633AAC"/>
    <w:rsid w:val="00634204"/>
    <w:rsid w:val="00634672"/>
    <w:rsid w:val="0063545F"/>
    <w:rsid w:val="00635A17"/>
    <w:rsid w:val="00637F47"/>
    <w:rsid w:val="00640DCE"/>
    <w:rsid w:val="00643DD7"/>
    <w:rsid w:val="006449BE"/>
    <w:rsid w:val="006450D4"/>
    <w:rsid w:val="0064616F"/>
    <w:rsid w:val="00647A63"/>
    <w:rsid w:val="00650402"/>
    <w:rsid w:val="00650967"/>
    <w:rsid w:val="00650F2D"/>
    <w:rsid w:val="00651825"/>
    <w:rsid w:val="00651E8E"/>
    <w:rsid w:val="00653B7B"/>
    <w:rsid w:val="00654107"/>
    <w:rsid w:val="00655571"/>
    <w:rsid w:val="00656DB6"/>
    <w:rsid w:val="00660362"/>
    <w:rsid w:val="00660D21"/>
    <w:rsid w:val="00662907"/>
    <w:rsid w:val="006634B7"/>
    <w:rsid w:val="006635DB"/>
    <w:rsid w:val="00664445"/>
    <w:rsid w:val="00664A85"/>
    <w:rsid w:val="00664AF6"/>
    <w:rsid w:val="00666236"/>
    <w:rsid w:val="00666926"/>
    <w:rsid w:val="00666EDE"/>
    <w:rsid w:val="00670544"/>
    <w:rsid w:val="00671065"/>
    <w:rsid w:val="0067144C"/>
    <w:rsid w:val="0067185E"/>
    <w:rsid w:val="006719D1"/>
    <w:rsid w:val="00671AC8"/>
    <w:rsid w:val="006720DA"/>
    <w:rsid w:val="00673571"/>
    <w:rsid w:val="0067358F"/>
    <w:rsid w:val="0067395E"/>
    <w:rsid w:val="006743A3"/>
    <w:rsid w:val="00674AAD"/>
    <w:rsid w:val="00675018"/>
    <w:rsid w:val="006755EE"/>
    <w:rsid w:val="006772DA"/>
    <w:rsid w:val="006824BF"/>
    <w:rsid w:val="00683506"/>
    <w:rsid w:val="006848B1"/>
    <w:rsid w:val="00684BC8"/>
    <w:rsid w:val="00685748"/>
    <w:rsid w:val="00685C48"/>
    <w:rsid w:val="00685DA6"/>
    <w:rsid w:val="006876B2"/>
    <w:rsid w:val="0069012D"/>
    <w:rsid w:val="00691987"/>
    <w:rsid w:val="006921B3"/>
    <w:rsid w:val="006A03DD"/>
    <w:rsid w:val="006A0730"/>
    <w:rsid w:val="006A0C96"/>
    <w:rsid w:val="006A0D18"/>
    <w:rsid w:val="006A117F"/>
    <w:rsid w:val="006A155F"/>
    <w:rsid w:val="006A1639"/>
    <w:rsid w:val="006A1927"/>
    <w:rsid w:val="006A2B88"/>
    <w:rsid w:val="006A522A"/>
    <w:rsid w:val="006A5CE8"/>
    <w:rsid w:val="006A7AFC"/>
    <w:rsid w:val="006B0368"/>
    <w:rsid w:val="006B18E0"/>
    <w:rsid w:val="006B435F"/>
    <w:rsid w:val="006B725E"/>
    <w:rsid w:val="006C3DAB"/>
    <w:rsid w:val="006C45A3"/>
    <w:rsid w:val="006C45F4"/>
    <w:rsid w:val="006C4683"/>
    <w:rsid w:val="006C64EA"/>
    <w:rsid w:val="006C6B1C"/>
    <w:rsid w:val="006C79C6"/>
    <w:rsid w:val="006D0EEB"/>
    <w:rsid w:val="006D1078"/>
    <w:rsid w:val="006D1497"/>
    <w:rsid w:val="006D1B2F"/>
    <w:rsid w:val="006D538C"/>
    <w:rsid w:val="006D55A7"/>
    <w:rsid w:val="006D6B66"/>
    <w:rsid w:val="006E0835"/>
    <w:rsid w:val="006E1863"/>
    <w:rsid w:val="006E2D06"/>
    <w:rsid w:val="006E4797"/>
    <w:rsid w:val="006E5B22"/>
    <w:rsid w:val="006E6348"/>
    <w:rsid w:val="006E63DE"/>
    <w:rsid w:val="006E7D4B"/>
    <w:rsid w:val="006F1C02"/>
    <w:rsid w:val="006F1F97"/>
    <w:rsid w:val="006F34AD"/>
    <w:rsid w:val="006F3D0C"/>
    <w:rsid w:val="006F3F2F"/>
    <w:rsid w:val="006F4E2F"/>
    <w:rsid w:val="00700224"/>
    <w:rsid w:val="007010DE"/>
    <w:rsid w:val="00701B5B"/>
    <w:rsid w:val="0070444F"/>
    <w:rsid w:val="0070539A"/>
    <w:rsid w:val="0070653A"/>
    <w:rsid w:val="00711E2F"/>
    <w:rsid w:val="00713565"/>
    <w:rsid w:val="00714BE0"/>
    <w:rsid w:val="00715DF5"/>
    <w:rsid w:val="00717B08"/>
    <w:rsid w:val="00720414"/>
    <w:rsid w:val="00721E46"/>
    <w:rsid w:val="00724EA0"/>
    <w:rsid w:val="007260C8"/>
    <w:rsid w:val="00732918"/>
    <w:rsid w:val="0073414C"/>
    <w:rsid w:val="007347E7"/>
    <w:rsid w:val="007366D8"/>
    <w:rsid w:val="00736A73"/>
    <w:rsid w:val="00740AB6"/>
    <w:rsid w:val="00740BDB"/>
    <w:rsid w:val="00740F2C"/>
    <w:rsid w:val="00743916"/>
    <w:rsid w:val="00744F88"/>
    <w:rsid w:val="0074541E"/>
    <w:rsid w:val="00751093"/>
    <w:rsid w:val="00751524"/>
    <w:rsid w:val="00753AA7"/>
    <w:rsid w:val="00753F63"/>
    <w:rsid w:val="00754168"/>
    <w:rsid w:val="00754CEA"/>
    <w:rsid w:val="00754E6E"/>
    <w:rsid w:val="0075577F"/>
    <w:rsid w:val="00756059"/>
    <w:rsid w:val="0076220D"/>
    <w:rsid w:val="0076332A"/>
    <w:rsid w:val="00764474"/>
    <w:rsid w:val="00764908"/>
    <w:rsid w:val="007656E2"/>
    <w:rsid w:val="0076595E"/>
    <w:rsid w:val="00765A63"/>
    <w:rsid w:val="007667AA"/>
    <w:rsid w:val="00771683"/>
    <w:rsid w:val="0077169E"/>
    <w:rsid w:val="0077185D"/>
    <w:rsid w:val="0077210A"/>
    <w:rsid w:val="00773767"/>
    <w:rsid w:val="00775C5F"/>
    <w:rsid w:val="00775EC4"/>
    <w:rsid w:val="00777B0D"/>
    <w:rsid w:val="007807A2"/>
    <w:rsid w:val="00780A7F"/>
    <w:rsid w:val="007812B5"/>
    <w:rsid w:val="007841D9"/>
    <w:rsid w:val="00784C9D"/>
    <w:rsid w:val="00785013"/>
    <w:rsid w:val="00786DA9"/>
    <w:rsid w:val="00791D87"/>
    <w:rsid w:val="007921EA"/>
    <w:rsid w:val="00794947"/>
    <w:rsid w:val="00797349"/>
    <w:rsid w:val="00797453"/>
    <w:rsid w:val="007A2177"/>
    <w:rsid w:val="007A2B1C"/>
    <w:rsid w:val="007A4CBA"/>
    <w:rsid w:val="007A69F3"/>
    <w:rsid w:val="007A6D72"/>
    <w:rsid w:val="007B04A7"/>
    <w:rsid w:val="007B1487"/>
    <w:rsid w:val="007B2088"/>
    <w:rsid w:val="007B267B"/>
    <w:rsid w:val="007B4284"/>
    <w:rsid w:val="007C308B"/>
    <w:rsid w:val="007C3D08"/>
    <w:rsid w:val="007C52BF"/>
    <w:rsid w:val="007C5347"/>
    <w:rsid w:val="007C566C"/>
    <w:rsid w:val="007C5BDF"/>
    <w:rsid w:val="007C6CFF"/>
    <w:rsid w:val="007C76CF"/>
    <w:rsid w:val="007C7ECE"/>
    <w:rsid w:val="007D0BAE"/>
    <w:rsid w:val="007D4CAD"/>
    <w:rsid w:val="007D5EA0"/>
    <w:rsid w:val="007D6BE0"/>
    <w:rsid w:val="007D7164"/>
    <w:rsid w:val="007E046F"/>
    <w:rsid w:val="007E1B8E"/>
    <w:rsid w:val="007E25EB"/>
    <w:rsid w:val="007E2A28"/>
    <w:rsid w:val="007E492B"/>
    <w:rsid w:val="007E4C3B"/>
    <w:rsid w:val="007E4D7D"/>
    <w:rsid w:val="007F0250"/>
    <w:rsid w:val="007F1A24"/>
    <w:rsid w:val="007F2030"/>
    <w:rsid w:val="007F2F41"/>
    <w:rsid w:val="007F5EB9"/>
    <w:rsid w:val="00801387"/>
    <w:rsid w:val="008033EA"/>
    <w:rsid w:val="00803509"/>
    <w:rsid w:val="00803F6D"/>
    <w:rsid w:val="008040EF"/>
    <w:rsid w:val="00804106"/>
    <w:rsid w:val="00804E92"/>
    <w:rsid w:val="00805CC5"/>
    <w:rsid w:val="00805D33"/>
    <w:rsid w:val="00812BA2"/>
    <w:rsid w:val="00812D0E"/>
    <w:rsid w:val="00816B4F"/>
    <w:rsid w:val="008203C4"/>
    <w:rsid w:val="008236FE"/>
    <w:rsid w:val="00824E75"/>
    <w:rsid w:val="008262A0"/>
    <w:rsid w:val="008275B6"/>
    <w:rsid w:val="00830D4F"/>
    <w:rsid w:val="00833B41"/>
    <w:rsid w:val="00834128"/>
    <w:rsid w:val="00834760"/>
    <w:rsid w:val="00835081"/>
    <w:rsid w:val="00836087"/>
    <w:rsid w:val="0083611E"/>
    <w:rsid w:val="008363D7"/>
    <w:rsid w:val="00836D64"/>
    <w:rsid w:val="00837C43"/>
    <w:rsid w:val="008406AB"/>
    <w:rsid w:val="008437D0"/>
    <w:rsid w:val="00843A26"/>
    <w:rsid w:val="00843D2E"/>
    <w:rsid w:val="00843F79"/>
    <w:rsid w:val="00844798"/>
    <w:rsid w:val="00845F8F"/>
    <w:rsid w:val="008461C6"/>
    <w:rsid w:val="0084652B"/>
    <w:rsid w:val="00850581"/>
    <w:rsid w:val="00850D99"/>
    <w:rsid w:val="008528E3"/>
    <w:rsid w:val="00853957"/>
    <w:rsid w:val="00853FB5"/>
    <w:rsid w:val="00854C63"/>
    <w:rsid w:val="00854DA6"/>
    <w:rsid w:val="00854FA2"/>
    <w:rsid w:val="00855C77"/>
    <w:rsid w:val="0086175D"/>
    <w:rsid w:val="00861935"/>
    <w:rsid w:val="00862D84"/>
    <w:rsid w:val="00866499"/>
    <w:rsid w:val="008666CA"/>
    <w:rsid w:val="0086674B"/>
    <w:rsid w:val="0086782D"/>
    <w:rsid w:val="00870E90"/>
    <w:rsid w:val="00872198"/>
    <w:rsid w:val="008725B6"/>
    <w:rsid w:val="00874638"/>
    <w:rsid w:val="00877CEE"/>
    <w:rsid w:val="008801C4"/>
    <w:rsid w:val="0088024E"/>
    <w:rsid w:val="00880CA3"/>
    <w:rsid w:val="00883F75"/>
    <w:rsid w:val="0088462E"/>
    <w:rsid w:val="00887007"/>
    <w:rsid w:val="00887A18"/>
    <w:rsid w:val="00890425"/>
    <w:rsid w:val="00891119"/>
    <w:rsid w:val="00892108"/>
    <w:rsid w:val="00892488"/>
    <w:rsid w:val="00896151"/>
    <w:rsid w:val="008A13D3"/>
    <w:rsid w:val="008A3F93"/>
    <w:rsid w:val="008A5180"/>
    <w:rsid w:val="008A5AB8"/>
    <w:rsid w:val="008A70A5"/>
    <w:rsid w:val="008A71EF"/>
    <w:rsid w:val="008A73F8"/>
    <w:rsid w:val="008B006C"/>
    <w:rsid w:val="008B35D2"/>
    <w:rsid w:val="008B63F3"/>
    <w:rsid w:val="008B6D15"/>
    <w:rsid w:val="008B78E3"/>
    <w:rsid w:val="008C2D06"/>
    <w:rsid w:val="008C338D"/>
    <w:rsid w:val="008C3833"/>
    <w:rsid w:val="008C392F"/>
    <w:rsid w:val="008C3984"/>
    <w:rsid w:val="008C3996"/>
    <w:rsid w:val="008C69A7"/>
    <w:rsid w:val="008D01B6"/>
    <w:rsid w:val="008D08A9"/>
    <w:rsid w:val="008D11F6"/>
    <w:rsid w:val="008D2A19"/>
    <w:rsid w:val="008D2C80"/>
    <w:rsid w:val="008D360F"/>
    <w:rsid w:val="008D4B0F"/>
    <w:rsid w:val="008D5706"/>
    <w:rsid w:val="008D5C67"/>
    <w:rsid w:val="008D63BB"/>
    <w:rsid w:val="008E010F"/>
    <w:rsid w:val="008E04F7"/>
    <w:rsid w:val="008E0E82"/>
    <w:rsid w:val="008E1D33"/>
    <w:rsid w:val="008E2340"/>
    <w:rsid w:val="008E558F"/>
    <w:rsid w:val="008E71DC"/>
    <w:rsid w:val="008F09A5"/>
    <w:rsid w:val="008F1D18"/>
    <w:rsid w:val="008F249E"/>
    <w:rsid w:val="008F258E"/>
    <w:rsid w:val="008F2757"/>
    <w:rsid w:val="008F36CE"/>
    <w:rsid w:val="008F3718"/>
    <w:rsid w:val="008F4AA3"/>
    <w:rsid w:val="008F78DD"/>
    <w:rsid w:val="008F7A33"/>
    <w:rsid w:val="00901530"/>
    <w:rsid w:val="00901714"/>
    <w:rsid w:val="00902E09"/>
    <w:rsid w:val="0090374E"/>
    <w:rsid w:val="00903EE2"/>
    <w:rsid w:val="009042EB"/>
    <w:rsid w:val="00905058"/>
    <w:rsid w:val="009054D5"/>
    <w:rsid w:val="0090551E"/>
    <w:rsid w:val="00905742"/>
    <w:rsid w:val="00905FAB"/>
    <w:rsid w:val="009062FD"/>
    <w:rsid w:val="00907060"/>
    <w:rsid w:val="00910AD0"/>
    <w:rsid w:val="00911482"/>
    <w:rsid w:val="00912FAF"/>
    <w:rsid w:val="00915A59"/>
    <w:rsid w:val="00916AD3"/>
    <w:rsid w:val="00917244"/>
    <w:rsid w:val="0092366D"/>
    <w:rsid w:val="00923FCE"/>
    <w:rsid w:val="009241D7"/>
    <w:rsid w:val="009249EF"/>
    <w:rsid w:val="009302BE"/>
    <w:rsid w:val="00930326"/>
    <w:rsid w:val="009332C2"/>
    <w:rsid w:val="00935606"/>
    <w:rsid w:val="009361FC"/>
    <w:rsid w:val="00936EAD"/>
    <w:rsid w:val="009409AD"/>
    <w:rsid w:val="009418B9"/>
    <w:rsid w:val="0094370B"/>
    <w:rsid w:val="00943CB8"/>
    <w:rsid w:val="009443A1"/>
    <w:rsid w:val="00944D31"/>
    <w:rsid w:val="00945177"/>
    <w:rsid w:val="0094570A"/>
    <w:rsid w:val="009470AF"/>
    <w:rsid w:val="00953622"/>
    <w:rsid w:val="00954BC7"/>
    <w:rsid w:val="009554F8"/>
    <w:rsid w:val="00955A3C"/>
    <w:rsid w:val="00956275"/>
    <w:rsid w:val="00956C9F"/>
    <w:rsid w:val="00956F58"/>
    <w:rsid w:val="00956FD0"/>
    <w:rsid w:val="00960B57"/>
    <w:rsid w:val="009621E8"/>
    <w:rsid w:val="0096616C"/>
    <w:rsid w:val="00966F58"/>
    <w:rsid w:val="00967F11"/>
    <w:rsid w:val="00970B75"/>
    <w:rsid w:val="009713F6"/>
    <w:rsid w:val="00972C6B"/>
    <w:rsid w:val="00972CFA"/>
    <w:rsid w:val="00972F8E"/>
    <w:rsid w:val="009732F8"/>
    <w:rsid w:val="00974725"/>
    <w:rsid w:val="0097492D"/>
    <w:rsid w:val="00974AD6"/>
    <w:rsid w:val="0097502E"/>
    <w:rsid w:val="00975042"/>
    <w:rsid w:val="00976A3D"/>
    <w:rsid w:val="00980E94"/>
    <w:rsid w:val="00980F03"/>
    <w:rsid w:val="009814F6"/>
    <w:rsid w:val="00985729"/>
    <w:rsid w:val="00986049"/>
    <w:rsid w:val="00986CF0"/>
    <w:rsid w:val="00987F8E"/>
    <w:rsid w:val="0099002E"/>
    <w:rsid w:val="00990661"/>
    <w:rsid w:val="00990C81"/>
    <w:rsid w:val="009933DA"/>
    <w:rsid w:val="00993BDA"/>
    <w:rsid w:val="00994E44"/>
    <w:rsid w:val="00994F50"/>
    <w:rsid w:val="009954FC"/>
    <w:rsid w:val="009958B1"/>
    <w:rsid w:val="00995C35"/>
    <w:rsid w:val="00996430"/>
    <w:rsid w:val="009A058D"/>
    <w:rsid w:val="009A1D62"/>
    <w:rsid w:val="009A2A69"/>
    <w:rsid w:val="009A2DCF"/>
    <w:rsid w:val="009A2E54"/>
    <w:rsid w:val="009A3750"/>
    <w:rsid w:val="009A4C30"/>
    <w:rsid w:val="009B04BD"/>
    <w:rsid w:val="009B1FF3"/>
    <w:rsid w:val="009B2915"/>
    <w:rsid w:val="009B326D"/>
    <w:rsid w:val="009B3948"/>
    <w:rsid w:val="009B46F9"/>
    <w:rsid w:val="009B4742"/>
    <w:rsid w:val="009B637D"/>
    <w:rsid w:val="009B7AEA"/>
    <w:rsid w:val="009B7F9F"/>
    <w:rsid w:val="009C3916"/>
    <w:rsid w:val="009C6431"/>
    <w:rsid w:val="009C793C"/>
    <w:rsid w:val="009C7E83"/>
    <w:rsid w:val="009D461F"/>
    <w:rsid w:val="009D544A"/>
    <w:rsid w:val="009D7F16"/>
    <w:rsid w:val="009E0A44"/>
    <w:rsid w:val="009E19B0"/>
    <w:rsid w:val="009E1F66"/>
    <w:rsid w:val="009E3172"/>
    <w:rsid w:val="009E39AD"/>
    <w:rsid w:val="009E51CC"/>
    <w:rsid w:val="009E52C9"/>
    <w:rsid w:val="009F0B4F"/>
    <w:rsid w:val="009F0C78"/>
    <w:rsid w:val="009F1C77"/>
    <w:rsid w:val="009F280B"/>
    <w:rsid w:val="009F34AF"/>
    <w:rsid w:val="009F7181"/>
    <w:rsid w:val="00A01397"/>
    <w:rsid w:val="00A01DA7"/>
    <w:rsid w:val="00A02ACF"/>
    <w:rsid w:val="00A02CCD"/>
    <w:rsid w:val="00A03677"/>
    <w:rsid w:val="00A0417F"/>
    <w:rsid w:val="00A0559D"/>
    <w:rsid w:val="00A05ED3"/>
    <w:rsid w:val="00A05EF3"/>
    <w:rsid w:val="00A05F16"/>
    <w:rsid w:val="00A065E9"/>
    <w:rsid w:val="00A07A62"/>
    <w:rsid w:val="00A11715"/>
    <w:rsid w:val="00A120B9"/>
    <w:rsid w:val="00A12545"/>
    <w:rsid w:val="00A15FB0"/>
    <w:rsid w:val="00A1684A"/>
    <w:rsid w:val="00A179B1"/>
    <w:rsid w:val="00A20D4B"/>
    <w:rsid w:val="00A2196E"/>
    <w:rsid w:val="00A22ED3"/>
    <w:rsid w:val="00A23EA8"/>
    <w:rsid w:val="00A25804"/>
    <w:rsid w:val="00A25E53"/>
    <w:rsid w:val="00A279FF"/>
    <w:rsid w:val="00A27E0C"/>
    <w:rsid w:val="00A34A9B"/>
    <w:rsid w:val="00A36726"/>
    <w:rsid w:val="00A36A77"/>
    <w:rsid w:val="00A36CFB"/>
    <w:rsid w:val="00A37082"/>
    <w:rsid w:val="00A37F24"/>
    <w:rsid w:val="00A41CF6"/>
    <w:rsid w:val="00A41F24"/>
    <w:rsid w:val="00A42ED0"/>
    <w:rsid w:val="00A436CE"/>
    <w:rsid w:val="00A43AD9"/>
    <w:rsid w:val="00A440BF"/>
    <w:rsid w:val="00A4675E"/>
    <w:rsid w:val="00A47DDD"/>
    <w:rsid w:val="00A5385E"/>
    <w:rsid w:val="00A53F42"/>
    <w:rsid w:val="00A548C4"/>
    <w:rsid w:val="00A6350C"/>
    <w:rsid w:val="00A63688"/>
    <w:rsid w:val="00A6406F"/>
    <w:rsid w:val="00A65116"/>
    <w:rsid w:val="00A66C10"/>
    <w:rsid w:val="00A6790B"/>
    <w:rsid w:val="00A70786"/>
    <w:rsid w:val="00A707E4"/>
    <w:rsid w:val="00A7179B"/>
    <w:rsid w:val="00A72AFA"/>
    <w:rsid w:val="00A7471B"/>
    <w:rsid w:val="00A77F57"/>
    <w:rsid w:val="00A816FD"/>
    <w:rsid w:val="00A82D3F"/>
    <w:rsid w:val="00A83172"/>
    <w:rsid w:val="00A83AF5"/>
    <w:rsid w:val="00A84736"/>
    <w:rsid w:val="00A8783B"/>
    <w:rsid w:val="00A87B29"/>
    <w:rsid w:val="00A904C2"/>
    <w:rsid w:val="00A9151E"/>
    <w:rsid w:val="00A922AB"/>
    <w:rsid w:val="00A92C06"/>
    <w:rsid w:val="00A94251"/>
    <w:rsid w:val="00A95A8F"/>
    <w:rsid w:val="00AA19C1"/>
    <w:rsid w:val="00AA2212"/>
    <w:rsid w:val="00AA2FE2"/>
    <w:rsid w:val="00AA38DF"/>
    <w:rsid w:val="00AA49E8"/>
    <w:rsid w:val="00AA6209"/>
    <w:rsid w:val="00AA6308"/>
    <w:rsid w:val="00AA6B1C"/>
    <w:rsid w:val="00AB0CA1"/>
    <w:rsid w:val="00AB0D7C"/>
    <w:rsid w:val="00AB2B1D"/>
    <w:rsid w:val="00AB3CB8"/>
    <w:rsid w:val="00AB4B4D"/>
    <w:rsid w:val="00AB70DF"/>
    <w:rsid w:val="00AC13E5"/>
    <w:rsid w:val="00AC31B5"/>
    <w:rsid w:val="00AC501E"/>
    <w:rsid w:val="00AC54FD"/>
    <w:rsid w:val="00AC5D7E"/>
    <w:rsid w:val="00AC68B2"/>
    <w:rsid w:val="00AD080B"/>
    <w:rsid w:val="00AD1415"/>
    <w:rsid w:val="00AD1426"/>
    <w:rsid w:val="00AD1CDD"/>
    <w:rsid w:val="00AD2821"/>
    <w:rsid w:val="00AD30FF"/>
    <w:rsid w:val="00AD5048"/>
    <w:rsid w:val="00AD5741"/>
    <w:rsid w:val="00AD757A"/>
    <w:rsid w:val="00AD75C2"/>
    <w:rsid w:val="00AD7E09"/>
    <w:rsid w:val="00AE0603"/>
    <w:rsid w:val="00AE0E9E"/>
    <w:rsid w:val="00AE14E5"/>
    <w:rsid w:val="00AE19E3"/>
    <w:rsid w:val="00AE203A"/>
    <w:rsid w:val="00AE277B"/>
    <w:rsid w:val="00AE2C59"/>
    <w:rsid w:val="00AE4F0B"/>
    <w:rsid w:val="00AE590C"/>
    <w:rsid w:val="00AE643B"/>
    <w:rsid w:val="00AE66B3"/>
    <w:rsid w:val="00AE6ECA"/>
    <w:rsid w:val="00AE71B2"/>
    <w:rsid w:val="00AE77D5"/>
    <w:rsid w:val="00AF31B0"/>
    <w:rsid w:val="00AF4AD6"/>
    <w:rsid w:val="00AF4ADF"/>
    <w:rsid w:val="00AF5198"/>
    <w:rsid w:val="00AF54E3"/>
    <w:rsid w:val="00AF7356"/>
    <w:rsid w:val="00AF7D3E"/>
    <w:rsid w:val="00B00E45"/>
    <w:rsid w:val="00B01DA9"/>
    <w:rsid w:val="00B01ECF"/>
    <w:rsid w:val="00B02E45"/>
    <w:rsid w:val="00B03CD8"/>
    <w:rsid w:val="00B04026"/>
    <w:rsid w:val="00B04777"/>
    <w:rsid w:val="00B04C75"/>
    <w:rsid w:val="00B05D33"/>
    <w:rsid w:val="00B06961"/>
    <w:rsid w:val="00B07FEC"/>
    <w:rsid w:val="00B1058E"/>
    <w:rsid w:val="00B11399"/>
    <w:rsid w:val="00B120A2"/>
    <w:rsid w:val="00B149A7"/>
    <w:rsid w:val="00B15278"/>
    <w:rsid w:val="00B15972"/>
    <w:rsid w:val="00B20660"/>
    <w:rsid w:val="00B21345"/>
    <w:rsid w:val="00B21D93"/>
    <w:rsid w:val="00B2449F"/>
    <w:rsid w:val="00B247A8"/>
    <w:rsid w:val="00B25162"/>
    <w:rsid w:val="00B25E93"/>
    <w:rsid w:val="00B25F9E"/>
    <w:rsid w:val="00B30B5A"/>
    <w:rsid w:val="00B31196"/>
    <w:rsid w:val="00B31F74"/>
    <w:rsid w:val="00B368EF"/>
    <w:rsid w:val="00B37594"/>
    <w:rsid w:val="00B406BF"/>
    <w:rsid w:val="00B409C1"/>
    <w:rsid w:val="00B42DD7"/>
    <w:rsid w:val="00B439DA"/>
    <w:rsid w:val="00B43D3D"/>
    <w:rsid w:val="00B4467F"/>
    <w:rsid w:val="00B44F93"/>
    <w:rsid w:val="00B454A9"/>
    <w:rsid w:val="00B46427"/>
    <w:rsid w:val="00B4697A"/>
    <w:rsid w:val="00B47BE6"/>
    <w:rsid w:val="00B50077"/>
    <w:rsid w:val="00B50B0B"/>
    <w:rsid w:val="00B51FA2"/>
    <w:rsid w:val="00B531F8"/>
    <w:rsid w:val="00B5320B"/>
    <w:rsid w:val="00B552A4"/>
    <w:rsid w:val="00B55FA4"/>
    <w:rsid w:val="00B563F8"/>
    <w:rsid w:val="00B56D88"/>
    <w:rsid w:val="00B6044B"/>
    <w:rsid w:val="00B613FF"/>
    <w:rsid w:val="00B61D36"/>
    <w:rsid w:val="00B63463"/>
    <w:rsid w:val="00B640CA"/>
    <w:rsid w:val="00B65EC1"/>
    <w:rsid w:val="00B74401"/>
    <w:rsid w:val="00B75863"/>
    <w:rsid w:val="00B77364"/>
    <w:rsid w:val="00B8040F"/>
    <w:rsid w:val="00B80CC4"/>
    <w:rsid w:val="00B823EA"/>
    <w:rsid w:val="00B82B2C"/>
    <w:rsid w:val="00B83102"/>
    <w:rsid w:val="00B83A5E"/>
    <w:rsid w:val="00B8438D"/>
    <w:rsid w:val="00B853C5"/>
    <w:rsid w:val="00B862B6"/>
    <w:rsid w:val="00B86F8C"/>
    <w:rsid w:val="00B922F8"/>
    <w:rsid w:val="00B92C75"/>
    <w:rsid w:val="00B94172"/>
    <w:rsid w:val="00B95E9F"/>
    <w:rsid w:val="00B97093"/>
    <w:rsid w:val="00B97C1A"/>
    <w:rsid w:val="00BA00F0"/>
    <w:rsid w:val="00BA363B"/>
    <w:rsid w:val="00BA5C65"/>
    <w:rsid w:val="00BA5F99"/>
    <w:rsid w:val="00BB0AF4"/>
    <w:rsid w:val="00BB32A7"/>
    <w:rsid w:val="00BB4DFA"/>
    <w:rsid w:val="00BB52FF"/>
    <w:rsid w:val="00BB5CF9"/>
    <w:rsid w:val="00BB65E7"/>
    <w:rsid w:val="00BB7C6D"/>
    <w:rsid w:val="00BC0B0B"/>
    <w:rsid w:val="00BC0C85"/>
    <w:rsid w:val="00BC25C0"/>
    <w:rsid w:val="00BC3842"/>
    <w:rsid w:val="00BC3B01"/>
    <w:rsid w:val="00BC5C5E"/>
    <w:rsid w:val="00BC61B4"/>
    <w:rsid w:val="00BD1200"/>
    <w:rsid w:val="00BD28AA"/>
    <w:rsid w:val="00BD41F0"/>
    <w:rsid w:val="00BD42F9"/>
    <w:rsid w:val="00BD6752"/>
    <w:rsid w:val="00BD7385"/>
    <w:rsid w:val="00BE0498"/>
    <w:rsid w:val="00BE147B"/>
    <w:rsid w:val="00BE22A2"/>
    <w:rsid w:val="00BE2651"/>
    <w:rsid w:val="00BE46B8"/>
    <w:rsid w:val="00BE64F4"/>
    <w:rsid w:val="00BE6A48"/>
    <w:rsid w:val="00BF088E"/>
    <w:rsid w:val="00BF0B65"/>
    <w:rsid w:val="00BF0E32"/>
    <w:rsid w:val="00BF2BC9"/>
    <w:rsid w:val="00BF3363"/>
    <w:rsid w:val="00BF35E4"/>
    <w:rsid w:val="00BF428E"/>
    <w:rsid w:val="00BF6404"/>
    <w:rsid w:val="00C0185A"/>
    <w:rsid w:val="00C0343C"/>
    <w:rsid w:val="00C0615C"/>
    <w:rsid w:val="00C06BE1"/>
    <w:rsid w:val="00C06E6B"/>
    <w:rsid w:val="00C07763"/>
    <w:rsid w:val="00C1133F"/>
    <w:rsid w:val="00C11D93"/>
    <w:rsid w:val="00C12BEC"/>
    <w:rsid w:val="00C14484"/>
    <w:rsid w:val="00C14901"/>
    <w:rsid w:val="00C1570C"/>
    <w:rsid w:val="00C168CE"/>
    <w:rsid w:val="00C219E7"/>
    <w:rsid w:val="00C23F3A"/>
    <w:rsid w:val="00C25112"/>
    <w:rsid w:val="00C26839"/>
    <w:rsid w:val="00C27C6E"/>
    <w:rsid w:val="00C27DFC"/>
    <w:rsid w:val="00C30B60"/>
    <w:rsid w:val="00C3267C"/>
    <w:rsid w:val="00C33A30"/>
    <w:rsid w:val="00C37766"/>
    <w:rsid w:val="00C40088"/>
    <w:rsid w:val="00C41443"/>
    <w:rsid w:val="00C4251C"/>
    <w:rsid w:val="00C43A69"/>
    <w:rsid w:val="00C4452B"/>
    <w:rsid w:val="00C44EE4"/>
    <w:rsid w:val="00C4633C"/>
    <w:rsid w:val="00C4703C"/>
    <w:rsid w:val="00C50B34"/>
    <w:rsid w:val="00C5283D"/>
    <w:rsid w:val="00C544A9"/>
    <w:rsid w:val="00C550F3"/>
    <w:rsid w:val="00C55909"/>
    <w:rsid w:val="00C55B1F"/>
    <w:rsid w:val="00C561B8"/>
    <w:rsid w:val="00C56484"/>
    <w:rsid w:val="00C57595"/>
    <w:rsid w:val="00C57F61"/>
    <w:rsid w:val="00C60856"/>
    <w:rsid w:val="00C621EC"/>
    <w:rsid w:val="00C63F66"/>
    <w:rsid w:val="00C652D8"/>
    <w:rsid w:val="00C66DD8"/>
    <w:rsid w:val="00C67403"/>
    <w:rsid w:val="00C67D90"/>
    <w:rsid w:val="00C7057C"/>
    <w:rsid w:val="00C715C0"/>
    <w:rsid w:val="00C73483"/>
    <w:rsid w:val="00C735BB"/>
    <w:rsid w:val="00C740C2"/>
    <w:rsid w:val="00C74E52"/>
    <w:rsid w:val="00C8077B"/>
    <w:rsid w:val="00C80A04"/>
    <w:rsid w:val="00C82588"/>
    <w:rsid w:val="00C849E3"/>
    <w:rsid w:val="00C868E9"/>
    <w:rsid w:val="00C868EA"/>
    <w:rsid w:val="00C87592"/>
    <w:rsid w:val="00C90C1F"/>
    <w:rsid w:val="00C9210A"/>
    <w:rsid w:val="00C92CEC"/>
    <w:rsid w:val="00C936B9"/>
    <w:rsid w:val="00C94D6C"/>
    <w:rsid w:val="00C975A9"/>
    <w:rsid w:val="00C97C70"/>
    <w:rsid w:val="00CA0A4C"/>
    <w:rsid w:val="00CA0EDF"/>
    <w:rsid w:val="00CA144B"/>
    <w:rsid w:val="00CA1FA0"/>
    <w:rsid w:val="00CA3C78"/>
    <w:rsid w:val="00CA46BE"/>
    <w:rsid w:val="00CA4AA9"/>
    <w:rsid w:val="00CA4F3B"/>
    <w:rsid w:val="00CA56B9"/>
    <w:rsid w:val="00CA6971"/>
    <w:rsid w:val="00CA7EA1"/>
    <w:rsid w:val="00CB05A3"/>
    <w:rsid w:val="00CB1713"/>
    <w:rsid w:val="00CB17D9"/>
    <w:rsid w:val="00CB30CD"/>
    <w:rsid w:val="00CB32AB"/>
    <w:rsid w:val="00CB5420"/>
    <w:rsid w:val="00CB5C16"/>
    <w:rsid w:val="00CB6A72"/>
    <w:rsid w:val="00CB791D"/>
    <w:rsid w:val="00CC19A1"/>
    <w:rsid w:val="00CC3037"/>
    <w:rsid w:val="00CC3344"/>
    <w:rsid w:val="00CC38B5"/>
    <w:rsid w:val="00CC3B95"/>
    <w:rsid w:val="00CC3D74"/>
    <w:rsid w:val="00CC4098"/>
    <w:rsid w:val="00CC4602"/>
    <w:rsid w:val="00CC4B2C"/>
    <w:rsid w:val="00CC6186"/>
    <w:rsid w:val="00CC6755"/>
    <w:rsid w:val="00CC7FD0"/>
    <w:rsid w:val="00CD01F3"/>
    <w:rsid w:val="00CD2669"/>
    <w:rsid w:val="00CD4198"/>
    <w:rsid w:val="00CD4351"/>
    <w:rsid w:val="00CD5434"/>
    <w:rsid w:val="00CD71C9"/>
    <w:rsid w:val="00CD77C8"/>
    <w:rsid w:val="00CD7D61"/>
    <w:rsid w:val="00CE2E1D"/>
    <w:rsid w:val="00CE44C2"/>
    <w:rsid w:val="00CE7946"/>
    <w:rsid w:val="00CE7C25"/>
    <w:rsid w:val="00CF061D"/>
    <w:rsid w:val="00CF06E5"/>
    <w:rsid w:val="00CF0714"/>
    <w:rsid w:val="00CF13EA"/>
    <w:rsid w:val="00CF1CC8"/>
    <w:rsid w:val="00CF1E9D"/>
    <w:rsid w:val="00CF3372"/>
    <w:rsid w:val="00CF35D0"/>
    <w:rsid w:val="00CF3984"/>
    <w:rsid w:val="00CF471D"/>
    <w:rsid w:val="00CF5133"/>
    <w:rsid w:val="00D01FEC"/>
    <w:rsid w:val="00D029B6"/>
    <w:rsid w:val="00D029F4"/>
    <w:rsid w:val="00D02B0E"/>
    <w:rsid w:val="00D057D2"/>
    <w:rsid w:val="00D05EF7"/>
    <w:rsid w:val="00D06031"/>
    <w:rsid w:val="00D06C3F"/>
    <w:rsid w:val="00D100D3"/>
    <w:rsid w:val="00D11119"/>
    <w:rsid w:val="00D111D8"/>
    <w:rsid w:val="00D15A4F"/>
    <w:rsid w:val="00D1625A"/>
    <w:rsid w:val="00D20C59"/>
    <w:rsid w:val="00D2201D"/>
    <w:rsid w:val="00D235FF"/>
    <w:rsid w:val="00D26272"/>
    <w:rsid w:val="00D265B6"/>
    <w:rsid w:val="00D27028"/>
    <w:rsid w:val="00D270B9"/>
    <w:rsid w:val="00D27F9A"/>
    <w:rsid w:val="00D31699"/>
    <w:rsid w:val="00D3624E"/>
    <w:rsid w:val="00D36A04"/>
    <w:rsid w:val="00D370B5"/>
    <w:rsid w:val="00D37B9D"/>
    <w:rsid w:val="00D40328"/>
    <w:rsid w:val="00D408B7"/>
    <w:rsid w:val="00D40C73"/>
    <w:rsid w:val="00D413DB"/>
    <w:rsid w:val="00D43FC4"/>
    <w:rsid w:val="00D459FC"/>
    <w:rsid w:val="00D52508"/>
    <w:rsid w:val="00D53DCE"/>
    <w:rsid w:val="00D56713"/>
    <w:rsid w:val="00D56E5F"/>
    <w:rsid w:val="00D571B6"/>
    <w:rsid w:val="00D576A6"/>
    <w:rsid w:val="00D57B36"/>
    <w:rsid w:val="00D607D2"/>
    <w:rsid w:val="00D6138C"/>
    <w:rsid w:val="00D61863"/>
    <w:rsid w:val="00D61FDF"/>
    <w:rsid w:val="00D630DD"/>
    <w:rsid w:val="00D64EEC"/>
    <w:rsid w:val="00D659FC"/>
    <w:rsid w:val="00D65A8E"/>
    <w:rsid w:val="00D65D3E"/>
    <w:rsid w:val="00D65E01"/>
    <w:rsid w:val="00D67508"/>
    <w:rsid w:val="00D707AC"/>
    <w:rsid w:val="00D7161F"/>
    <w:rsid w:val="00D716ED"/>
    <w:rsid w:val="00D727FD"/>
    <w:rsid w:val="00D72A13"/>
    <w:rsid w:val="00D72A6A"/>
    <w:rsid w:val="00D74CAE"/>
    <w:rsid w:val="00D75EEF"/>
    <w:rsid w:val="00D76B9B"/>
    <w:rsid w:val="00D806B5"/>
    <w:rsid w:val="00D806FC"/>
    <w:rsid w:val="00D81216"/>
    <w:rsid w:val="00D812E1"/>
    <w:rsid w:val="00D81EBC"/>
    <w:rsid w:val="00D84026"/>
    <w:rsid w:val="00D913C5"/>
    <w:rsid w:val="00D92169"/>
    <w:rsid w:val="00D9252E"/>
    <w:rsid w:val="00D9273C"/>
    <w:rsid w:val="00D9396E"/>
    <w:rsid w:val="00D93A7F"/>
    <w:rsid w:val="00D947D6"/>
    <w:rsid w:val="00D94CDD"/>
    <w:rsid w:val="00D97E85"/>
    <w:rsid w:val="00DA0BD6"/>
    <w:rsid w:val="00DA2E35"/>
    <w:rsid w:val="00DA2F03"/>
    <w:rsid w:val="00DA3C42"/>
    <w:rsid w:val="00DA3F74"/>
    <w:rsid w:val="00DA5DE0"/>
    <w:rsid w:val="00DA6574"/>
    <w:rsid w:val="00DA6C2A"/>
    <w:rsid w:val="00DA6D70"/>
    <w:rsid w:val="00DB067D"/>
    <w:rsid w:val="00DB18D6"/>
    <w:rsid w:val="00DB1EC5"/>
    <w:rsid w:val="00DB4444"/>
    <w:rsid w:val="00DB4CAA"/>
    <w:rsid w:val="00DB4F0E"/>
    <w:rsid w:val="00DC25FF"/>
    <w:rsid w:val="00DC2868"/>
    <w:rsid w:val="00DC2FAF"/>
    <w:rsid w:val="00DC332E"/>
    <w:rsid w:val="00DC468A"/>
    <w:rsid w:val="00DC49E5"/>
    <w:rsid w:val="00DC539F"/>
    <w:rsid w:val="00DC5747"/>
    <w:rsid w:val="00DC5C67"/>
    <w:rsid w:val="00DC6556"/>
    <w:rsid w:val="00DC696F"/>
    <w:rsid w:val="00DC74A3"/>
    <w:rsid w:val="00DC77A6"/>
    <w:rsid w:val="00DD0D2A"/>
    <w:rsid w:val="00DD216A"/>
    <w:rsid w:val="00DD37E6"/>
    <w:rsid w:val="00DD53B8"/>
    <w:rsid w:val="00DD61C6"/>
    <w:rsid w:val="00DD62D5"/>
    <w:rsid w:val="00DD6B61"/>
    <w:rsid w:val="00DD7E06"/>
    <w:rsid w:val="00DE03B1"/>
    <w:rsid w:val="00DE5DF5"/>
    <w:rsid w:val="00DE6BB0"/>
    <w:rsid w:val="00DE7157"/>
    <w:rsid w:val="00DE7F4B"/>
    <w:rsid w:val="00DF13B9"/>
    <w:rsid w:val="00DF15C0"/>
    <w:rsid w:val="00DF2183"/>
    <w:rsid w:val="00DF2645"/>
    <w:rsid w:val="00DF3522"/>
    <w:rsid w:val="00DF3DA8"/>
    <w:rsid w:val="00DF4401"/>
    <w:rsid w:val="00DF4CDF"/>
    <w:rsid w:val="00DF5F63"/>
    <w:rsid w:val="00DF623D"/>
    <w:rsid w:val="00DF6FD8"/>
    <w:rsid w:val="00DF7F6B"/>
    <w:rsid w:val="00E00723"/>
    <w:rsid w:val="00E00F49"/>
    <w:rsid w:val="00E01129"/>
    <w:rsid w:val="00E02B5C"/>
    <w:rsid w:val="00E02C16"/>
    <w:rsid w:val="00E0484C"/>
    <w:rsid w:val="00E04B53"/>
    <w:rsid w:val="00E0744B"/>
    <w:rsid w:val="00E07537"/>
    <w:rsid w:val="00E108B9"/>
    <w:rsid w:val="00E134D4"/>
    <w:rsid w:val="00E134E4"/>
    <w:rsid w:val="00E13551"/>
    <w:rsid w:val="00E14B92"/>
    <w:rsid w:val="00E15F51"/>
    <w:rsid w:val="00E1743D"/>
    <w:rsid w:val="00E17C53"/>
    <w:rsid w:val="00E20397"/>
    <w:rsid w:val="00E22A6B"/>
    <w:rsid w:val="00E22FD5"/>
    <w:rsid w:val="00E25782"/>
    <w:rsid w:val="00E26529"/>
    <w:rsid w:val="00E268C9"/>
    <w:rsid w:val="00E32CE9"/>
    <w:rsid w:val="00E32D3C"/>
    <w:rsid w:val="00E3414C"/>
    <w:rsid w:val="00E34895"/>
    <w:rsid w:val="00E34B6A"/>
    <w:rsid w:val="00E34BD3"/>
    <w:rsid w:val="00E35EAE"/>
    <w:rsid w:val="00E360F4"/>
    <w:rsid w:val="00E375FF"/>
    <w:rsid w:val="00E40F88"/>
    <w:rsid w:val="00E41252"/>
    <w:rsid w:val="00E41450"/>
    <w:rsid w:val="00E41772"/>
    <w:rsid w:val="00E4258B"/>
    <w:rsid w:val="00E447C8"/>
    <w:rsid w:val="00E44BC1"/>
    <w:rsid w:val="00E47131"/>
    <w:rsid w:val="00E471D3"/>
    <w:rsid w:val="00E47B7F"/>
    <w:rsid w:val="00E47D94"/>
    <w:rsid w:val="00E50403"/>
    <w:rsid w:val="00E52225"/>
    <w:rsid w:val="00E52C8E"/>
    <w:rsid w:val="00E53D7D"/>
    <w:rsid w:val="00E5545E"/>
    <w:rsid w:val="00E56AFB"/>
    <w:rsid w:val="00E579DF"/>
    <w:rsid w:val="00E57B1F"/>
    <w:rsid w:val="00E6078C"/>
    <w:rsid w:val="00E617B1"/>
    <w:rsid w:val="00E6241E"/>
    <w:rsid w:val="00E645A3"/>
    <w:rsid w:val="00E67703"/>
    <w:rsid w:val="00E67B41"/>
    <w:rsid w:val="00E70FDE"/>
    <w:rsid w:val="00E72337"/>
    <w:rsid w:val="00E72FA8"/>
    <w:rsid w:val="00E7338E"/>
    <w:rsid w:val="00E756A4"/>
    <w:rsid w:val="00E76233"/>
    <w:rsid w:val="00E7748D"/>
    <w:rsid w:val="00E82F7D"/>
    <w:rsid w:val="00E833F7"/>
    <w:rsid w:val="00E83E75"/>
    <w:rsid w:val="00E848AB"/>
    <w:rsid w:val="00E86387"/>
    <w:rsid w:val="00E87F28"/>
    <w:rsid w:val="00E90DB7"/>
    <w:rsid w:val="00E91901"/>
    <w:rsid w:val="00E91B96"/>
    <w:rsid w:val="00E9336E"/>
    <w:rsid w:val="00E94FB2"/>
    <w:rsid w:val="00E96A3B"/>
    <w:rsid w:val="00EA08EF"/>
    <w:rsid w:val="00EA0E6C"/>
    <w:rsid w:val="00EA14A6"/>
    <w:rsid w:val="00EA2EB0"/>
    <w:rsid w:val="00EA6741"/>
    <w:rsid w:val="00EB1E68"/>
    <w:rsid w:val="00EB28ED"/>
    <w:rsid w:val="00EB4B18"/>
    <w:rsid w:val="00EB52ED"/>
    <w:rsid w:val="00EB583A"/>
    <w:rsid w:val="00EB5E4B"/>
    <w:rsid w:val="00EB62B9"/>
    <w:rsid w:val="00EB7155"/>
    <w:rsid w:val="00EC2C7F"/>
    <w:rsid w:val="00EC2F36"/>
    <w:rsid w:val="00EC36AF"/>
    <w:rsid w:val="00EC40BD"/>
    <w:rsid w:val="00EC5542"/>
    <w:rsid w:val="00EC5939"/>
    <w:rsid w:val="00EC5CBB"/>
    <w:rsid w:val="00EC7778"/>
    <w:rsid w:val="00ED207C"/>
    <w:rsid w:val="00ED235D"/>
    <w:rsid w:val="00ED27F3"/>
    <w:rsid w:val="00ED4817"/>
    <w:rsid w:val="00ED5319"/>
    <w:rsid w:val="00ED7096"/>
    <w:rsid w:val="00ED734E"/>
    <w:rsid w:val="00ED7630"/>
    <w:rsid w:val="00ED7D9C"/>
    <w:rsid w:val="00EE0564"/>
    <w:rsid w:val="00EE1F77"/>
    <w:rsid w:val="00EE209C"/>
    <w:rsid w:val="00EE23CA"/>
    <w:rsid w:val="00EE2490"/>
    <w:rsid w:val="00EE46F8"/>
    <w:rsid w:val="00EE4D4B"/>
    <w:rsid w:val="00EE542A"/>
    <w:rsid w:val="00EE7200"/>
    <w:rsid w:val="00EF1DCE"/>
    <w:rsid w:val="00EF36A2"/>
    <w:rsid w:val="00EF3BBB"/>
    <w:rsid w:val="00EF414D"/>
    <w:rsid w:val="00EF4750"/>
    <w:rsid w:val="00EF4F70"/>
    <w:rsid w:val="00EF7645"/>
    <w:rsid w:val="00F01102"/>
    <w:rsid w:val="00F013E4"/>
    <w:rsid w:val="00F0511B"/>
    <w:rsid w:val="00F0620C"/>
    <w:rsid w:val="00F07229"/>
    <w:rsid w:val="00F1023A"/>
    <w:rsid w:val="00F108F0"/>
    <w:rsid w:val="00F10B30"/>
    <w:rsid w:val="00F127C0"/>
    <w:rsid w:val="00F1298F"/>
    <w:rsid w:val="00F15C9D"/>
    <w:rsid w:val="00F15D88"/>
    <w:rsid w:val="00F16F9C"/>
    <w:rsid w:val="00F17ACC"/>
    <w:rsid w:val="00F209DB"/>
    <w:rsid w:val="00F20A61"/>
    <w:rsid w:val="00F20F71"/>
    <w:rsid w:val="00F214F7"/>
    <w:rsid w:val="00F219CB"/>
    <w:rsid w:val="00F22092"/>
    <w:rsid w:val="00F2306F"/>
    <w:rsid w:val="00F23FAB"/>
    <w:rsid w:val="00F2571F"/>
    <w:rsid w:val="00F26040"/>
    <w:rsid w:val="00F26311"/>
    <w:rsid w:val="00F263F0"/>
    <w:rsid w:val="00F2684F"/>
    <w:rsid w:val="00F26D80"/>
    <w:rsid w:val="00F3173F"/>
    <w:rsid w:val="00F3215E"/>
    <w:rsid w:val="00F3549E"/>
    <w:rsid w:val="00F361D0"/>
    <w:rsid w:val="00F36C3F"/>
    <w:rsid w:val="00F406B3"/>
    <w:rsid w:val="00F41729"/>
    <w:rsid w:val="00F4335F"/>
    <w:rsid w:val="00F4494E"/>
    <w:rsid w:val="00F468FA"/>
    <w:rsid w:val="00F4709C"/>
    <w:rsid w:val="00F50682"/>
    <w:rsid w:val="00F50E3D"/>
    <w:rsid w:val="00F536B8"/>
    <w:rsid w:val="00F54F3D"/>
    <w:rsid w:val="00F5656D"/>
    <w:rsid w:val="00F56DDB"/>
    <w:rsid w:val="00F578A1"/>
    <w:rsid w:val="00F62C8B"/>
    <w:rsid w:val="00F6332B"/>
    <w:rsid w:val="00F63CC8"/>
    <w:rsid w:val="00F646EE"/>
    <w:rsid w:val="00F649D4"/>
    <w:rsid w:val="00F64E56"/>
    <w:rsid w:val="00F6557B"/>
    <w:rsid w:val="00F665AF"/>
    <w:rsid w:val="00F66B07"/>
    <w:rsid w:val="00F67B38"/>
    <w:rsid w:val="00F708B8"/>
    <w:rsid w:val="00F74743"/>
    <w:rsid w:val="00F74CAB"/>
    <w:rsid w:val="00F766AD"/>
    <w:rsid w:val="00F77247"/>
    <w:rsid w:val="00F773B3"/>
    <w:rsid w:val="00F7762A"/>
    <w:rsid w:val="00F80231"/>
    <w:rsid w:val="00F80761"/>
    <w:rsid w:val="00F80B3C"/>
    <w:rsid w:val="00F83C84"/>
    <w:rsid w:val="00F83DB6"/>
    <w:rsid w:val="00F83DC5"/>
    <w:rsid w:val="00F844B1"/>
    <w:rsid w:val="00F853F8"/>
    <w:rsid w:val="00F85491"/>
    <w:rsid w:val="00F87048"/>
    <w:rsid w:val="00F877A1"/>
    <w:rsid w:val="00F90ECF"/>
    <w:rsid w:val="00F91314"/>
    <w:rsid w:val="00F91E7E"/>
    <w:rsid w:val="00F929EC"/>
    <w:rsid w:val="00F938EE"/>
    <w:rsid w:val="00F93C31"/>
    <w:rsid w:val="00F94E30"/>
    <w:rsid w:val="00F973FE"/>
    <w:rsid w:val="00F979D8"/>
    <w:rsid w:val="00FA1C65"/>
    <w:rsid w:val="00FA3029"/>
    <w:rsid w:val="00FA3EDE"/>
    <w:rsid w:val="00FA4E2D"/>
    <w:rsid w:val="00FA5CD4"/>
    <w:rsid w:val="00FA6C9C"/>
    <w:rsid w:val="00FA7818"/>
    <w:rsid w:val="00FA7A5F"/>
    <w:rsid w:val="00FA7DB6"/>
    <w:rsid w:val="00FB6B20"/>
    <w:rsid w:val="00FC097A"/>
    <w:rsid w:val="00FC10AF"/>
    <w:rsid w:val="00FC197F"/>
    <w:rsid w:val="00FC1CF9"/>
    <w:rsid w:val="00FC2AF7"/>
    <w:rsid w:val="00FC2D5B"/>
    <w:rsid w:val="00FC3D34"/>
    <w:rsid w:val="00FC705E"/>
    <w:rsid w:val="00FD0C4A"/>
    <w:rsid w:val="00FD14EE"/>
    <w:rsid w:val="00FD1A36"/>
    <w:rsid w:val="00FD2ACB"/>
    <w:rsid w:val="00FD3652"/>
    <w:rsid w:val="00FD3AF4"/>
    <w:rsid w:val="00FD42B3"/>
    <w:rsid w:val="00FD4556"/>
    <w:rsid w:val="00FD724A"/>
    <w:rsid w:val="00FD7F19"/>
    <w:rsid w:val="00FE1B70"/>
    <w:rsid w:val="00FE3EDD"/>
    <w:rsid w:val="00FE410A"/>
    <w:rsid w:val="00FE5717"/>
    <w:rsid w:val="00FE614C"/>
    <w:rsid w:val="00FF1772"/>
    <w:rsid w:val="00FF1C37"/>
    <w:rsid w:val="00FF2823"/>
    <w:rsid w:val="00FF365E"/>
    <w:rsid w:val="00FF45E1"/>
    <w:rsid w:val="00FF4D93"/>
    <w:rsid w:val="00FF50B6"/>
    <w:rsid w:val="00FF559B"/>
    <w:rsid w:val="00FF6D77"/>
    <w:rsid w:val="00FF7269"/>
    <w:rsid w:val="00FF769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382023"/>
    <w:rPr>
      <w:sz w:val="16"/>
      <w:szCs w:val="16"/>
    </w:rPr>
  </w:style>
  <w:style w:type="paragraph" w:styleId="CommentText">
    <w:name w:val="annotation text"/>
    <w:basedOn w:val="Normal"/>
    <w:link w:val="CommentTextChar"/>
    <w:uiPriority w:val="99"/>
    <w:unhideWhenUsed/>
    <w:rsid w:val="00382023"/>
    <w:rPr>
      <w:sz w:val="20"/>
      <w:szCs w:val="20"/>
    </w:rPr>
  </w:style>
  <w:style w:type="character" w:customStyle="1" w:styleId="CommentTextChar">
    <w:name w:val="Comment Text Char"/>
    <w:basedOn w:val="DefaultParagraphFont"/>
    <w:link w:val="CommentText"/>
    <w:uiPriority w:val="99"/>
    <w:rsid w:val="00382023"/>
    <w:rPr>
      <w:sz w:val="20"/>
      <w:szCs w:val="20"/>
    </w:rPr>
  </w:style>
  <w:style w:type="paragraph" w:styleId="CommentSubject">
    <w:name w:val="annotation subject"/>
    <w:basedOn w:val="CommentText"/>
    <w:next w:val="CommentText"/>
    <w:link w:val="CommentSubjectChar"/>
    <w:uiPriority w:val="99"/>
    <w:semiHidden/>
    <w:unhideWhenUsed/>
    <w:rsid w:val="00382023"/>
    <w:rPr>
      <w:b/>
      <w:bCs/>
    </w:rPr>
  </w:style>
  <w:style w:type="character" w:customStyle="1" w:styleId="CommentSubjectChar">
    <w:name w:val="Comment Subject Char"/>
    <w:basedOn w:val="CommentTextChar"/>
    <w:link w:val="CommentSubject"/>
    <w:uiPriority w:val="99"/>
    <w:semiHidden/>
    <w:rsid w:val="00382023"/>
    <w:rPr>
      <w:b/>
      <w:bCs/>
      <w:sz w:val="20"/>
      <w:szCs w:val="20"/>
    </w:rPr>
  </w:style>
  <w:style w:type="paragraph" w:customStyle="1" w:styleId="EndNoteBibliographyTitle">
    <w:name w:val="EndNote Bibliography Title"/>
    <w:basedOn w:val="Normal"/>
    <w:link w:val="EndNoteBibliographyTitleChar"/>
    <w:rsid w:val="005802B7"/>
    <w:pPr>
      <w:jc w:val="center"/>
    </w:pPr>
    <w:rPr>
      <w:noProof/>
    </w:rPr>
  </w:style>
  <w:style w:type="character" w:customStyle="1" w:styleId="EndNoteBibliographyTitleChar">
    <w:name w:val="EndNote Bibliography Title Char"/>
    <w:basedOn w:val="DefaultParagraphFont"/>
    <w:link w:val="EndNoteBibliographyTitle"/>
    <w:rsid w:val="005802B7"/>
    <w:rPr>
      <w:noProof/>
    </w:rPr>
  </w:style>
  <w:style w:type="paragraph" w:customStyle="1" w:styleId="EndNoteBibliography">
    <w:name w:val="EndNote Bibliography"/>
    <w:basedOn w:val="Normal"/>
    <w:link w:val="EndNoteBibliographyChar"/>
    <w:rsid w:val="005802B7"/>
    <w:rPr>
      <w:noProof/>
    </w:rPr>
  </w:style>
  <w:style w:type="character" w:customStyle="1" w:styleId="EndNoteBibliographyChar">
    <w:name w:val="EndNote Bibliography Char"/>
    <w:basedOn w:val="DefaultParagraphFont"/>
    <w:link w:val="EndNoteBibliography"/>
    <w:rsid w:val="005802B7"/>
    <w:rPr>
      <w:noProof/>
    </w:rPr>
  </w:style>
  <w:style w:type="character" w:styleId="LineNumber">
    <w:name w:val="line number"/>
    <w:basedOn w:val="DefaultParagraphFont"/>
    <w:uiPriority w:val="99"/>
    <w:semiHidden/>
    <w:unhideWhenUsed/>
    <w:rsid w:val="00862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oRender.com/h44gy3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931785-7021-4A55-B746-A4E6037D0054}">
  <we:reference id="WA200010725" version="1.0.0.1" store="Omex" storeType="omex"/>
  <we:alternateReferences>
    <we:reference id="WA200010725" version="1.0.0.1" store="WA200010725" storeType="omex"/>
  </we:alternateReferences>
  <we:properties>
    <we:property name="claude.fileId" value="&quot;fce157c9-e557-4b2c-8ff0-75f38d9fcc7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6ACBE-03D5-408B-99BC-9FC147A3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5643</Words>
  <Characters>32169</Characters>
  <Application>Microsoft Office Word</Application>
  <DocSecurity>0</DocSecurity>
  <Lines>268</Lines>
  <Paragraphs>75</Paragraphs>
  <ScaleCrop>false</ScaleCrop>
  <Company/>
  <LinksUpToDate>false</LinksUpToDate>
  <CharactersWithSpaces>37737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2026-07-31T12:49:00Z</dcterms:created>
  <dcterms:modified xsi:type="dcterms:W3CDTF">2026-07-31T12:49:00Z</dcterms:modified>
</cp:coreProperties>
</file>